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6A9232" w14:textId="7BB92EC8" w:rsidR="00CE46C6" w:rsidRPr="001E5BBA" w:rsidRDefault="00CE46C6" w:rsidP="00CE46C6">
      <w:pPr>
        <w:ind w:left="1988" w:hanging="1988"/>
        <w:rPr>
          <w:rFonts w:ascii="Arial" w:hAnsi="Arial" w:cs="Arial"/>
          <w:b/>
          <w:sz w:val="24"/>
          <w:lang w:val="de-DE"/>
        </w:rPr>
      </w:pPr>
      <w:r w:rsidRPr="001E5BBA">
        <w:rPr>
          <w:rFonts w:ascii="Arial" w:hAnsi="Arial" w:cs="Arial"/>
          <w:b/>
          <w:sz w:val="24"/>
          <w:lang w:val="de-DE"/>
        </w:rPr>
        <w:t>3GPP TSG RAN WG1 #1</w:t>
      </w:r>
      <w:r w:rsidR="00E82093" w:rsidRPr="001E5BBA">
        <w:rPr>
          <w:rFonts w:ascii="Arial" w:hAnsi="Arial" w:cs="Arial"/>
          <w:b/>
          <w:sz w:val="24"/>
          <w:lang w:val="de-DE"/>
        </w:rPr>
        <w:t>10</w:t>
      </w:r>
      <w:r w:rsidR="00B5439C" w:rsidRPr="001E5BBA">
        <w:rPr>
          <w:rFonts w:ascii="Arial" w:hAnsi="Arial" w:cs="Arial"/>
          <w:b/>
          <w:sz w:val="24"/>
          <w:lang w:val="de-DE"/>
        </w:rPr>
        <w:t>bis-e</w:t>
      </w:r>
      <w:r w:rsidRPr="001E5BBA">
        <w:rPr>
          <w:rFonts w:ascii="Arial" w:hAnsi="Arial" w:cs="Arial"/>
          <w:b/>
          <w:sz w:val="24"/>
          <w:lang w:val="de-DE"/>
        </w:rPr>
        <w:tab/>
      </w:r>
      <w:r w:rsidRPr="001E5BBA">
        <w:rPr>
          <w:rFonts w:ascii="Arial" w:hAnsi="Arial" w:cs="Arial"/>
          <w:b/>
          <w:sz w:val="24"/>
          <w:lang w:val="de-DE"/>
        </w:rPr>
        <w:tab/>
      </w:r>
      <w:r w:rsidRPr="001E5BBA">
        <w:rPr>
          <w:rFonts w:ascii="Arial" w:hAnsi="Arial" w:cs="Arial"/>
          <w:b/>
          <w:sz w:val="24"/>
          <w:lang w:val="de-DE"/>
        </w:rPr>
        <w:tab/>
      </w:r>
      <w:r w:rsidRPr="001E5BBA">
        <w:rPr>
          <w:rFonts w:ascii="Arial" w:hAnsi="Arial" w:cs="Arial"/>
          <w:b/>
          <w:sz w:val="24"/>
          <w:lang w:val="de-DE"/>
        </w:rPr>
        <w:tab/>
      </w:r>
      <w:r w:rsidRPr="001E5BBA">
        <w:rPr>
          <w:rFonts w:ascii="Arial" w:hAnsi="Arial" w:cs="Arial"/>
          <w:b/>
          <w:sz w:val="24"/>
          <w:lang w:val="de-DE"/>
        </w:rPr>
        <w:tab/>
      </w:r>
      <w:r w:rsidRPr="001E5BBA">
        <w:rPr>
          <w:rFonts w:ascii="Arial" w:hAnsi="Arial" w:cs="Arial"/>
          <w:b/>
          <w:sz w:val="24"/>
          <w:lang w:val="de-DE"/>
        </w:rPr>
        <w:tab/>
      </w:r>
      <w:r w:rsidRPr="001E5BBA">
        <w:rPr>
          <w:rFonts w:ascii="Arial" w:hAnsi="Arial" w:cs="Arial"/>
          <w:b/>
          <w:sz w:val="24"/>
          <w:lang w:val="de-DE"/>
        </w:rPr>
        <w:tab/>
        <w:t xml:space="preserve">    R1-2</w:t>
      </w:r>
      <w:r w:rsidR="00004070" w:rsidRPr="001E5BBA">
        <w:rPr>
          <w:rFonts w:ascii="Arial" w:hAnsi="Arial" w:cs="Arial"/>
          <w:b/>
          <w:sz w:val="24"/>
          <w:lang w:val="de-DE"/>
        </w:rPr>
        <w:t>2</w:t>
      </w:r>
      <w:r w:rsidR="00BD1F75" w:rsidRPr="001E5BBA">
        <w:rPr>
          <w:rFonts w:ascii="Arial" w:hAnsi="Arial" w:cs="Arial"/>
          <w:b/>
          <w:sz w:val="24"/>
          <w:lang w:val="de-DE"/>
        </w:rPr>
        <w:t>102</w:t>
      </w:r>
      <w:r w:rsidR="005A2C85" w:rsidRPr="001E5BBA">
        <w:rPr>
          <w:rFonts w:ascii="Arial" w:hAnsi="Arial" w:cs="Arial"/>
          <w:b/>
          <w:sz w:val="24"/>
          <w:lang w:val="de-DE"/>
        </w:rPr>
        <w:t>9</w:t>
      </w:r>
      <w:r w:rsidR="00A95DBE">
        <w:rPr>
          <w:rFonts w:ascii="Arial" w:hAnsi="Arial" w:cs="Arial"/>
          <w:b/>
          <w:sz w:val="24"/>
          <w:lang w:val="de-DE"/>
        </w:rPr>
        <w:t>1</w:t>
      </w:r>
    </w:p>
    <w:p w14:paraId="1B774143" w14:textId="3DD026B2" w:rsidR="00CE46C6" w:rsidRDefault="00187F74" w:rsidP="00CE46C6">
      <w:pPr>
        <w:ind w:left="1988" w:hanging="1988"/>
        <w:rPr>
          <w:rFonts w:ascii="Arial" w:hAnsi="Arial" w:cs="Arial"/>
          <w:b/>
          <w:sz w:val="24"/>
          <w:lang w:val="en-US"/>
        </w:rPr>
      </w:pPr>
      <w:r>
        <w:rPr>
          <w:rFonts w:ascii="Arial" w:hAnsi="Arial" w:cs="Arial"/>
          <w:b/>
          <w:sz w:val="24"/>
          <w:lang w:val="en-US"/>
        </w:rPr>
        <w:t>Electronics Meeting</w:t>
      </w:r>
      <w:r w:rsidR="00FB6EEF" w:rsidRPr="003C4E93">
        <w:rPr>
          <w:rFonts w:ascii="Arial" w:hAnsi="Arial" w:cs="Arial"/>
          <w:b/>
          <w:sz w:val="24"/>
          <w:lang w:val="en-US"/>
        </w:rPr>
        <w:t xml:space="preserve">, </w:t>
      </w:r>
      <w:r w:rsidR="00B5439C">
        <w:rPr>
          <w:rFonts w:ascii="Arial" w:hAnsi="Arial" w:cs="Arial"/>
          <w:b/>
          <w:sz w:val="24"/>
          <w:lang w:val="en-US"/>
        </w:rPr>
        <w:t>10</w:t>
      </w:r>
      <w:r w:rsidR="00FB6EEF" w:rsidRPr="00AB66DB">
        <w:rPr>
          <w:rFonts w:ascii="Arial" w:hAnsi="Arial" w:cs="Arial"/>
          <w:b/>
          <w:sz w:val="24"/>
          <w:lang w:val="en-US"/>
        </w:rPr>
        <w:t xml:space="preserve"> –</w:t>
      </w:r>
      <w:r w:rsidR="00FB6EEF">
        <w:rPr>
          <w:rFonts w:ascii="Arial" w:hAnsi="Arial" w:cs="Arial"/>
          <w:b/>
          <w:sz w:val="24"/>
          <w:lang w:val="en-US"/>
        </w:rPr>
        <w:t xml:space="preserve"> </w:t>
      </w:r>
      <w:r w:rsidR="00B5439C">
        <w:rPr>
          <w:rFonts w:ascii="Arial" w:hAnsi="Arial" w:cs="Arial"/>
          <w:b/>
          <w:sz w:val="24"/>
          <w:lang w:val="en-US"/>
        </w:rPr>
        <w:t>19</w:t>
      </w:r>
      <w:r w:rsidR="00FB6EEF">
        <w:rPr>
          <w:rFonts w:ascii="Arial" w:hAnsi="Arial" w:cs="Arial"/>
          <w:b/>
          <w:sz w:val="24"/>
          <w:lang w:val="en-US"/>
        </w:rPr>
        <w:t xml:space="preserve"> </w:t>
      </w:r>
      <w:r w:rsidR="00B5439C">
        <w:rPr>
          <w:rFonts w:ascii="Arial" w:hAnsi="Arial" w:cs="Arial"/>
          <w:b/>
          <w:sz w:val="24"/>
          <w:lang w:val="en-US"/>
        </w:rPr>
        <w:t>October</w:t>
      </w:r>
      <w:r w:rsidR="00FB6EEF" w:rsidRPr="00AB66DB">
        <w:rPr>
          <w:rFonts w:ascii="Arial" w:hAnsi="Arial" w:cs="Arial"/>
          <w:b/>
          <w:sz w:val="24"/>
          <w:lang w:val="en-US"/>
        </w:rPr>
        <w:t>,</w:t>
      </w:r>
      <w:r w:rsidR="00FB6EEF" w:rsidRPr="003C4E93">
        <w:rPr>
          <w:rFonts w:ascii="Arial" w:hAnsi="Arial" w:cs="Arial"/>
          <w:b/>
          <w:sz w:val="24"/>
          <w:lang w:val="en-US"/>
        </w:rPr>
        <w:t xml:space="preserve"> 202</w:t>
      </w:r>
      <w:r w:rsidR="00FB6EEF">
        <w:rPr>
          <w:rFonts w:ascii="Arial" w:hAnsi="Arial" w:cs="Arial"/>
          <w:b/>
          <w:sz w:val="24"/>
          <w:lang w:val="en-US"/>
        </w:rPr>
        <w:t>2</w:t>
      </w:r>
    </w:p>
    <w:p w14:paraId="1A07BA4F" w14:textId="77777777" w:rsidR="00E954EC" w:rsidRPr="00C511C0" w:rsidRDefault="00E954EC" w:rsidP="00E954EC">
      <w:pPr>
        <w:ind w:left="1988" w:hanging="1988"/>
        <w:rPr>
          <w:rFonts w:ascii="Arial" w:hAnsi="Arial" w:cs="Arial"/>
          <w:b/>
          <w:sz w:val="24"/>
          <w:lang w:val="en-US"/>
        </w:rPr>
      </w:pPr>
    </w:p>
    <w:p w14:paraId="35831B47" w14:textId="4174B5F2" w:rsidR="00E954EC" w:rsidRPr="00C511C0" w:rsidRDefault="00E954EC" w:rsidP="00AA1F04">
      <w:pPr>
        <w:spacing w:after="60"/>
        <w:ind w:left="1988" w:hanging="1988"/>
        <w:rPr>
          <w:rFonts w:ascii="Arial" w:hAnsi="Arial" w:cs="Arial"/>
          <w:b/>
          <w:sz w:val="24"/>
          <w:lang w:val="en-US"/>
        </w:rPr>
      </w:pPr>
      <w:bookmarkStart w:id="0" w:name="_Hlk37692703"/>
      <w:r w:rsidRPr="00C511C0">
        <w:rPr>
          <w:rFonts w:ascii="Arial" w:hAnsi="Arial" w:cs="Arial"/>
          <w:b/>
          <w:sz w:val="24"/>
          <w:lang w:val="en-US"/>
        </w:rPr>
        <w:t>Source:</w:t>
      </w:r>
      <w:r w:rsidRPr="00C511C0">
        <w:rPr>
          <w:rFonts w:ascii="Arial" w:hAnsi="Arial" w:cs="Arial"/>
          <w:b/>
          <w:sz w:val="24"/>
          <w:lang w:val="en-US"/>
        </w:rPr>
        <w:tab/>
      </w:r>
      <w:r w:rsidR="006364DB">
        <w:rPr>
          <w:rFonts w:ascii="Arial" w:hAnsi="Arial" w:cs="Arial"/>
          <w:b/>
          <w:sz w:val="24"/>
          <w:lang w:val="en-US"/>
        </w:rPr>
        <w:t>Moderator (</w:t>
      </w:r>
      <w:r w:rsidR="00B871BC">
        <w:rPr>
          <w:rFonts w:ascii="Arial" w:hAnsi="Arial" w:cs="Arial"/>
          <w:b/>
          <w:sz w:val="24"/>
          <w:lang w:val="en-US"/>
        </w:rPr>
        <w:t>OPPO</w:t>
      </w:r>
      <w:r w:rsidR="006364DB">
        <w:rPr>
          <w:rFonts w:ascii="Arial" w:hAnsi="Arial" w:cs="Arial"/>
          <w:b/>
          <w:sz w:val="24"/>
          <w:lang w:val="en-US"/>
        </w:rPr>
        <w:t>)</w:t>
      </w:r>
    </w:p>
    <w:p w14:paraId="01BA3D93" w14:textId="45B5FA9D" w:rsidR="00E954EC" w:rsidRPr="009A5BA4" w:rsidRDefault="00E954EC" w:rsidP="00AA1F04">
      <w:pPr>
        <w:spacing w:after="60"/>
        <w:ind w:left="1988" w:hanging="1988"/>
        <w:rPr>
          <w:rFonts w:ascii="Arial" w:hAnsi="Arial" w:cs="Arial"/>
          <w:b/>
          <w:color w:val="000000" w:themeColor="text1"/>
          <w:sz w:val="24"/>
          <w:lang w:val="en-US"/>
        </w:rPr>
      </w:pPr>
      <w:r w:rsidRPr="00C511C0">
        <w:rPr>
          <w:rFonts w:ascii="Arial" w:hAnsi="Arial" w:cs="Arial"/>
          <w:b/>
          <w:sz w:val="24"/>
          <w:lang w:val="en-US"/>
        </w:rPr>
        <w:t>Title:</w:t>
      </w:r>
      <w:r w:rsidRPr="00C511C0">
        <w:rPr>
          <w:rFonts w:ascii="Arial" w:hAnsi="Arial" w:cs="Arial"/>
          <w:b/>
          <w:sz w:val="24"/>
          <w:lang w:val="en-US"/>
        </w:rPr>
        <w:tab/>
      </w:r>
      <w:r w:rsidR="00BD1F75" w:rsidRPr="00BD1F75">
        <w:rPr>
          <w:rFonts w:ascii="Arial" w:hAnsi="Arial" w:cs="Arial"/>
          <w:b/>
          <w:sz w:val="24"/>
          <w:lang w:val="en-US"/>
        </w:rPr>
        <w:t>FL summary #</w:t>
      </w:r>
      <w:r w:rsidR="00A95DBE">
        <w:rPr>
          <w:rFonts w:ascii="Arial" w:hAnsi="Arial" w:cs="Arial"/>
          <w:b/>
          <w:sz w:val="24"/>
          <w:lang w:val="en-US"/>
        </w:rPr>
        <w:t>3</w:t>
      </w:r>
      <w:r w:rsidR="00BD1F75" w:rsidRPr="00BD1F75">
        <w:rPr>
          <w:rFonts w:ascii="Arial" w:hAnsi="Arial" w:cs="Arial"/>
          <w:b/>
          <w:sz w:val="24"/>
          <w:lang w:val="en-US"/>
        </w:rPr>
        <w:t xml:space="preserve"> for AI 9.4.1.1: SL-U channel access mechanism</w:t>
      </w:r>
    </w:p>
    <w:p w14:paraId="60D8EE84" w14:textId="2ADAC44D" w:rsidR="00E954EC" w:rsidRPr="00C511C0" w:rsidRDefault="00E954EC" w:rsidP="00AA1F04">
      <w:pPr>
        <w:spacing w:after="60"/>
        <w:ind w:left="1988" w:hanging="1988"/>
        <w:rPr>
          <w:rFonts w:ascii="Arial" w:hAnsi="Arial" w:cs="Arial"/>
          <w:b/>
          <w:sz w:val="24"/>
          <w:lang w:val="en-US"/>
        </w:rPr>
      </w:pPr>
      <w:r w:rsidRPr="00C511C0">
        <w:rPr>
          <w:rFonts w:ascii="Arial" w:hAnsi="Arial" w:cs="Arial"/>
          <w:b/>
          <w:sz w:val="24"/>
          <w:lang w:val="en-US"/>
        </w:rPr>
        <w:t>Agenda item:</w:t>
      </w:r>
      <w:r w:rsidRPr="00C511C0">
        <w:rPr>
          <w:rFonts w:ascii="Arial" w:hAnsi="Arial" w:cs="Arial"/>
          <w:b/>
          <w:sz w:val="24"/>
          <w:lang w:val="en-US"/>
        </w:rPr>
        <w:tab/>
      </w:r>
      <w:r w:rsidR="004219B9">
        <w:rPr>
          <w:rFonts w:ascii="Arial" w:hAnsi="Arial" w:cs="Arial"/>
          <w:b/>
          <w:sz w:val="24"/>
          <w:lang w:val="en-US"/>
        </w:rPr>
        <w:t>9.4</w:t>
      </w:r>
      <w:r w:rsidR="00243C9A">
        <w:rPr>
          <w:rFonts w:ascii="Arial" w:hAnsi="Arial" w:cs="Arial"/>
          <w:b/>
          <w:sz w:val="24"/>
          <w:lang w:val="en-US"/>
        </w:rPr>
        <w:t>.</w:t>
      </w:r>
      <w:r w:rsidR="00DB5C28">
        <w:rPr>
          <w:rFonts w:ascii="Arial" w:hAnsi="Arial" w:cs="Arial"/>
          <w:b/>
          <w:sz w:val="24"/>
          <w:lang w:val="en-US"/>
        </w:rPr>
        <w:t>1</w:t>
      </w:r>
      <w:r w:rsidR="00243C9A">
        <w:rPr>
          <w:rFonts w:ascii="Arial" w:hAnsi="Arial" w:cs="Arial"/>
          <w:b/>
          <w:sz w:val="24"/>
          <w:lang w:val="en-US"/>
        </w:rPr>
        <w:t>.1</w:t>
      </w:r>
    </w:p>
    <w:bookmarkEnd w:id="0"/>
    <w:p w14:paraId="7D432E0B" w14:textId="1C131689" w:rsidR="00E954EC" w:rsidRPr="00C511C0" w:rsidRDefault="00E954EC" w:rsidP="00E954EC">
      <w:pPr>
        <w:ind w:left="1988" w:hanging="1988"/>
        <w:rPr>
          <w:rFonts w:ascii="Arial" w:hAnsi="Arial" w:cs="Arial"/>
          <w:b/>
          <w:sz w:val="24"/>
          <w:lang w:val="en-US"/>
        </w:rPr>
      </w:pPr>
      <w:r w:rsidRPr="00C511C0">
        <w:rPr>
          <w:rFonts w:ascii="Arial" w:hAnsi="Arial" w:cs="Arial"/>
          <w:b/>
          <w:sz w:val="24"/>
          <w:lang w:val="en-US"/>
        </w:rPr>
        <w:t>Document for:</w:t>
      </w:r>
      <w:bookmarkStart w:id="1" w:name="DocumentFor"/>
      <w:bookmarkEnd w:id="1"/>
      <w:r w:rsidRPr="00C511C0">
        <w:rPr>
          <w:rFonts w:ascii="Arial" w:hAnsi="Arial" w:cs="Arial"/>
          <w:b/>
          <w:sz w:val="24"/>
          <w:lang w:val="en-US"/>
        </w:rPr>
        <w:tab/>
        <w:t>Discussion and Decision</w:t>
      </w:r>
    </w:p>
    <w:p w14:paraId="154A6904" w14:textId="77777777" w:rsidR="00E954EC" w:rsidRPr="00C511C0" w:rsidRDefault="00E954EC" w:rsidP="0067593D">
      <w:pPr>
        <w:pStyle w:val="3GPPH1"/>
        <w:rPr>
          <w:lang w:val="en-US"/>
        </w:rPr>
      </w:pPr>
      <w:r w:rsidRPr="0067593D">
        <w:t>Introduction</w:t>
      </w:r>
    </w:p>
    <w:p w14:paraId="1892D13B" w14:textId="3EFC57BE" w:rsidR="00243C9A" w:rsidRPr="00131C73" w:rsidRDefault="00B83E5D" w:rsidP="00A7066B">
      <w:pPr>
        <w:spacing w:before="120" w:after="120"/>
        <w:jc w:val="both"/>
        <w:rPr>
          <w:rFonts w:asciiTheme="minorHAnsi" w:hAnsiTheme="minorHAnsi" w:cstheme="minorHAnsi"/>
          <w:color w:val="000000" w:themeColor="text1"/>
          <w:sz w:val="22"/>
          <w:szCs w:val="28"/>
          <w:lang w:val="en-US"/>
        </w:rPr>
      </w:pPr>
      <w:r w:rsidRPr="00131C73">
        <w:rPr>
          <w:rFonts w:asciiTheme="minorHAnsi" w:hAnsiTheme="minorHAnsi" w:cstheme="minorHAnsi"/>
          <w:color w:val="000000" w:themeColor="text1"/>
          <w:sz w:val="22"/>
          <w:szCs w:val="28"/>
          <w:lang w:val="en-US"/>
        </w:rPr>
        <w:t xml:space="preserve">In </w:t>
      </w:r>
      <w:r w:rsidR="00243C9A" w:rsidRPr="00131C73">
        <w:rPr>
          <w:rFonts w:asciiTheme="minorHAnsi" w:hAnsiTheme="minorHAnsi" w:cstheme="minorHAnsi"/>
          <w:color w:val="000000" w:themeColor="text1"/>
          <w:sz w:val="22"/>
          <w:szCs w:val="28"/>
          <w:lang w:val="en-US"/>
        </w:rPr>
        <w:t>the la</w:t>
      </w:r>
      <w:r w:rsidR="002024C4">
        <w:rPr>
          <w:rFonts w:asciiTheme="minorHAnsi" w:hAnsiTheme="minorHAnsi" w:cstheme="minorHAnsi"/>
          <w:color w:val="000000" w:themeColor="text1"/>
          <w:sz w:val="22"/>
          <w:szCs w:val="28"/>
          <w:lang w:val="en-US"/>
        </w:rPr>
        <w:t>s</w:t>
      </w:r>
      <w:r w:rsidR="00243C9A" w:rsidRPr="00131C73">
        <w:rPr>
          <w:rFonts w:asciiTheme="minorHAnsi" w:hAnsiTheme="minorHAnsi" w:cstheme="minorHAnsi"/>
          <w:color w:val="000000" w:themeColor="text1"/>
          <w:sz w:val="22"/>
          <w:szCs w:val="28"/>
          <w:lang w:val="en-US"/>
        </w:rPr>
        <w:t>t</w:t>
      </w:r>
      <w:r w:rsidR="002024C4">
        <w:rPr>
          <w:rFonts w:asciiTheme="minorHAnsi" w:hAnsiTheme="minorHAnsi" w:cstheme="minorHAnsi"/>
          <w:color w:val="000000" w:themeColor="text1"/>
          <w:sz w:val="22"/>
          <w:szCs w:val="28"/>
          <w:lang w:val="en-US"/>
        </w:rPr>
        <w:t xml:space="preserve"> RAN#9</w:t>
      </w:r>
      <w:r w:rsidR="00282E2D">
        <w:rPr>
          <w:rFonts w:asciiTheme="minorHAnsi" w:hAnsiTheme="minorHAnsi" w:cstheme="minorHAnsi"/>
          <w:color w:val="000000" w:themeColor="text1"/>
          <w:sz w:val="22"/>
          <w:szCs w:val="28"/>
          <w:lang w:val="en-US"/>
        </w:rPr>
        <w:t>7-e</w:t>
      </w:r>
      <w:r w:rsidR="002024C4">
        <w:rPr>
          <w:rFonts w:asciiTheme="minorHAnsi" w:hAnsiTheme="minorHAnsi" w:cstheme="minorHAnsi"/>
          <w:color w:val="000000" w:themeColor="text1"/>
          <w:sz w:val="22"/>
          <w:szCs w:val="28"/>
          <w:lang w:val="en-US"/>
        </w:rPr>
        <w:t xml:space="preserve"> meeting, </w:t>
      </w:r>
      <w:r w:rsidR="002024C4">
        <w:rPr>
          <w:rFonts w:asciiTheme="minorHAnsi" w:hAnsiTheme="minorHAnsi" w:cstheme="minorHAnsi"/>
          <w:sz w:val="22"/>
          <w:szCs w:val="28"/>
          <w:lang w:val="en-US"/>
        </w:rPr>
        <w:t>the</w:t>
      </w:r>
      <w:r w:rsidR="00187F74">
        <w:rPr>
          <w:rFonts w:asciiTheme="minorHAnsi" w:hAnsiTheme="minorHAnsi" w:cstheme="minorHAnsi"/>
          <w:sz w:val="22"/>
          <w:szCs w:val="28"/>
          <w:lang w:val="en-US"/>
        </w:rPr>
        <w:t xml:space="preserve"> revised</w:t>
      </w:r>
      <w:r w:rsidR="00A75FA2" w:rsidRPr="005E2406">
        <w:rPr>
          <w:rFonts w:asciiTheme="minorHAnsi" w:hAnsiTheme="minorHAnsi" w:cstheme="minorHAnsi"/>
          <w:sz w:val="22"/>
          <w:szCs w:val="28"/>
          <w:lang w:val="en-US"/>
        </w:rPr>
        <w:t xml:space="preserve"> </w:t>
      </w:r>
      <w:r w:rsidR="00187F74">
        <w:rPr>
          <w:rFonts w:asciiTheme="minorHAnsi" w:hAnsiTheme="minorHAnsi" w:cstheme="minorHAnsi"/>
          <w:sz w:val="22"/>
          <w:szCs w:val="28"/>
          <w:lang w:val="en-US"/>
        </w:rPr>
        <w:t xml:space="preserve">WID </w:t>
      </w:r>
      <w:r w:rsidR="00243C9A" w:rsidRPr="005E2406">
        <w:rPr>
          <w:rFonts w:asciiTheme="minorHAnsi" w:hAnsiTheme="minorHAnsi" w:cstheme="minorHAnsi"/>
          <w:sz w:val="22"/>
          <w:szCs w:val="28"/>
          <w:lang w:val="en-US"/>
        </w:rPr>
        <w:t xml:space="preserve">for </w:t>
      </w:r>
      <w:r w:rsidR="002024C4">
        <w:rPr>
          <w:rFonts w:asciiTheme="minorHAnsi" w:hAnsiTheme="minorHAnsi" w:cstheme="minorHAnsi"/>
          <w:sz w:val="22"/>
          <w:szCs w:val="28"/>
          <w:lang w:val="en-US"/>
        </w:rPr>
        <w:t xml:space="preserve">Rel-18 </w:t>
      </w:r>
      <w:r w:rsidR="00243C9A" w:rsidRPr="005E2406">
        <w:rPr>
          <w:rFonts w:asciiTheme="minorHAnsi" w:hAnsiTheme="minorHAnsi" w:cstheme="minorHAnsi"/>
          <w:sz w:val="22"/>
          <w:szCs w:val="28"/>
          <w:lang w:val="en-US"/>
        </w:rPr>
        <w:t xml:space="preserve">NR sidelink </w:t>
      </w:r>
      <w:r w:rsidR="00FB6EEF">
        <w:rPr>
          <w:rFonts w:asciiTheme="minorHAnsi" w:hAnsiTheme="minorHAnsi" w:cstheme="minorHAnsi"/>
          <w:sz w:val="22"/>
          <w:szCs w:val="28"/>
          <w:lang w:val="en-US"/>
        </w:rPr>
        <w:t>evolution</w:t>
      </w:r>
      <w:r w:rsidR="002024C4">
        <w:rPr>
          <w:rFonts w:asciiTheme="minorHAnsi" w:hAnsiTheme="minorHAnsi" w:cstheme="minorHAnsi"/>
          <w:sz w:val="22"/>
          <w:szCs w:val="28"/>
          <w:lang w:val="en-US"/>
        </w:rPr>
        <w:t xml:space="preserve"> </w:t>
      </w:r>
      <w:r w:rsidR="00F4434F">
        <w:rPr>
          <w:rFonts w:asciiTheme="minorHAnsi" w:hAnsiTheme="minorHAnsi" w:cstheme="minorHAnsi"/>
          <w:sz w:val="22"/>
          <w:szCs w:val="28"/>
          <w:lang w:val="en-US"/>
        </w:rPr>
        <w:t xml:space="preserve">project </w:t>
      </w:r>
      <w:r w:rsidR="002024C4">
        <w:rPr>
          <w:rFonts w:asciiTheme="minorHAnsi" w:hAnsiTheme="minorHAnsi" w:cstheme="minorHAnsi"/>
          <w:sz w:val="22"/>
          <w:szCs w:val="28"/>
          <w:lang w:val="en-US"/>
        </w:rPr>
        <w:t xml:space="preserve">was updated </w:t>
      </w:r>
      <w:r w:rsidR="00187F74">
        <w:rPr>
          <w:rFonts w:asciiTheme="minorHAnsi" w:hAnsiTheme="minorHAnsi" w:cstheme="minorHAnsi"/>
          <w:sz w:val="22"/>
          <w:szCs w:val="28"/>
          <w:lang w:val="en-US"/>
        </w:rPr>
        <w:t xml:space="preserve">in [1] </w:t>
      </w:r>
      <w:r w:rsidR="00F4434F">
        <w:rPr>
          <w:rFonts w:asciiTheme="minorHAnsi" w:hAnsiTheme="minorHAnsi" w:cstheme="minorHAnsi"/>
          <w:sz w:val="22"/>
          <w:szCs w:val="28"/>
          <w:lang w:val="en-US"/>
        </w:rPr>
        <w:t xml:space="preserve">but </w:t>
      </w:r>
      <w:r w:rsidR="00484FB0">
        <w:rPr>
          <w:rFonts w:asciiTheme="minorHAnsi" w:hAnsiTheme="minorHAnsi" w:cstheme="minorHAnsi"/>
          <w:sz w:val="22"/>
          <w:szCs w:val="28"/>
          <w:lang w:val="en-US"/>
        </w:rPr>
        <w:t xml:space="preserve">nothing </w:t>
      </w:r>
      <w:r w:rsidR="00F4434F">
        <w:rPr>
          <w:rFonts w:asciiTheme="minorHAnsi" w:hAnsiTheme="minorHAnsi" w:cstheme="minorHAnsi"/>
          <w:sz w:val="22"/>
          <w:szCs w:val="28"/>
          <w:lang w:val="en-US"/>
        </w:rPr>
        <w:t>was</w:t>
      </w:r>
      <w:r w:rsidR="00484FB0">
        <w:rPr>
          <w:rFonts w:asciiTheme="minorHAnsi" w:hAnsiTheme="minorHAnsi" w:cstheme="minorHAnsi"/>
          <w:sz w:val="22"/>
          <w:szCs w:val="28"/>
          <w:lang w:val="en-US"/>
        </w:rPr>
        <w:t xml:space="preserve"> changed</w:t>
      </w:r>
      <w:r w:rsidR="00326EE9">
        <w:rPr>
          <w:rFonts w:asciiTheme="minorHAnsi" w:hAnsiTheme="minorHAnsi" w:cstheme="minorHAnsi"/>
          <w:sz w:val="22"/>
          <w:szCs w:val="28"/>
          <w:lang w:val="en-US"/>
        </w:rPr>
        <w:t xml:space="preserve"> </w:t>
      </w:r>
      <w:r w:rsidR="00326EE9">
        <w:rPr>
          <w:rFonts w:asciiTheme="minorHAnsi" w:hAnsiTheme="minorHAnsi" w:cstheme="minorHAnsi"/>
          <w:color w:val="000000" w:themeColor="text1"/>
          <w:sz w:val="22"/>
          <w:szCs w:val="28"/>
          <w:lang w:val="en-US"/>
        </w:rPr>
        <w:t>for</w:t>
      </w:r>
      <w:r w:rsidR="002024C4">
        <w:rPr>
          <w:rFonts w:asciiTheme="minorHAnsi" w:hAnsiTheme="minorHAnsi" w:cstheme="minorHAnsi"/>
          <w:color w:val="000000" w:themeColor="text1"/>
          <w:sz w:val="22"/>
          <w:szCs w:val="28"/>
          <w:lang w:val="en-US"/>
        </w:rPr>
        <w:t xml:space="preserve"> </w:t>
      </w:r>
      <w:r w:rsidR="0027232B">
        <w:rPr>
          <w:rFonts w:asciiTheme="minorHAnsi" w:hAnsiTheme="minorHAnsi" w:cstheme="minorHAnsi"/>
          <w:color w:val="000000" w:themeColor="text1"/>
          <w:sz w:val="22"/>
          <w:szCs w:val="28"/>
          <w:lang w:val="en-US"/>
        </w:rPr>
        <w:t>the</w:t>
      </w:r>
      <w:r w:rsidR="008C20E4" w:rsidRPr="00131C73">
        <w:rPr>
          <w:rFonts w:asciiTheme="minorHAnsi" w:hAnsiTheme="minorHAnsi" w:cstheme="minorHAnsi"/>
          <w:color w:val="000000" w:themeColor="text1"/>
          <w:sz w:val="22"/>
          <w:szCs w:val="28"/>
          <w:lang w:val="en-US"/>
        </w:rPr>
        <w:t xml:space="preserve"> </w:t>
      </w:r>
      <w:r w:rsidR="00326EE9">
        <w:rPr>
          <w:rFonts w:asciiTheme="minorHAnsi" w:hAnsiTheme="minorHAnsi" w:cstheme="minorHAnsi"/>
          <w:color w:val="000000" w:themeColor="text1"/>
          <w:sz w:val="22"/>
          <w:szCs w:val="28"/>
          <w:lang w:val="en-US"/>
        </w:rPr>
        <w:t xml:space="preserve">SL-U </w:t>
      </w:r>
      <w:r w:rsidR="008C20E4" w:rsidRPr="00131C73">
        <w:rPr>
          <w:rFonts w:asciiTheme="minorHAnsi" w:hAnsiTheme="minorHAnsi" w:cstheme="minorHAnsi"/>
          <w:color w:val="000000" w:themeColor="text1"/>
          <w:sz w:val="22"/>
          <w:szCs w:val="28"/>
          <w:lang w:val="en-US"/>
        </w:rPr>
        <w:t>objective.</w:t>
      </w:r>
      <w:r w:rsidR="00484FB0">
        <w:rPr>
          <w:rFonts w:asciiTheme="minorHAnsi" w:hAnsiTheme="minorHAnsi" w:cstheme="minorHAnsi"/>
          <w:color w:val="000000" w:themeColor="text1"/>
          <w:sz w:val="22"/>
          <w:szCs w:val="28"/>
          <w:lang w:val="en-US"/>
        </w:rPr>
        <w:t xml:space="preserve"> The </w:t>
      </w:r>
      <w:r w:rsidR="00F4434F">
        <w:rPr>
          <w:rFonts w:asciiTheme="minorHAnsi" w:hAnsiTheme="minorHAnsi" w:cstheme="minorHAnsi"/>
          <w:color w:val="000000" w:themeColor="text1"/>
          <w:sz w:val="22"/>
          <w:szCs w:val="28"/>
          <w:lang w:val="en-US"/>
        </w:rPr>
        <w:t>latest</w:t>
      </w:r>
      <w:r w:rsidR="00484FB0">
        <w:rPr>
          <w:rFonts w:asciiTheme="minorHAnsi" w:hAnsiTheme="minorHAnsi" w:cstheme="minorHAnsi"/>
          <w:color w:val="000000" w:themeColor="text1"/>
          <w:sz w:val="22"/>
          <w:szCs w:val="28"/>
          <w:lang w:val="en-US"/>
        </w:rPr>
        <w:t xml:space="preserve"> objective </w:t>
      </w:r>
      <w:r w:rsidR="00F4434F">
        <w:rPr>
          <w:rFonts w:asciiTheme="minorHAnsi" w:hAnsiTheme="minorHAnsi" w:cstheme="minorHAnsi"/>
          <w:color w:val="000000" w:themeColor="text1"/>
          <w:sz w:val="22"/>
          <w:szCs w:val="28"/>
          <w:lang w:val="en-US"/>
        </w:rPr>
        <w:t xml:space="preserve">for SL-U </w:t>
      </w:r>
      <w:r w:rsidR="00484FB0">
        <w:rPr>
          <w:rFonts w:asciiTheme="minorHAnsi" w:hAnsiTheme="minorHAnsi" w:cstheme="minorHAnsi"/>
          <w:color w:val="000000" w:themeColor="text1"/>
          <w:sz w:val="22"/>
          <w:szCs w:val="28"/>
          <w:lang w:val="en-US"/>
        </w:rPr>
        <w:t>is provided in the following for convenience.</w:t>
      </w:r>
    </w:p>
    <w:tbl>
      <w:tblPr>
        <w:tblStyle w:val="TableGrid"/>
        <w:tblW w:w="0" w:type="auto"/>
        <w:tblLook w:val="04A0" w:firstRow="1" w:lastRow="0" w:firstColumn="1" w:lastColumn="0" w:noHBand="0" w:noVBand="1"/>
      </w:tblPr>
      <w:tblGrid>
        <w:gridCol w:w="9631"/>
      </w:tblGrid>
      <w:tr w:rsidR="00243C9A" w:rsidRPr="00131C73" w14:paraId="250CCB30" w14:textId="77777777" w:rsidTr="00243C9A">
        <w:tc>
          <w:tcPr>
            <w:tcW w:w="9631" w:type="dxa"/>
          </w:tcPr>
          <w:p w14:paraId="5FCF5C25" w14:textId="44B04AF0" w:rsidR="00FB6EEF" w:rsidRDefault="00FB6EEF">
            <w:pPr>
              <w:numPr>
                <w:ilvl w:val="0"/>
                <w:numId w:val="17"/>
              </w:numPr>
              <w:overflowPunct w:val="0"/>
              <w:autoSpaceDE w:val="0"/>
              <w:autoSpaceDN w:val="0"/>
              <w:adjustRightInd w:val="0"/>
              <w:spacing w:before="120"/>
              <w:ind w:left="447"/>
              <w:textAlignment w:val="baseline"/>
              <w:rPr>
                <w:rFonts w:cs="Times"/>
              </w:rPr>
            </w:pPr>
            <w:r w:rsidRPr="00420B53">
              <w:rPr>
                <w:rFonts w:cs="Times"/>
              </w:rPr>
              <w:t xml:space="preserve">Study </w:t>
            </w:r>
            <w:r>
              <w:rPr>
                <w:rFonts w:cs="Times"/>
              </w:rPr>
              <w:t>and specify</w:t>
            </w:r>
            <w:r w:rsidRPr="00420B53">
              <w:rPr>
                <w:rFonts w:cs="Times"/>
              </w:rPr>
              <w:t xml:space="preserve"> support of sidelink on unlicensed spectrum for both mode 1 and mode 2 where Uu operation for mode 1 is limited to licensed spectrum only [RAN1, RAN2, RAN4]</w:t>
            </w:r>
          </w:p>
          <w:p w14:paraId="310EEF54" w14:textId="77777777" w:rsidR="00FB6EEF" w:rsidRPr="00326EE9" w:rsidRDefault="00FB6EEF">
            <w:pPr>
              <w:numPr>
                <w:ilvl w:val="0"/>
                <w:numId w:val="16"/>
              </w:numPr>
              <w:overflowPunct w:val="0"/>
              <w:autoSpaceDE w:val="0"/>
              <w:autoSpaceDN w:val="0"/>
              <w:adjustRightInd w:val="0"/>
              <w:spacing w:before="60" w:after="60"/>
              <w:ind w:left="993" w:hanging="284"/>
              <w:textAlignment w:val="baseline"/>
              <w:rPr>
                <w:rFonts w:cs="Times"/>
                <w:color w:val="0070C0"/>
                <w:lang w:eastAsia="ko-KR"/>
              </w:rPr>
            </w:pPr>
            <w:r w:rsidRPr="00326EE9">
              <w:rPr>
                <w:rFonts w:cs="Times"/>
                <w:color w:val="0070C0"/>
                <w:lang w:eastAsia="ko-KR"/>
              </w:rPr>
              <w:t>Channel access mechanisms from NR-U shall be reused for sidelink unlicensed operation</w:t>
            </w:r>
          </w:p>
          <w:p w14:paraId="250034F8" w14:textId="77777777" w:rsidR="00FB6EEF" w:rsidRPr="00326EE9" w:rsidRDefault="00FB6EEF">
            <w:pPr>
              <w:numPr>
                <w:ilvl w:val="1"/>
                <w:numId w:val="16"/>
              </w:numPr>
              <w:overflowPunct w:val="0"/>
              <w:autoSpaceDE w:val="0"/>
              <w:autoSpaceDN w:val="0"/>
              <w:adjustRightInd w:val="0"/>
              <w:spacing w:before="60" w:after="60"/>
              <w:ind w:left="1418" w:hanging="284"/>
              <w:textAlignment w:val="baseline"/>
              <w:rPr>
                <w:rFonts w:cs="Times"/>
                <w:color w:val="0070C0"/>
                <w:lang w:eastAsia="ko-KR"/>
              </w:rPr>
            </w:pPr>
            <w:bookmarkStart w:id="2" w:name="_Hlk89917081"/>
            <w:r w:rsidRPr="00326EE9">
              <w:rPr>
                <w:rFonts w:cs="Times"/>
                <w:color w:val="0070C0"/>
                <w:lang w:eastAsia="ko-KR"/>
              </w:rPr>
              <w:t>Assess the applicability of sidelink resource reservation from Rel-16/Rel-17 to sidelink unlicensed operation within the boundaries of unlicensed channel access mechanism and operation</w:t>
            </w:r>
          </w:p>
          <w:p w14:paraId="13FCE490" w14:textId="77777777" w:rsidR="00FB6EEF" w:rsidRPr="00326EE9" w:rsidRDefault="00FB6EEF">
            <w:pPr>
              <w:numPr>
                <w:ilvl w:val="2"/>
                <w:numId w:val="16"/>
              </w:numPr>
              <w:overflowPunct w:val="0"/>
              <w:autoSpaceDE w:val="0"/>
              <w:autoSpaceDN w:val="0"/>
              <w:adjustRightInd w:val="0"/>
              <w:spacing w:before="60" w:after="60"/>
              <w:textAlignment w:val="baseline"/>
              <w:rPr>
                <w:rFonts w:cs="Times"/>
                <w:color w:val="0070C0"/>
                <w:lang w:eastAsia="ko-KR"/>
              </w:rPr>
            </w:pPr>
            <w:r w:rsidRPr="00326EE9">
              <w:rPr>
                <w:rFonts w:cs="Times"/>
                <w:color w:val="0070C0"/>
                <w:lang w:eastAsia="ko-KR"/>
              </w:rPr>
              <w:t>No specific enhancements for Rel-17 resource allocation mechanisms</w:t>
            </w:r>
            <w:bookmarkEnd w:id="2"/>
          </w:p>
          <w:p w14:paraId="67D93350" w14:textId="77777777" w:rsidR="00FB6EEF" w:rsidRPr="00326EE9" w:rsidRDefault="00FB6EEF">
            <w:pPr>
              <w:numPr>
                <w:ilvl w:val="2"/>
                <w:numId w:val="16"/>
              </w:numPr>
              <w:overflowPunct w:val="0"/>
              <w:autoSpaceDE w:val="0"/>
              <w:autoSpaceDN w:val="0"/>
              <w:adjustRightInd w:val="0"/>
              <w:spacing w:before="60" w:after="60"/>
              <w:textAlignment w:val="baseline"/>
              <w:rPr>
                <w:rFonts w:cs="Times"/>
                <w:color w:val="0070C0"/>
                <w:lang w:eastAsia="ko-KR"/>
              </w:rPr>
            </w:pPr>
            <w:r w:rsidRPr="00326EE9">
              <w:rPr>
                <w:rFonts w:cs="Times"/>
                <w:color w:val="0070C0"/>
                <w:lang w:eastAsia="ko-KR"/>
              </w:rPr>
              <w:t>If the existing NR-U channel access framework does not support the required SL-U functionality, WGs will make appropriate recommendations for RAN approval.</w:t>
            </w:r>
          </w:p>
          <w:p w14:paraId="12927D73" w14:textId="77777777" w:rsidR="00FB6EEF" w:rsidRPr="00B248A5" w:rsidRDefault="00FB6EEF">
            <w:pPr>
              <w:numPr>
                <w:ilvl w:val="0"/>
                <w:numId w:val="16"/>
              </w:numPr>
              <w:overflowPunct w:val="0"/>
              <w:autoSpaceDE w:val="0"/>
              <w:autoSpaceDN w:val="0"/>
              <w:adjustRightInd w:val="0"/>
              <w:spacing w:before="60" w:after="60"/>
              <w:ind w:left="993" w:hanging="284"/>
              <w:textAlignment w:val="baseline"/>
              <w:rPr>
                <w:rFonts w:cs="Times"/>
                <w:lang w:eastAsia="ko-KR"/>
              </w:rPr>
            </w:pPr>
            <w:bookmarkStart w:id="3" w:name="_Hlk89917101"/>
            <w:r w:rsidRPr="00B248A5">
              <w:rPr>
                <w:rFonts w:cs="Times"/>
                <w:lang w:eastAsia="ko-KR"/>
              </w:rPr>
              <w:t>Physical channel design framework: Required changes to NR sidelink physical channel structures and procedures to operate on unlicensed spectrum</w:t>
            </w:r>
            <w:bookmarkEnd w:id="3"/>
          </w:p>
          <w:p w14:paraId="18E36225" w14:textId="77777777" w:rsidR="00FB6EEF" w:rsidRPr="00B248A5" w:rsidRDefault="00FB6EEF">
            <w:pPr>
              <w:numPr>
                <w:ilvl w:val="1"/>
                <w:numId w:val="16"/>
              </w:numPr>
              <w:overflowPunct w:val="0"/>
              <w:autoSpaceDE w:val="0"/>
              <w:autoSpaceDN w:val="0"/>
              <w:adjustRightInd w:val="0"/>
              <w:spacing w:before="60" w:after="60"/>
              <w:ind w:left="1418" w:hanging="284"/>
              <w:textAlignment w:val="baseline"/>
              <w:rPr>
                <w:rFonts w:cs="Times"/>
                <w:lang w:eastAsia="ko-KR"/>
              </w:rPr>
            </w:pPr>
            <w:bookmarkStart w:id="4" w:name="_Hlk89917118"/>
            <w:r w:rsidRPr="00B248A5">
              <w:rPr>
                <w:rFonts w:cs="Times"/>
                <w:lang w:eastAsia="ko-KR"/>
              </w:rPr>
              <w:t xml:space="preserve">The existing NR sidelink and NR-U channel structure shall be reused </w:t>
            </w:r>
            <w:bookmarkEnd w:id="4"/>
            <w:r w:rsidRPr="00B248A5">
              <w:rPr>
                <w:rFonts w:cs="Times"/>
                <w:lang w:eastAsia="ko-KR"/>
              </w:rPr>
              <w:t>as the baseline.</w:t>
            </w:r>
          </w:p>
          <w:p w14:paraId="6638F636" w14:textId="77777777" w:rsidR="00FB6EEF" w:rsidRPr="00C76367" w:rsidRDefault="00FB6EEF">
            <w:pPr>
              <w:numPr>
                <w:ilvl w:val="0"/>
                <w:numId w:val="16"/>
              </w:numPr>
              <w:overflowPunct w:val="0"/>
              <w:autoSpaceDE w:val="0"/>
              <w:autoSpaceDN w:val="0"/>
              <w:adjustRightInd w:val="0"/>
              <w:spacing w:before="60" w:after="60"/>
              <w:ind w:left="993" w:hanging="284"/>
              <w:textAlignment w:val="baseline"/>
              <w:rPr>
                <w:rFonts w:cs="Times"/>
                <w:color w:val="000000" w:themeColor="text1"/>
                <w:lang w:eastAsia="ko-KR"/>
              </w:rPr>
            </w:pPr>
            <w:bookmarkStart w:id="5" w:name="_Hlk89917140"/>
            <w:r w:rsidRPr="00C76367">
              <w:rPr>
                <w:rFonts w:cs="Times"/>
                <w:color w:val="000000" w:themeColor="text1"/>
                <w:lang w:eastAsia="ko-KR"/>
              </w:rPr>
              <w:t>No specific enhancements for existing NR SL feature</w:t>
            </w:r>
            <w:bookmarkEnd w:id="5"/>
          </w:p>
          <w:p w14:paraId="226ABE12" w14:textId="77777777" w:rsidR="001C6F3D" w:rsidRPr="002024C4" w:rsidRDefault="00FB6EEF">
            <w:pPr>
              <w:numPr>
                <w:ilvl w:val="0"/>
                <w:numId w:val="16"/>
              </w:numPr>
              <w:overflowPunct w:val="0"/>
              <w:autoSpaceDE w:val="0"/>
              <w:autoSpaceDN w:val="0"/>
              <w:adjustRightInd w:val="0"/>
              <w:spacing w:before="60" w:after="60"/>
              <w:ind w:left="993" w:hanging="284"/>
              <w:textAlignment w:val="baseline"/>
              <w:rPr>
                <w:rFonts w:cs="Times"/>
                <w:lang w:eastAsia="ko-KR"/>
              </w:rPr>
            </w:pPr>
            <w:r w:rsidRPr="00C76367">
              <w:rPr>
                <w:rFonts w:cs="Times"/>
                <w:color w:val="000000" w:themeColor="text1"/>
                <w:lang w:eastAsia="ko-KR"/>
              </w:rPr>
              <w:t>The study should focus on FR1 unlicensed bands (n46 and n96/n102) and is to be completed by RAN#98</w:t>
            </w:r>
            <w:bookmarkStart w:id="6" w:name="_Hlk89917215"/>
            <w:r w:rsidRPr="00C76367">
              <w:rPr>
                <w:rFonts w:cs="Times"/>
                <w:color w:val="000000" w:themeColor="text1"/>
                <w:lang w:eastAsia="ko-KR"/>
              </w:rPr>
              <w:t>.</w:t>
            </w:r>
            <w:bookmarkEnd w:id="6"/>
          </w:p>
          <w:p w14:paraId="06EF4A94" w14:textId="558D34C4" w:rsidR="002024C4" w:rsidRPr="00FB6EEF" w:rsidRDefault="002024C4">
            <w:pPr>
              <w:numPr>
                <w:ilvl w:val="0"/>
                <w:numId w:val="16"/>
              </w:numPr>
              <w:overflowPunct w:val="0"/>
              <w:autoSpaceDE w:val="0"/>
              <w:autoSpaceDN w:val="0"/>
              <w:adjustRightInd w:val="0"/>
              <w:spacing w:before="60" w:after="60"/>
              <w:ind w:left="993" w:hanging="284"/>
              <w:textAlignment w:val="baseline"/>
              <w:rPr>
                <w:rFonts w:cs="Times"/>
                <w:lang w:eastAsia="ko-KR"/>
              </w:rPr>
            </w:pPr>
            <w:r w:rsidRPr="00484FB0">
              <w:rPr>
                <w:rFonts w:cs="Times"/>
                <w:color w:val="000000" w:themeColor="text1"/>
                <w:lang w:eastAsia="ko-KR"/>
              </w:rPr>
              <w:t>Note: In sidelink unlicensed operation, the gNB does not perform Type 1 channel access to initiate and share a channel occupancy, neither Type 2 channel access to share an initiated channel occupancy, nor semi-static channel access procedures to access an unlicensed channel.</w:t>
            </w:r>
          </w:p>
        </w:tc>
      </w:tr>
    </w:tbl>
    <w:p w14:paraId="696DFDAF" w14:textId="74692963" w:rsidR="00E22ED3" w:rsidRPr="00131C73" w:rsidRDefault="008C20E4" w:rsidP="00AA1F04">
      <w:pPr>
        <w:spacing w:before="120" w:after="240"/>
        <w:jc w:val="both"/>
        <w:rPr>
          <w:rFonts w:asciiTheme="minorHAnsi" w:hAnsiTheme="minorHAnsi" w:cstheme="minorHAnsi"/>
          <w:sz w:val="22"/>
          <w:szCs w:val="28"/>
          <w:lang w:val="en-US"/>
        </w:rPr>
      </w:pPr>
      <w:r w:rsidRPr="00131C73">
        <w:rPr>
          <w:rFonts w:asciiTheme="minorHAnsi" w:hAnsiTheme="minorHAnsi" w:cstheme="minorHAnsi"/>
          <w:sz w:val="22"/>
          <w:szCs w:val="28"/>
          <w:lang w:val="en-US"/>
        </w:rPr>
        <w:t>T</w:t>
      </w:r>
      <w:r w:rsidR="00E954EC" w:rsidRPr="00131C73">
        <w:rPr>
          <w:rFonts w:asciiTheme="minorHAnsi" w:hAnsiTheme="minorHAnsi" w:cstheme="minorHAnsi"/>
          <w:sz w:val="22"/>
          <w:szCs w:val="28"/>
          <w:lang w:val="en-US"/>
        </w:rPr>
        <w:t>his contribution</w:t>
      </w:r>
      <w:r w:rsidR="002220BB" w:rsidRPr="00131C73">
        <w:rPr>
          <w:rFonts w:asciiTheme="minorHAnsi" w:hAnsiTheme="minorHAnsi" w:cstheme="minorHAnsi"/>
          <w:sz w:val="22"/>
          <w:szCs w:val="28"/>
          <w:lang w:val="en-US"/>
        </w:rPr>
        <w:t xml:space="preserve"> provides </w:t>
      </w:r>
      <w:r w:rsidR="004D0C23" w:rsidRPr="00131C73">
        <w:rPr>
          <w:rFonts w:asciiTheme="minorHAnsi" w:hAnsiTheme="minorHAnsi" w:cstheme="minorHAnsi"/>
          <w:sz w:val="22"/>
          <w:szCs w:val="28"/>
          <w:lang w:val="en-US"/>
        </w:rPr>
        <w:t xml:space="preserve">a </w:t>
      </w:r>
      <w:r w:rsidR="00E954EC" w:rsidRPr="00131C73">
        <w:rPr>
          <w:rFonts w:asciiTheme="minorHAnsi" w:hAnsiTheme="minorHAnsi" w:cstheme="minorHAnsi"/>
          <w:sz w:val="22"/>
          <w:szCs w:val="28"/>
          <w:lang w:val="en-US"/>
        </w:rPr>
        <w:t xml:space="preserve">summary of </w:t>
      </w:r>
      <w:r w:rsidR="00B83E5D" w:rsidRPr="00131C73">
        <w:rPr>
          <w:rFonts w:asciiTheme="minorHAnsi" w:hAnsiTheme="minorHAnsi" w:cstheme="minorHAnsi"/>
          <w:sz w:val="22"/>
          <w:szCs w:val="28"/>
          <w:lang w:val="en-US"/>
        </w:rPr>
        <w:t>submitted contributions</w:t>
      </w:r>
      <w:r w:rsidR="00A70E1C" w:rsidRPr="00131C73">
        <w:rPr>
          <w:rFonts w:asciiTheme="minorHAnsi" w:hAnsiTheme="minorHAnsi" w:cstheme="minorHAnsi"/>
          <w:sz w:val="22"/>
          <w:szCs w:val="28"/>
          <w:lang w:val="en-US"/>
        </w:rPr>
        <w:t>,</w:t>
      </w:r>
      <w:r w:rsidR="00B83E5D" w:rsidRPr="00131C73">
        <w:rPr>
          <w:rFonts w:asciiTheme="minorHAnsi" w:hAnsiTheme="minorHAnsi" w:cstheme="minorHAnsi"/>
          <w:sz w:val="22"/>
          <w:szCs w:val="28"/>
          <w:lang w:val="en-US"/>
        </w:rPr>
        <w:t xml:space="preserve"> disc</w:t>
      </w:r>
      <w:r w:rsidR="00A70E1C" w:rsidRPr="00131C73">
        <w:rPr>
          <w:rFonts w:asciiTheme="minorHAnsi" w:hAnsiTheme="minorHAnsi" w:cstheme="minorHAnsi"/>
          <w:sz w:val="22"/>
          <w:szCs w:val="28"/>
          <w:lang w:val="en-US"/>
        </w:rPr>
        <w:t xml:space="preserve">ussion </w:t>
      </w:r>
      <w:r w:rsidR="003D075F" w:rsidRPr="00131C73">
        <w:rPr>
          <w:rFonts w:asciiTheme="minorHAnsi" w:hAnsiTheme="minorHAnsi" w:cstheme="minorHAnsi"/>
          <w:sz w:val="22"/>
          <w:szCs w:val="28"/>
          <w:lang w:val="en-US"/>
        </w:rPr>
        <w:t>topics</w:t>
      </w:r>
      <w:r w:rsidR="00A70E1C" w:rsidRPr="00131C73">
        <w:rPr>
          <w:rFonts w:asciiTheme="minorHAnsi" w:hAnsiTheme="minorHAnsi" w:cstheme="minorHAnsi"/>
          <w:sz w:val="22"/>
          <w:szCs w:val="28"/>
          <w:lang w:val="en-US"/>
        </w:rPr>
        <w:t xml:space="preserve"> and outcome</w:t>
      </w:r>
      <w:r w:rsidR="00AA1F04" w:rsidRPr="00131C73">
        <w:rPr>
          <w:rFonts w:asciiTheme="minorHAnsi" w:hAnsiTheme="minorHAnsi" w:cstheme="minorHAnsi"/>
          <w:sz w:val="22"/>
          <w:szCs w:val="28"/>
          <w:lang w:val="en-US"/>
        </w:rPr>
        <w:t xml:space="preserve">s </w:t>
      </w:r>
      <w:r w:rsidR="00C76367">
        <w:rPr>
          <w:rFonts w:asciiTheme="minorHAnsi" w:hAnsiTheme="minorHAnsi" w:cstheme="minorHAnsi"/>
          <w:sz w:val="22"/>
          <w:szCs w:val="28"/>
          <w:lang w:val="en-US"/>
        </w:rPr>
        <w:t xml:space="preserve">that are related to the channel access mechanisms for SL-U (blue text part of objective) </w:t>
      </w:r>
      <w:r w:rsidR="00A70E1C" w:rsidRPr="00131C73">
        <w:rPr>
          <w:rFonts w:asciiTheme="minorHAnsi" w:hAnsiTheme="minorHAnsi" w:cstheme="minorHAnsi"/>
          <w:sz w:val="22"/>
          <w:szCs w:val="28"/>
          <w:lang w:val="en-US"/>
        </w:rPr>
        <w:t xml:space="preserve">during </w:t>
      </w:r>
      <w:r w:rsidR="00FB6EEF">
        <w:rPr>
          <w:rFonts w:asciiTheme="minorHAnsi" w:hAnsiTheme="minorHAnsi" w:cstheme="minorHAnsi"/>
          <w:sz w:val="22"/>
          <w:szCs w:val="28"/>
          <w:lang w:val="en-US"/>
        </w:rPr>
        <w:t xml:space="preserve">this </w:t>
      </w:r>
      <w:r w:rsidR="00FA01EF">
        <w:rPr>
          <w:rFonts w:asciiTheme="minorHAnsi" w:hAnsiTheme="minorHAnsi" w:cstheme="minorHAnsi"/>
          <w:sz w:val="22"/>
          <w:szCs w:val="28"/>
          <w:lang w:val="en-US"/>
        </w:rPr>
        <w:t>RAN1</w:t>
      </w:r>
      <w:r w:rsidR="00A70E1C" w:rsidRPr="00131C73">
        <w:rPr>
          <w:rFonts w:asciiTheme="minorHAnsi" w:hAnsiTheme="minorHAnsi" w:cstheme="minorHAnsi"/>
          <w:sz w:val="22"/>
          <w:szCs w:val="28"/>
          <w:lang w:val="en-US"/>
        </w:rPr>
        <w:t xml:space="preserve"> meeting.</w:t>
      </w:r>
      <w:r w:rsidR="00720F96">
        <w:rPr>
          <w:rFonts w:asciiTheme="minorHAnsi" w:hAnsiTheme="minorHAnsi" w:cstheme="minorHAnsi"/>
          <w:sz w:val="22"/>
          <w:szCs w:val="28"/>
          <w:lang w:val="en-US"/>
        </w:rPr>
        <w:t xml:space="preserve"> Note that, all past outcomes including agreements, conclusions and working assumptions reached during this WI are captured in Section 5 (</w:t>
      </w:r>
      <w:r w:rsidR="00720F96" w:rsidRPr="00720F96">
        <w:rPr>
          <w:rFonts w:asciiTheme="minorHAnsi" w:hAnsiTheme="minorHAnsi" w:cstheme="minorHAnsi"/>
          <w:sz w:val="22"/>
          <w:szCs w:val="28"/>
          <w:lang w:val="en-US"/>
        </w:rPr>
        <w:t>Appendix</w:t>
      </w:r>
      <w:r w:rsidR="00720F96">
        <w:rPr>
          <w:rFonts w:asciiTheme="minorHAnsi" w:hAnsiTheme="minorHAnsi" w:cstheme="minorHAnsi"/>
          <w:sz w:val="22"/>
          <w:szCs w:val="28"/>
          <w:lang w:val="en-US"/>
        </w:rPr>
        <w:t>) of this document.</w:t>
      </w:r>
    </w:p>
    <w:p w14:paraId="2EAAAE79" w14:textId="65FC4E50" w:rsidR="00F1272C" w:rsidRDefault="00F1272C" w:rsidP="00F1272C">
      <w:pPr>
        <w:pStyle w:val="3GPPH1"/>
      </w:pPr>
      <w:r>
        <w:rPr>
          <w:color w:val="000000" w:themeColor="text1"/>
        </w:rPr>
        <w:t xml:space="preserve">Collection of </w:t>
      </w:r>
      <w:r w:rsidR="00FB6EEF">
        <w:rPr>
          <w:color w:val="000000" w:themeColor="text1"/>
        </w:rPr>
        <w:t xml:space="preserve">all </w:t>
      </w:r>
      <w:r>
        <w:rPr>
          <w:color w:val="000000" w:themeColor="text1"/>
        </w:rPr>
        <w:t xml:space="preserve">agreements / </w:t>
      </w:r>
      <w:r w:rsidR="00FB6EEF">
        <w:rPr>
          <w:color w:val="000000" w:themeColor="text1"/>
        </w:rPr>
        <w:t>outcomes</w:t>
      </w:r>
      <w:r>
        <w:rPr>
          <w:color w:val="000000" w:themeColor="text1"/>
        </w:rPr>
        <w:t xml:space="preserve"> </w:t>
      </w:r>
      <w:r w:rsidR="00FB6EEF">
        <w:rPr>
          <w:color w:val="000000" w:themeColor="text1"/>
        </w:rPr>
        <w:t>of</w:t>
      </w:r>
      <w:r>
        <w:rPr>
          <w:color w:val="000000" w:themeColor="text1"/>
        </w:rPr>
        <w:t xml:space="preserve"> </w:t>
      </w:r>
      <w:r w:rsidR="00A610AB">
        <w:rPr>
          <w:color w:val="000000" w:themeColor="text1"/>
        </w:rPr>
        <w:t>RAN1#1</w:t>
      </w:r>
      <w:r w:rsidR="004027E3">
        <w:rPr>
          <w:color w:val="000000" w:themeColor="text1"/>
        </w:rPr>
        <w:t>10</w:t>
      </w:r>
      <w:r w:rsidR="00282E2D">
        <w:rPr>
          <w:color w:val="000000" w:themeColor="text1"/>
        </w:rPr>
        <w:t>b-e</w:t>
      </w:r>
    </w:p>
    <w:p w14:paraId="7653CC45" w14:textId="126F697E" w:rsidR="00A05B19" w:rsidRPr="00635131" w:rsidRDefault="00635131" w:rsidP="00635131">
      <w:pPr>
        <w:pStyle w:val="3GPPNormalText"/>
        <w:spacing w:before="240"/>
        <w:rPr>
          <w:b/>
          <w:bCs/>
          <w:u w:val="single"/>
          <w:lang w:val="en-AU"/>
        </w:rPr>
      </w:pPr>
      <w:r w:rsidRPr="00635131">
        <w:rPr>
          <w:b/>
          <w:bCs/>
          <w:u w:val="single"/>
          <w:lang w:val="en-AU"/>
        </w:rPr>
        <w:t>Agreements made in Week 1 Thursday GTW</w:t>
      </w:r>
      <w:r>
        <w:rPr>
          <w:b/>
          <w:bCs/>
          <w:u w:val="single"/>
          <w:lang w:val="en-AU"/>
        </w:rPr>
        <w:t xml:space="preserve"> (13/Oct/2022)</w:t>
      </w:r>
    </w:p>
    <w:p w14:paraId="6D0C8857" w14:textId="77777777" w:rsidR="00635131" w:rsidRPr="00635131" w:rsidRDefault="00635131" w:rsidP="00635131">
      <w:pPr>
        <w:pStyle w:val="TdocHeader2"/>
        <w:rPr>
          <w:rFonts w:ascii="Times New Roman" w:hAnsi="Times New Roman"/>
          <w:bCs/>
          <w:sz w:val="20"/>
          <w:lang w:eastAsia="zh-CN"/>
        </w:rPr>
      </w:pPr>
      <w:r w:rsidRPr="00635131">
        <w:rPr>
          <w:rFonts w:ascii="Times New Roman" w:hAnsi="Times New Roman"/>
          <w:bCs/>
          <w:sz w:val="20"/>
          <w:highlight w:val="green"/>
          <w:lang w:eastAsia="zh-CN"/>
        </w:rPr>
        <w:t>Agreement</w:t>
      </w:r>
    </w:p>
    <w:p w14:paraId="14D773E9" w14:textId="77777777" w:rsidR="00635131" w:rsidRPr="00635131" w:rsidRDefault="00635131">
      <w:pPr>
        <w:pStyle w:val="ListParagraph"/>
        <w:numPr>
          <w:ilvl w:val="0"/>
          <w:numId w:val="55"/>
        </w:numPr>
        <w:autoSpaceDE w:val="0"/>
        <w:autoSpaceDN w:val="0"/>
        <w:adjustRightInd w:val="0"/>
        <w:snapToGrid w:val="0"/>
        <w:spacing w:line="276" w:lineRule="auto"/>
        <w:ind w:leftChars="100" w:left="560"/>
        <w:jc w:val="both"/>
        <w:rPr>
          <w:rFonts w:ascii="Times New Roman" w:hAnsi="Times New Roman"/>
          <w:szCs w:val="20"/>
        </w:rPr>
      </w:pPr>
      <w:r w:rsidRPr="00635131">
        <w:rPr>
          <w:rFonts w:ascii="Times New Roman" w:hAnsi="Times New Roman"/>
          <w:szCs w:val="20"/>
        </w:rPr>
        <w:t>Type 1 SL channel access procedure is applicable to the following transmissions by a UE:</w:t>
      </w:r>
    </w:p>
    <w:p w14:paraId="28866054" w14:textId="77777777" w:rsidR="00635131" w:rsidRPr="00635131" w:rsidRDefault="00635131">
      <w:pPr>
        <w:pStyle w:val="ListParagraph"/>
        <w:numPr>
          <w:ilvl w:val="1"/>
          <w:numId w:val="55"/>
        </w:numPr>
        <w:autoSpaceDE w:val="0"/>
        <w:autoSpaceDN w:val="0"/>
        <w:adjustRightInd w:val="0"/>
        <w:snapToGrid w:val="0"/>
        <w:spacing w:line="276" w:lineRule="auto"/>
        <w:ind w:leftChars="0"/>
        <w:jc w:val="both"/>
        <w:rPr>
          <w:rFonts w:ascii="Times New Roman" w:hAnsi="Times New Roman"/>
          <w:szCs w:val="20"/>
        </w:rPr>
      </w:pPr>
      <w:r w:rsidRPr="00635131">
        <w:rPr>
          <w:rFonts w:ascii="Times New Roman" w:hAnsi="Times New Roman"/>
          <w:szCs w:val="20"/>
        </w:rPr>
        <w:t>PSSCH/PSCCH transmission(s) scheduled or configured by a gNB in SL Mode 1 resource allocation.</w:t>
      </w:r>
    </w:p>
    <w:p w14:paraId="462A3036" w14:textId="77777777" w:rsidR="00635131" w:rsidRPr="00635131" w:rsidRDefault="00635131">
      <w:pPr>
        <w:pStyle w:val="ListParagraph"/>
        <w:numPr>
          <w:ilvl w:val="1"/>
          <w:numId w:val="55"/>
        </w:numPr>
        <w:autoSpaceDE w:val="0"/>
        <w:autoSpaceDN w:val="0"/>
        <w:adjustRightInd w:val="0"/>
        <w:snapToGrid w:val="0"/>
        <w:spacing w:line="276" w:lineRule="auto"/>
        <w:ind w:leftChars="0"/>
        <w:jc w:val="both"/>
        <w:rPr>
          <w:rFonts w:ascii="Times New Roman" w:hAnsi="Times New Roman"/>
          <w:szCs w:val="20"/>
        </w:rPr>
      </w:pPr>
      <w:r w:rsidRPr="00635131">
        <w:rPr>
          <w:rFonts w:ascii="Times New Roman" w:hAnsi="Times New Roman"/>
          <w:szCs w:val="20"/>
        </w:rPr>
        <w:t>PSSCH/PSCCH transmission(s) from the UE in SL Mode 2 resource allocation.</w:t>
      </w:r>
    </w:p>
    <w:p w14:paraId="5B885C36" w14:textId="77777777" w:rsidR="00635131" w:rsidRPr="00635131" w:rsidRDefault="00635131">
      <w:pPr>
        <w:pStyle w:val="ListParagraph"/>
        <w:numPr>
          <w:ilvl w:val="1"/>
          <w:numId w:val="55"/>
        </w:numPr>
        <w:autoSpaceDE w:val="0"/>
        <w:autoSpaceDN w:val="0"/>
        <w:adjustRightInd w:val="0"/>
        <w:snapToGrid w:val="0"/>
        <w:spacing w:line="276" w:lineRule="auto"/>
        <w:ind w:leftChars="0"/>
        <w:jc w:val="both"/>
        <w:rPr>
          <w:rFonts w:ascii="Times New Roman" w:hAnsi="Times New Roman"/>
          <w:szCs w:val="20"/>
        </w:rPr>
      </w:pPr>
      <w:r w:rsidRPr="00635131">
        <w:rPr>
          <w:rFonts w:ascii="Times New Roman" w:hAnsi="Times New Roman"/>
          <w:szCs w:val="20"/>
        </w:rPr>
        <w:t>Other SL transmissions including S-SSB and PSFCH transmissions from a UE</w:t>
      </w:r>
    </w:p>
    <w:p w14:paraId="1946603B" w14:textId="77777777" w:rsidR="00635131" w:rsidRPr="00635131" w:rsidRDefault="00635131">
      <w:pPr>
        <w:pStyle w:val="ListParagraph"/>
        <w:numPr>
          <w:ilvl w:val="2"/>
          <w:numId w:val="55"/>
        </w:numPr>
        <w:autoSpaceDE w:val="0"/>
        <w:autoSpaceDN w:val="0"/>
        <w:adjustRightInd w:val="0"/>
        <w:snapToGrid w:val="0"/>
        <w:spacing w:line="276" w:lineRule="auto"/>
        <w:ind w:leftChars="0"/>
        <w:jc w:val="both"/>
        <w:rPr>
          <w:rFonts w:ascii="Times New Roman" w:hAnsi="Times New Roman"/>
          <w:szCs w:val="20"/>
        </w:rPr>
      </w:pPr>
      <w:r w:rsidRPr="00635131">
        <w:rPr>
          <w:rFonts w:ascii="Times New Roman" w:hAnsi="Times New Roman"/>
          <w:szCs w:val="20"/>
        </w:rPr>
        <w:t>FFS: how to set CAPC for S-SSB and PSFCH</w:t>
      </w:r>
    </w:p>
    <w:p w14:paraId="3BE67E64" w14:textId="77777777" w:rsidR="00635131" w:rsidRPr="00635131" w:rsidRDefault="00635131">
      <w:pPr>
        <w:pStyle w:val="ListParagraph"/>
        <w:numPr>
          <w:ilvl w:val="1"/>
          <w:numId w:val="55"/>
        </w:numPr>
        <w:autoSpaceDE w:val="0"/>
        <w:autoSpaceDN w:val="0"/>
        <w:adjustRightInd w:val="0"/>
        <w:snapToGrid w:val="0"/>
        <w:spacing w:line="276" w:lineRule="auto"/>
        <w:ind w:leftChars="0"/>
        <w:jc w:val="both"/>
        <w:rPr>
          <w:rFonts w:ascii="Times New Roman" w:hAnsi="Times New Roman"/>
          <w:szCs w:val="20"/>
        </w:rPr>
      </w:pPr>
      <w:r w:rsidRPr="00635131">
        <w:rPr>
          <w:rFonts w:ascii="Times New Roman" w:hAnsi="Times New Roman"/>
          <w:szCs w:val="20"/>
        </w:rPr>
        <w:t>Note: Type 1 can be used to initiate a COT</w:t>
      </w:r>
    </w:p>
    <w:p w14:paraId="148B9CB2" w14:textId="77777777" w:rsidR="00635131" w:rsidRPr="00635131" w:rsidRDefault="00635131">
      <w:pPr>
        <w:pStyle w:val="ListParagraph"/>
        <w:numPr>
          <w:ilvl w:val="0"/>
          <w:numId w:val="55"/>
        </w:numPr>
        <w:autoSpaceDE w:val="0"/>
        <w:autoSpaceDN w:val="0"/>
        <w:adjustRightInd w:val="0"/>
        <w:snapToGrid w:val="0"/>
        <w:spacing w:line="276" w:lineRule="auto"/>
        <w:ind w:leftChars="100" w:left="560"/>
        <w:jc w:val="both"/>
        <w:rPr>
          <w:rFonts w:ascii="Times New Roman" w:hAnsi="Times New Roman"/>
          <w:szCs w:val="20"/>
        </w:rPr>
      </w:pPr>
      <w:r w:rsidRPr="00635131">
        <w:rPr>
          <w:rFonts w:ascii="Times New Roman" w:hAnsi="Times New Roman"/>
          <w:szCs w:val="20"/>
        </w:rPr>
        <w:t>A UE uses a channel access priority class applicable to the sidelink user plane data multiplexed in PSSCH for performing the Type 1 channel access procedures to transmit transmission(s) including PSSCH with user plane data and its associated PSCCH.</w:t>
      </w:r>
    </w:p>
    <w:p w14:paraId="4B070E63" w14:textId="77777777" w:rsidR="00635131" w:rsidRPr="00635131" w:rsidRDefault="00635131">
      <w:pPr>
        <w:pStyle w:val="ListParagraph"/>
        <w:numPr>
          <w:ilvl w:val="1"/>
          <w:numId w:val="55"/>
        </w:numPr>
        <w:autoSpaceDE w:val="0"/>
        <w:autoSpaceDN w:val="0"/>
        <w:adjustRightInd w:val="0"/>
        <w:snapToGrid w:val="0"/>
        <w:spacing w:line="276" w:lineRule="auto"/>
        <w:ind w:leftChars="0"/>
        <w:jc w:val="both"/>
        <w:rPr>
          <w:rFonts w:ascii="Times New Roman" w:hAnsi="Times New Roman"/>
          <w:szCs w:val="20"/>
        </w:rPr>
      </w:pPr>
      <w:r w:rsidRPr="00635131">
        <w:rPr>
          <w:rFonts w:ascii="Times New Roman" w:hAnsi="Times New Roman"/>
          <w:szCs w:val="20"/>
        </w:rPr>
        <w:t>Note: how to set CAPC for MAC CE multiplexed in PSSCH is up to RAN2</w:t>
      </w:r>
    </w:p>
    <w:p w14:paraId="68BFCEDE" w14:textId="44109E88" w:rsidR="00635131" w:rsidRPr="00635131" w:rsidRDefault="00635131">
      <w:pPr>
        <w:pStyle w:val="ListParagraph"/>
        <w:numPr>
          <w:ilvl w:val="0"/>
          <w:numId w:val="55"/>
        </w:numPr>
        <w:autoSpaceDE w:val="0"/>
        <w:autoSpaceDN w:val="0"/>
        <w:adjustRightInd w:val="0"/>
        <w:snapToGrid w:val="0"/>
        <w:spacing w:line="276" w:lineRule="auto"/>
        <w:ind w:leftChars="100" w:left="560"/>
        <w:jc w:val="both"/>
        <w:rPr>
          <w:rFonts w:ascii="Times New Roman" w:hAnsi="Times New Roman"/>
          <w:szCs w:val="20"/>
        </w:rPr>
      </w:pPr>
      <w:r w:rsidRPr="00635131">
        <w:rPr>
          <w:rFonts w:ascii="Times New Roman" w:hAnsi="Times New Roman"/>
          <w:szCs w:val="20"/>
        </w:rPr>
        <w:lastRenderedPageBreak/>
        <w:t xml:space="preserve">A UE shall not transmit on a channel for a Channel Occupancy Time that exceeds the maximum COT duration where the channel access procedures are performed based on a channel access priority class </w:t>
      </w:r>
      <w:r w:rsidRPr="00635131">
        <w:rPr>
          <w:rFonts w:ascii="Times New Roman" w:hAnsi="Times New Roman"/>
          <w:i/>
          <w:szCs w:val="20"/>
        </w:rPr>
        <w:t>p</w:t>
      </w:r>
      <w:r w:rsidRPr="00635131">
        <w:rPr>
          <w:rFonts w:ascii="Times New Roman" w:hAnsi="Times New Roman"/>
          <w:szCs w:val="20"/>
        </w:rPr>
        <w:t xml:space="preserve"> </w:t>
      </w:r>
      <w:r w:rsidRPr="00635131">
        <w:rPr>
          <w:rFonts w:ascii="Times New Roman" w:hAnsi="Times New Roman"/>
          <w:szCs w:val="20"/>
        </w:rPr>
        <w:fldChar w:fldCharType="begin"/>
      </w:r>
      <w:r w:rsidRPr="00635131">
        <w:rPr>
          <w:rFonts w:ascii="Times New Roman" w:hAnsi="Times New Roman"/>
          <w:szCs w:val="20"/>
        </w:rPr>
        <w:instrText xml:space="preserve"> QUOTE </w:instrText>
      </w:r>
      <m:oMath>
        <m:r>
          <m:rPr>
            <m:sty m:val="p"/>
          </m:rPr>
          <w:rPr>
            <w:rFonts w:ascii="Cambria Math" w:hAnsi="Cambria Math"/>
            <w:color w:val="FF0000"/>
            <w:szCs w:val="20"/>
          </w:rPr>
          <m:t>p</m:t>
        </m:r>
      </m:oMath>
      <w:r w:rsidRPr="00635131">
        <w:rPr>
          <w:rFonts w:ascii="Times New Roman" w:hAnsi="Times New Roman"/>
          <w:szCs w:val="20"/>
        </w:rPr>
        <w:instrText xml:space="preserve"> </w:instrText>
      </w:r>
      <w:r w:rsidRPr="00635131">
        <w:rPr>
          <w:rFonts w:ascii="Times New Roman" w:hAnsi="Times New Roman"/>
          <w:szCs w:val="20"/>
        </w:rPr>
        <w:fldChar w:fldCharType="end"/>
      </w:r>
      <w:r w:rsidRPr="00635131">
        <w:rPr>
          <w:rFonts w:ascii="Times New Roman" w:hAnsi="Times New Roman"/>
          <w:szCs w:val="20"/>
        </w:rPr>
        <w:t>associated with the UE transmissions, as given in CAPC table for SL.</w:t>
      </w:r>
    </w:p>
    <w:p w14:paraId="56A29B3D" w14:textId="5D377033" w:rsidR="00635131" w:rsidRDefault="00635131" w:rsidP="00F1272C">
      <w:pPr>
        <w:pStyle w:val="3GPPNormalText"/>
        <w:spacing w:before="120" w:after="240"/>
        <w:rPr>
          <w:lang w:val="en-GB"/>
        </w:rPr>
      </w:pPr>
    </w:p>
    <w:p w14:paraId="2F645468" w14:textId="77777777" w:rsidR="00635131" w:rsidRPr="00635131" w:rsidRDefault="00635131" w:rsidP="00635131">
      <w:pPr>
        <w:spacing w:line="276" w:lineRule="auto"/>
        <w:rPr>
          <w:rFonts w:ascii="Times New Roman" w:hAnsi="Times New Roman"/>
          <w:b/>
          <w:szCs w:val="20"/>
          <w:lang w:eastAsia="zh-CN"/>
        </w:rPr>
      </w:pPr>
      <w:r w:rsidRPr="00635131">
        <w:rPr>
          <w:rFonts w:ascii="Times New Roman" w:hAnsi="Times New Roman"/>
          <w:b/>
          <w:szCs w:val="20"/>
          <w:highlight w:val="green"/>
          <w:lang w:eastAsia="zh-CN"/>
        </w:rPr>
        <w:t>Agreement</w:t>
      </w:r>
    </w:p>
    <w:p w14:paraId="3706DA12" w14:textId="77777777" w:rsidR="00635131" w:rsidRPr="00635131" w:rsidRDefault="00635131" w:rsidP="00635131">
      <w:pPr>
        <w:rPr>
          <w:rFonts w:ascii="Times New Roman" w:hAnsi="Times New Roman"/>
          <w:szCs w:val="20"/>
          <w:lang w:val="en-US" w:eastAsia="x-none"/>
        </w:rPr>
      </w:pPr>
      <w:r w:rsidRPr="00635131">
        <w:rPr>
          <w:rFonts w:ascii="Times New Roman" w:hAnsi="Times New Roman"/>
          <w:szCs w:val="20"/>
          <w:lang w:val="en-US" w:eastAsia="x-none"/>
        </w:rPr>
        <w:t>On the support of MCSt operation in SL-U, following options are to be further studied and one or more of the following options will be selected in future meetings.</w:t>
      </w:r>
    </w:p>
    <w:p w14:paraId="1CE8B889" w14:textId="77777777" w:rsidR="00635131" w:rsidRPr="00635131" w:rsidRDefault="00635131">
      <w:pPr>
        <w:pStyle w:val="ListParagraph"/>
        <w:numPr>
          <w:ilvl w:val="0"/>
          <w:numId w:val="55"/>
        </w:numPr>
        <w:autoSpaceDE w:val="0"/>
        <w:autoSpaceDN w:val="0"/>
        <w:adjustRightInd w:val="0"/>
        <w:snapToGrid w:val="0"/>
        <w:spacing w:line="276" w:lineRule="auto"/>
        <w:ind w:leftChars="100" w:left="560"/>
        <w:jc w:val="both"/>
        <w:rPr>
          <w:rFonts w:ascii="Times New Roman" w:hAnsi="Times New Roman"/>
          <w:szCs w:val="20"/>
        </w:rPr>
      </w:pPr>
      <w:r w:rsidRPr="00635131">
        <w:rPr>
          <w:rFonts w:ascii="Times New Roman" w:hAnsi="Times New Roman"/>
          <w:szCs w:val="20"/>
        </w:rPr>
        <w:t>When L1 is triggered for reporting a subset of candidate resources for MCSt,</w:t>
      </w:r>
    </w:p>
    <w:p w14:paraId="26FC2B00" w14:textId="01ABACB1" w:rsidR="00635131" w:rsidRPr="00635131" w:rsidRDefault="00635131">
      <w:pPr>
        <w:pStyle w:val="ListParagraph"/>
        <w:numPr>
          <w:ilvl w:val="1"/>
          <w:numId w:val="55"/>
        </w:numPr>
        <w:autoSpaceDE w:val="0"/>
        <w:autoSpaceDN w:val="0"/>
        <w:adjustRightInd w:val="0"/>
        <w:snapToGrid w:val="0"/>
        <w:spacing w:line="276" w:lineRule="auto"/>
        <w:ind w:leftChars="0"/>
        <w:jc w:val="both"/>
        <w:rPr>
          <w:rFonts w:ascii="Times New Roman" w:hAnsi="Times New Roman"/>
          <w:szCs w:val="20"/>
          <w:lang w:val="en-US"/>
        </w:rPr>
      </w:pPr>
      <w:r w:rsidRPr="00635131">
        <w:rPr>
          <w:rFonts w:ascii="Times New Roman" w:hAnsi="Times New Roman"/>
          <w:szCs w:val="20"/>
          <w:lang w:val="en-US"/>
        </w:rPr>
        <w:t>Option 1: Only one set of parameters (</w:t>
      </w:r>
      <m:oMath>
        <m:r>
          <w:rPr>
            <w:rFonts w:ascii="Cambria Math" w:hAnsi="Cambria Math"/>
            <w:szCs w:val="20"/>
            <w:lang w:val="en-US"/>
          </w:rPr>
          <m:t>pri</m:t>
        </m:r>
        <m:sSub>
          <m:sSubPr>
            <m:ctrlPr>
              <w:rPr>
                <w:rFonts w:ascii="Cambria Math" w:hAnsi="Cambria Math"/>
                <w:i/>
                <w:iCs/>
                <w:szCs w:val="20"/>
                <w:lang w:val="en-US"/>
              </w:rPr>
            </m:ctrlPr>
          </m:sSubPr>
          <m:e>
            <m:r>
              <w:rPr>
                <w:rFonts w:ascii="Cambria Math" w:hAnsi="Cambria Math"/>
                <w:szCs w:val="20"/>
                <w:lang w:val="en-US"/>
              </w:rPr>
              <m:t>o</m:t>
            </m:r>
          </m:e>
          <m:sub>
            <m:r>
              <w:rPr>
                <w:rFonts w:ascii="Cambria Math" w:hAnsi="Cambria Math"/>
                <w:szCs w:val="20"/>
                <w:lang w:val="en-US"/>
              </w:rPr>
              <m:t>TX</m:t>
            </m:r>
          </m:sub>
        </m:sSub>
      </m:oMath>
      <w:r w:rsidRPr="00635131">
        <w:rPr>
          <w:rFonts w:ascii="Times New Roman" w:hAnsi="Times New Roman"/>
          <w:szCs w:val="20"/>
          <w:lang w:val="en-US"/>
        </w:rPr>
        <w:t xml:space="preserve">, remaining PDB, </w:t>
      </w:r>
      <m:oMath>
        <m:sSub>
          <m:sSubPr>
            <m:ctrlPr>
              <w:rPr>
                <w:rFonts w:ascii="Cambria Math" w:hAnsi="Cambria Math"/>
                <w:i/>
                <w:iCs/>
                <w:szCs w:val="20"/>
                <w:lang w:val="en-US"/>
              </w:rPr>
            </m:ctrlPr>
          </m:sSubPr>
          <m:e>
            <m:r>
              <w:rPr>
                <w:rFonts w:ascii="Cambria Math" w:hAnsi="Cambria Math"/>
                <w:szCs w:val="20"/>
                <w:lang w:val="en-US"/>
              </w:rPr>
              <m:t>L</m:t>
            </m:r>
          </m:e>
          <m:sub>
            <m:r>
              <m:rPr>
                <m:nor/>
              </m:rPr>
              <w:rPr>
                <w:rFonts w:ascii="Times New Roman" w:hAnsi="Times New Roman"/>
                <w:szCs w:val="20"/>
                <w:lang w:val="en-US"/>
              </w:rPr>
              <m:t>subCH</m:t>
            </m:r>
          </m:sub>
        </m:sSub>
      </m:oMath>
      <w:r w:rsidRPr="00635131">
        <w:rPr>
          <w:rFonts w:ascii="Times New Roman" w:hAnsi="Times New Roman"/>
          <w:szCs w:val="20"/>
          <w:lang w:val="en-US"/>
        </w:rPr>
        <w:t xml:space="preserve"> and </w:t>
      </w:r>
      <m:oMath>
        <m:sSub>
          <m:sSubPr>
            <m:ctrlPr>
              <w:rPr>
                <w:rFonts w:ascii="Cambria Math" w:hAnsi="Cambria Math"/>
                <w:i/>
                <w:iCs/>
                <w:szCs w:val="20"/>
                <w:lang w:val="en-US"/>
              </w:rPr>
            </m:ctrlPr>
          </m:sSubPr>
          <m:e>
            <m:r>
              <w:rPr>
                <w:rFonts w:ascii="Cambria Math" w:hAnsi="Cambria Math"/>
                <w:szCs w:val="20"/>
                <w:lang w:val="en-US"/>
              </w:rPr>
              <m:t>P</m:t>
            </m:r>
          </m:e>
          <m:sub>
            <m:r>
              <m:rPr>
                <m:nor/>
              </m:rPr>
              <w:rPr>
                <w:rFonts w:ascii="Times New Roman" w:hAnsi="Times New Roman"/>
                <w:szCs w:val="20"/>
                <w:lang w:val="en-US"/>
              </w:rPr>
              <m:t>rsvp_TX</m:t>
            </m:r>
          </m:sub>
        </m:sSub>
      </m:oMath>
      <w:r w:rsidRPr="00635131">
        <w:rPr>
          <w:rFonts w:ascii="Times New Roman" w:hAnsi="Times New Roman"/>
          <w:szCs w:val="20"/>
          <w:lang w:val="en-US"/>
        </w:rPr>
        <w:t>) is provided for the resource selection procedure in L1</w:t>
      </w:r>
    </w:p>
    <w:p w14:paraId="330A6090" w14:textId="77777777" w:rsidR="00635131" w:rsidRPr="00635131" w:rsidRDefault="00635131">
      <w:pPr>
        <w:pStyle w:val="ListParagraph"/>
        <w:numPr>
          <w:ilvl w:val="2"/>
          <w:numId w:val="55"/>
        </w:numPr>
        <w:autoSpaceDE w:val="0"/>
        <w:autoSpaceDN w:val="0"/>
        <w:adjustRightInd w:val="0"/>
        <w:snapToGrid w:val="0"/>
        <w:spacing w:line="276" w:lineRule="auto"/>
        <w:ind w:leftChars="0"/>
        <w:jc w:val="both"/>
        <w:rPr>
          <w:rFonts w:ascii="Times New Roman" w:hAnsi="Times New Roman"/>
          <w:szCs w:val="20"/>
        </w:rPr>
      </w:pPr>
      <w:r w:rsidRPr="00635131">
        <w:rPr>
          <w:rFonts w:ascii="Times New Roman" w:hAnsi="Times New Roman"/>
          <w:szCs w:val="20"/>
        </w:rPr>
        <w:t>Note, this is applicable for transmission of a single TB and multiple TBs</w:t>
      </w:r>
    </w:p>
    <w:p w14:paraId="30274BAE" w14:textId="77777777" w:rsidR="00635131" w:rsidRPr="00635131" w:rsidRDefault="00635131">
      <w:pPr>
        <w:pStyle w:val="ListParagraph"/>
        <w:numPr>
          <w:ilvl w:val="2"/>
          <w:numId w:val="55"/>
        </w:numPr>
        <w:autoSpaceDE w:val="0"/>
        <w:autoSpaceDN w:val="0"/>
        <w:adjustRightInd w:val="0"/>
        <w:snapToGrid w:val="0"/>
        <w:spacing w:line="276" w:lineRule="auto"/>
        <w:ind w:leftChars="0"/>
        <w:jc w:val="both"/>
        <w:rPr>
          <w:rFonts w:ascii="Times New Roman" w:hAnsi="Times New Roman"/>
          <w:szCs w:val="20"/>
        </w:rPr>
      </w:pPr>
      <w:r w:rsidRPr="00635131">
        <w:rPr>
          <w:rFonts w:ascii="Times New Roman" w:hAnsi="Times New Roman"/>
          <w:szCs w:val="20"/>
        </w:rPr>
        <w:t>FFS: whether this is the same or different than Rel-16</w:t>
      </w:r>
    </w:p>
    <w:p w14:paraId="6E8F241B" w14:textId="792AC95E" w:rsidR="00635131" w:rsidRPr="00635131" w:rsidRDefault="00635131">
      <w:pPr>
        <w:pStyle w:val="ListParagraph"/>
        <w:numPr>
          <w:ilvl w:val="1"/>
          <w:numId w:val="55"/>
        </w:numPr>
        <w:autoSpaceDE w:val="0"/>
        <w:autoSpaceDN w:val="0"/>
        <w:adjustRightInd w:val="0"/>
        <w:snapToGrid w:val="0"/>
        <w:spacing w:line="276" w:lineRule="auto"/>
        <w:ind w:leftChars="0"/>
        <w:jc w:val="both"/>
        <w:rPr>
          <w:rFonts w:ascii="Times New Roman" w:hAnsi="Times New Roman"/>
          <w:szCs w:val="20"/>
          <w:lang w:val="en-US"/>
        </w:rPr>
      </w:pPr>
      <w:r w:rsidRPr="00635131">
        <w:rPr>
          <w:rFonts w:ascii="Times New Roman" w:hAnsi="Times New Roman"/>
          <w:szCs w:val="20"/>
          <w:lang w:val="en-US"/>
        </w:rPr>
        <w:t>Option 2: one or multiple sets of parameters (</w:t>
      </w:r>
      <m:oMath>
        <m:r>
          <w:rPr>
            <w:rFonts w:ascii="Cambria Math" w:hAnsi="Cambria Math"/>
            <w:szCs w:val="20"/>
            <w:lang w:val="en-US"/>
          </w:rPr>
          <m:t>pri</m:t>
        </m:r>
        <m:sSub>
          <m:sSubPr>
            <m:ctrlPr>
              <w:rPr>
                <w:rFonts w:ascii="Cambria Math" w:hAnsi="Cambria Math"/>
                <w:i/>
                <w:iCs/>
                <w:szCs w:val="20"/>
                <w:lang w:val="en-US"/>
              </w:rPr>
            </m:ctrlPr>
          </m:sSubPr>
          <m:e>
            <m:r>
              <w:rPr>
                <w:rFonts w:ascii="Cambria Math" w:hAnsi="Cambria Math"/>
                <w:szCs w:val="20"/>
                <w:lang w:val="en-US"/>
              </w:rPr>
              <m:t>o</m:t>
            </m:r>
          </m:e>
          <m:sub>
            <m:r>
              <w:rPr>
                <w:rFonts w:ascii="Cambria Math" w:hAnsi="Cambria Math"/>
                <w:szCs w:val="20"/>
                <w:lang w:val="en-US"/>
              </w:rPr>
              <m:t>TX</m:t>
            </m:r>
          </m:sub>
        </m:sSub>
      </m:oMath>
      <w:r w:rsidRPr="00635131">
        <w:rPr>
          <w:rFonts w:ascii="Times New Roman" w:hAnsi="Times New Roman"/>
          <w:szCs w:val="20"/>
          <w:lang w:val="en-US"/>
        </w:rPr>
        <w:t xml:space="preserve">, remaining PDB, </w:t>
      </w:r>
      <m:oMath>
        <m:sSub>
          <m:sSubPr>
            <m:ctrlPr>
              <w:rPr>
                <w:rFonts w:ascii="Cambria Math" w:hAnsi="Cambria Math"/>
                <w:i/>
                <w:iCs/>
                <w:szCs w:val="20"/>
                <w:lang w:val="en-US"/>
              </w:rPr>
            </m:ctrlPr>
          </m:sSubPr>
          <m:e>
            <m:r>
              <w:rPr>
                <w:rFonts w:ascii="Cambria Math" w:hAnsi="Cambria Math"/>
                <w:szCs w:val="20"/>
                <w:lang w:val="en-US"/>
              </w:rPr>
              <m:t>L</m:t>
            </m:r>
          </m:e>
          <m:sub>
            <m:r>
              <m:rPr>
                <m:nor/>
              </m:rPr>
              <w:rPr>
                <w:rFonts w:ascii="Times New Roman" w:hAnsi="Times New Roman"/>
                <w:szCs w:val="20"/>
                <w:lang w:val="en-US"/>
              </w:rPr>
              <m:t>subCH</m:t>
            </m:r>
          </m:sub>
        </m:sSub>
      </m:oMath>
      <w:r w:rsidRPr="00635131">
        <w:rPr>
          <w:rFonts w:ascii="Times New Roman" w:hAnsi="Times New Roman"/>
          <w:szCs w:val="20"/>
          <w:lang w:val="en-US"/>
        </w:rPr>
        <w:t xml:space="preserve"> and </w:t>
      </w:r>
      <m:oMath>
        <m:sSub>
          <m:sSubPr>
            <m:ctrlPr>
              <w:rPr>
                <w:rFonts w:ascii="Cambria Math" w:hAnsi="Cambria Math"/>
                <w:i/>
                <w:iCs/>
                <w:szCs w:val="20"/>
                <w:lang w:val="en-US"/>
              </w:rPr>
            </m:ctrlPr>
          </m:sSubPr>
          <m:e>
            <m:r>
              <w:rPr>
                <w:rFonts w:ascii="Cambria Math" w:hAnsi="Cambria Math"/>
                <w:szCs w:val="20"/>
                <w:lang w:val="en-US"/>
              </w:rPr>
              <m:t>P</m:t>
            </m:r>
          </m:e>
          <m:sub>
            <m:r>
              <m:rPr>
                <m:nor/>
              </m:rPr>
              <w:rPr>
                <w:rFonts w:ascii="Times New Roman" w:hAnsi="Times New Roman"/>
                <w:szCs w:val="20"/>
                <w:lang w:val="en-US"/>
              </w:rPr>
              <m:t>rsvp_TX</m:t>
            </m:r>
          </m:sub>
        </m:sSub>
      </m:oMath>
      <w:r w:rsidRPr="00635131">
        <w:rPr>
          <w:rFonts w:ascii="Times New Roman" w:hAnsi="Times New Roman"/>
          <w:szCs w:val="20"/>
          <w:lang w:val="en-US"/>
        </w:rPr>
        <w:t>) are provided for the resource selection procedure in L1</w:t>
      </w:r>
    </w:p>
    <w:p w14:paraId="04690E1B" w14:textId="77777777" w:rsidR="00635131" w:rsidRPr="00635131" w:rsidRDefault="00635131">
      <w:pPr>
        <w:pStyle w:val="ListParagraph"/>
        <w:numPr>
          <w:ilvl w:val="1"/>
          <w:numId w:val="55"/>
        </w:numPr>
        <w:autoSpaceDE w:val="0"/>
        <w:autoSpaceDN w:val="0"/>
        <w:adjustRightInd w:val="0"/>
        <w:snapToGrid w:val="0"/>
        <w:spacing w:line="276" w:lineRule="auto"/>
        <w:ind w:leftChars="0"/>
        <w:jc w:val="both"/>
        <w:rPr>
          <w:rFonts w:ascii="Times New Roman" w:hAnsi="Times New Roman"/>
          <w:szCs w:val="20"/>
          <w:lang w:val="en-US"/>
        </w:rPr>
      </w:pPr>
      <w:r w:rsidRPr="00635131">
        <w:rPr>
          <w:rFonts w:ascii="Times New Roman" w:hAnsi="Times New Roman"/>
          <w:szCs w:val="20"/>
          <w:lang w:val="en-US"/>
        </w:rPr>
        <w:t>FFS: any further information needs to be provided to L1 for MCSt</w:t>
      </w:r>
    </w:p>
    <w:p w14:paraId="4D4EE3AC" w14:textId="77777777" w:rsidR="00635131" w:rsidRPr="00635131" w:rsidRDefault="00635131">
      <w:pPr>
        <w:pStyle w:val="ListParagraph"/>
        <w:numPr>
          <w:ilvl w:val="0"/>
          <w:numId w:val="55"/>
        </w:numPr>
        <w:autoSpaceDE w:val="0"/>
        <w:autoSpaceDN w:val="0"/>
        <w:adjustRightInd w:val="0"/>
        <w:snapToGrid w:val="0"/>
        <w:spacing w:line="276" w:lineRule="auto"/>
        <w:ind w:leftChars="100" w:left="560"/>
        <w:jc w:val="both"/>
        <w:rPr>
          <w:rFonts w:ascii="Times New Roman" w:hAnsi="Times New Roman"/>
          <w:szCs w:val="20"/>
        </w:rPr>
      </w:pPr>
      <w:r w:rsidRPr="00635131">
        <w:rPr>
          <w:rFonts w:ascii="Times New Roman" w:hAnsi="Times New Roman"/>
          <w:szCs w:val="20"/>
        </w:rPr>
        <w:t>When L1 reports a subset of candidate resources for MCSt,</w:t>
      </w:r>
    </w:p>
    <w:p w14:paraId="66810A5C" w14:textId="77777777" w:rsidR="00635131" w:rsidRPr="00635131" w:rsidRDefault="00635131">
      <w:pPr>
        <w:pStyle w:val="ListParagraph"/>
        <w:numPr>
          <w:ilvl w:val="1"/>
          <w:numId w:val="55"/>
        </w:numPr>
        <w:autoSpaceDE w:val="0"/>
        <w:autoSpaceDN w:val="0"/>
        <w:adjustRightInd w:val="0"/>
        <w:snapToGrid w:val="0"/>
        <w:spacing w:line="276" w:lineRule="auto"/>
        <w:ind w:leftChars="0"/>
        <w:jc w:val="both"/>
        <w:rPr>
          <w:rFonts w:ascii="Times New Roman" w:hAnsi="Times New Roman"/>
          <w:szCs w:val="20"/>
          <w:lang w:val="en-US"/>
        </w:rPr>
      </w:pPr>
      <w:r w:rsidRPr="00635131">
        <w:rPr>
          <w:rFonts w:ascii="Times New Roman" w:hAnsi="Times New Roman"/>
          <w:szCs w:val="20"/>
          <w:lang w:val="en-US"/>
        </w:rPr>
        <w:t xml:space="preserve">Option A: L1 reports candidate multi-slot resources in </w:t>
      </w:r>
      <w:r w:rsidRPr="00635131">
        <w:rPr>
          <w:rFonts w:ascii="Times New Roman" w:hAnsi="Times New Roman"/>
          <w:i/>
          <w:iCs/>
          <w:szCs w:val="20"/>
          <w:lang w:val="en-US"/>
        </w:rPr>
        <w:t>S</w:t>
      </w:r>
      <w:r w:rsidRPr="00635131">
        <w:rPr>
          <w:rFonts w:ascii="Times New Roman" w:hAnsi="Times New Roman"/>
          <w:i/>
          <w:iCs/>
          <w:szCs w:val="20"/>
          <w:vertAlign w:val="subscript"/>
          <w:lang w:val="en-US"/>
        </w:rPr>
        <w:t>A</w:t>
      </w:r>
      <w:r w:rsidRPr="00635131">
        <w:rPr>
          <w:rFonts w:ascii="Times New Roman" w:hAnsi="Times New Roman"/>
          <w:szCs w:val="20"/>
          <w:lang w:val="en-US"/>
        </w:rPr>
        <w:t xml:space="preserve"> where a candidate multi-slot resource consists of a set of single-slot resources that are consecutive in time</w:t>
      </w:r>
    </w:p>
    <w:p w14:paraId="7F775332" w14:textId="4EE4A0A0" w:rsidR="00635131" w:rsidRPr="00635131" w:rsidRDefault="00635131">
      <w:pPr>
        <w:pStyle w:val="ListParagraph"/>
        <w:numPr>
          <w:ilvl w:val="2"/>
          <w:numId w:val="55"/>
        </w:numPr>
        <w:autoSpaceDE w:val="0"/>
        <w:autoSpaceDN w:val="0"/>
        <w:adjustRightInd w:val="0"/>
        <w:snapToGrid w:val="0"/>
        <w:spacing w:line="276" w:lineRule="auto"/>
        <w:ind w:leftChars="0"/>
        <w:jc w:val="both"/>
        <w:rPr>
          <w:rFonts w:ascii="Times New Roman" w:hAnsi="Times New Roman"/>
          <w:szCs w:val="20"/>
          <w:lang w:val="en-US"/>
        </w:rPr>
      </w:pPr>
      <w:r w:rsidRPr="00635131">
        <w:rPr>
          <w:rFonts w:ascii="Times New Roman" w:hAnsi="Times New Roman"/>
          <w:szCs w:val="20"/>
          <w:lang w:val="en-US"/>
        </w:rPr>
        <w:t xml:space="preserve">FFS whether the set of single-slot resources within a candidate multi-slot resource can have different </w:t>
      </w:r>
      <m:oMath>
        <m:sSub>
          <m:sSubPr>
            <m:ctrlPr>
              <w:rPr>
                <w:rFonts w:ascii="Cambria Math" w:hAnsi="Cambria Math"/>
                <w:i/>
                <w:iCs/>
                <w:szCs w:val="20"/>
                <w:lang w:val="en-US"/>
              </w:rPr>
            </m:ctrlPr>
          </m:sSubPr>
          <m:e>
            <m:r>
              <w:rPr>
                <w:rFonts w:ascii="Cambria Math" w:hAnsi="Cambria Math"/>
                <w:szCs w:val="20"/>
                <w:lang w:val="en-US"/>
              </w:rPr>
              <m:t>L</m:t>
            </m:r>
          </m:e>
          <m:sub>
            <m:r>
              <m:rPr>
                <m:nor/>
              </m:rPr>
              <w:rPr>
                <w:rFonts w:ascii="Times New Roman" w:hAnsi="Times New Roman"/>
                <w:szCs w:val="20"/>
                <w:lang w:val="en-US"/>
              </w:rPr>
              <m:t>subCH</m:t>
            </m:r>
          </m:sub>
        </m:sSub>
      </m:oMath>
      <w:r w:rsidRPr="00635131">
        <w:rPr>
          <w:rFonts w:ascii="Times New Roman" w:hAnsi="Times New Roman"/>
          <w:szCs w:val="20"/>
          <w:lang w:val="en-US"/>
        </w:rPr>
        <w:t xml:space="preserve"> sizes</w:t>
      </w:r>
    </w:p>
    <w:p w14:paraId="1FBF94F6" w14:textId="77777777" w:rsidR="00635131" w:rsidRPr="00635131" w:rsidRDefault="00635131">
      <w:pPr>
        <w:pStyle w:val="ListParagraph"/>
        <w:numPr>
          <w:ilvl w:val="1"/>
          <w:numId w:val="55"/>
        </w:numPr>
        <w:autoSpaceDE w:val="0"/>
        <w:autoSpaceDN w:val="0"/>
        <w:adjustRightInd w:val="0"/>
        <w:snapToGrid w:val="0"/>
        <w:spacing w:line="276" w:lineRule="auto"/>
        <w:ind w:leftChars="0"/>
        <w:jc w:val="both"/>
        <w:rPr>
          <w:rFonts w:ascii="Times New Roman" w:hAnsi="Times New Roman"/>
          <w:szCs w:val="20"/>
          <w:lang w:val="en-US"/>
        </w:rPr>
      </w:pPr>
      <w:r w:rsidRPr="00635131">
        <w:rPr>
          <w:rFonts w:ascii="Times New Roman" w:hAnsi="Times New Roman"/>
          <w:szCs w:val="20"/>
          <w:lang w:val="en-US"/>
        </w:rPr>
        <w:t>Option B: L1 reports candidate single-slot resources in (</w:t>
      </w:r>
      <w:r w:rsidRPr="00635131">
        <w:rPr>
          <w:rFonts w:ascii="Times New Roman" w:hAnsi="Times New Roman"/>
          <w:i/>
          <w:iCs/>
          <w:szCs w:val="20"/>
          <w:lang w:val="en-US"/>
        </w:rPr>
        <w:t>S</w:t>
      </w:r>
      <w:r w:rsidRPr="00635131">
        <w:rPr>
          <w:rFonts w:ascii="Times New Roman" w:hAnsi="Times New Roman"/>
          <w:i/>
          <w:iCs/>
          <w:szCs w:val="20"/>
          <w:vertAlign w:val="subscript"/>
          <w:lang w:val="en-US"/>
        </w:rPr>
        <w:t>A</w:t>
      </w:r>
      <w:r w:rsidRPr="00635131">
        <w:rPr>
          <w:rFonts w:ascii="Times New Roman" w:hAnsi="Times New Roman"/>
          <w:szCs w:val="20"/>
          <w:lang w:val="en-US"/>
        </w:rPr>
        <w:t>) as in Rel-16</w:t>
      </w:r>
    </w:p>
    <w:p w14:paraId="13C25525" w14:textId="77777777" w:rsidR="00635131" w:rsidRPr="00635131" w:rsidRDefault="00635131">
      <w:pPr>
        <w:pStyle w:val="ListParagraph"/>
        <w:numPr>
          <w:ilvl w:val="2"/>
          <w:numId w:val="55"/>
        </w:numPr>
        <w:autoSpaceDE w:val="0"/>
        <w:autoSpaceDN w:val="0"/>
        <w:adjustRightInd w:val="0"/>
        <w:snapToGrid w:val="0"/>
        <w:spacing w:line="276" w:lineRule="auto"/>
        <w:ind w:leftChars="0"/>
        <w:jc w:val="both"/>
        <w:rPr>
          <w:rFonts w:ascii="Times New Roman" w:hAnsi="Times New Roman"/>
          <w:szCs w:val="20"/>
          <w:lang w:val="en-US"/>
        </w:rPr>
      </w:pPr>
      <w:r w:rsidRPr="00635131">
        <w:rPr>
          <w:rFonts w:ascii="Times New Roman" w:hAnsi="Times New Roman"/>
          <w:szCs w:val="20"/>
          <w:lang w:val="en-US"/>
        </w:rPr>
        <w:t>It is up to the higher (MAC) layer to select a set of single-slot resources that are consecutive in logical slots</w:t>
      </w:r>
    </w:p>
    <w:p w14:paraId="214933A0" w14:textId="77777777" w:rsidR="00635131" w:rsidRPr="00635131" w:rsidRDefault="00635131">
      <w:pPr>
        <w:pStyle w:val="ListParagraph"/>
        <w:numPr>
          <w:ilvl w:val="1"/>
          <w:numId w:val="55"/>
        </w:numPr>
        <w:autoSpaceDE w:val="0"/>
        <w:autoSpaceDN w:val="0"/>
        <w:adjustRightInd w:val="0"/>
        <w:snapToGrid w:val="0"/>
        <w:spacing w:line="276" w:lineRule="auto"/>
        <w:ind w:leftChars="0"/>
        <w:jc w:val="both"/>
        <w:rPr>
          <w:rFonts w:ascii="Times New Roman" w:hAnsi="Times New Roman"/>
          <w:szCs w:val="20"/>
          <w:lang w:val="en-US"/>
        </w:rPr>
      </w:pPr>
      <w:r w:rsidRPr="00635131">
        <w:rPr>
          <w:rFonts w:ascii="Times New Roman" w:hAnsi="Times New Roman"/>
          <w:szCs w:val="20"/>
          <w:lang w:val="en-US"/>
        </w:rPr>
        <w:t xml:space="preserve">Option C: L1 reports consecutive single-slot candidate resources in </w:t>
      </w:r>
      <w:r w:rsidRPr="00635131">
        <w:rPr>
          <w:rFonts w:ascii="Times New Roman" w:hAnsi="Times New Roman"/>
          <w:i/>
          <w:iCs/>
          <w:szCs w:val="20"/>
          <w:lang w:val="en-US"/>
        </w:rPr>
        <w:t>S</w:t>
      </w:r>
      <w:r w:rsidRPr="00635131">
        <w:rPr>
          <w:rFonts w:ascii="Times New Roman" w:hAnsi="Times New Roman"/>
          <w:i/>
          <w:iCs/>
          <w:szCs w:val="20"/>
          <w:vertAlign w:val="subscript"/>
          <w:lang w:val="en-US"/>
        </w:rPr>
        <w:t>A</w:t>
      </w:r>
    </w:p>
    <w:p w14:paraId="104E4A09" w14:textId="7F73373D" w:rsidR="00635131" w:rsidRPr="00635131" w:rsidRDefault="00635131">
      <w:pPr>
        <w:pStyle w:val="ListParagraph"/>
        <w:numPr>
          <w:ilvl w:val="2"/>
          <w:numId w:val="55"/>
        </w:numPr>
        <w:autoSpaceDE w:val="0"/>
        <w:autoSpaceDN w:val="0"/>
        <w:adjustRightInd w:val="0"/>
        <w:snapToGrid w:val="0"/>
        <w:spacing w:line="276" w:lineRule="auto"/>
        <w:ind w:leftChars="0"/>
        <w:jc w:val="both"/>
        <w:rPr>
          <w:rFonts w:ascii="Times New Roman" w:hAnsi="Times New Roman"/>
          <w:szCs w:val="20"/>
          <w:lang w:val="en-US"/>
        </w:rPr>
      </w:pPr>
      <w:r w:rsidRPr="00635131">
        <w:rPr>
          <w:rFonts w:ascii="Times New Roman" w:hAnsi="Times New Roman"/>
          <w:szCs w:val="20"/>
          <w:lang w:val="en-US"/>
        </w:rPr>
        <w:t xml:space="preserve">FFS whether the consecutive single-slot candidate resources can have different </w:t>
      </w:r>
      <m:oMath>
        <m:sSub>
          <m:sSubPr>
            <m:ctrlPr>
              <w:rPr>
                <w:rFonts w:ascii="Cambria Math" w:hAnsi="Cambria Math"/>
                <w:i/>
                <w:iCs/>
                <w:szCs w:val="20"/>
                <w:lang w:val="en-US"/>
              </w:rPr>
            </m:ctrlPr>
          </m:sSubPr>
          <m:e>
            <m:r>
              <w:rPr>
                <w:rFonts w:ascii="Cambria Math" w:hAnsi="Cambria Math"/>
                <w:szCs w:val="20"/>
                <w:lang w:val="en-US"/>
              </w:rPr>
              <m:t>L</m:t>
            </m:r>
          </m:e>
          <m:sub>
            <m:r>
              <m:rPr>
                <m:nor/>
              </m:rPr>
              <w:rPr>
                <w:rFonts w:ascii="Times New Roman" w:hAnsi="Times New Roman"/>
                <w:szCs w:val="20"/>
                <w:lang w:val="en-US"/>
              </w:rPr>
              <m:t>subCH</m:t>
            </m:r>
          </m:sub>
        </m:sSub>
      </m:oMath>
      <w:r w:rsidRPr="00635131">
        <w:rPr>
          <w:rFonts w:ascii="Times New Roman" w:hAnsi="Times New Roman"/>
          <w:szCs w:val="20"/>
          <w:lang w:val="en-US"/>
        </w:rPr>
        <w:t xml:space="preserve"> sizes</w:t>
      </w:r>
    </w:p>
    <w:p w14:paraId="267AE4A2" w14:textId="77777777" w:rsidR="00635131" w:rsidRPr="00635131" w:rsidRDefault="00635131">
      <w:pPr>
        <w:pStyle w:val="ListParagraph"/>
        <w:numPr>
          <w:ilvl w:val="1"/>
          <w:numId w:val="55"/>
        </w:numPr>
        <w:autoSpaceDE w:val="0"/>
        <w:autoSpaceDN w:val="0"/>
        <w:adjustRightInd w:val="0"/>
        <w:snapToGrid w:val="0"/>
        <w:spacing w:line="276" w:lineRule="auto"/>
        <w:ind w:leftChars="0"/>
        <w:jc w:val="both"/>
        <w:rPr>
          <w:rFonts w:ascii="Times New Roman" w:hAnsi="Times New Roman"/>
          <w:szCs w:val="20"/>
          <w:lang w:val="en-US"/>
        </w:rPr>
      </w:pPr>
      <w:r w:rsidRPr="00635131">
        <w:rPr>
          <w:rFonts w:ascii="Times New Roman" w:hAnsi="Times New Roman"/>
          <w:szCs w:val="20"/>
          <w:lang w:val="en-US"/>
        </w:rPr>
        <w:t>FFS: any further information needs to be reported to MAC layer, provided to L1 or utilized for MCSt</w:t>
      </w:r>
    </w:p>
    <w:p w14:paraId="53A1D884" w14:textId="77777777" w:rsidR="00635131" w:rsidRPr="00635131" w:rsidRDefault="00635131">
      <w:pPr>
        <w:pStyle w:val="ListParagraph"/>
        <w:numPr>
          <w:ilvl w:val="1"/>
          <w:numId w:val="55"/>
        </w:numPr>
        <w:autoSpaceDE w:val="0"/>
        <w:autoSpaceDN w:val="0"/>
        <w:adjustRightInd w:val="0"/>
        <w:snapToGrid w:val="0"/>
        <w:spacing w:line="276" w:lineRule="auto"/>
        <w:ind w:leftChars="0"/>
        <w:jc w:val="both"/>
        <w:rPr>
          <w:rFonts w:ascii="Times New Roman" w:hAnsi="Times New Roman"/>
          <w:szCs w:val="20"/>
          <w:lang w:val="en-US"/>
        </w:rPr>
      </w:pPr>
      <w:r w:rsidRPr="00635131">
        <w:rPr>
          <w:rFonts w:ascii="Times New Roman" w:hAnsi="Times New Roman"/>
          <w:szCs w:val="20"/>
          <w:lang w:val="en-US"/>
        </w:rPr>
        <w:t>FFS: whether/how to consider the additional LBT time in SL resource allocation</w:t>
      </w:r>
    </w:p>
    <w:p w14:paraId="32D84EE3" w14:textId="77777777" w:rsidR="00635131" w:rsidRPr="00635131" w:rsidRDefault="00635131" w:rsidP="00F1272C">
      <w:pPr>
        <w:pStyle w:val="3GPPNormalText"/>
        <w:spacing w:before="120" w:after="240"/>
        <w:rPr>
          <w:lang w:val="en-US"/>
        </w:rPr>
      </w:pPr>
    </w:p>
    <w:p w14:paraId="03125E1F" w14:textId="77777777" w:rsidR="004027E3" w:rsidRPr="00F1272C" w:rsidRDefault="004027E3" w:rsidP="00F1272C">
      <w:pPr>
        <w:pStyle w:val="3GPPNormalText"/>
        <w:spacing w:before="120" w:after="240"/>
        <w:rPr>
          <w:lang w:val="en-AU"/>
        </w:rPr>
      </w:pPr>
    </w:p>
    <w:p w14:paraId="622535D0" w14:textId="77777777" w:rsidR="0052044C" w:rsidRDefault="0052044C">
      <w:pPr>
        <w:rPr>
          <w:rFonts w:ascii="Arial" w:eastAsia="SimSun" w:hAnsi="Arial"/>
          <w:color w:val="000000" w:themeColor="text1"/>
          <w:sz w:val="36"/>
          <w:szCs w:val="20"/>
        </w:rPr>
      </w:pPr>
      <w:r>
        <w:rPr>
          <w:color w:val="000000" w:themeColor="text1"/>
        </w:rPr>
        <w:br w:type="page"/>
      </w:r>
    </w:p>
    <w:p w14:paraId="47734C42" w14:textId="50A84328" w:rsidR="00E41505" w:rsidRDefault="00A72AFA" w:rsidP="0000254F">
      <w:pPr>
        <w:pStyle w:val="3GPPH1"/>
      </w:pPr>
      <w:r w:rsidRPr="00A72AFA">
        <w:rPr>
          <w:color w:val="000000" w:themeColor="text1"/>
        </w:rPr>
        <w:lastRenderedPageBreak/>
        <w:t>Topics</w:t>
      </w:r>
      <w:r w:rsidR="00C6511A" w:rsidRPr="00A72AFA">
        <w:rPr>
          <w:color w:val="000000" w:themeColor="text1"/>
        </w:rPr>
        <w:t xml:space="preserve"> </w:t>
      </w:r>
      <w:r w:rsidRPr="00A72AFA">
        <w:rPr>
          <w:color w:val="000000" w:themeColor="text1"/>
        </w:rPr>
        <w:t>for</w:t>
      </w:r>
      <w:r w:rsidR="00C6511A">
        <w:t xml:space="preserve"> discussion</w:t>
      </w:r>
    </w:p>
    <w:p w14:paraId="227926F4" w14:textId="77777777" w:rsidR="00F4434F" w:rsidRPr="00FB6482" w:rsidRDefault="00F4434F" w:rsidP="00F4434F">
      <w:pPr>
        <w:rPr>
          <w:highlight w:val="cyan"/>
          <w:lang w:val="en-US" w:eastAsia="x-none"/>
        </w:rPr>
      </w:pPr>
      <w:bookmarkStart w:id="7" w:name="_Hlk55222664"/>
      <w:bookmarkStart w:id="8" w:name="_Hlk54027001"/>
      <w:r w:rsidRPr="00FB6482">
        <w:rPr>
          <w:highlight w:val="cyan"/>
          <w:lang w:eastAsia="x-none"/>
        </w:rPr>
        <w:t>[110bis-e-R18-SL-01] Email discussion on channel access mechanism for unlicensed spectrum by October 19 – Kevin (OPPO)</w:t>
      </w:r>
    </w:p>
    <w:p w14:paraId="1CD818A3" w14:textId="77777777" w:rsidR="00F4434F" w:rsidRPr="00FB6482" w:rsidRDefault="00F4434F">
      <w:pPr>
        <w:numPr>
          <w:ilvl w:val="0"/>
          <w:numId w:val="31"/>
        </w:numPr>
        <w:rPr>
          <w:highlight w:val="cyan"/>
          <w:lang w:eastAsia="x-none"/>
        </w:rPr>
      </w:pPr>
      <w:r w:rsidRPr="00FB6482">
        <w:rPr>
          <w:highlight w:val="cyan"/>
          <w:lang w:eastAsia="x-none"/>
        </w:rPr>
        <w:t>Check points: October 14, October 19</w:t>
      </w:r>
    </w:p>
    <w:p w14:paraId="6D64AC24" w14:textId="634F6D6C" w:rsidR="00FA7ED4" w:rsidRPr="006C7AB1" w:rsidRDefault="005379E4" w:rsidP="00CF5D09">
      <w:pPr>
        <w:pStyle w:val="Heading2"/>
        <w:rPr>
          <w:color w:val="000000" w:themeColor="text1"/>
        </w:rPr>
      </w:pPr>
      <w:r>
        <w:rPr>
          <w:color w:val="000000" w:themeColor="text1"/>
        </w:rPr>
        <w:t>[</w:t>
      </w:r>
      <w:r w:rsidR="00650E3B">
        <w:rPr>
          <w:color w:val="000000" w:themeColor="text1"/>
        </w:rPr>
        <w:t>CLOSED</w:t>
      </w:r>
      <w:r>
        <w:rPr>
          <w:color w:val="000000" w:themeColor="text1"/>
        </w:rPr>
        <w:t xml:space="preserve">] </w:t>
      </w:r>
      <w:r w:rsidR="006C28B9" w:rsidRPr="006C7AB1">
        <w:rPr>
          <w:color w:val="000000" w:themeColor="text1"/>
        </w:rPr>
        <w:t>Topic</w:t>
      </w:r>
      <w:r w:rsidR="00A55DAA" w:rsidRPr="006C7AB1">
        <w:rPr>
          <w:color w:val="000000" w:themeColor="text1"/>
        </w:rPr>
        <w:t xml:space="preserve"> #</w:t>
      </w:r>
      <w:r w:rsidR="0017237F">
        <w:rPr>
          <w:color w:val="000000" w:themeColor="text1"/>
        </w:rPr>
        <w:t>1</w:t>
      </w:r>
      <w:r w:rsidR="00A55DAA" w:rsidRPr="006C7AB1">
        <w:rPr>
          <w:color w:val="000000" w:themeColor="text1"/>
        </w:rPr>
        <w:t xml:space="preserve">: </w:t>
      </w:r>
      <w:r w:rsidR="00DB7012">
        <w:rPr>
          <w:color w:val="000000" w:themeColor="text1"/>
        </w:rPr>
        <w:t>Type 1 SL channel access procedure</w:t>
      </w:r>
    </w:p>
    <w:p w14:paraId="3EB83CE6" w14:textId="1DC69002" w:rsidR="00F13CDC" w:rsidRPr="00F30972" w:rsidRDefault="006C7AB1" w:rsidP="00E92096">
      <w:pPr>
        <w:autoSpaceDE w:val="0"/>
        <w:autoSpaceDN w:val="0"/>
        <w:spacing w:after="120"/>
        <w:jc w:val="both"/>
        <w:rPr>
          <w:rFonts w:ascii="Calibri" w:hAnsi="Calibri" w:cs="Calibri"/>
          <w:color w:val="000000" w:themeColor="text1"/>
          <w:sz w:val="22"/>
        </w:rPr>
      </w:pPr>
      <w:r w:rsidRPr="00F30972">
        <w:rPr>
          <w:rFonts w:ascii="Calibri" w:hAnsi="Calibri" w:cs="Calibri"/>
          <w:b/>
          <w:bCs/>
          <w:color w:val="000000" w:themeColor="text1"/>
          <w:sz w:val="22"/>
          <w:u w:val="single"/>
        </w:rPr>
        <w:t>Background</w:t>
      </w:r>
      <w:r w:rsidRPr="00F30972">
        <w:rPr>
          <w:rFonts w:ascii="Calibri" w:hAnsi="Calibri" w:cs="Calibri"/>
          <w:color w:val="000000" w:themeColor="text1"/>
          <w:sz w:val="22"/>
        </w:rPr>
        <w:t xml:space="preserve">: </w:t>
      </w:r>
      <w:r w:rsidR="00F13CDC" w:rsidRPr="00F30972">
        <w:rPr>
          <w:rFonts w:ascii="Calibri" w:hAnsi="Calibri" w:cs="Calibri"/>
          <w:color w:val="000000" w:themeColor="text1"/>
          <w:sz w:val="22"/>
        </w:rPr>
        <w:t xml:space="preserve">During the RAN1#109-e meeting, </w:t>
      </w:r>
      <w:r w:rsidR="00F30972" w:rsidRPr="00F30972">
        <w:rPr>
          <w:rFonts w:ascii="Calibri" w:hAnsi="Calibri" w:cs="Calibri"/>
          <w:color w:val="000000" w:themeColor="text1"/>
          <w:sz w:val="22"/>
        </w:rPr>
        <w:t>the following agreement was reached on Type 1 and Type 2 channel access procedures with an FFS on the SL channel and signal transmitted.</w:t>
      </w:r>
    </w:p>
    <w:tbl>
      <w:tblPr>
        <w:tblStyle w:val="TableGrid"/>
        <w:tblW w:w="0" w:type="auto"/>
        <w:tblLook w:val="04A0" w:firstRow="1" w:lastRow="0" w:firstColumn="1" w:lastColumn="0" w:noHBand="0" w:noVBand="1"/>
      </w:tblPr>
      <w:tblGrid>
        <w:gridCol w:w="9631"/>
      </w:tblGrid>
      <w:tr w:rsidR="00484FB0" w14:paraId="1574DD87" w14:textId="77777777" w:rsidTr="00484FB0">
        <w:tc>
          <w:tcPr>
            <w:tcW w:w="9631" w:type="dxa"/>
          </w:tcPr>
          <w:p w14:paraId="75DA9185" w14:textId="77777777" w:rsidR="007D4DEE" w:rsidRDefault="007D4DEE" w:rsidP="007D4DEE">
            <w:pPr>
              <w:autoSpaceDE w:val="0"/>
              <w:autoSpaceDN w:val="0"/>
              <w:spacing w:before="60"/>
              <w:jc w:val="both"/>
              <w:rPr>
                <w:rFonts w:cs="Times"/>
                <w:b/>
                <w:bCs/>
              </w:rPr>
            </w:pPr>
            <w:r>
              <w:rPr>
                <w:rFonts w:cs="Times"/>
                <w:b/>
                <w:bCs/>
                <w:highlight w:val="green"/>
              </w:rPr>
              <w:t>Agreement</w:t>
            </w:r>
          </w:p>
          <w:p w14:paraId="5D0D9BBE" w14:textId="77777777" w:rsidR="007D4DEE" w:rsidRDefault="007D4DEE" w:rsidP="007D4DEE">
            <w:pPr>
              <w:autoSpaceDE w:val="0"/>
              <w:autoSpaceDN w:val="0"/>
              <w:jc w:val="both"/>
              <w:rPr>
                <w:rFonts w:cs="Times"/>
              </w:rPr>
            </w:pPr>
            <w:r>
              <w:rPr>
                <w:rFonts w:cs="Times"/>
              </w:rPr>
              <w:t xml:space="preserve">Type 1 and Type 2 (2A/2B/2C) channel access </w:t>
            </w:r>
            <w:r>
              <w:rPr>
                <w:rFonts w:cs="Times"/>
                <w:color w:val="000000"/>
              </w:rPr>
              <w:t>procedures</w:t>
            </w:r>
            <w:r>
              <w:rPr>
                <w:rFonts w:cs="Times"/>
              </w:rPr>
              <w:t>, transmission gap and LBT sensing idle time requirements specified in TS37.213 for NR-U are taken as baseline for NR sidelink operation in a shared channel.</w:t>
            </w:r>
          </w:p>
          <w:p w14:paraId="6E1CAEBF" w14:textId="77777777" w:rsidR="007D4DEE" w:rsidRDefault="007D4DEE" w:rsidP="007D4DEE">
            <w:pPr>
              <w:pStyle w:val="ListParagraph"/>
              <w:numPr>
                <w:ilvl w:val="0"/>
                <w:numId w:val="18"/>
              </w:numPr>
              <w:autoSpaceDE w:val="0"/>
              <w:autoSpaceDN w:val="0"/>
              <w:ind w:leftChars="0"/>
              <w:jc w:val="both"/>
              <w:rPr>
                <w:rFonts w:cs="Times"/>
              </w:rPr>
            </w:pPr>
            <w:r>
              <w:rPr>
                <w:rFonts w:cs="Times"/>
              </w:rPr>
              <w:t>FFS conditions for the actual channel access type(s) used for each SL channel and signal transmitted, and based on COT sharing conditions (if supported)</w:t>
            </w:r>
          </w:p>
          <w:p w14:paraId="5D68D6B6" w14:textId="77777777" w:rsidR="007D4DEE" w:rsidRDefault="007D4DEE" w:rsidP="007D4DEE">
            <w:pPr>
              <w:pStyle w:val="ListParagraph"/>
              <w:numPr>
                <w:ilvl w:val="0"/>
                <w:numId w:val="18"/>
              </w:numPr>
              <w:autoSpaceDE w:val="0"/>
              <w:autoSpaceDN w:val="0"/>
              <w:ind w:leftChars="0"/>
              <w:jc w:val="both"/>
              <w:rPr>
                <w:rFonts w:cs="Times"/>
              </w:rPr>
            </w:pPr>
            <w:r>
              <w:rPr>
                <w:rFonts w:cs="Times"/>
              </w:rPr>
              <w:t xml:space="preserve">FFS whether UL CAPC or DL CAPC or both should be used as the baseline, </w:t>
            </w:r>
          </w:p>
          <w:p w14:paraId="1A01F1BD" w14:textId="77777777" w:rsidR="007D4DEE" w:rsidRDefault="007D4DEE" w:rsidP="007D4DEE">
            <w:pPr>
              <w:pStyle w:val="ListParagraph"/>
              <w:numPr>
                <w:ilvl w:val="1"/>
                <w:numId w:val="18"/>
              </w:numPr>
              <w:autoSpaceDE w:val="0"/>
              <w:autoSpaceDN w:val="0"/>
              <w:ind w:leftChars="0"/>
              <w:jc w:val="both"/>
              <w:rPr>
                <w:rFonts w:cs="Times"/>
              </w:rPr>
            </w:pPr>
            <w:r>
              <w:rPr>
                <w:rFonts w:cs="Times"/>
              </w:rPr>
              <w:t>FFS how the channel access priority classes apply to each SL channel and signal</w:t>
            </w:r>
          </w:p>
          <w:p w14:paraId="6FF497EA" w14:textId="5C1EC343" w:rsidR="00484FB0" w:rsidRPr="007D4DEE" w:rsidRDefault="007D4DEE" w:rsidP="007D4DEE">
            <w:pPr>
              <w:pStyle w:val="ListParagraph"/>
              <w:numPr>
                <w:ilvl w:val="1"/>
                <w:numId w:val="18"/>
              </w:numPr>
              <w:autoSpaceDE w:val="0"/>
              <w:autoSpaceDN w:val="0"/>
              <w:spacing w:after="60"/>
              <w:ind w:leftChars="0"/>
              <w:jc w:val="both"/>
              <w:rPr>
                <w:rFonts w:cs="Times"/>
              </w:rPr>
            </w:pPr>
            <w:r>
              <w:rPr>
                <w:rFonts w:cs="Times"/>
              </w:rPr>
              <w:t>FFS sidelink priority levels (PQI or L1 priority), channel and signal mapping to the 4 channel access priority classes. The discussion may involve other WGs.</w:t>
            </w:r>
          </w:p>
        </w:tc>
      </w:tr>
    </w:tbl>
    <w:p w14:paraId="7F61F901" w14:textId="4F82D019" w:rsidR="00C8010E" w:rsidRPr="00E52F51" w:rsidRDefault="00484FB0" w:rsidP="00F30972">
      <w:pPr>
        <w:autoSpaceDE w:val="0"/>
        <w:autoSpaceDN w:val="0"/>
        <w:spacing w:before="120" w:after="120"/>
        <w:jc w:val="both"/>
        <w:rPr>
          <w:rFonts w:ascii="Calibri" w:hAnsi="Calibri" w:cs="Calibri"/>
          <w:color w:val="000000" w:themeColor="text1"/>
          <w:sz w:val="22"/>
        </w:rPr>
      </w:pPr>
      <w:r w:rsidRPr="00E52F51">
        <w:rPr>
          <w:rFonts w:ascii="Calibri" w:hAnsi="Calibri" w:cs="Calibri"/>
          <w:color w:val="000000" w:themeColor="text1"/>
          <w:sz w:val="22"/>
        </w:rPr>
        <w:t xml:space="preserve">To make further progress on the Type 1 channel access procedure for SL, as also stipulated in the WID [1] that the existing NR-U channel access framework </w:t>
      </w:r>
      <w:r w:rsidR="00F30972" w:rsidRPr="00E52F51">
        <w:rPr>
          <w:rFonts w:ascii="Calibri" w:hAnsi="Calibri" w:cs="Calibri"/>
          <w:color w:val="000000" w:themeColor="text1"/>
          <w:sz w:val="22"/>
        </w:rPr>
        <w:t>is to</w:t>
      </w:r>
      <w:r w:rsidRPr="00E52F51">
        <w:rPr>
          <w:rFonts w:ascii="Calibri" w:hAnsi="Calibri" w:cs="Calibri"/>
          <w:color w:val="000000" w:themeColor="text1"/>
          <w:sz w:val="22"/>
        </w:rPr>
        <w:t xml:space="preserve"> be reused (otherwise subject to RAN approval), it is proposed to </w:t>
      </w:r>
      <w:r w:rsidR="00F30972" w:rsidRPr="00E52F51">
        <w:rPr>
          <w:rFonts w:ascii="Calibri" w:hAnsi="Calibri" w:cs="Calibri"/>
          <w:color w:val="000000" w:themeColor="text1"/>
          <w:sz w:val="22"/>
        </w:rPr>
        <w:t xml:space="preserve">reuse the Type 1 channel access procedure from NR-U. </w:t>
      </w:r>
      <w:r w:rsidR="008A4734" w:rsidRPr="00E52F51">
        <w:rPr>
          <w:rFonts w:ascii="Calibri" w:hAnsi="Calibri" w:cs="Calibri"/>
          <w:color w:val="000000" w:themeColor="text1"/>
          <w:sz w:val="22"/>
        </w:rPr>
        <w:t>From the Tdoc review in this meeting, many also expressed that the Type 1 channel access procedure should be applicable to all SL transmissions (including PSSCH/PSCCH, S-SSB and PSFCH), just as in NR-U for all Uu transmissions. Therefore, it is proposed to explicitly agree on these aspects.</w:t>
      </w:r>
    </w:p>
    <w:p w14:paraId="2EF717E2" w14:textId="0B5B9923" w:rsidR="0089134E" w:rsidRPr="0089134E" w:rsidRDefault="008A4734" w:rsidP="00356193">
      <w:pPr>
        <w:autoSpaceDE w:val="0"/>
        <w:autoSpaceDN w:val="0"/>
        <w:spacing w:after="60"/>
        <w:jc w:val="both"/>
        <w:rPr>
          <w:rFonts w:ascii="Calibri" w:hAnsi="Calibri" w:cs="Calibri"/>
          <w:color w:val="000000" w:themeColor="text1"/>
          <w:sz w:val="22"/>
        </w:rPr>
      </w:pPr>
      <w:r>
        <w:rPr>
          <w:rFonts w:ascii="Calibri" w:hAnsi="Calibri" w:cs="Calibri"/>
          <w:color w:val="000000" w:themeColor="text1"/>
          <w:sz w:val="22"/>
        </w:rPr>
        <w:t xml:space="preserve">Between the existing </w:t>
      </w:r>
      <w:r w:rsidRPr="0089134E">
        <w:rPr>
          <w:rFonts w:ascii="Calibri" w:hAnsi="Calibri" w:cs="Calibri"/>
          <w:color w:val="000000" w:themeColor="text1"/>
          <w:sz w:val="22"/>
        </w:rPr>
        <w:t xml:space="preserve">DL and UL </w:t>
      </w:r>
      <w:r>
        <w:rPr>
          <w:rFonts w:ascii="Calibri" w:hAnsi="Calibri" w:cs="Calibri"/>
          <w:color w:val="000000" w:themeColor="text1"/>
          <w:sz w:val="22"/>
        </w:rPr>
        <w:t xml:space="preserve">Type 1 </w:t>
      </w:r>
      <w:r w:rsidRPr="0089134E">
        <w:rPr>
          <w:rFonts w:ascii="Calibri" w:hAnsi="Calibri" w:cs="Calibri"/>
          <w:color w:val="000000" w:themeColor="text1"/>
          <w:sz w:val="22"/>
        </w:rPr>
        <w:t>channel access procedures</w:t>
      </w:r>
      <w:r>
        <w:rPr>
          <w:rFonts w:ascii="Calibri" w:hAnsi="Calibri" w:cs="Calibri"/>
          <w:color w:val="000000" w:themeColor="text1"/>
          <w:sz w:val="22"/>
        </w:rPr>
        <w:t>, it is observed t</w:t>
      </w:r>
      <w:r w:rsidR="0089134E" w:rsidRPr="0089134E">
        <w:rPr>
          <w:rFonts w:ascii="Calibri" w:hAnsi="Calibri" w:cs="Calibri"/>
          <w:color w:val="000000" w:themeColor="text1"/>
          <w:sz w:val="22"/>
        </w:rPr>
        <w:t xml:space="preserve">he main procedure and steps are </w:t>
      </w:r>
      <w:r w:rsidR="00C739AA">
        <w:rPr>
          <w:rFonts w:ascii="Calibri" w:hAnsi="Calibri" w:cs="Calibri"/>
          <w:color w:val="000000" w:themeColor="text1"/>
          <w:sz w:val="22"/>
        </w:rPr>
        <w:t>in principle</w:t>
      </w:r>
      <w:r w:rsidR="0089134E" w:rsidRPr="0089134E">
        <w:rPr>
          <w:rFonts w:ascii="Calibri" w:hAnsi="Calibri" w:cs="Calibri"/>
          <w:color w:val="000000" w:themeColor="text1"/>
          <w:sz w:val="22"/>
        </w:rPr>
        <w:t xml:space="preserve"> the same </w:t>
      </w:r>
      <w:r>
        <w:rPr>
          <w:rFonts w:ascii="Calibri" w:hAnsi="Calibri" w:cs="Calibri"/>
          <w:color w:val="000000" w:themeColor="text1"/>
          <w:sz w:val="22"/>
        </w:rPr>
        <w:t>but</w:t>
      </w:r>
      <w:r w:rsidR="0089134E" w:rsidRPr="0089134E">
        <w:rPr>
          <w:rFonts w:ascii="Calibri" w:hAnsi="Calibri" w:cs="Calibri"/>
          <w:color w:val="000000" w:themeColor="text1"/>
          <w:sz w:val="22"/>
        </w:rPr>
        <w:t xml:space="preserve"> </w:t>
      </w:r>
      <w:r w:rsidR="00C739AA">
        <w:rPr>
          <w:rFonts w:ascii="Calibri" w:hAnsi="Calibri" w:cs="Calibri"/>
          <w:color w:val="000000" w:themeColor="text1"/>
          <w:sz w:val="22"/>
        </w:rPr>
        <w:t>with some differences on the types of transmission</w:t>
      </w:r>
      <w:r w:rsidR="00356193">
        <w:rPr>
          <w:rFonts w:ascii="Calibri" w:hAnsi="Calibri" w:cs="Calibri"/>
          <w:color w:val="000000" w:themeColor="text1"/>
          <w:sz w:val="22"/>
        </w:rPr>
        <w:t>, limitation on the channel occupancy time</w:t>
      </w:r>
      <w:r w:rsidR="00C739AA">
        <w:rPr>
          <w:rFonts w:ascii="Calibri" w:hAnsi="Calibri" w:cs="Calibri"/>
          <w:color w:val="000000" w:themeColor="text1"/>
          <w:sz w:val="22"/>
        </w:rPr>
        <w:t xml:space="preserve"> </w:t>
      </w:r>
      <w:r w:rsidR="00E52F51">
        <w:rPr>
          <w:rFonts w:ascii="Calibri" w:hAnsi="Calibri" w:cs="Calibri"/>
          <w:color w:val="000000" w:themeColor="text1"/>
          <w:sz w:val="22"/>
        </w:rPr>
        <w:t xml:space="preserve">and selection of priority class </w:t>
      </w:r>
      <w:r w:rsidR="00C739AA">
        <w:rPr>
          <w:rFonts w:ascii="Calibri" w:hAnsi="Calibri" w:cs="Calibri"/>
          <w:color w:val="000000" w:themeColor="text1"/>
          <w:sz w:val="22"/>
        </w:rPr>
        <w:t>cover</w:t>
      </w:r>
      <w:r w:rsidR="00E52F51">
        <w:rPr>
          <w:rFonts w:ascii="Calibri" w:hAnsi="Calibri" w:cs="Calibri"/>
          <w:color w:val="000000" w:themeColor="text1"/>
          <w:sz w:val="22"/>
        </w:rPr>
        <w:t xml:space="preserve">ed in each procedure. </w:t>
      </w:r>
      <w:r w:rsidR="00356193">
        <w:rPr>
          <w:rFonts w:ascii="Calibri" w:hAnsi="Calibri" w:cs="Calibri"/>
          <w:color w:val="000000" w:themeColor="text1"/>
          <w:sz w:val="22"/>
        </w:rPr>
        <w:t xml:space="preserve">Since the SL operation in many cases is similar to DL, it is proposed to take the DL channel access procedure as the baseline. Note that, </w:t>
      </w:r>
      <w:r w:rsidR="00C739AA">
        <w:rPr>
          <w:rFonts w:ascii="Calibri" w:hAnsi="Calibri" w:cs="Calibri"/>
          <w:color w:val="000000" w:themeColor="text1"/>
          <w:sz w:val="22"/>
        </w:rPr>
        <w:t>the DL Type 1 procedure already covers</w:t>
      </w:r>
      <w:r w:rsidR="00356193">
        <w:rPr>
          <w:rFonts w:ascii="Calibri" w:hAnsi="Calibri" w:cs="Calibri"/>
          <w:color w:val="000000" w:themeColor="text1"/>
          <w:sz w:val="22"/>
        </w:rPr>
        <w:t>:</w:t>
      </w:r>
    </w:p>
    <w:p w14:paraId="41BC15C5" w14:textId="7D66A5CB" w:rsidR="0089134E" w:rsidRDefault="00C739AA" w:rsidP="00C739AA">
      <w:pPr>
        <w:pStyle w:val="ListParagraph"/>
        <w:numPr>
          <w:ilvl w:val="0"/>
          <w:numId w:val="20"/>
        </w:numPr>
        <w:autoSpaceDE w:val="0"/>
        <w:autoSpaceDN w:val="0"/>
        <w:ind w:leftChars="0"/>
        <w:jc w:val="both"/>
        <w:rPr>
          <w:rFonts w:ascii="Calibri" w:hAnsi="Calibri" w:cs="Calibri"/>
          <w:color w:val="000000" w:themeColor="text1"/>
          <w:sz w:val="22"/>
        </w:rPr>
      </w:pPr>
      <w:r>
        <w:rPr>
          <w:rFonts w:ascii="Calibri" w:hAnsi="Calibri" w:cs="Calibri"/>
          <w:color w:val="000000" w:themeColor="text1"/>
          <w:sz w:val="22"/>
        </w:rPr>
        <w:t>Discovery burst</w:t>
      </w:r>
      <w:r w:rsidR="002B7F99">
        <w:rPr>
          <w:rFonts w:ascii="Calibri" w:hAnsi="Calibri" w:cs="Calibri"/>
          <w:color w:val="000000" w:themeColor="text1"/>
          <w:sz w:val="22"/>
        </w:rPr>
        <w:t xml:space="preserve"> for SSB</w:t>
      </w:r>
    </w:p>
    <w:p w14:paraId="17CD9BDD" w14:textId="1E644047" w:rsidR="00C739AA" w:rsidRPr="00C739AA" w:rsidRDefault="00C739AA" w:rsidP="00C739AA">
      <w:pPr>
        <w:pStyle w:val="ListParagraph"/>
        <w:numPr>
          <w:ilvl w:val="0"/>
          <w:numId w:val="20"/>
        </w:numPr>
        <w:autoSpaceDE w:val="0"/>
        <w:autoSpaceDN w:val="0"/>
        <w:ind w:leftChars="0"/>
        <w:jc w:val="both"/>
        <w:rPr>
          <w:rFonts w:ascii="Calibri" w:hAnsi="Calibri" w:cs="Calibri"/>
          <w:color w:val="000000" w:themeColor="text1"/>
          <w:sz w:val="22"/>
        </w:rPr>
      </w:pPr>
      <w:r>
        <w:rPr>
          <w:rFonts w:ascii="Calibri" w:hAnsi="Calibri" w:cs="Calibri"/>
          <w:color w:val="000000" w:themeColor="text1"/>
          <w:sz w:val="22"/>
        </w:rPr>
        <w:t>Limitation on transmitting on a channel for a COT that shall</w:t>
      </w:r>
      <w:r w:rsidRPr="00C739AA">
        <w:rPr>
          <w:rFonts w:ascii="Calibri" w:hAnsi="Calibri" w:cs="Calibri"/>
          <w:color w:val="000000" w:themeColor="text1"/>
          <w:sz w:val="22"/>
          <w:szCs w:val="22"/>
        </w:rPr>
        <w:t xml:space="preserve"> not exceeds </w:t>
      </w:r>
      <m:oMath>
        <m:sSub>
          <m:sSubPr>
            <m:ctrlPr>
              <w:rPr>
                <w:rFonts w:ascii="Cambria Math" w:hAnsi="Cambria Math"/>
                <w:i/>
                <w:sz w:val="22"/>
                <w:szCs w:val="22"/>
              </w:rPr>
            </m:ctrlPr>
          </m:sSubPr>
          <m:e>
            <m:r>
              <w:rPr>
                <w:rFonts w:ascii="Cambria Math" w:hAnsi="Cambria Math"/>
                <w:sz w:val="22"/>
                <w:szCs w:val="22"/>
              </w:rPr>
              <m:t>T</m:t>
            </m:r>
          </m:e>
          <m:sub>
            <m:r>
              <w:rPr>
                <w:rFonts w:ascii="Cambria Math" w:hAnsi="Cambria Math"/>
                <w:sz w:val="22"/>
                <w:szCs w:val="22"/>
              </w:rPr>
              <m:t>m</m:t>
            </m:r>
            <m:func>
              <m:funcPr>
                <m:ctrlPr>
                  <w:rPr>
                    <w:rFonts w:ascii="Cambria Math" w:hAnsi="Cambria Math"/>
                    <w:i/>
                    <w:sz w:val="22"/>
                    <w:szCs w:val="22"/>
                  </w:rPr>
                </m:ctrlPr>
              </m:funcPr>
              <m:fName>
                <m:r>
                  <w:rPr>
                    <w:rFonts w:ascii="Cambria Math" w:hAnsi="Cambria Math"/>
                    <w:sz w:val="22"/>
                    <w:szCs w:val="22"/>
                  </w:rPr>
                  <m:t>cot</m:t>
                </m:r>
                <m:r>
                  <w:rPr>
                    <w:rFonts w:ascii="Cambria Math" w:hAnsi="Cambria Math"/>
                    <w:sz w:val="22"/>
                    <w:szCs w:val="22"/>
                    <w:lang w:val="en-US"/>
                  </w:rPr>
                  <m:t>,</m:t>
                </m:r>
              </m:fName>
              <m:e>
                <m:r>
                  <w:rPr>
                    <w:rFonts w:ascii="Cambria Math" w:hAnsi="Cambria Math"/>
                    <w:sz w:val="22"/>
                    <w:szCs w:val="22"/>
                  </w:rPr>
                  <m:t>p</m:t>
                </m:r>
              </m:e>
            </m:func>
          </m:sub>
        </m:sSub>
      </m:oMath>
      <w:r w:rsidRPr="00C739AA">
        <w:rPr>
          <w:rFonts w:ascii="Calibri" w:hAnsi="Calibri" w:cs="Calibri"/>
          <w:sz w:val="22"/>
          <w:szCs w:val="22"/>
        </w:rPr>
        <w:t>, where is not needed/</w:t>
      </w:r>
      <w:r w:rsidR="00E52F51">
        <w:rPr>
          <w:rFonts w:ascii="Calibri" w:hAnsi="Calibri" w:cs="Calibri"/>
          <w:sz w:val="22"/>
          <w:szCs w:val="22"/>
        </w:rPr>
        <w:t>covered</w:t>
      </w:r>
      <w:r w:rsidRPr="00C739AA">
        <w:rPr>
          <w:rFonts w:ascii="Calibri" w:hAnsi="Calibri" w:cs="Calibri"/>
          <w:sz w:val="22"/>
          <w:szCs w:val="22"/>
        </w:rPr>
        <w:t xml:space="preserve"> in the UL procedure</w:t>
      </w:r>
    </w:p>
    <w:p w14:paraId="5A45B20A" w14:textId="27336CD2" w:rsidR="00C739AA" w:rsidRDefault="002B7F99" w:rsidP="00C739AA">
      <w:pPr>
        <w:pStyle w:val="ListParagraph"/>
        <w:numPr>
          <w:ilvl w:val="0"/>
          <w:numId w:val="20"/>
        </w:numPr>
        <w:autoSpaceDE w:val="0"/>
        <w:autoSpaceDN w:val="0"/>
        <w:ind w:leftChars="0"/>
        <w:jc w:val="both"/>
        <w:rPr>
          <w:rFonts w:ascii="Calibri" w:hAnsi="Calibri" w:cs="Calibri"/>
          <w:color w:val="000000" w:themeColor="text1"/>
          <w:sz w:val="22"/>
        </w:rPr>
      </w:pPr>
      <w:r>
        <w:rPr>
          <w:rFonts w:ascii="Calibri" w:hAnsi="Calibri" w:cs="Calibri"/>
          <w:color w:val="000000" w:themeColor="text1"/>
          <w:sz w:val="22"/>
        </w:rPr>
        <w:t>The description uses “sensing slots” in the DL section and just “slots” in the UL section. I believe the term “sensing slots” is more accurate.</w:t>
      </w:r>
    </w:p>
    <w:p w14:paraId="702A956A" w14:textId="77777777" w:rsidR="00C739AA" w:rsidRPr="00C739AA" w:rsidRDefault="00C739AA" w:rsidP="00C739AA">
      <w:pPr>
        <w:autoSpaceDE w:val="0"/>
        <w:autoSpaceDN w:val="0"/>
        <w:jc w:val="both"/>
        <w:rPr>
          <w:rFonts w:ascii="Calibri" w:hAnsi="Calibri" w:cs="Calibri"/>
          <w:color w:val="000000" w:themeColor="text1"/>
          <w:sz w:val="22"/>
        </w:rPr>
      </w:pPr>
    </w:p>
    <w:p w14:paraId="00E95125" w14:textId="79F1F391" w:rsidR="00AE46B2" w:rsidRDefault="00AE46B2" w:rsidP="00AE46B2">
      <w:pPr>
        <w:pStyle w:val="Heading3"/>
      </w:pPr>
      <w:r>
        <w:t>FL Proposal for Week 1 Monday GTW</w:t>
      </w:r>
    </w:p>
    <w:p w14:paraId="23B0F2FB" w14:textId="77777777" w:rsidR="00AE46B2" w:rsidRDefault="00AE46B2" w:rsidP="00BD6C98">
      <w:pPr>
        <w:rPr>
          <w:rStyle w:val="Strong"/>
          <w:rFonts w:asciiTheme="minorHAnsi" w:hAnsiTheme="minorHAnsi" w:cstheme="minorHAnsi"/>
          <w:sz w:val="22"/>
          <w:szCs w:val="22"/>
          <w:highlight w:val="yellow"/>
        </w:rPr>
      </w:pPr>
    </w:p>
    <w:p w14:paraId="7D3790A8" w14:textId="400BE730" w:rsidR="00BD6C98" w:rsidRPr="00B638B4" w:rsidRDefault="00BD6C98" w:rsidP="00BD6C98">
      <w:pPr>
        <w:rPr>
          <w:rFonts w:asciiTheme="minorHAnsi" w:hAnsiTheme="minorHAnsi" w:cstheme="minorHAnsi"/>
          <w:sz w:val="22"/>
          <w:szCs w:val="22"/>
          <w:lang w:eastAsia="zh-CN"/>
        </w:rPr>
      </w:pPr>
      <w:r w:rsidRPr="001127E7">
        <w:rPr>
          <w:rStyle w:val="Strong"/>
          <w:rFonts w:asciiTheme="minorHAnsi" w:hAnsiTheme="minorHAnsi" w:cstheme="minorHAnsi"/>
          <w:sz w:val="22"/>
          <w:szCs w:val="22"/>
        </w:rPr>
        <w:t>Proposal 1 (I):</w:t>
      </w:r>
    </w:p>
    <w:p w14:paraId="00F861B9" w14:textId="2A9A25DE" w:rsidR="00B638B4" w:rsidRPr="00AE46B2" w:rsidRDefault="00AE46B2" w:rsidP="00AE46B2">
      <w:pPr>
        <w:pStyle w:val="3GPPAgreements"/>
        <w:rPr>
          <w:rFonts w:asciiTheme="minorHAnsi" w:hAnsiTheme="minorHAnsi" w:cstheme="minorHAnsi"/>
        </w:rPr>
      </w:pPr>
      <w:r w:rsidRPr="00AE46B2">
        <w:rPr>
          <w:rFonts w:asciiTheme="minorHAnsi" w:hAnsiTheme="minorHAnsi" w:cstheme="minorHAnsi"/>
          <w:lang w:val="en-GB"/>
        </w:rPr>
        <w:t>Type 1 SL channel access procedure is applicable to the following transmissions by a UE:</w:t>
      </w:r>
    </w:p>
    <w:p w14:paraId="53C998E6" w14:textId="4215B693" w:rsidR="00B638B4" w:rsidRPr="00AE46B2" w:rsidRDefault="00AE46B2" w:rsidP="00AE46B2">
      <w:pPr>
        <w:pStyle w:val="3GPPAgreements"/>
        <w:numPr>
          <w:ilvl w:val="1"/>
          <w:numId w:val="11"/>
        </w:numPr>
        <w:rPr>
          <w:rFonts w:asciiTheme="minorHAnsi" w:hAnsiTheme="minorHAnsi" w:cstheme="minorHAnsi"/>
        </w:rPr>
      </w:pPr>
      <w:r w:rsidRPr="00AE46B2">
        <w:rPr>
          <w:rFonts w:asciiTheme="minorHAnsi" w:hAnsiTheme="minorHAnsi" w:cstheme="minorHAnsi"/>
          <w:lang w:val="en-GB"/>
        </w:rPr>
        <w:t>PSSCH/PSCCH transmission(s) scheduled or configured by a gNB in SL Mode 1 resource allocation.</w:t>
      </w:r>
    </w:p>
    <w:p w14:paraId="5C2ADDAA" w14:textId="560A05C2" w:rsidR="00B638B4" w:rsidRPr="00AE46B2" w:rsidRDefault="00AE46B2" w:rsidP="00AE46B2">
      <w:pPr>
        <w:pStyle w:val="3GPPAgreements"/>
        <w:numPr>
          <w:ilvl w:val="1"/>
          <w:numId w:val="11"/>
        </w:numPr>
        <w:rPr>
          <w:rFonts w:asciiTheme="minorHAnsi" w:hAnsiTheme="minorHAnsi" w:cstheme="minorHAnsi"/>
        </w:rPr>
      </w:pPr>
      <w:r w:rsidRPr="00AE46B2">
        <w:rPr>
          <w:rFonts w:asciiTheme="minorHAnsi" w:hAnsiTheme="minorHAnsi" w:cstheme="minorHAnsi"/>
          <w:lang w:val="en-GB"/>
        </w:rPr>
        <w:t>PSSCH/PSCCH transmission(s) initiated by a UE in SL Mode 2 resource allocation.</w:t>
      </w:r>
    </w:p>
    <w:p w14:paraId="2E0E6732" w14:textId="540E7F66" w:rsidR="00AE46B2" w:rsidRPr="00AE46B2" w:rsidRDefault="00AE46B2" w:rsidP="00AE46B2">
      <w:pPr>
        <w:pStyle w:val="3GPPAgreements"/>
        <w:numPr>
          <w:ilvl w:val="1"/>
          <w:numId w:val="11"/>
        </w:numPr>
        <w:spacing w:after="120"/>
        <w:rPr>
          <w:rFonts w:asciiTheme="minorHAnsi" w:hAnsiTheme="minorHAnsi" w:cstheme="minorHAnsi"/>
        </w:rPr>
      </w:pPr>
      <w:r w:rsidRPr="00AE46B2">
        <w:rPr>
          <w:rFonts w:asciiTheme="minorHAnsi" w:hAnsiTheme="minorHAnsi" w:cstheme="minorHAnsi"/>
          <w:lang w:val="en-GB"/>
        </w:rPr>
        <w:t>Any other transmission(s) initiated by a UE.</w:t>
      </w:r>
    </w:p>
    <w:p w14:paraId="08655E3C" w14:textId="0DDCE3AD" w:rsidR="00B638B4" w:rsidRPr="00AE46B2" w:rsidRDefault="00B638B4" w:rsidP="00AE46B2">
      <w:pPr>
        <w:pStyle w:val="3GPPAgreements"/>
        <w:rPr>
          <w:rFonts w:asciiTheme="minorHAnsi" w:hAnsiTheme="minorHAnsi" w:cstheme="minorHAnsi"/>
        </w:rPr>
      </w:pPr>
      <w:r w:rsidRPr="00AE46B2">
        <w:rPr>
          <w:rFonts w:asciiTheme="minorHAnsi" w:hAnsiTheme="minorHAnsi" w:cstheme="minorHAnsi"/>
        </w:rPr>
        <w:t xml:space="preserve">The procedure </w:t>
      </w:r>
      <w:r w:rsidR="00AE46B2" w:rsidRPr="00AE46B2">
        <w:rPr>
          <w:rFonts w:asciiTheme="minorHAnsi" w:hAnsiTheme="minorHAnsi" w:cstheme="minorHAnsi"/>
        </w:rPr>
        <w:t xml:space="preserve">and </w:t>
      </w:r>
      <w:r w:rsidRPr="00AE46B2">
        <w:rPr>
          <w:rFonts w:asciiTheme="minorHAnsi" w:hAnsiTheme="minorHAnsi" w:cstheme="minorHAnsi"/>
        </w:rPr>
        <w:t xml:space="preserve">steps </w:t>
      </w:r>
      <w:r w:rsidR="00AE46B2" w:rsidRPr="00AE46B2">
        <w:rPr>
          <w:rFonts w:asciiTheme="minorHAnsi" w:hAnsiTheme="minorHAnsi" w:cstheme="minorHAnsi"/>
        </w:rPr>
        <w:t xml:space="preserve">in </w:t>
      </w:r>
      <w:r w:rsidRPr="00AE46B2">
        <w:rPr>
          <w:rFonts w:asciiTheme="minorHAnsi" w:hAnsiTheme="minorHAnsi" w:cstheme="minorHAnsi"/>
        </w:rPr>
        <w:t>TS37.213 Section 4.1.1 for Type 1 DL channel access are used as the baseline for the Type 1 SL channel access procedure.</w:t>
      </w:r>
    </w:p>
    <w:p w14:paraId="474AC7C7" w14:textId="272C5AC9" w:rsidR="00B638B4" w:rsidRPr="00AE46B2" w:rsidRDefault="00B638B4" w:rsidP="00E52F51">
      <w:pPr>
        <w:pStyle w:val="3GPPAgreements"/>
        <w:numPr>
          <w:ilvl w:val="1"/>
          <w:numId w:val="11"/>
        </w:numPr>
        <w:rPr>
          <w:rFonts w:asciiTheme="minorHAnsi" w:hAnsiTheme="minorHAnsi" w:cstheme="minorHAnsi"/>
        </w:rPr>
      </w:pPr>
      <w:r w:rsidRPr="00AE46B2">
        <w:rPr>
          <w:rFonts w:asciiTheme="minorHAnsi" w:hAnsiTheme="minorHAnsi" w:cstheme="minorHAnsi"/>
        </w:rPr>
        <w:t xml:space="preserve">FFS DL or UL CAPC table should be used </w:t>
      </w:r>
      <w:r w:rsidR="006D0B04" w:rsidRPr="00AE46B2">
        <w:rPr>
          <w:rFonts w:asciiTheme="minorHAnsi" w:hAnsiTheme="minorHAnsi" w:cstheme="minorHAnsi"/>
        </w:rPr>
        <w:t xml:space="preserve">and </w:t>
      </w:r>
      <m:oMath>
        <m:r>
          <w:rPr>
            <w:rFonts w:ascii="Cambria Math" w:hAnsi="Cambria Math" w:cstheme="minorHAnsi"/>
          </w:rPr>
          <m:t>C</m:t>
        </m:r>
        <m:sSub>
          <m:sSubPr>
            <m:ctrlPr>
              <w:rPr>
                <w:rFonts w:ascii="Cambria Math" w:hAnsi="Cambria Math" w:cstheme="minorHAnsi"/>
                <w:i/>
              </w:rPr>
            </m:ctrlPr>
          </m:sSubPr>
          <m:e>
            <m:r>
              <w:rPr>
                <w:rFonts w:ascii="Cambria Math" w:hAnsi="Cambria Math" w:cstheme="minorHAnsi"/>
              </w:rPr>
              <m:t>W</m:t>
            </m:r>
          </m:e>
          <m:sub>
            <m:r>
              <w:rPr>
                <w:rFonts w:ascii="Cambria Math" w:hAnsi="Cambria Math" w:cstheme="minorHAnsi"/>
              </w:rPr>
              <m:t>p</m:t>
            </m:r>
          </m:sub>
        </m:sSub>
      </m:oMath>
      <w:r w:rsidR="006D0B04" w:rsidRPr="00AE46B2">
        <w:rPr>
          <w:rFonts w:asciiTheme="minorHAnsi" w:hAnsiTheme="minorHAnsi" w:cstheme="minorHAnsi"/>
        </w:rPr>
        <w:t xml:space="preserve"> adjustment for SL transmission</w:t>
      </w:r>
    </w:p>
    <w:p w14:paraId="1CFE6B56" w14:textId="05BBB783" w:rsidR="002B7F99" w:rsidRDefault="006D0B04" w:rsidP="00E52F51">
      <w:pPr>
        <w:pStyle w:val="3GPPAgreements"/>
        <w:numPr>
          <w:ilvl w:val="1"/>
          <w:numId w:val="11"/>
        </w:numPr>
        <w:rPr>
          <w:rFonts w:asciiTheme="minorHAnsi" w:hAnsiTheme="minorHAnsi" w:cstheme="minorHAnsi"/>
        </w:rPr>
      </w:pPr>
      <w:r w:rsidRPr="00AE46B2">
        <w:rPr>
          <w:rFonts w:asciiTheme="minorHAnsi" w:hAnsiTheme="minorHAnsi" w:cstheme="minorHAnsi"/>
        </w:rPr>
        <w:t xml:space="preserve">FFS any other conditions or </w:t>
      </w:r>
      <w:r w:rsidR="00576596" w:rsidRPr="00AE46B2">
        <w:rPr>
          <w:rFonts w:asciiTheme="minorHAnsi" w:hAnsiTheme="minorHAnsi" w:cstheme="minorHAnsi"/>
        </w:rPr>
        <w:t>updates</w:t>
      </w:r>
      <w:r w:rsidRPr="00AE46B2">
        <w:rPr>
          <w:rFonts w:asciiTheme="minorHAnsi" w:hAnsiTheme="minorHAnsi" w:cstheme="minorHAnsi"/>
        </w:rPr>
        <w:t xml:space="preserve"> necessary for SL operation</w:t>
      </w:r>
      <w:r w:rsidR="002B7F99">
        <w:rPr>
          <w:rFonts w:asciiTheme="minorHAnsi" w:hAnsiTheme="minorHAnsi" w:cstheme="minorHAnsi"/>
        </w:rPr>
        <w:t xml:space="preserve">, including </w:t>
      </w:r>
    </w:p>
    <w:p w14:paraId="10248CCD" w14:textId="794D83B8" w:rsidR="00360066" w:rsidRDefault="004A03FF" w:rsidP="00E52F51">
      <w:pPr>
        <w:pStyle w:val="3GPPAgreements"/>
        <w:numPr>
          <w:ilvl w:val="2"/>
          <w:numId w:val="11"/>
        </w:numPr>
        <w:rPr>
          <w:rFonts w:asciiTheme="minorHAnsi" w:hAnsiTheme="minorHAnsi" w:cstheme="minorHAnsi"/>
        </w:rPr>
      </w:pPr>
      <w:r>
        <w:rPr>
          <w:rFonts w:asciiTheme="minorHAnsi" w:hAnsiTheme="minorHAnsi" w:cstheme="minorHAnsi"/>
        </w:rPr>
        <w:t>Whether t</w:t>
      </w:r>
      <w:r w:rsidR="002B7F99">
        <w:rPr>
          <w:rFonts w:asciiTheme="minorHAnsi" w:hAnsiTheme="minorHAnsi" w:cstheme="minorHAnsi"/>
        </w:rPr>
        <w:t>he term “discovery burst” is updated to “SL discovery burst”</w:t>
      </w:r>
      <w:r>
        <w:rPr>
          <w:rFonts w:asciiTheme="minorHAnsi" w:hAnsiTheme="minorHAnsi" w:cstheme="minorHAnsi"/>
        </w:rPr>
        <w:t xml:space="preserve"> and used for S-SSB and its associated DMRS</w:t>
      </w:r>
    </w:p>
    <w:p w14:paraId="45B4D505" w14:textId="016874D6" w:rsidR="002B7F99" w:rsidRDefault="004A03FF" w:rsidP="00E52F51">
      <w:pPr>
        <w:pStyle w:val="3GPPAgreements"/>
        <w:numPr>
          <w:ilvl w:val="2"/>
          <w:numId w:val="11"/>
        </w:numPr>
        <w:rPr>
          <w:rFonts w:asciiTheme="minorHAnsi" w:hAnsiTheme="minorHAnsi" w:cstheme="minorHAnsi"/>
        </w:rPr>
      </w:pPr>
      <w:r>
        <w:rPr>
          <w:rFonts w:asciiTheme="minorHAnsi" w:hAnsiTheme="minorHAnsi" w:cstheme="minorHAnsi"/>
        </w:rPr>
        <w:t xml:space="preserve">Whether </w:t>
      </w:r>
      <w:r w:rsidR="002B7F99">
        <w:rPr>
          <w:rFonts w:asciiTheme="minorHAnsi" w:hAnsiTheme="minorHAnsi" w:cstheme="minorHAnsi"/>
        </w:rPr>
        <w:t xml:space="preserve">CAPC for S-SSB </w:t>
      </w:r>
      <w:r w:rsidR="007D4DEE">
        <w:rPr>
          <w:rFonts w:asciiTheme="minorHAnsi" w:hAnsiTheme="minorHAnsi" w:cstheme="minorHAnsi"/>
        </w:rPr>
        <w:t xml:space="preserve">and PSFCH </w:t>
      </w:r>
      <w:r>
        <w:rPr>
          <w:rFonts w:asciiTheme="minorHAnsi" w:hAnsiTheme="minorHAnsi" w:cstheme="minorHAnsi"/>
        </w:rPr>
        <w:t>should be</w:t>
      </w:r>
      <w:r w:rsidR="002B7F99">
        <w:rPr>
          <w:rFonts w:asciiTheme="minorHAnsi" w:hAnsiTheme="minorHAnsi" w:cstheme="minorHAnsi"/>
        </w:rPr>
        <w:t xml:space="preserve"> fixed to </w:t>
      </w:r>
      <m:oMath>
        <m:r>
          <w:rPr>
            <w:rFonts w:ascii="Cambria Math" w:hAnsi="Cambria Math"/>
          </w:rPr>
          <m:t>p=1</m:t>
        </m:r>
      </m:oMath>
    </w:p>
    <w:p w14:paraId="635CBD2A" w14:textId="167049A9" w:rsidR="004A03FF" w:rsidRPr="00E52F51" w:rsidRDefault="004A03FF" w:rsidP="00E52F51">
      <w:pPr>
        <w:pStyle w:val="3GPPAgreements"/>
        <w:numPr>
          <w:ilvl w:val="2"/>
          <w:numId w:val="11"/>
        </w:numPr>
        <w:rPr>
          <w:rFonts w:asciiTheme="minorHAnsi" w:hAnsiTheme="minorHAnsi" w:cstheme="minorHAnsi"/>
        </w:rPr>
      </w:pPr>
      <w:r w:rsidRPr="00E52F51">
        <w:rPr>
          <w:rFonts w:asciiTheme="minorHAnsi" w:hAnsiTheme="minorHAnsi" w:cstheme="minorHAnsi"/>
        </w:rPr>
        <w:lastRenderedPageBreak/>
        <w:t>Whether the following paragraph update is correct</w:t>
      </w:r>
    </w:p>
    <w:p w14:paraId="6CC69F33" w14:textId="2E622018" w:rsidR="004A03FF" w:rsidRPr="00E52F51" w:rsidRDefault="004A03FF" w:rsidP="00E52F51">
      <w:pPr>
        <w:pStyle w:val="3GPPAgreements"/>
        <w:numPr>
          <w:ilvl w:val="3"/>
          <w:numId w:val="11"/>
        </w:numPr>
        <w:rPr>
          <w:rFonts w:asciiTheme="minorHAnsi" w:hAnsiTheme="minorHAnsi" w:cstheme="minorHAnsi"/>
          <w:color w:val="000000" w:themeColor="text1"/>
        </w:rPr>
      </w:pPr>
      <w:r w:rsidRPr="00E52F51">
        <w:rPr>
          <w:rFonts w:asciiTheme="minorHAnsi" w:hAnsiTheme="minorHAnsi" w:cstheme="minorHAnsi"/>
          <w:color w:val="000000" w:themeColor="text1"/>
        </w:rPr>
        <w:t xml:space="preserve">A </w:t>
      </w:r>
      <w:del w:id="9" w:author="Kevin Lin" w:date="2022-10-10T08:16:00Z">
        <w:r w:rsidRPr="00E52F51" w:rsidDel="004A03FF">
          <w:rPr>
            <w:rFonts w:asciiTheme="minorHAnsi" w:hAnsiTheme="minorHAnsi" w:cstheme="minorHAnsi"/>
            <w:color w:val="000000" w:themeColor="text1"/>
          </w:rPr>
          <w:delText xml:space="preserve">gNB </w:delText>
        </w:r>
      </w:del>
      <w:ins w:id="10" w:author="Kevin Lin" w:date="2022-10-10T08:16:00Z">
        <w:r w:rsidRPr="00E52F51">
          <w:rPr>
            <w:rFonts w:asciiTheme="minorHAnsi" w:hAnsiTheme="minorHAnsi" w:cstheme="minorHAnsi"/>
            <w:color w:val="000000" w:themeColor="text1"/>
          </w:rPr>
          <w:t xml:space="preserve">UE </w:t>
        </w:r>
      </w:ins>
      <w:r w:rsidRPr="00E52F51">
        <w:rPr>
          <w:rFonts w:asciiTheme="minorHAnsi" w:hAnsiTheme="minorHAnsi" w:cstheme="minorHAnsi"/>
          <w:color w:val="000000" w:themeColor="text1"/>
        </w:rPr>
        <w:t xml:space="preserve">shall use a channel access priority class applicable to the </w:t>
      </w:r>
      <w:del w:id="11" w:author="Kevin Lin" w:date="2022-10-10T08:16:00Z">
        <w:r w:rsidRPr="00E52F51" w:rsidDel="004A03FF">
          <w:rPr>
            <w:rFonts w:asciiTheme="minorHAnsi" w:hAnsiTheme="minorHAnsi" w:cstheme="minorHAnsi"/>
            <w:color w:val="000000" w:themeColor="text1"/>
          </w:rPr>
          <w:delText xml:space="preserve">unicast </w:delText>
        </w:r>
      </w:del>
      <w:ins w:id="12" w:author="Kevin Lin" w:date="2022-10-10T08:16:00Z">
        <w:r w:rsidRPr="00E52F51">
          <w:rPr>
            <w:rFonts w:asciiTheme="minorHAnsi" w:hAnsiTheme="minorHAnsi" w:cstheme="minorHAnsi"/>
            <w:color w:val="000000" w:themeColor="text1"/>
          </w:rPr>
          <w:t xml:space="preserve">sidelink </w:t>
        </w:r>
      </w:ins>
      <w:r w:rsidRPr="00E52F51">
        <w:rPr>
          <w:rFonts w:asciiTheme="minorHAnsi" w:hAnsiTheme="minorHAnsi" w:cstheme="minorHAnsi"/>
          <w:color w:val="000000" w:themeColor="text1"/>
        </w:rPr>
        <w:t xml:space="preserve">user plane data multiplexed in </w:t>
      </w:r>
      <w:del w:id="13" w:author="Kevin Lin" w:date="2022-10-10T08:16:00Z">
        <w:r w:rsidRPr="00E52F51" w:rsidDel="004A03FF">
          <w:rPr>
            <w:rFonts w:asciiTheme="minorHAnsi" w:hAnsiTheme="minorHAnsi" w:cstheme="minorHAnsi"/>
            <w:color w:val="000000" w:themeColor="text1"/>
          </w:rPr>
          <w:delText xml:space="preserve">PDSCH </w:delText>
        </w:r>
      </w:del>
      <w:ins w:id="14" w:author="Kevin Lin" w:date="2022-10-10T08:16:00Z">
        <w:r w:rsidRPr="00E52F51">
          <w:rPr>
            <w:rFonts w:asciiTheme="minorHAnsi" w:hAnsiTheme="minorHAnsi" w:cstheme="minorHAnsi"/>
            <w:color w:val="000000" w:themeColor="text1"/>
          </w:rPr>
          <w:t xml:space="preserve">PSSCH </w:t>
        </w:r>
      </w:ins>
      <w:r w:rsidRPr="00E52F51">
        <w:rPr>
          <w:rFonts w:asciiTheme="minorHAnsi" w:hAnsiTheme="minorHAnsi" w:cstheme="minorHAnsi"/>
          <w:color w:val="000000" w:themeColor="text1"/>
        </w:rPr>
        <w:t xml:space="preserve">for performing the procedures above to transmit transmission(s) including </w:t>
      </w:r>
      <w:del w:id="15" w:author="Kevin Lin" w:date="2022-10-10T08:17:00Z">
        <w:r w:rsidRPr="00E52F51" w:rsidDel="004A03FF">
          <w:rPr>
            <w:rFonts w:asciiTheme="minorHAnsi" w:hAnsiTheme="minorHAnsi" w:cstheme="minorHAnsi"/>
            <w:color w:val="000000" w:themeColor="text1"/>
          </w:rPr>
          <w:delText>unicast PDSCH</w:delText>
        </w:r>
      </w:del>
      <w:ins w:id="16" w:author="Kevin Lin" w:date="2022-10-10T08:17:00Z">
        <w:r w:rsidRPr="00E52F51">
          <w:rPr>
            <w:rFonts w:asciiTheme="minorHAnsi" w:hAnsiTheme="minorHAnsi" w:cstheme="minorHAnsi"/>
            <w:color w:val="000000" w:themeColor="text1"/>
          </w:rPr>
          <w:t>PS</w:t>
        </w:r>
      </w:ins>
      <w:ins w:id="17" w:author="Kevin Lin" w:date="2022-10-10T08:19:00Z">
        <w:r w:rsidRPr="00E52F51">
          <w:rPr>
            <w:rFonts w:asciiTheme="minorHAnsi" w:hAnsiTheme="minorHAnsi" w:cstheme="minorHAnsi"/>
            <w:color w:val="000000" w:themeColor="text1"/>
          </w:rPr>
          <w:t>S</w:t>
        </w:r>
      </w:ins>
      <w:ins w:id="18" w:author="Kevin Lin" w:date="2022-10-10T08:17:00Z">
        <w:r w:rsidRPr="00E52F51">
          <w:rPr>
            <w:rFonts w:asciiTheme="minorHAnsi" w:hAnsiTheme="minorHAnsi" w:cstheme="minorHAnsi"/>
            <w:color w:val="000000" w:themeColor="text1"/>
          </w:rPr>
          <w:t>CH</w:t>
        </w:r>
      </w:ins>
      <w:r w:rsidRPr="00E52F51">
        <w:rPr>
          <w:rFonts w:asciiTheme="minorHAnsi" w:hAnsiTheme="minorHAnsi" w:cstheme="minorHAnsi"/>
          <w:color w:val="000000" w:themeColor="text1"/>
        </w:rPr>
        <w:t xml:space="preserve"> with user plane data</w:t>
      </w:r>
      <w:ins w:id="19" w:author="Kevin Lin" w:date="2022-10-10T08:19:00Z">
        <w:r w:rsidRPr="00E52F51">
          <w:rPr>
            <w:rFonts w:asciiTheme="minorHAnsi" w:hAnsiTheme="minorHAnsi" w:cstheme="minorHAnsi"/>
            <w:color w:val="000000" w:themeColor="text1"/>
          </w:rPr>
          <w:t xml:space="preserve"> </w:t>
        </w:r>
      </w:ins>
      <w:ins w:id="20" w:author="Kevin Lin" w:date="2022-10-10T08:41:00Z">
        <w:r w:rsidR="007D4DEE" w:rsidRPr="00E52F51">
          <w:rPr>
            <w:rFonts w:asciiTheme="minorHAnsi" w:hAnsiTheme="minorHAnsi" w:cstheme="minorHAnsi"/>
            <w:color w:val="000000" w:themeColor="text1"/>
          </w:rPr>
          <w:t>and its</w:t>
        </w:r>
      </w:ins>
      <w:ins w:id="21" w:author="Kevin Lin" w:date="2022-10-10T08:19:00Z">
        <w:r w:rsidRPr="00E52F51">
          <w:rPr>
            <w:rFonts w:asciiTheme="minorHAnsi" w:hAnsiTheme="minorHAnsi" w:cstheme="minorHAnsi"/>
            <w:color w:val="000000" w:themeColor="text1"/>
          </w:rPr>
          <w:t xml:space="preserve"> associated PSCCH</w:t>
        </w:r>
      </w:ins>
      <w:r w:rsidRPr="00E52F51">
        <w:rPr>
          <w:rFonts w:asciiTheme="minorHAnsi" w:hAnsiTheme="minorHAnsi" w:cstheme="minorHAnsi"/>
          <w:color w:val="000000" w:themeColor="text1"/>
        </w:rPr>
        <w:t>.</w:t>
      </w:r>
    </w:p>
    <w:p w14:paraId="0575FF01" w14:textId="3EE1BDDB" w:rsidR="00E52F51" w:rsidRPr="00E52F51" w:rsidRDefault="00E52F51" w:rsidP="00E52F51">
      <w:pPr>
        <w:pStyle w:val="3GPPAgreements"/>
        <w:numPr>
          <w:ilvl w:val="2"/>
          <w:numId w:val="11"/>
        </w:numPr>
        <w:rPr>
          <w:rFonts w:asciiTheme="minorHAnsi" w:hAnsiTheme="minorHAnsi" w:cstheme="minorHAnsi"/>
          <w:color w:val="000000" w:themeColor="text1"/>
        </w:rPr>
      </w:pPr>
      <w:r w:rsidRPr="00E52F51">
        <w:rPr>
          <w:rFonts w:asciiTheme="minorHAnsi" w:hAnsiTheme="minorHAnsi" w:cstheme="minorHAnsi"/>
          <w:color w:val="000000" w:themeColor="text1"/>
        </w:rPr>
        <w:t>Whether Section 4.1.1.1 on “regional limitations on channel occupancy time”, currently specified for Japan, also applies to SL operation.</w:t>
      </w:r>
    </w:p>
    <w:p w14:paraId="5D5409BD" w14:textId="77777777" w:rsidR="00AE46B2" w:rsidRPr="00AE46B2" w:rsidRDefault="00AE46B2" w:rsidP="00AE46B2">
      <w:pPr>
        <w:pStyle w:val="3GPPAgreements"/>
        <w:numPr>
          <w:ilvl w:val="0"/>
          <w:numId w:val="0"/>
        </w:numPr>
        <w:spacing w:before="0" w:after="0"/>
        <w:ind w:left="284" w:hanging="284"/>
        <w:rPr>
          <w:rFonts w:asciiTheme="minorHAnsi" w:hAnsiTheme="minorHAnsi" w:cstheme="minorHAnsi"/>
        </w:rPr>
      </w:pPr>
    </w:p>
    <w:p w14:paraId="7F832DD8" w14:textId="5219EE65" w:rsidR="00530971" w:rsidRDefault="00F13CDC" w:rsidP="00530971">
      <w:pPr>
        <w:pStyle w:val="Heading3"/>
      </w:pPr>
      <w:r>
        <w:t xml:space="preserve">FL </w:t>
      </w:r>
      <w:r w:rsidR="00FB2353">
        <w:t>Proposal</w:t>
      </w:r>
      <w:r w:rsidR="00410C90">
        <w:t xml:space="preserve"> </w:t>
      </w:r>
      <w:r w:rsidR="00A87880">
        <w:t xml:space="preserve">for </w:t>
      </w:r>
      <w:r w:rsidR="006615BC">
        <w:t xml:space="preserve">round </w:t>
      </w:r>
      <w:r w:rsidR="00AE46B2">
        <w:t xml:space="preserve">1 </w:t>
      </w:r>
      <w:r w:rsidR="002C72F4">
        <w:t>discussion</w:t>
      </w:r>
    </w:p>
    <w:p w14:paraId="7427B42F" w14:textId="04D723A6" w:rsidR="007B3C52" w:rsidRPr="00D567B9" w:rsidRDefault="001127E7" w:rsidP="004A52FD">
      <w:pPr>
        <w:autoSpaceDE w:val="0"/>
        <w:autoSpaceDN w:val="0"/>
        <w:spacing w:before="120" w:after="120"/>
        <w:jc w:val="both"/>
        <w:rPr>
          <w:rFonts w:ascii="Calibri" w:hAnsi="Calibri" w:cs="Calibri"/>
          <w:sz w:val="22"/>
          <w:u w:val="single"/>
        </w:rPr>
      </w:pPr>
      <w:r w:rsidRPr="00D567B9">
        <w:rPr>
          <w:rFonts w:ascii="Calibri" w:hAnsi="Calibri" w:cs="Calibri"/>
          <w:sz w:val="22"/>
          <w:u w:val="single"/>
        </w:rPr>
        <w:t xml:space="preserve">FL </w:t>
      </w:r>
      <w:r w:rsidR="001F0E97">
        <w:rPr>
          <w:rFonts w:ascii="Calibri" w:hAnsi="Calibri" w:cs="Calibri"/>
          <w:sz w:val="22"/>
          <w:u w:val="single"/>
        </w:rPr>
        <w:t>response</w:t>
      </w:r>
      <w:r w:rsidRPr="00D567B9">
        <w:rPr>
          <w:rFonts w:ascii="Calibri" w:hAnsi="Calibri" w:cs="Calibri"/>
          <w:sz w:val="22"/>
          <w:u w:val="single"/>
        </w:rPr>
        <w:t xml:space="preserve"> based on GTW comments:</w:t>
      </w:r>
    </w:p>
    <w:p w14:paraId="4C811404" w14:textId="6118D60E" w:rsidR="001F0E97" w:rsidRDefault="001F0E97" w:rsidP="004A52FD">
      <w:pPr>
        <w:pStyle w:val="ListParagraph"/>
        <w:numPr>
          <w:ilvl w:val="0"/>
          <w:numId w:val="18"/>
        </w:numPr>
        <w:autoSpaceDE w:val="0"/>
        <w:autoSpaceDN w:val="0"/>
        <w:spacing w:before="120"/>
        <w:ind w:leftChars="0"/>
        <w:jc w:val="both"/>
        <w:rPr>
          <w:rFonts w:ascii="Calibri" w:hAnsi="Calibri" w:cs="Calibri"/>
          <w:sz w:val="22"/>
        </w:rPr>
      </w:pPr>
      <w:r>
        <w:rPr>
          <w:rFonts w:ascii="Calibri" w:hAnsi="Calibri" w:cs="Calibri"/>
          <w:sz w:val="22"/>
        </w:rPr>
        <w:t>For comments on what is the meaning of “initiated by a UE”, this should be understood as a transmission grant created in Mode 2 or a transmission generated by the UE on its own without being scheduled (such as S-SSB and PSFCH).</w:t>
      </w:r>
      <w:r w:rsidR="004A52FD">
        <w:rPr>
          <w:rFonts w:ascii="Calibri" w:hAnsi="Calibri" w:cs="Calibri"/>
          <w:sz w:val="22"/>
        </w:rPr>
        <w:t xml:space="preserve"> To avoid confusion, let’s reword it to “other transmissions from a UE”.</w:t>
      </w:r>
    </w:p>
    <w:p w14:paraId="205B4826" w14:textId="4CD849EF" w:rsidR="001F0E97" w:rsidRDefault="001F0E97" w:rsidP="004A52FD">
      <w:pPr>
        <w:pStyle w:val="ListParagraph"/>
        <w:numPr>
          <w:ilvl w:val="0"/>
          <w:numId w:val="18"/>
        </w:numPr>
        <w:autoSpaceDE w:val="0"/>
        <w:autoSpaceDN w:val="0"/>
        <w:spacing w:before="120"/>
        <w:ind w:leftChars="0"/>
        <w:jc w:val="both"/>
        <w:rPr>
          <w:rFonts w:ascii="Calibri" w:hAnsi="Calibri" w:cs="Calibri"/>
          <w:sz w:val="22"/>
        </w:rPr>
      </w:pPr>
      <w:r>
        <w:rPr>
          <w:rFonts w:ascii="Calibri" w:hAnsi="Calibri" w:cs="Calibri"/>
          <w:sz w:val="22"/>
        </w:rPr>
        <w:t xml:space="preserve">Regarding the term “initiating a COT”, it should be generally understood from NR-U operation that by performing a Type 1 channel access, when it is successful, it is not allow to transmit </w:t>
      </w:r>
      <w:r w:rsidR="004A52FD">
        <w:rPr>
          <w:rFonts w:ascii="Calibri" w:hAnsi="Calibri" w:cs="Calibri"/>
          <w:sz w:val="22"/>
        </w:rPr>
        <w:t>after a maximum channel occupancy time as followed. Hence, I think it is not necessary to re-iterate the purpose of Type 1 channel access procedure in the main bullet.</w:t>
      </w:r>
    </w:p>
    <w:p w14:paraId="0875A2B7" w14:textId="01B47CBF" w:rsidR="004A52FD" w:rsidRPr="004A52FD" w:rsidRDefault="004A52FD" w:rsidP="004A52FD">
      <w:pPr>
        <w:pStyle w:val="ListParagraph"/>
        <w:numPr>
          <w:ilvl w:val="1"/>
          <w:numId w:val="18"/>
        </w:numPr>
        <w:autoSpaceDE w:val="0"/>
        <w:autoSpaceDN w:val="0"/>
        <w:ind w:leftChars="0"/>
        <w:jc w:val="both"/>
        <w:rPr>
          <w:rFonts w:ascii="Calibri" w:hAnsi="Calibri" w:cs="Calibri"/>
          <w:sz w:val="22"/>
        </w:rPr>
      </w:pPr>
      <w:r w:rsidRPr="004A52FD">
        <w:rPr>
          <w:rFonts w:ascii="Calibri" w:hAnsi="Calibri" w:cs="Calibri"/>
          <w:sz w:val="22"/>
        </w:rPr>
        <w:t>“</w:t>
      </w:r>
      <w:r w:rsidRPr="004A52FD">
        <w:rPr>
          <w:lang w:val="en-US"/>
        </w:rPr>
        <w:t xml:space="preserve">An eNB/gNB shall not transmit on a channel for a </w:t>
      </w:r>
      <w:r w:rsidRPr="004A52FD">
        <w:rPr>
          <w:i/>
          <w:lang w:val="en-US"/>
        </w:rPr>
        <w:t>Channel Occupancy Time</w:t>
      </w:r>
      <w:r w:rsidRPr="004A52FD">
        <w:rPr>
          <w:lang w:val="en-US"/>
        </w:rPr>
        <w:t xml:space="preserve"> that exceeds </w:t>
      </w:r>
      <m:oMath>
        <m:sSub>
          <m:sSubPr>
            <m:ctrlPr>
              <w:rPr>
                <w:rFonts w:ascii="Cambria Math" w:hAnsi="Cambria Math"/>
                <w:i/>
              </w:rPr>
            </m:ctrlPr>
          </m:sSubPr>
          <m:e>
            <m:r>
              <w:rPr>
                <w:rFonts w:ascii="Cambria Math" w:hAnsi="Cambria Math"/>
              </w:rPr>
              <m:t>T</m:t>
            </m:r>
          </m:e>
          <m:sub>
            <m:r>
              <w:rPr>
                <w:rFonts w:ascii="Cambria Math" w:hAnsi="Cambria Math"/>
              </w:rPr>
              <m:t>m</m:t>
            </m:r>
            <m:func>
              <m:funcPr>
                <m:ctrlPr>
                  <w:rPr>
                    <w:rFonts w:ascii="Cambria Math" w:hAnsi="Cambria Math"/>
                    <w:i/>
                  </w:rPr>
                </m:ctrlPr>
              </m:funcPr>
              <m:fName>
                <m:r>
                  <w:rPr>
                    <w:rFonts w:ascii="Cambria Math" w:hAnsi="Cambria Math"/>
                  </w:rPr>
                  <m:t>cot</m:t>
                </m:r>
                <m:r>
                  <w:rPr>
                    <w:rFonts w:ascii="Cambria Math" w:hAnsi="Cambria Math"/>
                    <w:lang w:val="en-US"/>
                  </w:rPr>
                  <m:t>,</m:t>
                </m:r>
              </m:fName>
              <m:e>
                <m:r>
                  <w:rPr>
                    <w:rFonts w:ascii="Cambria Math" w:hAnsi="Cambria Math"/>
                  </w:rPr>
                  <m:t>p</m:t>
                </m:r>
              </m:e>
            </m:func>
          </m:sub>
        </m:sSub>
      </m:oMath>
      <w:r w:rsidRPr="004A52FD">
        <w:rPr>
          <w:lang w:val="en-US"/>
        </w:rPr>
        <w:t xml:space="preserve"> where the channel access procedures are performed based on a channel access priority class </w:t>
      </w:r>
      <m:oMath>
        <m:r>
          <w:rPr>
            <w:rFonts w:ascii="Cambria Math" w:hAnsi="Cambria Math"/>
          </w:rPr>
          <m:t>p</m:t>
        </m:r>
      </m:oMath>
      <w:r w:rsidRPr="004A52FD">
        <w:rPr>
          <w:lang w:val="en-US"/>
        </w:rPr>
        <w:t xml:space="preserve"> associated with the eNB/gNB transmissions, as given in Table 4.1.1-1.</w:t>
      </w:r>
      <w:r w:rsidRPr="004A52FD">
        <w:rPr>
          <w:rFonts w:ascii="Calibri" w:hAnsi="Calibri" w:cs="Calibri"/>
          <w:sz w:val="22"/>
        </w:rPr>
        <w:t>”</w:t>
      </w:r>
    </w:p>
    <w:p w14:paraId="7B3B4EFD" w14:textId="4A44290E" w:rsidR="00E24ADA" w:rsidRPr="00B14886" w:rsidRDefault="00B14886" w:rsidP="00B14886">
      <w:pPr>
        <w:pStyle w:val="ListParagraph"/>
        <w:numPr>
          <w:ilvl w:val="0"/>
          <w:numId w:val="18"/>
        </w:numPr>
        <w:autoSpaceDE w:val="0"/>
        <w:autoSpaceDN w:val="0"/>
        <w:spacing w:before="120"/>
        <w:ind w:leftChars="0"/>
        <w:jc w:val="both"/>
        <w:rPr>
          <w:rFonts w:ascii="Calibri" w:hAnsi="Calibri" w:cs="Calibri"/>
          <w:sz w:val="22"/>
        </w:rPr>
      </w:pPr>
      <w:r w:rsidRPr="00B14886">
        <w:rPr>
          <w:rFonts w:ascii="Calibri" w:hAnsi="Calibri" w:cs="Calibri"/>
          <w:sz w:val="22"/>
        </w:rPr>
        <w:t>Regarding the 3 FFS sub-bullets from David’s version at the end of the GTW, the Proposal 1 is capturing the</w:t>
      </w:r>
      <w:r w:rsidR="00E24ADA" w:rsidRPr="00B14886">
        <w:rPr>
          <w:rFonts w:ascii="Calibri" w:hAnsi="Calibri" w:cs="Calibri"/>
          <w:sz w:val="22"/>
        </w:rPr>
        <w:t xml:space="preserve"> types of </w:t>
      </w:r>
      <w:r w:rsidRPr="00B14886">
        <w:rPr>
          <w:rFonts w:ascii="Calibri" w:hAnsi="Calibri" w:cs="Calibri"/>
          <w:sz w:val="22"/>
        </w:rPr>
        <w:t xml:space="preserve">SL </w:t>
      </w:r>
      <w:r w:rsidR="00E24ADA" w:rsidRPr="00B14886">
        <w:rPr>
          <w:rFonts w:ascii="Calibri" w:hAnsi="Calibri" w:cs="Calibri"/>
          <w:sz w:val="22"/>
        </w:rPr>
        <w:t>transmission that can be supported by Type 1 channel access procedure</w:t>
      </w:r>
      <w:r w:rsidRPr="00B14886">
        <w:rPr>
          <w:rFonts w:ascii="Calibri" w:hAnsi="Calibri" w:cs="Calibri"/>
          <w:sz w:val="22"/>
        </w:rPr>
        <w:t xml:space="preserve">. In my understanding, </w:t>
      </w:r>
      <w:r w:rsidR="00E24ADA" w:rsidRPr="00B14886">
        <w:rPr>
          <w:rFonts w:ascii="Calibri" w:hAnsi="Calibri" w:cs="Calibri"/>
          <w:sz w:val="22"/>
        </w:rPr>
        <w:t xml:space="preserve">it is not necessary to discuss about </w:t>
      </w:r>
      <w:r>
        <w:rPr>
          <w:rFonts w:ascii="Calibri" w:hAnsi="Calibri" w:cs="Calibri"/>
          <w:sz w:val="22"/>
        </w:rPr>
        <w:t>SL-</w:t>
      </w:r>
      <w:r w:rsidR="00E24ADA" w:rsidRPr="00B14886">
        <w:rPr>
          <w:rFonts w:ascii="Calibri" w:hAnsi="Calibri" w:cs="Calibri"/>
          <w:sz w:val="22"/>
        </w:rPr>
        <w:t>HARQ feedback for which the CW adjustment for Type 1 channel access is discussed in Topic #2</w:t>
      </w:r>
      <w:r>
        <w:rPr>
          <w:rFonts w:ascii="Calibri" w:hAnsi="Calibri" w:cs="Calibri"/>
          <w:sz w:val="22"/>
        </w:rPr>
        <w:t>. Hence, if CW adjustment is not supported for NACK-only SL-HARQ feedback in Topic #2, it automatically means Type 1 channel access procedure is not applicable for NACK-only SL-HARQ feedback.</w:t>
      </w:r>
    </w:p>
    <w:p w14:paraId="2311E184" w14:textId="03F0BF4A" w:rsidR="003A54E4" w:rsidRDefault="00B14886" w:rsidP="00EC21DD">
      <w:pPr>
        <w:pStyle w:val="ListParagraph"/>
        <w:numPr>
          <w:ilvl w:val="1"/>
          <w:numId w:val="18"/>
        </w:numPr>
        <w:autoSpaceDE w:val="0"/>
        <w:autoSpaceDN w:val="0"/>
        <w:ind w:leftChars="0"/>
        <w:jc w:val="both"/>
        <w:rPr>
          <w:rFonts w:ascii="Calibri" w:hAnsi="Calibri" w:cs="Calibri"/>
          <w:sz w:val="22"/>
        </w:rPr>
      </w:pPr>
      <w:r>
        <w:rPr>
          <w:rFonts w:ascii="Calibri" w:hAnsi="Calibri" w:cs="Calibri"/>
          <w:sz w:val="22"/>
        </w:rPr>
        <w:t>In the last meeting, the agreed</w:t>
      </w:r>
      <w:r w:rsidR="003A54E4">
        <w:rPr>
          <w:rFonts w:ascii="Calibri" w:hAnsi="Calibri" w:cs="Calibri"/>
          <w:sz w:val="22"/>
        </w:rPr>
        <w:t xml:space="preserve"> Type 2A/2B/2C procedures </w:t>
      </w:r>
      <w:r w:rsidR="00E24ADA">
        <w:rPr>
          <w:rFonts w:ascii="Calibri" w:hAnsi="Calibri" w:cs="Calibri"/>
          <w:sz w:val="22"/>
        </w:rPr>
        <w:t xml:space="preserve">can be applied to transmissions from a </w:t>
      </w:r>
      <w:r w:rsidR="008C32A6">
        <w:rPr>
          <w:rFonts w:ascii="Calibri" w:hAnsi="Calibri" w:cs="Calibri"/>
          <w:sz w:val="22"/>
        </w:rPr>
        <w:t xml:space="preserve">responding </w:t>
      </w:r>
      <w:r w:rsidR="00E24ADA">
        <w:rPr>
          <w:rFonts w:ascii="Calibri" w:hAnsi="Calibri" w:cs="Calibri"/>
          <w:sz w:val="22"/>
        </w:rPr>
        <w:t xml:space="preserve">UE </w:t>
      </w:r>
      <w:r w:rsidR="008C32A6">
        <w:rPr>
          <w:rFonts w:ascii="Calibri" w:hAnsi="Calibri" w:cs="Calibri"/>
          <w:sz w:val="22"/>
        </w:rPr>
        <w:t xml:space="preserve">following an initiating UE’s transmission </w:t>
      </w:r>
      <w:r w:rsidR="00E24ADA">
        <w:rPr>
          <w:rFonts w:ascii="Calibri" w:hAnsi="Calibri" w:cs="Calibri"/>
          <w:sz w:val="22"/>
        </w:rPr>
        <w:t>subject to the transmission gap within a shared COT</w:t>
      </w:r>
      <w:r w:rsidR="008C32A6">
        <w:rPr>
          <w:rFonts w:ascii="Calibri" w:hAnsi="Calibri" w:cs="Calibri"/>
          <w:sz w:val="22"/>
        </w:rPr>
        <w:t>. And we also have an FFS on “</w:t>
      </w:r>
      <w:r w:rsidR="008C32A6" w:rsidRPr="008C32A6">
        <w:rPr>
          <w:rFonts w:ascii="Calibri" w:hAnsi="Calibri" w:cs="Calibri"/>
          <w:sz w:val="22"/>
        </w:rPr>
        <w:t>details of the channel type of the responding UE’s transmission(s)</w:t>
      </w:r>
      <w:r w:rsidR="008C32A6">
        <w:rPr>
          <w:rFonts w:ascii="Calibri" w:hAnsi="Calibri" w:cs="Calibri"/>
          <w:sz w:val="22"/>
        </w:rPr>
        <w:t>” in another agreement. Hence, we could leave the last FFS out and the FFS on Type 2 channel access for NACK-only.</w:t>
      </w:r>
    </w:p>
    <w:p w14:paraId="27DFECCE" w14:textId="2496439F" w:rsidR="00E24ADA" w:rsidRDefault="00E24ADA" w:rsidP="00EC21DD">
      <w:pPr>
        <w:pStyle w:val="ListParagraph"/>
        <w:numPr>
          <w:ilvl w:val="1"/>
          <w:numId w:val="18"/>
        </w:numPr>
        <w:autoSpaceDE w:val="0"/>
        <w:autoSpaceDN w:val="0"/>
        <w:ind w:leftChars="0"/>
        <w:jc w:val="both"/>
        <w:rPr>
          <w:rFonts w:ascii="Calibri" w:hAnsi="Calibri" w:cs="Calibri"/>
          <w:sz w:val="22"/>
        </w:rPr>
      </w:pPr>
      <w:r>
        <w:rPr>
          <w:rFonts w:ascii="Calibri" w:hAnsi="Calibri" w:cs="Calibri"/>
          <w:sz w:val="22"/>
        </w:rPr>
        <w:t>In Topic #3, we are also addressing other channel access procedures that can be applicable for S-SSB and PSFCH</w:t>
      </w:r>
      <w:r w:rsidR="00EC21DD">
        <w:rPr>
          <w:rFonts w:ascii="Calibri" w:hAnsi="Calibri" w:cs="Calibri"/>
          <w:sz w:val="22"/>
        </w:rPr>
        <w:t>.</w:t>
      </w:r>
    </w:p>
    <w:p w14:paraId="6E6FD5AD" w14:textId="56597A07" w:rsidR="003A54E4" w:rsidRPr="00EC21DD" w:rsidRDefault="00EC21DD" w:rsidP="00EC21DD">
      <w:pPr>
        <w:pStyle w:val="ListParagraph"/>
        <w:numPr>
          <w:ilvl w:val="1"/>
          <w:numId w:val="18"/>
        </w:numPr>
        <w:autoSpaceDE w:val="0"/>
        <w:autoSpaceDN w:val="0"/>
        <w:ind w:leftChars="0"/>
        <w:jc w:val="both"/>
        <w:rPr>
          <w:rFonts w:ascii="Calibri" w:hAnsi="Calibri" w:cs="Calibri"/>
          <w:sz w:val="22"/>
        </w:rPr>
      </w:pPr>
      <w:r w:rsidRPr="00EC21DD">
        <w:rPr>
          <w:rFonts w:ascii="Calibri" w:hAnsi="Calibri" w:cs="Calibri"/>
          <w:sz w:val="22"/>
        </w:rPr>
        <w:t xml:space="preserve">Hence, in my understanding, it </w:t>
      </w:r>
      <w:r>
        <w:rPr>
          <w:rFonts w:ascii="Calibri" w:hAnsi="Calibri" w:cs="Calibri"/>
          <w:sz w:val="22"/>
        </w:rPr>
        <w:t>i</w:t>
      </w:r>
      <w:r w:rsidR="00E24ADA" w:rsidRPr="00EC21DD">
        <w:rPr>
          <w:rFonts w:ascii="Calibri" w:hAnsi="Calibri" w:cs="Calibri"/>
          <w:sz w:val="22"/>
        </w:rPr>
        <w:t>s not necessary to add these FFS bullets about other channel access procedures</w:t>
      </w:r>
    </w:p>
    <w:p w14:paraId="1F8AA36E" w14:textId="517E9905" w:rsidR="001127E7" w:rsidRPr="004A52FD" w:rsidRDefault="004A52FD" w:rsidP="004A52FD">
      <w:pPr>
        <w:pStyle w:val="ListParagraph"/>
        <w:numPr>
          <w:ilvl w:val="0"/>
          <w:numId w:val="18"/>
        </w:numPr>
        <w:autoSpaceDE w:val="0"/>
        <w:autoSpaceDN w:val="0"/>
        <w:spacing w:before="120"/>
        <w:ind w:leftChars="0"/>
        <w:jc w:val="both"/>
        <w:rPr>
          <w:rFonts w:ascii="Calibri" w:hAnsi="Calibri" w:cs="Calibri"/>
          <w:sz w:val="22"/>
        </w:rPr>
      </w:pPr>
      <w:r>
        <w:rPr>
          <w:rFonts w:ascii="Calibri" w:hAnsi="Calibri" w:cs="Calibri"/>
          <w:sz w:val="22"/>
        </w:rPr>
        <w:t>Based on David’s latest version from the Monday GTW session and the explanations provided in the above, the following version (II) is proposed from the FL.</w:t>
      </w:r>
    </w:p>
    <w:p w14:paraId="1A818DD1" w14:textId="77777777" w:rsidR="001127E7" w:rsidRPr="001127E7" w:rsidRDefault="001127E7" w:rsidP="001127E7">
      <w:pPr>
        <w:autoSpaceDE w:val="0"/>
        <w:autoSpaceDN w:val="0"/>
        <w:spacing w:after="120"/>
        <w:jc w:val="both"/>
        <w:rPr>
          <w:rFonts w:ascii="Calibri" w:hAnsi="Calibri" w:cs="Calibri"/>
          <w:sz w:val="22"/>
        </w:rPr>
      </w:pPr>
    </w:p>
    <w:p w14:paraId="1EBD1381" w14:textId="4688B6B6" w:rsidR="001127E7" w:rsidRPr="00B638B4" w:rsidRDefault="001127E7" w:rsidP="001127E7">
      <w:pPr>
        <w:rPr>
          <w:rFonts w:asciiTheme="minorHAnsi" w:hAnsiTheme="minorHAnsi" w:cstheme="minorHAnsi"/>
          <w:sz w:val="22"/>
          <w:szCs w:val="22"/>
          <w:lang w:eastAsia="zh-CN"/>
        </w:rPr>
      </w:pPr>
      <w:r w:rsidRPr="00A91375">
        <w:rPr>
          <w:rStyle w:val="Strong"/>
          <w:rFonts w:asciiTheme="minorHAnsi" w:hAnsiTheme="minorHAnsi" w:cstheme="minorHAnsi"/>
          <w:sz w:val="22"/>
          <w:szCs w:val="22"/>
        </w:rPr>
        <w:t>Proposal 1 (II):</w:t>
      </w:r>
    </w:p>
    <w:p w14:paraId="56A20238" w14:textId="206DF814" w:rsidR="001127E7" w:rsidRPr="00AE46B2" w:rsidRDefault="001127E7" w:rsidP="001127E7">
      <w:pPr>
        <w:pStyle w:val="3GPPAgreements"/>
        <w:rPr>
          <w:rFonts w:asciiTheme="minorHAnsi" w:hAnsiTheme="minorHAnsi" w:cstheme="minorHAnsi"/>
        </w:rPr>
      </w:pPr>
      <w:r w:rsidRPr="00AE46B2">
        <w:rPr>
          <w:rFonts w:asciiTheme="minorHAnsi" w:hAnsiTheme="minorHAnsi" w:cstheme="minorHAnsi"/>
          <w:lang w:val="en-GB"/>
        </w:rPr>
        <w:t xml:space="preserve">Type 1 SL channel access procedure is applicable to the following transmissions </w:t>
      </w:r>
      <w:ins w:id="22" w:author="Kevin Lin" w:date="2022-10-10T21:41:00Z">
        <w:r w:rsidR="003A54E4" w:rsidRPr="003A54E4">
          <w:rPr>
            <w:rFonts w:asciiTheme="minorHAnsi" w:hAnsiTheme="minorHAnsi" w:cstheme="minorHAnsi"/>
            <w:strike/>
            <w:lang w:val="en-GB"/>
          </w:rPr>
          <w:t xml:space="preserve">initiating a </w:t>
        </w:r>
      </w:ins>
      <w:ins w:id="23" w:author="Kevin Lin" w:date="2022-10-10T21:42:00Z">
        <w:r w:rsidR="003A54E4" w:rsidRPr="003A54E4">
          <w:rPr>
            <w:rFonts w:asciiTheme="minorHAnsi" w:hAnsiTheme="minorHAnsi" w:cstheme="minorHAnsi"/>
            <w:strike/>
            <w:lang w:val="en-GB"/>
          </w:rPr>
          <w:t xml:space="preserve">COT </w:t>
        </w:r>
      </w:ins>
      <w:r w:rsidRPr="00AE46B2">
        <w:rPr>
          <w:rFonts w:asciiTheme="minorHAnsi" w:hAnsiTheme="minorHAnsi" w:cstheme="minorHAnsi"/>
          <w:lang w:val="en-GB"/>
        </w:rPr>
        <w:t>by a UE:</w:t>
      </w:r>
    </w:p>
    <w:p w14:paraId="203C0DB1" w14:textId="77777777" w:rsidR="001127E7" w:rsidRPr="00AE46B2" w:rsidRDefault="001127E7" w:rsidP="001127E7">
      <w:pPr>
        <w:pStyle w:val="3GPPAgreements"/>
        <w:numPr>
          <w:ilvl w:val="1"/>
          <w:numId w:val="11"/>
        </w:numPr>
        <w:rPr>
          <w:rFonts w:asciiTheme="minorHAnsi" w:hAnsiTheme="minorHAnsi" w:cstheme="minorHAnsi"/>
        </w:rPr>
      </w:pPr>
      <w:r w:rsidRPr="00AE46B2">
        <w:rPr>
          <w:rFonts w:asciiTheme="minorHAnsi" w:hAnsiTheme="minorHAnsi" w:cstheme="minorHAnsi"/>
          <w:lang w:val="en-GB"/>
        </w:rPr>
        <w:t>PSSCH/PSCCH transmission(s) scheduled or configured by a gNB in SL Mode 1 resource allocation.</w:t>
      </w:r>
    </w:p>
    <w:p w14:paraId="3AE5EFA1" w14:textId="77777777" w:rsidR="001127E7" w:rsidRPr="00AE46B2" w:rsidRDefault="001127E7" w:rsidP="001127E7">
      <w:pPr>
        <w:pStyle w:val="3GPPAgreements"/>
        <w:numPr>
          <w:ilvl w:val="1"/>
          <w:numId w:val="11"/>
        </w:numPr>
        <w:rPr>
          <w:rFonts w:asciiTheme="minorHAnsi" w:hAnsiTheme="minorHAnsi" w:cstheme="minorHAnsi"/>
        </w:rPr>
      </w:pPr>
      <w:r w:rsidRPr="00AE46B2">
        <w:rPr>
          <w:rFonts w:asciiTheme="minorHAnsi" w:hAnsiTheme="minorHAnsi" w:cstheme="minorHAnsi"/>
          <w:lang w:val="en-GB"/>
        </w:rPr>
        <w:t>PSSCH/PSCCH transmission(s) initiated by a UE in SL Mode 2 resource allocation.</w:t>
      </w:r>
    </w:p>
    <w:p w14:paraId="2226D366" w14:textId="474B0C76" w:rsidR="001127E7" w:rsidRPr="001127E7" w:rsidRDefault="001127E7" w:rsidP="001127E7">
      <w:pPr>
        <w:pStyle w:val="3GPPAgreements"/>
        <w:numPr>
          <w:ilvl w:val="1"/>
          <w:numId w:val="11"/>
        </w:numPr>
        <w:spacing w:after="120"/>
        <w:rPr>
          <w:rFonts w:asciiTheme="minorHAnsi" w:hAnsiTheme="minorHAnsi" w:cstheme="minorHAnsi"/>
        </w:rPr>
      </w:pPr>
      <w:r>
        <w:rPr>
          <w:rFonts w:asciiTheme="minorHAnsi" w:hAnsiTheme="minorHAnsi" w:cstheme="minorHAnsi"/>
          <w:lang w:val="en-GB"/>
        </w:rPr>
        <w:t>O</w:t>
      </w:r>
      <w:r w:rsidRPr="00AE46B2">
        <w:rPr>
          <w:rFonts w:asciiTheme="minorHAnsi" w:hAnsiTheme="minorHAnsi" w:cstheme="minorHAnsi"/>
          <w:lang w:val="en-GB"/>
        </w:rPr>
        <w:t xml:space="preserve">ther transmission(s) </w:t>
      </w:r>
      <w:del w:id="24" w:author="Kevin Lin" w:date="2022-10-10T21:33:00Z">
        <w:r w:rsidRPr="00AE46B2" w:rsidDel="008057F9">
          <w:rPr>
            <w:rFonts w:asciiTheme="minorHAnsi" w:hAnsiTheme="minorHAnsi" w:cstheme="minorHAnsi"/>
            <w:lang w:val="en-GB"/>
          </w:rPr>
          <w:delText>initiated by</w:delText>
        </w:r>
      </w:del>
      <w:ins w:id="25" w:author="Kevin Lin" w:date="2022-10-10T21:33:00Z">
        <w:r w:rsidR="008057F9">
          <w:rPr>
            <w:rFonts w:asciiTheme="minorHAnsi" w:hAnsiTheme="minorHAnsi" w:cstheme="minorHAnsi"/>
            <w:lang w:val="en-GB"/>
          </w:rPr>
          <w:t>from</w:t>
        </w:r>
      </w:ins>
      <w:r w:rsidRPr="00AE46B2">
        <w:rPr>
          <w:rFonts w:asciiTheme="minorHAnsi" w:hAnsiTheme="minorHAnsi" w:cstheme="minorHAnsi"/>
          <w:lang w:val="en-GB"/>
        </w:rPr>
        <w:t xml:space="preserve"> a UE.</w:t>
      </w:r>
    </w:p>
    <w:p w14:paraId="397EF20E" w14:textId="6F98934E" w:rsidR="001127E7" w:rsidRPr="003A54E4" w:rsidRDefault="008057F9" w:rsidP="001127E7">
      <w:pPr>
        <w:pStyle w:val="3GPPAgreements"/>
        <w:numPr>
          <w:ilvl w:val="2"/>
          <w:numId w:val="11"/>
        </w:numPr>
        <w:spacing w:after="120"/>
        <w:rPr>
          <w:ins w:id="26" w:author="Kevin Lin" w:date="2022-10-10T21:36:00Z"/>
          <w:rFonts w:asciiTheme="minorHAnsi" w:hAnsiTheme="minorHAnsi" w:cstheme="minorHAnsi"/>
          <w:strike/>
        </w:rPr>
      </w:pPr>
      <w:ins w:id="27" w:author="Kevin Lin" w:date="2022-10-10T21:33:00Z">
        <w:r w:rsidRPr="003A54E4">
          <w:rPr>
            <w:rFonts w:asciiTheme="minorHAnsi" w:hAnsiTheme="minorHAnsi" w:cstheme="minorHAnsi"/>
            <w:strike/>
          </w:rPr>
          <w:t xml:space="preserve">FFS: </w:t>
        </w:r>
      </w:ins>
      <w:ins w:id="28" w:author="Kevin Lin" w:date="2022-10-10T21:36:00Z">
        <w:r w:rsidR="003A54E4" w:rsidRPr="003A54E4">
          <w:rPr>
            <w:rFonts w:asciiTheme="minorHAnsi" w:hAnsiTheme="minorHAnsi" w:cstheme="minorHAnsi"/>
            <w:strike/>
          </w:rPr>
          <w:t>other channel access procedures applicable to S-SSB and PSFCH</w:t>
        </w:r>
      </w:ins>
    </w:p>
    <w:p w14:paraId="4B58173D" w14:textId="53649FDB" w:rsidR="003A54E4" w:rsidRPr="003A54E4" w:rsidRDefault="003A54E4" w:rsidP="001127E7">
      <w:pPr>
        <w:pStyle w:val="3GPPAgreements"/>
        <w:numPr>
          <w:ilvl w:val="2"/>
          <w:numId w:val="11"/>
        </w:numPr>
        <w:spacing w:after="120"/>
        <w:rPr>
          <w:ins w:id="29" w:author="Kevin Lin" w:date="2022-10-10T21:37:00Z"/>
          <w:rFonts w:asciiTheme="minorHAnsi" w:hAnsiTheme="minorHAnsi" w:cstheme="minorHAnsi"/>
          <w:strike/>
        </w:rPr>
      </w:pPr>
      <w:ins w:id="30" w:author="Kevin Lin" w:date="2022-10-10T21:36:00Z">
        <w:r w:rsidRPr="003A54E4">
          <w:rPr>
            <w:rFonts w:asciiTheme="minorHAnsi" w:hAnsiTheme="minorHAnsi" w:cstheme="minorHAnsi"/>
            <w:strike/>
          </w:rPr>
          <w:t xml:space="preserve">FFS: whether Type 1 or Type 2 </w:t>
        </w:r>
      </w:ins>
      <w:ins w:id="31" w:author="Kevin Lin" w:date="2022-10-10T21:37:00Z">
        <w:r w:rsidRPr="003A54E4">
          <w:rPr>
            <w:rFonts w:asciiTheme="minorHAnsi" w:hAnsiTheme="minorHAnsi" w:cstheme="minorHAnsi"/>
            <w:strike/>
          </w:rPr>
          <w:t>channel access procedures can be applied to NACK-only SL-HARQ feedback</w:t>
        </w:r>
      </w:ins>
    </w:p>
    <w:p w14:paraId="5655894C" w14:textId="35D7C997" w:rsidR="003A54E4" w:rsidRPr="003A54E4" w:rsidRDefault="003A54E4" w:rsidP="003A54E4">
      <w:pPr>
        <w:pStyle w:val="3GPPAgreements"/>
        <w:numPr>
          <w:ilvl w:val="1"/>
          <w:numId w:val="11"/>
        </w:numPr>
        <w:spacing w:after="120"/>
        <w:rPr>
          <w:rFonts w:asciiTheme="minorHAnsi" w:hAnsiTheme="minorHAnsi" w:cstheme="minorHAnsi"/>
          <w:strike/>
        </w:rPr>
      </w:pPr>
      <w:ins w:id="32" w:author="Kevin Lin" w:date="2022-10-10T21:38:00Z">
        <w:r w:rsidRPr="003A54E4">
          <w:rPr>
            <w:rFonts w:asciiTheme="minorHAnsi" w:hAnsiTheme="minorHAnsi" w:cstheme="minorHAnsi"/>
            <w:strike/>
          </w:rPr>
          <w:t xml:space="preserve">FFS: </w:t>
        </w:r>
      </w:ins>
      <w:ins w:id="33" w:author="Kevin Lin" w:date="2022-10-10T21:40:00Z">
        <w:r w:rsidRPr="003A54E4">
          <w:rPr>
            <w:rFonts w:asciiTheme="minorHAnsi" w:hAnsiTheme="minorHAnsi" w:cstheme="minorHAnsi"/>
            <w:strike/>
          </w:rPr>
          <w:t>other channel access procedures applicable to PSCCH/PSCCH transmission(s)</w:t>
        </w:r>
      </w:ins>
    </w:p>
    <w:p w14:paraId="381BD4BC" w14:textId="686EC718" w:rsidR="001127E7" w:rsidRDefault="001127E7" w:rsidP="008A2865">
      <w:pPr>
        <w:autoSpaceDE w:val="0"/>
        <w:autoSpaceDN w:val="0"/>
        <w:spacing w:after="120"/>
        <w:jc w:val="both"/>
        <w:rPr>
          <w:rFonts w:ascii="Calibri" w:hAnsi="Calibri" w:cs="Calibri"/>
          <w:sz w:val="22"/>
          <w:lang w:val="en-US"/>
        </w:rPr>
      </w:pPr>
    </w:p>
    <w:tbl>
      <w:tblPr>
        <w:tblStyle w:val="TableGrid"/>
        <w:tblW w:w="9631" w:type="dxa"/>
        <w:tblLayout w:type="fixed"/>
        <w:tblLook w:val="04A0" w:firstRow="1" w:lastRow="0" w:firstColumn="1" w:lastColumn="0" w:noHBand="0" w:noVBand="1"/>
      </w:tblPr>
      <w:tblGrid>
        <w:gridCol w:w="1555"/>
        <w:gridCol w:w="8076"/>
      </w:tblGrid>
      <w:tr w:rsidR="00EC21DD" w14:paraId="06521D42" w14:textId="77777777" w:rsidTr="006B2419">
        <w:tc>
          <w:tcPr>
            <w:tcW w:w="1555" w:type="dxa"/>
          </w:tcPr>
          <w:p w14:paraId="2792C792" w14:textId="77777777" w:rsidR="00EC21DD" w:rsidRDefault="00EC21DD" w:rsidP="006B2419">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8076" w:type="dxa"/>
          </w:tcPr>
          <w:p w14:paraId="44FF043B" w14:textId="77777777" w:rsidR="00EC21DD" w:rsidRDefault="00EC21DD" w:rsidP="006B2419">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EE4559" w14:paraId="259B63F1" w14:textId="77777777" w:rsidTr="006B2419">
        <w:tc>
          <w:tcPr>
            <w:tcW w:w="1555" w:type="dxa"/>
          </w:tcPr>
          <w:p w14:paraId="49CE4AD8" w14:textId="77777777" w:rsidR="00EE4559" w:rsidRDefault="00EE4559" w:rsidP="006B2419">
            <w:pPr>
              <w:pStyle w:val="0Maintext"/>
              <w:spacing w:after="0" w:afterAutospacing="0"/>
              <w:ind w:firstLine="0"/>
            </w:pPr>
            <w:r>
              <w:t>IDCC</w:t>
            </w:r>
          </w:p>
        </w:tc>
        <w:tc>
          <w:tcPr>
            <w:tcW w:w="8076" w:type="dxa"/>
          </w:tcPr>
          <w:p w14:paraId="0A1A14C4" w14:textId="77777777" w:rsidR="00EE4559" w:rsidRDefault="00EE4559" w:rsidP="006B2419">
            <w:pPr>
              <w:pStyle w:val="0Maintext"/>
              <w:spacing w:after="0" w:afterAutospacing="0"/>
              <w:ind w:firstLine="0"/>
            </w:pPr>
            <w:r>
              <w:t xml:space="preserve">We agree with the proposal. </w:t>
            </w:r>
          </w:p>
        </w:tc>
      </w:tr>
      <w:tr w:rsidR="00EE4559" w14:paraId="62C21AEC" w14:textId="77777777" w:rsidTr="006B2419">
        <w:tc>
          <w:tcPr>
            <w:tcW w:w="1555" w:type="dxa"/>
          </w:tcPr>
          <w:p w14:paraId="5555EBFE" w14:textId="77777777" w:rsidR="00EE4559" w:rsidRDefault="00EE4559" w:rsidP="006B2419">
            <w:pPr>
              <w:pStyle w:val="0Maintext"/>
              <w:spacing w:after="0" w:afterAutospacing="0"/>
              <w:ind w:firstLine="0"/>
            </w:pPr>
            <w:r>
              <w:t>Qualcomm</w:t>
            </w:r>
          </w:p>
        </w:tc>
        <w:tc>
          <w:tcPr>
            <w:tcW w:w="8076" w:type="dxa"/>
          </w:tcPr>
          <w:p w14:paraId="5C4B4823" w14:textId="77777777" w:rsidR="00EE4559" w:rsidRDefault="00EE4559" w:rsidP="006B2419">
            <w:pPr>
              <w:pStyle w:val="0Maintext"/>
              <w:tabs>
                <w:tab w:val="left" w:pos="977"/>
              </w:tabs>
              <w:spacing w:after="0" w:afterAutospacing="0"/>
              <w:ind w:firstLine="0"/>
              <w:rPr>
                <w:b/>
                <w:bCs/>
              </w:rPr>
            </w:pPr>
            <w:r>
              <w:rPr>
                <w:b/>
                <w:bCs/>
              </w:rPr>
              <w:t>We thank the FL for the convincing arguments and explanations, and we agree to the FL proposal.</w:t>
            </w:r>
          </w:p>
          <w:p w14:paraId="4F1B50E3" w14:textId="77777777" w:rsidR="00EE4559" w:rsidRDefault="00EE4559" w:rsidP="006B2419">
            <w:pPr>
              <w:pStyle w:val="0Maintext"/>
              <w:tabs>
                <w:tab w:val="left" w:pos="977"/>
              </w:tabs>
              <w:spacing w:after="0" w:afterAutospacing="0"/>
              <w:ind w:firstLine="0"/>
            </w:pPr>
          </w:p>
          <w:p w14:paraId="65FAFD10" w14:textId="77777777" w:rsidR="00EE4559" w:rsidRDefault="00EE4559" w:rsidP="006B2419">
            <w:pPr>
              <w:pStyle w:val="3GPPAgreements"/>
              <w:numPr>
                <w:ilvl w:val="0"/>
                <w:numId w:val="0"/>
              </w:numPr>
              <w:spacing w:before="0" w:after="0"/>
              <w:ind w:left="284" w:hanging="284"/>
              <w:rPr>
                <w:rFonts w:asciiTheme="minorHAnsi" w:hAnsiTheme="minorHAnsi" w:cstheme="minorHAnsi"/>
              </w:rPr>
            </w:pPr>
            <w:r>
              <w:t xml:space="preserve">Regarding the second bullet (which appears to have been removed from the FL proposal) </w:t>
            </w:r>
            <w:r>
              <w:rPr>
                <w:rFonts w:asciiTheme="minorHAnsi" w:hAnsiTheme="minorHAnsi" w:cstheme="minorHAnsi"/>
              </w:rPr>
              <w:t>we believe that the following challenges related to CAPC determination for S-SSB and PSFCH are to be addressed:</w:t>
            </w:r>
          </w:p>
          <w:p w14:paraId="68CB3E87" w14:textId="77777777" w:rsidR="00EE4559" w:rsidRDefault="00EE4559" w:rsidP="006B2419">
            <w:pPr>
              <w:pStyle w:val="3GPPAgreements"/>
              <w:numPr>
                <w:ilvl w:val="0"/>
                <w:numId w:val="0"/>
              </w:numPr>
              <w:spacing w:before="0" w:after="0"/>
              <w:ind w:left="284" w:hanging="284"/>
              <w:rPr>
                <w:rFonts w:asciiTheme="minorHAnsi" w:hAnsiTheme="minorHAnsi" w:cstheme="minorHAnsi"/>
              </w:rPr>
            </w:pPr>
          </w:p>
          <w:p w14:paraId="582ABA93" w14:textId="77777777" w:rsidR="00EE4559" w:rsidRDefault="00EE4559">
            <w:pPr>
              <w:pStyle w:val="3GPPAgreements"/>
              <w:numPr>
                <w:ilvl w:val="0"/>
                <w:numId w:val="33"/>
              </w:numPr>
              <w:spacing w:line="259" w:lineRule="auto"/>
            </w:pPr>
            <w:r>
              <w:t>A standalone S-SSB should be allowed to use CAPC p=1 (control information)</w:t>
            </w:r>
          </w:p>
          <w:p w14:paraId="7A448B11" w14:textId="77777777" w:rsidR="00EE4559" w:rsidRDefault="00EE4559" w:rsidP="006B2419">
            <w:pPr>
              <w:ind w:left="720"/>
              <w:rPr>
                <w:u w:val="single"/>
                <w:lang w:val="en-US"/>
              </w:rPr>
            </w:pPr>
            <w:r>
              <w:rPr>
                <w:u w:val="single"/>
                <w:lang w:val="en-US"/>
              </w:rPr>
              <w:t xml:space="preserve">From Type 1 DL procedure </w:t>
            </w:r>
            <w:r>
              <w:rPr>
                <w:rFonts w:ascii="Calibri" w:hAnsi="Calibri" w:cs="Calibri"/>
                <w:sz w:val="22"/>
                <w:u w:val="single"/>
                <w:lang w:val="en-US"/>
              </w:rPr>
              <w:t>[TS 37.213, 4.1.1]</w:t>
            </w:r>
            <w:r>
              <w:rPr>
                <w:u w:val="single"/>
                <w:lang w:val="en-US"/>
              </w:rPr>
              <w:t>:</w:t>
            </w:r>
          </w:p>
          <w:p w14:paraId="3297FA12" w14:textId="77777777" w:rsidR="00EE4559" w:rsidRDefault="00EE4559" w:rsidP="006B2419">
            <w:pPr>
              <w:ind w:left="720"/>
              <w:rPr>
                <w:i/>
                <w:iCs/>
                <w:lang w:val="en-US"/>
              </w:rPr>
            </w:pPr>
            <w:r>
              <w:rPr>
                <w:i/>
                <w:iCs/>
                <w:lang w:val="en-US"/>
              </w:rPr>
              <w:t>“A gNB may use any channel access priority class for performing the procedures above to transmit transmission(s) including discovery burst(s) satisfying the conditions described in this clause.”</w:t>
            </w:r>
          </w:p>
          <w:p w14:paraId="0B6157CA" w14:textId="77777777" w:rsidR="00EE4559" w:rsidRDefault="00EE4559" w:rsidP="006B2419">
            <w:pPr>
              <w:ind w:left="720"/>
              <w:rPr>
                <w:lang w:val="en-US"/>
              </w:rPr>
            </w:pPr>
            <w:r>
              <w:rPr>
                <w:b/>
                <w:bCs/>
                <w:lang w:val="en-US"/>
              </w:rPr>
              <w:t>We propose to add the following text</w:t>
            </w:r>
            <w:r>
              <w:rPr>
                <w:lang w:val="en-US"/>
              </w:rPr>
              <w:t>:</w:t>
            </w:r>
          </w:p>
          <w:p w14:paraId="30718C4B" w14:textId="77777777" w:rsidR="00EE4559" w:rsidRDefault="00EE4559" w:rsidP="00EE4559">
            <w:pPr>
              <w:pStyle w:val="3GPPAgreements"/>
              <w:numPr>
                <w:ilvl w:val="3"/>
                <w:numId w:val="11"/>
              </w:numPr>
              <w:spacing w:line="259" w:lineRule="auto"/>
              <w:rPr>
                <w:highlight w:val="yellow"/>
              </w:rPr>
            </w:pPr>
            <w:r>
              <w:rPr>
                <w:highlight w:val="yellow"/>
              </w:rPr>
              <w:t xml:space="preserve">A </w:t>
            </w:r>
            <w:r>
              <w:rPr>
                <w:strike/>
                <w:color w:val="FF0000"/>
                <w:highlight w:val="yellow"/>
              </w:rPr>
              <w:t>gNB</w:t>
            </w:r>
            <w:r>
              <w:rPr>
                <w:color w:val="FF0000"/>
                <w:highlight w:val="yellow"/>
              </w:rPr>
              <w:t xml:space="preserve">  UE </w:t>
            </w:r>
            <w:r>
              <w:rPr>
                <w:highlight w:val="yellow"/>
              </w:rPr>
              <w:t xml:space="preserve">may use any channel access priority class for performing the procedures above to transmit transmission(s) including </w:t>
            </w:r>
            <w:r>
              <w:rPr>
                <w:color w:val="FF0000"/>
                <w:highlight w:val="yellow"/>
              </w:rPr>
              <w:t xml:space="preserve">SL </w:t>
            </w:r>
            <w:r>
              <w:rPr>
                <w:highlight w:val="yellow"/>
              </w:rPr>
              <w:t>discovery burst(s) satisfying the conditions described in this clause</w:t>
            </w:r>
          </w:p>
          <w:p w14:paraId="0F1FDDA9" w14:textId="77777777" w:rsidR="00EE4559" w:rsidRDefault="00EE4559" w:rsidP="006B2419">
            <w:pPr>
              <w:autoSpaceDE w:val="0"/>
              <w:autoSpaceDN w:val="0"/>
              <w:jc w:val="both"/>
              <w:rPr>
                <w:rFonts w:ascii="Calibri" w:hAnsi="Calibri" w:cs="Calibri"/>
                <w:sz w:val="22"/>
                <w:lang w:val="en-US"/>
              </w:rPr>
            </w:pPr>
          </w:p>
          <w:p w14:paraId="548749A6" w14:textId="77777777" w:rsidR="00EE4559" w:rsidRDefault="00EE4559" w:rsidP="00EE4559">
            <w:pPr>
              <w:pStyle w:val="3GPPAgreements"/>
              <w:spacing w:line="259" w:lineRule="auto"/>
            </w:pPr>
            <w:r>
              <w:t>A PSFCH should be allowed to use CAPC p=1 (control information)</w:t>
            </w:r>
          </w:p>
          <w:p w14:paraId="65215A6A" w14:textId="77777777" w:rsidR="00EE4559" w:rsidRDefault="00EE4559" w:rsidP="006B2419">
            <w:pPr>
              <w:autoSpaceDE w:val="0"/>
              <w:autoSpaceDN w:val="0"/>
              <w:ind w:left="720"/>
              <w:jc w:val="both"/>
              <w:rPr>
                <w:rFonts w:ascii="Calibri" w:hAnsi="Calibri" w:cs="Calibri"/>
                <w:sz w:val="22"/>
                <w:u w:val="single"/>
                <w:lang w:val="en-US"/>
              </w:rPr>
            </w:pPr>
            <w:r>
              <w:rPr>
                <w:rFonts w:ascii="Calibri" w:hAnsi="Calibri" w:cs="Calibri"/>
                <w:sz w:val="22"/>
                <w:u w:val="single"/>
                <w:lang w:val="en-US"/>
              </w:rPr>
              <w:t>From Type 1 UL procedure [TS 37.213, 4.2.1]:</w:t>
            </w:r>
          </w:p>
          <w:p w14:paraId="4B96910A" w14:textId="77777777" w:rsidR="00EE4559" w:rsidRDefault="00EE4559" w:rsidP="006B2419">
            <w:pPr>
              <w:ind w:left="720"/>
              <w:rPr>
                <w:i/>
                <w:iCs/>
                <w:lang w:val="en-US"/>
              </w:rPr>
            </w:pPr>
            <w:r>
              <w:rPr>
                <w:rFonts w:eastAsia="Malgun Gothic"/>
                <w:i/>
                <w:iCs/>
                <w:lang w:val="en-US" w:eastAsia="ko-KR"/>
              </w:rPr>
              <w:t xml:space="preserve">“When a UE uses Type 1 channel access procedures for PUCCH transmissions or PUSCH only transmissions without UL-SCH, the UE shall use </w:t>
            </w:r>
            <w:r>
              <w:rPr>
                <w:i/>
                <w:iCs/>
                <w:lang w:val="en-US"/>
              </w:rPr>
              <w:t xml:space="preserve">UL channel access priority class </w:t>
            </w:r>
            <m:oMath>
              <m:r>
                <w:rPr>
                  <w:rFonts w:ascii="Cambria Math" w:hAnsi="Cambria Math"/>
                </w:rPr>
                <m:t>p</m:t>
              </m:r>
              <m:r>
                <w:rPr>
                  <w:rFonts w:ascii="Cambria Math" w:hAnsi="Cambria Math"/>
                  <w:lang w:val="en-US"/>
                </w:rPr>
                <m:t>=1</m:t>
              </m:r>
            </m:oMath>
            <w:r>
              <w:rPr>
                <w:i/>
                <w:iCs/>
                <w:lang w:val="en-US"/>
              </w:rPr>
              <w:t xml:space="preserve"> in Table 4.2.1-1.”</w:t>
            </w:r>
          </w:p>
          <w:p w14:paraId="6A470220" w14:textId="77777777" w:rsidR="00EE4559" w:rsidRDefault="00EE4559" w:rsidP="006B2419">
            <w:pPr>
              <w:ind w:left="720"/>
              <w:rPr>
                <w:lang w:val="en-US"/>
              </w:rPr>
            </w:pPr>
            <w:r>
              <w:rPr>
                <w:b/>
                <w:bCs/>
                <w:lang w:val="en-US"/>
              </w:rPr>
              <w:t>We propose to add the following text</w:t>
            </w:r>
            <w:r>
              <w:rPr>
                <w:lang w:val="en-US"/>
              </w:rPr>
              <w:t>:</w:t>
            </w:r>
          </w:p>
          <w:p w14:paraId="41296921" w14:textId="77777777" w:rsidR="00EE4559" w:rsidRDefault="00EE4559" w:rsidP="00EE4559">
            <w:pPr>
              <w:pStyle w:val="3GPPAgreements"/>
              <w:numPr>
                <w:ilvl w:val="3"/>
                <w:numId w:val="11"/>
              </w:numPr>
              <w:spacing w:line="259" w:lineRule="auto"/>
              <w:rPr>
                <w:highlight w:val="yellow"/>
              </w:rPr>
            </w:pPr>
            <w:r>
              <w:rPr>
                <w:highlight w:val="yellow"/>
              </w:rPr>
              <w:t xml:space="preserve">When a UE uses Type 1 channel access procedures for </w:t>
            </w:r>
            <w:r>
              <w:rPr>
                <w:strike/>
                <w:color w:val="FF0000"/>
                <w:highlight w:val="yellow"/>
              </w:rPr>
              <w:t>PUCCH</w:t>
            </w:r>
            <w:r>
              <w:rPr>
                <w:color w:val="FF0000"/>
                <w:highlight w:val="yellow"/>
              </w:rPr>
              <w:t xml:space="preserve"> PSFCH </w:t>
            </w:r>
            <w:r>
              <w:rPr>
                <w:highlight w:val="yellow"/>
              </w:rPr>
              <w:t xml:space="preserve">transmissions </w:t>
            </w:r>
            <w:r>
              <w:rPr>
                <w:strike/>
                <w:color w:val="FF0000"/>
                <w:highlight w:val="yellow"/>
              </w:rPr>
              <w:t>or PUSCH only transmissions without UL-SCH</w:t>
            </w:r>
            <w:r>
              <w:rPr>
                <w:highlight w:val="yellow"/>
              </w:rPr>
              <w:t xml:space="preserve">, the UE shall use </w:t>
            </w:r>
            <w:r>
              <w:rPr>
                <w:strike/>
                <w:color w:val="FF0000"/>
                <w:highlight w:val="yellow"/>
              </w:rPr>
              <w:t>UL</w:t>
            </w:r>
            <w:r>
              <w:rPr>
                <w:highlight w:val="yellow"/>
              </w:rPr>
              <w:t xml:space="preserve"> channel access priority class </w:t>
            </w:r>
            <m:oMath>
              <m:r>
                <w:rPr>
                  <w:rFonts w:ascii="Cambria Math" w:hAnsi="Cambria Math"/>
                  <w:highlight w:val="yellow"/>
                </w:rPr>
                <m:t>p=1</m:t>
              </m:r>
            </m:oMath>
            <w:r>
              <w:rPr>
                <w:highlight w:val="yellow"/>
              </w:rPr>
              <w:t xml:space="preserve"> </w:t>
            </w:r>
            <w:r>
              <w:rPr>
                <w:strike/>
                <w:color w:val="FF0000"/>
                <w:highlight w:val="yellow"/>
              </w:rPr>
              <w:t>in Table 4.2.1-1</w:t>
            </w:r>
            <w:r>
              <w:rPr>
                <w:highlight w:val="yellow"/>
              </w:rPr>
              <w:t>.</w:t>
            </w:r>
          </w:p>
          <w:p w14:paraId="6CB2F938" w14:textId="77777777" w:rsidR="00EE4559" w:rsidRDefault="00EE4559" w:rsidP="006B2419">
            <w:pPr>
              <w:pStyle w:val="0Maintext"/>
              <w:tabs>
                <w:tab w:val="left" w:pos="977"/>
              </w:tabs>
              <w:spacing w:after="0" w:afterAutospacing="0"/>
              <w:ind w:firstLine="0"/>
              <w:rPr>
                <w:lang w:val="en-US"/>
              </w:rPr>
            </w:pPr>
          </w:p>
          <w:p w14:paraId="290FB834" w14:textId="77777777" w:rsidR="00EE4559" w:rsidRDefault="00EE4559" w:rsidP="006B2419">
            <w:pPr>
              <w:pStyle w:val="0Maintext"/>
              <w:tabs>
                <w:tab w:val="left" w:pos="977"/>
              </w:tabs>
              <w:spacing w:after="0" w:afterAutospacing="0"/>
              <w:ind w:firstLine="0"/>
              <w:rPr>
                <w:b/>
                <w:bCs/>
                <w:lang w:val="en-US"/>
              </w:rPr>
            </w:pPr>
            <w:r>
              <w:rPr>
                <w:b/>
                <w:bCs/>
                <w:lang w:val="en-US"/>
              </w:rPr>
              <w:t>Therefore, if the FL decides to re-introduce the second part of the proposal, we propose the following edited version:</w:t>
            </w:r>
          </w:p>
          <w:p w14:paraId="5B1A7B3B" w14:textId="77777777" w:rsidR="00EE4559" w:rsidRDefault="00EE4559">
            <w:pPr>
              <w:pStyle w:val="3GPPAgreements"/>
              <w:numPr>
                <w:ilvl w:val="0"/>
                <w:numId w:val="34"/>
              </w:numPr>
              <w:spacing w:line="259" w:lineRule="auto"/>
            </w:pPr>
            <w:r>
              <w:t>The procedure and steps in TS37.213 Section 4.1.1 for Type 1 DL channel access are used as the baseline for the Type 1 SL channel access procedure.</w:t>
            </w:r>
          </w:p>
          <w:p w14:paraId="21F66632" w14:textId="77777777" w:rsidR="00EE4559" w:rsidRDefault="00EE4559" w:rsidP="00EE4559">
            <w:pPr>
              <w:pStyle w:val="3GPPAgreements"/>
              <w:numPr>
                <w:ilvl w:val="1"/>
                <w:numId w:val="11"/>
              </w:numPr>
              <w:spacing w:line="259" w:lineRule="auto"/>
              <w:rPr>
                <w:rFonts w:asciiTheme="minorHAnsi" w:hAnsiTheme="minorHAnsi" w:cstheme="minorHAnsi"/>
              </w:rPr>
            </w:pPr>
            <w:r>
              <w:rPr>
                <w:rFonts w:asciiTheme="minorHAnsi" w:hAnsiTheme="minorHAnsi" w:cstheme="minorHAnsi"/>
              </w:rPr>
              <w:t xml:space="preserve">FFS DL or UL CAPC table should be used and </w:t>
            </w:r>
            <m:oMath>
              <m:r>
                <w:rPr>
                  <w:rFonts w:ascii="Cambria Math" w:hAnsi="Cambria Math" w:cstheme="minorHAnsi"/>
                </w:rPr>
                <m:t>C</m:t>
              </m:r>
              <m:sSub>
                <m:sSubPr>
                  <m:ctrlPr>
                    <w:rPr>
                      <w:rFonts w:ascii="Cambria Math" w:hAnsi="Cambria Math" w:cstheme="minorHAnsi"/>
                      <w:i/>
                    </w:rPr>
                  </m:ctrlPr>
                </m:sSubPr>
                <m:e>
                  <m:r>
                    <w:rPr>
                      <w:rFonts w:ascii="Cambria Math" w:hAnsi="Cambria Math" w:cstheme="minorHAnsi"/>
                    </w:rPr>
                    <m:t>W</m:t>
                  </m:r>
                </m:e>
                <m:sub>
                  <m:r>
                    <w:rPr>
                      <w:rFonts w:ascii="Cambria Math" w:hAnsi="Cambria Math" w:cstheme="minorHAnsi"/>
                    </w:rPr>
                    <m:t>p</m:t>
                  </m:r>
                </m:sub>
              </m:sSub>
            </m:oMath>
            <w:r>
              <w:rPr>
                <w:rFonts w:asciiTheme="minorHAnsi" w:hAnsiTheme="minorHAnsi" w:cstheme="minorHAnsi"/>
              </w:rPr>
              <w:t xml:space="preserve"> adjustment for SL transmission</w:t>
            </w:r>
          </w:p>
          <w:p w14:paraId="04BB44E4" w14:textId="77777777" w:rsidR="00EE4559" w:rsidRDefault="00EE4559" w:rsidP="00EE4559">
            <w:pPr>
              <w:pStyle w:val="3GPPAgreements"/>
              <w:numPr>
                <w:ilvl w:val="1"/>
                <w:numId w:val="11"/>
              </w:numPr>
              <w:spacing w:line="259" w:lineRule="auto"/>
              <w:rPr>
                <w:rFonts w:asciiTheme="minorHAnsi" w:hAnsiTheme="minorHAnsi" w:cstheme="minorHAnsi"/>
              </w:rPr>
            </w:pPr>
            <w:r>
              <w:rPr>
                <w:rFonts w:asciiTheme="minorHAnsi" w:hAnsiTheme="minorHAnsi" w:cstheme="minorHAnsi"/>
              </w:rPr>
              <w:t xml:space="preserve">FFS any other conditions or updates necessary for SL operation, including </w:t>
            </w:r>
          </w:p>
          <w:p w14:paraId="1F4E7F33" w14:textId="77777777" w:rsidR="00EE4559" w:rsidRDefault="00EE4559" w:rsidP="00EE4559">
            <w:pPr>
              <w:pStyle w:val="3GPPAgreements"/>
              <w:numPr>
                <w:ilvl w:val="2"/>
                <w:numId w:val="11"/>
              </w:numPr>
              <w:spacing w:line="259" w:lineRule="auto"/>
              <w:rPr>
                <w:rFonts w:asciiTheme="minorHAnsi" w:hAnsiTheme="minorHAnsi" w:cstheme="minorHAnsi"/>
              </w:rPr>
            </w:pPr>
            <w:r>
              <w:rPr>
                <w:rFonts w:asciiTheme="minorHAnsi" w:hAnsiTheme="minorHAnsi" w:cstheme="minorHAnsi"/>
              </w:rPr>
              <w:t>Whether the term “discovery burst” is updated to “SL discovery burst” and used for S-SSB and its associated DMRS</w:t>
            </w:r>
          </w:p>
          <w:p w14:paraId="21728CFD" w14:textId="77777777" w:rsidR="00EE4559" w:rsidRDefault="00EE4559" w:rsidP="00EE4559">
            <w:pPr>
              <w:pStyle w:val="3GPPAgreements"/>
              <w:numPr>
                <w:ilvl w:val="2"/>
                <w:numId w:val="11"/>
              </w:numPr>
              <w:spacing w:line="259" w:lineRule="auto"/>
              <w:rPr>
                <w:rFonts w:asciiTheme="minorHAnsi" w:hAnsiTheme="minorHAnsi" w:cstheme="minorHAnsi"/>
                <w:strike/>
                <w:color w:val="FF0000"/>
              </w:rPr>
            </w:pPr>
            <w:r>
              <w:rPr>
                <w:rFonts w:asciiTheme="minorHAnsi" w:hAnsiTheme="minorHAnsi" w:cstheme="minorHAnsi"/>
                <w:strike/>
                <w:color w:val="FF0000"/>
              </w:rPr>
              <w:t xml:space="preserve">Whether CAPC for S-SSB and PSFCH should be fixed to </w:t>
            </w:r>
            <m:oMath>
              <m:r>
                <w:rPr>
                  <w:rFonts w:ascii="Cambria Math" w:hAnsi="Cambria Math"/>
                  <w:strike/>
                  <w:color w:val="FF0000"/>
                </w:rPr>
                <m:t>p=1</m:t>
              </m:r>
            </m:oMath>
          </w:p>
          <w:p w14:paraId="429787FF" w14:textId="77777777" w:rsidR="00EE4559" w:rsidRDefault="00EE4559" w:rsidP="00EE4559">
            <w:pPr>
              <w:pStyle w:val="3GPPAgreements"/>
              <w:numPr>
                <w:ilvl w:val="2"/>
                <w:numId w:val="11"/>
              </w:numPr>
              <w:spacing w:line="259" w:lineRule="auto"/>
              <w:rPr>
                <w:rFonts w:asciiTheme="minorHAnsi" w:hAnsiTheme="minorHAnsi" w:cstheme="minorHAnsi"/>
              </w:rPr>
            </w:pPr>
            <w:r>
              <w:rPr>
                <w:rFonts w:asciiTheme="minorHAnsi" w:hAnsiTheme="minorHAnsi" w:cstheme="minorHAnsi"/>
              </w:rPr>
              <w:t>Whether the following paragraph</w:t>
            </w:r>
            <w:r>
              <w:rPr>
                <w:rFonts w:asciiTheme="minorHAnsi" w:hAnsiTheme="minorHAnsi" w:cstheme="minorHAnsi"/>
                <w:color w:val="FF0000"/>
              </w:rPr>
              <w:t>s</w:t>
            </w:r>
            <w:r>
              <w:rPr>
                <w:rFonts w:asciiTheme="minorHAnsi" w:hAnsiTheme="minorHAnsi" w:cstheme="minorHAnsi"/>
              </w:rPr>
              <w:t xml:space="preserve"> update</w:t>
            </w:r>
            <w:r>
              <w:rPr>
                <w:rFonts w:asciiTheme="minorHAnsi" w:hAnsiTheme="minorHAnsi" w:cstheme="minorHAnsi"/>
                <w:color w:val="FF0000"/>
              </w:rPr>
              <w:t>s</w:t>
            </w:r>
            <w:r>
              <w:rPr>
                <w:rFonts w:asciiTheme="minorHAnsi" w:hAnsiTheme="minorHAnsi" w:cstheme="minorHAnsi"/>
              </w:rPr>
              <w:t xml:space="preserve"> </w:t>
            </w:r>
            <w:r>
              <w:rPr>
                <w:rFonts w:asciiTheme="minorHAnsi" w:hAnsiTheme="minorHAnsi" w:cstheme="minorHAnsi"/>
                <w:strike/>
                <w:color w:val="FF0000"/>
              </w:rPr>
              <w:t>is</w:t>
            </w:r>
            <w:r>
              <w:rPr>
                <w:rFonts w:asciiTheme="minorHAnsi" w:hAnsiTheme="minorHAnsi" w:cstheme="minorHAnsi"/>
                <w:color w:val="FF0000"/>
              </w:rPr>
              <w:t xml:space="preserve"> are </w:t>
            </w:r>
            <w:r>
              <w:rPr>
                <w:rFonts w:asciiTheme="minorHAnsi" w:hAnsiTheme="minorHAnsi" w:cstheme="minorHAnsi"/>
              </w:rPr>
              <w:t>correct</w:t>
            </w:r>
          </w:p>
          <w:p w14:paraId="4A49236B" w14:textId="77777777" w:rsidR="00EE4559" w:rsidRDefault="00EE4559" w:rsidP="00EE4559">
            <w:pPr>
              <w:pStyle w:val="3GPPAgreements"/>
              <w:numPr>
                <w:ilvl w:val="3"/>
                <w:numId w:val="11"/>
              </w:numPr>
              <w:spacing w:line="259" w:lineRule="auto"/>
              <w:rPr>
                <w:rFonts w:asciiTheme="minorHAnsi" w:hAnsiTheme="minorHAnsi" w:cstheme="minorHAnsi"/>
                <w:color w:val="000000" w:themeColor="text1"/>
              </w:rPr>
            </w:pPr>
            <w:r>
              <w:rPr>
                <w:rFonts w:asciiTheme="minorHAnsi" w:hAnsiTheme="minorHAnsi" w:cstheme="minorHAnsi"/>
                <w:color w:val="000000" w:themeColor="text1"/>
              </w:rPr>
              <w:t xml:space="preserve">A </w:t>
            </w:r>
            <w:del w:id="34" w:author="Kevin Lin" w:date="2022-10-10T08:16:00Z">
              <w:r>
                <w:rPr>
                  <w:rFonts w:asciiTheme="minorHAnsi" w:hAnsiTheme="minorHAnsi" w:cstheme="minorHAnsi"/>
                  <w:color w:val="000000" w:themeColor="text1"/>
                </w:rPr>
                <w:delText xml:space="preserve">gNB </w:delText>
              </w:r>
            </w:del>
            <w:ins w:id="35" w:author="Kevin Lin" w:date="2022-10-10T08:16:00Z">
              <w:r>
                <w:rPr>
                  <w:rFonts w:asciiTheme="minorHAnsi" w:hAnsiTheme="minorHAnsi" w:cstheme="minorHAnsi"/>
                  <w:color w:val="000000" w:themeColor="text1"/>
                </w:rPr>
                <w:t xml:space="preserve">UE </w:t>
              </w:r>
            </w:ins>
            <w:r>
              <w:rPr>
                <w:rFonts w:asciiTheme="minorHAnsi" w:hAnsiTheme="minorHAnsi" w:cstheme="minorHAnsi"/>
                <w:color w:val="000000" w:themeColor="text1"/>
              </w:rPr>
              <w:t xml:space="preserve">shall use a channel access priority class applicable to the </w:t>
            </w:r>
            <w:del w:id="36" w:author="Kevin Lin" w:date="2022-10-10T08:16:00Z">
              <w:r>
                <w:rPr>
                  <w:rFonts w:asciiTheme="minorHAnsi" w:hAnsiTheme="minorHAnsi" w:cstheme="minorHAnsi"/>
                  <w:color w:val="000000" w:themeColor="text1"/>
                </w:rPr>
                <w:delText xml:space="preserve">unicast </w:delText>
              </w:r>
            </w:del>
            <w:ins w:id="37" w:author="Kevin Lin" w:date="2022-10-10T08:16:00Z">
              <w:r>
                <w:rPr>
                  <w:rFonts w:asciiTheme="minorHAnsi" w:hAnsiTheme="minorHAnsi" w:cstheme="minorHAnsi"/>
                  <w:color w:val="000000" w:themeColor="text1"/>
                </w:rPr>
                <w:t xml:space="preserve">sidelink </w:t>
              </w:r>
            </w:ins>
            <w:r>
              <w:rPr>
                <w:rFonts w:asciiTheme="minorHAnsi" w:hAnsiTheme="minorHAnsi" w:cstheme="minorHAnsi"/>
                <w:color w:val="000000" w:themeColor="text1"/>
              </w:rPr>
              <w:t xml:space="preserve">user plane data multiplexed in </w:t>
            </w:r>
            <w:del w:id="38" w:author="Kevin Lin" w:date="2022-10-10T08:16:00Z">
              <w:r>
                <w:rPr>
                  <w:rFonts w:asciiTheme="minorHAnsi" w:hAnsiTheme="minorHAnsi" w:cstheme="minorHAnsi"/>
                  <w:color w:val="000000" w:themeColor="text1"/>
                </w:rPr>
                <w:delText xml:space="preserve">PDSCH </w:delText>
              </w:r>
            </w:del>
            <w:ins w:id="39" w:author="Kevin Lin" w:date="2022-10-10T08:16:00Z">
              <w:r>
                <w:rPr>
                  <w:rFonts w:asciiTheme="minorHAnsi" w:hAnsiTheme="minorHAnsi" w:cstheme="minorHAnsi"/>
                  <w:color w:val="000000" w:themeColor="text1"/>
                </w:rPr>
                <w:t xml:space="preserve">PSSCH </w:t>
              </w:r>
            </w:ins>
            <w:r>
              <w:rPr>
                <w:rFonts w:asciiTheme="minorHAnsi" w:hAnsiTheme="minorHAnsi" w:cstheme="minorHAnsi"/>
                <w:color w:val="000000" w:themeColor="text1"/>
              </w:rPr>
              <w:t xml:space="preserve">for performing the procedures above to transmit transmission(s) including </w:t>
            </w:r>
            <w:del w:id="40" w:author="Kevin Lin" w:date="2022-10-10T08:17:00Z">
              <w:r>
                <w:rPr>
                  <w:rFonts w:asciiTheme="minorHAnsi" w:hAnsiTheme="minorHAnsi" w:cstheme="minorHAnsi"/>
                  <w:color w:val="000000" w:themeColor="text1"/>
                </w:rPr>
                <w:delText>unicast PDSCH</w:delText>
              </w:r>
            </w:del>
            <w:ins w:id="41" w:author="Kevin Lin" w:date="2022-10-10T08:17:00Z">
              <w:r>
                <w:rPr>
                  <w:rFonts w:asciiTheme="minorHAnsi" w:hAnsiTheme="minorHAnsi" w:cstheme="minorHAnsi"/>
                  <w:color w:val="000000" w:themeColor="text1"/>
                </w:rPr>
                <w:t>PS</w:t>
              </w:r>
            </w:ins>
            <w:ins w:id="42" w:author="Kevin Lin" w:date="2022-10-10T08:19:00Z">
              <w:r>
                <w:rPr>
                  <w:rFonts w:asciiTheme="minorHAnsi" w:hAnsiTheme="minorHAnsi" w:cstheme="minorHAnsi"/>
                  <w:color w:val="000000" w:themeColor="text1"/>
                </w:rPr>
                <w:t>S</w:t>
              </w:r>
            </w:ins>
            <w:ins w:id="43" w:author="Kevin Lin" w:date="2022-10-10T08:17:00Z">
              <w:r>
                <w:rPr>
                  <w:rFonts w:asciiTheme="minorHAnsi" w:hAnsiTheme="minorHAnsi" w:cstheme="minorHAnsi"/>
                  <w:color w:val="000000" w:themeColor="text1"/>
                </w:rPr>
                <w:t>CH</w:t>
              </w:r>
            </w:ins>
            <w:r>
              <w:rPr>
                <w:rFonts w:asciiTheme="minorHAnsi" w:hAnsiTheme="minorHAnsi" w:cstheme="minorHAnsi"/>
                <w:color w:val="000000" w:themeColor="text1"/>
              </w:rPr>
              <w:t xml:space="preserve"> with user plane data</w:t>
            </w:r>
            <w:ins w:id="44" w:author="Kevin Lin" w:date="2022-10-10T08:19:00Z">
              <w:r>
                <w:rPr>
                  <w:rFonts w:asciiTheme="minorHAnsi" w:hAnsiTheme="minorHAnsi" w:cstheme="minorHAnsi"/>
                  <w:color w:val="000000" w:themeColor="text1"/>
                </w:rPr>
                <w:t xml:space="preserve"> </w:t>
              </w:r>
            </w:ins>
            <w:ins w:id="45" w:author="Kevin Lin" w:date="2022-10-10T08:41:00Z">
              <w:r>
                <w:rPr>
                  <w:rFonts w:asciiTheme="minorHAnsi" w:hAnsiTheme="minorHAnsi" w:cstheme="minorHAnsi"/>
                  <w:color w:val="000000" w:themeColor="text1"/>
                </w:rPr>
                <w:t>and its</w:t>
              </w:r>
            </w:ins>
            <w:ins w:id="46" w:author="Kevin Lin" w:date="2022-10-10T08:19:00Z">
              <w:r>
                <w:rPr>
                  <w:rFonts w:asciiTheme="minorHAnsi" w:hAnsiTheme="minorHAnsi" w:cstheme="minorHAnsi"/>
                  <w:color w:val="000000" w:themeColor="text1"/>
                </w:rPr>
                <w:t xml:space="preserve"> associated PSCCH</w:t>
              </w:r>
            </w:ins>
            <w:r>
              <w:rPr>
                <w:rFonts w:asciiTheme="minorHAnsi" w:hAnsiTheme="minorHAnsi" w:cstheme="minorHAnsi"/>
                <w:color w:val="000000" w:themeColor="text1"/>
              </w:rPr>
              <w:t>.</w:t>
            </w:r>
          </w:p>
          <w:p w14:paraId="72E09B48" w14:textId="77777777" w:rsidR="00EE4559" w:rsidRDefault="00EE4559" w:rsidP="00EE4559">
            <w:pPr>
              <w:pStyle w:val="3GPPAgreements"/>
              <w:numPr>
                <w:ilvl w:val="3"/>
                <w:numId w:val="11"/>
              </w:numPr>
              <w:spacing w:line="259" w:lineRule="auto"/>
              <w:rPr>
                <w:highlight w:val="yellow"/>
              </w:rPr>
            </w:pPr>
            <w:r>
              <w:rPr>
                <w:highlight w:val="yellow"/>
              </w:rPr>
              <w:t xml:space="preserve">A </w:t>
            </w:r>
            <w:r>
              <w:rPr>
                <w:strike/>
                <w:color w:val="FF0000"/>
                <w:highlight w:val="yellow"/>
              </w:rPr>
              <w:t>gNB</w:t>
            </w:r>
            <w:r>
              <w:rPr>
                <w:color w:val="FF0000"/>
                <w:highlight w:val="yellow"/>
              </w:rPr>
              <w:t xml:space="preserve">  UE </w:t>
            </w:r>
            <w:r>
              <w:rPr>
                <w:highlight w:val="yellow"/>
              </w:rPr>
              <w:t xml:space="preserve">may use any channel access priority class for performing the procedures above to transmit transmission(s) including </w:t>
            </w:r>
            <w:r>
              <w:rPr>
                <w:color w:val="FF0000"/>
                <w:highlight w:val="yellow"/>
              </w:rPr>
              <w:t xml:space="preserve">SL </w:t>
            </w:r>
            <w:r>
              <w:rPr>
                <w:highlight w:val="yellow"/>
              </w:rPr>
              <w:t>discovery burst(s) satisfying the conditions described in this clause</w:t>
            </w:r>
          </w:p>
          <w:p w14:paraId="2DB20A13" w14:textId="77777777" w:rsidR="00EE4559" w:rsidRDefault="00EE4559" w:rsidP="00EE4559">
            <w:pPr>
              <w:pStyle w:val="3GPPAgreements"/>
              <w:numPr>
                <w:ilvl w:val="3"/>
                <w:numId w:val="11"/>
              </w:numPr>
              <w:spacing w:line="259" w:lineRule="auto"/>
              <w:rPr>
                <w:highlight w:val="yellow"/>
              </w:rPr>
            </w:pPr>
            <w:r>
              <w:rPr>
                <w:highlight w:val="yellow"/>
              </w:rPr>
              <w:lastRenderedPageBreak/>
              <w:t xml:space="preserve">When a UE uses Type 1 channel access procedures for </w:t>
            </w:r>
            <w:r>
              <w:rPr>
                <w:strike/>
                <w:color w:val="FF0000"/>
                <w:highlight w:val="yellow"/>
              </w:rPr>
              <w:t>PUCCH</w:t>
            </w:r>
            <w:r>
              <w:rPr>
                <w:color w:val="FF0000"/>
                <w:highlight w:val="yellow"/>
              </w:rPr>
              <w:t xml:space="preserve"> PSFCH </w:t>
            </w:r>
            <w:r>
              <w:rPr>
                <w:highlight w:val="yellow"/>
              </w:rPr>
              <w:t xml:space="preserve">transmissions </w:t>
            </w:r>
            <w:r>
              <w:rPr>
                <w:strike/>
                <w:color w:val="FF0000"/>
                <w:highlight w:val="yellow"/>
              </w:rPr>
              <w:t>or PUSCH only transmissions without UL-SCH</w:t>
            </w:r>
            <w:r>
              <w:rPr>
                <w:highlight w:val="yellow"/>
              </w:rPr>
              <w:t xml:space="preserve">, the UE shall use </w:t>
            </w:r>
            <w:r>
              <w:rPr>
                <w:strike/>
                <w:color w:val="FF0000"/>
                <w:highlight w:val="yellow"/>
              </w:rPr>
              <w:t>UL</w:t>
            </w:r>
            <w:r>
              <w:rPr>
                <w:highlight w:val="yellow"/>
              </w:rPr>
              <w:t xml:space="preserve"> channel access priority class </w:t>
            </w:r>
            <m:oMath>
              <m:r>
                <w:rPr>
                  <w:rFonts w:ascii="Cambria Math" w:hAnsi="Cambria Math"/>
                  <w:highlight w:val="yellow"/>
                </w:rPr>
                <m:t>p=1</m:t>
              </m:r>
            </m:oMath>
            <w:r>
              <w:rPr>
                <w:highlight w:val="yellow"/>
              </w:rPr>
              <w:t xml:space="preserve"> </w:t>
            </w:r>
            <w:r>
              <w:rPr>
                <w:strike/>
                <w:color w:val="FF0000"/>
                <w:highlight w:val="yellow"/>
              </w:rPr>
              <w:t>in Table 4.2.1-1</w:t>
            </w:r>
            <w:r>
              <w:rPr>
                <w:highlight w:val="yellow"/>
              </w:rPr>
              <w:t>.</w:t>
            </w:r>
          </w:p>
          <w:p w14:paraId="0AEDE04A" w14:textId="49FDE9A7" w:rsidR="00EE4559" w:rsidRPr="00EE4559" w:rsidRDefault="00EE4559" w:rsidP="00EE4559">
            <w:pPr>
              <w:pStyle w:val="3GPPAgreements"/>
              <w:numPr>
                <w:ilvl w:val="2"/>
                <w:numId w:val="11"/>
              </w:numPr>
              <w:spacing w:line="259" w:lineRule="auto"/>
              <w:rPr>
                <w:rFonts w:asciiTheme="minorHAnsi" w:hAnsiTheme="minorHAnsi" w:cstheme="minorHAnsi"/>
                <w:color w:val="000000" w:themeColor="text1"/>
              </w:rPr>
            </w:pPr>
            <w:r>
              <w:rPr>
                <w:rFonts w:asciiTheme="minorHAnsi" w:hAnsiTheme="minorHAnsi" w:cstheme="minorHAnsi"/>
                <w:color w:val="000000" w:themeColor="text1"/>
              </w:rPr>
              <w:t>Whether Section 4.1.1.1 on “regional limitations on channel occupancy time”, currently specified for Japan, also applies to SL operation.</w:t>
            </w:r>
          </w:p>
        </w:tc>
      </w:tr>
      <w:tr w:rsidR="00EE4559" w14:paraId="21201DEF" w14:textId="77777777" w:rsidTr="006B2419">
        <w:tc>
          <w:tcPr>
            <w:tcW w:w="1555" w:type="dxa"/>
          </w:tcPr>
          <w:p w14:paraId="4B8FB7BC" w14:textId="77777777" w:rsidR="00EE4559" w:rsidRDefault="00EE4559" w:rsidP="006B2419">
            <w:pPr>
              <w:pStyle w:val="0Maintext"/>
              <w:spacing w:after="0" w:afterAutospacing="0"/>
              <w:ind w:firstLine="0"/>
            </w:pPr>
            <w:r>
              <w:lastRenderedPageBreak/>
              <w:t>Intel</w:t>
            </w:r>
          </w:p>
        </w:tc>
        <w:tc>
          <w:tcPr>
            <w:tcW w:w="8076" w:type="dxa"/>
          </w:tcPr>
          <w:p w14:paraId="077B65A2" w14:textId="58B878D1" w:rsidR="00EE4559" w:rsidRDefault="00EE4559" w:rsidP="006B2419">
            <w:pPr>
              <w:pStyle w:val="0Maintext"/>
              <w:spacing w:after="0" w:afterAutospacing="0"/>
              <w:ind w:firstLine="0"/>
            </w:pPr>
            <w:r>
              <w:t>We still have concerns about the intention of this proposal, and as indicated during GTW we would prefer to clearly state that type 1 is used by the UE when initiating a COT, and operating as initiating device. As the proposal reads, it seems a UE will always use type 1 LBT when transmitting PSSCH/PSCCH which falls back to option 1 for UE-to-UE COT sharing. Also this proposal seems to imply that a UE must acquire a COT anytime a PSSCH/PSCCH is transmitted. Furthermore, we do not understand the last bullet, which in our view should be left as FFS, since applied on S-SSB and PSFCH transmissions. Therefore, we propose the following updated text:</w:t>
            </w:r>
          </w:p>
          <w:p w14:paraId="23F699CC" w14:textId="37FFCDA8" w:rsidR="00EE4559" w:rsidRDefault="00EE4559" w:rsidP="00EE4559">
            <w:pPr>
              <w:pStyle w:val="3GPPAgreements"/>
              <w:spacing w:line="259" w:lineRule="auto"/>
              <w:rPr>
                <w:rFonts w:asciiTheme="minorHAnsi" w:hAnsiTheme="minorHAnsi" w:cstheme="minorHAnsi"/>
              </w:rPr>
            </w:pPr>
            <w:r>
              <w:rPr>
                <w:rFonts w:asciiTheme="minorHAnsi" w:hAnsiTheme="minorHAnsi" w:cstheme="minorHAnsi"/>
                <w:lang w:val="en-GB"/>
              </w:rPr>
              <w:t xml:space="preserve">Type 1 SL channel access procedure is applicable to the following transmissions </w:t>
            </w:r>
            <w:ins w:id="47" w:author="Kevin Lin" w:date="2022-10-10T21:41:00Z">
              <w:r>
                <w:rPr>
                  <w:rFonts w:asciiTheme="minorHAnsi" w:hAnsiTheme="minorHAnsi" w:cstheme="minorHAnsi"/>
                  <w:strike/>
                  <w:lang w:val="en-GB"/>
                </w:rPr>
                <w:t xml:space="preserve">initiating a </w:t>
              </w:r>
            </w:ins>
            <w:ins w:id="48" w:author="Kevin Lin" w:date="2022-10-10T21:42:00Z">
              <w:r>
                <w:rPr>
                  <w:rFonts w:asciiTheme="minorHAnsi" w:hAnsiTheme="minorHAnsi" w:cstheme="minorHAnsi"/>
                  <w:strike/>
                  <w:lang w:val="en-GB"/>
                </w:rPr>
                <w:t xml:space="preserve">COT </w:t>
              </w:r>
            </w:ins>
            <w:r>
              <w:rPr>
                <w:rFonts w:asciiTheme="minorHAnsi" w:hAnsiTheme="minorHAnsi" w:cstheme="minorHAnsi"/>
                <w:lang w:val="en-GB"/>
              </w:rPr>
              <w:t xml:space="preserve">by a UE </w:t>
            </w:r>
            <w:r>
              <w:rPr>
                <w:rFonts w:asciiTheme="minorHAnsi" w:hAnsiTheme="minorHAnsi" w:cstheme="minorHAnsi"/>
                <w:color w:val="FF0000"/>
                <w:lang w:val="en-GB"/>
              </w:rPr>
              <w:t>when operating as initiating device and acquiring a COT</w:t>
            </w:r>
            <w:r>
              <w:rPr>
                <w:rFonts w:asciiTheme="minorHAnsi" w:hAnsiTheme="minorHAnsi" w:cstheme="minorHAnsi"/>
                <w:lang w:val="en-GB"/>
              </w:rPr>
              <w:t>:</w:t>
            </w:r>
          </w:p>
          <w:p w14:paraId="4676E573" w14:textId="77777777" w:rsidR="00EE4559" w:rsidRDefault="00EE4559" w:rsidP="00EE4559">
            <w:pPr>
              <w:pStyle w:val="3GPPAgreements"/>
              <w:numPr>
                <w:ilvl w:val="1"/>
                <w:numId w:val="11"/>
              </w:numPr>
              <w:rPr>
                <w:rFonts w:asciiTheme="minorHAnsi" w:hAnsiTheme="minorHAnsi" w:cstheme="minorHAnsi"/>
              </w:rPr>
            </w:pPr>
            <w:r>
              <w:rPr>
                <w:rFonts w:asciiTheme="minorHAnsi" w:hAnsiTheme="minorHAnsi" w:cstheme="minorHAnsi"/>
                <w:lang w:val="en-GB"/>
              </w:rPr>
              <w:t>PSSCH/PSCCH transmission(s) scheduled or configured by a gNB in SL Mode 1 resource allocation.</w:t>
            </w:r>
          </w:p>
          <w:p w14:paraId="5A4D4B69" w14:textId="77777777" w:rsidR="00EE4559" w:rsidRDefault="00EE4559" w:rsidP="00EE4559">
            <w:pPr>
              <w:pStyle w:val="3GPPAgreements"/>
              <w:numPr>
                <w:ilvl w:val="1"/>
                <w:numId w:val="11"/>
              </w:numPr>
              <w:spacing w:line="259" w:lineRule="auto"/>
              <w:rPr>
                <w:rFonts w:asciiTheme="minorHAnsi" w:hAnsiTheme="minorHAnsi" w:cstheme="minorHAnsi"/>
              </w:rPr>
            </w:pPr>
            <w:r>
              <w:rPr>
                <w:rFonts w:asciiTheme="minorHAnsi" w:hAnsiTheme="minorHAnsi" w:cstheme="minorHAnsi"/>
                <w:lang w:val="en-GB"/>
              </w:rPr>
              <w:t>PSSCH/PSCCH transmission(s) initiated by a UE in SL Mode 2 resource allocation.</w:t>
            </w:r>
          </w:p>
          <w:p w14:paraId="6252E4CB" w14:textId="77777777" w:rsidR="00EE4559" w:rsidRDefault="00EE4559" w:rsidP="00EE4559">
            <w:pPr>
              <w:pStyle w:val="3GPPAgreements"/>
              <w:numPr>
                <w:ilvl w:val="1"/>
                <w:numId w:val="11"/>
              </w:numPr>
              <w:spacing w:after="0" w:line="259" w:lineRule="auto"/>
              <w:ind w:firstLine="0"/>
            </w:pPr>
            <w:r>
              <w:rPr>
                <w:rFonts w:asciiTheme="minorHAnsi" w:hAnsiTheme="minorHAnsi" w:cstheme="minorHAnsi"/>
                <w:color w:val="FF0000"/>
                <w:lang w:val="en-GB"/>
              </w:rPr>
              <w:t>FFS:</w:t>
            </w:r>
            <w:r>
              <w:rPr>
                <w:rFonts w:asciiTheme="minorHAnsi" w:hAnsiTheme="minorHAnsi" w:cstheme="minorHAnsi"/>
                <w:lang w:val="en-GB"/>
              </w:rPr>
              <w:t xml:space="preserve"> Other transmission(s) </w:t>
            </w:r>
            <w:del w:id="49" w:author="Kevin Lin" w:date="2022-10-10T21:33:00Z">
              <w:r>
                <w:rPr>
                  <w:rFonts w:asciiTheme="minorHAnsi" w:hAnsiTheme="minorHAnsi" w:cstheme="minorHAnsi"/>
                  <w:lang w:val="en-GB"/>
                </w:rPr>
                <w:delText>initiated by</w:delText>
              </w:r>
            </w:del>
            <w:ins w:id="50" w:author="Kevin Lin" w:date="2022-10-10T21:33:00Z">
              <w:r>
                <w:rPr>
                  <w:rFonts w:asciiTheme="minorHAnsi" w:hAnsiTheme="minorHAnsi" w:cstheme="minorHAnsi"/>
                  <w:lang w:val="en-GB"/>
                </w:rPr>
                <w:t>from</w:t>
              </w:r>
            </w:ins>
            <w:r>
              <w:rPr>
                <w:rFonts w:asciiTheme="minorHAnsi" w:hAnsiTheme="minorHAnsi" w:cstheme="minorHAnsi"/>
                <w:lang w:val="en-GB"/>
              </w:rPr>
              <w:t xml:space="preserve"> a UE.</w:t>
            </w:r>
          </w:p>
        </w:tc>
      </w:tr>
      <w:tr w:rsidR="00EE4559" w14:paraId="6DB7174A" w14:textId="77777777" w:rsidTr="006B2419">
        <w:tc>
          <w:tcPr>
            <w:tcW w:w="1555" w:type="dxa"/>
          </w:tcPr>
          <w:p w14:paraId="682919A9" w14:textId="77777777" w:rsidR="00EE4559" w:rsidRDefault="00EE4559" w:rsidP="006B2419">
            <w:pPr>
              <w:pStyle w:val="0Maintext"/>
              <w:spacing w:after="0" w:afterAutospacing="0"/>
              <w:ind w:firstLine="0"/>
            </w:pPr>
            <w:r>
              <w:t>Apple</w:t>
            </w:r>
          </w:p>
        </w:tc>
        <w:tc>
          <w:tcPr>
            <w:tcW w:w="8076" w:type="dxa"/>
          </w:tcPr>
          <w:p w14:paraId="0BCA5F4F" w14:textId="77777777" w:rsidR="00EE4559" w:rsidRDefault="00EE4559" w:rsidP="006B2419">
            <w:pPr>
              <w:pStyle w:val="0Maintext"/>
              <w:spacing w:after="0" w:afterAutospacing="0"/>
              <w:ind w:firstLine="0"/>
            </w:pPr>
            <w:r>
              <w:t>Support</w:t>
            </w:r>
          </w:p>
        </w:tc>
      </w:tr>
      <w:tr w:rsidR="00EE4559" w14:paraId="282DE6F3" w14:textId="77777777" w:rsidTr="006B2419">
        <w:tc>
          <w:tcPr>
            <w:tcW w:w="1555" w:type="dxa"/>
          </w:tcPr>
          <w:p w14:paraId="24055790" w14:textId="77777777" w:rsidR="00EE4559" w:rsidRDefault="00EE4559" w:rsidP="006B2419">
            <w:pPr>
              <w:pStyle w:val="0Maintext"/>
              <w:spacing w:after="0" w:afterAutospacing="0"/>
              <w:ind w:firstLine="0"/>
            </w:pPr>
            <w:r>
              <w:rPr>
                <w:rFonts w:eastAsiaTheme="minorEastAsia" w:hint="eastAsia"/>
                <w:lang w:eastAsia="zh-CN"/>
              </w:rPr>
              <w:t>O</w:t>
            </w:r>
            <w:r>
              <w:rPr>
                <w:rFonts w:eastAsiaTheme="minorEastAsia"/>
                <w:lang w:eastAsia="zh-CN"/>
              </w:rPr>
              <w:t>PPO</w:t>
            </w:r>
          </w:p>
        </w:tc>
        <w:tc>
          <w:tcPr>
            <w:tcW w:w="8076" w:type="dxa"/>
          </w:tcPr>
          <w:p w14:paraId="7BFCF584" w14:textId="77777777" w:rsidR="00EE4559" w:rsidRDefault="00EE4559" w:rsidP="006B2419">
            <w:pPr>
              <w:pStyle w:val="ListParagraph"/>
              <w:ind w:leftChars="0" w:left="33"/>
              <w:jc w:val="both"/>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We prefer to keep NACK-only SL HARQ feedback as FFS under the 3</w:t>
            </w:r>
            <w:r>
              <w:rPr>
                <w:rFonts w:asciiTheme="minorHAnsi" w:eastAsiaTheme="minorEastAsia" w:hAnsiTheme="minorHAnsi" w:cstheme="minorHAnsi"/>
                <w:sz w:val="22"/>
                <w:szCs w:val="22"/>
                <w:vertAlign w:val="superscript"/>
                <w:lang w:eastAsia="zh-CN"/>
              </w:rPr>
              <w:t>rd</w:t>
            </w:r>
            <w:r>
              <w:rPr>
                <w:rFonts w:asciiTheme="minorHAnsi" w:eastAsiaTheme="minorEastAsia" w:hAnsiTheme="minorHAnsi" w:cstheme="minorHAnsi"/>
                <w:sz w:val="22"/>
                <w:szCs w:val="22"/>
                <w:lang w:eastAsia="zh-CN"/>
              </w:rPr>
              <w:t xml:space="preserve">  sub-bullet. It is not only related CW adjustment, but also related to resulting in ambiguous at TX UE. </w:t>
            </w:r>
          </w:p>
          <w:p w14:paraId="3263D0B9" w14:textId="77777777" w:rsidR="00EE4559" w:rsidRDefault="00EE4559" w:rsidP="006B2419">
            <w:pPr>
              <w:pStyle w:val="ListParagraph"/>
              <w:ind w:leftChars="0" w:left="33"/>
              <w:jc w:val="both"/>
              <w:rPr>
                <w:rFonts w:asciiTheme="minorHAnsi" w:eastAsiaTheme="minorEastAsia" w:hAnsiTheme="minorHAnsi" w:cstheme="minorHAnsi"/>
                <w:sz w:val="22"/>
                <w:szCs w:val="22"/>
                <w:lang w:eastAsia="zh-CN"/>
              </w:rPr>
            </w:pPr>
          </w:p>
          <w:p w14:paraId="3A4B2824" w14:textId="77777777" w:rsidR="00EE4559" w:rsidRDefault="00EE4559" w:rsidP="006B2419">
            <w:pPr>
              <w:pStyle w:val="ListParagraph"/>
              <w:ind w:leftChars="0" w:left="33"/>
              <w:jc w:val="both"/>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If LBT procedure is applied to NACK-only SL FB (either type 1 or type 2 LBT), it is possible that LBT may fail even if multiple transmission occasions are configured for PSFCH. In this case, TX UE will not receive PSFCH from RX UE but it can not differentiate whether it is because of LBT failure or RX UE does not perform SL FB (e.g., ACK). For the former case (e.g., LBT failure), TX UE need to perform re-tx. For the later case(e.g., ACK ), TX UE will not perform re-tx. That will cause ambiguous at TX UE which should be avoided. Therefore, we prefer the following modification:</w:t>
            </w:r>
          </w:p>
          <w:p w14:paraId="704FCC3C" w14:textId="77777777" w:rsidR="00EE4559" w:rsidRDefault="00EE4559" w:rsidP="006B2419">
            <w:pPr>
              <w:pStyle w:val="ListParagraph"/>
              <w:ind w:leftChars="0" w:left="33"/>
              <w:jc w:val="both"/>
              <w:rPr>
                <w:rFonts w:asciiTheme="minorHAnsi" w:eastAsiaTheme="minorEastAsia" w:hAnsiTheme="minorHAnsi" w:cstheme="minorHAnsi"/>
                <w:sz w:val="22"/>
                <w:szCs w:val="22"/>
                <w:lang w:eastAsia="zh-CN"/>
              </w:rPr>
            </w:pPr>
          </w:p>
          <w:p w14:paraId="405B0DDC" w14:textId="77777777" w:rsidR="00EE4559" w:rsidRDefault="00EE4559" w:rsidP="006B2419">
            <w:pPr>
              <w:rPr>
                <w:rFonts w:asciiTheme="minorHAnsi" w:hAnsiTheme="minorHAnsi" w:cstheme="minorHAnsi"/>
                <w:sz w:val="22"/>
                <w:szCs w:val="22"/>
                <w:lang w:eastAsia="zh-CN"/>
              </w:rPr>
            </w:pPr>
            <w:r>
              <w:rPr>
                <w:rStyle w:val="Strong"/>
                <w:rFonts w:asciiTheme="minorHAnsi" w:hAnsiTheme="minorHAnsi" w:cstheme="minorHAnsi"/>
                <w:sz w:val="22"/>
                <w:szCs w:val="22"/>
                <w:highlight w:val="yellow"/>
              </w:rPr>
              <w:t>Proposal 1 (II):</w:t>
            </w:r>
          </w:p>
          <w:p w14:paraId="002F98B4" w14:textId="77777777" w:rsidR="00EE4559" w:rsidRDefault="00EE4559" w:rsidP="00EE4559">
            <w:pPr>
              <w:pStyle w:val="3GPPAgreements"/>
              <w:spacing w:line="259" w:lineRule="auto"/>
              <w:rPr>
                <w:rFonts w:asciiTheme="minorHAnsi" w:hAnsiTheme="minorHAnsi" w:cstheme="minorHAnsi"/>
              </w:rPr>
            </w:pPr>
            <w:r>
              <w:rPr>
                <w:rFonts w:asciiTheme="minorHAnsi" w:hAnsiTheme="minorHAnsi" w:cstheme="minorHAnsi"/>
                <w:lang w:val="en-GB"/>
              </w:rPr>
              <w:t xml:space="preserve">Type 1 SL channel access procedure is applicable to the following transmissions </w:t>
            </w:r>
            <w:ins w:id="51" w:author="Kevin Lin" w:date="2022-10-10T21:41:00Z">
              <w:r>
                <w:rPr>
                  <w:rFonts w:asciiTheme="minorHAnsi" w:hAnsiTheme="minorHAnsi" w:cstheme="minorHAnsi"/>
                  <w:strike/>
                  <w:lang w:val="en-GB"/>
                </w:rPr>
                <w:t xml:space="preserve">initiating a </w:t>
              </w:r>
            </w:ins>
            <w:ins w:id="52" w:author="Kevin Lin" w:date="2022-10-10T21:42:00Z">
              <w:r>
                <w:rPr>
                  <w:rFonts w:asciiTheme="minorHAnsi" w:hAnsiTheme="minorHAnsi" w:cstheme="minorHAnsi"/>
                  <w:strike/>
                  <w:lang w:val="en-GB"/>
                </w:rPr>
                <w:t xml:space="preserve">COT </w:t>
              </w:r>
            </w:ins>
            <w:r>
              <w:rPr>
                <w:rFonts w:asciiTheme="minorHAnsi" w:hAnsiTheme="minorHAnsi" w:cstheme="minorHAnsi"/>
                <w:lang w:val="en-GB"/>
              </w:rPr>
              <w:t>by a UE:</w:t>
            </w:r>
          </w:p>
          <w:p w14:paraId="3D01D475" w14:textId="77777777" w:rsidR="00EE4559" w:rsidRDefault="00EE4559" w:rsidP="00EE4559">
            <w:pPr>
              <w:pStyle w:val="3GPPAgreements"/>
              <w:numPr>
                <w:ilvl w:val="1"/>
                <w:numId w:val="11"/>
              </w:numPr>
              <w:rPr>
                <w:rFonts w:asciiTheme="minorHAnsi" w:hAnsiTheme="minorHAnsi" w:cstheme="minorHAnsi"/>
              </w:rPr>
            </w:pPr>
            <w:r>
              <w:rPr>
                <w:rFonts w:asciiTheme="minorHAnsi" w:hAnsiTheme="minorHAnsi" w:cstheme="minorHAnsi"/>
                <w:lang w:val="en-GB"/>
              </w:rPr>
              <w:t>PSSCH/PSCCH transmission(s) scheduled or configured by a gNB in SL Mode 1 resource allocation.</w:t>
            </w:r>
          </w:p>
          <w:p w14:paraId="0A4066A6" w14:textId="77777777" w:rsidR="00EE4559" w:rsidRDefault="00EE4559" w:rsidP="00EE4559">
            <w:pPr>
              <w:pStyle w:val="3GPPAgreements"/>
              <w:numPr>
                <w:ilvl w:val="1"/>
                <w:numId w:val="11"/>
              </w:numPr>
              <w:spacing w:line="259" w:lineRule="auto"/>
              <w:rPr>
                <w:rFonts w:asciiTheme="minorHAnsi" w:hAnsiTheme="minorHAnsi" w:cstheme="minorHAnsi"/>
              </w:rPr>
            </w:pPr>
            <w:r>
              <w:rPr>
                <w:rFonts w:asciiTheme="minorHAnsi" w:hAnsiTheme="minorHAnsi" w:cstheme="minorHAnsi"/>
                <w:lang w:val="en-GB"/>
              </w:rPr>
              <w:t>PSSCH/PSCCH transmission(s) initiated by a UE in SL Mode 2 resource allocation.</w:t>
            </w:r>
          </w:p>
          <w:p w14:paraId="63AE9D82" w14:textId="77777777" w:rsidR="00EE4559" w:rsidRDefault="00EE4559" w:rsidP="00EE4559">
            <w:pPr>
              <w:pStyle w:val="3GPPAgreements"/>
              <w:numPr>
                <w:ilvl w:val="1"/>
                <w:numId w:val="11"/>
              </w:numPr>
              <w:spacing w:after="120" w:line="259" w:lineRule="auto"/>
              <w:rPr>
                <w:rFonts w:asciiTheme="minorHAnsi" w:hAnsiTheme="minorHAnsi" w:cstheme="minorHAnsi"/>
              </w:rPr>
            </w:pPr>
            <w:r>
              <w:rPr>
                <w:rFonts w:asciiTheme="minorHAnsi" w:hAnsiTheme="minorHAnsi" w:cstheme="minorHAnsi"/>
                <w:lang w:val="en-GB"/>
              </w:rPr>
              <w:t xml:space="preserve">Other transmission(s) </w:t>
            </w:r>
            <w:del w:id="53" w:author="Kevin Lin" w:date="2022-10-10T21:33:00Z">
              <w:r>
                <w:rPr>
                  <w:rFonts w:asciiTheme="minorHAnsi" w:hAnsiTheme="minorHAnsi" w:cstheme="minorHAnsi"/>
                  <w:lang w:val="en-GB"/>
                </w:rPr>
                <w:delText>initiated by</w:delText>
              </w:r>
            </w:del>
            <w:ins w:id="54" w:author="Kevin Lin" w:date="2022-10-10T21:33:00Z">
              <w:r>
                <w:rPr>
                  <w:rFonts w:asciiTheme="minorHAnsi" w:hAnsiTheme="minorHAnsi" w:cstheme="minorHAnsi"/>
                  <w:lang w:val="en-GB"/>
                </w:rPr>
                <w:t>from</w:t>
              </w:r>
            </w:ins>
            <w:r>
              <w:rPr>
                <w:rFonts w:asciiTheme="minorHAnsi" w:hAnsiTheme="minorHAnsi" w:cstheme="minorHAnsi"/>
                <w:lang w:val="en-GB"/>
              </w:rPr>
              <w:t xml:space="preserve"> a UE.</w:t>
            </w:r>
          </w:p>
          <w:p w14:paraId="3CDD6EB3" w14:textId="77777777" w:rsidR="00EE4559" w:rsidRDefault="00EE4559" w:rsidP="00EE4559">
            <w:pPr>
              <w:pStyle w:val="3GPPAgreements"/>
              <w:numPr>
                <w:ilvl w:val="2"/>
                <w:numId w:val="11"/>
              </w:numPr>
              <w:spacing w:after="120" w:line="259" w:lineRule="auto"/>
              <w:rPr>
                <w:ins w:id="55" w:author="Kevin Lin" w:date="2022-10-10T21:36:00Z"/>
                <w:rFonts w:asciiTheme="minorHAnsi" w:hAnsiTheme="minorHAnsi" w:cstheme="minorHAnsi"/>
                <w:strike/>
              </w:rPr>
            </w:pPr>
            <w:ins w:id="56" w:author="Kevin Lin" w:date="2022-10-10T21:33:00Z">
              <w:r>
                <w:rPr>
                  <w:rFonts w:asciiTheme="minorHAnsi" w:hAnsiTheme="minorHAnsi" w:cstheme="minorHAnsi"/>
                  <w:strike/>
                </w:rPr>
                <w:t xml:space="preserve">FFS: </w:t>
              </w:r>
            </w:ins>
            <w:ins w:id="57" w:author="Kevin Lin" w:date="2022-10-10T21:36:00Z">
              <w:r>
                <w:rPr>
                  <w:rFonts w:asciiTheme="minorHAnsi" w:hAnsiTheme="minorHAnsi" w:cstheme="minorHAnsi"/>
                  <w:strike/>
                </w:rPr>
                <w:t>other channel access procedures applicable to S-SSB and PSFCH</w:t>
              </w:r>
            </w:ins>
          </w:p>
          <w:p w14:paraId="15ECA724" w14:textId="77777777" w:rsidR="00EE4559" w:rsidRDefault="00EE4559" w:rsidP="00EE4559">
            <w:pPr>
              <w:pStyle w:val="3GPPAgreements"/>
              <w:numPr>
                <w:ilvl w:val="2"/>
                <w:numId w:val="11"/>
              </w:numPr>
              <w:spacing w:after="120" w:line="259" w:lineRule="auto"/>
              <w:rPr>
                <w:ins w:id="58" w:author="Kevin Lin" w:date="2022-10-10T21:37:00Z"/>
                <w:rFonts w:asciiTheme="minorHAnsi" w:hAnsiTheme="minorHAnsi" w:cstheme="minorHAnsi"/>
                <w:highlight w:val="cyan"/>
              </w:rPr>
            </w:pPr>
            <w:ins w:id="59" w:author="Kevin Lin" w:date="2022-10-10T21:36:00Z">
              <w:r>
                <w:rPr>
                  <w:rFonts w:asciiTheme="minorHAnsi" w:hAnsiTheme="minorHAnsi" w:cstheme="minorHAnsi"/>
                  <w:highlight w:val="cyan"/>
                </w:rPr>
                <w:t xml:space="preserve">FFS: whether Type 1 or Type 2 </w:t>
              </w:r>
            </w:ins>
            <w:ins w:id="60" w:author="Kevin Lin" w:date="2022-10-10T21:37:00Z">
              <w:r>
                <w:rPr>
                  <w:rFonts w:asciiTheme="minorHAnsi" w:hAnsiTheme="minorHAnsi" w:cstheme="minorHAnsi"/>
                  <w:highlight w:val="cyan"/>
                </w:rPr>
                <w:t>channel access procedures can be applied to NACK-only SL-HARQ feedback</w:t>
              </w:r>
            </w:ins>
          </w:p>
          <w:p w14:paraId="32D4C8F3" w14:textId="77777777" w:rsidR="00EE4559" w:rsidRDefault="00EE4559" w:rsidP="00EE4559">
            <w:pPr>
              <w:pStyle w:val="3GPPAgreements"/>
              <w:numPr>
                <w:ilvl w:val="1"/>
                <w:numId w:val="11"/>
              </w:numPr>
              <w:spacing w:after="120" w:line="259" w:lineRule="auto"/>
              <w:rPr>
                <w:rFonts w:asciiTheme="minorHAnsi" w:hAnsiTheme="minorHAnsi" w:cstheme="minorHAnsi"/>
                <w:strike/>
              </w:rPr>
            </w:pPr>
            <w:ins w:id="61" w:author="Kevin Lin" w:date="2022-10-10T21:38:00Z">
              <w:r>
                <w:rPr>
                  <w:rFonts w:asciiTheme="minorHAnsi" w:hAnsiTheme="minorHAnsi" w:cstheme="minorHAnsi"/>
                  <w:strike/>
                </w:rPr>
                <w:t xml:space="preserve">FFS: </w:t>
              </w:r>
            </w:ins>
            <w:ins w:id="62" w:author="Kevin Lin" w:date="2022-10-10T21:40:00Z">
              <w:r>
                <w:rPr>
                  <w:rFonts w:asciiTheme="minorHAnsi" w:hAnsiTheme="minorHAnsi" w:cstheme="minorHAnsi"/>
                  <w:strike/>
                </w:rPr>
                <w:t>other channel access procedures applicable to PSCCH/PSCCH transmission(s)</w:t>
              </w:r>
            </w:ins>
          </w:p>
        </w:tc>
      </w:tr>
      <w:tr w:rsidR="00EE4559" w14:paraId="013818BC" w14:textId="77777777" w:rsidTr="006B2419">
        <w:tc>
          <w:tcPr>
            <w:tcW w:w="1555" w:type="dxa"/>
          </w:tcPr>
          <w:p w14:paraId="0401B57F" w14:textId="77777777" w:rsidR="00EE4559" w:rsidRDefault="00EE4559" w:rsidP="006B2419">
            <w:pPr>
              <w:pStyle w:val="0Maintext"/>
              <w:spacing w:after="0" w:afterAutospacing="0"/>
              <w:ind w:firstLine="0"/>
            </w:pPr>
            <w:r>
              <w:t>CableLabs</w:t>
            </w:r>
          </w:p>
        </w:tc>
        <w:tc>
          <w:tcPr>
            <w:tcW w:w="8076" w:type="dxa"/>
          </w:tcPr>
          <w:p w14:paraId="509C8BF9" w14:textId="77777777" w:rsidR="00EE4559" w:rsidRDefault="00EE4559" w:rsidP="006B2419">
            <w:pPr>
              <w:pStyle w:val="0Maintext"/>
              <w:spacing w:after="0" w:afterAutospacing="0"/>
              <w:ind w:firstLine="0"/>
            </w:pPr>
            <w:r>
              <w:t xml:space="preserve">We agree with Intel’s concerns and proposal. </w:t>
            </w:r>
          </w:p>
          <w:p w14:paraId="20B2AA33" w14:textId="77777777" w:rsidR="00EE4559" w:rsidRDefault="00EE4559" w:rsidP="006B2419">
            <w:pPr>
              <w:pStyle w:val="0Maintext"/>
              <w:spacing w:after="0" w:afterAutospacing="0"/>
              <w:ind w:firstLine="0"/>
            </w:pPr>
            <w:r>
              <w:t>While not clearly stated, we do not agree with allocating CAPC=1 for PSFCh. However we are open to diecuss the merits of such a proposal further, hence if such a proposal is on the table, we propose to have ‘CAPC associated with PSFCh is FFS’.</w:t>
            </w:r>
          </w:p>
        </w:tc>
      </w:tr>
      <w:tr w:rsidR="00EE4559" w14:paraId="385D9BDE" w14:textId="77777777" w:rsidTr="006B2419">
        <w:tc>
          <w:tcPr>
            <w:tcW w:w="1555" w:type="dxa"/>
          </w:tcPr>
          <w:p w14:paraId="60198C3B" w14:textId="77777777" w:rsidR="00EE4559" w:rsidRDefault="00EE4559" w:rsidP="006B2419">
            <w:pPr>
              <w:pStyle w:val="0Maintext"/>
              <w:spacing w:after="0" w:afterAutospacing="0"/>
              <w:ind w:firstLine="0"/>
              <w:rPr>
                <w:lang w:eastAsia="ko-KR"/>
              </w:rPr>
            </w:pPr>
            <w:r>
              <w:rPr>
                <w:rFonts w:hint="eastAsia"/>
                <w:lang w:eastAsia="ko-KR"/>
              </w:rPr>
              <w:t>L</w:t>
            </w:r>
            <w:r>
              <w:rPr>
                <w:lang w:eastAsia="ko-KR"/>
              </w:rPr>
              <w:t>GE</w:t>
            </w:r>
          </w:p>
        </w:tc>
        <w:tc>
          <w:tcPr>
            <w:tcW w:w="8076" w:type="dxa"/>
          </w:tcPr>
          <w:p w14:paraId="4F25AC85" w14:textId="77777777" w:rsidR="00EE4559" w:rsidRDefault="00EE4559" w:rsidP="006B2419">
            <w:pPr>
              <w:pStyle w:val="0Maintext"/>
              <w:spacing w:after="0" w:afterAutospacing="0"/>
              <w:ind w:firstLine="0"/>
              <w:rPr>
                <w:lang w:eastAsia="ko-KR"/>
              </w:rPr>
            </w:pPr>
            <w:r>
              <w:rPr>
                <w:rFonts w:hint="eastAsia"/>
                <w:lang w:eastAsia="ko-KR"/>
              </w:rPr>
              <w:t xml:space="preserve">We support the updated proposal. </w:t>
            </w:r>
          </w:p>
          <w:p w14:paraId="73583DA2" w14:textId="77777777" w:rsidR="00EE4559" w:rsidRDefault="00EE4559" w:rsidP="006B2419">
            <w:pPr>
              <w:pStyle w:val="0Maintext"/>
              <w:spacing w:after="0" w:afterAutospacing="0"/>
              <w:ind w:firstLine="0"/>
              <w:rPr>
                <w:lang w:eastAsia="ko-KR"/>
              </w:rPr>
            </w:pPr>
          </w:p>
          <w:p w14:paraId="1B416F75" w14:textId="77777777" w:rsidR="00EE4559" w:rsidRDefault="00EE4559" w:rsidP="006B2419">
            <w:pPr>
              <w:pStyle w:val="0Maintext"/>
              <w:spacing w:after="0" w:afterAutospacing="0"/>
              <w:ind w:firstLine="0"/>
              <w:rPr>
                <w:lang w:eastAsia="ko-KR"/>
              </w:rPr>
            </w:pPr>
            <w:r>
              <w:rPr>
                <w:rFonts w:hint="eastAsia"/>
                <w:lang w:eastAsia="ko-KR"/>
              </w:rPr>
              <w:lastRenderedPageBreak/>
              <w:t xml:space="preserve">Regarding </w:t>
            </w:r>
            <w:r>
              <w:rPr>
                <w:lang w:eastAsia="ko-KR"/>
              </w:rPr>
              <w:t xml:space="preserve">Type 1 channel access type for NACK-only feedback including CW adjustment, as in NR-U PUCCH, the UE can use Type 1 channel access procedure for NACK-only feedback regardless whether the CWS adjustment is based on NACK-only feedback or not. In this case, the UE just will use previous CWS for type 1 channel access for NACK-only feedback. </w:t>
            </w:r>
          </w:p>
        </w:tc>
      </w:tr>
      <w:tr w:rsidR="00EE4559" w14:paraId="5BDC0174" w14:textId="77777777" w:rsidTr="006B2419">
        <w:tc>
          <w:tcPr>
            <w:tcW w:w="1555" w:type="dxa"/>
          </w:tcPr>
          <w:p w14:paraId="7A316E9C" w14:textId="77777777" w:rsidR="00EE4559" w:rsidRDefault="00EE4559" w:rsidP="006B2419">
            <w:pPr>
              <w:pStyle w:val="0Maintext"/>
              <w:spacing w:after="0" w:afterAutospacing="0"/>
              <w:ind w:firstLine="0"/>
            </w:pPr>
            <w:r>
              <w:lastRenderedPageBreak/>
              <w:t>DCM</w:t>
            </w:r>
          </w:p>
        </w:tc>
        <w:tc>
          <w:tcPr>
            <w:tcW w:w="8076" w:type="dxa"/>
          </w:tcPr>
          <w:p w14:paraId="556D4424" w14:textId="77777777" w:rsidR="00EE4559" w:rsidRDefault="00EE4559" w:rsidP="006B2419">
            <w:pPr>
              <w:pStyle w:val="0Maintext"/>
              <w:spacing w:after="0" w:afterAutospacing="0"/>
              <w:ind w:firstLine="0"/>
              <w:rPr>
                <w:rFonts w:eastAsia="MS Mincho"/>
                <w:lang w:eastAsia="ja-JP"/>
              </w:rPr>
            </w:pPr>
            <w:r>
              <w:rPr>
                <w:rFonts w:eastAsia="MS Mincho" w:hint="eastAsia"/>
                <w:lang w:eastAsia="ja-JP"/>
              </w:rPr>
              <w:t>G</w:t>
            </w:r>
            <w:r>
              <w:rPr>
                <w:rFonts w:eastAsia="MS Mincho"/>
                <w:lang w:eastAsia="ja-JP"/>
              </w:rPr>
              <w:t>enerally fine, but we prefer to replace ‘other transmission(s)’ to ‘S-SSB transmission(s) or PSFCH transmission(s)’ since there is no other type. Clearer text would be better.</w:t>
            </w:r>
          </w:p>
        </w:tc>
      </w:tr>
      <w:tr w:rsidR="00EE4559" w14:paraId="7E656323" w14:textId="77777777" w:rsidTr="006B2419">
        <w:tc>
          <w:tcPr>
            <w:tcW w:w="1555" w:type="dxa"/>
          </w:tcPr>
          <w:p w14:paraId="223099F5" w14:textId="77777777" w:rsidR="00EE4559" w:rsidRDefault="00EE4559" w:rsidP="006B2419">
            <w:pPr>
              <w:pStyle w:val="0Maintext"/>
              <w:spacing w:after="0" w:afterAutospacing="0"/>
              <w:ind w:firstLine="0"/>
            </w:pPr>
            <w:r>
              <w:rPr>
                <w:rFonts w:eastAsiaTheme="minorEastAsia" w:hint="eastAsia"/>
                <w:lang w:eastAsia="zh-CN"/>
              </w:rPr>
              <w:t>S</w:t>
            </w:r>
            <w:r>
              <w:rPr>
                <w:rFonts w:eastAsiaTheme="minorEastAsia"/>
                <w:lang w:eastAsia="zh-CN"/>
              </w:rPr>
              <w:t>preadtrum</w:t>
            </w:r>
          </w:p>
        </w:tc>
        <w:tc>
          <w:tcPr>
            <w:tcW w:w="8076" w:type="dxa"/>
          </w:tcPr>
          <w:p w14:paraId="3D8F052D" w14:textId="77777777" w:rsidR="00EE4559" w:rsidRDefault="00EE4559" w:rsidP="006B2419">
            <w:pPr>
              <w:pStyle w:val="0Maintext"/>
              <w:spacing w:after="0" w:afterAutospacing="0"/>
              <w:ind w:firstLine="0"/>
              <w:rPr>
                <w:rFonts w:eastAsiaTheme="minorEastAsia"/>
                <w:lang w:eastAsia="zh-CN"/>
              </w:rPr>
            </w:pPr>
            <w:r>
              <w:rPr>
                <w:rFonts w:eastAsiaTheme="minorEastAsia"/>
                <w:lang w:eastAsia="zh-CN"/>
              </w:rPr>
              <w:t>For the first and second sub-bullets, they can be concluded to “</w:t>
            </w:r>
            <w:r>
              <w:rPr>
                <w:rFonts w:eastAsiaTheme="minorEastAsia" w:hint="eastAsia"/>
                <w:lang w:eastAsia="zh-CN"/>
              </w:rPr>
              <w:t>PSSCH/PSCCH transmission(s) initiated by a UE</w:t>
            </w:r>
            <w:r>
              <w:rPr>
                <w:rFonts w:eastAsiaTheme="minorEastAsia"/>
                <w:lang w:eastAsia="zh-CN"/>
              </w:rPr>
              <w:t xml:space="preserve">”. There is no need to consider it for mode 1and mode 2 separately. </w:t>
            </w:r>
          </w:p>
          <w:p w14:paraId="32C65987" w14:textId="77777777" w:rsidR="00EE4559" w:rsidRDefault="00EE4559" w:rsidP="006B2419">
            <w:pPr>
              <w:pStyle w:val="0Maintext"/>
              <w:spacing w:after="0" w:afterAutospacing="0"/>
              <w:ind w:firstLine="0"/>
              <w:rPr>
                <w:rFonts w:eastAsia="MS Mincho"/>
                <w:lang w:eastAsia="ja-JP"/>
              </w:rPr>
            </w:pPr>
            <w:r>
              <w:rPr>
                <w:rFonts w:eastAsiaTheme="minorEastAsia" w:hint="eastAsia"/>
                <w:lang w:eastAsia="zh-CN"/>
              </w:rPr>
              <w:t>A</w:t>
            </w:r>
            <w:r>
              <w:rPr>
                <w:rFonts w:eastAsiaTheme="minorEastAsia"/>
                <w:lang w:eastAsia="zh-CN"/>
              </w:rPr>
              <w:t>nd from current proposal, it seems that</w:t>
            </w:r>
            <w:r>
              <w:rPr>
                <w:rFonts w:eastAsiaTheme="minorEastAsia" w:hint="eastAsia"/>
                <w:lang w:eastAsia="zh-CN"/>
              </w:rPr>
              <w:t xml:space="preserve"> </w:t>
            </w:r>
            <w:r>
              <w:rPr>
                <w:rFonts w:eastAsiaTheme="minorEastAsia"/>
                <w:lang w:eastAsia="zh-CN"/>
              </w:rPr>
              <w:t>t</w:t>
            </w:r>
            <w:r>
              <w:rPr>
                <w:rFonts w:eastAsiaTheme="minorEastAsia" w:hint="eastAsia"/>
                <w:lang w:eastAsia="zh-CN"/>
              </w:rPr>
              <w:t>ype 1 SL channel access procedure is applicable</w:t>
            </w:r>
            <w:r>
              <w:rPr>
                <w:rFonts w:eastAsiaTheme="minorEastAsia"/>
                <w:lang w:eastAsia="zh-CN"/>
              </w:rPr>
              <w:t xml:space="preserve"> to any</w:t>
            </w:r>
            <w:r>
              <w:t xml:space="preserve"> </w:t>
            </w:r>
            <w:r>
              <w:rPr>
                <w:rFonts w:eastAsiaTheme="minorEastAsia"/>
                <w:lang w:eastAsia="zh-CN"/>
              </w:rPr>
              <w:t>transmission from a UE.</w:t>
            </w:r>
          </w:p>
        </w:tc>
      </w:tr>
      <w:tr w:rsidR="00EE4559" w14:paraId="3D52AAC4" w14:textId="77777777" w:rsidTr="006B2419">
        <w:tc>
          <w:tcPr>
            <w:tcW w:w="1555" w:type="dxa"/>
          </w:tcPr>
          <w:p w14:paraId="1299206A" w14:textId="77777777" w:rsidR="00EE4559" w:rsidRDefault="00EE4559" w:rsidP="006B2419">
            <w:pPr>
              <w:pStyle w:val="0Maintext"/>
              <w:spacing w:after="0" w:afterAutospacing="0"/>
              <w:ind w:firstLine="0"/>
              <w:rPr>
                <w:rFonts w:eastAsiaTheme="minorEastAsia"/>
                <w:lang w:eastAsia="zh-CN"/>
              </w:rPr>
            </w:pPr>
            <w:r>
              <w:rPr>
                <w:rFonts w:eastAsia="MS Mincho" w:hint="eastAsia"/>
                <w:lang w:eastAsia="ja-JP"/>
              </w:rPr>
              <w:t>S</w:t>
            </w:r>
            <w:r>
              <w:rPr>
                <w:rFonts w:eastAsia="MS Mincho"/>
                <w:lang w:eastAsia="ja-JP"/>
              </w:rPr>
              <w:t>ony</w:t>
            </w:r>
          </w:p>
        </w:tc>
        <w:tc>
          <w:tcPr>
            <w:tcW w:w="8076" w:type="dxa"/>
          </w:tcPr>
          <w:p w14:paraId="177D4F2A" w14:textId="77777777" w:rsidR="00EE4559" w:rsidRDefault="00EE4559" w:rsidP="006B2419">
            <w:pPr>
              <w:pStyle w:val="0Maintext"/>
              <w:spacing w:after="0" w:afterAutospacing="0"/>
              <w:ind w:firstLine="0"/>
              <w:rPr>
                <w:rFonts w:eastAsiaTheme="minorEastAsia"/>
                <w:lang w:eastAsia="zh-CN"/>
              </w:rPr>
            </w:pPr>
            <w:r>
              <w:rPr>
                <w:rFonts w:eastAsia="MS Mincho" w:hint="eastAsia"/>
                <w:lang w:eastAsia="ja-JP"/>
              </w:rPr>
              <w:t>W</w:t>
            </w:r>
            <w:r>
              <w:rPr>
                <w:rFonts w:eastAsia="MS Mincho"/>
                <w:lang w:eastAsia="ja-JP"/>
              </w:rPr>
              <w:t>e support the FL proposal.</w:t>
            </w:r>
          </w:p>
        </w:tc>
      </w:tr>
      <w:tr w:rsidR="00EE4559" w14:paraId="3EE0716A" w14:textId="77777777" w:rsidTr="006B2419">
        <w:tc>
          <w:tcPr>
            <w:tcW w:w="1555" w:type="dxa"/>
          </w:tcPr>
          <w:p w14:paraId="276DF6FF" w14:textId="77777777" w:rsidR="00EE4559" w:rsidRDefault="00EE4559" w:rsidP="006B2419">
            <w:pPr>
              <w:pStyle w:val="0Maintext"/>
              <w:spacing w:after="0" w:afterAutospacing="0"/>
              <w:ind w:firstLine="0"/>
              <w:rPr>
                <w:rFonts w:eastAsiaTheme="minorEastAsia"/>
                <w:lang w:eastAsia="zh-CN"/>
              </w:rPr>
            </w:pPr>
            <w:r>
              <w:rPr>
                <w:rFonts w:eastAsiaTheme="minorEastAsia" w:hint="eastAsia"/>
                <w:lang w:eastAsia="zh-CN"/>
              </w:rPr>
              <w:t>C</w:t>
            </w:r>
            <w:r>
              <w:rPr>
                <w:rFonts w:eastAsiaTheme="minorEastAsia"/>
                <w:lang w:eastAsia="zh-CN"/>
              </w:rPr>
              <w:t>MCC</w:t>
            </w:r>
          </w:p>
        </w:tc>
        <w:tc>
          <w:tcPr>
            <w:tcW w:w="8076" w:type="dxa"/>
          </w:tcPr>
          <w:p w14:paraId="40A96DA7" w14:textId="77777777" w:rsidR="00EE4559" w:rsidRDefault="00EE4559" w:rsidP="006B2419">
            <w:pPr>
              <w:pStyle w:val="0Maintext"/>
              <w:spacing w:after="0" w:afterAutospacing="0"/>
              <w:ind w:firstLine="0"/>
              <w:rPr>
                <w:rFonts w:eastAsiaTheme="minorEastAsia"/>
                <w:lang w:eastAsia="zh-CN"/>
              </w:rPr>
            </w:pPr>
            <w:r>
              <w:rPr>
                <w:rFonts w:eastAsiaTheme="minorEastAsia" w:hint="eastAsia"/>
                <w:lang w:eastAsia="zh-CN"/>
              </w:rPr>
              <w:t>A</w:t>
            </w:r>
            <w:r>
              <w:rPr>
                <w:rFonts w:eastAsiaTheme="minorEastAsia"/>
                <w:lang w:eastAsia="zh-CN"/>
              </w:rPr>
              <w:t xml:space="preserve">gree with Intel that for “Other transmission(s) initiated from a UE”, it should be discussed first whether SCSt is always supported for S-SSB and PSFCH, if there are no cases that </w:t>
            </w:r>
            <w:r>
              <w:rPr>
                <w:rFonts w:eastAsiaTheme="minorEastAsia" w:hint="eastAsia"/>
                <w:lang w:eastAsia="zh-CN"/>
              </w:rPr>
              <w:t>SCSt</w:t>
            </w:r>
            <w:r>
              <w:rPr>
                <w:rFonts w:eastAsiaTheme="minorEastAsia"/>
                <w:lang w:eastAsia="zh-CN"/>
              </w:rPr>
              <w:t xml:space="preserve"> is not applicable for S-SSB/PSFCH, there would be no case where S-SSB/PSFCH will use type 1 channel access mechanism.</w:t>
            </w:r>
          </w:p>
        </w:tc>
      </w:tr>
      <w:tr w:rsidR="00EE4559" w14:paraId="4971553D" w14:textId="77777777" w:rsidTr="006B2419">
        <w:tc>
          <w:tcPr>
            <w:tcW w:w="1555" w:type="dxa"/>
          </w:tcPr>
          <w:p w14:paraId="436BCFDE" w14:textId="77777777" w:rsidR="00EE4559" w:rsidRDefault="00EE4559" w:rsidP="006B2419">
            <w:pPr>
              <w:pStyle w:val="0Maintext"/>
              <w:spacing w:after="0" w:afterAutospacing="0"/>
              <w:ind w:firstLine="0"/>
              <w:rPr>
                <w:rFonts w:eastAsiaTheme="minorEastAsia"/>
                <w:lang w:eastAsia="zh-CN"/>
              </w:rPr>
            </w:pPr>
            <w:r>
              <w:rPr>
                <w:rFonts w:eastAsiaTheme="minorEastAsia" w:hint="eastAsia"/>
                <w:lang w:eastAsia="zh-CN"/>
              </w:rPr>
              <w:t>F</w:t>
            </w:r>
            <w:r>
              <w:rPr>
                <w:rFonts w:eastAsiaTheme="minorEastAsia"/>
                <w:lang w:eastAsia="zh-CN"/>
              </w:rPr>
              <w:t>ujitsu</w:t>
            </w:r>
          </w:p>
        </w:tc>
        <w:tc>
          <w:tcPr>
            <w:tcW w:w="8076" w:type="dxa"/>
          </w:tcPr>
          <w:p w14:paraId="1A1241C1" w14:textId="77777777" w:rsidR="00EE4559" w:rsidRDefault="00EE4559" w:rsidP="006B2419">
            <w:pPr>
              <w:pStyle w:val="0Maintext"/>
              <w:spacing w:after="0" w:afterAutospacing="0"/>
              <w:ind w:firstLine="0"/>
              <w:rPr>
                <w:rFonts w:eastAsiaTheme="minorEastAsia"/>
                <w:lang w:eastAsia="zh-CN"/>
              </w:rPr>
            </w:pPr>
            <w:r>
              <w:rPr>
                <w:rFonts w:eastAsiaTheme="minorEastAsia"/>
                <w:lang w:eastAsia="zh-CN"/>
              </w:rPr>
              <w:t>We are fine with the proposal. Since the FFS points under “Other transmission(s) from a UE” have been deleted, maybe “Other transmission(s)” can be replaced with “S-SSB and PSFCH”.</w:t>
            </w:r>
          </w:p>
        </w:tc>
      </w:tr>
      <w:tr w:rsidR="00EE4559" w14:paraId="7E417542" w14:textId="77777777" w:rsidTr="006B2419">
        <w:tc>
          <w:tcPr>
            <w:tcW w:w="1555" w:type="dxa"/>
          </w:tcPr>
          <w:p w14:paraId="1BDFF3FB" w14:textId="77777777" w:rsidR="00EE4559" w:rsidRDefault="00EE4559" w:rsidP="006B2419">
            <w:pPr>
              <w:pStyle w:val="0Maintext"/>
              <w:spacing w:after="0" w:afterAutospacing="0"/>
              <w:ind w:firstLine="0"/>
              <w:rPr>
                <w:rFonts w:eastAsia="MS Mincho"/>
                <w:lang w:eastAsia="ja-JP"/>
              </w:rPr>
            </w:pPr>
            <w:r>
              <w:rPr>
                <w:rFonts w:eastAsia="MS Mincho" w:hint="eastAsia"/>
                <w:lang w:eastAsia="ja-JP"/>
              </w:rPr>
              <w:t>P</w:t>
            </w:r>
            <w:r>
              <w:rPr>
                <w:rFonts w:eastAsia="MS Mincho"/>
                <w:lang w:eastAsia="ja-JP"/>
              </w:rPr>
              <w:t>anasonic</w:t>
            </w:r>
          </w:p>
        </w:tc>
        <w:tc>
          <w:tcPr>
            <w:tcW w:w="8076" w:type="dxa"/>
          </w:tcPr>
          <w:p w14:paraId="799FB075" w14:textId="77777777" w:rsidR="00EE4559" w:rsidRDefault="00EE4559" w:rsidP="006B2419">
            <w:pPr>
              <w:pStyle w:val="0Maintext"/>
              <w:spacing w:after="0" w:afterAutospacing="0"/>
              <w:ind w:firstLine="0"/>
              <w:rPr>
                <w:rFonts w:eastAsiaTheme="minorEastAsia"/>
                <w:lang w:eastAsia="zh-CN"/>
              </w:rPr>
            </w:pPr>
            <w:r>
              <w:rPr>
                <w:rFonts w:eastAsiaTheme="minorEastAsia"/>
                <w:lang w:eastAsia="zh-CN"/>
              </w:rPr>
              <w:t>We support the proposal. For other transmission(s) (S-SSB and PSFCH tranwsmission) with type 1 LBT, it is uncler whether UE initiate COT or not. So, “initiating COT” in first bullet is not necessary. We also support “CAPC for S-SSB and PSFCH should be fixed to p=1”.</w:t>
            </w:r>
          </w:p>
        </w:tc>
      </w:tr>
      <w:tr w:rsidR="00EE4559" w14:paraId="4383DF92" w14:textId="77777777" w:rsidTr="006B2419">
        <w:tc>
          <w:tcPr>
            <w:tcW w:w="1555" w:type="dxa"/>
          </w:tcPr>
          <w:p w14:paraId="303C4F73" w14:textId="77777777" w:rsidR="00EE4559" w:rsidRDefault="00EE4559" w:rsidP="006B2419">
            <w:pPr>
              <w:pStyle w:val="0Maintext"/>
              <w:spacing w:after="0" w:afterAutospacing="0"/>
              <w:ind w:firstLine="0"/>
            </w:pPr>
            <w:r>
              <w:t>Nokia, NSB</w:t>
            </w:r>
          </w:p>
        </w:tc>
        <w:tc>
          <w:tcPr>
            <w:tcW w:w="8076" w:type="dxa"/>
          </w:tcPr>
          <w:p w14:paraId="14C0CCF7" w14:textId="77777777" w:rsidR="00EE4559" w:rsidRDefault="00EE4559" w:rsidP="006B2419">
            <w:pPr>
              <w:pStyle w:val="0Maintext"/>
              <w:spacing w:after="0" w:afterAutospacing="0"/>
              <w:ind w:firstLine="0"/>
              <w:rPr>
                <w:rFonts w:eastAsia="MS Mincho"/>
                <w:lang w:eastAsia="ja-JP"/>
              </w:rPr>
            </w:pPr>
            <w:r>
              <w:rPr>
                <w:rFonts w:eastAsia="MS Mincho"/>
                <w:lang w:eastAsia="ja-JP"/>
              </w:rPr>
              <w:t>We agree with the proposal.</w:t>
            </w:r>
          </w:p>
        </w:tc>
      </w:tr>
      <w:tr w:rsidR="00EE4559" w14:paraId="5A7088A2" w14:textId="77777777" w:rsidTr="006B2419">
        <w:tc>
          <w:tcPr>
            <w:tcW w:w="1555" w:type="dxa"/>
          </w:tcPr>
          <w:p w14:paraId="3524B497" w14:textId="77777777" w:rsidR="00EE4559" w:rsidRDefault="00EE4559" w:rsidP="006B2419">
            <w:pPr>
              <w:pStyle w:val="0Maintext"/>
              <w:spacing w:after="0" w:afterAutospacing="0"/>
              <w:ind w:firstLine="0"/>
            </w:pPr>
            <w:r>
              <w:t>V</w:t>
            </w:r>
            <w:r>
              <w:rPr>
                <w:rFonts w:hint="eastAsia"/>
              </w:rPr>
              <w:t>ivo</w:t>
            </w:r>
          </w:p>
        </w:tc>
        <w:tc>
          <w:tcPr>
            <w:tcW w:w="8076" w:type="dxa"/>
          </w:tcPr>
          <w:p w14:paraId="5C30C272" w14:textId="77777777" w:rsidR="00EE4559" w:rsidRDefault="00EE4559" w:rsidP="006B2419">
            <w:pPr>
              <w:pStyle w:val="0Maintext"/>
              <w:spacing w:after="0" w:afterAutospacing="0"/>
              <w:ind w:firstLine="0"/>
              <w:rPr>
                <w:rFonts w:eastAsiaTheme="minorEastAsia"/>
                <w:lang w:eastAsia="zh-CN"/>
              </w:rPr>
            </w:pPr>
            <w:r>
              <w:rPr>
                <w:rFonts w:eastAsiaTheme="minorEastAsia"/>
                <w:lang w:eastAsia="zh-CN"/>
              </w:rPr>
              <w:t xml:space="preserve">Support </w:t>
            </w:r>
          </w:p>
          <w:p w14:paraId="55A07517" w14:textId="77777777" w:rsidR="00EE4559" w:rsidRDefault="00EE4559" w:rsidP="006B2419">
            <w:pPr>
              <w:pStyle w:val="0Maintext"/>
              <w:spacing w:after="0" w:afterAutospacing="0"/>
              <w:ind w:firstLine="0"/>
              <w:rPr>
                <w:rFonts w:eastAsiaTheme="minorEastAsia"/>
                <w:lang w:eastAsia="zh-CN"/>
              </w:rPr>
            </w:pPr>
            <w:r>
              <w:rPr>
                <w:rFonts w:eastAsiaTheme="minorEastAsia"/>
                <w:lang w:eastAsia="zh-CN"/>
              </w:rPr>
              <w:t xml:space="preserve">We also think the second half of the original proposal should be discussed, at least the following bullet should be formulated as dedicated proposal, i.e., </w:t>
            </w:r>
          </w:p>
          <w:p w14:paraId="07B8DFDB" w14:textId="77777777" w:rsidR="00EE4559" w:rsidRDefault="00EE4559" w:rsidP="006B2419">
            <w:pPr>
              <w:pStyle w:val="0Maintext"/>
              <w:spacing w:after="0" w:afterAutospacing="0"/>
              <w:ind w:firstLine="0"/>
              <w:rPr>
                <w:rFonts w:eastAsia="MS Mincho"/>
                <w:lang w:eastAsia="ja-JP"/>
              </w:rPr>
            </w:pPr>
            <w:r>
              <w:rPr>
                <w:rFonts w:asciiTheme="minorHAnsi" w:hAnsiTheme="minorHAnsi" w:cstheme="minorHAnsi"/>
              </w:rPr>
              <w:t xml:space="preserve">Whether CAPC for S-SSB and PSFCH should be fixed to </w:t>
            </w:r>
            <m:oMath>
              <m:r>
                <w:rPr>
                  <w:rFonts w:ascii="Cambria Math" w:hAnsi="Cambria Math"/>
                </w:rPr>
                <m:t>p=1</m:t>
              </m:r>
            </m:oMath>
          </w:p>
        </w:tc>
      </w:tr>
      <w:tr w:rsidR="00EE4559" w14:paraId="4F95B7FF" w14:textId="77777777" w:rsidTr="006B2419">
        <w:tc>
          <w:tcPr>
            <w:tcW w:w="1555" w:type="dxa"/>
          </w:tcPr>
          <w:p w14:paraId="2A3691E9" w14:textId="77777777" w:rsidR="00EE4559" w:rsidRDefault="00EE4559" w:rsidP="006B2419">
            <w:pPr>
              <w:pStyle w:val="0Maintext"/>
              <w:spacing w:after="0" w:afterAutospacing="0"/>
              <w:ind w:firstLine="0"/>
            </w:pPr>
            <w:r>
              <w:rPr>
                <w:rFonts w:hint="eastAsia"/>
                <w:lang w:eastAsia="ko-KR"/>
              </w:rPr>
              <w:t>W</w:t>
            </w:r>
            <w:r>
              <w:rPr>
                <w:lang w:eastAsia="ko-KR"/>
              </w:rPr>
              <w:t>ILUS</w:t>
            </w:r>
          </w:p>
        </w:tc>
        <w:tc>
          <w:tcPr>
            <w:tcW w:w="8076" w:type="dxa"/>
          </w:tcPr>
          <w:p w14:paraId="0A885012" w14:textId="77777777" w:rsidR="00EE4559" w:rsidRDefault="00EE4559" w:rsidP="006B2419">
            <w:pPr>
              <w:pStyle w:val="0Maintext"/>
              <w:spacing w:after="0" w:afterAutospacing="0"/>
              <w:ind w:firstLine="0"/>
              <w:rPr>
                <w:lang w:eastAsia="ko-KR"/>
              </w:rPr>
            </w:pPr>
            <w:r>
              <w:rPr>
                <w:rFonts w:hint="eastAsia"/>
                <w:lang w:eastAsia="ko-KR"/>
              </w:rPr>
              <w:t>W</w:t>
            </w:r>
            <w:r>
              <w:rPr>
                <w:lang w:eastAsia="ko-KR"/>
              </w:rPr>
              <w:t xml:space="preserve">e tend to agree with Intel’s concern and updated proposal by Intel. </w:t>
            </w:r>
          </w:p>
          <w:p w14:paraId="2A746D66" w14:textId="77777777" w:rsidR="00EE4559" w:rsidRDefault="00EE4559" w:rsidP="006B2419">
            <w:pPr>
              <w:pStyle w:val="0Maintext"/>
              <w:spacing w:after="0" w:afterAutospacing="0"/>
              <w:ind w:firstLine="0"/>
              <w:rPr>
                <w:rFonts w:eastAsiaTheme="minorEastAsia"/>
                <w:lang w:eastAsia="zh-CN"/>
              </w:rPr>
            </w:pPr>
            <w:r>
              <w:rPr>
                <w:rFonts w:hint="eastAsia"/>
                <w:lang w:eastAsia="ko-KR"/>
              </w:rPr>
              <w:t>R</w:t>
            </w:r>
            <w:r>
              <w:rPr>
                <w:lang w:eastAsia="ko-KR"/>
              </w:rPr>
              <w:t xml:space="preserve">egarding the 2nd bullet in Proposal 1 (I), there was a proposal to remove “the procedure and” in Monday’s GTW session. </w:t>
            </w:r>
            <w:r>
              <w:rPr>
                <w:rFonts w:hint="eastAsia"/>
                <w:lang w:eastAsia="ko-KR"/>
              </w:rPr>
              <w:t>H</w:t>
            </w:r>
            <w:r>
              <w:rPr>
                <w:lang w:eastAsia="ko-KR"/>
              </w:rPr>
              <w:t>owever, we cannot agree on that removal because there is the procedure before going into Step 1)~Step6) for Type 1 DL channel access procedure in 37.213. It seems reasonable to keep the 2nd main bullet as Proposal 1 (I) is.</w:t>
            </w:r>
          </w:p>
        </w:tc>
      </w:tr>
      <w:tr w:rsidR="00EE4559" w14:paraId="4D238487" w14:textId="77777777" w:rsidTr="006B2419">
        <w:tc>
          <w:tcPr>
            <w:tcW w:w="1555" w:type="dxa"/>
          </w:tcPr>
          <w:p w14:paraId="3DC09897" w14:textId="77777777" w:rsidR="00EE4559" w:rsidRDefault="00EE4559" w:rsidP="006B2419">
            <w:pPr>
              <w:pStyle w:val="0Maintext"/>
              <w:spacing w:after="0" w:afterAutospacing="0"/>
              <w:ind w:firstLine="0"/>
              <w:rPr>
                <w:lang w:eastAsia="ko-KR"/>
              </w:rPr>
            </w:pPr>
            <w:r>
              <w:t>Samsung</w:t>
            </w:r>
          </w:p>
        </w:tc>
        <w:tc>
          <w:tcPr>
            <w:tcW w:w="8076" w:type="dxa"/>
          </w:tcPr>
          <w:p w14:paraId="20AAA25D" w14:textId="77777777" w:rsidR="00EE4559" w:rsidRDefault="00EE4559" w:rsidP="006B2419">
            <w:pPr>
              <w:pStyle w:val="0Maintext"/>
              <w:spacing w:after="0" w:afterAutospacing="0"/>
              <w:ind w:firstLine="0"/>
              <w:rPr>
                <w:lang w:eastAsia="ko-KR"/>
              </w:rPr>
            </w:pPr>
            <w:r>
              <w:rPr>
                <w:rFonts w:eastAsiaTheme="minorEastAsia"/>
                <w:lang w:eastAsia="zh-CN"/>
              </w:rPr>
              <w:t xml:space="preserve">In our understanding, Type 1 SL channel access procedure is applicable to any type of SL transmissions, so there is no need to particularly list mode 1, mode 2 and other transmission. But for progress, we can be fine with the proposal. </w:t>
            </w:r>
          </w:p>
        </w:tc>
      </w:tr>
      <w:tr w:rsidR="00EE4559" w14:paraId="33DE6994" w14:textId="77777777" w:rsidTr="006B2419">
        <w:tc>
          <w:tcPr>
            <w:tcW w:w="1555" w:type="dxa"/>
          </w:tcPr>
          <w:p w14:paraId="66A01877" w14:textId="77777777" w:rsidR="00EE4559" w:rsidRDefault="00EE4559" w:rsidP="006B2419">
            <w:pPr>
              <w:pStyle w:val="0Maintext"/>
              <w:spacing w:after="0" w:afterAutospacing="0"/>
              <w:ind w:firstLine="0"/>
            </w:pPr>
            <w:r>
              <w:rPr>
                <w:rFonts w:asciiTheme="minorEastAsia" w:eastAsiaTheme="minorEastAsia" w:hAnsiTheme="minorEastAsia" w:hint="eastAsia"/>
                <w:lang w:eastAsia="zh-CN"/>
              </w:rPr>
              <w:t>NEC</w:t>
            </w:r>
          </w:p>
        </w:tc>
        <w:tc>
          <w:tcPr>
            <w:tcW w:w="8076" w:type="dxa"/>
          </w:tcPr>
          <w:p w14:paraId="26D77CE0" w14:textId="77777777" w:rsidR="00EE4559" w:rsidRDefault="00EE4559" w:rsidP="006B2419">
            <w:pPr>
              <w:pStyle w:val="0Maintext"/>
              <w:spacing w:after="0" w:afterAutospacing="0"/>
              <w:ind w:firstLine="0"/>
              <w:rPr>
                <w:rFonts w:eastAsiaTheme="minorEastAsia"/>
                <w:lang w:eastAsia="zh-CN"/>
              </w:rPr>
            </w:pPr>
            <w:r>
              <w:rPr>
                <w:rFonts w:eastAsiaTheme="minorEastAsia"/>
                <w:lang w:eastAsia="zh-CN"/>
              </w:rPr>
              <w:t>Agree with the proposal.</w:t>
            </w:r>
          </w:p>
        </w:tc>
      </w:tr>
      <w:tr w:rsidR="00EE4559" w14:paraId="24BC82D9" w14:textId="77777777" w:rsidTr="006B2419">
        <w:tc>
          <w:tcPr>
            <w:tcW w:w="1555" w:type="dxa"/>
          </w:tcPr>
          <w:p w14:paraId="76852230" w14:textId="77777777" w:rsidR="00EE4559" w:rsidRDefault="00EE4559" w:rsidP="006B2419">
            <w:pPr>
              <w:pStyle w:val="0Maintext"/>
              <w:spacing w:after="0" w:afterAutospacing="0"/>
              <w:ind w:firstLine="0"/>
            </w:pPr>
            <w:r>
              <w:rPr>
                <w:rFonts w:hint="eastAsia"/>
                <w:lang w:eastAsia="ko-KR"/>
              </w:rPr>
              <w:t>ETRI</w:t>
            </w:r>
          </w:p>
        </w:tc>
        <w:tc>
          <w:tcPr>
            <w:tcW w:w="8076" w:type="dxa"/>
          </w:tcPr>
          <w:p w14:paraId="6C7D79F4" w14:textId="77777777" w:rsidR="00EE4559" w:rsidRDefault="00EE4559" w:rsidP="006B2419">
            <w:pPr>
              <w:pStyle w:val="0Maintext"/>
              <w:spacing w:after="0" w:afterAutospacing="0"/>
              <w:ind w:firstLine="0"/>
              <w:rPr>
                <w:rFonts w:eastAsiaTheme="minorEastAsia"/>
                <w:lang w:eastAsia="zh-CN"/>
              </w:rPr>
            </w:pPr>
            <w:r>
              <w:rPr>
                <w:rFonts w:eastAsia="MS Mincho" w:hint="eastAsia"/>
                <w:lang w:eastAsia="ja-JP"/>
              </w:rPr>
              <w:t>We</w:t>
            </w:r>
            <w:r>
              <w:rPr>
                <w:rFonts w:eastAsia="MS Mincho"/>
                <w:lang w:eastAsia="ja-JP"/>
              </w:rPr>
              <w:t xml:space="preserve"> </w:t>
            </w:r>
            <w:r>
              <w:rPr>
                <w:rFonts w:eastAsia="MS Mincho" w:hint="eastAsia"/>
                <w:lang w:eastAsia="ja-JP"/>
              </w:rPr>
              <w:t>agree</w:t>
            </w:r>
            <w:r>
              <w:rPr>
                <w:rFonts w:eastAsia="MS Mincho"/>
                <w:lang w:eastAsia="ja-JP"/>
              </w:rPr>
              <w:t xml:space="preserve"> </w:t>
            </w:r>
            <w:r>
              <w:rPr>
                <w:rFonts w:eastAsia="MS Mincho" w:hint="eastAsia"/>
                <w:lang w:eastAsia="ja-JP"/>
              </w:rPr>
              <w:t>with</w:t>
            </w:r>
            <w:r>
              <w:rPr>
                <w:rFonts w:eastAsia="MS Mincho"/>
                <w:lang w:eastAsia="ja-JP"/>
              </w:rPr>
              <w:t xml:space="preserve"> </w:t>
            </w:r>
            <w:r>
              <w:rPr>
                <w:rFonts w:eastAsia="MS Mincho" w:hint="eastAsia"/>
                <w:lang w:eastAsia="ja-JP"/>
              </w:rPr>
              <w:t>the</w:t>
            </w:r>
            <w:r>
              <w:rPr>
                <w:rFonts w:eastAsia="MS Mincho"/>
                <w:lang w:eastAsia="ja-JP"/>
              </w:rPr>
              <w:t xml:space="preserve"> </w:t>
            </w:r>
            <w:r>
              <w:rPr>
                <w:rFonts w:eastAsia="MS Mincho" w:hint="eastAsia"/>
                <w:lang w:eastAsia="ja-JP"/>
              </w:rPr>
              <w:t>proposal.</w:t>
            </w:r>
            <w:r>
              <w:rPr>
                <w:rFonts w:eastAsia="MS Mincho"/>
                <w:lang w:eastAsia="ja-JP"/>
              </w:rPr>
              <w:t xml:space="preserve"> </w:t>
            </w:r>
            <w:r>
              <w:rPr>
                <w:rFonts w:eastAsia="MS Mincho" w:hint="eastAsia"/>
                <w:lang w:eastAsia="ja-JP"/>
              </w:rPr>
              <w:t>Regarding</w:t>
            </w:r>
            <w:r>
              <w:rPr>
                <w:rFonts w:eastAsia="MS Mincho"/>
                <w:lang w:eastAsia="ja-JP"/>
              </w:rPr>
              <w:t xml:space="preserve"> </w:t>
            </w:r>
            <w:r>
              <w:rPr>
                <w:rFonts w:eastAsia="MS Mincho" w:hint="eastAsia"/>
                <w:lang w:eastAsia="ja-JP"/>
              </w:rPr>
              <w:t>SCSt</w:t>
            </w:r>
            <w:r>
              <w:rPr>
                <w:rFonts w:eastAsia="MS Mincho"/>
                <w:lang w:eastAsia="ja-JP"/>
              </w:rPr>
              <w:t xml:space="preserve"> </w:t>
            </w:r>
            <w:r>
              <w:rPr>
                <w:rFonts w:eastAsia="MS Mincho" w:hint="eastAsia"/>
                <w:lang w:eastAsia="ja-JP"/>
              </w:rPr>
              <w:t>for</w:t>
            </w:r>
            <w:r>
              <w:rPr>
                <w:rFonts w:eastAsia="MS Mincho"/>
                <w:lang w:eastAsia="ja-JP"/>
              </w:rPr>
              <w:t xml:space="preserve"> </w:t>
            </w:r>
            <w:r>
              <w:rPr>
                <w:rFonts w:eastAsia="MS Mincho" w:hint="eastAsia"/>
                <w:lang w:eastAsia="ja-JP"/>
              </w:rPr>
              <w:t>S-SSB</w:t>
            </w:r>
            <w:r>
              <w:rPr>
                <w:rFonts w:eastAsia="MS Mincho"/>
                <w:lang w:eastAsia="ja-JP"/>
              </w:rPr>
              <w:t xml:space="preserve"> </w:t>
            </w:r>
            <w:r>
              <w:rPr>
                <w:rFonts w:eastAsia="MS Mincho" w:hint="eastAsia"/>
                <w:lang w:eastAsia="ja-JP"/>
              </w:rPr>
              <w:t>and</w:t>
            </w:r>
            <w:r>
              <w:rPr>
                <w:rFonts w:eastAsia="MS Mincho"/>
                <w:lang w:eastAsia="ja-JP"/>
              </w:rPr>
              <w:t xml:space="preserve"> </w:t>
            </w:r>
            <w:r>
              <w:rPr>
                <w:rFonts w:eastAsia="MS Mincho" w:hint="eastAsia"/>
                <w:lang w:eastAsia="ja-JP"/>
              </w:rPr>
              <w:t>PSFCH,</w:t>
            </w:r>
            <w:r>
              <w:rPr>
                <w:rFonts w:eastAsia="MS Mincho"/>
                <w:lang w:eastAsia="ja-JP"/>
              </w:rPr>
              <w:t xml:space="preserve"> </w:t>
            </w:r>
            <w:r>
              <w:rPr>
                <w:rFonts w:eastAsia="MS Mincho" w:hint="eastAsia"/>
                <w:lang w:eastAsia="ja-JP"/>
              </w:rPr>
              <w:t>we</w:t>
            </w:r>
            <w:r>
              <w:rPr>
                <w:rFonts w:eastAsia="MS Mincho"/>
                <w:lang w:eastAsia="ja-JP"/>
              </w:rPr>
              <w:t xml:space="preserve"> </w:t>
            </w:r>
            <w:r>
              <w:rPr>
                <w:rFonts w:eastAsia="MS Mincho" w:hint="eastAsia"/>
                <w:lang w:eastAsia="ja-JP"/>
              </w:rPr>
              <w:t>can</w:t>
            </w:r>
            <w:r>
              <w:rPr>
                <w:rFonts w:eastAsia="MS Mincho"/>
                <w:lang w:eastAsia="ja-JP"/>
              </w:rPr>
              <w:t xml:space="preserve"> </w:t>
            </w:r>
            <w:r>
              <w:rPr>
                <w:rFonts w:eastAsia="MS Mincho" w:hint="eastAsia"/>
                <w:lang w:eastAsia="ja-JP"/>
              </w:rPr>
              <w:t>discuss</w:t>
            </w:r>
            <w:r>
              <w:rPr>
                <w:rFonts w:eastAsia="MS Mincho"/>
                <w:lang w:eastAsia="ja-JP"/>
              </w:rPr>
              <w:t xml:space="preserve"> </w:t>
            </w:r>
            <w:r>
              <w:rPr>
                <w:rFonts w:eastAsia="MS Mincho" w:hint="eastAsia"/>
                <w:lang w:eastAsia="ja-JP"/>
              </w:rPr>
              <w:t>on</w:t>
            </w:r>
            <w:r>
              <w:rPr>
                <w:rFonts w:eastAsia="MS Mincho"/>
                <w:lang w:eastAsia="ja-JP"/>
              </w:rPr>
              <w:t xml:space="preserve"> </w:t>
            </w:r>
            <w:r>
              <w:rPr>
                <w:rFonts w:eastAsia="MS Mincho" w:hint="eastAsia"/>
                <w:lang w:eastAsia="ja-JP"/>
              </w:rPr>
              <w:t>that</w:t>
            </w:r>
            <w:r>
              <w:rPr>
                <w:rFonts w:eastAsia="MS Mincho"/>
                <w:lang w:eastAsia="ja-JP"/>
              </w:rPr>
              <w:t xml:space="preserve"> separately</w:t>
            </w:r>
            <w:r>
              <w:rPr>
                <w:rFonts w:eastAsia="MS Mincho" w:hint="eastAsia"/>
                <w:lang w:eastAsia="ja-JP"/>
              </w:rPr>
              <w:t>.</w:t>
            </w:r>
          </w:p>
        </w:tc>
      </w:tr>
      <w:tr w:rsidR="00EE4559" w14:paraId="31CE7AC0" w14:textId="77777777" w:rsidTr="006B2419">
        <w:tc>
          <w:tcPr>
            <w:tcW w:w="1555" w:type="dxa"/>
          </w:tcPr>
          <w:p w14:paraId="6EF48663" w14:textId="77777777" w:rsidR="00EE4559" w:rsidRDefault="00EE4559" w:rsidP="006B2419">
            <w:pPr>
              <w:pStyle w:val="0Maintext"/>
              <w:spacing w:after="0" w:afterAutospacing="0"/>
              <w:ind w:firstLine="0"/>
            </w:pPr>
            <w:r>
              <w:t>xiaomi</w:t>
            </w:r>
          </w:p>
        </w:tc>
        <w:tc>
          <w:tcPr>
            <w:tcW w:w="8076" w:type="dxa"/>
          </w:tcPr>
          <w:p w14:paraId="35D46FB6" w14:textId="77777777" w:rsidR="00EE4559" w:rsidRDefault="00EE4559" w:rsidP="006B2419">
            <w:pPr>
              <w:pStyle w:val="0Maintext"/>
              <w:spacing w:after="0" w:afterAutospacing="0"/>
              <w:ind w:firstLine="0"/>
              <w:rPr>
                <w:rFonts w:eastAsiaTheme="minorEastAsia"/>
                <w:lang w:eastAsia="zh-CN"/>
              </w:rPr>
            </w:pPr>
            <w:r>
              <w:rPr>
                <w:rFonts w:eastAsiaTheme="minorEastAsia"/>
                <w:lang w:val="en-US" w:eastAsia="zh-CN"/>
              </w:rPr>
              <w:t xml:space="preserve">Thanks for FL clarification. </w:t>
            </w:r>
            <w:r>
              <w:rPr>
                <w:rFonts w:eastAsiaTheme="minorEastAsia"/>
                <w:lang w:eastAsia="zh-CN"/>
              </w:rPr>
              <w:t>We support the proposal.</w:t>
            </w:r>
          </w:p>
        </w:tc>
      </w:tr>
      <w:tr w:rsidR="00EE4559" w14:paraId="6571AD9B" w14:textId="77777777" w:rsidTr="006B2419">
        <w:tc>
          <w:tcPr>
            <w:tcW w:w="1555" w:type="dxa"/>
          </w:tcPr>
          <w:p w14:paraId="5947E53A" w14:textId="77777777" w:rsidR="00EE4559" w:rsidRDefault="00EE4559" w:rsidP="006B2419">
            <w:pPr>
              <w:pStyle w:val="0Maintext"/>
              <w:spacing w:after="0" w:afterAutospacing="0"/>
              <w:ind w:firstLine="0"/>
            </w:pPr>
            <w:r>
              <w:rPr>
                <w:rFonts w:eastAsiaTheme="minorEastAsia" w:hint="eastAsia"/>
                <w:lang w:eastAsia="zh-CN"/>
              </w:rPr>
              <w:t>C</w:t>
            </w:r>
            <w:r>
              <w:rPr>
                <w:rFonts w:eastAsiaTheme="minorEastAsia"/>
                <w:lang w:eastAsia="zh-CN"/>
              </w:rPr>
              <w:t>ATT/GH</w:t>
            </w:r>
          </w:p>
        </w:tc>
        <w:tc>
          <w:tcPr>
            <w:tcW w:w="8076" w:type="dxa"/>
          </w:tcPr>
          <w:p w14:paraId="3631B4DE" w14:textId="77777777" w:rsidR="00EE4559" w:rsidRDefault="00EE4559" w:rsidP="006B2419">
            <w:pPr>
              <w:pStyle w:val="0Maintext"/>
              <w:spacing w:after="0" w:afterAutospacing="0"/>
              <w:ind w:firstLine="0"/>
              <w:rPr>
                <w:rFonts w:eastAsiaTheme="minorEastAsia"/>
                <w:lang w:eastAsia="zh-CN"/>
              </w:rPr>
            </w:pPr>
            <w:r>
              <w:rPr>
                <w:rFonts w:eastAsiaTheme="minorEastAsia" w:hint="eastAsia"/>
                <w:lang w:eastAsia="zh-CN"/>
              </w:rPr>
              <w:t>W</w:t>
            </w:r>
            <w:r>
              <w:rPr>
                <w:rFonts w:eastAsiaTheme="minorEastAsia"/>
                <w:lang w:eastAsia="zh-CN"/>
              </w:rPr>
              <w:t>e still have concern about the last sub-bullet, since other transmission (s), including S-SSB and PSFCH transmission, may not be suitable to use Type 1 channel access procedure.</w:t>
            </w:r>
          </w:p>
          <w:p w14:paraId="2BF47779" w14:textId="77777777" w:rsidR="00EE4559" w:rsidRDefault="00EE4559" w:rsidP="006B2419">
            <w:pPr>
              <w:pStyle w:val="0Maintext"/>
              <w:spacing w:after="0" w:afterAutospacing="0"/>
              <w:ind w:firstLine="0"/>
              <w:rPr>
                <w:rFonts w:eastAsiaTheme="minorEastAsia"/>
                <w:lang w:eastAsia="zh-CN"/>
              </w:rPr>
            </w:pPr>
            <w:r>
              <w:rPr>
                <w:rFonts w:eastAsiaTheme="minorEastAsia"/>
                <w:lang w:eastAsia="zh-CN"/>
              </w:rPr>
              <w:t>For S</w:t>
            </w:r>
            <w:r>
              <w:rPr>
                <w:rFonts w:eastAsiaTheme="minorEastAsia" w:hint="eastAsia"/>
                <w:lang w:eastAsia="zh-CN"/>
              </w:rPr>
              <w:t>-</w:t>
            </w:r>
            <w:r>
              <w:rPr>
                <w:rFonts w:eastAsiaTheme="minorEastAsia"/>
                <w:lang w:eastAsia="zh-CN"/>
              </w:rPr>
              <w:t>SSB, the transmission occasion in each 160ms period is determined by the high-layer parameter. If an occasion is missed due to long channel access duration in Type 1, the S-SSB transmission may be dropped, leading to synchronization performance decrease. Considering that there is no such issue on the usage of Type 2A, it is preferred to support Type 2A than Type 1.</w:t>
            </w:r>
          </w:p>
          <w:p w14:paraId="5C983A17" w14:textId="77777777" w:rsidR="00EE4559" w:rsidRDefault="00EE4559" w:rsidP="006B2419">
            <w:pPr>
              <w:pStyle w:val="0Maintext"/>
              <w:spacing w:after="0" w:afterAutospacing="0"/>
              <w:ind w:firstLine="0"/>
              <w:rPr>
                <w:rFonts w:eastAsiaTheme="minorEastAsia"/>
                <w:lang w:eastAsia="zh-CN"/>
              </w:rPr>
            </w:pPr>
            <w:r>
              <w:rPr>
                <w:rFonts w:eastAsiaTheme="minorEastAsia"/>
                <w:lang w:eastAsia="zh-CN"/>
              </w:rPr>
              <w:t>For PSFCH, similar to S-SSB, the location of each PSFCH resource is fixed. If one PSFCH transmission occasion is missed, the Rx UE can only transmit feedback in the next PSFCH period. This may cause misunderstanding in the Tx UE side and the transmission performance cannot be guaranteed. Even if this issue may be solved by other enhancements of PSFCH, using Type 2 channel access procedure for PSFCH transmissions still more directly.</w:t>
            </w:r>
          </w:p>
          <w:p w14:paraId="56F97C17" w14:textId="77777777" w:rsidR="00EE4559" w:rsidRDefault="00EE4559" w:rsidP="006B2419">
            <w:pPr>
              <w:pStyle w:val="0Maintext"/>
              <w:spacing w:after="0" w:afterAutospacing="0"/>
              <w:ind w:firstLine="0"/>
              <w:rPr>
                <w:rFonts w:eastAsiaTheme="minorEastAsia"/>
                <w:lang w:eastAsia="zh-CN"/>
              </w:rPr>
            </w:pPr>
            <w:r>
              <w:rPr>
                <w:rFonts w:eastAsiaTheme="minorEastAsia"/>
                <w:lang w:eastAsia="zh-CN"/>
              </w:rPr>
              <w:t>Therefore, Type 1 channel access procedures, where the time duration spanned by the sensing slots that are sensed to be idle before a transmission is random, is not preferred for S-SSB and PSFCH transmission. For progress, we can accept to further study the applicability of these transmission in Type 1 with the following modification:</w:t>
            </w:r>
          </w:p>
          <w:p w14:paraId="3C1A623C" w14:textId="77777777" w:rsidR="00EE4559" w:rsidRDefault="00EE4559" w:rsidP="006B2419">
            <w:pPr>
              <w:rPr>
                <w:rFonts w:asciiTheme="minorHAnsi" w:hAnsiTheme="minorHAnsi" w:cstheme="minorHAnsi"/>
                <w:sz w:val="22"/>
                <w:szCs w:val="22"/>
                <w:lang w:eastAsia="zh-CN"/>
              </w:rPr>
            </w:pPr>
            <w:r>
              <w:rPr>
                <w:rStyle w:val="Strong"/>
                <w:rFonts w:asciiTheme="minorHAnsi" w:hAnsiTheme="minorHAnsi" w:cstheme="minorHAnsi"/>
                <w:sz w:val="22"/>
                <w:szCs w:val="22"/>
                <w:highlight w:val="yellow"/>
              </w:rPr>
              <w:lastRenderedPageBreak/>
              <w:t>Proposal 1 (II):</w:t>
            </w:r>
          </w:p>
          <w:p w14:paraId="5B377681" w14:textId="77777777" w:rsidR="00EE4559" w:rsidRDefault="00EE4559" w:rsidP="00EE4559">
            <w:pPr>
              <w:pStyle w:val="3GPPAgreements"/>
              <w:spacing w:line="259" w:lineRule="auto"/>
              <w:rPr>
                <w:rFonts w:asciiTheme="minorHAnsi" w:hAnsiTheme="minorHAnsi" w:cstheme="minorHAnsi"/>
              </w:rPr>
            </w:pPr>
            <w:r>
              <w:rPr>
                <w:rFonts w:asciiTheme="minorHAnsi" w:hAnsiTheme="minorHAnsi" w:cstheme="minorHAnsi"/>
                <w:lang w:val="en-GB"/>
              </w:rPr>
              <w:t xml:space="preserve">Type 1 SL channel access procedure is applicable to the following transmissions </w:t>
            </w:r>
            <w:ins w:id="63" w:author="Kevin Lin" w:date="2022-10-10T21:41:00Z">
              <w:r>
                <w:rPr>
                  <w:rFonts w:asciiTheme="minorHAnsi" w:hAnsiTheme="minorHAnsi" w:cstheme="minorHAnsi"/>
                  <w:strike/>
                  <w:lang w:val="en-GB"/>
                </w:rPr>
                <w:t xml:space="preserve">initiating a </w:t>
              </w:r>
            </w:ins>
            <w:ins w:id="64" w:author="Kevin Lin" w:date="2022-10-10T21:42:00Z">
              <w:r>
                <w:rPr>
                  <w:rFonts w:asciiTheme="minorHAnsi" w:hAnsiTheme="minorHAnsi" w:cstheme="minorHAnsi"/>
                  <w:strike/>
                  <w:lang w:val="en-GB"/>
                </w:rPr>
                <w:t xml:space="preserve">COT </w:t>
              </w:r>
            </w:ins>
            <w:r>
              <w:rPr>
                <w:rFonts w:asciiTheme="minorHAnsi" w:hAnsiTheme="minorHAnsi" w:cstheme="minorHAnsi"/>
                <w:lang w:val="en-GB"/>
              </w:rPr>
              <w:t>by a UE:</w:t>
            </w:r>
          </w:p>
          <w:p w14:paraId="79CA237A" w14:textId="77777777" w:rsidR="00EE4559" w:rsidRDefault="00EE4559" w:rsidP="00EE4559">
            <w:pPr>
              <w:pStyle w:val="3GPPAgreements"/>
              <w:numPr>
                <w:ilvl w:val="1"/>
                <w:numId w:val="11"/>
              </w:numPr>
              <w:rPr>
                <w:rFonts w:asciiTheme="minorHAnsi" w:hAnsiTheme="minorHAnsi" w:cstheme="minorHAnsi"/>
              </w:rPr>
            </w:pPr>
            <w:r>
              <w:rPr>
                <w:rFonts w:asciiTheme="minorHAnsi" w:hAnsiTheme="minorHAnsi" w:cstheme="minorHAnsi"/>
                <w:lang w:val="en-GB"/>
              </w:rPr>
              <w:t>PSSCH/PSCCH transmission(s) scheduled or configured by a gNB in SL Mode 1 resource allocation.</w:t>
            </w:r>
          </w:p>
          <w:p w14:paraId="5ABFFFBF" w14:textId="77777777" w:rsidR="00EE4559" w:rsidRDefault="00EE4559" w:rsidP="00EE4559">
            <w:pPr>
              <w:pStyle w:val="3GPPAgreements"/>
              <w:numPr>
                <w:ilvl w:val="1"/>
                <w:numId w:val="11"/>
              </w:numPr>
              <w:spacing w:line="259" w:lineRule="auto"/>
              <w:rPr>
                <w:rFonts w:asciiTheme="minorHAnsi" w:hAnsiTheme="minorHAnsi" w:cstheme="minorHAnsi"/>
              </w:rPr>
            </w:pPr>
            <w:r>
              <w:rPr>
                <w:rFonts w:asciiTheme="minorHAnsi" w:hAnsiTheme="minorHAnsi" w:cstheme="minorHAnsi"/>
                <w:lang w:val="en-GB"/>
              </w:rPr>
              <w:t>PSSCH/PSCCH transmission(s) initiated by a UE in SL Mode 2 resource allocation.</w:t>
            </w:r>
          </w:p>
          <w:p w14:paraId="640D187F" w14:textId="6DF0E19D" w:rsidR="00EE4559" w:rsidRPr="00EE4559" w:rsidRDefault="00EE4559" w:rsidP="00EE4559">
            <w:pPr>
              <w:pStyle w:val="3GPPAgreements"/>
              <w:numPr>
                <w:ilvl w:val="1"/>
                <w:numId w:val="11"/>
              </w:numPr>
              <w:spacing w:after="120" w:line="259" w:lineRule="auto"/>
              <w:rPr>
                <w:rFonts w:asciiTheme="minorHAnsi" w:hAnsiTheme="minorHAnsi" w:cstheme="minorHAnsi"/>
              </w:rPr>
            </w:pPr>
            <w:r>
              <w:rPr>
                <w:rFonts w:asciiTheme="minorHAnsi" w:hAnsiTheme="minorHAnsi" w:cstheme="minorHAnsi"/>
                <w:color w:val="FF0000"/>
                <w:lang w:val="en-GB"/>
              </w:rPr>
              <w:t xml:space="preserve">FFS: </w:t>
            </w:r>
            <w:r>
              <w:rPr>
                <w:rFonts w:asciiTheme="minorHAnsi" w:hAnsiTheme="minorHAnsi" w:cstheme="minorHAnsi"/>
                <w:lang w:val="en-GB"/>
              </w:rPr>
              <w:t xml:space="preserve">Other transmission(s) </w:t>
            </w:r>
            <w:del w:id="65" w:author="Kevin Lin" w:date="2022-10-10T21:33:00Z">
              <w:r>
                <w:rPr>
                  <w:rFonts w:asciiTheme="minorHAnsi" w:hAnsiTheme="minorHAnsi" w:cstheme="minorHAnsi"/>
                  <w:lang w:val="en-GB"/>
                </w:rPr>
                <w:delText>initiated by</w:delText>
              </w:r>
            </w:del>
            <w:ins w:id="66" w:author="Kevin Lin" w:date="2022-10-10T21:33:00Z">
              <w:r>
                <w:rPr>
                  <w:rFonts w:asciiTheme="minorHAnsi" w:hAnsiTheme="minorHAnsi" w:cstheme="minorHAnsi"/>
                  <w:lang w:val="en-GB"/>
                </w:rPr>
                <w:t>from</w:t>
              </w:r>
            </w:ins>
            <w:r>
              <w:rPr>
                <w:rFonts w:asciiTheme="minorHAnsi" w:hAnsiTheme="minorHAnsi" w:cstheme="minorHAnsi"/>
                <w:lang w:val="en-GB"/>
              </w:rPr>
              <w:t xml:space="preserve"> a UE.</w:t>
            </w:r>
          </w:p>
        </w:tc>
      </w:tr>
      <w:tr w:rsidR="00EE4559" w14:paraId="12D8A29C" w14:textId="77777777" w:rsidTr="006B2419">
        <w:tc>
          <w:tcPr>
            <w:tcW w:w="1555" w:type="dxa"/>
          </w:tcPr>
          <w:p w14:paraId="551DFB9C" w14:textId="77777777" w:rsidR="00EE4559" w:rsidRDefault="00EE4559" w:rsidP="006B2419">
            <w:pPr>
              <w:pStyle w:val="0Maintext"/>
              <w:spacing w:after="0" w:afterAutospacing="0"/>
              <w:ind w:firstLine="0"/>
              <w:rPr>
                <w:rFonts w:eastAsiaTheme="minorEastAsia"/>
                <w:lang w:eastAsia="zh-CN"/>
              </w:rPr>
            </w:pPr>
            <w:r>
              <w:rPr>
                <w:rFonts w:eastAsiaTheme="minorEastAsia" w:hint="eastAsia"/>
                <w:lang w:eastAsia="zh-CN"/>
              </w:rPr>
              <w:lastRenderedPageBreak/>
              <w:t>ZTE,Sanechips</w:t>
            </w:r>
          </w:p>
        </w:tc>
        <w:tc>
          <w:tcPr>
            <w:tcW w:w="8076" w:type="dxa"/>
          </w:tcPr>
          <w:p w14:paraId="7A4A6383" w14:textId="77777777" w:rsidR="00EE4559" w:rsidRDefault="00EE4559" w:rsidP="006B2419">
            <w:pPr>
              <w:pStyle w:val="0Maintext"/>
              <w:spacing w:after="0" w:afterAutospacing="0"/>
              <w:ind w:firstLine="0"/>
              <w:rPr>
                <w:rFonts w:eastAsiaTheme="minorEastAsia"/>
                <w:lang w:val="en-US" w:eastAsia="zh-CN"/>
              </w:rPr>
            </w:pPr>
            <w:r>
              <w:rPr>
                <w:rFonts w:eastAsiaTheme="minorEastAsia" w:hint="eastAsia"/>
                <w:lang w:eastAsia="zh-CN"/>
              </w:rPr>
              <w:t>Yes</w:t>
            </w:r>
          </w:p>
        </w:tc>
      </w:tr>
      <w:tr w:rsidR="00EE4559" w14:paraId="6BB1ADE8" w14:textId="77777777" w:rsidTr="006B2419">
        <w:tc>
          <w:tcPr>
            <w:tcW w:w="1555" w:type="dxa"/>
          </w:tcPr>
          <w:p w14:paraId="1BE304A1" w14:textId="77777777" w:rsidR="00EE4559" w:rsidRDefault="00EE4559" w:rsidP="006B2419">
            <w:pPr>
              <w:pStyle w:val="0Maintext"/>
              <w:spacing w:after="0" w:afterAutospacing="0"/>
              <w:ind w:firstLine="0"/>
            </w:pPr>
            <w:r>
              <w:rPr>
                <w:rFonts w:eastAsiaTheme="minorEastAsia" w:hint="eastAsia"/>
                <w:lang w:eastAsia="zh-CN"/>
              </w:rPr>
              <w:t>Sharp</w:t>
            </w:r>
          </w:p>
        </w:tc>
        <w:tc>
          <w:tcPr>
            <w:tcW w:w="8076" w:type="dxa"/>
          </w:tcPr>
          <w:p w14:paraId="6F3552AD" w14:textId="77777777" w:rsidR="00EE4559" w:rsidRDefault="00EE4559" w:rsidP="006B2419">
            <w:pPr>
              <w:pStyle w:val="0Maintext"/>
              <w:spacing w:after="0" w:afterAutospacing="0"/>
              <w:ind w:firstLine="0"/>
              <w:rPr>
                <w:rFonts w:eastAsia="MS Mincho"/>
                <w:lang w:eastAsia="ja-JP"/>
              </w:rPr>
            </w:pPr>
            <w:r>
              <w:rPr>
                <w:rFonts w:eastAsiaTheme="minorEastAsia" w:hint="eastAsia"/>
                <w:lang w:eastAsia="zh-CN"/>
              </w:rPr>
              <w:t xml:space="preserve">We are fine with the FL proposal. In our understanding the proposal was only about the applicability of Type 1 procedure to SL transmissions, not about the conditions to use type 1. </w:t>
            </w:r>
            <w:r>
              <w:rPr>
                <w:rFonts w:eastAsiaTheme="minorEastAsia"/>
                <w:lang w:eastAsia="zh-CN"/>
              </w:rPr>
              <w:t>T</w:t>
            </w:r>
            <w:r>
              <w:rPr>
                <w:rFonts w:eastAsiaTheme="minorEastAsia" w:hint="eastAsia"/>
                <w:lang w:eastAsia="zh-CN"/>
              </w:rPr>
              <w:t xml:space="preserve">o alleviate the concern on the </w:t>
            </w:r>
            <w:r>
              <w:rPr>
                <w:rFonts w:eastAsiaTheme="minorEastAsia"/>
                <w:lang w:eastAsia="zh-CN"/>
              </w:rPr>
              <w:t xml:space="preserve">implication of the proposal (e.g. </w:t>
            </w:r>
            <w:r>
              <w:rPr>
                <w:rFonts w:eastAsiaTheme="minorEastAsia" w:hint="eastAsia"/>
                <w:lang w:eastAsia="zh-CN"/>
              </w:rPr>
              <w:t xml:space="preserve">on whether it is only used when acquiring a COT), we think </w:t>
            </w:r>
            <w:r>
              <w:rPr>
                <w:rFonts w:eastAsiaTheme="minorEastAsia"/>
                <w:lang w:eastAsia="zh-CN"/>
              </w:rPr>
              <w:t>“</w:t>
            </w:r>
            <w:r>
              <w:rPr>
                <w:rFonts w:eastAsiaTheme="minorEastAsia" w:hint="eastAsia"/>
                <w:lang w:eastAsia="zh-CN"/>
              </w:rPr>
              <w:t>is applicable to</w:t>
            </w:r>
            <w:r>
              <w:rPr>
                <w:rFonts w:eastAsiaTheme="minorEastAsia"/>
                <w:lang w:eastAsia="zh-CN"/>
              </w:rPr>
              <w:t>”</w:t>
            </w:r>
            <w:r>
              <w:rPr>
                <w:rFonts w:eastAsiaTheme="minorEastAsia" w:hint="eastAsia"/>
                <w:lang w:eastAsia="zh-CN"/>
              </w:rPr>
              <w:t xml:space="preserve"> in the main bullet can be changed to </w:t>
            </w:r>
            <w:r>
              <w:rPr>
                <w:rFonts w:eastAsiaTheme="minorEastAsia"/>
                <w:lang w:eastAsia="zh-CN"/>
              </w:rPr>
              <w:t>“</w:t>
            </w:r>
            <w:r>
              <w:rPr>
                <w:rFonts w:eastAsiaTheme="minorEastAsia" w:hint="eastAsia"/>
                <w:lang w:eastAsia="zh-CN"/>
              </w:rPr>
              <w:t>can be used for</w:t>
            </w:r>
            <w:r>
              <w:rPr>
                <w:rFonts w:eastAsiaTheme="minorEastAsia"/>
                <w:lang w:eastAsia="zh-CN"/>
              </w:rPr>
              <w:t>”</w:t>
            </w:r>
            <w:r>
              <w:rPr>
                <w:rFonts w:eastAsiaTheme="minorEastAsia" w:hint="eastAsia"/>
                <w:lang w:eastAsia="zh-CN"/>
              </w:rPr>
              <w:t xml:space="preserve">, or restructure the main bullet like </w:t>
            </w:r>
            <w:r>
              <w:rPr>
                <w:rFonts w:eastAsiaTheme="minorEastAsia"/>
                <w:lang w:eastAsia="zh-CN"/>
              </w:rPr>
              <w:t>“</w:t>
            </w:r>
            <w:r>
              <w:rPr>
                <w:rFonts w:eastAsiaTheme="minorEastAsia" w:hint="eastAsia"/>
                <w:lang w:eastAsia="zh-CN"/>
              </w:rPr>
              <w:t>Use of type 1 channel access procedure is supported for the following transmissions by a UE</w:t>
            </w:r>
            <w:r>
              <w:rPr>
                <w:rFonts w:eastAsiaTheme="minorEastAsia"/>
                <w:lang w:eastAsia="zh-CN"/>
              </w:rPr>
              <w:t>”</w:t>
            </w:r>
            <w:r>
              <w:rPr>
                <w:rFonts w:eastAsiaTheme="minorEastAsia" w:hint="eastAsia"/>
                <w:lang w:eastAsia="zh-CN"/>
              </w:rPr>
              <w:t>.</w:t>
            </w:r>
          </w:p>
        </w:tc>
      </w:tr>
      <w:tr w:rsidR="00EE4559" w14:paraId="1F4A07E1" w14:textId="77777777" w:rsidTr="006B2419">
        <w:tc>
          <w:tcPr>
            <w:tcW w:w="1555" w:type="dxa"/>
          </w:tcPr>
          <w:p w14:paraId="1A698F40" w14:textId="77777777" w:rsidR="00EE4559" w:rsidRDefault="00EE4559" w:rsidP="006B2419">
            <w:pPr>
              <w:pStyle w:val="0Maintext"/>
              <w:spacing w:after="0" w:afterAutospacing="0"/>
              <w:ind w:firstLine="0"/>
              <w:rPr>
                <w:rFonts w:eastAsiaTheme="minorEastAsia"/>
                <w:lang w:eastAsia="zh-CN"/>
              </w:rPr>
            </w:pPr>
            <w:r>
              <w:rPr>
                <w:rFonts w:eastAsia="SimSun" w:hint="eastAsia"/>
                <w:lang w:val="en-US" w:eastAsia="zh-CN"/>
              </w:rPr>
              <w:t>Transsion</w:t>
            </w:r>
          </w:p>
        </w:tc>
        <w:tc>
          <w:tcPr>
            <w:tcW w:w="8076" w:type="dxa"/>
          </w:tcPr>
          <w:p w14:paraId="5EA9485D" w14:textId="77777777" w:rsidR="00EE4559" w:rsidRDefault="00EE4559" w:rsidP="006B2419">
            <w:pPr>
              <w:autoSpaceDE w:val="0"/>
              <w:autoSpaceDN w:val="0"/>
              <w:jc w:val="both"/>
              <w:rPr>
                <w:rFonts w:eastAsiaTheme="minorEastAsia"/>
                <w:lang w:eastAsia="zh-CN"/>
              </w:rPr>
            </w:pPr>
            <w:r>
              <w:rPr>
                <w:rFonts w:eastAsia="SimSun" w:hint="eastAsia"/>
                <w:lang w:val="en-US" w:eastAsia="zh-CN"/>
              </w:rPr>
              <w:t>We support the proposal.</w:t>
            </w:r>
          </w:p>
        </w:tc>
      </w:tr>
      <w:tr w:rsidR="00EE4559" w14:paraId="4A03E222" w14:textId="77777777" w:rsidTr="006B2419">
        <w:tc>
          <w:tcPr>
            <w:tcW w:w="1555" w:type="dxa"/>
          </w:tcPr>
          <w:p w14:paraId="761D1262" w14:textId="77777777" w:rsidR="00EE4559" w:rsidRDefault="00EE4559" w:rsidP="006B2419">
            <w:pPr>
              <w:pStyle w:val="0Maintext"/>
              <w:spacing w:after="0" w:afterAutospacing="0"/>
              <w:ind w:firstLine="0"/>
              <w:rPr>
                <w:rFonts w:eastAsia="SimSun"/>
                <w:lang w:val="en-US" w:eastAsia="zh-CN"/>
              </w:rPr>
            </w:pPr>
            <w:r>
              <w:t>Ericsson</w:t>
            </w:r>
          </w:p>
        </w:tc>
        <w:tc>
          <w:tcPr>
            <w:tcW w:w="8076" w:type="dxa"/>
          </w:tcPr>
          <w:p w14:paraId="54573D06" w14:textId="77777777" w:rsidR="00EE4559" w:rsidRDefault="00EE4559" w:rsidP="006B2419">
            <w:pPr>
              <w:pStyle w:val="0Maintext"/>
              <w:spacing w:after="0" w:afterAutospacing="0"/>
              <w:ind w:firstLine="0"/>
            </w:pPr>
            <w:r>
              <w:t>In order to address the issue that for PSFCH and S-SSB, other channel access procedures can be performed, we propose to add the bullet for S-SSB and PSFCH back into the proposal:</w:t>
            </w:r>
          </w:p>
          <w:p w14:paraId="31CD0019" w14:textId="77777777" w:rsidR="00EE4559" w:rsidRDefault="00EE4559" w:rsidP="006B2419">
            <w:pPr>
              <w:pStyle w:val="0Maintext"/>
              <w:spacing w:after="0" w:afterAutospacing="0"/>
              <w:ind w:firstLine="0"/>
            </w:pPr>
          </w:p>
          <w:p w14:paraId="20898EA8" w14:textId="77777777" w:rsidR="00EE4559" w:rsidRPr="00B638B4" w:rsidRDefault="00EE4559" w:rsidP="006B2419">
            <w:pPr>
              <w:rPr>
                <w:rFonts w:asciiTheme="minorHAnsi" w:hAnsiTheme="minorHAnsi" w:cstheme="minorHAnsi"/>
                <w:sz w:val="22"/>
                <w:szCs w:val="22"/>
                <w:lang w:eastAsia="zh-CN"/>
              </w:rPr>
            </w:pPr>
            <w:r w:rsidRPr="00B638B4">
              <w:rPr>
                <w:rStyle w:val="Strong"/>
                <w:rFonts w:asciiTheme="minorHAnsi" w:hAnsiTheme="minorHAnsi" w:cstheme="minorHAnsi"/>
                <w:sz w:val="22"/>
                <w:szCs w:val="22"/>
                <w:highlight w:val="yellow"/>
              </w:rPr>
              <w:t>Proposal 1 (I</w:t>
            </w:r>
            <w:r>
              <w:rPr>
                <w:rStyle w:val="Strong"/>
                <w:rFonts w:asciiTheme="minorHAnsi" w:hAnsiTheme="minorHAnsi" w:cstheme="minorHAnsi"/>
                <w:sz w:val="22"/>
                <w:szCs w:val="22"/>
                <w:highlight w:val="yellow"/>
              </w:rPr>
              <w:t>I</w:t>
            </w:r>
            <w:r w:rsidRPr="00B638B4">
              <w:rPr>
                <w:rStyle w:val="Strong"/>
                <w:rFonts w:asciiTheme="minorHAnsi" w:hAnsiTheme="minorHAnsi" w:cstheme="minorHAnsi"/>
                <w:sz w:val="22"/>
                <w:szCs w:val="22"/>
                <w:highlight w:val="yellow"/>
              </w:rPr>
              <w:t>):</w:t>
            </w:r>
          </w:p>
          <w:p w14:paraId="5832991F" w14:textId="77777777" w:rsidR="00EE4559" w:rsidRPr="00AE46B2" w:rsidRDefault="00EE4559" w:rsidP="006B2419">
            <w:pPr>
              <w:pStyle w:val="3GPPAgreements"/>
              <w:rPr>
                <w:rFonts w:asciiTheme="minorHAnsi" w:hAnsiTheme="minorHAnsi" w:cstheme="minorHAnsi"/>
              </w:rPr>
            </w:pPr>
            <w:r w:rsidRPr="00AE46B2">
              <w:rPr>
                <w:rFonts w:asciiTheme="minorHAnsi" w:hAnsiTheme="minorHAnsi" w:cstheme="minorHAnsi"/>
                <w:lang w:val="en-GB"/>
              </w:rPr>
              <w:t xml:space="preserve">Type 1 SL channel access procedure is applicable to the following transmissions </w:t>
            </w:r>
            <w:ins w:id="67" w:author="Kevin Lin" w:date="2022-10-10T21:41:00Z">
              <w:r w:rsidRPr="003A54E4">
                <w:rPr>
                  <w:rFonts w:asciiTheme="minorHAnsi" w:hAnsiTheme="minorHAnsi" w:cstheme="minorHAnsi"/>
                  <w:strike/>
                  <w:lang w:val="en-GB"/>
                </w:rPr>
                <w:t xml:space="preserve">initiating a </w:t>
              </w:r>
            </w:ins>
            <w:ins w:id="68" w:author="Kevin Lin" w:date="2022-10-10T21:42:00Z">
              <w:r w:rsidRPr="003A54E4">
                <w:rPr>
                  <w:rFonts w:asciiTheme="minorHAnsi" w:hAnsiTheme="minorHAnsi" w:cstheme="minorHAnsi"/>
                  <w:strike/>
                  <w:lang w:val="en-GB"/>
                </w:rPr>
                <w:t xml:space="preserve">COT </w:t>
              </w:r>
            </w:ins>
            <w:r w:rsidRPr="00AE46B2">
              <w:rPr>
                <w:rFonts w:asciiTheme="minorHAnsi" w:hAnsiTheme="minorHAnsi" w:cstheme="minorHAnsi"/>
                <w:lang w:val="en-GB"/>
              </w:rPr>
              <w:t>by a UE:</w:t>
            </w:r>
          </w:p>
          <w:p w14:paraId="28292F27" w14:textId="77777777" w:rsidR="00EE4559" w:rsidRPr="00AE46B2" w:rsidRDefault="00EE4559" w:rsidP="00EE4559">
            <w:pPr>
              <w:pStyle w:val="3GPPAgreements"/>
              <w:numPr>
                <w:ilvl w:val="1"/>
                <w:numId w:val="11"/>
              </w:numPr>
              <w:rPr>
                <w:rFonts w:asciiTheme="minorHAnsi" w:hAnsiTheme="minorHAnsi" w:cstheme="minorHAnsi"/>
              </w:rPr>
            </w:pPr>
            <w:r w:rsidRPr="00AE46B2">
              <w:rPr>
                <w:rFonts w:asciiTheme="minorHAnsi" w:hAnsiTheme="minorHAnsi" w:cstheme="minorHAnsi"/>
                <w:lang w:val="en-GB"/>
              </w:rPr>
              <w:t>PSSCH/PSCCH transmission(s) scheduled or configured by a gNB in SL Mode 1 resource allocation.</w:t>
            </w:r>
          </w:p>
          <w:p w14:paraId="4F02AC6E" w14:textId="77777777" w:rsidR="00EE4559" w:rsidRPr="00AE46B2" w:rsidRDefault="00EE4559" w:rsidP="00EE4559">
            <w:pPr>
              <w:pStyle w:val="3GPPAgreements"/>
              <w:numPr>
                <w:ilvl w:val="1"/>
                <w:numId w:val="11"/>
              </w:numPr>
              <w:rPr>
                <w:rFonts w:asciiTheme="minorHAnsi" w:hAnsiTheme="minorHAnsi" w:cstheme="minorHAnsi"/>
              </w:rPr>
            </w:pPr>
            <w:r w:rsidRPr="00AE46B2">
              <w:rPr>
                <w:rFonts w:asciiTheme="minorHAnsi" w:hAnsiTheme="minorHAnsi" w:cstheme="minorHAnsi"/>
                <w:lang w:val="en-GB"/>
              </w:rPr>
              <w:t>PSSCH/PSCCH transmission(s) initiated by a UE in SL Mode 2 resource allocation.</w:t>
            </w:r>
          </w:p>
          <w:p w14:paraId="349DD9D1" w14:textId="77777777" w:rsidR="00EE4559" w:rsidRPr="00172DC3" w:rsidRDefault="00EE4559" w:rsidP="00EE4559">
            <w:pPr>
              <w:pStyle w:val="3GPPAgreements"/>
              <w:numPr>
                <w:ilvl w:val="1"/>
                <w:numId w:val="11"/>
              </w:numPr>
              <w:spacing w:after="120"/>
              <w:rPr>
                <w:rFonts w:asciiTheme="minorHAnsi" w:hAnsiTheme="minorHAnsi" w:cstheme="minorHAnsi"/>
              </w:rPr>
            </w:pPr>
            <w:r>
              <w:rPr>
                <w:rFonts w:asciiTheme="minorHAnsi" w:hAnsiTheme="minorHAnsi" w:cstheme="minorHAnsi"/>
                <w:lang w:val="en-GB"/>
              </w:rPr>
              <w:t>O</w:t>
            </w:r>
            <w:r w:rsidRPr="00AE46B2">
              <w:rPr>
                <w:rFonts w:asciiTheme="minorHAnsi" w:hAnsiTheme="minorHAnsi" w:cstheme="minorHAnsi"/>
                <w:lang w:val="en-GB"/>
              </w:rPr>
              <w:t xml:space="preserve">ther transmission(s) </w:t>
            </w:r>
            <w:del w:id="69" w:author="Kevin Lin" w:date="2022-10-10T21:33:00Z">
              <w:r w:rsidRPr="00AE46B2" w:rsidDel="008057F9">
                <w:rPr>
                  <w:rFonts w:asciiTheme="minorHAnsi" w:hAnsiTheme="minorHAnsi" w:cstheme="minorHAnsi"/>
                  <w:lang w:val="en-GB"/>
                </w:rPr>
                <w:delText>initiated by</w:delText>
              </w:r>
            </w:del>
            <w:ins w:id="70" w:author="Kevin Lin" w:date="2022-10-10T21:33:00Z">
              <w:r>
                <w:rPr>
                  <w:rFonts w:asciiTheme="minorHAnsi" w:hAnsiTheme="minorHAnsi" w:cstheme="minorHAnsi"/>
                  <w:lang w:val="en-GB"/>
                </w:rPr>
                <w:t>from</w:t>
              </w:r>
            </w:ins>
            <w:r w:rsidRPr="00AE46B2">
              <w:rPr>
                <w:rFonts w:asciiTheme="minorHAnsi" w:hAnsiTheme="minorHAnsi" w:cstheme="minorHAnsi"/>
                <w:lang w:val="en-GB"/>
              </w:rPr>
              <w:t xml:space="preserve"> a UE.</w:t>
            </w:r>
          </w:p>
          <w:p w14:paraId="26BA094F" w14:textId="77777777" w:rsidR="00EE4559" w:rsidRDefault="00EE4559" w:rsidP="006B2419">
            <w:pPr>
              <w:autoSpaceDE w:val="0"/>
              <w:autoSpaceDN w:val="0"/>
              <w:jc w:val="both"/>
              <w:rPr>
                <w:rFonts w:eastAsia="SimSun"/>
                <w:lang w:val="en-US" w:eastAsia="zh-CN"/>
              </w:rPr>
            </w:pPr>
            <w:r w:rsidRPr="00172DC3">
              <w:rPr>
                <w:rFonts w:asciiTheme="minorHAnsi" w:hAnsiTheme="minorHAnsi" w:cstheme="minorHAnsi"/>
                <w:color w:val="FF0000"/>
              </w:rPr>
              <w:t>FFS: other channel access procedures applicable to S-SSB and PSFCH</w:t>
            </w:r>
          </w:p>
        </w:tc>
      </w:tr>
      <w:tr w:rsidR="00EE4559" w14:paraId="629DB2C7" w14:textId="77777777" w:rsidTr="006B2419">
        <w:tc>
          <w:tcPr>
            <w:tcW w:w="1555" w:type="dxa"/>
          </w:tcPr>
          <w:p w14:paraId="1207024E" w14:textId="77777777" w:rsidR="00EE4559" w:rsidRPr="00441AFD" w:rsidRDefault="00EE4559" w:rsidP="006B2419">
            <w:pPr>
              <w:pStyle w:val="0Maintext"/>
              <w:spacing w:after="0" w:afterAutospacing="0"/>
              <w:ind w:firstLine="0"/>
            </w:pPr>
            <w:r>
              <w:t>ITL</w:t>
            </w:r>
          </w:p>
        </w:tc>
        <w:tc>
          <w:tcPr>
            <w:tcW w:w="8076" w:type="dxa"/>
          </w:tcPr>
          <w:p w14:paraId="31F0168B" w14:textId="77777777" w:rsidR="00EE4559" w:rsidRDefault="00EE4559" w:rsidP="006B2419">
            <w:pPr>
              <w:pStyle w:val="0Maintext"/>
              <w:spacing w:after="0" w:afterAutospacing="0"/>
              <w:ind w:firstLine="0"/>
            </w:pPr>
            <w:r>
              <w:rPr>
                <w:rFonts w:eastAsiaTheme="minorEastAsia" w:hint="eastAsia"/>
                <w:lang w:eastAsia="zh-CN"/>
              </w:rPr>
              <w:t>W</w:t>
            </w:r>
            <w:r>
              <w:rPr>
                <w:rFonts w:eastAsiaTheme="minorEastAsia"/>
                <w:lang w:eastAsia="zh-CN"/>
              </w:rPr>
              <w:t>e support the updated proposal.</w:t>
            </w:r>
          </w:p>
        </w:tc>
      </w:tr>
      <w:tr w:rsidR="00EE4559" w14:paraId="132CF4CC" w14:textId="77777777" w:rsidTr="006B2419">
        <w:tc>
          <w:tcPr>
            <w:tcW w:w="1555" w:type="dxa"/>
          </w:tcPr>
          <w:p w14:paraId="56E065CA" w14:textId="77777777" w:rsidR="00EE4559" w:rsidRDefault="00EE4559" w:rsidP="006B2419">
            <w:pPr>
              <w:pStyle w:val="0Maintext"/>
              <w:spacing w:after="0" w:afterAutospacing="0"/>
              <w:ind w:firstLine="0"/>
            </w:pPr>
            <w:r>
              <w:rPr>
                <w:rFonts w:eastAsiaTheme="minorEastAsia"/>
                <w:lang w:eastAsia="zh-CN"/>
              </w:rPr>
              <w:t>Fraunhofer</w:t>
            </w:r>
          </w:p>
        </w:tc>
        <w:tc>
          <w:tcPr>
            <w:tcW w:w="8076" w:type="dxa"/>
          </w:tcPr>
          <w:p w14:paraId="79ADECFE" w14:textId="77777777" w:rsidR="00EE4559" w:rsidRDefault="00EE4559" w:rsidP="006B2419">
            <w:pPr>
              <w:pStyle w:val="0Maintext"/>
              <w:spacing w:after="0" w:afterAutospacing="0"/>
              <w:ind w:firstLine="0"/>
              <w:rPr>
                <w:rFonts w:eastAsiaTheme="minorEastAsia"/>
                <w:lang w:eastAsia="zh-CN"/>
              </w:rPr>
            </w:pPr>
            <w:r>
              <w:rPr>
                <w:rFonts w:eastAsiaTheme="minorEastAsia"/>
                <w:lang w:eastAsia="zh-CN"/>
              </w:rPr>
              <w:t>We are in general fine with the proposal. Regarding the last bullet, we agree with DOCOMO and prefer to make it clearer:</w:t>
            </w:r>
          </w:p>
          <w:p w14:paraId="2069BAB8" w14:textId="77777777" w:rsidR="00EE4559" w:rsidRDefault="00EE4559" w:rsidP="006B2419">
            <w:pPr>
              <w:pStyle w:val="0Maintext"/>
              <w:spacing w:after="0" w:afterAutospacing="0"/>
              <w:ind w:firstLine="0"/>
              <w:rPr>
                <w:rFonts w:eastAsiaTheme="minorEastAsia"/>
                <w:lang w:eastAsia="zh-CN"/>
              </w:rPr>
            </w:pPr>
            <w:r w:rsidRPr="0057588E">
              <w:rPr>
                <w:rFonts w:asciiTheme="minorHAnsi" w:hAnsiTheme="minorHAnsi" w:cstheme="minorHAnsi"/>
                <w:strike/>
                <w:color w:val="FF0000"/>
              </w:rPr>
              <w:t xml:space="preserve">Other </w:t>
            </w:r>
            <w:r w:rsidRPr="0057588E">
              <w:rPr>
                <w:rFonts w:asciiTheme="minorHAnsi" w:hAnsiTheme="minorHAnsi" w:cstheme="minorHAnsi"/>
                <w:color w:val="FF0000"/>
              </w:rPr>
              <w:t>S-SSB and PSFCH</w:t>
            </w:r>
            <w:r>
              <w:rPr>
                <w:rFonts w:asciiTheme="minorHAnsi" w:hAnsiTheme="minorHAnsi" w:cstheme="minorHAnsi"/>
              </w:rPr>
              <w:t xml:space="preserve"> transmission(s)</w:t>
            </w:r>
            <w:r w:rsidRPr="00AE46B2">
              <w:rPr>
                <w:rFonts w:asciiTheme="minorHAnsi" w:hAnsiTheme="minorHAnsi" w:cstheme="minorHAnsi"/>
              </w:rPr>
              <w:t xml:space="preserve"> </w:t>
            </w:r>
            <w:del w:id="71" w:author="Kevin Lin" w:date="2022-10-10T21:33:00Z">
              <w:r w:rsidRPr="00AE46B2" w:rsidDel="008057F9">
                <w:rPr>
                  <w:rFonts w:asciiTheme="minorHAnsi" w:hAnsiTheme="minorHAnsi" w:cstheme="minorHAnsi"/>
                </w:rPr>
                <w:delText>initiated by</w:delText>
              </w:r>
            </w:del>
            <w:ins w:id="72" w:author="Kevin Lin" w:date="2022-10-10T21:33:00Z">
              <w:r>
                <w:rPr>
                  <w:rFonts w:asciiTheme="minorHAnsi" w:hAnsiTheme="minorHAnsi" w:cstheme="minorHAnsi"/>
                </w:rPr>
                <w:t>from</w:t>
              </w:r>
            </w:ins>
            <w:r w:rsidRPr="00AE46B2">
              <w:rPr>
                <w:rFonts w:asciiTheme="minorHAnsi" w:hAnsiTheme="minorHAnsi" w:cstheme="minorHAnsi"/>
              </w:rPr>
              <w:t xml:space="preserve"> a UE.</w:t>
            </w:r>
          </w:p>
        </w:tc>
      </w:tr>
      <w:tr w:rsidR="00EE4559" w14:paraId="0A48D8AD" w14:textId="77777777" w:rsidTr="006B2419">
        <w:tc>
          <w:tcPr>
            <w:tcW w:w="1555" w:type="dxa"/>
          </w:tcPr>
          <w:p w14:paraId="3EB7E251" w14:textId="77777777" w:rsidR="00EE4559" w:rsidRPr="00031891" w:rsidRDefault="00EE4559" w:rsidP="006B2419">
            <w:pPr>
              <w:pStyle w:val="0Maintext"/>
              <w:spacing w:after="0" w:afterAutospacing="0"/>
              <w:ind w:firstLine="0"/>
              <w:rPr>
                <w:rFonts w:eastAsiaTheme="minorEastAsia"/>
                <w:lang w:eastAsia="zh-CN"/>
              </w:rPr>
            </w:pPr>
            <w:r>
              <w:t>MediaTek</w:t>
            </w:r>
          </w:p>
        </w:tc>
        <w:tc>
          <w:tcPr>
            <w:tcW w:w="8076" w:type="dxa"/>
          </w:tcPr>
          <w:p w14:paraId="2F721DB6" w14:textId="77777777" w:rsidR="00EE4559" w:rsidRDefault="00EE4559" w:rsidP="006B2419">
            <w:pPr>
              <w:pStyle w:val="0Maintext"/>
              <w:spacing w:after="0" w:afterAutospacing="0"/>
              <w:ind w:firstLine="0"/>
              <w:rPr>
                <w:rFonts w:eastAsiaTheme="minorEastAsia"/>
                <w:lang w:eastAsia="zh-CN"/>
              </w:rPr>
            </w:pPr>
            <w:r>
              <w:rPr>
                <w:rFonts w:eastAsiaTheme="minorEastAsia" w:hint="eastAsia"/>
                <w:lang w:eastAsia="zh-CN"/>
              </w:rPr>
              <w:t>F</w:t>
            </w:r>
            <w:r>
              <w:rPr>
                <w:rFonts w:eastAsiaTheme="minorEastAsia"/>
                <w:lang w:eastAsia="zh-CN"/>
              </w:rPr>
              <w:t>or the 1</w:t>
            </w:r>
            <w:r w:rsidRPr="00225920">
              <w:rPr>
                <w:rFonts w:eastAsiaTheme="minorEastAsia"/>
                <w:vertAlign w:val="superscript"/>
                <w:lang w:eastAsia="zh-CN"/>
              </w:rPr>
              <w:t>st</w:t>
            </w:r>
            <w:r>
              <w:rPr>
                <w:rFonts w:eastAsiaTheme="minorEastAsia"/>
                <w:lang w:eastAsia="zh-CN"/>
              </w:rPr>
              <w:t xml:space="preserve"> and 2</w:t>
            </w:r>
            <w:r w:rsidRPr="00225920">
              <w:rPr>
                <w:rFonts w:eastAsiaTheme="minorEastAsia"/>
                <w:vertAlign w:val="superscript"/>
                <w:lang w:eastAsia="zh-CN"/>
              </w:rPr>
              <w:t>nd</w:t>
            </w:r>
            <w:r>
              <w:rPr>
                <w:rFonts w:eastAsiaTheme="minorEastAsia"/>
                <w:lang w:eastAsia="zh-CN"/>
              </w:rPr>
              <w:t xml:space="preserve"> sub-bullets, we are fine with the FL proposal. </w:t>
            </w:r>
          </w:p>
          <w:p w14:paraId="47EA9241" w14:textId="77777777" w:rsidR="00EE4559" w:rsidRDefault="00EE4559" w:rsidP="006B2419">
            <w:pPr>
              <w:pStyle w:val="0Maintext"/>
              <w:spacing w:after="0" w:afterAutospacing="0"/>
              <w:ind w:firstLine="0"/>
              <w:rPr>
                <w:rFonts w:eastAsiaTheme="minorEastAsia"/>
                <w:lang w:eastAsia="zh-CN"/>
              </w:rPr>
            </w:pPr>
          </w:p>
          <w:p w14:paraId="0CF997DD" w14:textId="77777777" w:rsidR="00EE4559" w:rsidRDefault="00EE4559" w:rsidP="006B2419">
            <w:pPr>
              <w:pStyle w:val="0Maintext"/>
              <w:spacing w:after="0" w:afterAutospacing="0"/>
              <w:ind w:firstLine="0"/>
              <w:rPr>
                <w:rFonts w:eastAsiaTheme="minorEastAsia"/>
                <w:lang w:eastAsia="zh-CN"/>
              </w:rPr>
            </w:pPr>
            <w:r>
              <w:rPr>
                <w:rFonts w:eastAsiaTheme="minorEastAsia"/>
                <w:lang w:eastAsia="zh-CN"/>
              </w:rPr>
              <w:t>For the 3</w:t>
            </w:r>
            <w:r w:rsidRPr="00225920">
              <w:rPr>
                <w:rFonts w:eastAsiaTheme="minorEastAsia"/>
                <w:vertAlign w:val="superscript"/>
                <w:lang w:eastAsia="zh-CN"/>
              </w:rPr>
              <w:t>rd</w:t>
            </w:r>
            <w:r>
              <w:rPr>
                <w:rFonts w:eastAsiaTheme="minorEastAsia"/>
                <w:lang w:eastAsia="zh-CN"/>
              </w:rPr>
              <w:t xml:space="preserve"> sub-bullet, agree with Intel and CMCC. Before the channel access type for S-SSB/PSFCH is agreed, it is better to add an “FFS” here. Additionally, in our understanding, the intentions of Type 1 channel access and also the proposal here is that the UE will act as the COT initiating device rather than the COT sharing device and we think it should be refelected in the 3</w:t>
            </w:r>
            <w:r w:rsidRPr="00E879CE">
              <w:rPr>
                <w:rFonts w:eastAsiaTheme="minorEastAsia"/>
                <w:vertAlign w:val="superscript"/>
                <w:lang w:eastAsia="zh-CN"/>
              </w:rPr>
              <w:t>rd</w:t>
            </w:r>
            <w:r>
              <w:rPr>
                <w:rFonts w:eastAsiaTheme="minorEastAsia"/>
                <w:lang w:eastAsia="zh-CN"/>
              </w:rPr>
              <w:t xml:space="preserve"> sub-bullet. </w:t>
            </w:r>
          </w:p>
          <w:p w14:paraId="5E43C15D" w14:textId="77777777" w:rsidR="00EE4559" w:rsidRDefault="00EE4559" w:rsidP="006B2419">
            <w:pPr>
              <w:pStyle w:val="0Maintext"/>
              <w:spacing w:after="0" w:afterAutospacing="0"/>
              <w:ind w:firstLine="0"/>
              <w:rPr>
                <w:rFonts w:eastAsiaTheme="minorEastAsia"/>
                <w:lang w:eastAsia="zh-CN"/>
              </w:rPr>
            </w:pPr>
            <w:r>
              <w:rPr>
                <w:rFonts w:eastAsiaTheme="minorEastAsia"/>
                <w:lang w:eastAsia="zh-CN"/>
              </w:rPr>
              <w:t>So we propose the following update:</w:t>
            </w:r>
          </w:p>
          <w:p w14:paraId="685E02F2" w14:textId="77777777" w:rsidR="00EE4559" w:rsidRPr="00AE46B2" w:rsidRDefault="00EE4559" w:rsidP="006B2419">
            <w:pPr>
              <w:pStyle w:val="3GPPAgreements"/>
              <w:rPr>
                <w:rFonts w:asciiTheme="minorHAnsi" w:hAnsiTheme="minorHAnsi" w:cstheme="minorHAnsi"/>
              </w:rPr>
            </w:pPr>
            <w:r w:rsidRPr="00AE46B2">
              <w:rPr>
                <w:rFonts w:asciiTheme="minorHAnsi" w:hAnsiTheme="minorHAnsi" w:cstheme="minorHAnsi"/>
                <w:lang w:val="en-GB"/>
              </w:rPr>
              <w:t xml:space="preserve">Type 1 SL channel access procedure is applicable to the following transmissions </w:t>
            </w:r>
            <w:ins w:id="73" w:author="Kevin Lin" w:date="2022-10-10T21:41:00Z">
              <w:r w:rsidRPr="003A54E4">
                <w:rPr>
                  <w:rFonts w:asciiTheme="minorHAnsi" w:hAnsiTheme="minorHAnsi" w:cstheme="minorHAnsi"/>
                  <w:strike/>
                  <w:lang w:val="en-GB"/>
                </w:rPr>
                <w:t xml:space="preserve">initiating a </w:t>
              </w:r>
            </w:ins>
            <w:ins w:id="74" w:author="Kevin Lin" w:date="2022-10-10T21:42:00Z">
              <w:r w:rsidRPr="003A54E4">
                <w:rPr>
                  <w:rFonts w:asciiTheme="minorHAnsi" w:hAnsiTheme="minorHAnsi" w:cstheme="minorHAnsi"/>
                  <w:strike/>
                  <w:lang w:val="en-GB"/>
                </w:rPr>
                <w:t xml:space="preserve">COT </w:t>
              </w:r>
            </w:ins>
            <w:r w:rsidRPr="00AE46B2">
              <w:rPr>
                <w:rFonts w:asciiTheme="minorHAnsi" w:hAnsiTheme="minorHAnsi" w:cstheme="minorHAnsi"/>
                <w:lang w:val="en-GB"/>
              </w:rPr>
              <w:t>by a UE:</w:t>
            </w:r>
          </w:p>
          <w:p w14:paraId="79A3E8E9" w14:textId="77777777" w:rsidR="00EE4559" w:rsidRPr="00DE4E0A" w:rsidRDefault="00EE4559" w:rsidP="00EE4559">
            <w:pPr>
              <w:pStyle w:val="3GPPAgreements"/>
              <w:numPr>
                <w:ilvl w:val="1"/>
                <w:numId w:val="11"/>
              </w:numPr>
              <w:rPr>
                <w:rFonts w:asciiTheme="minorHAnsi" w:hAnsiTheme="minorHAnsi" w:cstheme="minorHAnsi"/>
              </w:rPr>
            </w:pPr>
            <w:r w:rsidRPr="00AE46B2">
              <w:rPr>
                <w:rFonts w:asciiTheme="minorHAnsi" w:hAnsiTheme="minorHAnsi" w:cstheme="minorHAnsi"/>
                <w:lang w:val="en-GB"/>
              </w:rPr>
              <w:t>PSSCH/PSCCH transmission(s) scheduled or configured by a gNB in SL Mode 1 resource allocation.</w:t>
            </w:r>
          </w:p>
          <w:p w14:paraId="202B1B2C" w14:textId="77777777" w:rsidR="00EE4559" w:rsidRDefault="00EE4559" w:rsidP="00EE4559">
            <w:pPr>
              <w:pStyle w:val="3GPPAgreements"/>
              <w:numPr>
                <w:ilvl w:val="1"/>
                <w:numId w:val="11"/>
              </w:numPr>
              <w:rPr>
                <w:rFonts w:asciiTheme="minorHAnsi" w:hAnsiTheme="minorHAnsi" w:cstheme="minorHAnsi"/>
              </w:rPr>
            </w:pPr>
            <w:r w:rsidRPr="00DE4E0A">
              <w:rPr>
                <w:rFonts w:asciiTheme="minorHAnsi" w:hAnsiTheme="minorHAnsi" w:cstheme="minorHAnsi"/>
              </w:rPr>
              <w:t>PSSCH/PSCCH transmission(s) initiated by a UE in SL Mode 2 resource allocation.</w:t>
            </w:r>
          </w:p>
          <w:p w14:paraId="30BE2972" w14:textId="77777777" w:rsidR="00EE4559" w:rsidRPr="008A4609" w:rsidRDefault="00EE4559" w:rsidP="00EE4559">
            <w:pPr>
              <w:pStyle w:val="3GPPAgreements"/>
              <w:numPr>
                <w:ilvl w:val="1"/>
                <w:numId w:val="11"/>
              </w:numPr>
              <w:rPr>
                <w:rFonts w:asciiTheme="minorHAnsi" w:hAnsiTheme="minorHAnsi" w:cstheme="minorHAnsi"/>
              </w:rPr>
            </w:pPr>
            <w:r w:rsidRPr="008A4609">
              <w:rPr>
                <w:rFonts w:asciiTheme="minorHAnsi" w:hAnsiTheme="minorHAnsi" w:cstheme="minorHAnsi"/>
                <w:color w:val="FF0000"/>
              </w:rPr>
              <w:t xml:space="preserve">FFS </w:t>
            </w:r>
            <w:r w:rsidRPr="008A4609">
              <w:rPr>
                <w:rFonts w:asciiTheme="minorHAnsi" w:hAnsiTheme="minorHAnsi" w:cstheme="minorHAnsi"/>
              </w:rPr>
              <w:t xml:space="preserve">other transmission(s) </w:t>
            </w:r>
            <w:del w:id="75" w:author="Kevin Lin" w:date="2022-10-10T21:33:00Z">
              <w:r w:rsidRPr="008A4609" w:rsidDel="008057F9">
                <w:rPr>
                  <w:rFonts w:asciiTheme="minorHAnsi" w:hAnsiTheme="minorHAnsi" w:cstheme="minorHAnsi"/>
                  <w:color w:val="FF0000"/>
                </w:rPr>
                <w:delText>initiated by</w:delText>
              </w:r>
            </w:del>
            <w:r w:rsidRPr="008A4609">
              <w:rPr>
                <w:rFonts w:asciiTheme="minorHAnsi" w:hAnsiTheme="minorHAnsi" w:cstheme="minorHAnsi"/>
                <w:color w:val="FF0000"/>
              </w:rPr>
              <w:t>initiated by</w:t>
            </w:r>
            <w:r w:rsidRPr="008A4609">
              <w:rPr>
                <w:rFonts w:asciiTheme="minorHAnsi" w:hAnsiTheme="minorHAnsi" w:cstheme="minorHAnsi"/>
              </w:rPr>
              <w:t xml:space="preserve"> a UE.</w:t>
            </w:r>
          </w:p>
        </w:tc>
      </w:tr>
      <w:tr w:rsidR="00EE4559" w14:paraId="2F95A4D6" w14:textId="77777777" w:rsidTr="006B2419">
        <w:tc>
          <w:tcPr>
            <w:tcW w:w="1555" w:type="dxa"/>
          </w:tcPr>
          <w:p w14:paraId="27AD2BA8" w14:textId="77777777" w:rsidR="00EE4559" w:rsidRDefault="00EE4559" w:rsidP="006B2419">
            <w:pPr>
              <w:pStyle w:val="0Maintext"/>
              <w:spacing w:after="0" w:afterAutospacing="0"/>
              <w:ind w:firstLine="0"/>
            </w:pPr>
            <w:r>
              <w:t>JHUAPL</w:t>
            </w:r>
          </w:p>
        </w:tc>
        <w:tc>
          <w:tcPr>
            <w:tcW w:w="8076" w:type="dxa"/>
          </w:tcPr>
          <w:p w14:paraId="39709875" w14:textId="77777777" w:rsidR="00EE4559" w:rsidRDefault="00EE4559" w:rsidP="006B2419">
            <w:pPr>
              <w:pStyle w:val="0Maintext"/>
              <w:spacing w:after="0" w:afterAutospacing="0"/>
              <w:ind w:firstLine="0"/>
              <w:rPr>
                <w:rFonts w:eastAsiaTheme="minorEastAsia"/>
                <w:lang w:eastAsia="zh-CN"/>
              </w:rPr>
            </w:pPr>
            <w:r>
              <w:rPr>
                <w:rFonts w:eastAsiaTheme="minorEastAsia"/>
                <w:lang w:eastAsia="zh-CN"/>
              </w:rPr>
              <w:t>We do not support this proposal. As Intel points out, this implies that Type 1 is always used for PSSCH/PSCCH transmissions by the UE even in cases of UE-to-UE COT sharing.</w:t>
            </w:r>
          </w:p>
        </w:tc>
      </w:tr>
      <w:tr w:rsidR="00EE4559" w14:paraId="7504B25A" w14:textId="77777777" w:rsidTr="006B2419">
        <w:tc>
          <w:tcPr>
            <w:tcW w:w="1555" w:type="dxa"/>
          </w:tcPr>
          <w:p w14:paraId="1AE1618A" w14:textId="77777777" w:rsidR="00EE4559" w:rsidRDefault="00EE4559" w:rsidP="006B2419">
            <w:pPr>
              <w:pStyle w:val="0Maintext"/>
              <w:spacing w:after="0" w:afterAutospacing="0"/>
              <w:ind w:firstLine="0"/>
            </w:pPr>
            <w:r>
              <w:t>Lenovo</w:t>
            </w:r>
          </w:p>
        </w:tc>
        <w:tc>
          <w:tcPr>
            <w:tcW w:w="8076" w:type="dxa"/>
          </w:tcPr>
          <w:p w14:paraId="53679CA9" w14:textId="77777777" w:rsidR="00EE4559" w:rsidRDefault="00EE4559" w:rsidP="006B2419">
            <w:pPr>
              <w:pStyle w:val="0Maintext"/>
              <w:spacing w:after="0" w:afterAutospacing="0"/>
              <w:ind w:firstLine="0"/>
              <w:rPr>
                <w:rFonts w:eastAsiaTheme="minorEastAsia"/>
                <w:lang w:eastAsia="zh-CN"/>
              </w:rPr>
            </w:pPr>
            <w:r>
              <w:rPr>
                <w:rFonts w:eastAsiaTheme="minorEastAsia"/>
                <w:lang w:eastAsia="zh-CN"/>
              </w:rPr>
              <w:t>We support the FL's proposal (though we tend to agree with Samsung that the modes may not even need to be spelled out explicitly, but this is a minor point for us).</w:t>
            </w:r>
          </w:p>
          <w:p w14:paraId="48F1DBB5" w14:textId="77777777" w:rsidR="00EE4559" w:rsidRDefault="00EE4559" w:rsidP="006B2419">
            <w:pPr>
              <w:pStyle w:val="0Maintext"/>
              <w:spacing w:after="0" w:afterAutospacing="0"/>
              <w:ind w:firstLine="0"/>
              <w:rPr>
                <w:rFonts w:eastAsiaTheme="minorEastAsia"/>
                <w:lang w:eastAsia="zh-CN"/>
              </w:rPr>
            </w:pPr>
          </w:p>
          <w:p w14:paraId="01868035" w14:textId="77777777" w:rsidR="00EE4559" w:rsidRDefault="00EE4559" w:rsidP="006B2419">
            <w:pPr>
              <w:pStyle w:val="0Maintext"/>
              <w:spacing w:after="0" w:afterAutospacing="0"/>
              <w:ind w:firstLine="0"/>
              <w:rPr>
                <w:rFonts w:eastAsiaTheme="minorEastAsia"/>
                <w:lang w:eastAsia="zh-CN"/>
              </w:rPr>
            </w:pPr>
            <w:r>
              <w:rPr>
                <w:rFonts w:eastAsiaTheme="minorEastAsia"/>
                <w:lang w:eastAsia="zh-CN"/>
              </w:rPr>
              <w:t>We specifically support the notion that the proposal is just defining for which kind of transmission type 1 can be used. Further discussion will determine whether type 1 needs to be used, or a UE may select between type 1 and type 2. But in our view this is sufficiently clear, there is no need to bloat the proposal by FFS.</w:t>
            </w:r>
          </w:p>
          <w:p w14:paraId="1FF10F61" w14:textId="77777777" w:rsidR="00EE4559" w:rsidRDefault="00EE4559" w:rsidP="006B2419">
            <w:pPr>
              <w:pStyle w:val="0Maintext"/>
              <w:spacing w:after="0" w:afterAutospacing="0"/>
              <w:ind w:firstLine="0"/>
              <w:rPr>
                <w:rFonts w:eastAsiaTheme="minorEastAsia"/>
                <w:lang w:eastAsia="zh-CN"/>
              </w:rPr>
            </w:pPr>
          </w:p>
          <w:p w14:paraId="7DE7B076" w14:textId="77777777" w:rsidR="00EE4559" w:rsidRDefault="00EE4559" w:rsidP="006B2419">
            <w:pPr>
              <w:pStyle w:val="0Maintext"/>
              <w:spacing w:after="0" w:afterAutospacing="0"/>
              <w:ind w:firstLine="0"/>
              <w:rPr>
                <w:rFonts w:eastAsiaTheme="minorEastAsia"/>
                <w:lang w:eastAsia="zh-CN"/>
              </w:rPr>
            </w:pPr>
            <w:r>
              <w:rPr>
                <w:rFonts w:eastAsiaTheme="minorEastAsia"/>
                <w:lang w:eastAsia="zh-CN"/>
              </w:rPr>
              <w:t>We also note that current 37.213 described the channel access without mentioning "initiating a COT", so we think we should not have such a statement for a SL channel access agreement.</w:t>
            </w:r>
          </w:p>
          <w:p w14:paraId="3C699B5C" w14:textId="77777777" w:rsidR="00EE4559" w:rsidRDefault="00EE4559" w:rsidP="006B2419">
            <w:pPr>
              <w:pStyle w:val="0Maintext"/>
              <w:spacing w:after="0" w:afterAutospacing="0"/>
              <w:ind w:firstLine="0"/>
              <w:rPr>
                <w:rFonts w:eastAsiaTheme="minorEastAsia"/>
                <w:lang w:eastAsia="zh-CN"/>
              </w:rPr>
            </w:pPr>
          </w:p>
          <w:p w14:paraId="3A79FDA7" w14:textId="77777777" w:rsidR="00EE4559" w:rsidRDefault="00EE4559" w:rsidP="006B2419">
            <w:pPr>
              <w:pStyle w:val="0Maintext"/>
              <w:spacing w:after="0" w:afterAutospacing="0"/>
              <w:ind w:firstLine="0"/>
              <w:rPr>
                <w:rFonts w:eastAsiaTheme="minorEastAsia"/>
                <w:lang w:eastAsia="zh-CN"/>
              </w:rPr>
            </w:pPr>
            <w:r>
              <w:rPr>
                <w:rFonts w:eastAsiaTheme="minorEastAsia"/>
                <w:lang w:eastAsia="zh-CN"/>
              </w:rPr>
              <w:t>Similarly, some company comments discuss CAPC for S-SSB and PSFCH. While we support p=1, again this will not imply that type 1 with p=1 has to be used all the time.</w:t>
            </w:r>
          </w:p>
        </w:tc>
      </w:tr>
    </w:tbl>
    <w:tbl>
      <w:tblPr>
        <w:tblStyle w:val="TableGrid1"/>
        <w:tblW w:w="9631" w:type="dxa"/>
        <w:tblLayout w:type="fixed"/>
        <w:tblLook w:val="04A0" w:firstRow="1" w:lastRow="0" w:firstColumn="1" w:lastColumn="0" w:noHBand="0" w:noVBand="1"/>
      </w:tblPr>
      <w:tblGrid>
        <w:gridCol w:w="1555"/>
        <w:gridCol w:w="8076"/>
      </w:tblGrid>
      <w:tr w:rsidR="00EE4559" w14:paraId="4EFF8878" w14:textId="77777777" w:rsidTr="006B2419">
        <w:tc>
          <w:tcPr>
            <w:tcW w:w="1555" w:type="dxa"/>
          </w:tcPr>
          <w:p w14:paraId="503B19DC" w14:textId="77777777" w:rsidR="00EE4559" w:rsidRDefault="00EE4559" w:rsidP="00EE4559">
            <w:pPr>
              <w:pStyle w:val="0Maintext"/>
              <w:spacing w:after="0" w:afterAutospacing="0"/>
              <w:ind w:firstLine="0"/>
            </w:pPr>
            <w:r>
              <w:lastRenderedPageBreak/>
              <w:t>Futurewei</w:t>
            </w:r>
          </w:p>
        </w:tc>
        <w:tc>
          <w:tcPr>
            <w:tcW w:w="8076" w:type="dxa"/>
          </w:tcPr>
          <w:p w14:paraId="065BEDCF" w14:textId="77777777" w:rsidR="00EE4559" w:rsidRDefault="00EE4559" w:rsidP="00EE4559">
            <w:pPr>
              <w:pStyle w:val="0Maintext"/>
              <w:spacing w:after="0" w:afterAutospacing="0"/>
              <w:ind w:firstLine="0"/>
            </w:pPr>
            <w:r>
              <w:t>OK in principle. We note that this formulation does not imply which and when Type 1 should/must be applied. The proposal does not explicitly mention if the Type 1 SL is based on the DL or UL Type 1. We would like to see FFS regarding the exact type and conditions when Type 1 must be applied.</w:t>
            </w:r>
          </w:p>
          <w:p w14:paraId="0FBECC5C" w14:textId="77777777" w:rsidR="00EE4559" w:rsidRDefault="00EE4559">
            <w:pPr>
              <w:pStyle w:val="0Maintext"/>
              <w:numPr>
                <w:ilvl w:val="0"/>
                <w:numId w:val="35"/>
              </w:numPr>
              <w:spacing w:after="0" w:afterAutospacing="0"/>
              <w:ind w:hanging="406"/>
            </w:pPr>
            <w:r>
              <w:t>FFS whether Type 1 SL is based on UL or on DL Type 1 NR-U channel access</w:t>
            </w:r>
          </w:p>
          <w:p w14:paraId="25B294B4" w14:textId="77777777" w:rsidR="00EE4559" w:rsidRDefault="00EE4559">
            <w:pPr>
              <w:pStyle w:val="0Maintext"/>
              <w:numPr>
                <w:ilvl w:val="0"/>
                <w:numId w:val="35"/>
              </w:numPr>
              <w:spacing w:after="0" w:afterAutospacing="0"/>
              <w:ind w:hanging="406"/>
            </w:pPr>
            <w:r>
              <w:t>FFS the conditions when Type 1 SL must be applied before each transmission</w:t>
            </w:r>
          </w:p>
        </w:tc>
      </w:tr>
      <w:tr w:rsidR="00EE4559" w14:paraId="6F388FCE" w14:textId="77777777" w:rsidTr="006B2419">
        <w:tc>
          <w:tcPr>
            <w:tcW w:w="1555" w:type="dxa"/>
          </w:tcPr>
          <w:p w14:paraId="3C233D95" w14:textId="77777777" w:rsidR="00EE4559" w:rsidRDefault="00EE4559" w:rsidP="00EE4559">
            <w:pPr>
              <w:pStyle w:val="0Maintext"/>
              <w:spacing w:after="0" w:afterAutospacing="0"/>
              <w:ind w:firstLine="0"/>
            </w:pPr>
            <w:r>
              <w:t>NSC</w:t>
            </w:r>
          </w:p>
        </w:tc>
        <w:tc>
          <w:tcPr>
            <w:tcW w:w="8076" w:type="dxa"/>
          </w:tcPr>
          <w:p w14:paraId="2EFE5CBD" w14:textId="77777777" w:rsidR="00EE4559" w:rsidRDefault="00EE4559" w:rsidP="00EE4559">
            <w:pPr>
              <w:pStyle w:val="0Maintext"/>
              <w:spacing w:after="0" w:afterAutospacing="0"/>
              <w:ind w:firstLine="0"/>
            </w:pPr>
            <w:r>
              <w:t>We prefer Intel’s update.</w:t>
            </w:r>
          </w:p>
        </w:tc>
      </w:tr>
      <w:tr w:rsidR="00961A18" w:rsidRPr="00DE47F8" w14:paraId="2FA7E59C" w14:textId="77777777" w:rsidTr="00961A18">
        <w:tc>
          <w:tcPr>
            <w:tcW w:w="1555" w:type="dxa"/>
          </w:tcPr>
          <w:p w14:paraId="672667BC" w14:textId="77777777" w:rsidR="00961A18" w:rsidRDefault="00961A18" w:rsidP="006B2419">
            <w:pPr>
              <w:pStyle w:val="0Maintext"/>
              <w:spacing w:after="0" w:afterAutospacing="0"/>
              <w:ind w:firstLine="0"/>
            </w:pPr>
            <w:r w:rsidRPr="00DE47F8">
              <w:t>Huawei, HiSilicon</w:t>
            </w:r>
          </w:p>
        </w:tc>
        <w:tc>
          <w:tcPr>
            <w:tcW w:w="8076" w:type="dxa"/>
          </w:tcPr>
          <w:p w14:paraId="47669806" w14:textId="77777777" w:rsidR="00961A18" w:rsidRDefault="00961A18" w:rsidP="006B2419">
            <w:pPr>
              <w:pStyle w:val="0Maintext"/>
              <w:spacing w:after="0" w:afterAutospacing="0"/>
              <w:ind w:firstLine="0"/>
              <w:rPr>
                <w:rFonts w:eastAsiaTheme="minorEastAsia"/>
                <w:lang w:eastAsia="zh-CN"/>
              </w:rPr>
            </w:pPr>
            <w:r>
              <w:rPr>
                <w:rFonts w:eastAsiaTheme="minorEastAsia" w:hint="eastAsia"/>
                <w:lang w:eastAsia="zh-CN"/>
              </w:rPr>
              <w:t>S</w:t>
            </w:r>
            <w:r>
              <w:rPr>
                <w:rFonts w:eastAsiaTheme="minorEastAsia"/>
                <w:lang w:eastAsia="zh-CN"/>
              </w:rPr>
              <w:t>upport</w:t>
            </w:r>
          </w:p>
          <w:p w14:paraId="45E2FA44" w14:textId="77777777" w:rsidR="00961A18" w:rsidRPr="00DE47F8" w:rsidRDefault="00961A18" w:rsidP="006B2419">
            <w:pPr>
              <w:pStyle w:val="0Maintext"/>
              <w:spacing w:after="0" w:afterAutospacing="0"/>
              <w:ind w:firstLine="0"/>
              <w:rPr>
                <w:rFonts w:eastAsiaTheme="minorEastAsia"/>
                <w:lang w:eastAsia="zh-CN"/>
              </w:rPr>
            </w:pPr>
            <w:r>
              <w:rPr>
                <w:rFonts w:eastAsiaTheme="minorEastAsia"/>
                <w:lang w:eastAsia="zh-CN"/>
              </w:rPr>
              <w:t>As we commented during the GTW, we think the second part of original proposal (already deleted in current one) is not needed. It is too early to discuss how to update the spec especially the frame of SL-U have not been clear. How to define the CAPC priority for PSFCH and S-SSB can be discussed separately, no need to comfine it equal to 1 or not</w:t>
            </w:r>
          </w:p>
        </w:tc>
      </w:tr>
    </w:tbl>
    <w:p w14:paraId="7CD8E33E" w14:textId="414FEB3A" w:rsidR="00EC21DD" w:rsidRDefault="00EC21DD" w:rsidP="008A2865">
      <w:pPr>
        <w:autoSpaceDE w:val="0"/>
        <w:autoSpaceDN w:val="0"/>
        <w:spacing w:after="120"/>
        <w:jc w:val="both"/>
        <w:rPr>
          <w:rFonts w:ascii="Calibri" w:hAnsi="Calibri" w:cs="Calibri"/>
          <w:sz w:val="22"/>
        </w:rPr>
      </w:pPr>
    </w:p>
    <w:p w14:paraId="31FFEF3B" w14:textId="42897822" w:rsidR="00A91375" w:rsidRDefault="00A91375" w:rsidP="008A2865">
      <w:pPr>
        <w:autoSpaceDE w:val="0"/>
        <w:autoSpaceDN w:val="0"/>
        <w:spacing w:after="120"/>
        <w:jc w:val="both"/>
        <w:rPr>
          <w:rFonts w:ascii="Calibri" w:hAnsi="Calibri" w:cs="Calibri"/>
          <w:sz w:val="22"/>
        </w:rPr>
      </w:pPr>
    </w:p>
    <w:p w14:paraId="6020138C" w14:textId="5D19F4CE" w:rsidR="00A91375" w:rsidRDefault="00A91375" w:rsidP="00A91375">
      <w:pPr>
        <w:pStyle w:val="Heading3"/>
      </w:pPr>
      <w:r>
        <w:t>FL Proposal for round 2 discussion</w:t>
      </w:r>
    </w:p>
    <w:p w14:paraId="499AC01E" w14:textId="6B52A536" w:rsidR="00A91375" w:rsidRPr="00D567B9" w:rsidRDefault="00A91375" w:rsidP="00A91375">
      <w:pPr>
        <w:autoSpaceDE w:val="0"/>
        <w:autoSpaceDN w:val="0"/>
        <w:spacing w:before="120" w:after="120"/>
        <w:jc w:val="both"/>
        <w:rPr>
          <w:rFonts w:ascii="Calibri" w:hAnsi="Calibri" w:cs="Calibri"/>
          <w:sz w:val="22"/>
          <w:u w:val="single"/>
        </w:rPr>
      </w:pPr>
      <w:r w:rsidRPr="00D567B9">
        <w:rPr>
          <w:rFonts w:ascii="Calibri" w:hAnsi="Calibri" w:cs="Calibri"/>
          <w:sz w:val="22"/>
          <w:u w:val="single"/>
        </w:rPr>
        <w:t xml:space="preserve">FL </w:t>
      </w:r>
      <w:r>
        <w:rPr>
          <w:rFonts w:ascii="Calibri" w:hAnsi="Calibri" w:cs="Calibri"/>
          <w:sz w:val="22"/>
          <w:u w:val="single"/>
        </w:rPr>
        <w:t>responses</w:t>
      </w:r>
      <w:r w:rsidRPr="00D567B9">
        <w:rPr>
          <w:rFonts w:ascii="Calibri" w:hAnsi="Calibri" w:cs="Calibri"/>
          <w:sz w:val="22"/>
          <w:u w:val="single"/>
        </w:rPr>
        <w:t xml:space="preserve"> based on </w:t>
      </w:r>
      <w:r>
        <w:rPr>
          <w:rFonts w:ascii="Calibri" w:hAnsi="Calibri" w:cs="Calibri"/>
          <w:sz w:val="22"/>
          <w:u w:val="single"/>
        </w:rPr>
        <w:t>Round 1 inputs</w:t>
      </w:r>
      <w:r w:rsidRPr="00D567B9">
        <w:rPr>
          <w:rFonts w:ascii="Calibri" w:hAnsi="Calibri" w:cs="Calibri"/>
          <w:sz w:val="22"/>
          <w:u w:val="single"/>
        </w:rPr>
        <w:t>:</w:t>
      </w:r>
    </w:p>
    <w:p w14:paraId="0870F905" w14:textId="6F8C405F" w:rsidR="00A91375" w:rsidRDefault="00A91375" w:rsidP="00A91375">
      <w:pPr>
        <w:pStyle w:val="ListParagraph"/>
        <w:numPr>
          <w:ilvl w:val="0"/>
          <w:numId w:val="18"/>
        </w:numPr>
        <w:autoSpaceDE w:val="0"/>
        <w:autoSpaceDN w:val="0"/>
        <w:spacing w:before="120"/>
        <w:ind w:leftChars="0"/>
        <w:jc w:val="both"/>
        <w:rPr>
          <w:rFonts w:ascii="Calibri" w:hAnsi="Calibri" w:cs="Calibri"/>
          <w:sz w:val="22"/>
        </w:rPr>
      </w:pPr>
      <w:r>
        <w:rPr>
          <w:rFonts w:ascii="Calibri" w:hAnsi="Calibri" w:cs="Calibri"/>
          <w:sz w:val="22"/>
        </w:rPr>
        <w:t xml:space="preserve">Fine with the Proposal 1 (II) as it is: IDCC, Qualcomm, NSC, </w:t>
      </w:r>
      <w:r w:rsidR="00CA14A6">
        <w:rPr>
          <w:rFonts w:ascii="Calibri" w:hAnsi="Calibri" w:cs="Calibri"/>
          <w:sz w:val="22"/>
        </w:rPr>
        <w:t xml:space="preserve">Apple, </w:t>
      </w:r>
      <w:r w:rsidR="004B1D3C">
        <w:rPr>
          <w:rFonts w:ascii="Calibri" w:hAnsi="Calibri" w:cs="Calibri"/>
          <w:sz w:val="22"/>
        </w:rPr>
        <w:t>LGE, DCM, Sony, Fujitsu, Panasonic, Nokia/NSB, vivo, Samsung, NEC, ETRI, xiaomi, ZTE/Sanechips, Sharp, Transsion, Ericsson, ITL, Fraunhofer, Lenovo, FW, HW/HiSi</w:t>
      </w:r>
    </w:p>
    <w:p w14:paraId="59BCF8F1" w14:textId="1AC12F83" w:rsidR="00225108" w:rsidRDefault="00225108" w:rsidP="00A91375">
      <w:pPr>
        <w:pStyle w:val="ListParagraph"/>
        <w:numPr>
          <w:ilvl w:val="0"/>
          <w:numId w:val="18"/>
        </w:numPr>
        <w:autoSpaceDE w:val="0"/>
        <w:autoSpaceDN w:val="0"/>
        <w:spacing w:before="120"/>
        <w:ind w:leftChars="0"/>
        <w:jc w:val="both"/>
        <w:rPr>
          <w:rFonts w:ascii="Calibri" w:hAnsi="Calibri" w:cs="Calibri"/>
          <w:sz w:val="22"/>
        </w:rPr>
      </w:pPr>
      <w:r>
        <w:rPr>
          <w:rFonts w:ascii="Calibri" w:hAnsi="Calibri" w:cs="Calibri"/>
          <w:sz w:val="22"/>
        </w:rPr>
        <w:t xml:space="preserve">Overall, as the main bullet reads “Type 1 SL channel access procedure is </w:t>
      </w:r>
      <w:r w:rsidRPr="00225108">
        <w:rPr>
          <w:rFonts w:ascii="Calibri" w:hAnsi="Calibri" w:cs="Calibri"/>
          <w:b/>
          <w:bCs/>
          <w:sz w:val="22"/>
        </w:rPr>
        <w:t>applicable</w:t>
      </w:r>
      <w:r>
        <w:rPr>
          <w:rFonts w:ascii="Calibri" w:hAnsi="Calibri" w:cs="Calibri"/>
          <w:sz w:val="22"/>
        </w:rPr>
        <w:t xml:space="preserve"> to the following transmission by a UE”, it should be clarified that a UE is not always mandated to perform Type 1 LBT in order to access the channel. It is one mechanism that a UE can use to access the channel. </w:t>
      </w:r>
    </w:p>
    <w:p w14:paraId="0048733C" w14:textId="5C53453B" w:rsidR="00225108" w:rsidRDefault="00225108" w:rsidP="00225108">
      <w:pPr>
        <w:pStyle w:val="ListParagraph"/>
        <w:numPr>
          <w:ilvl w:val="1"/>
          <w:numId w:val="18"/>
        </w:numPr>
        <w:autoSpaceDE w:val="0"/>
        <w:autoSpaceDN w:val="0"/>
        <w:spacing w:before="120"/>
        <w:ind w:leftChars="0"/>
        <w:jc w:val="both"/>
        <w:rPr>
          <w:rFonts w:ascii="Calibri" w:hAnsi="Calibri" w:cs="Calibri"/>
          <w:sz w:val="22"/>
        </w:rPr>
      </w:pPr>
      <w:r>
        <w:rPr>
          <w:rFonts w:ascii="Calibri" w:hAnsi="Calibri" w:cs="Calibri"/>
          <w:sz w:val="22"/>
        </w:rPr>
        <w:t>As agreed in the last meeting</w:t>
      </w:r>
      <w:r w:rsidR="00DA36A7">
        <w:rPr>
          <w:rFonts w:ascii="Calibri" w:hAnsi="Calibri" w:cs="Calibri"/>
          <w:sz w:val="22"/>
        </w:rPr>
        <w:t>,</w:t>
      </w:r>
      <w:r>
        <w:rPr>
          <w:rFonts w:ascii="Calibri" w:hAnsi="Calibri" w:cs="Calibri"/>
          <w:sz w:val="22"/>
        </w:rPr>
        <w:t xml:space="preserve"> Type 2A/2B/2C (</w:t>
      </w:r>
      <w:r w:rsidR="00DA36A7">
        <w:rPr>
          <w:rFonts w:ascii="Calibri" w:hAnsi="Calibri" w:cs="Calibri"/>
          <w:sz w:val="22"/>
        </w:rPr>
        <w:t>subject</w:t>
      </w:r>
      <w:r>
        <w:rPr>
          <w:rFonts w:ascii="Calibri" w:hAnsi="Calibri" w:cs="Calibri"/>
          <w:sz w:val="22"/>
        </w:rPr>
        <w:t xml:space="preserve"> </w:t>
      </w:r>
      <w:r w:rsidR="00DA36A7">
        <w:rPr>
          <w:rFonts w:ascii="Calibri" w:hAnsi="Calibri" w:cs="Calibri"/>
          <w:sz w:val="22"/>
        </w:rPr>
        <w:t>to</w:t>
      </w:r>
      <w:r>
        <w:rPr>
          <w:rFonts w:ascii="Calibri" w:hAnsi="Calibri" w:cs="Calibri"/>
          <w:sz w:val="22"/>
        </w:rPr>
        <w:t xml:space="preserve"> the transmission gap) can be </w:t>
      </w:r>
      <w:r w:rsidR="00DA36A7">
        <w:rPr>
          <w:rFonts w:ascii="Calibri" w:hAnsi="Calibri" w:cs="Calibri"/>
          <w:sz w:val="22"/>
        </w:rPr>
        <w:t xml:space="preserve">also </w:t>
      </w:r>
      <w:r>
        <w:rPr>
          <w:rFonts w:ascii="Calibri" w:hAnsi="Calibri" w:cs="Calibri"/>
          <w:sz w:val="22"/>
        </w:rPr>
        <w:t xml:space="preserve">used by a UE to access the channel </w:t>
      </w:r>
      <w:r w:rsidRPr="00DA36A7">
        <w:rPr>
          <w:rFonts w:ascii="Calibri" w:hAnsi="Calibri" w:cs="Calibri"/>
          <w:b/>
          <w:bCs/>
          <w:sz w:val="22"/>
        </w:rPr>
        <w:t>within a shared COT</w:t>
      </w:r>
      <w:r>
        <w:rPr>
          <w:rFonts w:ascii="Calibri" w:hAnsi="Calibri" w:cs="Calibri"/>
          <w:sz w:val="22"/>
        </w:rPr>
        <w:t>, this is another mechanism for the UE.</w:t>
      </w:r>
      <w:r w:rsidR="0076444A">
        <w:rPr>
          <w:rFonts w:ascii="Calibri" w:hAnsi="Calibri" w:cs="Calibri"/>
          <w:sz w:val="22"/>
        </w:rPr>
        <w:t xml:space="preserve"> Therefore, this proposal does not imply that a UE must acquire a COT anytime a PSSCH/PSCCH is transmitted.</w:t>
      </w:r>
    </w:p>
    <w:p w14:paraId="2451733F" w14:textId="2BB6AB21" w:rsidR="00DA36A7" w:rsidRDefault="00DA36A7" w:rsidP="00DA36A7">
      <w:pPr>
        <w:pStyle w:val="ListParagraph"/>
        <w:numPr>
          <w:ilvl w:val="1"/>
          <w:numId w:val="18"/>
        </w:numPr>
        <w:autoSpaceDE w:val="0"/>
        <w:autoSpaceDN w:val="0"/>
        <w:spacing w:before="120"/>
        <w:ind w:leftChars="0"/>
        <w:jc w:val="both"/>
        <w:rPr>
          <w:rFonts w:ascii="Calibri" w:hAnsi="Calibri" w:cs="Calibri"/>
          <w:sz w:val="22"/>
        </w:rPr>
      </w:pPr>
      <w:r>
        <w:rPr>
          <w:rFonts w:ascii="Calibri" w:hAnsi="Calibri" w:cs="Calibri"/>
          <w:sz w:val="22"/>
        </w:rPr>
        <w:t xml:space="preserve">When a different channel access procedure is agreed for a SL transmission (e.g., Type 2A for S-SSB), it is another mechanism that can be used by the UE to access the channel without a shared COT as long as the </w:t>
      </w:r>
      <w:r w:rsidR="0076444A">
        <w:rPr>
          <w:rFonts w:ascii="Calibri" w:hAnsi="Calibri" w:cs="Calibri"/>
          <w:sz w:val="22"/>
        </w:rPr>
        <w:t xml:space="preserve">SL </w:t>
      </w:r>
      <w:r>
        <w:rPr>
          <w:rFonts w:ascii="Calibri" w:hAnsi="Calibri" w:cs="Calibri"/>
          <w:sz w:val="22"/>
        </w:rPr>
        <w:t>transmission satisfies the duty cycle constrains.</w:t>
      </w:r>
    </w:p>
    <w:p w14:paraId="0217C975" w14:textId="1CEE6D3F" w:rsidR="00225108" w:rsidRDefault="0076444A" w:rsidP="00225108">
      <w:pPr>
        <w:pStyle w:val="ListParagraph"/>
        <w:numPr>
          <w:ilvl w:val="1"/>
          <w:numId w:val="18"/>
        </w:numPr>
        <w:autoSpaceDE w:val="0"/>
        <w:autoSpaceDN w:val="0"/>
        <w:spacing w:before="120"/>
        <w:ind w:leftChars="0"/>
        <w:jc w:val="both"/>
        <w:rPr>
          <w:rFonts w:ascii="Calibri" w:hAnsi="Calibri" w:cs="Calibri"/>
          <w:sz w:val="22"/>
        </w:rPr>
      </w:pPr>
      <w:r>
        <w:rPr>
          <w:rFonts w:ascii="Calibri" w:hAnsi="Calibri" w:cs="Calibri"/>
          <w:sz w:val="22"/>
        </w:rPr>
        <w:t>Therefore, by agreeing to this Type 1 channel access procedure proposal, it does not imply in any way that a UE is always required to perform Type 1 for PSSCH/PSCCH and other transmissions. It is one way to access the channel when not operating in a shared COT.</w:t>
      </w:r>
      <w:r w:rsidRPr="0076444A">
        <w:rPr>
          <w:rFonts w:ascii="Calibri" w:hAnsi="Calibri" w:cs="Calibri"/>
          <w:sz w:val="22"/>
        </w:rPr>
        <w:t xml:space="preserve"> </w:t>
      </w:r>
      <w:r>
        <w:rPr>
          <w:rFonts w:ascii="Calibri" w:hAnsi="Calibri" w:cs="Calibri"/>
          <w:sz w:val="22"/>
        </w:rPr>
        <w:t>Note that, the above-described channel access mechanism/concept and the wording used in this proposal are the same as used in NR-U, the same principle is reused here.</w:t>
      </w:r>
    </w:p>
    <w:p w14:paraId="50970BB3" w14:textId="31CE2AAC" w:rsidR="00EC0B67" w:rsidRPr="00EC0B67" w:rsidRDefault="00225108" w:rsidP="00EC0B67">
      <w:pPr>
        <w:pStyle w:val="ListParagraph"/>
        <w:numPr>
          <w:ilvl w:val="1"/>
          <w:numId w:val="18"/>
        </w:numPr>
        <w:autoSpaceDE w:val="0"/>
        <w:autoSpaceDN w:val="0"/>
        <w:spacing w:before="120"/>
        <w:ind w:leftChars="0"/>
        <w:jc w:val="both"/>
        <w:rPr>
          <w:rFonts w:ascii="Calibri" w:hAnsi="Calibri" w:cs="Calibri"/>
          <w:sz w:val="22"/>
        </w:rPr>
      </w:pPr>
      <w:r>
        <w:rPr>
          <w:rFonts w:ascii="Calibri" w:hAnsi="Calibri" w:cs="Calibri"/>
          <w:sz w:val="22"/>
        </w:rPr>
        <w:t xml:space="preserve">It is understandable and expected that by performing the Type 1 channel access procedures, a device initiates </w:t>
      </w:r>
      <w:r w:rsidR="00EC0B67">
        <w:rPr>
          <w:rFonts w:ascii="Calibri" w:hAnsi="Calibri" w:cs="Calibri"/>
          <w:sz w:val="22"/>
        </w:rPr>
        <w:t xml:space="preserve">a channel occupancy time (COT) with a maximum COT duration, as defined by CAPC table. </w:t>
      </w:r>
      <w:r w:rsidR="00EC0B67" w:rsidRPr="00EC0B67">
        <w:rPr>
          <w:rFonts w:ascii="Calibri" w:hAnsi="Calibri" w:cs="Calibri"/>
          <w:sz w:val="22"/>
        </w:rPr>
        <w:t xml:space="preserve">To address the concern from Intel (and some others), let me try to add a </w:t>
      </w:r>
      <w:r w:rsidR="00EC0B67" w:rsidRPr="00EC0B67">
        <w:rPr>
          <w:rFonts w:ascii="Calibri" w:hAnsi="Calibri" w:cs="Calibri"/>
          <w:sz w:val="22"/>
        </w:rPr>
        <w:lastRenderedPageBreak/>
        <w:t>sentence which is taken from the NR-U DL Type 1 channel access procedure as followed (with some editorial modifications). This should be clear that by performing Type 1 channel access procedures, a COT is initiated and acquired by the UE.</w:t>
      </w:r>
    </w:p>
    <w:p w14:paraId="22212650" w14:textId="6DD67C7A" w:rsidR="00EC0B67" w:rsidRPr="00EC0B67" w:rsidRDefault="00EC0B67" w:rsidP="00EC0B67">
      <w:pPr>
        <w:pStyle w:val="ListParagraph"/>
        <w:numPr>
          <w:ilvl w:val="2"/>
          <w:numId w:val="18"/>
        </w:numPr>
        <w:autoSpaceDE w:val="0"/>
        <w:autoSpaceDN w:val="0"/>
        <w:spacing w:before="120"/>
        <w:ind w:leftChars="0"/>
        <w:jc w:val="both"/>
        <w:rPr>
          <w:rFonts w:ascii="Calibri" w:hAnsi="Calibri" w:cs="Calibri"/>
          <w:sz w:val="24"/>
          <w:szCs w:val="28"/>
        </w:rPr>
      </w:pPr>
      <w:r w:rsidRPr="00EC0B67">
        <w:rPr>
          <w:sz w:val="22"/>
          <w:szCs w:val="28"/>
          <w:lang w:val="en-US"/>
        </w:rPr>
        <w:t>A</w:t>
      </w:r>
      <w:del w:id="76" w:author="Kevin Lin" w:date="2022-10-12T15:19:00Z">
        <w:r w:rsidRPr="00EC0B67" w:rsidDel="00EC0B67">
          <w:rPr>
            <w:sz w:val="22"/>
            <w:szCs w:val="28"/>
            <w:lang w:val="en-US"/>
          </w:rPr>
          <w:delText>n</w:delText>
        </w:r>
      </w:del>
      <w:r w:rsidRPr="00EC0B67">
        <w:rPr>
          <w:sz w:val="22"/>
          <w:szCs w:val="28"/>
          <w:lang w:val="en-US"/>
        </w:rPr>
        <w:t xml:space="preserve"> </w:t>
      </w:r>
      <w:del w:id="77" w:author="Kevin Lin" w:date="2022-10-12T15:19:00Z">
        <w:r w:rsidRPr="00EC0B67" w:rsidDel="00EC0B67">
          <w:rPr>
            <w:sz w:val="22"/>
            <w:szCs w:val="28"/>
            <w:lang w:val="en-US"/>
          </w:rPr>
          <w:delText>eNB/gNB</w:delText>
        </w:r>
      </w:del>
      <w:ins w:id="78" w:author="Kevin Lin" w:date="2022-10-12T15:19:00Z">
        <w:r w:rsidRPr="00EC0B67">
          <w:rPr>
            <w:sz w:val="22"/>
            <w:szCs w:val="28"/>
            <w:lang w:val="en-US"/>
          </w:rPr>
          <w:t>UE</w:t>
        </w:r>
      </w:ins>
      <w:r w:rsidRPr="00EC0B67">
        <w:rPr>
          <w:sz w:val="22"/>
          <w:szCs w:val="28"/>
          <w:lang w:val="en-US"/>
        </w:rPr>
        <w:t xml:space="preserve"> shall not transmit on a channel for a </w:t>
      </w:r>
      <w:r w:rsidRPr="00EC0B67">
        <w:rPr>
          <w:i/>
          <w:sz w:val="22"/>
          <w:szCs w:val="28"/>
          <w:lang w:val="en-US"/>
        </w:rPr>
        <w:t>Channel Occupancy Time</w:t>
      </w:r>
      <w:r w:rsidRPr="00EC0B67">
        <w:rPr>
          <w:sz w:val="22"/>
          <w:szCs w:val="28"/>
          <w:lang w:val="en-US"/>
        </w:rPr>
        <w:t xml:space="preserve"> that exceeds </w:t>
      </w:r>
      <m:oMath>
        <m:sSub>
          <m:sSubPr>
            <m:ctrlPr>
              <w:rPr>
                <w:rFonts w:ascii="Cambria Math" w:hAnsi="Cambria Math"/>
                <w:i/>
                <w:sz w:val="22"/>
                <w:szCs w:val="28"/>
              </w:rPr>
            </m:ctrlPr>
          </m:sSubPr>
          <m:e>
            <m:r>
              <w:rPr>
                <w:rFonts w:ascii="Cambria Math" w:hAnsi="Cambria Math"/>
                <w:sz w:val="22"/>
                <w:szCs w:val="28"/>
              </w:rPr>
              <m:t>T</m:t>
            </m:r>
          </m:e>
          <m:sub>
            <m:r>
              <w:rPr>
                <w:rFonts w:ascii="Cambria Math" w:hAnsi="Cambria Math"/>
                <w:sz w:val="22"/>
                <w:szCs w:val="28"/>
              </w:rPr>
              <m:t>m</m:t>
            </m:r>
            <m:func>
              <m:funcPr>
                <m:ctrlPr>
                  <w:rPr>
                    <w:rFonts w:ascii="Cambria Math" w:hAnsi="Cambria Math"/>
                    <w:i/>
                    <w:sz w:val="22"/>
                    <w:szCs w:val="28"/>
                  </w:rPr>
                </m:ctrlPr>
              </m:funcPr>
              <m:fName>
                <m:r>
                  <w:rPr>
                    <w:rFonts w:ascii="Cambria Math" w:hAnsi="Cambria Math"/>
                    <w:sz w:val="22"/>
                    <w:szCs w:val="28"/>
                  </w:rPr>
                  <m:t>cot</m:t>
                </m:r>
                <m:r>
                  <w:rPr>
                    <w:rFonts w:ascii="Cambria Math" w:hAnsi="Cambria Math"/>
                    <w:sz w:val="22"/>
                    <w:szCs w:val="28"/>
                    <w:lang w:val="en-US"/>
                  </w:rPr>
                  <m:t>,</m:t>
                </m:r>
              </m:fName>
              <m:e>
                <m:r>
                  <w:rPr>
                    <w:rFonts w:ascii="Cambria Math" w:hAnsi="Cambria Math"/>
                    <w:sz w:val="22"/>
                    <w:szCs w:val="28"/>
                  </w:rPr>
                  <m:t>p</m:t>
                </m:r>
              </m:e>
            </m:func>
          </m:sub>
        </m:sSub>
      </m:oMath>
      <w:r w:rsidRPr="00EC0B67">
        <w:rPr>
          <w:sz w:val="22"/>
          <w:szCs w:val="28"/>
          <w:lang w:val="en-US"/>
        </w:rPr>
        <w:t xml:space="preserve"> where the channel access procedures are performed based on a channel access priority class </w:t>
      </w:r>
      <m:oMath>
        <m:r>
          <w:rPr>
            <w:rFonts w:ascii="Cambria Math" w:hAnsi="Cambria Math"/>
            <w:sz w:val="22"/>
            <w:szCs w:val="28"/>
          </w:rPr>
          <m:t>p</m:t>
        </m:r>
      </m:oMath>
      <w:r w:rsidRPr="00EC0B67">
        <w:rPr>
          <w:sz w:val="22"/>
          <w:szCs w:val="28"/>
          <w:lang w:val="en-US"/>
        </w:rPr>
        <w:t xml:space="preserve"> associated with the </w:t>
      </w:r>
      <w:del w:id="79" w:author="Kevin Lin" w:date="2022-10-12T15:19:00Z">
        <w:r w:rsidRPr="00EC0B67" w:rsidDel="00EC0B67">
          <w:rPr>
            <w:sz w:val="22"/>
            <w:szCs w:val="28"/>
            <w:lang w:val="en-US"/>
          </w:rPr>
          <w:delText>eNB/gNB</w:delText>
        </w:r>
      </w:del>
      <w:ins w:id="80" w:author="Kevin Lin" w:date="2022-10-12T15:19:00Z">
        <w:r w:rsidRPr="00EC0B67">
          <w:rPr>
            <w:sz w:val="22"/>
            <w:szCs w:val="28"/>
            <w:lang w:val="en-US"/>
          </w:rPr>
          <w:t>UE</w:t>
        </w:r>
      </w:ins>
      <w:r w:rsidRPr="00EC0B67">
        <w:rPr>
          <w:sz w:val="22"/>
          <w:szCs w:val="28"/>
          <w:lang w:val="en-US"/>
        </w:rPr>
        <w:t xml:space="preserve"> transmissions, as given in </w:t>
      </w:r>
      <w:del w:id="81" w:author="Kevin Lin" w:date="2022-10-12T15:20:00Z">
        <w:r w:rsidRPr="00EC0B67" w:rsidDel="00EC0B67">
          <w:rPr>
            <w:sz w:val="22"/>
            <w:szCs w:val="28"/>
            <w:lang w:val="en-US"/>
          </w:rPr>
          <w:delText>Table 4.1.1-1</w:delText>
        </w:r>
      </w:del>
      <w:ins w:id="82" w:author="Kevin Lin" w:date="2022-10-12T15:20:00Z">
        <w:r w:rsidRPr="00EC0B67">
          <w:rPr>
            <w:sz w:val="22"/>
            <w:szCs w:val="28"/>
            <w:lang w:val="en-US"/>
          </w:rPr>
          <w:t>CAPC table for SL</w:t>
        </w:r>
      </w:ins>
      <w:r w:rsidRPr="00EC0B67">
        <w:rPr>
          <w:sz w:val="22"/>
          <w:szCs w:val="28"/>
          <w:lang w:val="en-US"/>
        </w:rPr>
        <w:t>.</w:t>
      </w:r>
    </w:p>
    <w:p w14:paraId="360F08C0" w14:textId="7835A5CC" w:rsidR="00A91375" w:rsidRDefault="00A91375" w:rsidP="00A91375">
      <w:pPr>
        <w:pStyle w:val="ListParagraph"/>
        <w:numPr>
          <w:ilvl w:val="0"/>
          <w:numId w:val="18"/>
        </w:numPr>
        <w:autoSpaceDE w:val="0"/>
        <w:autoSpaceDN w:val="0"/>
        <w:spacing w:before="120"/>
        <w:ind w:leftChars="0"/>
        <w:jc w:val="both"/>
        <w:rPr>
          <w:rFonts w:ascii="Calibri" w:hAnsi="Calibri" w:cs="Calibri"/>
          <w:sz w:val="22"/>
        </w:rPr>
      </w:pPr>
      <w:r>
        <w:rPr>
          <w:rFonts w:ascii="Calibri" w:hAnsi="Calibri" w:cs="Calibri"/>
          <w:sz w:val="22"/>
        </w:rPr>
        <w:t xml:space="preserve">On bring back the </w:t>
      </w:r>
      <w:r w:rsidR="00DD6C87">
        <w:rPr>
          <w:rFonts w:ascii="Calibri" w:hAnsi="Calibri" w:cs="Calibri"/>
          <w:sz w:val="22"/>
        </w:rPr>
        <w:t>second part of the original proposal 1 (I) (</w:t>
      </w:r>
      <w:r>
        <w:rPr>
          <w:rFonts w:ascii="Calibri" w:hAnsi="Calibri" w:cs="Calibri"/>
          <w:sz w:val="22"/>
        </w:rPr>
        <w:t>bullet on reusing the DL Type 1 procedure for SL</w:t>
      </w:r>
      <w:r w:rsidR="00DD6C87">
        <w:rPr>
          <w:rFonts w:ascii="Calibri" w:hAnsi="Calibri" w:cs="Calibri"/>
          <w:sz w:val="22"/>
        </w:rPr>
        <w:t>)</w:t>
      </w:r>
      <w:r>
        <w:rPr>
          <w:rFonts w:ascii="Calibri" w:hAnsi="Calibri" w:cs="Calibri"/>
          <w:sz w:val="22"/>
        </w:rPr>
        <w:t xml:space="preserve">, there was a concern from one company commented during the first GTW session that the DL channel access procedure captured too many things that </w:t>
      </w:r>
      <w:r w:rsidR="00DD6C87">
        <w:rPr>
          <w:rFonts w:ascii="Calibri" w:hAnsi="Calibri" w:cs="Calibri"/>
          <w:sz w:val="22"/>
        </w:rPr>
        <w:t>may</w:t>
      </w:r>
      <w:r>
        <w:rPr>
          <w:rFonts w:ascii="Calibri" w:hAnsi="Calibri" w:cs="Calibri"/>
          <w:sz w:val="22"/>
        </w:rPr>
        <w:t xml:space="preserve"> not needed for SL. But I wonder how companies feel about the following </w:t>
      </w:r>
      <w:r w:rsidR="00DD6C87">
        <w:rPr>
          <w:rFonts w:ascii="Calibri" w:hAnsi="Calibri" w:cs="Calibri"/>
          <w:sz w:val="22"/>
        </w:rPr>
        <w:t>bullet. I think it is simple and it should be a common understanding by following the principle from NR-U</w:t>
      </w:r>
      <w:r w:rsidR="006A2AE2">
        <w:rPr>
          <w:rFonts w:ascii="Calibri" w:hAnsi="Calibri" w:cs="Calibri"/>
          <w:sz w:val="22"/>
        </w:rPr>
        <w:t xml:space="preserve"> (please check TS37.213 Section 4.1.1)</w:t>
      </w:r>
      <w:r w:rsidR="00DD6C87">
        <w:rPr>
          <w:rFonts w:ascii="Calibri" w:hAnsi="Calibri" w:cs="Calibri"/>
          <w:sz w:val="22"/>
        </w:rPr>
        <w:t xml:space="preserve">. </w:t>
      </w:r>
    </w:p>
    <w:p w14:paraId="50AC7AF7" w14:textId="6AD4B1BC" w:rsidR="00A91375" w:rsidRPr="00DD6C87" w:rsidRDefault="00DD6C87" w:rsidP="00A91375">
      <w:pPr>
        <w:pStyle w:val="ListParagraph"/>
        <w:numPr>
          <w:ilvl w:val="1"/>
          <w:numId w:val="18"/>
        </w:numPr>
        <w:autoSpaceDE w:val="0"/>
        <w:autoSpaceDN w:val="0"/>
        <w:spacing w:before="120"/>
        <w:ind w:leftChars="0"/>
        <w:jc w:val="both"/>
        <w:rPr>
          <w:rFonts w:ascii="Calibri" w:hAnsi="Calibri" w:cs="Calibri"/>
          <w:sz w:val="24"/>
          <w:szCs w:val="28"/>
        </w:rPr>
      </w:pPr>
      <w:r w:rsidRPr="00DD6C87">
        <w:rPr>
          <w:rFonts w:asciiTheme="minorHAnsi" w:hAnsiTheme="minorHAnsi" w:cstheme="minorHAnsi"/>
          <w:color w:val="000000" w:themeColor="text1"/>
          <w:sz w:val="22"/>
          <w:szCs w:val="28"/>
        </w:rPr>
        <w:t>A UE use</w:t>
      </w:r>
      <w:r>
        <w:rPr>
          <w:rFonts w:asciiTheme="minorHAnsi" w:hAnsiTheme="minorHAnsi" w:cstheme="minorHAnsi"/>
          <w:color w:val="000000" w:themeColor="text1"/>
          <w:sz w:val="22"/>
          <w:szCs w:val="28"/>
        </w:rPr>
        <w:t>s</w:t>
      </w:r>
      <w:r w:rsidRPr="00DD6C87">
        <w:rPr>
          <w:rFonts w:asciiTheme="minorHAnsi" w:hAnsiTheme="minorHAnsi" w:cstheme="minorHAnsi"/>
          <w:color w:val="000000" w:themeColor="text1"/>
          <w:sz w:val="22"/>
          <w:szCs w:val="28"/>
        </w:rPr>
        <w:t xml:space="preserve"> a channel access priority class applicable to the sidelink user plane data multiplexed in PSSCH for performing the </w:t>
      </w:r>
      <w:r>
        <w:rPr>
          <w:rFonts w:asciiTheme="minorHAnsi" w:hAnsiTheme="minorHAnsi" w:cstheme="minorHAnsi"/>
          <w:color w:val="000000" w:themeColor="text1"/>
          <w:sz w:val="22"/>
          <w:szCs w:val="28"/>
        </w:rPr>
        <w:t xml:space="preserve">Type 1 channel access </w:t>
      </w:r>
      <w:r w:rsidRPr="00DD6C87">
        <w:rPr>
          <w:rFonts w:asciiTheme="minorHAnsi" w:hAnsiTheme="minorHAnsi" w:cstheme="minorHAnsi"/>
          <w:color w:val="000000" w:themeColor="text1"/>
          <w:sz w:val="22"/>
          <w:szCs w:val="28"/>
        </w:rPr>
        <w:t>procedures to transmit transmission(s) including PSSCH with user plane data and its associated PSCCH.</w:t>
      </w:r>
    </w:p>
    <w:p w14:paraId="181E339C" w14:textId="3EA4B29E" w:rsidR="00A91375" w:rsidRPr="00B14886" w:rsidRDefault="00A91375" w:rsidP="00A91375">
      <w:pPr>
        <w:pStyle w:val="ListParagraph"/>
        <w:numPr>
          <w:ilvl w:val="0"/>
          <w:numId w:val="18"/>
        </w:numPr>
        <w:autoSpaceDE w:val="0"/>
        <w:autoSpaceDN w:val="0"/>
        <w:spacing w:before="120"/>
        <w:ind w:leftChars="0"/>
        <w:jc w:val="both"/>
        <w:rPr>
          <w:rFonts w:ascii="Calibri" w:hAnsi="Calibri" w:cs="Calibri"/>
          <w:sz w:val="22"/>
        </w:rPr>
      </w:pPr>
      <w:r>
        <w:rPr>
          <w:rFonts w:ascii="Calibri" w:hAnsi="Calibri" w:cs="Calibri"/>
          <w:sz w:val="22"/>
        </w:rPr>
        <w:t>Regarding the concern on</w:t>
      </w:r>
      <w:r w:rsidR="006A2AE2">
        <w:rPr>
          <w:rFonts w:ascii="Calibri" w:hAnsi="Calibri" w:cs="Calibri"/>
          <w:sz w:val="22"/>
        </w:rPr>
        <w:t xml:space="preserve"> whether Type 1 SL channel access procedure applies to S-SSB and PSFCH (including the NACK-only case), I can see some companies still have concerns with it. Let’s keep it FFS for now.</w:t>
      </w:r>
      <w:r w:rsidR="00E80E96">
        <w:rPr>
          <w:rFonts w:ascii="Calibri" w:hAnsi="Calibri" w:cs="Calibri"/>
          <w:sz w:val="22"/>
        </w:rPr>
        <w:t xml:space="preserve"> Also adding as suggested by some an FFS on “</w:t>
      </w:r>
      <w:r w:rsidR="00E80E96">
        <w:rPr>
          <w:rFonts w:asciiTheme="minorHAnsi" w:hAnsiTheme="minorHAnsi" w:cstheme="minorHAnsi"/>
        </w:rPr>
        <w:t xml:space="preserve">Whether CAPC for S-SSB and PSFCH should be fixed to </w:t>
      </w:r>
      <m:oMath>
        <m:r>
          <w:rPr>
            <w:rFonts w:ascii="Cambria Math" w:hAnsi="Cambria Math"/>
          </w:rPr>
          <m:t>p=1</m:t>
        </m:r>
      </m:oMath>
      <w:r w:rsidR="00E80E96">
        <w:rPr>
          <w:rFonts w:ascii="Calibri" w:hAnsi="Calibri" w:cs="Calibri"/>
          <w:sz w:val="22"/>
        </w:rPr>
        <w:t>”.</w:t>
      </w:r>
    </w:p>
    <w:p w14:paraId="525DCE12" w14:textId="3CBDB42B" w:rsidR="00A91375" w:rsidRPr="004A52FD" w:rsidRDefault="00E80E96" w:rsidP="00A91375">
      <w:pPr>
        <w:pStyle w:val="ListParagraph"/>
        <w:numPr>
          <w:ilvl w:val="0"/>
          <w:numId w:val="18"/>
        </w:numPr>
        <w:autoSpaceDE w:val="0"/>
        <w:autoSpaceDN w:val="0"/>
        <w:spacing w:before="120"/>
        <w:ind w:leftChars="0"/>
        <w:jc w:val="both"/>
        <w:rPr>
          <w:rFonts w:ascii="Calibri" w:hAnsi="Calibri" w:cs="Calibri"/>
          <w:sz w:val="22"/>
        </w:rPr>
      </w:pPr>
      <w:r>
        <w:rPr>
          <w:rFonts w:ascii="Calibri" w:hAnsi="Calibri" w:cs="Calibri"/>
          <w:sz w:val="22"/>
        </w:rPr>
        <w:t>Based on the above explanations and subsequently the modified proposal below in Proposal 1 (III), I hope all the comments and suggestions have been addressed, although the proposal may not be exactly the same to what were suggested according to the inputs.</w:t>
      </w:r>
    </w:p>
    <w:p w14:paraId="73B76346" w14:textId="77777777" w:rsidR="00A91375" w:rsidRPr="001127E7" w:rsidRDefault="00A91375" w:rsidP="00A91375">
      <w:pPr>
        <w:autoSpaceDE w:val="0"/>
        <w:autoSpaceDN w:val="0"/>
        <w:spacing w:after="120"/>
        <w:jc w:val="both"/>
        <w:rPr>
          <w:rFonts w:ascii="Calibri" w:hAnsi="Calibri" w:cs="Calibri"/>
          <w:sz w:val="22"/>
        </w:rPr>
      </w:pPr>
    </w:p>
    <w:p w14:paraId="5D68735B" w14:textId="6A03A19C" w:rsidR="00A91375" w:rsidRPr="00B638B4" w:rsidRDefault="00A91375" w:rsidP="00A91375">
      <w:pPr>
        <w:rPr>
          <w:rFonts w:asciiTheme="minorHAnsi" w:hAnsiTheme="minorHAnsi" w:cstheme="minorHAnsi"/>
          <w:sz w:val="22"/>
          <w:szCs w:val="22"/>
          <w:lang w:eastAsia="zh-CN"/>
        </w:rPr>
      </w:pPr>
      <w:r w:rsidRPr="0075097B">
        <w:rPr>
          <w:rStyle w:val="Strong"/>
          <w:rFonts w:asciiTheme="minorHAnsi" w:hAnsiTheme="minorHAnsi" w:cstheme="minorHAnsi"/>
          <w:sz w:val="22"/>
          <w:szCs w:val="22"/>
        </w:rPr>
        <w:t>Proposal 1 (III):</w:t>
      </w:r>
    </w:p>
    <w:p w14:paraId="0B1E5EE0" w14:textId="17AF4FF9" w:rsidR="00A91375" w:rsidRPr="00AE46B2" w:rsidRDefault="00A91375" w:rsidP="00A91375">
      <w:pPr>
        <w:pStyle w:val="3GPPAgreements"/>
        <w:rPr>
          <w:rFonts w:asciiTheme="minorHAnsi" w:hAnsiTheme="minorHAnsi" w:cstheme="minorHAnsi"/>
        </w:rPr>
      </w:pPr>
      <w:r w:rsidRPr="00AE46B2">
        <w:rPr>
          <w:rFonts w:asciiTheme="minorHAnsi" w:hAnsiTheme="minorHAnsi" w:cstheme="minorHAnsi"/>
          <w:lang w:val="en-GB"/>
        </w:rPr>
        <w:t>Type 1 SL channel access procedure is applicable to the following transmissions by a UE:</w:t>
      </w:r>
    </w:p>
    <w:p w14:paraId="272A71AC" w14:textId="77777777" w:rsidR="00A91375" w:rsidRPr="00AE46B2" w:rsidRDefault="00A91375" w:rsidP="00A91375">
      <w:pPr>
        <w:pStyle w:val="3GPPAgreements"/>
        <w:numPr>
          <w:ilvl w:val="1"/>
          <w:numId w:val="11"/>
        </w:numPr>
        <w:rPr>
          <w:rFonts w:asciiTheme="minorHAnsi" w:hAnsiTheme="minorHAnsi" w:cstheme="minorHAnsi"/>
        </w:rPr>
      </w:pPr>
      <w:r w:rsidRPr="00AE46B2">
        <w:rPr>
          <w:rFonts w:asciiTheme="minorHAnsi" w:hAnsiTheme="minorHAnsi" w:cstheme="minorHAnsi"/>
          <w:lang w:val="en-GB"/>
        </w:rPr>
        <w:t>PSSCH/PSCCH transmission(s) scheduled or configured by a gNB in SL Mode 1 resource allocation.</w:t>
      </w:r>
    </w:p>
    <w:p w14:paraId="2257931A" w14:textId="2C4DC936" w:rsidR="00A91375" w:rsidRPr="00EC0B67" w:rsidRDefault="00A91375" w:rsidP="00A91375">
      <w:pPr>
        <w:pStyle w:val="3GPPAgreements"/>
        <w:numPr>
          <w:ilvl w:val="1"/>
          <w:numId w:val="11"/>
        </w:numPr>
        <w:rPr>
          <w:rFonts w:asciiTheme="minorHAnsi" w:hAnsiTheme="minorHAnsi" w:cstheme="minorHAnsi"/>
        </w:rPr>
      </w:pPr>
      <w:r w:rsidRPr="00AE46B2">
        <w:rPr>
          <w:rFonts w:asciiTheme="minorHAnsi" w:hAnsiTheme="minorHAnsi" w:cstheme="minorHAnsi"/>
          <w:lang w:val="en-GB"/>
        </w:rPr>
        <w:t>PSSCH/PSCCH transmission(s) initiated by a UE in SL Mode 2 resource allocation.</w:t>
      </w:r>
    </w:p>
    <w:p w14:paraId="4C4697E6" w14:textId="32AC1D3A" w:rsidR="00EC0B67" w:rsidRPr="00EC0B67" w:rsidRDefault="00EC0B67" w:rsidP="00A91375">
      <w:pPr>
        <w:pStyle w:val="3GPPAgreements"/>
        <w:numPr>
          <w:ilvl w:val="1"/>
          <w:numId w:val="11"/>
        </w:numPr>
        <w:rPr>
          <w:rFonts w:asciiTheme="minorHAnsi" w:hAnsiTheme="minorHAnsi" w:cstheme="minorHAnsi"/>
          <w:color w:val="FF0000"/>
        </w:rPr>
      </w:pPr>
      <w:r w:rsidRPr="00EC0B67">
        <w:rPr>
          <w:rFonts w:asciiTheme="minorHAnsi" w:hAnsiTheme="minorHAnsi" w:cstheme="minorHAnsi"/>
          <w:color w:val="FF0000"/>
          <w:szCs w:val="28"/>
        </w:rPr>
        <w:t>A UE uses a channel access priority class applicable to the sidelink user plane data multiplexed in PSSCH for performing the Type 1 channel access procedures to transmit transmission(s) including PSSCH with user plane data and its associated PSCCH.</w:t>
      </w:r>
    </w:p>
    <w:p w14:paraId="059D1BFC" w14:textId="77777777" w:rsidR="00EC0B67" w:rsidRPr="00EC0B67" w:rsidRDefault="00EC0B67" w:rsidP="00EC0B67">
      <w:pPr>
        <w:pStyle w:val="3GPPAgreements"/>
        <w:numPr>
          <w:ilvl w:val="1"/>
          <w:numId w:val="11"/>
        </w:numPr>
        <w:rPr>
          <w:rFonts w:asciiTheme="minorHAnsi" w:hAnsiTheme="minorHAnsi" w:cstheme="minorHAnsi"/>
          <w:color w:val="FF0000"/>
        </w:rPr>
      </w:pPr>
      <w:r w:rsidRPr="00EC0B67">
        <w:rPr>
          <w:rFonts w:asciiTheme="minorHAnsi" w:hAnsiTheme="minorHAnsi" w:cstheme="minorHAnsi"/>
          <w:color w:val="FF0000"/>
          <w:szCs w:val="28"/>
        </w:rPr>
        <w:t xml:space="preserve">A UE shall not transmit on a channel for a </w:t>
      </w:r>
      <w:r w:rsidRPr="00EC0B67">
        <w:rPr>
          <w:rFonts w:asciiTheme="minorHAnsi" w:hAnsiTheme="minorHAnsi" w:cstheme="minorHAnsi"/>
          <w:i/>
          <w:color w:val="FF0000"/>
          <w:szCs w:val="28"/>
        </w:rPr>
        <w:t>Channel Occupancy Time</w:t>
      </w:r>
      <w:r w:rsidRPr="00EC0B67">
        <w:rPr>
          <w:rFonts w:asciiTheme="minorHAnsi" w:hAnsiTheme="minorHAnsi" w:cstheme="minorHAnsi"/>
          <w:color w:val="FF0000"/>
          <w:szCs w:val="28"/>
        </w:rPr>
        <w:t xml:space="preserve"> that exceeds </w:t>
      </w:r>
      <m:oMath>
        <m:sSub>
          <m:sSubPr>
            <m:ctrlPr>
              <w:rPr>
                <w:rFonts w:ascii="Cambria Math" w:hAnsi="Cambria Math" w:cstheme="minorHAnsi"/>
                <w:i/>
                <w:color w:val="FF0000"/>
                <w:szCs w:val="28"/>
              </w:rPr>
            </m:ctrlPr>
          </m:sSubPr>
          <m:e>
            <m:r>
              <w:rPr>
                <w:rFonts w:ascii="Cambria Math" w:hAnsi="Cambria Math" w:cstheme="minorHAnsi"/>
                <w:color w:val="FF0000"/>
                <w:szCs w:val="28"/>
              </w:rPr>
              <m:t>T</m:t>
            </m:r>
          </m:e>
          <m:sub>
            <m:r>
              <w:rPr>
                <w:rFonts w:ascii="Cambria Math" w:hAnsi="Cambria Math" w:cstheme="minorHAnsi"/>
                <w:color w:val="FF0000"/>
                <w:szCs w:val="28"/>
              </w:rPr>
              <m:t>m</m:t>
            </m:r>
            <m:func>
              <m:funcPr>
                <m:ctrlPr>
                  <w:rPr>
                    <w:rFonts w:ascii="Cambria Math" w:hAnsi="Cambria Math" w:cstheme="minorHAnsi"/>
                    <w:i/>
                    <w:color w:val="FF0000"/>
                    <w:szCs w:val="28"/>
                  </w:rPr>
                </m:ctrlPr>
              </m:funcPr>
              <m:fName>
                <m:r>
                  <w:rPr>
                    <w:rFonts w:ascii="Cambria Math" w:hAnsi="Cambria Math" w:cstheme="minorHAnsi"/>
                    <w:color w:val="FF0000"/>
                    <w:szCs w:val="28"/>
                  </w:rPr>
                  <m:t>cot,</m:t>
                </m:r>
              </m:fName>
              <m:e>
                <m:r>
                  <w:rPr>
                    <w:rFonts w:ascii="Cambria Math" w:hAnsi="Cambria Math" w:cstheme="minorHAnsi"/>
                    <w:color w:val="FF0000"/>
                    <w:szCs w:val="28"/>
                  </w:rPr>
                  <m:t>p</m:t>
                </m:r>
              </m:e>
            </m:func>
          </m:sub>
        </m:sSub>
      </m:oMath>
      <w:r w:rsidRPr="00EC0B67">
        <w:rPr>
          <w:rFonts w:asciiTheme="minorHAnsi" w:hAnsiTheme="minorHAnsi" w:cstheme="minorHAnsi"/>
          <w:color w:val="FF0000"/>
          <w:szCs w:val="28"/>
        </w:rPr>
        <w:t xml:space="preserve"> where the channel access procedures are performed based on a channel access priority class </w:t>
      </w:r>
      <m:oMath>
        <m:r>
          <w:rPr>
            <w:rFonts w:ascii="Cambria Math" w:hAnsi="Cambria Math" w:cstheme="minorHAnsi"/>
            <w:color w:val="FF0000"/>
            <w:szCs w:val="28"/>
          </w:rPr>
          <m:t>p</m:t>
        </m:r>
      </m:oMath>
      <w:r w:rsidRPr="00EC0B67">
        <w:rPr>
          <w:rFonts w:asciiTheme="minorHAnsi" w:hAnsiTheme="minorHAnsi" w:cstheme="minorHAnsi"/>
          <w:color w:val="FF0000"/>
          <w:szCs w:val="28"/>
        </w:rPr>
        <w:t xml:space="preserve"> associated with the UE transmissions, as given in CAPC table for SL.</w:t>
      </w:r>
    </w:p>
    <w:p w14:paraId="14B30817" w14:textId="32EC9615" w:rsidR="00A91375" w:rsidRPr="00E80E96" w:rsidRDefault="00CA14A6" w:rsidP="00A91375">
      <w:pPr>
        <w:pStyle w:val="3GPPAgreements"/>
        <w:numPr>
          <w:ilvl w:val="1"/>
          <w:numId w:val="11"/>
        </w:numPr>
        <w:spacing w:after="120"/>
        <w:rPr>
          <w:rFonts w:asciiTheme="minorHAnsi" w:hAnsiTheme="minorHAnsi" w:cstheme="minorHAnsi"/>
        </w:rPr>
      </w:pPr>
      <w:r w:rsidRPr="00CA14A6">
        <w:rPr>
          <w:rFonts w:asciiTheme="minorHAnsi" w:hAnsiTheme="minorHAnsi" w:cstheme="minorHAnsi"/>
          <w:color w:val="FF0000"/>
          <w:lang w:val="en-GB"/>
        </w:rPr>
        <w:t xml:space="preserve">FFS: </w:t>
      </w:r>
      <w:r w:rsidR="00A91375" w:rsidRPr="006A2AE2">
        <w:rPr>
          <w:rFonts w:asciiTheme="minorHAnsi" w:hAnsiTheme="minorHAnsi" w:cstheme="minorHAnsi"/>
          <w:strike/>
          <w:color w:val="FF0000"/>
          <w:lang w:val="en-GB"/>
        </w:rPr>
        <w:t>Other</w:t>
      </w:r>
      <w:r w:rsidR="00A91375" w:rsidRPr="006A2AE2">
        <w:rPr>
          <w:rFonts w:asciiTheme="minorHAnsi" w:hAnsiTheme="minorHAnsi" w:cstheme="minorHAnsi"/>
          <w:color w:val="FF0000"/>
          <w:lang w:val="en-GB"/>
        </w:rPr>
        <w:t xml:space="preserve"> </w:t>
      </w:r>
      <w:r w:rsidR="006A2AE2" w:rsidRPr="006A2AE2">
        <w:rPr>
          <w:rFonts w:asciiTheme="minorHAnsi" w:hAnsiTheme="minorHAnsi" w:cstheme="minorHAnsi"/>
          <w:color w:val="FF0000"/>
          <w:lang w:val="en-GB"/>
        </w:rPr>
        <w:t>S-SSB and PSFCH</w:t>
      </w:r>
      <w:r w:rsidR="006A2AE2">
        <w:rPr>
          <w:rFonts w:asciiTheme="minorHAnsi" w:hAnsiTheme="minorHAnsi" w:cstheme="minorHAnsi"/>
          <w:lang w:val="en-GB"/>
        </w:rPr>
        <w:t xml:space="preserve"> </w:t>
      </w:r>
      <w:r w:rsidR="00A91375" w:rsidRPr="00AE46B2">
        <w:rPr>
          <w:rFonts w:asciiTheme="minorHAnsi" w:hAnsiTheme="minorHAnsi" w:cstheme="minorHAnsi"/>
          <w:lang w:val="en-GB"/>
        </w:rPr>
        <w:t>transmission</w:t>
      </w:r>
      <w:r w:rsidR="006A2AE2">
        <w:rPr>
          <w:rFonts w:asciiTheme="minorHAnsi" w:hAnsiTheme="minorHAnsi" w:cstheme="minorHAnsi"/>
          <w:lang w:val="en-GB"/>
        </w:rPr>
        <w:t>s</w:t>
      </w:r>
      <w:r w:rsidR="00A91375" w:rsidRPr="00AE46B2">
        <w:rPr>
          <w:rFonts w:asciiTheme="minorHAnsi" w:hAnsiTheme="minorHAnsi" w:cstheme="minorHAnsi"/>
          <w:lang w:val="en-GB"/>
        </w:rPr>
        <w:t xml:space="preserve"> </w:t>
      </w:r>
      <w:r w:rsidR="00A91375">
        <w:rPr>
          <w:rFonts w:asciiTheme="minorHAnsi" w:hAnsiTheme="minorHAnsi" w:cstheme="minorHAnsi"/>
          <w:lang w:val="en-GB"/>
        </w:rPr>
        <w:t>from</w:t>
      </w:r>
      <w:r w:rsidR="00A91375" w:rsidRPr="00AE46B2">
        <w:rPr>
          <w:rFonts w:asciiTheme="minorHAnsi" w:hAnsiTheme="minorHAnsi" w:cstheme="minorHAnsi"/>
          <w:lang w:val="en-GB"/>
        </w:rPr>
        <w:t xml:space="preserve"> a UE</w:t>
      </w:r>
      <w:r w:rsidR="00934DE8">
        <w:rPr>
          <w:rFonts w:asciiTheme="minorHAnsi" w:hAnsiTheme="minorHAnsi" w:cstheme="minorHAnsi"/>
          <w:lang w:val="en-GB"/>
        </w:rPr>
        <w:t xml:space="preserve"> </w:t>
      </w:r>
      <w:r w:rsidR="00934DE8" w:rsidRPr="00934DE8">
        <w:rPr>
          <w:rFonts w:asciiTheme="minorHAnsi" w:hAnsiTheme="minorHAnsi" w:cstheme="minorHAnsi"/>
          <w:color w:val="FF0000"/>
          <w:lang w:val="en-GB"/>
        </w:rPr>
        <w:t>(including whether groupcast option 1 is supported in SL-U, and if supported, whether Type 1 channel access procedure is applied for groupcast option 1)</w:t>
      </w:r>
    </w:p>
    <w:p w14:paraId="57A64898" w14:textId="59471178" w:rsidR="00E80E96" w:rsidRPr="00E80E96" w:rsidRDefault="00E80E96" w:rsidP="00E80E96">
      <w:pPr>
        <w:pStyle w:val="3GPPAgreements"/>
        <w:numPr>
          <w:ilvl w:val="2"/>
          <w:numId w:val="11"/>
        </w:numPr>
        <w:spacing w:after="120"/>
        <w:rPr>
          <w:rFonts w:asciiTheme="minorHAnsi" w:hAnsiTheme="minorHAnsi" w:cstheme="minorHAnsi"/>
          <w:color w:val="FF0000"/>
        </w:rPr>
      </w:pPr>
      <w:r w:rsidRPr="00E80E96">
        <w:rPr>
          <w:rFonts w:asciiTheme="minorHAnsi" w:hAnsiTheme="minorHAnsi" w:cstheme="minorHAnsi"/>
          <w:color w:val="FF0000"/>
          <w:lang w:val="en-GB"/>
        </w:rPr>
        <w:t xml:space="preserve">If supported, </w:t>
      </w:r>
      <w:r w:rsidRPr="00E80E96">
        <w:rPr>
          <w:rFonts w:asciiTheme="minorHAnsi" w:hAnsiTheme="minorHAnsi" w:cstheme="minorHAnsi"/>
          <w:color w:val="FF0000"/>
        </w:rPr>
        <w:t xml:space="preserve">whether CAPC for S-SSB and PSFCH should be fixed to </w:t>
      </w:r>
      <m:oMath>
        <m:r>
          <w:rPr>
            <w:rFonts w:ascii="Cambria Math" w:hAnsi="Cambria Math"/>
            <w:color w:val="FF0000"/>
          </w:rPr>
          <m:t>p=1</m:t>
        </m:r>
      </m:oMath>
    </w:p>
    <w:p w14:paraId="716AE596" w14:textId="77777777" w:rsidR="00A91375" w:rsidRDefault="00A91375" w:rsidP="00A91375">
      <w:pPr>
        <w:autoSpaceDE w:val="0"/>
        <w:autoSpaceDN w:val="0"/>
        <w:spacing w:after="120"/>
        <w:jc w:val="both"/>
        <w:rPr>
          <w:rFonts w:ascii="Calibri" w:hAnsi="Calibri" w:cs="Calibri"/>
          <w:sz w:val="22"/>
          <w:lang w:val="en-US"/>
        </w:rPr>
      </w:pPr>
    </w:p>
    <w:tbl>
      <w:tblPr>
        <w:tblStyle w:val="TableGrid"/>
        <w:tblW w:w="9631" w:type="dxa"/>
        <w:tblLayout w:type="fixed"/>
        <w:tblLook w:val="04A0" w:firstRow="1" w:lastRow="0" w:firstColumn="1" w:lastColumn="0" w:noHBand="0" w:noVBand="1"/>
      </w:tblPr>
      <w:tblGrid>
        <w:gridCol w:w="1555"/>
        <w:gridCol w:w="8076"/>
      </w:tblGrid>
      <w:tr w:rsidR="00A91375" w14:paraId="01488042" w14:textId="77777777" w:rsidTr="006B2419">
        <w:tc>
          <w:tcPr>
            <w:tcW w:w="1555" w:type="dxa"/>
          </w:tcPr>
          <w:p w14:paraId="2CF6AF4B" w14:textId="77777777" w:rsidR="00A91375" w:rsidRDefault="00A91375" w:rsidP="006B2419">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8076" w:type="dxa"/>
          </w:tcPr>
          <w:p w14:paraId="0EAF9735" w14:textId="77777777" w:rsidR="00A91375" w:rsidRDefault="00A91375" w:rsidP="006B2419">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A91375" w14:paraId="22990F23" w14:textId="77777777" w:rsidTr="006B2419">
        <w:tc>
          <w:tcPr>
            <w:tcW w:w="1555" w:type="dxa"/>
          </w:tcPr>
          <w:p w14:paraId="556D19B3" w14:textId="49961BE7" w:rsidR="00A91375" w:rsidRDefault="008621E0" w:rsidP="006B2419">
            <w:pPr>
              <w:pStyle w:val="0Maintext"/>
              <w:spacing w:after="0" w:afterAutospacing="0"/>
              <w:ind w:firstLine="0"/>
            </w:pPr>
            <w:r>
              <w:t>Qualcomm</w:t>
            </w:r>
          </w:p>
        </w:tc>
        <w:tc>
          <w:tcPr>
            <w:tcW w:w="8076" w:type="dxa"/>
          </w:tcPr>
          <w:p w14:paraId="26A69A97" w14:textId="4F7EC509" w:rsidR="00A91375" w:rsidRDefault="005B7131" w:rsidP="006B2419">
            <w:pPr>
              <w:pStyle w:val="0Maintext"/>
              <w:spacing w:after="0" w:afterAutospacing="0"/>
              <w:ind w:firstLine="0"/>
            </w:pPr>
            <w:r w:rsidRPr="002D43C8">
              <w:rPr>
                <w:b/>
                <w:bCs/>
              </w:rPr>
              <w:t>We agree with the proposal in all the parts beside the fifth sub-bullet</w:t>
            </w:r>
            <w:r w:rsidR="009E0F07">
              <w:t>.</w:t>
            </w:r>
          </w:p>
          <w:p w14:paraId="0293C2E6" w14:textId="77777777" w:rsidR="008E7023" w:rsidRDefault="008E7023" w:rsidP="006B2419">
            <w:pPr>
              <w:pStyle w:val="0Maintext"/>
              <w:spacing w:after="0" w:afterAutospacing="0"/>
              <w:ind w:firstLine="0"/>
            </w:pPr>
          </w:p>
          <w:p w14:paraId="06C2837D" w14:textId="5D34B01D" w:rsidR="008E7023" w:rsidRDefault="008E7023">
            <w:pPr>
              <w:pStyle w:val="0Maintext"/>
              <w:numPr>
                <w:ilvl w:val="0"/>
                <w:numId w:val="51"/>
              </w:numPr>
              <w:spacing w:after="0" w:afterAutospacing="0"/>
              <w:rPr>
                <w:lang w:val="en-US"/>
              </w:rPr>
            </w:pPr>
            <w:r>
              <w:rPr>
                <w:lang w:val="en-US"/>
              </w:rPr>
              <w:t xml:space="preserve">We should support Type 1 channel access for all </w:t>
            </w:r>
            <w:r w:rsidR="00042F4C">
              <w:rPr>
                <w:lang w:val="en-US"/>
              </w:rPr>
              <w:t xml:space="preserve">SL-U </w:t>
            </w:r>
            <w:r>
              <w:rPr>
                <w:lang w:val="en-US"/>
              </w:rPr>
              <w:t>channels and signals</w:t>
            </w:r>
          </w:p>
          <w:p w14:paraId="2269CCC6" w14:textId="4D59BD5D" w:rsidR="00075FEB" w:rsidRDefault="00075FEB">
            <w:pPr>
              <w:pStyle w:val="0Maintext"/>
              <w:numPr>
                <w:ilvl w:val="1"/>
                <w:numId w:val="51"/>
              </w:numPr>
              <w:spacing w:after="0" w:afterAutospacing="0"/>
              <w:rPr>
                <w:lang w:val="en-US"/>
              </w:rPr>
            </w:pPr>
            <w:r>
              <w:rPr>
                <w:lang w:val="en-US"/>
              </w:rPr>
              <w:t>It is in line with regulation for a load</w:t>
            </w:r>
            <w:r w:rsidR="00E62875">
              <w:rPr>
                <w:lang w:val="en-US"/>
              </w:rPr>
              <w:t>-</w:t>
            </w:r>
            <w:r>
              <w:rPr>
                <w:lang w:val="en-US"/>
              </w:rPr>
              <w:t>based equipment (LBE) that a longer channel access can be performed to obtain the right to occupy the channel up to the maximum COT duration (ETSI EN 301893 and 303687)</w:t>
            </w:r>
          </w:p>
          <w:p w14:paraId="18266C11" w14:textId="15599C77" w:rsidR="0054375E" w:rsidRDefault="0054375E">
            <w:pPr>
              <w:pStyle w:val="0Maintext"/>
              <w:numPr>
                <w:ilvl w:val="1"/>
                <w:numId w:val="51"/>
              </w:numPr>
              <w:spacing w:after="0" w:afterAutospacing="0"/>
              <w:rPr>
                <w:lang w:val="en-US"/>
              </w:rPr>
            </w:pPr>
            <w:r>
              <w:rPr>
                <w:lang w:val="en-US"/>
              </w:rPr>
              <w:t>In TR 37.213</w:t>
            </w:r>
            <w:r w:rsidR="007054BA">
              <w:rPr>
                <w:lang w:val="en-US"/>
              </w:rPr>
              <w:t>, it is stated that Type 1 channel access</w:t>
            </w:r>
            <w:r w:rsidR="00D14639">
              <w:rPr>
                <w:lang w:val="en-US"/>
              </w:rPr>
              <w:t xml:space="preserve"> is applicable to</w:t>
            </w:r>
            <w:r w:rsidR="00E879C2">
              <w:rPr>
                <w:lang w:val="en-US"/>
              </w:rPr>
              <w:t xml:space="preserve"> the following transmissions, and there is no restriction</w:t>
            </w:r>
            <w:r w:rsidR="008A3A9A">
              <w:rPr>
                <w:lang w:val="en-US"/>
              </w:rPr>
              <w:t xml:space="preserve"> for</w:t>
            </w:r>
            <w:r w:rsidR="00E879C2">
              <w:rPr>
                <w:lang w:val="en-US"/>
              </w:rPr>
              <w:t xml:space="preserve"> apply</w:t>
            </w:r>
            <w:r w:rsidR="008A3A9A">
              <w:rPr>
                <w:lang w:val="en-US"/>
              </w:rPr>
              <w:t>ing</w:t>
            </w:r>
            <w:r w:rsidR="00E879C2">
              <w:rPr>
                <w:lang w:val="en-US"/>
              </w:rPr>
              <w:t xml:space="preserve"> it</w:t>
            </w:r>
            <w:r w:rsidR="008A3A9A">
              <w:rPr>
                <w:lang w:val="en-US"/>
              </w:rPr>
              <w:t xml:space="preserve"> to basically any transmission in NR-U</w:t>
            </w:r>
            <w:r w:rsidR="00D14639">
              <w:rPr>
                <w:lang w:val="en-US"/>
              </w:rPr>
              <w:t>:</w:t>
            </w:r>
          </w:p>
          <w:p w14:paraId="5119E180" w14:textId="74F2AFAC" w:rsidR="00D14639" w:rsidRDefault="00D14639">
            <w:pPr>
              <w:pStyle w:val="0Maintext"/>
              <w:numPr>
                <w:ilvl w:val="2"/>
                <w:numId w:val="51"/>
              </w:numPr>
              <w:spacing w:after="0" w:afterAutospacing="0"/>
              <w:rPr>
                <w:lang w:val="en-US"/>
              </w:rPr>
            </w:pPr>
            <w:r>
              <w:rPr>
                <w:lang w:val="en-US"/>
              </w:rPr>
              <w:lastRenderedPageBreak/>
              <w:t>DL, Section 4.1.1:</w:t>
            </w:r>
          </w:p>
          <w:p w14:paraId="14B15E26" w14:textId="29B2F137" w:rsidR="00A00E19" w:rsidRPr="00A00E19" w:rsidRDefault="00A00E19">
            <w:pPr>
              <w:pStyle w:val="B1"/>
              <w:numPr>
                <w:ilvl w:val="3"/>
                <w:numId w:val="51"/>
              </w:numPr>
              <w:rPr>
                <w:i/>
                <w:iCs/>
              </w:rPr>
            </w:pPr>
            <w:r w:rsidRPr="00A00E19">
              <w:rPr>
                <w:i/>
                <w:iCs/>
              </w:rPr>
              <w:t>Transmission(s) initiated by an eNB including PDSCH/PDCCH/EPDCCH, or</w:t>
            </w:r>
          </w:p>
          <w:p w14:paraId="36D496FE" w14:textId="76E6F58C" w:rsidR="00A00E19" w:rsidRPr="00A00E19" w:rsidRDefault="00A00E19">
            <w:pPr>
              <w:pStyle w:val="B1"/>
              <w:numPr>
                <w:ilvl w:val="3"/>
                <w:numId w:val="51"/>
              </w:numPr>
              <w:rPr>
                <w:i/>
                <w:iCs/>
              </w:rPr>
            </w:pPr>
            <w:bookmarkStart w:id="83" w:name="_Hlk26439519"/>
            <w:r w:rsidRPr="00A00E19">
              <w:rPr>
                <w:i/>
                <w:iCs/>
              </w:rPr>
              <w:t>Any transmission(s) initiated by a gNB.</w:t>
            </w:r>
            <w:bookmarkEnd w:id="83"/>
          </w:p>
          <w:p w14:paraId="46CA38FE" w14:textId="0CAE9951" w:rsidR="00D14639" w:rsidRDefault="00D14639">
            <w:pPr>
              <w:pStyle w:val="0Maintext"/>
              <w:numPr>
                <w:ilvl w:val="2"/>
                <w:numId w:val="51"/>
              </w:numPr>
              <w:spacing w:after="0" w:afterAutospacing="0"/>
              <w:rPr>
                <w:lang w:val="en-US"/>
              </w:rPr>
            </w:pPr>
            <w:r>
              <w:rPr>
                <w:lang w:val="en-US"/>
              </w:rPr>
              <w:t>UL, Section 4.</w:t>
            </w:r>
            <w:r w:rsidR="006E13F6">
              <w:rPr>
                <w:lang w:val="en-US"/>
              </w:rPr>
              <w:t>2</w:t>
            </w:r>
            <w:r>
              <w:rPr>
                <w:lang w:val="en-US"/>
              </w:rPr>
              <w:t>.</w:t>
            </w:r>
            <w:r w:rsidR="006E13F6">
              <w:rPr>
                <w:lang w:val="en-US"/>
              </w:rPr>
              <w:t>1.1:</w:t>
            </w:r>
          </w:p>
          <w:p w14:paraId="0CEA70CF" w14:textId="0A0420C8" w:rsidR="006E13F6" w:rsidRPr="00A00E19" w:rsidRDefault="006E13F6">
            <w:pPr>
              <w:pStyle w:val="0Maintext"/>
              <w:numPr>
                <w:ilvl w:val="3"/>
                <w:numId w:val="51"/>
              </w:numPr>
              <w:rPr>
                <w:i/>
                <w:iCs/>
                <w:lang w:val="en-US"/>
              </w:rPr>
            </w:pPr>
            <w:r w:rsidRPr="00A00E19">
              <w:rPr>
                <w:i/>
                <w:iCs/>
                <w:lang w:val="en-US"/>
              </w:rPr>
              <w:t xml:space="preserve">PUSCH/SRS transmission(s) scheduled or configured by eNB/gNB, or </w:t>
            </w:r>
          </w:p>
          <w:p w14:paraId="18F67BEF" w14:textId="19985346" w:rsidR="006E13F6" w:rsidRPr="00A00E19" w:rsidRDefault="006E13F6">
            <w:pPr>
              <w:pStyle w:val="0Maintext"/>
              <w:numPr>
                <w:ilvl w:val="3"/>
                <w:numId w:val="51"/>
              </w:numPr>
              <w:rPr>
                <w:i/>
                <w:iCs/>
                <w:lang w:val="en-US"/>
              </w:rPr>
            </w:pPr>
            <w:r w:rsidRPr="00A00E19">
              <w:rPr>
                <w:i/>
                <w:iCs/>
                <w:lang w:val="en-US"/>
              </w:rPr>
              <w:t>PUCCH transmission(s) scheduled or configured by gNB, or</w:t>
            </w:r>
          </w:p>
          <w:p w14:paraId="271B220C" w14:textId="60FAB5AA" w:rsidR="006E13F6" w:rsidRDefault="006E13F6">
            <w:pPr>
              <w:pStyle w:val="0Maintext"/>
              <w:numPr>
                <w:ilvl w:val="3"/>
                <w:numId w:val="51"/>
              </w:numPr>
              <w:spacing w:after="0" w:afterAutospacing="0"/>
              <w:rPr>
                <w:i/>
                <w:iCs/>
                <w:lang w:val="en-US"/>
              </w:rPr>
            </w:pPr>
            <w:r w:rsidRPr="00A00E19">
              <w:rPr>
                <w:i/>
                <w:iCs/>
                <w:lang w:val="en-US"/>
              </w:rPr>
              <w:t>Transmission(s) related to random access procedure.</w:t>
            </w:r>
          </w:p>
          <w:p w14:paraId="2A357C4D" w14:textId="77777777" w:rsidR="003D62A8" w:rsidRDefault="008A3A9A">
            <w:pPr>
              <w:pStyle w:val="0Maintext"/>
              <w:numPr>
                <w:ilvl w:val="1"/>
                <w:numId w:val="51"/>
              </w:numPr>
              <w:spacing w:after="0" w:afterAutospacing="0"/>
              <w:rPr>
                <w:lang w:val="en-US"/>
              </w:rPr>
            </w:pPr>
            <w:r>
              <w:rPr>
                <w:lang w:val="en-US"/>
              </w:rPr>
              <w:t>Nonetheless</w:t>
            </w:r>
            <w:r w:rsidR="00EB04D6">
              <w:rPr>
                <w:lang w:val="en-US"/>
              </w:rPr>
              <w:t xml:space="preserve">, in NR-U other solutions like Type 2A for </w:t>
            </w:r>
            <w:r w:rsidR="0024465C">
              <w:rPr>
                <w:lang w:val="en-US"/>
              </w:rPr>
              <w:t xml:space="preserve">discovery burst and in general Type 2 for COT sharing, which we are </w:t>
            </w:r>
            <w:r w:rsidR="009A2D6A">
              <w:rPr>
                <w:lang w:val="en-US"/>
              </w:rPr>
              <w:t xml:space="preserve">also discussing for SL-U </w:t>
            </w:r>
            <w:r w:rsidR="0024465C">
              <w:rPr>
                <w:lang w:val="en-US"/>
              </w:rPr>
              <w:t xml:space="preserve">in other </w:t>
            </w:r>
            <w:r w:rsidR="009A2D6A">
              <w:rPr>
                <w:lang w:val="en-US"/>
              </w:rPr>
              <w:t>sections (Topic #3, and Topic #5)</w:t>
            </w:r>
            <w:r w:rsidR="003D62A8">
              <w:rPr>
                <w:lang w:val="en-US"/>
              </w:rPr>
              <w:t xml:space="preserve">. </w:t>
            </w:r>
          </w:p>
          <w:p w14:paraId="085216E9" w14:textId="7573B207" w:rsidR="003D62A8" w:rsidRDefault="008B2A7C">
            <w:pPr>
              <w:pStyle w:val="0Maintext"/>
              <w:numPr>
                <w:ilvl w:val="1"/>
                <w:numId w:val="51"/>
              </w:numPr>
              <w:spacing w:after="0" w:afterAutospacing="0"/>
              <w:rPr>
                <w:lang w:val="en-US"/>
              </w:rPr>
            </w:pPr>
            <w:r>
              <w:rPr>
                <w:lang w:val="en-US"/>
              </w:rPr>
              <w:t>Hence a</w:t>
            </w:r>
            <w:r w:rsidR="003D62A8">
              <w:rPr>
                <w:lang w:val="en-US"/>
              </w:rPr>
              <w:t xml:space="preserve">llowing the applicability of Type 1 channel access to </w:t>
            </w:r>
            <w:r w:rsidR="005C554B">
              <w:rPr>
                <w:lang w:val="en-US"/>
              </w:rPr>
              <w:t>S-SSB and PSFCH in Proposal 1</w:t>
            </w:r>
            <w:r w:rsidR="007C62A0">
              <w:rPr>
                <w:lang w:val="en-US"/>
              </w:rPr>
              <w:t xml:space="preserve"> will not affect the adoption </w:t>
            </w:r>
            <w:r>
              <w:rPr>
                <w:lang w:val="en-US"/>
              </w:rPr>
              <w:t>of more clever solutions as discussed in Topic #3 and #5</w:t>
            </w:r>
          </w:p>
          <w:p w14:paraId="3DE9F240" w14:textId="3AC7B83A" w:rsidR="00F45EDE" w:rsidRPr="008E7023" w:rsidRDefault="00F45EDE">
            <w:pPr>
              <w:pStyle w:val="0Maintext"/>
              <w:numPr>
                <w:ilvl w:val="0"/>
                <w:numId w:val="51"/>
              </w:numPr>
              <w:spacing w:after="0" w:afterAutospacing="0"/>
              <w:rPr>
                <w:i/>
                <w:iCs/>
                <w:lang w:val="en-US"/>
              </w:rPr>
            </w:pPr>
            <w:r>
              <w:t>Also</w:t>
            </w:r>
            <w:r w:rsidR="007064D8">
              <w:t>,</w:t>
            </w:r>
            <w:r>
              <w:t xml:space="preserve"> </w:t>
            </w:r>
            <w:r w:rsidR="007064D8">
              <w:t>we believe that whether</w:t>
            </w:r>
            <w:r>
              <w:t xml:space="preserve"> or not supporting groupcast option 1</w:t>
            </w:r>
            <w:r w:rsidR="007064D8">
              <w:t>,</w:t>
            </w:r>
            <w:r>
              <w:t xml:space="preserve"> </w:t>
            </w:r>
            <w:r w:rsidR="00CF482B">
              <w:t>should not be a</w:t>
            </w:r>
            <w:r w:rsidR="002A3130">
              <w:t xml:space="preserve"> </w:t>
            </w:r>
            <w:r w:rsidR="007064D8">
              <w:t xml:space="preserve">question </w:t>
            </w:r>
            <w:r w:rsidR="00CF482B">
              <w:t xml:space="preserve">to be treated </w:t>
            </w:r>
            <w:r w:rsidR="002A3130">
              <w:t>in this section</w:t>
            </w:r>
            <w:r w:rsidR="00670BE8">
              <w:t xml:space="preserve">. </w:t>
            </w:r>
            <w:r w:rsidR="002A3130">
              <w:t xml:space="preserve">Type 1 channel access procedure </w:t>
            </w:r>
            <w:r w:rsidR="00D1427E">
              <w:t>should be always applicable</w:t>
            </w:r>
            <w:r w:rsidR="00CF5B7C">
              <w:t xml:space="preserve"> as per regulation and NR-U spec</w:t>
            </w:r>
            <w:r w:rsidR="007C002D">
              <w:t xml:space="preserve"> to all channels and signals</w:t>
            </w:r>
            <w:r w:rsidR="00670BE8">
              <w:t xml:space="preserve">, and </w:t>
            </w:r>
            <w:r w:rsidR="001C2D6B">
              <w:t>not tied to a cast/feedback option.</w:t>
            </w:r>
          </w:p>
          <w:p w14:paraId="5D5A0A56" w14:textId="77777777" w:rsidR="008E7023" w:rsidRPr="008B2A7C" w:rsidRDefault="008E7023" w:rsidP="008E7023">
            <w:pPr>
              <w:pStyle w:val="0Maintext"/>
              <w:spacing w:after="0" w:afterAutospacing="0"/>
              <w:rPr>
                <w:i/>
                <w:iCs/>
                <w:lang w:val="en-US"/>
              </w:rPr>
            </w:pPr>
          </w:p>
          <w:p w14:paraId="23B2054A" w14:textId="2BA056D0" w:rsidR="008B5DAC" w:rsidRDefault="008B5DAC" w:rsidP="008B5DAC">
            <w:pPr>
              <w:pStyle w:val="0Maintext"/>
              <w:spacing w:after="0" w:afterAutospacing="0"/>
              <w:ind w:firstLine="0"/>
              <w:rPr>
                <w:b/>
                <w:bCs/>
              </w:rPr>
            </w:pPr>
            <w:r w:rsidRPr="00883B8C">
              <w:rPr>
                <w:b/>
                <w:bCs/>
              </w:rPr>
              <w:t xml:space="preserve">We propose </w:t>
            </w:r>
            <w:r w:rsidR="00D1427E">
              <w:rPr>
                <w:b/>
                <w:bCs/>
              </w:rPr>
              <w:t>the following modification</w:t>
            </w:r>
            <w:r w:rsidRPr="00883B8C">
              <w:rPr>
                <w:b/>
                <w:bCs/>
              </w:rPr>
              <w:t>:</w:t>
            </w:r>
          </w:p>
          <w:p w14:paraId="2C934EAE" w14:textId="77777777" w:rsidR="008B5DAC" w:rsidRDefault="008B5DAC" w:rsidP="008B5DAC">
            <w:pPr>
              <w:pStyle w:val="0Maintext"/>
              <w:spacing w:after="0" w:afterAutospacing="0"/>
              <w:ind w:firstLine="0"/>
              <w:rPr>
                <w:b/>
                <w:bCs/>
              </w:rPr>
            </w:pPr>
          </w:p>
          <w:p w14:paraId="11AA9628" w14:textId="77777777" w:rsidR="008B5DAC" w:rsidRPr="00B638B4" w:rsidRDefault="008B5DAC" w:rsidP="008B5DAC">
            <w:pPr>
              <w:rPr>
                <w:rFonts w:asciiTheme="minorHAnsi" w:hAnsiTheme="minorHAnsi" w:cstheme="minorHAnsi"/>
                <w:sz w:val="22"/>
                <w:szCs w:val="22"/>
                <w:lang w:eastAsia="zh-CN"/>
              </w:rPr>
            </w:pPr>
            <w:r w:rsidRPr="00B638B4">
              <w:rPr>
                <w:rStyle w:val="Strong"/>
                <w:rFonts w:asciiTheme="minorHAnsi" w:hAnsiTheme="minorHAnsi" w:cstheme="minorHAnsi"/>
                <w:sz w:val="22"/>
                <w:szCs w:val="22"/>
                <w:highlight w:val="yellow"/>
              </w:rPr>
              <w:t>Proposal 1 (I</w:t>
            </w:r>
            <w:r>
              <w:rPr>
                <w:rStyle w:val="Strong"/>
                <w:rFonts w:asciiTheme="minorHAnsi" w:hAnsiTheme="minorHAnsi" w:cstheme="minorHAnsi"/>
                <w:sz w:val="22"/>
                <w:szCs w:val="22"/>
                <w:highlight w:val="yellow"/>
              </w:rPr>
              <w:t>II</w:t>
            </w:r>
            <w:r w:rsidRPr="00B638B4">
              <w:rPr>
                <w:rStyle w:val="Strong"/>
                <w:rFonts w:asciiTheme="minorHAnsi" w:hAnsiTheme="minorHAnsi" w:cstheme="minorHAnsi"/>
                <w:sz w:val="22"/>
                <w:szCs w:val="22"/>
                <w:highlight w:val="yellow"/>
              </w:rPr>
              <w:t>):</w:t>
            </w:r>
          </w:p>
          <w:p w14:paraId="584F3F5E" w14:textId="77777777" w:rsidR="008B5DAC" w:rsidRPr="00AE46B2" w:rsidRDefault="008B5DAC" w:rsidP="008B5DAC">
            <w:pPr>
              <w:pStyle w:val="3GPPAgreements"/>
              <w:rPr>
                <w:rFonts w:asciiTheme="minorHAnsi" w:hAnsiTheme="minorHAnsi" w:cstheme="minorHAnsi"/>
              </w:rPr>
            </w:pPr>
            <w:r w:rsidRPr="00AE46B2">
              <w:rPr>
                <w:rFonts w:asciiTheme="minorHAnsi" w:hAnsiTheme="minorHAnsi" w:cstheme="minorHAnsi"/>
                <w:lang w:val="en-GB"/>
              </w:rPr>
              <w:t>Type 1 SL channel access procedure is applicable to the following transmissions by a UE:</w:t>
            </w:r>
          </w:p>
          <w:p w14:paraId="733ED3E2" w14:textId="77777777" w:rsidR="008B5DAC" w:rsidRPr="00AE46B2" w:rsidRDefault="008B5DAC" w:rsidP="008B5DAC">
            <w:pPr>
              <w:pStyle w:val="3GPPAgreements"/>
              <w:numPr>
                <w:ilvl w:val="1"/>
                <w:numId w:val="11"/>
              </w:numPr>
              <w:rPr>
                <w:rFonts w:asciiTheme="minorHAnsi" w:hAnsiTheme="minorHAnsi" w:cstheme="minorHAnsi"/>
              </w:rPr>
            </w:pPr>
            <w:r w:rsidRPr="00AE46B2">
              <w:rPr>
                <w:rFonts w:asciiTheme="minorHAnsi" w:hAnsiTheme="minorHAnsi" w:cstheme="minorHAnsi"/>
                <w:lang w:val="en-GB"/>
              </w:rPr>
              <w:t>PSSCH/PSCCH transmission(s) scheduled or configured by a gNB in SL Mode 1 resource allocation.</w:t>
            </w:r>
          </w:p>
          <w:p w14:paraId="4C538408" w14:textId="77777777" w:rsidR="008B5DAC" w:rsidRPr="007E64A4" w:rsidRDefault="008B5DAC" w:rsidP="008B5DAC">
            <w:pPr>
              <w:pStyle w:val="3GPPAgreements"/>
              <w:numPr>
                <w:ilvl w:val="1"/>
                <w:numId w:val="11"/>
              </w:numPr>
              <w:rPr>
                <w:ins w:id="84" w:author="Giovanni Chisci" w:date="2022-10-12T19:25:00Z"/>
                <w:rFonts w:asciiTheme="minorHAnsi" w:hAnsiTheme="minorHAnsi" w:cstheme="minorHAnsi"/>
              </w:rPr>
            </w:pPr>
            <w:r w:rsidRPr="00AE46B2">
              <w:rPr>
                <w:rFonts w:asciiTheme="minorHAnsi" w:hAnsiTheme="minorHAnsi" w:cstheme="minorHAnsi"/>
                <w:lang w:val="en-GB"/>
              </w:rPr>
              <w:t>PSSCH/PSCCH transmission(s) initiated by a UE in SL Mode 2 resource allocation.</w:t>
            </w:r>
          </w:p>
          <w:p w14:paraId="227A1821" w14:textId="412F3EC2" w:rsidR="008B5DAC" w:rsidRPr="00E80E96" w:rsidRDefault="008B5DAC" w:rsidP="008B5DAC">
            <w:pPr>
              <w:pStyle w:val="3GPPAgreements"/>
              <w:numPr>
                <w:ilvl w:val="1"/>
                <w:numId w:val="11"/>
              </w:numPr>
              <w:spacing w:after="120"/>
              <w:rPr>
                <w:ins w:id="85" w:author="Giovanni Chisci" w:date="2022-10-12T19:25:00Z"/>
                <w:rFonts w:asciiTheme="minorHAnsi" w:hAnsiTheme="minorHAnsi" w:cstheme="minorHAnsi"/>
              </w:rPr>
            </w:pPr>
            <w:ins w:id="86" w:author="Giovanni Chisci" w:date="2022-10-12T19:25:00Z">
              <w:r w:rsidRPr="006A2AE2">
                <w:rPr>
                  <w:rFonts w:asciiTheme="minorHAnsi" w:hAnsiTheme="minorHAnsi" w:cstheme="minorHAnsi"/>
                  <w:color w:val="FF0000"/>
                  <w:lang w:val="en-GB"/>
                </w:rPr>
                <w:t>S-SSB and PSFCH</w:t>
              </w:r>
              <w:r>
                <w:rPr>
                  <w:rFonts w:asciiTheme="minorHAnsi" w:hAnsiTheme="minorHAnsi" w:cstheme="minorHAnsi"/>
                  <w:lang w:val="en-GB"/>
                </w:rPr>
                <w:t xml:space="preserve"> </w:t>
              </w:r>
              <w:r w:rsidRPr="00AE46B2">
                <w:rPr>
                  <w:rFonts w:asciiTheme="minorHAnsi" w:hAnsiTheme="minorHAnsi" w:cstheme="minorHAnsi"/>
                  <w:lang w:val="en-GB"/>
                </w:rPr>
                <w:t>transmission</w:t>
              </w:r>
              <w:r>
                <w:rPr>
                  <w:rFonts w:asciiTheme="minorHAnsi" w:hAnsiTheme="minorHAnsi" w:cstheme="minorHAnsi"/>
                  <w:lang w:val="en-GB"/>
                </w:rPr>
                <w:t>s</w:t>
              </w:r>
              <w:r w:rsidRPr="00AE46B2">
                <w:rPr>
                  <w:rFonts w:asciiTheme="minorHAnsi" w:hAnsiTheme="minorHAnsi" w:cstheme="minorHAnsi"/>
                  <w:lang w:val="en-GB"/>
                </w:rPr>
                <w:t xml:space="preserve"> </w:t>
              </w:r>
              <w:r>
                <w:rPr>
                  <w:rFonts w:asciiTheme="minorHAnsi" w:hAnsiTheme="minorHAnsi" w:cstheme="minorHAnsi"/>
                  <w:lang w:val="en-GB"/>
                </w:rPr>
                <w:t>from</w:t>
              </w:r>
              <w:r w:rsidRPr="00AE46B2">
                <w:rPr>
                  <w:rFonts w:asciiTheme="minorHAnsi" w:hAnsiTheme="minorHAnsi" w:cstheme="minorHAnsi"/>
                  <w:lang w:val="en-GB"/>
                </w:rPr>
                <w:t xml:space="preserve"> a UE</w:t>
              </w:r>
              <w:r>
                <w:rPr>
                  <w:rFonts w:asciiTheme="minorHAnsi" w:hAnsiTheme="minorHAnsi" w:cstheme="minorHAnsi"/>
                  <w:lang w:val="en-GB"/>
                </w:rPr>
                <w:t xml:space="preserve"> </w:t>
              </w:r>
            </w:ins>
          </w:p>
          <w:p w14:paraId="40FC62C9" w14:textId="7204B6AB" w:rsidR="008B5DAC" w:rsidRPr="00E80E96" w:rsidRDefault="00F95133" w:rsidP="008B5DAC">
            <w:pPr>
              <w:pStyle w:val="3GPPAgreements"/>
              <w:numPr>
                <w:ilvl w:val="2"/>
                <w:numId w:val="11"/>
              </w:numPr>
              <w:spacing w:after="120"/>
              <w:rPr>
                <w:ins w:id="87" w:author="Giovanni Chisci" w:date="2022-10-12T19:25:00Z"/>
                <w:rFonts w:asciiTheme="minorHAnsi" w:hAnsiTheme="minorHAnsi" w:cstheme="minorHAnsi"/>
                <w:color w:val="FF0000"/>
              </w:rPr>
            </w:pPr>
            <w:ins w:id="88" w:author="Giovanni Chisci" w:date="2022-10-12T20:50:00Z">
              <w:r>
                <w:rPr>
                  <w:rFonts w:asciiTheme="minorHAnsi" w:hAnsiTheme="minorHAnsi" w:cstheme="minorHAnsi"/>
                  <w:color w:val="FF0000"/>
                </w:rPr>
                <w:t xml:space="preserve">FFS: </w:t>
              </w:r>
            </w:ins>
            <w:ins w:id="89" w:author="Giovanni Chisci" w:date="2022-10-12T19:25:00Z">
              <w:r w:rsidR="008B5DAC" w:rsidRPr="00E80E96">
                <w:rPr>
                  <w:rFonts w:asciiTheme="minorHAnsi" w:hAnsiTheme="minorHAnsi" w:cstheme="minorHAnsi"/>
                  <w:color w:val="FF0000"/>
                </w:rPr>
                <w:t xml:space="preserve">whether CAPC for S-SSB and PSFCH should be fixed to </w:t>
              </w:r>
            </w:ins>
            <m:oMath>
              <m:r>
                <w:ins w:id="90" w:author="Giovanni Chisci" w:date="2022-10-12T19:25:00Z">
                  <w:rPr>
                    <w:rFonts w:ascii="Cambria Math" w:hAnsi="Cambria Math"/>
                    <w:color w:val="FF0000"/>
                  </w:rPr>
                  <m:t>p=1</m:t>
                </w:ins>
              </m:r>
            </m:oMath>
          </w:p>
          <w:p w14:paraId="3AFCF55B" w14:textId="77777777" w:rsidR="008B5DAC" w:rsidRPr="00EC0B67" w:rsidRDefault="008B5DAC" w:rsidP="008B5DAC">
            <w:pPr>
              <w:pStyle w:val="3GPPAgreements"/>
              <w:numPr>
                <w:ilvl w:val="1"/>
                <w:numId w:val="11"/>
              </w:numPr>
              <w:rPr>
                <w:rFonts w:asciiTheme="minorHAnsi" w:hAnsiTheme="minorHAnsi" w:cstheme="minorHAnsi"/>
                <w:color w:val="FF0000"/>
              </w:rPr>
            </w:pPr>
            <w:r w:rsidRPr="00EC0B67">
              <w:rPr>
                <w:rFonts w:asciiTheme="minorHAnsi" w:hAnsiTheme="minorHAnsi" w:cstheme="minorHAnsi"/>
                <w:color w:val="FF0000"/>
                <w:szCs w:val="28"/>
              </w:rPr>
              <w:t>A UE uses a channel access priority class applicable to the sidelink user plane data multiplexed in PSSCH for performing the Type 1 channel access procedures to transmit transmission(s) including PSSCH with user plane data and its associated PSCCH.</w:t>
            </w:r>
          </w:p>
          <w:p w14:paraId="155D84B8" w14:textId="77777777" w:rsidR="008B5DAC" w:rsidRPr="00EC0B67" w:rsidRDefault="008B5DAC" w:rsidP="008B5DAC">
            <w:pPr>
              <w:pStyle w:val="3GPPAgreements"/>
              <w:numPr>
                <w:ilvl w:val="1"/>
                <w:numId w:val="11"/>
              </w:numPr>
              <w:rPr>
                <w:rFonts w:asciiTheme="minorHAnsi" w:hAnsiTheme="minorHAnsi" w:cstheme="minorHAnsi"/>
                <w:color w:val="FF0000"/>
              </w:rPr>
            </w:pPr>
            <w:r w:rsidRPr="00EC0B67">
              <w:rPr>
                <w:rFonts w:asciiTheme="minorHAnsi" w:hAnsiTheme="minorHAnsi" w:cstheme="minorHAnsi"/>
                <w:color w:val="FF0000"/>
                <w:szCs w:val="28"/>
              </w:rPr>
              <w:t xml:space="preserve">A UE shall not transmit on a channel for a </w:t>
            </w:r>
            <w:r w:rsidRPr="00EC0B67">
              <w:rPr>
                <w:rFonts w:asciiTheme="minorHAnsi" w:hAnsiTheme="minorHAnsi" w:cstheme="minorHAnsi"/>
                <w:i/>
                <w:color w:val="FF0000"/>
                <w:szCs w:val="28"/>
              </w:rPr>
              <w:t>Channel Occupancy Time</w:t>
            </w:r>
            <w:r w:rsidRPr="00EC0B67">
              <w:rPr>
                <w:rFonts w:asciiTheme="minorHAnsi" w:hAnsiTheme="minorHAnsi" w:cstheme="minorHAnsi"/>
                <w:color w:val="FF0000"/>
                <w:szCs w:val="28"/>
              </w:rPr>
              <w:t xml:space="preserve"> that exceeds </w:t>
            </w:r>
            <m:oMath>
              <m:sSub>
                <m:sSubPr>
                  <m:ctrlPr>
                    <w:rPr>
                      <w:rFonts w:ascii="Cambria Math" w:hAnsi="Cambria Math" w:cstheme="minorHAnsi"/>
                      <w:i/>
                      <w:color w:val="FF0000"/>
                      <w:szCs w:val="28"/>
                    </w:rPr>
                  </m:ctrlPr>
                </m:sSubPr>
                <m:e>
                  <m:r>
                    <w:rPr>
                      <w:rFonts w:ascii="Cambria Math" w:hAnsi="Cambria Math" w:cstheme="minorHAnsi"/>
                      <w:color w:val="FF0000"/>
                      <w:szCs w:val="28"/>
                    </w:rPr>
                    <m:t>T</m:t>
                  </m:r>
                </m:e>
                <m:sub>
                  <m:r>
                    <w:rPr>
                      <w:rFonts w:ascii="Cambria Math" w:hAnsi="Cambria Math" w:cstheme="minorHAnsi"/>
                      <w:color w:val="FF0000"/>
                      <w:szCs w:val="28"/>
                    </w:rPr>
                    <m:t>m</m:t>
                  </m:r>
                  <m:func>
                    <m:funcPr>
                      <m:ctrlPr>
                        <w:rPr>
                          <w:rFonts w:ascii="Cambria Math" w:hAnsi="Cambria Math" w:cstheme="minorHAnsi"/>
                          <w:i/>
                          <w:color w:val="FF0000"/>
                          <w:szCs w:val="28"/>
                        </w:rPr>
                      </m:ctrlPr>
                    </m:funcPr>
                    <m:fName>
                      <m:r>
                        <w:rPr>
                          <w:rFonts w:ascii="Cambria Math" w:hAnsi="Cambria Math" w:cstheme="minorHAnsi"/>
                          <w:color w:val="FF0000"/>
                          <w:szCs w:val="28"/>
                        </w:rPr>
                        <m:t>cot,</m:t>
                      </m:r>
                    </m:fName>
                    <m:e>
                      <m:r>
                        <w:rPr>
                          <w:rFonts w:ascii="Cambria Math" w:hAnsi="Cambria Math" w:cstheme="minorHAnsi"/>
                          <w:color w:val="FF0000"/>
                          <w:szCs w:val="28"/>
                        </w:rPr>
                        <m:t>p</m:t>
                      </m:r>
                    </m:e>
                  </m:func>
                </m:sub>
              </m:sSub>
            </m:oMath>
            <w:r w:rsidRPr="00EC0B67">
              <w:rPr>
                <w:rFonts w:asciiTheme="minorHAnsi" w:hAnsiTheme="minorHAnsi" w:cstheme="minorHAnsi"/>
                <w:color w:val="FF0000"/>
                <w:szCs w:val="28"/>
              </w:rPr>
              <w:t xml:space="preserve"> where the channel access procedures are performed based on a channel access priority class </w:t>
            </w:r>
            <m:oMath>
              <m:r>
                <w:rPr>
                  <w:rFonts w:ascii="Cambria Math" w:hAnsi="Cambria Math" w:cstheme="minorHAnsi"/>
                  <w:color w:val="FF0000"/>
                  <w:szCs w:val="28"/>
                </w:rPr>
                <m:t>p</m:t>
              </m:r>
            </m:oMath>
            <w:r w:rsidRPr="00EC0B67">
              <w:rPr>
                <w:rFonts w:asciiTheme="minorHAnsi" w:hAnsiTheme="minorHAnsi" w:cstheme="minorHAnsi"/>
                <w:color w:val="FF0000"/>
                <w:szCs w:val="28"/>
              </w:rPr>
              <w:t xml:space="preserve"> associated with the UE transmissions, as given in CAPC table for SL.</w:t>
            </w:r>
          </w:p>
          <w:p w14:paraId="3FB94675" w14:textId="584A8F3F" w:rsidR="008B5DAC" w:rsidRPr="00E80E96" w:rsidDel="008B5DAC" w:rsidRDefault="008B5DAC" w:rsidP="008B5DAC">
            <w:pPr>
              <w:pStyle w:val="3GPPAgreements"/>
              <w:numPr>
                <w:ilvl w:val="1"/>
                <w:numId w:val="11"/>
              </w:numPr>
              <w:spacing w:after="120"/>
              <w:rPr>
                <w:del w:id="91" w:author="Giovanni Chisci" w:date="2022-10-12T19:24:00Z"/>
                <w:rFonts w:asciiTheme="minorHAnsi" w:hAnsiTheme="minorHAnsi" w:cstheme="minorHAnsi"/>
              </w:rPr>
            </w:pPr>
            <w:del w:id="92" w:author="Giovanni Chisci" w:date="2022-10-12T19:24:00Z">
              <w:r w:rsidRPr="00CA14A6" w:rsidDel="008B5DAC">
                <w:rPr>
                  <w:rFonts w:asciiTheme="minorHAnsi" w:hAnsiTheme="minorHAnsi" w:cstheme="minorHAnsi"/>
                  <w:color w:val="FF0000"/>
                  <w:lang w:val="en-GB"/>
                </w:rPr>
                <w:delText xml:space="preserve">FFS: </w:delText>
              </w:r>
              <w:r w:rsidRPr="006A2AE2" w:rsidDel="008B5DAC">
                <w:rPr>
                  <w:rFonts w:asciiTheme="minorHAnsi" w:hAnsiTheme="minorHAnsi" w:cstheme="minorHAnsi"/>
                  <w:strike/>
                  <w:color w:val="FF0000"/>
                  <w:lang w:val="en-GB"/>
                </w:rPr>
                <w:delText>Other</w:delText>
              </w:r>
              <w:r w:rsidRPr="006A2AE2" w:rsidDel="008B5DAC">
                <w:rPr>
                  <w:rFonts w:asciiTheme="minorHAnsi" w:hAnsiTheme="minorHAnsi" w:cstheme="minorHAnsi"/>
                  <w:color w:val="FF0000"/>
                  <w:lang w:val="en-GB"/>
                </w:rPr>
                <w:delText xml:space="preserve"> S-SSB and PSFCH</w:delText>
              </w:r>
              <w:r w:rsidDel="008B5DAC">
                <w:rPr>
                  <w:rFonts w:asciiTheme="minorHAnsi" w:hAnsiTheme="minorHAnsi" w:cstheme="minorHAnsi"/>
                  <w:lang w:val="en-GB"/>
                </w:rPr>
                <w:delText xml:space="preserve"> </w:delText>
              </w:r>
              <w:r w:rsidRPr="00AE46B2" w:rsidDel="008B5DAC">
                <w:rPr>
                  <w:rFonts w:asciiTheme="minorHAnsi" w:hAnsiTheme="minorHAnsi" w:cstheme="minorHAnsi"/>
                  <w:lang w:val="en-GB"/>
                </w:rPr>
                <w:delText>transmission</w:delText>
              </w:r>
              <w:r w:rsidDel="008B5DAC">
                <w:rPr>
                  <w:rFonts w:asciiTheme="minorHAnsi" w:hAnsiTheme="minorHAnsi" w:cstheme="minorHAnsi"/>
                  <w:lang w:val="en-GB"/>
                </w:rPr>
                <w:delText>s</w:delText>
              </w:r>
              <w:r w:rsidRPr="00AE46B2" w:rsidDel="008B5DAC">
                <w:rPr>
                  <w:rFonts w:asciiTheme="minorHAnsi" w:hAnsiTheme="minorHAnsi" w:cstheme="minorHAnsi"/>
                  <w:lang w:val="en-GB"/>
                </w:rPr>
                <w:delText xml:space="preserve"> </w:delText>
              </w:r>
              <w:r w:rsidDel="008B5DAC">
                <w:rPr>
                  <w:rFonts w:asciiTheme="minorHAnsi" w:hAnsiTheme="minorHAnsi" w:cstheme="minorHAnsi"/>
                  <w:lang w:val="en-GB"/>
                </w:rPr>
                <w:delText>from</w:delText>
              </w:r>
              <w:r w:rsidRPr="00AE46B2" w:rsidDel="008B5DAC">
                <w:rPr>
                  <w:rFonts w:asciiTheme="minorHAnsi" w:hAnsiTheme="minorHAnsi" w:cstheme="minorHAnsi"/>
                  <w:lang w:val="en-GB"/>
                </w:rPr>
                <w:delText xml:space="preserve"> a UE</w:delText>
              </w:r>
              <w:r w:rsidDel="008B5DAC">
                <w:rPr>
                  <w:rFonts w:asciiTheme="minorHAnsi" w:hAnsiTheme="minorHAnsi" w:cstheme="minorHAnsi"/>
                  <w:lang w:val="en-GB"/>
                </w:rPr>
                <w:delText xml:space="preserve"> </w:delText>
              </w:r>
              <w:r w:rsidRPr="00934DE8" w:rsidDel="008B5DAC">
                <w:rPr>
                  <w:rFonts w:asciiTheme="minorHAnsi" w:hAnsiTheme="minorHAnsi" w:cstheme="minorHAnsi"/>
                  <w:color w:val="FF0000"/>
                  <w:lang w:val="en-GB"/>
                </w:rPr>
                <w:delText>(including whether groupcast option 1 is supported in SL-U, and if supported, whether Type 1 channel access procedure is applied for groupcast option 1)</w:delText>
              </w:r>
            </w:del>
          </w:p>
          <w:p w14:paraId="41D0D883" w14:textId="4F8D596F" w:rsidR="008B5DAC" w:rsidRPr="00E80E96" w:rsidDel="008B5DAC" w:rsidRDefault="008B5DAC" w:rsidP="008B5DAC">
            <w:pPr>
              <w:pStyle w:val="3GPPAgreements"/>
              <w:numPr>
                <w:ilvl w:val="2"/>
                <w:numId w:val="11"/>
              </w:numPr>
              <w:spacing w:after="120"/>
              <w:rPr>
                <w:del w:id="93" w:author="Giovanni Chisci" w:date="2022-10-12T19:24:00Z"/>
                <w:rFonts w:asciiTheme="minorHAnsi" w:hAnsiTheme="minorHAnsi" w:cstheme="minorHAnsi"/>
                <w:color w:val="FF0000"/>
              </w:rPr>
            </w:pPr>
            <w:del w:id="94" w:author="Giovanni Chisci" w:date="2022-10-12T19:24:00Z">
              <w:r w:rsidRPr="00E80E96" w:rsidDel="008B5DAC">
                <w:rPr>
                  <w:rFonts w:asciiTheme="minorHAnsi" w:hAnsiTheme="minorHAnsi" w:cstheme="minorHAnsi"/>
                  <w:color w:val="FF0000"/>
                  <w:lang w:val="en-GB"/>
                </w:rPr>
                <w:delText xml:space="preserve">If supported, </w:delText>
              </w:r>
              <w:r w:rsidRPr="00E80E96" w:rsidDel="008B5DAC">
                <w:rPr>
                  <w:rFonts w:asciiTheme="minorHAnsi" w:hAnsiTheme="minorHAnsi" w:cstheme="minorHAnsi"/>
                  <w:color w:val="FF0000"/>
                </w:rPr>
                <w:delText xml:space="preserve">whether CAPC for S-SSB and PSFCH should be fixed to </w:delText>
              </w:r>
            </w:del>
            <m:oMath>
              <m:r>
                <w:del w:id="95" w:author="Giovanni Chisci" w:date="2022-10-12T19:24:00Z">
                  <w:rPr>
                    <w:rFonts w:ascii="Cambria Math" w:hAnsi="Cambria Math"/>
                    <w:color w:val="FF0000"/>
                  </w:rPr>
                  <m:t>p=1</m:t>
                </w:del>
              </m:r>
            </m:oMath>
          </w:p>
          <w:p w14:paraId="557FCAEF" w14:textId="7F81AB3D" w:rsidR="008B5DAC" w:rsidRPr="008B5DAC" w:rsidRDefault="008B5DAC" w:rsidP="008B5DAC">
            <w:pPr>
              <w:pStyle w:val="3GPPAgreements"/>
              <w:numPr>
                <w:ilvl w:val="0"/>
                <w:numId w:val="0"/>
              </w:numPr>
              <w:spacing w:after="120"/>
            </w:pPr>
          </w:p>
        </w:tc>
      </w:tr>
      <w:tr w:rsidR="00961C87" w14:paraId="5D5130CF" w14:textId="77777777" w:rsidTr="006B2419">
        <w:tc>
          <w:tcPr>
            <w:tcW w:w="1555" w:type="dxa"/>
          </w:tcPr>
          <w:p w14:paraId="5D15D928" w14:textId="30673292" w:rsidR="00961C87" w:rsidRDefault="00961C87" w:rsidP="00961C87">
            <w:pPr>
              <w:pStyle w:val="0Maintext"/>
              <w:spacing w:after="0" w:afterAutospacing="0"/>
              <w:ind w:firstLine="0"/>
            </w:pPr>
            <w:r>
              <w:rPr>
                <w:rFonts w:hint="eastAsia"/>
                <w:lang w:eastAsia="ko-KR"/>
              </w:rPr>
              <w:lastRenderedPageBreak/>
              <w:t>LG</w:t>
            </w:r>
            <w:r>
              <w:rPr>
                <w:lang w:eastAsia="ko-KR"/>
              </w:rPr>
              <w:t>E</w:t>
            </w:r>
          </w:p>
        </w:tc>
        <w:tc>
          <w:tcPr>
            <w:tcW w:w="8076" w:type="dxa"/>
          </w:tcPr>
          <w:p w14:paraId="020BD167" w14:textId="77777777" w:rsidR="00961C87" w:rsidRDefault="00961C87" w:rsidP="00961C87">
            <w:pPr>
              <w:pStyle w:val="0Maintext"/>
              <w:spacing w:after="0" w:afterAutospacing="0"/>
              <w:ind w:firstLine="0"/>
              <w:rPr>
                <w:lang w:eastAsia="ko-KR"/>
              </w:rPr>
            </w:pPr>
            <w:r>
              <w:rPr>
                <w:rFonts w:hint="eastAsia"/>
                <w:lang w:eastAsia="ko-KR"/>
              </w:rPr>
              <w:t xml:space="preserve">Regarding </w:t>
            </w:r>
            <w:r>
              <w:rPr>
                <w:lang w:eastAsia="ko-KR"/>
              </w:rPr>
              <w:t>the</w:t>
            </w:r>
            <w:r>
              <w:rPr>
                <w:rFonts w:hint="eastAsia"/>
                <w:lang w:eastAsia="ko-KR"/>
              </w:rPr>
              <w:t xml:space="preserve"> </w:t>
            </w:r>
            <w:r>
              <w:rPr>
                <w:lang w:eastAsia="ko-KR"/>
              </w:rPr>
              <w:t>CAPC for S-SSB and PSFCH, it would be good to have more general form. For instance, “</w:t>
            </w:r>
            <w:r w:rsidRPr="003D6371">
              <w:rPr>
                <w:color w:val="FF0000"/>
                <w:lang w:eastAsia="ko-KR"/>
              </w:rPr>
              <w:t>if supported, FFS: how to set CAPC for S-SSB and PSFCH</w:t>
            </w:r>
            <w:r>
              <w:rPr>
                <w:lang w:eastAsia="ko-KR"/>
              </w:rPr>
              <w:t>”.</w:t>
            </w:r>
          </w:p>
          <w:p w14:paraId="1A6CFF0A" w14:textId="77777777" w:rsidR="00961C87" w:rsidRDefault="00961C87" w:rsidP="00961C87">
            <w:pPr>
              <w:pStyle w:val="0Maintext"/>
              <w:spacing w:after="0" w:afterAutospacing="0"/>
              <w:ind w:firstLine="0"/>
              <w:rPr>
                <w:lang w:eastAsia="ko-KR"/>
              </w:rPr>
            </w:pPr>
          </w:p>
          <w:p w14:paraId="6280D2F6" w14:textId="77777777" w:rsidR="00961C87" w:rsidRDefault="00961C87" w:rsidP="00961C87">
            <w:pPr>
              <w:pStyle w:val="0Maintext"/>
              <w:spacing w:after="0" w:afterAutospacing="0"/>
              <w:ind w:firstLine="0"/>
              <w:rPr>
                <w:lang w:eastAsia="ko-KR"/>
              </w:rPr>
            </w:pPr>
            <w:r>
              <w:rPr>
                <w:rFonts w:hint="eastAsia"/>
                <w:lang w:eastAsia="ko-KR"/>
              </w:rPr>
              <w:t xml:space="preserve">Regarding the FFS part itself, we have some </w:t>
            </w:r>
            <w:r>
              <w:rPr>
                <w:lang w:eastAsia="ko-KR"/>
              </w:rPr>
              <w:t>clarification</w:t>
            </w:r>
            <w:r>
              <w:rPr>
                <w:rFonts w:hint="eastAsia"/>
                <w:lang w:eastAsia="ko-KR"/>
              </w:rPr>
              <w:t xml:space="preserve"> </w:t>
            </w:r>
            <w:r>
              <w:rPr>
                <w:lang w:eastAsia="ko-KR"/>
              </w:rPr>
              <w:t xml:space="preserve">question. </w:t>
            </w:r>
          </w:p>
          <w:p w14:paraId="032A1E48" w14:textId="77777777" w:rsidR="00961C87" w:rsidRDefault="00961C87" w:rsidP="00961C87">
            <w:pPr>
              <w:pStyle w:val="0Maintext"/>
              <w:spacing w:after="0" w:afterAutospacing="0"/>
              <w:ind w:firstLine="0"/>
              <w:rPr>
                <w:lang w:eastAsia="ko-KR"/>
              </w:rPr>
            </w:pPr>
            <w:r>
              <w:rPr>
                <w:lang w:eastAsia="ko-KR"/>
              </w:rPr>
              <w:t xml:space="preserve">If Type 1 channel access procedure is not applied to some SL channel(s), then does it mean that the case where the short control signalling exemption rule or Type 2A condition will be always </w:t>
            </w:r>
            <w:r>
              <w:rPr>
                <w:lang w:eastAsia="ko-KR"/>
              </w:rPr>
              <w:lastRenderedPageBreak/>
              <w:t xml:space="preserve">fulfilled? Or, if the conditions are not fulfilled, will we just drop the SL channels which does not support Type 1 channel access procedure? </w:t>
            </w:r>
          </w:p>
          <w:p w14:paraId="01D86DC0" w14:textId="77777777" w:rsidR="00961C87" w:rsidRDefault="00961C87" w:rsidP="00961C87">
            <w:pPr>
              <w:pStyle w:val="0Maintext"/>
              <w:spacing w:after="0" w:afterAutospacing="0"/>
              <w:ind w:firstLine="0"/>
              <w:rPr>
                <w:lang w:eastAsia="ko-KR"/>
              </w:rPr>
            </w:pPr>
          </w:p>
          <w:p w14:paraId="2A38BA56" w14:textId="66F71E11" w:rsidR="00961C87" w:rsidRDefault="00961C87" w:rsidP="00961C87">
            <w:pPr>
              <w:pStyle w:val="0Maintext"/>
              <w:spacing w:after="0" w:afterAutospacing="0"/>
              <w:ind w:firstLine="0"/>
            </w:pPr>
            <w:r>
              <w:rPr>
                <w:lang w:eastAsia="ko-KR"/>
              </w:rPr>
              <w:t xml:space="preserve">If it is not 100% guaranteed that the conditions will be always fulfilled, it would be natural to allow Type 1 channel access procedure for all the SL channels. </w:t>
            </w:r>
          </w:p>
        </w:tc>
      </w:tr>
      <w:tr w:rsidR="006B2419" w14:paraId="265DB483" w14:textId="77777777" w:rsidTr="006B2419">
        <w:tc>
          <w:tcPr>
            <w:tcW w:w="1555" w:type="dxa"/>
          </w:tcPr>
          <w:p w14:paraId="6E0AD0FF" w14:textId="1196D8B4" w:rsidR="006B2419" w:rsidRDefault="006B2419" w:rsidP="006B2419">
            <w:pPr>
              <w:pStyle w:val="0Maintext"/>
              <w:spacing w:after="0" w:afterAutospacing="0"/>
              <w:ind w:firstLine="0"/>
            </w:pPr>
            <w:r w:rsidRPr="00EE1B7A">
              <w:rPr>
                <w:rFonts w:eastAsiaTheme="minorEastAsia"/>
                <w:lang w:eastAsia="zh-CN"/>
              </w:rPr>
              <w:lastRenderedPageBreak/>
              <w:t>OPPO</w:t>
            </w:r>
          </w:p>
        </w:tc>
        <w:tc>
          <w:tcPr>
            <w:tcW w:w="8076" w:type="dxa"/>
          </w:tcPr>
          <w:p w14:paraId="1C9ACA71" w14:textId="77777777" w:rsidR="006B2419" w:rsidRDefault="006B2419" w:rsidP="006B2419">
            <w:pPr>
              <w:pStyle w:val="0Maintext"/>
              <w:spacing w:after="0" w:afterAutospacing="0"/>
              <w:ind w:firstLine="0"/>
              <w:rPr>
                <w:rFonts w:eastAsiaTheme="minorEastAsia"/>
                <w:lang w:eastAsia="zh-CN"/>
              </w:rPr>
            </w:pPr>
            <w:r>
              <w:rPr>
                <w:rFonts w:eastAsiaTheme="minorEastAsia"/>
                <w:lang w:eastAsia="zh-CN"/>
              </w:rPr>
              <w:t xml:space="preserve">Support </w:t>
            </w:r>
          </w:p>
          <w:p w14:paraId="18916190" w14:textId="77777777" w:rsidR="006B2419" w:rsidRDefault="006B2419" w:rsidP="006B2419">
            <w:pPr>
              <w:pStyle w:val="0Maintext"/>
              <w:spacing w:after="0" w:afterAutospacing="0"/>
              <w:ind w:firstLine="0"/>
              <w:rPr>
                <w:lang w:eastAsia="ko-KR"/>
              </w:rPr>
            </w:pPr>
            <w:r>
              <w:rPr>
                <w:rFonts w:eastAsiaTheme="minorEastAsia"/>
                <w:lang w:eastAsia="zh-CN"/>
              </w:rPr>
              <w:t xml:space="preserve">We agree with the comment from LGE for the CAPC part to make it more general: </w:t>
            </w:r>
            <w:r>
              <w:rPr>
                <w:lang w:eastAsia="ko-KR"/>
              </w:rPr>
              <w:t>“</w:t>
            </w:r>
            <w:r w:rsidRPr="003D6371">
              <w:rPr>
                <w:color w:val="FF0000"/>
                <w:lang w:eastAsia="ko-KR"/>
              </w:rPr>
              <w:t>if supported, FFS: how to set CAPC for S-SSB and PSFCH</w:t>
            </w:r>
            <w:r>
              <w:rPr>
                <w:lang w:eastAsia="ko-KR"/>
              </w:rPr>
              <w:t>”.</w:t>
            </w:r>
          </w:p>
          <w:p w14:paraId="3000B648" w14:textId="5A9EC8FC" w:rsidR="006B2419" w:rsidRPr="006B2419" w:rsidRDefault="006B2419" w:rsidP="006B2419">
            <w:pPr>
              <w:pStyle w:val="0Maintext"/>
              <w:spacing w:after="0" w:afterAutospacing="0"/>
              <w:ind w:firstLine="0"/>
              <w:rPr>
                <w:rFonts w:eastAsiaTheme="minorEastAsia"/>
                <w:lang w:eastAsia="zh-CN"/>
              </w:rPr>
            </w:pPr>
          </w:p>
        </w:tc>
      </w:tr>
      <w:tr w:rsidR="00D6367A" w14:paraId="1E067D7F" w14:textId="77777777" w:rsidTr="006B2419">
        <w:tc>
          <w:tcPr>
            <w:tcW w:w="1555" w:type="dxa"/>
          </w:tcPr>
          <w:p w14:paraId="32137F0E" w14:textId="4F65CFC2" w:rsidR="00D6367A" w:rsidRDefault="00D6367A" w:rsidP="00D6367A">
            <w:pPr>
              <w:pStyle w:val="0Maintext"/>
              <w:spacing w:after="0" w:afterAutospacing="0"/>
              <w:ind w:firstLine="0"/>
            </w:pPr>
            <w:r w:rsidRPr="003D0CDD">
              <w:t>DCM</w:t>
            </w:r>
          </w:p>
        </w:tc>
        <w:tc>
          <w:tcPr>
            <w:tcW w:w="8076" w:type="dxa"/>
          </w:tcPr>
          <w:p w14:paraId="30FE1208" w14:textId="0FE01B20" w:rsidR="00D6367A" w:rsidRDefault="00D6367A" w:rsidP="00D6367A">
            <w:pPr>
              <w:pStyle w:val="0Maintext"/>
              <w:spacing w:after="0" w:afterAutospacing="0"/>
              <w:ind w:firstLine="0"/>
            </w:pPr>
            <w:r w:rsidRPr="003D0CDD">
              <w:t xml:space="preserve">We have same view with QC. Type 1 LBT is essential for PSFCH/S-SSB. Based on the regulation document, it is impossible to use type 2X for PSFCH/S-SSB in some cases. We are OK to discuss the details later, but at least type 1 LBT shall be applicable. </w:t>
            </w:r>
          </w:p>
        </w:tc>
      </w:tr>
      <w:tr w:rsidR="009F0301" w14:paraId="19FE4C2B" w14:textId="77777777" w:rsidTr="006B2419">
        <w:tc>
          <w:tcPr>
            <w:tcW w:w="1555" w:type="dxa"/>
          </w:tcPr>
          <w:p w14:paraId="23B34060" w14:textId="56FB826F" w:rsidR="009F0301" w:rsidRDefault="009F0301" w:rsidP="009F0301">
            <w:pPr>
              <w:pStyle w:val="0Maintext"/>
              <w:spacing w:after="0" w:afterAutospacing="0"/>
              <w:ind w:firstLine="0"/>
            </w:pPr>
            <w:r>
              <w:rPr>
                <w:rFonts w:eastAsiaTheme="minorEastAsia" w:hint="eastAsia"/>
                <w:lang w:eastAsia="zh-CN"/>
              </w:rPr>
              <w:t>F</w:t>
            </w:r>
            <w:r>
              <w:rPr>
                <w:rFonts w:eastAsiaTheme="minorEastAsia"/>
                <w:lang w:eastAsia="zh-CN"/>
              </w:rPr>
              <w:t>ujitsu</w:t>
            </w:r>
          </w:p>
        </w:tc>
        <w:tc>
          <w:tcPr>
            <w:tcW w:w="8076" w:type="dxa"/>
          </w:tcPr>
          <w:p w14:paraId="2EB96902" w14:textId="09C7CB39" w:rsidR="009F0301" w:rsidRDefault="009F0301" w:rsidP="009F0301">
            <w:pPr>
              <w:pStyle w:val="0Maintext"/>
              <w:spacing w:after="0" w:afterAutospacing="0"/>
              <w:ind w:firstLine="0"/>
            </w:pPr>
            <w:r>
              <w:rPr>
                <w:rFonts w:eastAsiaTheme="minorEastAsia" w:hint="eastAsia"/>
                <w:lang w:eastAsia="zh-CN"/>
              </w:rPr>
              <w:t>W</w:t>
            </w:r>
            <w:r>
              <w:rPr>
                <w:rFonts w:eastAsiaTheme="minorEastAsia"/>
                <w:lang w:eastAsia="zh-CN"/>
              </w:rPr>
              <w:t>e are fine with the proposal.</w:t>
            </w:r>
          </w:p>
        </w:tc>
      </w:tr>
      <w:tr w:rsidR="00B91A1D" w14:paraId="436F41D9" w14:textId="77777777" w:rsidTr="006B2419">
        <w:tc>
          <w:tcPr>
            <w:tcW w:w="1555" w:type="dxa"/>
          </w:tcPr>
          <w:p w14:paraId="2DA235A9" w14:textId="37CA63EF" w:rsidR="00B91A1D" w:rsidRDefault="00B91A1D" w:rsidP="009F0301">
            <w:pPr>
              <w:pStyle w:val="0Maintext"/>
              <w:spacing w:after="0" w:afterAutospacing="0"/>
              <w:ind w:firstLine="0"/>
              <w:rPr>
                <w:rFonts w:eastAsiaTheme="minorEastAsia"/>
                <w:lang w:eastAsia="zh-CN"/>
              </w:rPr>
            </w:pPr>
            <w:r>
              <w:rPr>
                <w:rFonts w:eastAsiaTheme="minorEastAsia" w:hint="eastAsia"/>
                <w:lang w:eastAsia="zh-CN"/>
              </w:rPr>
              <w:t>C</w:t>
            </w:r>
            <w:r>
              <w:rPr>
                <w:rFonts w:eastAsiaTheme="minorEastAsia"/>
                <w:lang w:eastAsia="zh-CN"/>
              </w:rPr>
              <w:t>MCC</w:t>
            </w:r>
          </w:p>
        </w:tc>
        <w:tc>
          <w:tcPr>
            <w:tcW w:w="8076" w:type="dxa"/>
          </w:tcPr>
          <w:p w14:paraId="42F17055" w14:textId="4251E6F1" w:rsidR="00B91A1D" w:rsidRDefault="00B91A1D" w:rsidP="009F0301">
            <w:pPr>
              <w:pStyle w:val="0Maintext"/>
              <w:spacing w:after="0" w:afterAutospacing="0"/>
              <w:ind w:firstLine="0"/>
              <w:rPr>
                <w:rFonts w:eastAsiaTheme="minorEastAsia"/>
                <w:lang w:eastAsia="zh-CN"/>
              </w:rPr>
            </w:pPr>
            <w:r>
              <w:rPr>
                <w:rFonts w:eastAsiaTheme="minorEastAsia" w:hint="eastAsia"/>
                <w:lang w:eastAsia="zh-CN"/>
              </w:rPr>
              <w:t>W</w:t>
            </w:r>
            <w:r>
              <w:rPr>
                <w:rFonts w:eastAsiaTheme="minorEastAsia"/>
                <w:lang w:eastAsia="zh-CN"/>
              </w:rPr>
              <w:t>e support this proposal. And we also agree with LGE’s modification on the FFS.</w:t>
            </w:r>
          </w:p>
        </w:tc>
      </w:tr>
      <w:tr w:rsidR="009A6BDC" w14:paraId="72930A18" w14:textId="77777777" w:rsidTr="006B2419">
        <w:tc>
          <w:tcPr>
            <w:tcW w:w="1555" w:type="dxa"/>
          </w:tcPr>
          <w:p w14:paraId="50FC7ECD" w14:textId="0C36B379" w:rsidR="009A6BDC" w:rsidRDefault="009A6BDC" w:rsidP="009A6BDC">
            <w:pPr>
              <w:pStyle w:val="0Maintext"/>
              <w:spacing w:after="0" w:afterAutospacing="0"/>
              <w:ind w:firstLine="0"/>
              <w:rPr>
                <w:rFonts w:eastAsiaTheme="minorEastAsia"/>
                <w:lang w:eastAsia="zh-CN"/>
              </w:rPr>
            </w:pPr>
            <w:r>
              <w:rPr>
                <w:rFonts w:asciiTheme="minorEastAsia" w:eastAsiaTheme="minorEastAsia" w:hAnsiTheme="minorEastAsia" w:hint="eastAsia"/>
                <w:lang w:eastAsia="zh-CN"/>
              </w:rPr>
              <w:t>v</w:t>
            </w:r>
            <w:r>
              <w:t>ivo</w:t>
            </w:r>
          </w:p>
        </w:tc>
        <w:tc>
          <w:tcPr>
            <w:tcW w:w="8076" w:type="dxa"/>
          </w:tcPr>
          <w:p w14:paraId="298FF22A" w14:textId="77777777" w:rsidR="009A6BDC" w:rsidRDefault="009A6BDC" w:rsidP="009A6BDC">
            <w:pPr>
              <w:pStyle w:val="0Maintext"/>
              <w:spacing w:after="0" w:afterAutospacing="0"/>
              <w:ind w:firstLine="0"/>
              <w:rPr>
                <w:rFonts w:eastAsiaTheme="minorEastAsia"/>
                <w:lang w:eastAsia="zh-CN"/>
              </w:rPr>
            </w:pPr>
            <w:r>
              <w:rPr>
                <w:rFonts w:eastAsiaTheme="minorEastAsia"/>
                <w:lang w:eastAsia="zh-CN"/>
              </w:rPr>
              <w:t xml:space="preserve">We are generally fine with the proposal, however it is better to use </w:t>
            </w:r>
            <w:r>
              <w:rPr>
                <w:rFonts w:eastAsiaTheme="minorEastAsia" w:hint="eastAsia"/>
                <w:lang w:eastAsia="zh-CN"/>
              </w:rPr>
              <w:t>new</w:t>
            </w:r>
            <w:r>
              <w:rPr>
                <w:rFonts w:eastAsiaTheme="minorEastAsia"/>
                <w:lang w:eastAsia="zh-CN"/>
              </w:rPr>
              <w:t xml:space="preserve"> proposal to describe the 3rd and 4</w:t>
            </w:r>
            <w:r w:rsidRPr="000F2EB6">
              <w:rPr>
                <w:rFonts w:eastAsiaTheme="minorEastAsia"/>
                <w:vertAlign w:val="superscript"/>
                <w:lang w:eastAsia="zh-CN"/>
              </w:rPr>
              <w:t>th</w:t>
            </w:r>
            <w:r>
              <w:rPr>
                <w:rFonts w:eastAsiaTheme="minorEastAsia"/>
                <w:lang w:eastAsia="zh-CN"/>
              </w:rPr>
              <w:t xml:space="preserve"> sub-bullet. </w:t>
            </w:r>
          </w:p>
          <w:p w14:paraId="1249FA7F" w14:textId="77777777" w:rsidR="009A6BDC" w:rsidRDefault="009A6BDC" w:rsidP="009A6BDC">
            <w:pPr>
              <w:pStyle w:val="0Maintext"/>
              <w:spacing w:after="0" w:afterAutospacing="0"/>
              <w:ind w:firstLine="0"/>
              <w:rPr>
                <w:rFonts w:eastAsiaTheme="minorEastAsia"/>
                <w:lang w:eastAsia="zh-CN"/>
              </w:rPr>
            </w:pPr>
          </w:p>
          <w:p w14:paraId="3B1B8752" w14:textId="77777777" w:rsidR="009A6BDC" w:rsidRDefault="009A6BDC" w:rsidP="009A6BDC">
            <w:pPr>
              <w:pStyle w:val="0Maintext"/>
              <w:spacing w:after="0" w:afterAutospacing="0"/>
              <w:ind w:firstLine="0"/>
              <w:rPr>
                <w:rFonts w:eastAsiaTheme="minorEastAsia"/>
                <w:lang w:eastAsia="zh-CN"/>
              </w:rPr>
            </w:pPr>
            <w:r>
              <w:rPr>
                <w:rFonts w:eastAsiaTheme="minorEastAsia"/>
                <w:lang w:eastAsia="zh-CN"/>
              </w:rPr>
              <w:t>For the 3</w:t>
            </w:r>
            <w:r w:rsidRPr="006426F2">
              <w:rPr>
                <w:rFonts w:eastAsiaTheme="minorEastAsia"/>
                <w:vertAlign w:val="superscript"/>
                <w:lang w:eastAsia="zh-CN"/>
              </w:rPr>
              <w:t>rd</w:t>
            </w:r>
            <w:r>
              <w:rPr>
                <w:rFonts w:eastAsiaTheme="minorEastAsia"/>
                <w:lang w:eastAsia="zh-CN"/>
              </w:rPr>
              <w:t xml:space="preserve"> bullet, besides the </w:t>
            </w:r>
            <w:r w:rsidRPr="006426F2">
              <w:rPr>
                <w:rFonts w:eastAsiaTheme="minorEastAsia"/>
                <w:lang w:eastAsia="zh-CN"/>
              </w:rPr>
              <w:t>sidelink user plane data, SL MAC CE transmission can use type 1 channel access as well</w:t>
            </w:r>
            <w:r>
              <w:rPr>
                <w:rFonts w:eastAsiaTheme="minorEastAsia"/>
                <w:lang w:eastAsia="zh-CN"/>
              </w:rPr>
              <w:t>. So the following is proposed</w:t>
            </w:r>
          </w:p>
          <w:p w14:paraId="0199565E" w14:textId="2A231C92" w:rsidR="009A6BDC" w:rsidRDefault="009A6BDC" w:rsidP="009A6BDC">
            <w:pPr>
              <w:pStyle w:val="0Maintext"/>
              <w:spacing w:after="0" w:afterAutospacing="0"/>
              <w:ind w:firstLine="0"/>
              <w:rPr>
                <w:rFonts w:eastAsiaTheme="minorEastAsia"/>
                <w:lang w:eastAsia="zh-CN"/>
              </w:rPr>
            </w:pPr>
            <w:r w:rsidRPr="00EC0B67">
              <w:rPr>
                <w:rFonts w:asciiTheme="minorHAnsi" w:hAnsiTheme="minorHAnsi" w:cstheme="minorHAnsi"/>
                <w:color w:val="FF0000"/>
                <w:szCs w:val="28"/>
              </w:rPr>
              <w:t xml:space="preserve">A UE uses a channel access priority class applicable to the sidelink </w:t>
            </w:r>
            <w:r w:rsidRPr="006426F2">
              <w:rPr>
                <w:rFonts w:asciiTheme="minorHAnsi" w:hAnsiTheme="minorHAnsi" w:cstheme="minorHAnsi"/>
                <w:strike/>
                <w:color w:val="FF0000"/>
                <w:szCs w:val="28"/>
                <w:highlight w:val="yellow"/>
              </w:rPr>
              <w:t>user plane data multiplexed in</w:t>
            </w:r>
            <w:r w:rsidRPr="00EC0B67">
              <w:rPr>
                <w:rFonts w:asciiTheme="minorHAnsi" w:hAnsiTheme="minorHAnsi" w:cstheme="minorHAnsi"/>
                <w:color w:val="FF0000"/>
                <w:szCs w:val="28"/>
              </w:rPr>
              <w:t xml:space="preserve"> PSSCH for performing the Type 1 channel access procedures to transmit transmission(s) including PSSCH with user plane data and its associated PSCCH.</w:t>
            </w:r>
          </w:p>
        </w:tc>
      </w:tr>
      <w:tr w:rsidR="007A40A8" w14:paraId="3B71D209" w14:textId="77777777" w:rsidTr="006B2419">
        <w:tc>
          <w:tcPr>
            <w:tcW w:w="1555" w:type="dxa"/>
          </w:tcPr>
          <w:p w14:paraId="7D591317" w14:textId="0FE67751" w:rsidR="007A40A8" w:rsidRPr="007A40A8" w:rsidRDefault="007A40A8" w:rsidP="007A40A8">
            <w:pPr>
              <w:pStyle w:val="0Maintext"/>
              <w:spacing w:after="0" w:afterAutospacing="0"/>
              <w:ind w:firstLine="0"/>
              <w:rPr>
                <w:rFonts w:asciiTheme="minorEastAsia" w:eastAsiaTheme="minorEastAsia" w:hAnsiTheme="minorEastAsia"/>
                <w:lang w:eastAsia="zh-CN"/>
              </w:rPr>
            </w:pPr>
            <w:r>
              <w:rPr>
                <w:rFonts w:eastAsiaTheme="minorEastAsia" w:hint="eastAsia"/>
                <w:lang w:eastAsia="zh-CN"/>
              </w:rPr>
              <w:t>C</w:t>
            </w:r>
            <w:r>
              <w:rPr>
                <w:rFonts w:eastAsiaTheme="minorEastAsia"/>
                <w:lang w:eastAsia="zh-CN"/>
              </w:rPr>
              <w:t>ATT/GH</w:t>
            </w:r>
          </w:p>
        </w:tc>
        <w:tc>
          <w:tcPr>
            <w:tcW w:w="8076" w:type="dxa"/>
          </w:tcPr>
          <w:p w14:paraId="177C1461" w14:textId="77777777" w:rsidR="007A40A8" w:rsidRDefault="007A40A8" w:rsidP="007A40A8">
            <w:pPr>
              <w:pStyle w:val="0Maintext"/>
              <w:spacing w:after="0" w:afterAutospacing="0"/>
              <w:ind w:firstLine="0"/>
              <w:rPr>
                <w:rFonts w:eastAsiaTheme="minorEastAsia"/>
                <w:lang w:eastAsia="zh-CN"/>
              </w:rPr>
            </w:pPr>
            <w:r>
              <w:rPr>
                <w:rFonts w:eastAsiaTheme="minorEastAsia" w:hint="eastAsia"/>
                <w:lang w:eastAsia="zh-CN"/>
              </w:rPr>
              <w:t>W</w:t>
            </w:r>
            <w:r>
              <w:rPr>
                <w:rFonts w:eastAsiaTheme="minorEastAsia"/>
                <w:lang w:eastAsia="zh-CN"/>
              </w:rPr>
              <w:t>e support the proposal.</w:t>
            </w:r>
          </w:p>
          <w:p w14:paraId="0E267853" w14:textId="2DB1A456" w:rsidR="007A40A8" w:rsidRDefault="007A40A8" w:rsidP="007A40A8">
            <w:pPr>
              <w:pStyle w:val="0Maintext"/>
              <w:spacing w:after="0" w:afterAutospacing="0"/>
              <w:ind w:firstLine="0"/>
              <w:rPr>
                <w:rFonts w:eastAsiaTheme="minorEastAsia"/>
                <w:lang w:eastAsia="zh-CN"/>
              </w:rPr>
            </w:pPr>
            <w:r>
              <w:rPr>
                <w:rFonts w:eastAsiaTheme="minorEastAsia" w:hint="eastAsia"/>
                <w:lang w:eastAsia="zh-CN"/>
              </w:rPr>
              <w:t>F</w:t>
            </w:r>
            <w:r>
              <w:rPr>
                <w:rFonts w:eastAsiaTheme="minorEastAsia"/>
                <w:lang w:eastAsia="zh-CN"/>
              </w:rPr>
              <w:t>or S-SSB and PSFCH transmission, as we commanded before, they may be not suitable for Type 1 channel access procedure, since the long channel access duration really challenge the reliability of these transmission. There are indeed some questions requiring solution if Type 1 channel access procedure is not applied to these transmissions, as LGE mentioned. Therefore, keeping the FFS as it is seems fair at this stage.</w:t>
            </w:r>
          </w:p>
          <w:p w14:paraId="5D3E55E3" w14:textId="74E2CCA2" w:rsidR="007A40A8" w:rsidRDefault="007A40A8" w:rsidP="007A40A8">
            <w:pPr>
              <w:pStyle w:val="0Maintext"/>
              <w:spacing w:after="0" w:afterAutospacing="0"/>
              <w:ind w:firstLine="0"/>
              <w:rPr>
                <w:rFonts w:eastAsiaTheme="minorEastAsia"/>
                <w:lang w:eastAsia="zh-CN"/>
              </w:rPr>
            </w:pPr>
            <w:r>
              <w:rPr>
                <w:rFonts w:eastAsiaTheme="minorEastAsia"/>
                <w:lang w:eastAsia="zh-CN"/>
              </w:rPr>
              <w:t xml:space="preserve">Considering there are many different designs of sidelink procedures from unlink/downlink procedures, such as sidelink HARQ, sidelink </w:t>
            </w:r>
            <w:r w:rsidRPr="00A81EF0">
              <w:rPr>
                <w:rFonts w:eastAsiaTheme="minorEastAsia"/>
                <w:lang w:eastAsia="zh-CN"/>
              </w:rPr>
              <w:t>synchronization</w:t>
            </w:r>
            <w:r>
              <w:rPr>
                <w:rFonts w:eastAsiaTheme="minorEastAsia"/>
                <w:lang w:eastAsia="zh-CN"/>
              </w:rPr>
              <w:t>, and so on, always pursuing fully reuse the NR-U design in SL-U seems unreasonable.</w:t>
            </w:r>
          </w:p>
        </w:tc>
      </w:tr>
      <w:tr w:rsidR="00440F46" w14:paraId="10CA6F9F" w14:textId="77777777" w:rsidTr="006B2419">
        <w:tc>
          <w:tcPr>
            <w:tcW w:w="1555" w:type="dxa"/>
          </w:tcPr>
          <w:p w14:paraId="772854BB" w14:textId="5069BBF8" w:rsidR="00440F46" w:rsidRDefault="00440F46" w:rsidP="00440F46">
            <w:pPr>
              <w:pStyle w:val="0Maintext"/>
              <w:spacing w:after="0" w:afterAutospacing="0"/>
              <w:ind w:firstLine="0"/>
              <w:rPr>
                <w:rFonts w:eastAsiaTheme="minorEastAsia"/>
                <w:lang w:eastAsia="zh-CN"/>
              </w:rPr>
            </w:pPr>
            <w:r>
              <w:rPr>
                <w:rFonts w:eastAsiaTheme="minorEastAsia" w:hint="eastAsia"/>
                <w:lang w:eastAsia="zh-CN"/>
              </w:rPr>
              <w:t>M</w:t>
            </w:r>
            <w:r>
              <w:rPr>
                <w:rFonts w:eastAsiaTheme="minorEastAsia"/>
                <w:lang w:eastAsia="zh-CN"/>
              </w:rPr>
              <w:t>ediaTek</w:t>
            </w:r>
          </w:p>
        </w:tc>
        <w:tc>
          <w:tcPr>
            <w:tcW w:w="8076" w:type="dxa"/>
          </w:tcPr>
          <w:p w14:paraId="61478BC8" w14:textId="035CEBBE" w:rsidR="00440F46" w:rsidRDefault="00440F46" w:rsidP="00440F46">
            <w:pPr>
              <w:pStyle w:val="0Maintext"/>
              <w:spacing w:after="0" w:afterAutospacing="0"/>
              <w:ind w:firstLine="0"/>
              <w:rPr>
                <w:rFonts w:eastAsiaTheme="minorEastAsia"/>
                <w:lang w:eastAsia="zh-CN"/>
              </w:rPr>
            </w:pPr>
            <w:r>
              <w:rPr>
                <w:rFonts w:eastAsiaTheme="minorEastAsia"/>
                <w:lang w:eastAsia="zh-CN"/>
              </w:rPr>
              <w:t>Support this proposal and agree with LGE’s modification on the FFS.</w:t>
            </w:r>
          </w:p>
        </w:tc>
      </w:tr>
      <w:tr w:rsidR="00C55F84" w14:paraId="32DE3E61" w14:textId="77777777" w:rsidTr="006B2419">
        <w:tc>
          <w:tcPr>
            <w:tcW w:w="1555" w:type="dxa"/>
          </w:tcPr>
          <w:p w14:paraId="596AE4FA" w14:textId="45ADC14F" w:rsidR="00C55F84" w:rsidRDefault="00C55F84" w:rsidP="00440F46">
            <w:pPr>
              <w:pStyle w:val="0Maintext"/>
              <w:spacing w:after="0" w:afterAutospacing="0"/>
              <w:ind w:firstLine="0"/>
              <w:rPr>
                <w:rFonts w:eastAsiaTheme="minorEastAsia"/>
                <w:lang w:eastAsia="zh-CN"/>
              </w:rPr>
            </w:pPr>
            <w:r>
              <w:rPr>
                <w:rFonts w:eastAsiaTheme="minorEastAsia" w:hint="eastAsia"/>
                <w:lang w:eastAsia="zh-CN"/>
              </w:rPr>
              <w:t>Sharp</w:t>
            </w:r>
          </w:p>
        </w:tc>
        <w:tc>
          <w:tcPr>
            <w:tcW w:w="8076" w:type="dxa"/>
          </w:tcPr>
          <w:p w14:paraId="4AD762EB" w14:textId="77777777" w:rsidR="00C55F84" w:rsidRDefault="00C55F84" w:rsidP="000F6488">
            <w:pPr>
              <w:pStyle w:val="0Maintext"/>
              <w:spacing w:after="0" w:afterAutospacing="0"/>
              <w:ind w:firstLine="0"/>
              <w:rPr>
                <w:rFonts w:eastAsiaTheme="minorEastAsia" w:cs="Times New Roman"/>
                <w:lang w:eastAsia="zh-CN"/>
              </w:rPr>
            </w:pPr>
            <w:r w:rsidRPr="004C0166">
              <w:rPr>
                <w:rFonts w:eastAsiaTheme="minorEastAsia" w:cs="Times New Roman"/>
                <w:lang w:eastAsia="zh-CN"/>
              </w:rPr>
              <w:t xml:space="preserve">We agree with the proposal. </w:t>
            </w:r>
          </w:p>
          <w:p w14:paraId="74DF3AC3" w14:textId="43FABACC" w:rsidR="00C55F84" w:rsidRDefault="00C55F84" w:rsidP="00440F46">
            <w:pPr>
              <w:pStyle w:val="0Maintext"/>
              <w:spacing w:after="0" w:afterAutospacing="0"/>
              <w:ind w:firstLine="0"/>
              <w:rPr>
                <w:rFonts w:eastAsiaTheme="minorEastAsia"/>
                <w:lang w:eastAsia="zh-CN"/>
              </w:rPr>
            </w:pPr>
            <w:r w:rsidRPr="004C0166">
              <w:rPr>
                <w:rFonts w:eastAsiaTheme="minorEastAsia" w:cs="Times New Roman"/>
                <w:lang w:eastAsia="zh-CN"/>
              </w:rPr>
              <w:t>The 3</w:t>
            </w:r>
            <w:r w:rsidRPr="004C0166">
              <w:rPr>
                <w:rFonts w:eastAsiaTheme="minorEastAsia" w:cs="Times New Roman"/>
                <w:vertAlign w:val="superscript"/>
                <w:lang w:eastAsia="zh-CN"/>
              </w:rPr>
              <w:t>rd</w:t>
            </w:r>
            <w:r w:rsidRPr="004C0166">
              <w:rPr>
                <w:rFonts w:eastAsiaTheme="minorEastAsia" w:cs="Times New Roman"/>
                <w:lang w:eastAsia="zh-CN"/>
              </w:rPr>
              <w:t xml:space="preserve"> and 4</w:t>
            </w:r>
            <w:r w:rsidRPr="004C0166">
              <w:rPr>
                <w:rFonts w:eastAsiaTheme="minorEastAsia" w:cs="Times New Roman"/>
                <w:vertAlign w:val="superscript"/>
                <w:lang w:eastAsia="zh-CN"/>
              </w:rPr>
              <w:t>th</w:t>
            </w:r>
            <w:r w:rsidRPr="004C0166">
              <w:rPr>
                <w:rFonts w:eastAsiaTheme="minorEastAsia" w:cs="Times New Roman"/>
                <w:lang w:eastAsia="zh-CN"/>
              </w:rPr>
              <w:t xml:space="preserve"> sub-bullets should be promoted as </w:t>
            </w:r>
            <w:r>
              <w:rPr>
                <w:rFonts w:eastAsiaTheme="minorEastAsia" w:cs="Times New Roman" w:hint="eastAsia"/>
                <w:lang w:eastAsia="zh-CN"/>
              </w:rPr>
              <w:t xml:space="preserve">two </w:t>
            </w:r>
            <w:r w:rsidRPr="004C0166">
              <w:rPr>
                <w:rFonts w:eastAsiaTheme="minorEastAsia" w:cs="Times New Roman"/>
                <w:lang w:eastAsia="zh-CN"/>
              </w:rPr>
              <w:t xml:space="preserve">main bullets </w:t>
            </w:r>
            <w:r>
              <w:rPr>
                <w:rFonts w:eastAsiaTheme="minorEastAsia" w:cs="Times New Roman" w:hint="eastAsia"/>
                <w:lang w:eastAsia="zh-CN"/>
              </w:rPr>
              <w:t xml:space="preserve">that are listed </w:t>
            </w:r>
            <w:r w:rsidRPr="004C0166">
              <w:rPr>
                <w:rFonts w:eastAsiaTheme="minorEastAsia" w:cs="Times New Roman"/>
                <w:lang w:eastAsia="zh-CN"/>
              </w:rPr>
              <w:t>after all sub-bullets of the 1</w:t>
            </w:r>
            <w:r w:rsidRPr="004C0166">
              <w:rPr>
                <w:rFonts w:eastAsiaTheme="minorEastAsia" w:cs="Times New Roman"/>
                <w:vertAlign w:val="superscript"/>
                <w:lang w:eastAsia="zh-CN"/>
              </w:rPr>
              <w:t>st</w:t>
            </w:r>
            <w:r w:rsidRPr="004C0166">
              <w:rPr>
                <w:rFonts w:eastAsiaTheme="minorEastAsia" w:cs="Times New Roman"/>
                <w:lang w:eastAsia="zh-CN"/>
              </w:rPr>
              <w:t xml:space="preserve"> main bullet (the sub-bullets of the 1</w:t>
            </w:r>
            <w:r w:rsidRPr="004C0166">
              <w:rPr>
                <w:rFonts w:eastAsiaTheme="minorEastAsia" w:cs="Times New Roman"/>
                <w:vertAlign w:val="superscript"/>
                <w:lang w:eastAsia="zh-CN"/>
              </w:rPr>
              <w:t>st</w:t>
            </w:r>
            <w:r w:rsidRPr="004C0166">
              <w:rPr>
                <w:rFonts w:eastAsiaTheme="minorEastAsia" w:cs="Times New Roman"/>
                <w:lang w:eastAsia="zh-CN"/>
              </w:rPr>
              <w:t xml:space="preserve"> main bullet are supposed to correspond to a list of “transmissions”).</w:t>
            </w:r>
          </w:p>
        </w:tc>
      </w:tr>
      <w:tr w:rsidR="001E5BBA" w14:paraId="5F3B8600" w14:textId="77777777" w:rsidTr="006B2419">
        <w:tc>
          <w:tcPr>
            <w:tcW w:w="1555" w:type="dxa"/>
          </w:tcPr>
          <w:p w14:paraId="7A30B425" w14:textId="181E9350" w:rsidR="001E5BBA" w:rsidRDefault="001E5BBA" w:rsidP="001E5BBA">
            <w:pPr>
              <w:pStyle w:val="0Maintext"/>
              <w:spacing w:after="0" w:afterAutospacing="0"/>
              <w:ind w:firstLine="0"/>
              <w:rPr>
                <w:rFonts w:eastAsiaTheme="minorEastAsia"/>
                <w:lang w:eastAsia="zh-CN"/>
              </w:rPr>
            </w:pPr>
            <w:r>
              <w:rPr>
                <w:rFonts w:eastAsiaTheme="minorEastAsia"/>
                <w:lang w:eastAsia="zh-CN"/>
              </w:rPr>
              <w:t>Lenovo</w:t>
            </w:r>
          </w:p>
        </w:tc>
        <w:tc>
          <w:tcPr>
            <w:tcW w:w="8076" w:type="dxa"/>
          </w:tcPr>
          <w:p w14:paraId="397BD8DE" w14:textId="6806289F" w:rsidR="001E5BBA" w:rsidRPr="004C0166" w:rsidRDefault="001E5BBA" w:rsidP="001E5BBA">
            <w:pPr>
              <w:pStyle w:val="0Maintext"/>
              <w:spacing w:after="0" w:afterAutospacing="0"/>
              <w:ind w:firstLine="0"/>
              <w:rPr>
                <w:rFonts w:eastAsiaTheme="minorEastAsia" w:cs="Times New Roman"/>
                <w:lang w:eastAsia="zh-CN"/>
              </w:rPr>
            </w:pPr>
            <w:r>
              <w:rPr>
                <w:rFonts w:eastAsiaTheme="minorEastAsia"/>
                <w:lang w:eastAsia="zh-CN"/>
              </w:rPr>
              <w:t>We are 100% aligned with Qualcomm's view and strongly support their proposed modification.</w:t>
            </w:r>
          </w:p>
        </w:tc>
      </w:tr>
      <w:tr w:rsidR="00650E3B" w:rsidRPr="00C56982" w14:paraId="19F0711E" w14:textId="77777777" w:rsidTr="00650E3B">
        <w:tc>
          <w:tcPr>
            <w:tcW w:w="1555" w:type="dxa"/>
          </w:tcPr>
          <w:p w14:paraId="30AAD056" w14:textId="77777777" w:rsidR="00650E3B" w:rsidRDefault="00650E3B" w:rsidP="000F6488">
            <w:pPr>
              <w:pStyle w:val="0Maintext"/>
              <w:spacing w:after="0" w:afterAutospacing="0"/>
              <w:ind w:firstLine="0"/>
              <w:rPr>
                <w:rFonts w:eastAsiaTheme="minorEastAsia"/>
                <w:lang w:eastAsia="zh-CN"/>
              </w:rPr>
            </w:pPr>
            <w:r>
              <w:rPr>
                <w:rFonts w:eastAsiaTheme="minorEastAsia"/>
                <w:lang w:eastAsia="zh-CN"/>
              </w:rPr>
              <w:t>Huawei, HiSilicon</w:t>
            </w:r>
          </w:p>
        </w:tc>
        <w:tc>
          <w:tcPr>
            <w:tcW w:w="8076" w:type="dxa"/>
          </w:tcPr>
          <w:p w14:paraId="24074EBB" w14:textId="77777777" w:rsidR="00650E3B" w:rsidRDefault="00650E3B" w:rsidP="000F6488">
            <w:pPr>
              <w:pStyle w:val="0Maintext"/>
              <w:spacing w:after="0" w:afterAutospacing="0"/>
              <w:ind w:firstLine="0"/>
              <w:rPr>
                <w:rFonts w:eastAsiaTheme="minorEastAsia"/>
                <w:lang w:eastAsia="zh-CN"/>
              </w:rPr>
            </w:pPr>
            <w:r>
              <w:rPr>
                <w:rFonts w:eastAsiaTheme="minorEastAsia"/>
                <w:lang w:eastAsia="zh-CN"/>
              </w:rPr>
              <w:t>We are fine with the proposal except the fifth (i.e. the FFS) bullet.</w:t>
            </w:r>
          </w:p>
          <w:p w14:paraId="47642D75" w14:textId="77777777" w:rsidR="00650E3B" w:rsidRDefault="00650E3B" w:rsidP="000F6488">
            <w:pPr>
              <w:pStyle w:val="0Maintext"/>
              <w:spacing w:after="0" w:afterAutospacing="0"/>
              <w:ind w:firstLine="0"/>
              <w:rPr>
                <w:rFonts w:eastAsiaTheme="minorEastAsia"/>
                <w:lang w:eastAsia="zh-CN"/>
              </w:rPr>
            </w:pPr>
          </w:p>
          <w:p w14:paraId="6930ACF4" w14:textId="77777777" w:rsidR="00650E3B" w:rsidRDefault="00650E3B" w:rsidP="000F6488">
            <w:pPr>
              <w:pStyle w:val="0Maintext"/>
              <w:spacing w:after="0" w:afterAutospacing="0"/>
              <w:ind w:firstLine="0"/>
              <w:rPr>
                <w:rFonts w:eastAsiaTheme="minorEastAsia"/>
                <w:lang w:eastAsia="zh-CN"/>
              </w:rPr>
            </w:pPr>
            <w:r>
              <w:rPr>
                <w:rFonts w:eastAsiaTheme="minorEastAsia"/>
                <w:lang w:eastAsia="zh-CN"/>
              </w:rPr>
              <w:t>It should be clarified Type 1 channel access procedure can be applied for all SL channels/signals. Even within a COT, where UE could perform Type 2 channel access procedure, UE still can select Type 1 for more conservative accessing. Thus, we suggest Type 1 is applied to S-SSB and PSFCH as well.</w:t>
            </w:r>
          </w:p>
          <w:p w14:paraId="0B68097A" w14:textId="77777777" w:rsidR="00650E3B" w:rsidRDefault="00650E3B" w:rsidP="000F6488">
            <w:pPr>
              <w:pStyle w:val="0Maintext"/>
              <w:spacing w:after="0" w:afterAutospacing="0"/>
              <w:ind w:firstLine="0"/>
              <w:rPr>
                <w:rFonts w:eastAsiaTheme="minorEastAsia"/>
                <w:lang w:eastAsia="zh-CN"/>
              </w:rPr>
            </w:pPr>
          </w:p>
          <w:p w14:paraId="314031F6" w14:textId="77777777" w:rsidR="00650E3B" w:rsidRDefault="00650E3B" w:rsidP="000F6488">
            <w:pPr>
              <w:pStyle w:val="0Maintext"/>
              <w:spacing w:after="0" w:afterAutospacing="0"/>
              <w:ind w:firstLine="0"/>
              <w:rPr>
                <w:rFonts w:eastAsiaTheme="minorEastAsia"/>
                <w:lang w:eastAsia="zh-CN"/>
              </w:rPr>
            </w:pPr>
            <w:r>
              <w:rPr>
                <w:rFonts w:eastAsiaTheme="minorEastAsia"/>
                <w:lang w:eastAsia="zh-CN"/>
              </w:rPr>
              <w:t xml:space="preserve">For the CAPC value for PSFCH and S-SSB, we think more discussion should be had and can be FFS. More specifically, fixing CAPC value of PSFCH to 1 might be problematic. If </w:t>
            </w:r>
            <w:r w:rsidRPr="00123D93">
              <w:rPr>
                <w:rFonts w:eastAsiaTheme="minorEastAsia"/>
                <w:lang w:eastAsia="zh-CN"/>
              </w:rPr>
              <w:t>all the PSFCH</w:t>
            </w:r>
            <w:r>
              <w:rPr>
                <w:rFonts w:eastAsiaTheme="minorEastAsia"/>
                <w:lang w:eastAsia="zh-CN"/>
              </w:rPr>
              <w:t>s</w:t>
            </w:r>
            <w:r w:rsidRPr="00123D93">
              <w:rPr>
                <w:rFonts w:eastAsiaTheme="minorEastAsia"/>
                <w:lang w:eastAsia="zh-CN"/>
              </w:rPr>
              <w:t xml:space="preserve"> could occupy the channel </w:t>
            </w:r>
            <w:r>
              <w:rPr>
                <w:rFonts w:eastAsiaTheme="minorEastAsia"/>
                <w:lang w:eastAsia="zh-CN"/>
              </w:rPr>
              <w:t>very easily</w:t>
            </w:r>
            <w:r w:rsidRPr="00123D93">
              <w:rPr>
                <w:rFonts w:eastAsiaTheme="minorEastAsia"/>
                <w:lang w:eastAsia="zh-CN"/>
              </w:rPr>
              <w:t xml:space="preserve"> regardless of the corresponding </w:t>
            </w:r>
            <w:r>
              <w:rPr>
                <w:rFonts w:eastAsiaTheme="minorEastAsia"/>
                <w:lang w:eastAsia="zh-CN"/>
              </w:rPr>
              <w:t>L1</w:t>
            </w:r>
            <w:r w:rsidRPr="00123D93">
              <w:rPr>
                <w:rFonts w:eastAsiaTheme="minorEastAsia"/>
                <w:lang w:eastAsia="zh-CN"/>
              </w:rPr>
              <w:t xml:space="preserve"> priority, there will be one case th</w:t>
            </w:r>
            <w:r>
              <w:rPr>
                <w:rFonts w:eastAsiaTheme="minorEastAsia"/>
                <w:lang w:eastAsia="zh-CN"/>
              </w:rPr>
              <w:t>at</w:t>
            </w:r>
            <w:r w:rsidRPr="00123D93">
              <w:rPr>
                <w:rFonts w:eastAsiaTheme="minorEastAsia"/>
                <w:lang w:eastAsia="zh-CN"/>
              </w:rPr>
              <w:t xml:space="preserve"> PSFCH</w:t>
            </w:r>
            <w:r>
              <w:rPr>
                <w:rFonts w:eastAsiaTheme="minorEastAsia"/>
                <w:lang w:eastAsia="zh-CN"/>
              </w:rPr>
              <w:t>s</w:t>
            </w:r>
            <w:r w:rsidRPr="00123D93">
              <w:rPr>
                <w:rFonts w:eastAsiaTheme="minorEastAsia"/>
                <w:lang w:eastAsia="zh-CN"/>
              </w:rPr>
              <w:t xml:space="preserve"> with low priority</w:t>
            </w:r>
            <w:r>
              <w:rPr>
                <w:rFonts w:eastAsiaTheme="minorEastAsia"/>
                <w:lang w:eastAsia="zh-CN"/>
              </w:rPr>
              <w:t xml:space="preserve"> </w:t>
            </w:r>
            <w:r w:rsidRPr="00123D93">
              <w:rPr>
                <w:rFonts w:eastAsiaTheme="minorEastAsia"/>
                <w:lang w:eastAsia="zh-CN"/>
              </w:rPr>
              <w:t xml:space="preserve">block the LBT </w:t>
            </w:r>
            <w:r>
              <w:rPr>
                <w:rFonts w:eastAsiaTheme="minorEastAsia"/>
                <w:lang w:eastAsia="zh-CN"/>
              </w:rPr>
              <w:t xml:space="preserve">procedure </w:t>
            </w:r>
            <w:r w:rsidRPr="00123D93">
              <w:rPr>
                <w:rFonts w:eastAsiaTheme="minorEastAsia"/>
                <w:lang w:eastAsia="zh-CN"/>
              </w:rPr>
              <w:t>of PSSCH with higher priority</w:t>
            </w:r>
            <w:r>
              <w:rPr>
                <w:rFonts w:eastAsiaTheme="minorEastAsia"/>
                <w:lang w:eastAsia="zh-CN"/>
              </w:rPr>
              <w:t>, and high priority transmission, such as XR, is dropped or delayed</w:t>
            </w:r>
            <w:r w:rsidRPr="00123D93">
              <w:rPr>
                <w:rFonts w:eastAsiaTheme="minorEastAsia"/>
                <w:lang w:eastAsia="zh-CN"/>
              </w:rPr>
              <w:t>.</w:t>
            </w:r>
            <w:r>
              <w:rPr>
                <w:rFonts w:eastAsiaTheme="minorEastAsia"/>
                <w:lang w:eastAsia="zh-CN"/>
              </w:rPr>
              <w:t xml:space="preserve"> Note, this is different from NR-U design which fix PUCCH CAPC=1. In NR-U, the PUCCH transmission is scheduled and organized by gNB, so the inter-UE blocking is not very serious. However, for SL mode 2, the resources are derived by UE itself, which could heavily block each other. Considering this, we think a simplest </w:t>
            </w:r>
            <w:r>
              <w:rPr>
                <w:rFonts w:eastAsiaTheme="minorEastAsia"/>
                <w:lang w:eastAsia="zh-CN"/>
              </w:rPr>
              <w:lastRenderedPageBreak/>
              <w:t>design is making CAPC of PSFCH is equal to that of corresponding PSSCH, which is similar as R16 L1 priority rule. For S-SSB, since the discussion whether/how to have additional S-SSB location is not clear, fixing CAPC=1 might be not optimized. Therefore, we think more discussion should be had.</w:t>
            </w:r>
          </w:p>
          <w:p w14:paraId="06C97D64" w14:textId="77777777" w:rsidR="00650E3B" w:rsidRDefault="00650E3B" w:rsidP="000F6488">
            <w:pPr>
              <w:pStyle w:val="0Maintext"/>
              <w:spacing w:after="0" w:afterAutospacing="0"/>
              <w:ind w:firstLine="0"/>
              <w:rPr>
                <w:rFonts w:eastAsiaTheme="minorEastAsia"/>
                <w:lang w:eastAsia="zh-CN"/>
              </w:rPr>
            </w:pPr>
          </w:p>
          <w:p w14:paraId="7ADC22B1" w14:textId="77777777" w:rsidR="00650E3B" w:rsidRDefault="00650E3B" w:rsidP="000F6488">
            <w:pPr>
              <w:pStyle w:val="0Maintext"/>
              <w:spacing w:after="0" w:afterAutospacing="0"/>
              <w:ind w:firstLine="0"/>
            </w:pPr>
            <w:r>
              <w:t>Thus, we give some modifications in green font based on the FL’ proposal, as follow,</w:t>
            </w:r>
          </w:p>
          <w:p w14:paraId="6A2BD76F" w14:textId="77777777" w:rsidR="00650E3B" w:rsidRDefault="00650E3B" w:rsidP="000F6488">
            <w:pPr>
              <w:pStyle w:val="0Maintext"/>
              <w:spacing w:after="0" w:afterAutospacing="0"/>
              <w:ind w:firstLine="0"/>
              <w:rPr>
                <w:rFonts w:eastAsiaTheme="minorEastAsia"/>
                <w:lang w:eastAsia="zh-CN"/>
              </w:rPr>
            </w:pPr>
          </w:p>
          <w:p w14:paraId="2EF4B656" w14:textId="77777777" w:rsidR="00650E3B" w:rsidRPr="00B638B4" w:rsidRDefault="00650E3B" w:rsidP="000F6488">
            <w:pPr>
              <w:rPr>
                <w:rFonts w:asciiTheme="minorHAnsi" w:hAnsiTheme="minorHAnsi" w:cstheme="minorHAnsi"/>
                <w:sz w:val="22"/>
                <w:szCs w:val="22"/>
                <w:lang w:eastAsia="zh-CN"/>
              </w:rPr>
            </w:pPr>
            <w:r w:rsidRPr="00B638B4">
              <w:rPr>
                <w:rStyle w:val="Strong"/>
                <w:rFonts w:asciiTheme="minorHAnsi" w:hAnsiTheme="minorHAnsi" w:cstheme="minorHAnsi"/>
                <w:sz w:val="22"/>
                <w:szCs w:val="22"/>
                <w:highlight w:val="yellow"/>
              </w:rPr>
              <w:t>Proposal 1 (I</w:t>
            </w:r>
            <w:r>
              <w:rPr>
                <w:rStyle w:val="Strong"/>
                <w:rFonts w:asciiTheme="minorHAnsi" w:hAnsiTheme="minorHAnsi" w:cstheme="minorHAnsi"/>
                <w:sz w:val="22"/>
                <w:szCs w:val="22"/>
                <w:highlight w:val="yellow"/>
              </w:rPr>
              <w:t>II</w:t>
            </w:r>
            <w:r w:rsidRPr="00B638B4">
              <w:rPr>
                <w:rStyle w:val="Strong"/>
                <w:rFonts w:asciiTheme="minorHAnsi" w:hAnsiTheme="minorHAnsi" w:cstheme="minorHAnsi"/>
                <w:sz w:val="22"/>
                <w:szCs w:val="22"/>
                <w:highlight w:val="yellow"/>
              </w:rPr>
              <w:t>):</w:t>
            </w:r>
          </w:p>
          <w:p w14:paraId="7D03C220" w14:textId="77777777" w:rsidR="00650E3B" w:rsidRPr="00AE46B2" w:rsidRDefault="00650E3B" w:rsidP="000F6488">
            <w:pPr>
              <w:pStyle w:val="3GPPAgreements"/>
              <w:rPr>
                <w:rFonts w:asciiTheme="minorHAnsi" w:hAnsiTheme="minorHAnsi" w:cstheme="minorHAnsi"/>
              </w:rPr>
            </w:pPr>
            <w:r w:rsidRPr="00AE46B2">
              <w:rPr>
                <w:rFonts w:asciiTheme="minorHAnsi" w:hAnsiTheme="minorHAnsi" w:cstheme="minorHAnsi"/>
                <w:lang w:val="en-GB"/>
              </w:rPr>
              <w:t>Type 1 SL channel access procedure is applicable to the following transmissions by a UE:</w:t>
            </w:r>
          </w:p>
          <w:p w14:paraId="143B515F" w14:textId="77777777" w:rsidR="00650E3B" w:rsidRPr="00AE46B2" w:rsidRDefault="00650E3B" w:rsidP="000F6488">
            <w:pPr>
              <w:pStyle w:val="3GPPAgreements"/>
              <w:numPr>
                <w:ilvl w:val="1"/>
                <w:numId w:val="11"/>
              </w:numPr>
              <w:rPr>
                <w:rFonts w:asciiTheme="minorHAnsi" w:hAnsiTheme="minorHAnsi" w:cstheme="minorHAnsi"/>
              </w:rPr>
            </w:pPr>
            <w:r w:rsidRPr="00AE46B2">
              <w:rPr>
                <w:rFonts w:asciiTheme="minorHAnsi" w:hAnsiTheme="minorHAnsi" w:cstheme="minorHAnsi"/>
                <w:lang w:val="en-GB"/>
              </w:rPr>
              <w:t>PSSCH/PSCCH transmission(s) scheduled or configured by a gNB in SL Mode 1 resource allocation.</w:t>
            </w:r>
          </w:p>
          <w:p w14:paraId="42AD53D9" w14:textId="77777777" w:rsidR="00650E3B" w:rsidRPr="00C56982" w:rsidRDefault="00650E3B" w:rsidP="000F6488">
            <w:pPr>
              <w:pStyle w:val="3GPPAgreements"/>
              <w:numPr>
                <w:ilvl w:val="1"/>
                <w:numId w:val="11"/>
              </w:numPr>
              <w:rPr>
                <w:rFonts w:asciiTheme="minorHAnsi" w:hAnsiTheme="minorHAnsi" w:cstheme="minorHAnsi"/>
              </w:rPr>
            </w:pPr>
            <w:r w:rsidRPr="00AE46B2">
              <w:rPr>
                <w:rFonts w:asciiTheme="minorHAnsi" w:hAnsiTheme="minorHAnsi" w:cstheme="minorHAnsi"/>
                <w:lang w:val="en-GB"/>
              </w:rPr>
              <w:t>PSSCH/PSCCH transmission(s) initiated by a UE in SL Mode 2 resource allocation.</w:t>
            </w:r>
          </w:p>
          <w:p w14:paraId="0E76775D" w14:textId="77777777" w:rsidR="00650E3B" w:rsidRPr="00C56982" w:rsidRDefault="00650E3B" w:rsidP="000F6488">
            <w:pPr>
              <w:pStyle w:val="3GPPAgreements"/>
              <w:numPr>
                <w:ilvl w:val="1"/>
                <w:numId w:val="11"/>
              </w:numPr>
              <w:spacing w:after="120"/>
              <w:rPr>
                <w:rFonts w:asciiTheme="minorHAnsi" w:hAnsiTheme="minorHAnsi" w:cstheme="minorHAnsi"/>
                <w:color w:val="00B050"/>
              </w:rPr>
            </w:pPr>
            <w:r w:rsidRPr="00C56982">
              <w:rPr>
                <w:rFonts w:asciiTheme="minorHAnsi" w:hAnsiTheme="minorHAnsi" w:cstheme="minorHAnsi"/>
                <w:color w:val="00B050"/>
                <w:lang w:val="en-GB"/>
              </w:rPr>
              <w:t xml:space="preserve">S-SSB and PSFCH transmissions from a UE </w:t>
            </w:r>
          </w:p>
          <w:p w14:paraId="71CDE1DB" w14:textId="77777777" w:rsidR="00650E3B" w:rsidRPr="00C56982" w:rsidRDefault="00650E3B" w:rsidP="000F6488">
            <w:pPr>
              <w:pStyle w:val="3GPPAgreements"/>
              <w:numPr>
                <w:ilvl w:val="2"/>
                <w:numId w:val="11"/>
              </w:numPr>
              <w:spacing w:after="120"/>
              <w:rPr>
                <w:rFonts w:asciiTheme="minorHAnsi" w:hAnsiTheme="minorHAnsi" w:cstheme="minorHAnsi"/>
                <w:color w:val="00B050"/>
              </w:rPr>
            </w:pPr>
            <w:r w:rsidRPr="00C56982">
              <w:rPr>
                <w:rFonts w:asciiTheme="minorHAnsi" w:hAnsiTheme="minorHAnsi" w:cstheme="minorHAnsi"/>
                <w:color w:val="00B050"/>
              </w:rPr>
              <w:t xml:space="preserve">FFS: the CAPC for S-SSB and PSFCH </w:t>
            </w:r>
          </w:p>
          <w:p w14:paraId="025E7BCF" w14:textId="77777777" w:rsidR="00650E3B" w:rsidRPr="00EC0B67" w:rsidRDefault="00650E3B" w:rsidP="000F6488">
            <w:pPr>
              <w:pStyle w:val="3GPPAgreements"/>
              <w:numPr>
                <w:ilvl w:val="1"/>
                <w:numId w:val="11"/>
              </w:numPr>
              <w:rPr>
                <w:rFonts w:asciiTheme="minorHAnsi" w:hAnsiTheme="minorHAnsi" w:cstheme="minorHAnsi"/>
                <w:color w:val="FF0000"/>
              </w:rPr>
            </w:pPr>
            <w:r w:rsidRPr="00EC0B67">
              <w:rPr>
                <w:rFonts w:asciiTheme="minorHAnsi" w:hAnsiTheme="minorHAnsi" w:cstheme="minorHAnsi"/>
                <w:color w:val="FF0000"/>
                <w:szCs w:val="28"/>
              </w:rPr>
              <w:t>A UE uses a channel access priority class applicable to the sidelink user plane data multiplexed in PSSCH for performing the Type 1 channel access procedures to transmit transmission(s) including PSSCH with user plane data and its associated PSCCH.</w:t>
            </w:r>
          </w:p>
          <w:p w14:paraId="7DC06161" w14:textId="77777777" w:rsidR="00650E3B" w:rsidRPr="00EC0B67" w:rsidRDefault="00650E3B" w:rsidP="000F6488">
            <w:pPr>
              <w:pStyle w:val="3GPPAgreements"/>
              <w:numPr>
                <w:ilvl w:val="1"/>
                <w:numId w:val="11"/>
              </w:numPr>
              <w:rPr>
                <w:rFonts w:asciiTheme="minorHAnsi" w:hAnsiTheme="minorHAnsi" w:cstheme="minorHAnsi"/>
                <w:color w:val="FF0000"/>
              </w:rPr>
            </w:pPr>
            <w:r w:rsidRPr="00EC0B67">
              <w:rPr>
                <w:rFonts w:asciiTheme="minorHAnsi" w:hAnsiTheme="minorHAnsi" w:cstheme="minorHAnsi"/>
                <w:color w:val="FF0000"/>
                <w:szCs w:val="28"/>
              </w:rPr>
              <w:t xml:space="preserve">A UE shall not transmit on a channel for a </w:t>
            </w:r>
            <w:r w:rsidRPr="00EC0B67">
              <w:rPr>
                <w:rFonts w:asciiTheme="minorHAnsi" w:hAnsiTheme="minorHAnsi" w:cstheme="minorHAnsi"/>
                <w:i/>
                <w:color w:val="FF0000"/>
                <w:szCs w:val="28"/>
              </w:rPr>
              <w:t>Channel Occupancy Time</w:t>
            </w:r>
            <w:r w:rsidRPr="00EC0B67">
              <w:rPr>
                <w:rFonts w:asciiTheme="minorHAnsi" w:hAnsiTheme="minorHAnsi" w:cstheme="minorHAnsi"/>
                <w:color w:val="FF0000"/>
                <w:szCs w:val="28"/>
              </w:rPr>
              <w:t xml:space="preserve"> that exceeds </w:t>
            </w:r>
            <m:oMath>
              <m:sSub>
                <m:sSubPr>
                  <m:ctrlPr>
                    <w:rPr>
                      <w:rFonts w:ascii="Cambria Math" w:hAnsi="Cambria Math" w:cstheme="minorHAnsi"/>
                      <w:i/>
                      <w:color w:val="FF0000"/>
                      <w:szCs w:val="28"/>
                    </w:rPr>
                  </m:ctrlPr>
                </m:sSubPr>
                <m:e>
                  <m:r>
                    <w:rPr>
                      <w:rFonts w:ascii="Cambria Math" w:hAnsi="Cambria Math" w:cstheme="minorHAnsi"/>
                      <w:color w:val="FF0000"/>
                      <w:szCs w:val="28"/>
                    </w:rPr>
                    <m:t>T</m:t>
                  </m:r>
                </m:e>
                <m:sub>
                  <m:r>
                    <w:rPr>
                      <w:rFonts w:ascii="Cambria Math" w:hAnsi="Cambria Math" w:cstheme="minorHAnsi"/>
                      <w:color w:val="FF0000"/>
                      <w:szCs w:val="28"/>
                    </w:rPr>
                    <m:t>m</m:t>
                  </m:r>
                  <m:func>
                    <m:funcPr>
                      <m:ctrlPr>
                        <w:rPr>
                          <w:rFonts w:ascii="Cambria Math" w:hAnsi="Cambria Math" w:cstheme="minorHAnsi"/>
                          <w:i/>
                          <w:color w:val="FF0000"/>
                          <w:szCs w:val="28"/>
                        </w:rPr>
                      </m:ctrlPr>
                    </m:funcPr>
                    <m:fName>
                      <m:r>
                        <w:rPr>
                          <w:rFonts w:ascii="Cambria Math" w:hAnsi="Cambria Math" w:cstheme="minorHAnsi"/>
                          <w:color w:val="FF0000"/>
                          <w:szCs w:val="28"/>
                        </w:rPr>
                        <m:t>cot,</m:t>
                      </m:r>
                    </m:fName>
                    <m:e>
                      <m:r>
                        <w:rPr>
                          <w:rFonts w:ascii="Cambria Math" w:hAnsi="Cambria Math" w:cstheme="minorHAnsi"/>
                          <w:color w:val="FF0000"/>
                          <w:szCs w:val="28"/>
                        </w:rPr>
                        <m:t>p</m:t>
                      </m:r>
                    </m:e>
                  </m:func>
                </m:sub>
              </m:sSub>
            </m:oMath>
            <w:r w:rsidRPr="00EC0B67">
              <w:rPr>
                <w:rFonts w:asciiTheme="minorHAnsi" w:hAnsiTheme="minorHAnsi" w:cstheme="minorHAnsi"/>
                <w:color w:val="FF0000"/>
                <w:szCs w:val="28"/>
              </w:rPr>
              <w:t xml:space="preserve"> where the channel access procedures are performed based on a channel access priority class </w:t>
            </w:r>
            <m:oMath>
              <m:r>
                <w:rPr>
                  <w:rFonts w:ascii="Cambria Math" w:hAnsi="Cambria Math" w:cstheme="minorHAnsi"/>
                  <w:color w:val="FF0000"/>
                  <w:szCs w:val="28"/>
                </w:rPr>
                <m:t>p</m:t>
              </m:r>
            </m:oMath>
            <w:r w:rsidRPr="00EC0B67">
              <w:rPr>
                <w:rFonts w:asciiTheme="minorHAnsi" w:hAnsiTheme="minorHAnsi" w:cstheme="minorHAnsi"/>
                <w:color w:val="FF0000"/>
                <w:szCs w:val="28"/>
              </w:rPr>
              <w:t xml:space="preserve"> associated with the UE transmissions, as given in CAPC table for SL.</w:t>
            </w:r>
          </w:p>
          <w:p w14:paraId="5864B462" w14:textId="77777777" w:rsidR="00650E3B" w:rsidRPr="00E80E96" w:rsidRDefault="00650E3B" w:rsidP="000F6488">
            <w:pPr>
              <w:pStyle w:val="3GPPAgreements"/>
              <w:numPr>
                <w:ilvl w:val="1"/>
                <w:numId w:val="11"/>
              </w:numPr>
              <w:spacing w:after="120"/>
              <w:rPr>
                <w:rFonts w:asciiTheme="minorHAnsi" w:hAnsiTheme="minorHAnsi" w:cstheme="minorHAnsi"/>
              </w:rPr>
            </w:pPr>
            <w:r w:rsidRPr="00CA14A6">
              <w:rPr>
                <w:rFonts w:asciiTheme="minorHAnsi" w:hAnsiTheme="minorHAnsi" w:cstheme="minorHAnsi"/>
                <w:color w:val="FF0000"/>
                <w:lang w:val="en-GB"/>
              </w:rPr>
              <w:t xml:space="preserve">FFS: </w:t>
            </w:r>
            <w:r w:rsidRPr="006A2AE2">
              <w:rPr>
                <w:rFonts w:asciiTheme="minorHAnsi" w:hAnsiTheme="minorHAnsi" w:cstheme="minorHAnsi"/>
                <w:strike/>
                <w:color w:val="FF0000"/>
                <w:lang w:val="en-GB"/>
              </w:rPr>
              <w:t>Other</w:t>
            </w:r>
            <w:r w:rsidRPr="006A2AE2">
              <w:rPr>
                <w:rFonts w:asciiTheme="minorHAnsi" w:hAnsiTheme="minorHAnsi" w:cstheme="minorHAnsi"/>
                <w:color w:val="FF0000"/>
                <w:lang w:val="en-GB"/>
              </w:rPr>
              <w:t xml:space="preserve"> S-SSB and PSFCH</w:t>
            </w:r>
            <w:r>
              <w:rPr>
                <w:rFonts w:asciiTheme="minorHAnsi" w:hAnsiTheme="minorHAnsi" w:cstheme="minorHAnsi"/>
                <w:lang w:val="en-GB"/>
              </w:rPr>
              <w:t xml:space="preserve"> </w:t>
            </w:r>
            <w:r w:rsidRPr="00AE46B2">
              <w:rPr>
                <w:rFonts w:asciiTheme="minorHAnsi" w:hAnsiTheme="minorHAnsi" w:cstheme="minorHAnsi"/>
                <w:lang w:val="en-GB"/>
              </w:rPr>
              <w:t>transmission</w:t>
            </w:r>
            <w:r>
              <w:rPr>
                <w:rFonts w:asciiTheme="minorHAnsi" w:hAnsiTheme="minorHAnsi" w:cstheme="minorHAnsi"/>
                <w:lang w:val="en-GB"/>
              </w:rPr>
              <w:t>s</w:t>
            </w:r>
            <w:r w:rsidRPr="00AE46B2">
              <w:rPr>
                <w:rFonts w:asciiTheme="minorHAnsi" w:hAnsiTheme="minorHAnsi" w:cstheme="minorHAnsi"/>
                <w:lang w:val="en-GB"/>
              </w:rPr>
              <w:t xml:space="preserve"> </w:t>
            </w:r>
            <w:r>
              <w:rPr>
                <w:rFonts w:asciiTheme="minorHAnsi" w:hAnsiTheme="minorHAnsi" w:cstheme="minorHAnsi"/>
                <w:lang w:val="en-GB"/>
              </w:rPr>
              <w:t>from</w:t>
            </w:r>
            <w:r w:rsidRPr="00AE46B2">
              <w:rPr>
                <w:rFonts w:asciiTheme="minorHAnsi" w:hAnsiTheme="minorHAnsi" w:cstheme="minorHAnsi"/>
                <w:lang w:val="en-GB"/>
              </w:rPr>
              <w:t xml:space="preserve"> a UE</w:t>
            </w:r>
            <w:r>
              <w:rPr>
                <w:rFonts w:asciiTheme="minorHAnsi" w:hAnsiTheme="minorHAnsi" w:cstheme="minorHAnsi"/>
                <w:lang w:val="en-GB"/>
              </w:rPr>
              <w:t xml:space="preserve"> </w:t>
            </w:r>
            <w:r w:rsidRPr="00934DE8">
              <w:rPr>
                <w:rFonts w:asciiTheme="minorHAnsi" w:hAnsiTheme="minorHAnsi" w:cstheme="minorHAnsi"/>
                <w:color w:val="FF0000"/>
                <w:lang w:val="en-GB"/>
              </w:rPr>
              <w:t>(including whether groupcast option 1 is supported in SL-U, and if supported, whether Type 1 channel access procedure is applied for groupcast option 1)</w:t>
            </w:r>
          </w:p>
          <w:p w14:paraId="2A6904F8" w14:textId="77777777" w:rsidR="00650E3B" w:rsidRPr="00C56982" w:rsidRDefault="00650E3B" w:rsidP="000F6488">
            <w:pPr>
              <w:pStyle w:val="3GPPAgreements"/>
              <w:numPr>
                <w:ilvl w:val="2"/>
                <w:numId w:val="11"/>
              </w:numPr>
              <w:spacing w:after="120"/>
              <w:rPr>
                <w:rFonts w:asciiTheme="minorHAnsi" w:hAnsiTheme="minorHAnsi" w:cstheme="minorHAnsi"/>
                <w:color w:val="FF0000"/>
              </w:rPr>
            </w:pPr>
            <w:r w:rsidRPr="00E80E96">
              <w:rPr>
                <w:rFonts w:asciiTheme="minorHAnsi" w:hAnsiTheme="minorHAnsi" w:cstheme="minorHAnsi"/>
                <w:color w:val="FF0000"/>
                <w:lang w:val="en-GB"/>
              </w:rPr>
              <w:t xml:space="preserve">If supported, </w:t>
            </w:r>
            <w:r w:rsidRPr="00E80E96">
              <w:rPr>
                <w:rFonts w:asciiTheme="minorHAnsi" w:hAnsiTheme="minorHAnsi" w:cstheme="minorHAnsi"/>
                <w:color w:val="FF0000"/>
              </w:rPr>
              <w:t xml:space="preserve">whether CAPC for S-SSB and PSFCH should be fixed to </w:t>
            </w:r>
            <m:oMath>
              <m:r>
                <w:rPr>
                  <w:rFonts w:ascii="Cambria Math" w:hAnsi="Cambria Math"/>
                  <w:color w:val="FF0000"/>
                </w:rPr>
                <m:t>p=1</m:t>
              </m:r>
            </m:oMath>
          </w:p>
        </w:tc>
      </w:tr>
      <w:tr w:rsidR="00650E3B" w14:paraId="176EC8D2" w14:textId="77777777" w:rsidTr="00650E3B">
        <w:tc>
          <w:tcPr>
            <w:tcW w:w="1555" w:type="dxa"/>
          </w:tcPr>
          <w:p w14:paraId="38304944" w14:textId="77777777" w:rsidR="00650E3B" w:rsidRDefault="00650E3B" w:rsidP="000F6488">
            <w:pPr>
              <w:pStyle w:val="0Maintext"/>
              <w:spacing w:after="0" w:afterAutospacing="0"/>
              <w:ind w:firstLine="0"/>
            </w:pPr>
            <w:r>
              <w:rPr>
                <w:rFonts w:asciiTheme="minorHAnsi" w:eastAsia="SimSun" w:hAnsiTheme="minorHAnsi" w:cstheme="minorHAnsi" w:hint="eastAsia"/>
                <w:sz w:val="22"/>
                <w:lang w:eastAsia="zh-CN"/>
              </w:rPr>
              <w:lastRenderedPageBreak/>
              <w:t>x</w:t>
            </w:r>
            <w:r w:rsidRPr="003B3602">
              <w:rPr>
                <w:rFonts w:asciiTheme="minorHAnsi" w:eastAsia="SimSun" w:hAnsiTheme="minorHAnsi" w:cstheme="minorHAnsi"/>
                <w:sz w:val="22"/>
                <w:lang w:eastAsia="zh-CN"/>
              </w:rPr>
              <w:t>iaomi</w:t>
            </w:r>
          </w:p>
        </w:tc>
        <w:tc>
          <w:tcPr>
            <w:tcW w:w="8076" w:type="dxa"/>
          </w:tcPr>
          <w:p w14:paraId="2F77867A" w14:textId="77777777" w:rsidR="00650E3B" w:rsidRPr="003B3602" w:rsidRDefault="00650E3B" w:rsidP="000F6488">
            <w:pPr>
              <w:pStyle w:val="0Maintext"/>
              <w:spacing w:after="0" w:afterAutospacing="0"/>
              <w:ind w:firstLine="0"/>
              <w:rPr>
                <w:rFonts w:eastAsiaTheme="minorEastAsia"/>
                <w:lang w:eastAsia="zh-CN"/>
              </w:rPr>
            </w:pPr>
            <w:r>
              <w:rPr>
                <w:rFonts w:eastAsiaTheme="minorEastAsia"/>
                <w:lang w:eastAsia="zh-CN"/>
              </w:rPr>
              <w:t>We support the FL’s proposal.</w:t>
            </w:r>
          </w:p>
        </w:tc>
      </w:tr>
      <w:tr w:rsidR="000279F7" w14:paraId="785B88A4" w14:textId="77777777" w:rsidTr="000279F7">
        <w:tc>
          <w:tcPr>
            <w:tcW w:w="1555" w:type="dxa"/>
          </w:tcPr>
          <w:p w14:paraId="4AB04D96" w14:textId="77777777" w:rsidR="000279F7" w:rsidRDefault="000279F7" w:rsidP="000F6488">
            <w:pPr>
              <w:pStyle w:val="0Maintext"/>
              <w:spacing w:after="0" w:afterAutospacing="0"/>
              <w:ind w:firstLine="0"/>
              <w:rPr>
                <w:rFonts w:asciiTheme="minorHAnsi" w:eastAsia="SimSun" w:hAnsiTheme="minorHAnsi" w:cstheme="minorHAnsi"/>
                <w:sz w:val="22"/>
                <w:lang w:eastAsia="zh-CN"/>
              </w:rPr>
            </w:pPr>
            <w:r>
              <w:rPr>
                <w:rFonts w:asciiTheme="minorHAnsi" w:eastAsia="SimSun" w:hAnsiTheme="minorHAnsi" w:cstheme="minorHAnsi" w:hint="eastAsia"/>
                <w:sz w:val="22"/>
                <w:lang w:eastAsia="zh-CN"/>
              </w:rPr>
              <w:t>ZTE,Sanechips</w:t>
            </w:r>
          </w:p>
        </w:tc>
        <w:tc>
          <w:tcPr>
            <w:tcW w:w="8076" w:type="dxa"/>
          </w:tcPr>
          <w:p w14:paraId="689D5F3D" w14:textId="77777777" w:rsidR="000279F7" w:rsidRDefault="000279F7" w:rsidP="000F6488">
            <w:pPr>
              <w:pStyle w:val="0Maintext"/>
              <w:spacing w:after="0" w:afterAutospacing="0"/>
              <w:ind w:firstLine="0"/>
              <w:rPr>
                <w:rFonts w:eastAsiaTheme="minorEastAsia"/>
                <w:lang w:eastAsia="zh-CN"/>
              </w:rPr>
            </w:pPr>
            <w:r>
              <w:rPr>
                <w:rFonts w:eastAsiaTheme="minorEastAsia" w:hint="eastAsia"/>
                <w:lang w:eastAsia="zh-CN"/>
              </w:rPr>
              <w:t>OK</w:t>
            </w:r>
          </w:p>
        </w:tc>
      </w:tr>
      <w:tr w:rsidR="000279F7" w14:paraId="54D73100" w14:textId="77777777" w:rsidTr="000279F7">
        <w:tc>
          <w:tcPr>
            <w:tcW w:w="1555" w:type="dxa"/>
          </w:tcPr>
          <w:p w14:paraId="6A95E17A" w14:textId="77777777" w:rsidR="000279F7" w:rsidRDefault="000279F7" w:rsidP="000F6488">
            <w:pPr>
              <w:pStyle w:val="0Maintext"/>
              <w:spacing w:after="0" w:afterAutospacing="0"/>
              <w:ind w:firstLine="0"/>
              <w:rPr>
                <w:rFonts w:asciiTheme="minorHAnsi" w:eastAsia="SimSun" w:hAnsiTheme="minorHAnsi" w:cstheme="minorHAnsi"/>
                <w:sz w:val="22"/>
                <w:lang w:eastAsia="zh-CN"/>
              </w:rPr>
            </w:pPr>
            <w:r>
              <w:rPr>
                <w:rFonts w:asciiTheme="minorHAnsi" w:eastAsia="SimSun" w:hAnsiTheme="minorHAnsi" w:cstheme="minorHAnsi" w:hint="eastAsia"/>
                <w:sz w:val="22"/>
                <w:lang w:eastAsia="zh-CN"/>
              </w:rPr>
              <w:t>NEC</w:t>
            </w:r>
          </w:p>
        </w:tc>
        <w:tc>
          <w:tcPr>
            <w:tcW w:w="8076" w:type="dxa"/>
          </w:tcPr>
          <w:p w14:paraId="12F806B9" w14:textId="77777777" w:rsidR="000279F7" w:rsidRDefault="000279F7" w:rsidP="000F6488">
            <w:pPr>
              <w:pStyle w:val="0Maintext"/>
              <w:spacing w:after="0" w:afterAutospacing="0"/>
              <w:ind w:firstLine="0"/>
              <w:rPr>
                <w:rFonts w:eastAsiaTheme="minorEastAsia"/>
                <w:lang w:eastAsia="zh-CN"/>
              </w:rPr>
            </w:pPr>
            <w:r>
              <w:rPr>
                <w:rFonts w:eastAsiaTheme="minorEastAsia"/>
                <w:lang w:eastAsia="zh-CN"/>
              </w:rPr>
              <w:t>We generally agree with the proposal.</w:t>
            </w:r>
          </w:p>
          <w:p w14:paraId="5026B548" w14:textId="77777777" w:rsidR="000279F7" w:rsidRDefault="000279F7" w:rsidP="000F6488">
            <w:pPr>
              <w:pStyle w:val="0Maintext"/>
              <w:spacing w:after="0" w:afterAutospacing="0"/>
              <w:ind w:firstLine="0"/>
              <w:rPr>
                <w:rFonts w:eastAsiaTheme="minorEastAsia"/>
                <w:lang w:eastAsia="zh-CN"/>
              </w:rPr>
            </w:pPr>
            <w:r>
              <w:rPr>
                <w:rFonts w:eastAsiaTheme="minorEastAsia"/>
                <w:lang w:eastAsia="zh-CN"/>
              </w:rPr>
              <w:t>For the last bullet, it is proposed to update as:</w:t>
            </w:r>
          </w:p>
          <w:p w14:paraId="78056F55" w14:textId="77777777" w:rsidR="000279F7" w:rsidRPr="00D421B3" w:rsidRDefault="000279F7">
            <w:pPr>
              <w:pStyle w:val="3GPPAgreements"/>
              <w:numPr>
                <w:ilvl w:val="1"/>
                <w:numId w:val="54"/>
              </w:numPr>
              <w:spacing w:after="120"/>
              <w:textAlignment w:val="auto"/>
              <w:rPr>
                <w:rFonts w:eastAsiaTheme="minorEastAsia"/>
              </w:rPr>
            </w:pPr>
            <w:r>
              <w:rPr>
                <w:rFonts w:asciiTheme="minorHAnsi" w:hAnsiTheme="minorHAnsi" w:cstheme="minorHAnsi"/>
                <w:color w:val="FF0000"/>
                <w:lang w:val="en-GB"/>
              </w:rPr>
              <w:t xml:space="preserve">FFS: </w:t>
            </w:r>
            <w:r>
              <w:rPr>
                <w:rFonts w:asciiTheme="minorHAnsi" w:hAnsiTheme="minorHAnsi" w:cstheme="minorHAnsi"/>
                <w:strike/>
                <w:color w:val="FF0000"/>
                <w:lang w:val="en-GB"/>
              </w:rPr>
              <w:t>Other</w:t>
            </w:r>
            <w:r>
              <w:rPr>
                <w:rFonts w:asciiTheme="minorHAnsi" w:hAnsiTheme="minorHAnsi" w:cstheme="minorHAnsi"/>
                <w:color w:val="FF0000"/>
                <w:lang w:val="en-GB"/>
              </w:rPr>
              <w:t xml:space="preserve"> S-SSB and PSFCH</w:t>
            </w:r>
            <w:r>
              <w:rPr>
                <w:rFonts w:asciiTheme="minorHAnsi" w:hAnsiTheme="minorHAnsi" w:cstheme="minorHAnsi"/>
                <w:lang w:val="en-GB"/>
              </w:rPr>
              <w:t xml:space="preserve"> transmissions from a UE</w:t>
            </w:r>
            <w:r>
              <w:rPr>
                <w:rFonts w:asciiTheme="minorHAnsi" w:hAnsiTheme="minorHAnsi" w:cstheme="minorHAnsi"/>
                <w:strike/>
                <w:lang w:val="en-GB"/>
              </w:rPr>
              <w:t xml:space="preserve"> </w:t>
            </w:r>
            <w:r>
              <w:rPr>
                <w:rFonts w:asciiTheme="minorHAnsi" w:hAnsiTheme="minorHAnsi" w:cstheme="minorHAnsi"/>
                <w:strike/>
                <w:color w:val="FF0000"/>
                <w:lang w:val="en-GB"/>
              </w:rPr>
              <w:t>(including whether groupcast option 1 is supported in SL-U, and if supported, whether Type 1 channel access procedure is applied for groupcast option 1)</w:t>
            </w:r>
          </w:p>
          <w:p w14:paraId="038D0A77" w14:textId="77777777" w:rsidR="000279F7" w:rsidRDefault="000279F7">
            <w:pPr>
              <w:pStyle w:val="3GPPAgreements"/>
              <w:numPr>
                <w:ilvl w:val="2"/>
                <w:numId w:val="54"/>
              </w:numPr>
              <w:spacing w:after="120"/>
              <w:textAlignment w:val="auto"/>
              <w:rPr>
                <w:rFonts w:eastAsiaTheme="minorEastAsia"/>
              </w:rPr>
            </w:pPr>
            <w:r>
              <w:rPr>
                <w:rFonts w:asciiTheme="minorHAnsi" w:hAnsiTheme="minorHAnsi" w:cstheme="minorHAnsi"/>
                <w:color w:val="FF0000"/>
              </w:rPr>
              <w:t xml:space="preserve">If supported, whether CAPC for S-SSB and PSFCH should be fixed to </w:t>
            </w:r>
            <m:oMath>
              <m:r>
                <w:rPr>
                  <w:rFonts w:ascii="Cambria Math" w:hAnsi="Cambria Math"/>
                  <w:color w:val="FF0000"/>
                </w:rPr>
                <m:t>p=1</m:t>
              </m:r>
            </m:oMath>
          </w:p>
        </w:tc>
      </w:tr>
    </w:tbl>
    <w:p w14:paraId="7006156C" w14:textId="3470C067" w:rsidR="0075097B" w:rsidRDefault="0075097B" w:rsidP="008A2865">
      <w:pPr>
        <w:autoSpaceDE w:val="0"/>
        <w:autoSpaceDN w:val="0"/>
        <w:spacing w:after="120"/>
        <w:jc w:val="both"/>
        <w:rPr>
          <w:rFonts w:ascii="Calibri" w:hAnsi="Calibri" w:cs="Calibri"/>
          <w:sz w:val="22"/>
        </w:rPr>
      </w:pPr>
    </w:p>
    <w:p w14:paraId="51014014" w14:textId="3A35467E" w:rsidR="0075097B" w:rsidRDefault="0075097B" w:rsidP="0075097B">
      <w:pPr>
        <w:pStyle w:val="Heading3"/>
      </w:pPr>
      <w:r>
        <w:t>FL Proposal for Week 1 Thursday GTW session</w:t>
      </w:r>
    </w:p>
    <w:p w14:paraId="1AB70150" w14:textId="64B61F5E" w:rsidR="00E758CC" w:rsidRPr="00D567B9" w:rsidRDefault="00E758CC" w:rsidP="00E758CC">
      <w:pPr>
        <w:autoSpaceDE w:val="0"/>
        <w:autoSpaceDN w:val="0"/>
        <w:spacing w:before="120" w:after="120"/>
        <w:jc w:val="both"/>
        <w:rPr>
          <w:rFonts w:ascii="Calibri" w:hAnsi="Calibri" w:cs="Calibri"/>
          <w:sz w:val="22"/>
          <w:u w:val="single"/>
        </w:rPr>
      </w:pPr>
      <w:r w:rsidRPr="00D567B9">
        <w:rPr>
          <w:rFonts w:ascii="Calibri" w:hAnsi="Calibri" w:cs="Calibri"/>
          <w:sz w:val="22"/>
          <w:u w:val="single"/>
        </w:rPr>
        <w:t xml:space="preserve">FL </w:t>
      </w:r>
      <w:r>
        <w:rPr>
          <w:rFonts w:ascii="Calibri" w:hAnsi="Calibri" w:cs="Calibri"/>
          <w:sz w:val="22"/>
          <w:u w:val="single"/>
        </w:rPr>
        <w:t>responses</w:t>
      </w:r>
      <w:r w:rsidRPr="00D567B9">
        <w:rPr>
          <w:rFonts w:ascii="Calibri" w:hAnsi="Calibri" w:cs="Calibri"/>
          <w:sz w:val="22"/>
          <w:u w:val="single"/>
        </w:rPr>
        <w:t xml:space="preserve"> based on </w:t>
      </w:r>
      <w:r>
        <w:rPr>
          <w:rFonts w:ascii="Calibri" w:hAnsi="Calibri" w:cs="Calibri"/>
          <w:sz w:val="22"/>
          <w:u w:val="single"/>
        </w:rPr>
        <w:t>inputs in Section 3.1.3</w:t>
      </w:r>
      <w:r w:rsidRPr="00D567B9">
        <w:rPr>
          <w:rFonts w:ascii="Calibri" w:hAnsi="Calibri" w:cs="Calibri"/>
          <w:sz w:val="22"/>
          <w:u w:val="single"/>
        </w:rPr>
        <w:t>:</w:t>
      </w:r>
    </w:p>
    <w:p w14:paraId="6492061C" w14:textId="4514F12B" w:rsidR="0075097B" w:rsidRDefault="00844EB2" w:rsidP="00E758CC">
      <w:pPr>
        <w:pStyle w:val="ListParagraph"/>
        <w:numPr>
          <w:ilvl w:val="0"/>
          <w:numId w:val="18"/>
        </w:numPr>
        <w:autoSpaceDE w:val="0"/>
        <w:autoSpaceDN w:val="0"/>
        <w:spacing w:after="120"/>
        <w:ind w:leftChars="0"/>
        <w:jc w:val="both"/>
        <w:rPr>
          <w:rFonts w:ascii="Calibri" w:hAnsi="Calibri" w:cs="Calibri"/>
          <w:sz w:val="22"/>
        </w:rPr>
      </w:pPr>
      <w:r>
        <w:rPr>
          <w:rFonts w:ascii="Calibri" w:hAnsi="Calibri" w:cs="Calibri"/>
          <w:sz w:val="22"/>
        </w:rPr>
        <w:t>Most of the comments are addressed in the following Proposal 1 (IV). For vivo’s comment on MAC CE, an FFS sub-bullet is added because that does not belong to user plane data.</w:t>
      </w:r>
    </w:p>
    <w:p w14:paraId="4F74CB7F" w14:textId="232C8933" w:rsidR="00844EB2" w:rsidRDefault="00844EB2" w:rsidP="00E758CC">
      <w:pPr>
        <w:pStyle w:val="ListParagraph"/>
        <w:numPr>
          <w:ilvl w:val="0"/>
          <w:numId w:val="18"/>
        </w:numPr>
        <w:autoSpaceDE w:val="0"/>
        <w:autoSpaceDN w:val="0"/>
        <w:spacing w:after="120"/>
        <w:ind w:leftChars="0"/>
        <w:jc w:val="both"/>
        <w:rPr>
          <w:rFonts w:ascii="Calibri" w:hAnsi="Calibri" w:cs="Calibri"/>
          <w:sz w:val="22"/>
        </w:rPr>
      </w:pPr>
      <w:r>
        <w:rPr>
          <w:rFonts w:ascii="Calibri" w:hAnsi="Calibri" w:cs="Calibri"/>
          <w:sz w:val="22"/>
        </w:rPr>
        <w:t xml:space="preserve">Regarding Qualcomm’s proposal to support Type 1 LBT for all channel types, also supported by DCM and Lenovo, currently not every company </w:t>
      </w:r>
      <w:r w:rsidR="007A64D6">
        <w:rPr>
          <w:rFonts w:ascii="Calibri" w:hAnsi="Calibri" w:cs="Calibri"/>
          <w:sz w:val="22"/>
        </w:rPr>
        <w:t>shares the same view that Type 1 will be applied to S-SSB and PSFCH. It seems like further discussion is needed on this point together with how to set the CAPC value for S-SSB and PSFCH before the concerning companies are able to accept the proposal. Since there are quite some supports for LGE’s proposed modification, let’s go with that for now.</w:t>
      </w:r>
    </w:p>
    <w:p w14:paraId="4E3BEB43" w14:textId="77777777" w:rsidR="00E758CC" w:rsidRPr="00E758CC" w:rsidRDefault="00E758CC" w:rsidP="00E758CC">
      <w:pPr>
        <w:autoSpaceDE w:val="0"/>
        <w:autoSpaceDN w:val="0"/>
        <w:spacing w:after="120"/>
        <w:jc w:val="both"/>
        <w:rPr>
          <w:rFonts w:ascii="Calibri" w:hAnsi="Calibri" w:cs="Calibri"/>
          <w:sz w:val="22"/>
        </w:rPr>
      </w:pPr>
    </w:p>
    <w:p w14:paraId="24C30361" w14:textId="026226B4" w:rsidR="0075097B" w:rsidRPr="00B638B4" w:rsidRDefault="0075097B" w:rsidP="0075097B">
      <w:pPr>
        <w:rPr>
          <w:rFonts w:asciiTheme="minorHAnsi" w:hAnsiTheme="minorHAnsi" w:cstheme="minorHAnsi"/>
          <w:sz w:val="22"/>
          <w:szCs w:val="22"/>
          <w:lang w:eastAsia="zh-CN"/>
        </w:rPr>
      </w:pPr>
      <w:r w:rsidRPr="00650E3B">
        <w:rPr>
          <w:rStyle w:val="Strong"/>
          <w:rFonts w:asciiTheme="minorHAnsi" w:hAnsiTheme="minorHAnsi" w:cstheme="minorHAnsi"/>
          <w:sz w:val="22"/>
          <w:szCs w:val="22"/>
        </w:rPr>
        <w:lastRenderedPageBreak/>
        <w:t>Proposal 1 (IV):</w:t>
      </w:r>
    </w:p>
    <w:p w14:paraId="68656BFD" w14:textId="77777777" w:rsidR="0075097B" w:rsidRPr="00E758CC" w:rsidRDefault="0075097B" w:rsidP="00E758CC">
      <w:pPr>
        <w:pStyle w:val="3GPPAgreements"/>
        <w:spacing w:after="0"/>
        <w:rPr>
          <w:rFonts w:asciiTheme="minorHAnsi" w:hAnsiTheme="minorHAnsi" w:cstheme="minorHAnsi"/>
        </w:rPr>
      </w:pPr>
      <w:r w:rsidRPr="00E758CC">
        <w:rPr>
          <w:rFonts w:asciiTheme="minorHAnsi" w:hAnsiTheme="minorHAnsi" w:cstheme="minorHAnsi"/>
          <w:lang w:val="en-GB"/>
        </w:rPr>
        <w:t>Type 1 SL channel access procedure is applicable to the following transmissions by a UE:</w:t>
      </w:r>
    </w:p>
    <w:p w14:paraId="15ECBB41" w14:textId="77777777" w:rsidR="0075097B" w:rsidRPr="00E758CC" w:rsidRDefault="0075097B" w:rsidP="00E758CC">
      <w:pPr>
        <w:pStyle w:val="3GPPAgreements"/>
        <w:numPr>
          <w:ilvl w:val="1"/>
          <w:numId w:val="11"/>
        </w:numPr>
        <w:spacing w:after="0"/>
        <w:rPr>
          <w:rFonts w:asciiTheme="minorHAnsi" w:hAnsiTheme="minorHAnsi" w:cstheme="minorHAnsi"/>
        </w:rPr>
      </w:pPr>
      <w:r w:rsidRPr="00E758CC">
        <w:rPr>
          <w:rFonts w:asciiTheme="minorHAnsi" w:hAnsiTheme="minorHAnsi" w:cstheme="minorHAnsi"/>
          <w:lang w:val="en-GB"/>
        </w:rPr>
        <w:t>PSSCH/PSCCH transmission(s) scheduled or configured by a gNB in SL Mode 1 resource allocation.</w:t>
      </w:r>
    </w:p>
    <w:p w14:paraId="35D86722" w14:textId="77777777" w:rsidR="0075097B" w:rsidRPr="00E758CC" w:rsidRDefault="0075097B" w:rsidP="00E758CC">
      <w:pPr>
        <w:pStyle w:val="3GPPAgreements"/>
        <w:numPr>
          <w:ilvl w:val="1"/>
          <w:numId w:val="11"/>
        </w:numPr>
        <w:spacing w:after="0"/>
        <w:rPr>
          <w:rFonts w:asciiTheme="minorHAnsi" w:hAnsiTheme="minorHAnsi" w:cstheme="minorHAnsi"/>
        </w:rPr>
      </w:pPr>
      <w:r w:rsidRPr="00E758CC">
        <w:rPr>
          <w:rFonts w:asciiTheme="minorHAnsi" w:hAnsiTheme="minorHAnsi" w:cstheme="minorHAnsi"/>
          <w:lang w:val="en-GB"/>
        </w:rPr>
        <w:t>PSSCH/PSCCH transmission(s) initiated by a UE in SL Mode 2 resource allocation.</w:t>
      </w:r>
    </w:p>
    <w:p w14:paraId="6847E4AB" w14:textId="77777777" w:rsidR="00E758CC" w:rsidRPr="00E758CC" w:rsidRDefault="00E758CC" w:rsidP="00E758CC">
      <w:pPr>
        <w:pStyle w:val="3GPPAgreements"/>
        <w:numPr>
          <w:ilvl w:val="1"/>
          <w:numId w:val="11"/>
        </w:numPr>
        <w:spacing w:after="0"/>
        <w:rPr>
          <w:rFonts w:asciiTheme="minorHAnsi" w:hAnsiTheme="minorHAnsi" w:cstheme="minorHAnsi"/>
        </w:rPr>
      </w:pPr>
      <w:r w:rsidRPr="00E758CC">
        <w:rPr>
          <w:rFonts w:asciiTheme="minorHAnsi" w:hAnsiTheme="minorHAnsi" w:cstheme="minorHAnsi"/>
          <w:color w:val="FF0000"/>
          <w:lang w:val="en-GB"/>
        </w:rPr>
        <w:t xml:space="preserve">FFS: </w:t>
      </w:r>
      <w:r w:rsidRPr="00E758CC">
        <w:rPr>
          <w:rFonts w:asciiTheme="minorHAnsi" w:hAnsiTheme="minorHAnsi" w:cstheme="minorHAnsi"/>
          <w:strike/>
          <w:color w:val="FF0000"/>
          <w:lang w:val="en-GB"/>
        </w:rPr>
        <w:t>Other</w:t>
      </w:r>
      <w:r w:rsidRPr="00E758CC">
        <w:rPr>
          <w:rFonts w:asciiTheme="minorHAnsi" w:hAnsiTheme="minorHAnsi" w:cstheme="minorHAnsi"/>
          <w:color w:val="FF0000"/>
          <w:lang w:val="en-GB"/>
        </w:rPr>
        <w:t xml:space="preserve"> S-SSB and PSFCH</w:t>
      </w:r>
      <w:r w:rsidRPr="00E758CC">
        <w:rPr>
          <w:rFonts w:asciiTheme="minorHAnsi" w:hAnsiTheme="minorHAnsi" w:cstheme="minorHAnsi"/>
          <w:lang w:val="en-GB"/>
        </w:rPr>
        <w:t xml:space="preserve"> transmissions from a UE </w:t>
      </w:r>
      <w:r w:rsidRPr="00E758CC">
        <w:rPr>
          <w:rFonts w:asciiTheme="minorHAnsi" w:hAnsiTheme="minorHAnsi" w:cstheme="minorHAnsi"/>
          <w:color w:val="FF0000"/>
          <w:lang w:val="en-GB"/>
        </w:rPr>
        <w:t>(including whether groupcast option 1 is supported in SL-U, and if supported, whether Type 1 channel access procedure is applied for groupcast option 1)</w:t>
      </w:r>
    </w:p>
    <w:p w14:paraId="291C74A0" w14:textId="77777777" w:rsidR="00E758CC" w:rsidRPr="00E758CC" w:rsidRDefault="00E758CC" w:rsidP="00E758CC">
      <w:pPr>
        <w:pStyle w:val="3GPPAgreements"/>
        <w:numPr>
          <w:ilvl w:val="2"/>
          <w:numId w:val="11"/>
        </w:numPr>
        <w:spacing w:after="0"/>
        <w:rPr>
          <w:rFonts w:asciiTheme="minorHAnsi" w:hAnsiTheme="minorHAnsi" w:cstheme="minorHAnsi"/>
          <w:color w:val="FF0000"/>
        </w:rPr>
      </w:pPr>
      <w:r w:rsidRPr="00E758CC">
        <w:rPr>
          <w:rFonts w:asciiTheme="minorHAnsi" w:hAnsiTheme="minorHAnsi" w:cstheme="minorHAnsi"/>
          <w:color w:val="FF0000"/>
          <w:lang w:val="en-GB"/>
        </w:rPr>
        <w:t xml:space="preserve">If supported, </w:t>
      </w:r>
      <w:r w:rsidRPr="00E758CC">
        <w:rPr>
          <w:rFonts w:asciiTheme="minorHAnsi" w:hAnsiTheme="minorHAnsi" w:cstheme="minorHAnsi"/>
          <w:color w:val="FF0000"/>
        </w:rPr>
        <w:t>how to set CAPC for S-SSB and PSFCH</w:t>
      </w:r>
    </w:p>
    <w:p w14:paraId="49F957DF" w14:textId="13A5DC0D" w:rsidR="0075097B" w:rsidRDefault="0075097B" w:rsidP="00E758CC">
      <w:pPr>
        <w:pStyle w:val="3GPPAgreements"/>
        <w:spacing w:after="0"/>
        <w:rPr>
          <w:rFonts w:asciiTheme="minorHAnsi" w:hAnsiTheme="minorHAnsi" w:cstheme="minorHAnsi"/>
          <w:color w:val="FF0000"/>
        </w:rPr>
      </w:pPr>
      <w:r w:rsidRPr="00E758CC">
        <w:rPr>
          <w:rFonts w:asciiTheme="minorHAnsi" w:hAnsiTheme="minorHAnsi" w:cstheme="minorHAnsi"/>
          <w:color w:val="FF0000"/>
        </w:rPr>
        <w:t>A UE uses a channel access priority class applicable to the sidelink user plane data multiplexed in PSSCH for performing the Type 1 channel access procedures to transmit transmission(s) including PSSCH with user plane data and its associated PSCCH.</w:t>
      </w:r>
    </w:p>
    <w:p w14:paraId="5CF7A48E" w14:textId="2D883129" w:rsidR="00E758CC" w:rsidRPr="00E758CC" w:rsidRDefault="00E758CC" w:rsidP="00E758CC">
      <w:pPr>
        <w:pStyle w:val="3GPPAgreements"/>
        <w:numPr>
          <w:ilvl w:val="1"/>
          <w:numId w:val="11"/>
        </w:numPr>
        <w:spacing w:after="0"/>
        <w:rPr>
          <w:rFonts w:asciiTheme="minorHAnsi" w:hAnsiTheme="minorHAnsi" w:cstheme="minorHAnsi"/>
          <w:color w:val="FF0000"/>
        </w:rPr>
      </w:pPr>
      <w:r>
        <w:rPr>
          <w:rFonts w:asciiTheme="minorHAnsi" w:hAnsiTheme="minorHAnsi" w:cstheme="minorHAnsi"/>
          <w:color w:val="FF0000"/>
        </w:rPr>
        <w:t>FFS how to set CAPC for MAC CE multiplexed in PSSCH</w:t>
      </w:r>
    </w:p>
    <w:p w14:paraId="7DACDBA7" w14:textId="77777777" w:rsidR="0075097B" w:rsidRPr="00E758CC" w:rsidRDefault="0075097B" w:rsidP="00E758CC">
      <w:pPr>
        <w:pStyle w:val="3GPPAgreements"/>
        <w:spacing w:after="0"/>
        <w:rPr>
          <w:rFonts w:asciiTheme="minorHAnsi" w:hAnsiTheme="minorHAnsi" w:cstheme="minorHAnsi"/>
          <w:color w:val="FF0000"/>
        </w:rPr>
      </w:pPr>
      <w:r w:rsidRPr="00E758CC">
        <w:rPr>
          <w:rFonts w:asciiTheme="minorHAnsi" w:hAnsiTheme="minorHAnsi" w:cstheme="minorHAnsi"/>
          <w:color w:val="FF0000"/>
        </w:rPr>
        <w:t xml:space="preserve">A UE shall not transmit on a channel for a </w:t>
      </w:r>
      <w:r w:rsidRPr="00E758CC">
        <w:rPr>
          <w:rFonts w:asciiTheme="minorHAnsi" w:hAnsiTheme="minorHAnsi" w:cstheme="minorHAnsi"/>
          <w:i/>
          <w:color w:val="FF0000"/>
        </w:rPr>
        <w:t>Channel Occupancy Time</w:t>
      </w:r>
      <w:r w:rsidRPr="00E758CC">
        <w:rPr>
          <w:rFonts w:asciiTheme="minorHAnsi" w:hAnsiTheme="minorHAnsi" w:cstheme="minorHAnsi"/>
          <w:color w:val="FF0000"/>
        </w:rPr>
        <w:t xml:space="preserve"> that exceeds </w:t>
      </w:r>
      <m:oMath>
        <m:sSub>
          <m:sSubPr>
            <m:ctrlPr>
              <w:rPr>
                <w:rFonts w:ascii="Cambria Math" w:hAnsi="Cambria Math" w:cstheme="minorHAnsi"/>
                <w:i/>
                <w:color w:val="FF0000"/>
              </w:rPr>
            </m:ctrlPr>
          </m:sSubPr>
          <m:e>
            <m:r>
              <w:rPr>
                <w:rFonts w:ascii="Cambria Math" w:hAnsi="Cambria Math" w:cstheme="minorHAnsi"/>
                <w:color w:val="FF0000"/>
              </w:rPr>
              <m:t>T</m:t>
            </m:r>
          </m:e>
          <m:sub>
            <m:r>
              <w:rPr>
                <w:rFonts w:ascii="Cambria Math" w:hAnsi="Cambria Math" w:cstheme="minorHAnsi"/>
                <w:color w:val="FF0000"/>
              </w:rPr>
              <m:t>m</m:t>
            </m:r>
            <m:func>
              <m:funcPr>
                <m:ctrlPr>
                  <w:rPr>
                    <w:rFonts w:ascii="Cambria Math" w:hAnsi="Cambria Math" w:cstheme="minorHAnsi"/>
                    <w:i/>
                    <w:color w:val="FF0000"/>
                  </w:rPr>
                </m:ctrlPr>
              </m:funcPr>
              <m:fName>
                <m:r>
                  <w:rPr>
                    <w:rFonts w:ascii="Cambria Math" w:hAnsi="Cambria Math" w:cstheme="minorHAnsi"/>
                    <w:color w:val="FF0000"/>
                  </w:rPr>
                  <m:t>cot,</m:t>
                </m:r>
              </m:fName>
              <m:e>
                <m:r>
                  <w:rPr>
                    <w:rFonts w:ascii="Cambria Math" w:hAnsi="Cambria Math" w:cstheme="minorHAnsi"/>
                    <w:color w:val="FF0000"/>
                  </w:rPr>
                  <m:t>p</m:t>
                </m:r>
              </m:e>
            </m:func>
          </m:sub>
        </m:sSub>
      </m:oMath>
      <w:r w:rsidRPr="00E758CC">
        <w:rPr>
          <w:rFonts w:asciiTheme="minorHAnsi" w:hAnsiTheme="minorHAnsi" w:cstheme="minorHAnsi"/>
          <w:color w:val="FF0000"/>
        </w:rPr>
        <w:t xml:space="preserve"> where the channel access procedures are performed based on a channel access priority class </w:t>
      </w:r>
      <m:oMath>
        <m:r>
          <w:rPr>
            <w:rFonts w:ascii="Cambria Math" w:hAnsi="Cambria Math" w:cstheme="minorHAnsi"/>
            <w:color w:val="FF0000"/>
          </w:rPr>
          <m:t>p</m:t>
        </m:r>
      </m:oMath>
      <w:r w:rsidRPr="00E758CC">
        <w:rPr>
          <w:rFonts w:asciiTheme="minorHAnsi" w:hAnsiTheme="minorHAnsi" w:cstheme="minorHAnsi"/>
          <w:color w:val="FF0000"/>
        </w:rPr>
        <w:t xml:space="preserve"> associated with the UE transmissions, as given in CAPC table for SL.</w:t>
      </w:r>
    </w:p>
    <w:p w14:paraId="6AB642D2" w14:textId="73CF4E26" w:rsidR="0075097B" w:rsidRDefault="0075097B" w:rsidP="008A2865">
      <w:pPr>
        <w:autoSpaceDE w:val="0"/>
        <w:autoSpaceDN w:val="0"/>
        <w:spacing w:after="120"/>
        <w:jc w:val="both"/>
        <w:rPr>
          <w:rFonts w:ascii="Calibri" w:hAnsi="Calibri" w:cs="Calibri"/>
          <w:sz w:val="22"/>
          <w:lang w:val="en-US"/>
        </w:rPr>
      </w:pPr>
    </w:p>
    <w:p w14:paraId="61B55C75" w14:textId="7CC1E2E1" w:rsidR="00650E3B" w:rsidRDefault="00650E3B" w:rsidP="00635131">
      <w:pPr>
        <w:pStyle w:val="Heading3"/>
        <w:spacing w:after="240"/>
      </w:pPr>
      <w:r>
        <w:t>Agreement from Week 1 Thursday GTW session</w:t>
      </w:r>
      <w:r w:rsidR="00635131">
        <w:t xml:space="preserve"> (13/Oct/2022)</w:t>
      </w:r>
    </w:p>
    <w:p w14:paraId="2E48F5EB" w14:textId="77777777" w:rsidR="00635131" w:rsidRPr="00635131" w:rsidRDefault="00635131" w:rsidP="00635131">
      <w:pPr>
        <w:pStyle w:val="TdocHeader2"/>
        <w:rPr>
          <w:rFonts w:ascii="Times New Roman" w:hAnsi="Times New Roman"/>
          <w:bCs/>
          <w:sz w:val="20"/>
          <w:lang w:eastAsia="zh-CN"/>
        </w:rPr>
      </w:pPr>
      <w:r w:rsidRPr="00635131">
        <w:rPr>
          <w:rFonts w:ascii="Times New Roman" w:hAnsi="Times New Roman"/>
          <w:bCs/>
          <w:sz w:val="20"/>
          <w:highlight w:val="green"/>
          <w:lang w:eastAsia="zh-CN"/>
        </w:rPr>
        <w:t>Agreement</w:t>
      </w:r>
    </w:p>
    <w:p w14:paraId="400EFB35" w14:textId="77777777" w:rsidR="00635131" w:rsidRPr="00635131" w:rsidRDefault="00635131">
      <w:pPr>
        <w:pStyle w:val="ListParagraph"/>
        <w:numPr>
          <w:ilvl w:val="0"/>
          <w:numId w:val="55"/>
        </w:numPr>
        <w:autoSpaceDE w:val="0"/>
        <w:autoSpaceDN w:val="0"/>
        <w:adjustRightInd w:val="0"/>
        <w:snapToGrid w:val="0"/>
        <w:spacing w:line="276" w:lineRule="auto"/>
        <w:ind w:leftChars="100" w:left="560"/>
        <w:jc w:val="both"/>
        <w:rPr>
          <w:rFonts w:ascii="Times New Roman" w:hAnsi="Times New Roman"/>
          <w:szCs w:val="20"/>
        </w:rPr>
      </w:pPr>
      <w:r w:rsidRPr="00635131">
        <w:rPr>
          <w:rFonts w:ascii="Times New Roman" w:hAnsi="Times New Roman"/>
          <w:szCs w:val="20"/>
        </w:rPr>
        <w:t>Type 1 SL channel access procedure is applicable to the following transmissions by a UE:</w:t>
      </w:r>
    </w:p>
    <w:p w14:paraId="19C7FAFF" w14:textId="77777777" w:rsidR="00635131" w:rsidRPr="00635131" w:rsidRDefault="00635131">
      <w:pPr>
        <w:pStyle w:val="ListParagraph"/>
        <w:numPr>
          <w:ilvl w:val="1"/>
          <w:numId w:val="55"/>
        </w:numPr>
        <w:autoSpaceDE w:val="0"/>
        <w:autoSpaceDN w:val="0"/>
        <w:adjustRightInd w:val="0"/>
        <w:snapToGrid w:val="0"/>
        <w:spacing w:line="276" w:lineRule="auto"/>
        <w:ind w:leftChars="0"/>
        <w:jc w:val="both"/>
        <w:rPr>
          <w:rFonts w:ascii="Times New Roman" w:hAnsi="Times New Roman"/>
          <w:szCs w:val="20"/>
        </w:rPr>
      </w:pPr>
      <w:r w:rsidRPr="00635131">
        <w:rPr>
          <w:rFonts w:ascii="Times New Roman" w:hAnsi="Times New Roman"/>
          <w:szCs w:val="20"/>
        </w:rPr>
        <w:t>PSSCH/PSCCH transmission(s) scheduled or configured by a gNB in SL Mode 1 resource allocation.</w:t>
      </w:r>
    </w:p>
    <w:p w14:paraId="27F4BAD7" w14:textId="77777777" w:rsidR="00635131" w:rsidRPr="00635131" w:rsidRDefault="00635131">
      <w:pPr>
        <w:pStyle w:val="ListParagraph"/>
        <w:numPr>
          <w:ilvl w:val="1"/>
          <w:numId w:val="55"/>
        </w:numPr>
        <w:autoSpaceDE w:val="0"/>
        <w:autoSpaceDN w:val="0"/>
        <w:adjustRightInd w:val="0"/>
        <w:snapToGrid w:val="0"/>
        <w:spacing w:line="276" w:lineRule="auto"/>
        <w:ind w:leftChars="0"/>
        <w:jc w:val="both"/>
        <w:rPr>
          <w:rFonts w:ascii="Times New Roman" w:hAnsi="Times New Roman"/>
          <w:szCs w:val="20"/>
        </w:rPr>
      </w:pPr>
      <w:r w:rsidRPr="00635131">
        <w:rPr>
          <w:rFonts w:ascii="Times New Roman" w:hAnsi="Times New Roman"/>
          <w:szCs w:val="20"/>
        </w:rPr>
        <w:t>PSSCH/PSCCH transmission(s) from the UE in SL Mode 2 resource allocation.</w:t>
      </w:r>
    </w:p>
    <w:p w14:paraId="72B09867" w14:textId="77777777" w:rsidR="00635131" w:rsidRPr="00635131" w:rsidRDefault="00635131">
      <w:pPr>
        <w:pStyle w:val="ListParagraph"/>
        <w:numPr>
          <w:ilvl w:val="1"/>
          <w:numId w:val="55"/>
        </w:numPr>
        <w:autoSpaceDE w:val="0"/>
        <w:autoSpaceDN w:val="0"/>
        <w:adjustRightInd w:val="0"/>
        <w:snapToGrid w:val="0"/>
        <w:spacing w:line="276" w:lineRule="auto"/>
        <w:ind w:leftChars="0"/>
        <w:jc w:val="both"/>
        <w:rPr>
          <w:rFonts w:ascii="Times New Roman" w:hAnsi="Times New Roman"/>
          <w:szCs w:val="20"/>
        </w:rPr>
      </w:pPr>
      <w:r w:rsidRPr="00635131">
        <w:rPr>
          <w:rFonts w:ascii="Times New Roman" w:hAnsi="Times New Roman"/>
          <w:szCs w:val="20"/>
        </w:rPr>
        <w:t>Other SL transmissions including S-SSB and PSFCH transmissions from a UE</w:t>
      </w:r>
    </w:p>
    <w:p w14:paraId="7BD3A080" w14:textId="77777777" w:rsidR="00635131" w:rsidRPr="00635131" w:rsidRDefault="00635131">
      <w:pPr>
        <w:pStyle w:val="ListParagraph"/>
        <w:numPr>
          <w:ilvl w:val="2"/>
          <w:numId w:val="55"/>
        </w:numPr>
        <w:autoSpaceDE w:val="0"/>
        <w:autoSpaceDN w:val="0"/>
        <w:adjustRightInd w:val="0"/>
        <w:snapToGrid w:val="0"/>
        <w:spacing w:line="276" w:lineRule="auto"/>
        <w:ind w:leftChars="0"/>
        <w:jc w:val="both"/>
        <w:rPr>
          <w:rFonts w:ascii="Times New Roman" w:hAnsi="Times New Roman"/>
          <w:szCs w:val="20"/>
        </w:rPr>
      </w:pPr>
      <w:r w:rsidRPr="00635131">
        <w:rPr>
          <w:rFonts w:ascii="Times New Roman" w:hAnsi="Times New Roman"/>
          <w:szCs w:val="20"/>
        </w:rPr>
        <w:t>FFS: how to set CAPC for S-SSB and PSFCH</w:t>
      </w:r>
    </w:p>
    <w:p w14:paraId="00C13CB9" w14:textId="77777777" w:rsidR="00635131" w:rsidRPr="00635131" w:rsidRDefault="00635131">
      <w:pPr>
        <w:pStyle w:val="ListParagraph"/>
        <w:numPr>
          <w:ilvl w:val="1"/>
          <w:numId w:val="55"/>
        </w:numPr>
        <w:autoSpaceDE w:val="0"/>
        <w:autoSpaceDN w:val="0"/>
        <w:adjustRightInd w:val="0"/>
        <w:snapToGrid w:val="0"/>
        <w:spacing w:line="276" w:lineRule="auto"/>
        <w:ind w:leftChars="0"/>
        <w:jc w:val="both"/>
        <w:rPr>
          <w:rFonts w:ascii="Times New Roman" w:hAnsi="Times New Roman"/>
          <w:szCs w:val="20"/>
        </w:rPr>
      </w:pPr>
      <w:r w:rsidRPr="00635131">
        <w:rPr>
          <w:rFonts w:ascii="Times New Roman" w:hAnsi="Times New Roman"/>
          <w:szCs w:val="20"/>
        </w:rPr>
        <w:t>Note: Type 1 can be used to initiate a COT</w:t>
      </w:r>
    </w:p>
    <w:p w14:paraId="1043402E" w14:textId="77777777" w:rsidR="00635131" w:rsidRPr="00635131" w:rsidRDefault="00635131">
      <w:pPr>
        <w:pStyle w:val="ListParagraph"/>
        <w:numPr>
          <w:ilvl w:val="0"/>
          <w:numId w:val="55"/>
        </w:numPr>
        <w:autoSpaceDE w:val="0"/>
        <w:autoSpaceDN w:val="0"/>
        <w:adjustRightInd w:val="0"/>
        <w:snapToGrid w:val="0"/>
        <w:spacing w:line="276" w:lineRule="auto"/>
        <w:ind w:leftChars="100" w:left="560"/>
        <w:jc w:val="both"/>
        <w:rPr>
          <w:rFonts w:ascii="Times New Roman" w:hAnsi="Times New Roman"/>
          <w:szCs w:val="20"/>
        </w:rPr>
      </w:pPr>
      <w:r w:rsidRPr="00635131">
        <w:rPr>
          <w:rFonts w:ascii="Times New Roman" w:hAnsi="Times New Roman"/>
          <w:szCs w:val="20"/>
        </w:rPr>
        <w:t>A UE uses a channel access priority class applicable to the sidelink user plane data multiplexed in PSSCH for performing the Type 1 channel access procedures to transmit transmission(s) including PSSCH with user plane data and its associated PSCCH.</w:t>
      </w:r>
    </w:p>
    <w:p w14:paraId="7F01D650" w14:textId="77777777" w:rsidR="00635131" w:rsidRPr="00635131" w:rsidRDefault="00635131">
      <w:pPr>
        <w:pStyle w:val="ListParagraph"/>
        <w:numPr>
          <w:ilvl w:val="1"/>
          <w:numId w:val="55"/>
        </w:numPr>
        <w:autoSpaceDE w:val="0"/>
        <w:autoSpaceDN w:val="0"/>
        <w:adjustRightInd w:val="0"/>
        <w:snapToGrid w:val="0"/>
        <w:spacing w:line="276" w:lineRule="auto"/>
        <w:ind w:leftChars="0"/>
        <w:jc w:val="both"/>
        <w:rPr>
          <w:rFonts w:ascii="Times New Roman" w:hAnsi="Times New Roman"/>
          <w:szCs w:val="20"/>
        </w:rPr>
      </w:pPr>
      <w:r w:rsidRPr="00635131">
        <w:rPr>
          <w:rFonts w:ascii="Times New Roman" w:hAnsi="Times New Roman"/>
          <w:szCs w:val="20"/>
        </w:rPr>
        <w:t>Note: how to set CAPC for MAC CE multiplexed in PSSCH is up to RAN2</w:t>
      </w:r>
    </w:p>
    <w:p w14:paraId="0487A9D9" w14:textId="77777777" w:rsidR="00635131" w:rsidRPr="00635131" w:rsidRDefault="00635131">
      <w:pPr>
        <w:pStyle w:val="ListParagraph"/>
        <w:numPr>
          <w:ilvl w:val="0"/>
          <w:numId w:val="55"/>
        </w:numPr>
        <w:autoSpaceDE w:val="0"/>
        <w:autoSpaceDN w:val="0"/>
        <w:adjustRightInd w:val="0"/>
        <w:snapToGrid w:val="0"/>
        <w:spacing w:line="276" w:lineRule="auto"/>
        <w:ind w:leftChars="100" w:left="560"/>
        <w:jc w:val="both"/>
        <w:rPr>
          <w:rFonts w:ascii="Times New Roman" w:hAnsi="Times New Roman"/>
          <w:szCs w:val="20"/>
        </w:rPr>
      </w:pPr>
      <w:r w:rsidRPr="00635131">
        <w:rPr>
          <w:rFonts w:ascii="Times New Roman" w:hAnsi="Times New Roman"/>
          <w:szCs w:val="20"/>
        </w:rPr>
        <w:t xml:space="preserve">A UE shall not transmit on a channel for a Channel Occupancy Time that exceeds the maximum COT duration where the channel access procedures are performed based on a channel access priority class </w:t>
      </w:r>
      <w:r w:rsidRPr="00635131">
        <w:rPr>
          <w:rFonts w:ascii="Times New Roman" w:hAnsi="Times New Roman"/>
          <w:i/>
          <w:szCs w:val="20"/>
        </w:rPr>
        <w:t>p</w:t>
      </w:r>
      <w:r w:rsidRPr="00635131">
        <w:rPr>
          <w:rFonts w:ascii="Times New Roman" w:hAnsi="Times New Roman"/>
          <w:szCs w:val="20"/>
        </w:rPr>
        <w:t xml:space="preserve"> </w:t>
      </w:r>
      <w:r w:rsidRPr="00635131">
        <w:rPr>
          <w:rFonts w:ascii="Times New Roman" w:hAnsi="Times New Roman"/>
          <w:szCs w:val="20"/>
        </w:rPr>
        <w:fldChar w:fldCharType="begin"/>
      </w:r>
      <w:r w:rsidRPr="00635131">
        <w:rPr>
          <w:rFonts w:ascii="Times New Roman" w:hAnsi="Times New Roman"/>
          <w:szCs w:val="20"/>
        </w:rPr>
        <w:instrText xml:space="preserve"> QUOTE </w:instrText>
      </w:r>
      <m:oMath>
        <m:r>
          <m:rPr>
            <m:sty m:val="p"/>
          </m:rPr>
          <w:rPr>
            <w:rFonts w:ascii="Cambria Math" w:hAnsi="Cambria Math"/>
            <w:color w:val="FF0000"/>
            <w:szCs w:val="20"/>
          </w:rPr>
          <m:t>p</m:t>
        </m:r>
      </m:oMath>
      <w:r w:rsidRPr="00635131">
        <w:rPr>
          <w:rFonts w:ascii="Times New Roman" w:hAnsi="Times New Roman"/>
          <w:szCs w:val="20"/>
        </w:rPr>
        <w:instrText xml:space="preserve"> </w:instrText>
      </w:r>
      <w:r w:rsidRPr="00635131">
        <w:rPr>
          <w:rFonts w:ascii="Times New Roman" w:hAnsi="Times New Roman"/>
          <w:szCs w:val="20"/>
        </w:rPr>
        <w:fldChar w:fldCharType="end"/>
      </w:r>
      <w:r w:rsidRPr="00635131">
        <w:rPr>
          <w:rFonts w:ascii="Times New Roman" w:hAnsi="Times New Roman"/>
          <w:szCs w:val="20"/>
        </w:rPr>
        <w:t>associated with the UE transmissions, as given in CAPC table for SL.</w:t>
      </w:r>
    </w:p>
    <w:p w14:paraId="43E7CA4E" w14:textId="77777777" w:rsidR="00635131" w:rsidRPr="00650E3B" w:rsidRDefault="00635131" w:rsidP="008A2865">
      <w:pPr>
        <w:autoSpaceDE w:val="0"/>
        <w:autoSpaceDN w:val="0"/>
        <w:spacing w:after="120"/>
        <w:jc w:val="both"/>
        <w:rPr>
          <w:rFonts w:ascii="Calibri" w:hAnsi="Calibri" w:cs="Calibri"/>
          <w:sz w:val="22"/>
        </w:rPr>
      </w:pPr>
    </w:p>
    <w:p w14:paraId="70A04C9E" w14:textId="77777777" w:rsidR="0052044C" w:rsidRDefault="0052044C">
      <w:pPr>
        <w:rPr>
          <w:rFonts w:ascii="Arial" w:hAnsi="Arial"/>
          <w:b/>
          <w:bCs/>
          <w:i/>
          <w:iCs/>
          <w:color w:val="000000" w:themeColor="text1"/>
          <w:sz w:val="24"/>
          <w:szCs w:val="28"/>
          <w:lang w:eastAsia="x-none"/>
        </w:rPr>
      </w:pPr>
      <w:r>
        <w:rPr>
          <w:color w:val="000000" w:themeColor="text1"/>
        </w:rPr>
        <w:br w:type="page"/>
      </w:r>
    </w:p>
    <w:p w14:paraId="5FF4C6C2" w14:textId="12C026E1" w:rsidR="0017237F" w:rsidRPr="00A81B19" w:rsidRDefault="005379E4" w:rsidP="0017237F">
      <w:pPr>
        <w:pStyle w:val="Heading2"/>
        <w:rPr>
          <w:color w:val="000000" w:themeColor="text1"/>
        </w:rPr>
      </w:pPr>
      <w:r>
        <w:rPr>
          <w:color w:val="000000" w:themeColor="text1"/>
        </w:rPr>
        <w:lastRenderedPageBreak/>
        <w:t xml:space="preserve">[ACTIVE] </w:t>
      </w:r>
      <w:r w:rsidR="0017237F" w:rsidRPr="00A81B19">
        <w:rPr>
          <w:color w:val="000000" w:themeColor="text1"/>
        </w:rPr>
        <w:t xml:space="preserve">Topic #2: </w:t>
      </w:r>
      <w:r w:rsidR="008C46B5">
        <w:rPr>
          <w:color w:val="000000" w:themeColor="text1"/>
        </w:rPr>
        <w:t>CAPC table and CW adjustment</w:t>
      </w:r>
      <w:r w:rsidR="00DB1F62">
        <w:rPr>
          <w:color w:val="000000" w:themeColor="text1"/>
        </w:rPr>
        <w:t xml:space="preserve"> in Type 1 LBT</w:t>
      </w:r>
    </w:p>
    <w:p w14:paraId="4C79EE3F" w14:textId="0F9C4864" w:rsidR="0017237F" w:rsidRDefault="0017237F" w:rsidP="0017237F">
      <w:pPr>
        <w:autoSpaceDE w:val="0"/>
        <w:autoSpaceDN w:val="0"/>
        <w:jc w:val="both"/>
        <w:rPr>
          <w:rFonts w:ascii="Calibri" w:hAnsi="Calibri" w:cs="Calibri"/>
          <w:color w:val="000000" w:themeColor="text1"/>
          <w:sz w:val="22"/>
        </w:rPr>
      </w:pPr>
      <w:r w:rsidRPr="00F11BA6">
        <w:rPr>
          <w:rFonts w:ascii="Calibri" w:hAnsi="Calibri" w:cs="Calibri"/>
          <w:b/>
          <w:bCs/>
          <w:color w:val="000000" w:themeColor="text1"/>
          <w:sz w:val="22"/>
          <w:u w:val="single"/>
        </w:rPr>
        <w:t>Background</w:t>
      </w:r>
      <w:r w:rsidRPr="00F11BA6">
        <w:rPr>
          <w:rFonts w:ascii="Calibri" w:hAnsi="Calibri" w:cs="Calibri"/>
          <w:color w:val="000000" w:themeColor="text1"/>
          <w:sz w:val="22"/>
        </w:rPr>
        <w:t xml:space="preserve">: </w:t>
      </w:r>
    </w:p>
    <w:p w14:paraId="67A2E2FD" w14:textId="6B554253" w:rsidR="00A21876" w:rsidRPr="0029596D" w:rsidRDefault="00A21876" w:rsidP="00C61CA7">
      <w:pPr>
        <w:autoSpaceDE w:val="0"/>
        <w:autoSpaceDN w:val="0"/>
        <w:spacing w:after="120"/>
        <w:jc w:val="both"/>
        <w:rPr>
          <w:rFonts w:ascii="Calibri" w:hAnsi="Calibri" w:cs="Calibri"/>
          <w:color w:val="000000" w:themeColor="text1"/>
          <w:sz w:val="22"/>
        </w:rPr>
      </w:pPr>
      <w:r w:rsidRPr="0029596D">
        <w:rPr>
          <w:rFonts w:ascii="Calibri" w:hAnsi="Calibri" w:cs="Calibri"/>
          <w:color w:val="000000" w:themeColor="text1"/>
          <w:sz w:val="22"/>
        </w:rPr>
        <w:t xml:space="preserve">In the </w:t>
      </w:r>
      <w:r w:rsidR="00356193" w:rsidRPr="0029596D">
        <w:rPr>
          <w:rFonts w:ascii="Calibri" w:hAnsi="Calibri" w:cs="Calibri"/>
          <w:color w:val="000000" w:themeColor="text1"/>
          <w:sz w:val="22"/>
        </w:rPr>
        <w:t xml:space="preserve">two </w:t>
      </w:r>
      <w:r w:rsidRPr="0029596D">
        <w:rPr>
          <w:rFonts w:ascii="Calibri" w:hAnsi="Calibri" w:cs="Calibri"/>
          <w:color w:val="000000" w:themeColor="text1"/>
          <w:sz w:val="22"/>
        </w:rPr>
        <w:t>last meeting</w:t>
      </w:r>
      <w:r w:rsidR="00356193" w:rsidRPr="0029596D">
        <w:rPr>
          <w:rFonts w:ascii="Calibri" w:hAnsi="Calibri" w:cs="Calibri"/>
          <w:color w:val="000000" w:themeColor="text1"/>
          <w:sz w:val="22"/>
        </w:rPr>
        <w:t>s</w:t>
      </w:r>
      <w:r w:rsidRPr="0029596D">
        <w:rPr>
          <w:rFonts w:ascii="Calibri" w:hAnsi="Calibri" w:cs="Calibri"/>
          <w:color w:val="000000" w:themeColor="text1"/>
          <w:sz w:val="22"/>
        </w:rPr>
        <w:t xml:space="preserve"> (RAN1#109-e</w:t>
      </w:r>
      <w:r w:rsidR="00356193" w:rsidRPr="0029596D">
        <w:rPr>
          <w:rFonts w:ascii="Calibri" w:hAnsi="Calibri" w:cs="Calibri"/>
          <w:color w:val="000000" w:themeColor="text1"/>
          <w:sz w:val="22"/>
        </w:rPr>
        <w:t xml:space="preserve"> and RAN1#</w:t>
      </w:r>
      <w:r w:rsidR="0029596D" w:rsidRPr="0029596D">
        <w:rPr>
          <w:rFonts w:ascii="Calibri" w:hAnsi="Calibri" w:cs="Calibri"/>
          <w:color w:val="000000" w:themeColor="text1"/>
          <w:sz w:val="22"/>
        </w:rPr>
        <w:t>110</w:t>
      </w:r>
      <w:r w:rsidRPr="0029596D">
        <w:rPr>
          <w:rFonts w:ascii="Calibri" w:hAnsi="Calibri" w:cs="Calibri"/>
          <w:color w:val="000000" w:themeColor="text1"/>
          <w:sz w:val="22"/>
        </w:rPr>
        <w:t>), the following agreement</w:t>
      </w:r>
      <w:r w:rsidR="0029596D" w:rsidRPr="0029596D">
        <w:rPr>
          <w:rFonts w:ascii="Calibri" w:hAnsi="Calibri" w:cs="Calibri"/>
          <w:color w:val="000000" w:themeColor="text1"/>
          <w:sz w:val="22"/>
        </w:rPr>
        <w:t>s</w:t>
      </w:r>
      <w:r w:rsidRPr="0029596D">
        <w:rPr>
          <w:rFonts w:ascii="Calibri" w:hAnsi="Calibri" w:cs="Calibri"/>
          <w:color w:val="000000" w:themeColor="text1"/>
          <w:sz w:val="22"/>
        </w:rPr>
        <w:t xml:space="preserve"> </w:t>
      </w:r>
      <w:r w:rsidR="0029596D" w:rsidRPr="0029596D">
        <w:rPr>
          <w:rFonts w:ascii="Calibri" w:hAnsi="Calibri" w:cs="Calibri"/>
          <w:color w:val="000000" w:themeColor="text1"/>
          <w:sz w:val="22"/>
        </w:rPr>
        <w:t>are</w:t>
      </w:r>
      <w:r w:rsidRPr="0029596D">
        <w:rPr>
          <w:rFonts w:ascii="Calibri" w:hAnsi="Calibri" w:cs="Calibri"/>
          <w:color w:val="000000" w:themeColor="text1"/>
          <w:sz w:val="22"/>
        </w:rPr>
        <w:t xml:space="preserve"> reached on </w:t>
      </w:r>
      <w:r w:rsidR="0029596D" w:rsidRPr="0029596D">
        <w:rPr>
          <w:rFonts w:ascii="Calibri" w:hAnsi="Calibri" w:cs="Calibri"/>
          <w:color w:val="000000" w:themeColor="text1"/>
          <w:sz w:val="22"/>
        </w:rPr>
        <w:t>taking the Type 1 channel access procedure from NR-U</w:t>
      </w:r>
      <w:r w:rsidRPr="0029596D">
        <w:rPr>
          <w:rFonts w:ascii="Calibri" w:hAnsi="Calibri" w:cs="Calibri"/>
          <w:color w:val="000000" w:themeColor="text1"/>
          <w:sz w:val="22"/>
        </w:rPr>
        <w:t xml:space="preserve"> for SL-U operation</w:t>
      </w:r>
      <w:r w:rsidR="00AE18AE" w:rsidRPr="0029596D">
        <w:rPr>
          <w:rFonts w:ascii="Calibri" w:hAnsi="Calibri" w:cs="Calibri"/>
          <w:color w:val="000000" w:themeColor="text1"/>
          <w:sz w:val="22"/>
        </w:rPr>
        <w:t xml:space="preserve"> with FFS on the details</w:t>
      </w:r>
      <w:r w:rsidR="0029596D" w:rsidRPr="0029596D">
        <w:rPr>
          <w:rFonts w:ascii="Calibri" w:hAnsi="Calibri" w:cs="Calibri"/>
          <w:color w:val="000000" w:themeColor="text1"/>
          <w:sz w:val="22"/>
        </w:rPr>
        <w:t xml:space="preserve"> for CAPC and CW adjustment for the case when SL-HARQ feedback is disabled in SCI and groupcast options</w:t>
      </w:r>
      <w:r w:rsidRPr="0029596D">
        <w:rPr>
          <w:rFonts w:ascii="Calibri" w:hAnsi="Calibri" w:cs="Calibri"/>
          <w:color w:val="000000" w:themeColor="text1"/>
          <w:sz w:val="22"/>
        </w:rPr>
        <w:t>.</w:t>
      </w:r>
    </w:p>
    <w:tbl>
      <w:tblPr>
        <w:tblStyle w:val="TableGrid"/>
        <w:tblW w:w="0" w:type="auto"/>
        <w:tblLook w:val="04A0" w:firstRow="1" w:lastRow="0" w:firstColumn="1" w:lastColumn="0" w:noHBand="0" w:noVBand="1"/>
      </w:tblPr>
      <w:tblGrid>
        <w:gridCol w:w="9631"/>
      </w:tblGrid>
      <w:tr w:rsidR="00A21876" w14:paraId="28266E89" w14:textId="77777777" w:rsidTr="00A21876">
        <w:tc>
          <w:tcPr>
            <w:tcW w:w="9631" w:type="dxa"/>
          </w:tcPr>
          <w:p w14:paraId="656B3909" w14:textId="77777777" w:rsidR="00A21876" w:rsidRPr="00356193" w:rsidRDefault="00A21876" w:rsidP="00A21876">
            <w:pPr>
              <w:autoSpaceDE w:val="0"/>
              <w:autoSpaceDN w:val="0"/>
              <w:spacing w:before="60"/>
              <w:jc w:val="both"/>
              <w:rPr>
                <w:rFonts w:ascii="Times New Roman" w:hAnsi="Times New Roman"/>
                <w:b/>
                <w:bCs/>
                <w:szCs w:val="20"/>
              </w:rPr>
            </w:pPr>
            <w:r w:rsidRPr="00356193">
              <w:rPr>
                <w:rFonts w:ascii="Times New Roman" w:hAnsi="Times New Roman"/>
                <w:b/>
                <w:bCs/>
                <w:szCs w:val="20"/>
                <w:highlight w:val="green"/>
              </w:rPr>
              <w:t>Agreement</w:t>
            </w:r>
          </w:p>
          <w:p w14:paraId="5D78021B" w14:textId="77777777" w:rsidR="00A21876" w:rsidRPr="00356193" w:rsidRDefault="00A21876" w:rsidP="00A21876">
            <w:pPr>
              <w:autoSpaceDE w:val="0"/>
              <w:autoSpaceDN w:val="0"/>
              <w:jc w:val="both"/>
              <w:rPr>
                <w:rFonts w:ascii="Times New Roman" w:hAnsi="Times New Roman"/>
                <w:szCs w:val="20"/>
              </w:rPr>
            </w:pPr>
            <w:r w:rsidRPr="00356193">
              <w:rPr>
                <w:rFonts w:ascii="Times New Roman" w:hAnsi="Times New Roman"/>
                <w:szCs w:val="20"/>
              </w:rPr>
              <w:t xml:space="preserve">Type 1 and Type 2 (2A/2B/2C) channel access </w:t>
            </w:r>
            <w:r w:rsidRPr="00356193">
              <w:rPr>
                <w:rFonts w:ascii="Times New Roman" w:hAnsi="Times New Roman"/>
                <w:color w:val="000000"/>
                <w:szCs w:val="20"/>
              </w:rPr>
              <w:t>procedures</w:t>
            </w:r>
            <w:r w:rsidRPr="00356193">
              <w:rPr>
                <w:rFonts w:ascii="Times New Roman" w:hAnsi="Times New Roman"/>
                <w:szCs w:val="20"/>
              </w:rPr>
              <w:t>, transmission gap and LBT sensing idle time requirements specified in TS37.213 for NR-U are taken as baseline for NR sidelink operation in a shared channel.</w:t>
            </w:r>
          </w:p>
          <w:p w14:paraId="5FF5BEF7" w14:textId="77777777" w:rsidR="00A21876" w:rsidRPr="00356193" w:rsidRDefault="00A21876">
            <w:pPr>
              <w:pStyle w:val="ListParagraph"/>
              <w:numPr>
                <w:ilvl w:val="0"/>
                <w:numId w:val="18"/>
              </w:numPr>
              <w:autoSpaceDE w:val="0"/>
              <w:autoSpaceDN w:val="0"/>
              <w:ind w:leftChars="0"/>
              <w:jc w:val="both"/>
              <w:rPr>
                <w:rFonts w:ascii="Times New Roman" w:hAnsi="Times New Roman"/>
                <w:szCs w:val="20"/>
              </w:rPr>
            </w:pPr>
            <w:r w:rsidRPr="00356193">
              <w:rPr>
                <w:rFonts w:ascii="Times New Roman" w:hAnsi="Times New Roman"/>
                <w:szCs w:val="20"/>
              </w:rPr>
              <w:t>FFS conditions for the actual channel access type(s) used for each SL channel and signal transmitted, and based on COT sharing conditions (if supported)</w:t>
            </w:r>
          </w:p>
          <w:p w14:paraId="71ABFEEA" w14:textId="77777777" w:rsidR="00A21876" w:rsidRPr="00356193" w:rsidRDefault="00A21876">
            <w:pPr>
              <w:pStyle w:val="ListParagraph"/>
              <w:numPr>
                <w:ilvl w:val="0"/>
                <w:numId w:val="18"/>
              </w:numPr>
              <w:autoSpaceDE w:val="0"/>
              <w:autoSpaceDN w:val="0"/>
              <w:ind w:leftChars="0"/>
              <w:jc w:val="both"/>
              <w:rPr>
                <w:rFonts w:ascii="Times New Roman" w:hAnsi="Times New Roman"/>
                <w:szCs w:val="20"/>
              </w:rPr>
            </w:pPr>
            <w:r w:rsidRPr="00356193">
              <w:rPr>
                <w:rFonts w:ascii="Times New Roman" w:hAnsi="Times New Roman"/>
                <w:szCs w:val="20"/>
              </w:rPr>
              <w:t xml:space="preserve">FFS whether UL CAPC or DL CAPC or both should be used as the baseline, </w:t>
            </w:r>
          </w:p>
          <w:p w14:paraId="6E5F5A81" w14:textId="77777777" w:rsidR="00A21876" w:rsidRPr="00356193" w:rsidRDefault="00A21876">
            <w:pPr>
              <w:pStyle w:val="ListParagraph"/>
              <w:numPr>
                <w:ilvl w:val="1"/>
                <w:numId w:val="18"/>
              </w:numPr>
              <w:autoSpaceDE w:val="0"/>
              <w:autoSpaceDN w:val="0"/>
              <w:ind w:leftChars="0"/>
              <w:jc w:val="both"/>
              <w:rPr>
                <w:rFonts w:ascii="Times New Roman" w:hAnsi="Times New Roman"/>
                <w:szCs w:val="20"/>
              </w:rPr>
            </w:pPr>
            <w:r w:rsidRPr="00356193">
              <w:rPr>
                <w:rFonts w:ascii="Times New Roman" w:hAnsi="Times New Roman"/>
                <w:szCs w:val="20"/>
              </w:rPr>
              <w:t>FFS how the channel access priority classes apply to each SL channel and signal</w:t>
            </w:r>
          </w:p>
          <w:p w14:paraId="327F94F6" w14:textId="77777777" w:rsidR="00A21876" w:rsidRPr="00356193" w:rsidRDefault="00A21876">
            <w:pPr>
              <w:pStyle w:val="ListParagraph"/>
              <w:numPr>
                <w:ilvl w:val="1"/>
                <w:numId w:val="18"/>
              </w:numPr>
              <w:autoSpaceDE w:val="0"/>
              <w:autoSpaceDN w:val="0"/>
              <w:spacing w:after="60"/>
              <w:ind w:leftChars="0"/>
              <w:jc w:val="both"/>
              <w:rPr>
                <w:rFonts w:ascii="Times New Roman" w:hAnsi="Times New Roman"/>
                <w:szCs w:val="20"/>
              </w:rPr>
            </w:pPr>
            <w:r w:rsidRPr="00356193">
              <w:rPr>
                <w:rFonts w:ascii="Times New Roman" w:hAnsi="Times New Roman"/>
                <w:szCs w:val="20"/>
              </w:rPr>
              <w:t>FFS sidelink priority levels (PQI or L1 priority), channel and signal mapping to the 4 channel access priority classes. The discussion may involve other WGs.</w:t>
            </w:r>
          </w:p>
          <w:p w14:paraId="2FD094FB" w14:textId="77777777" w:rsidR="00356193" w:rsidRPr="00356193" w:rsidRDefault="00356193" w:rsidP="00356193">
            <w:pPr>
              <w:autoSpaceDE w:val="0"/>
              <w:autoSpaceDN w:val="0"/>
              <w:jc w:val="both"/>
              <w:rPr>
                <w:rFonts w:ascii="Times New Roman" w:hAnsi="Times New Roman"/>
                <w:szCs w:val="20"/>
              </w:rPr>
            </w:pPr>
            <w:r w:rsidRPr="00356193">
              <w:rPr>
                <w:rFonts w:ascii="Times New Roman" w:hAnsi="Times New Roman"/>
                <w:b/>
                <w:bCs/>
                <w:szCs w:val="20"/>
                <w:highlight w:val="green"/>
              </w:rPr>
              <w:t>Agreement</w:t>
            </w:r>
          </w:p>
          <w:p w14:paraId="6FF04104" w14:textId="77777777" w:rsidR="00356193" w:rsidRPr="00356193" w:rsidRDefault="00356193" w:rsidP="00356193">
            <w:pPr>
              <w:pStyle w:val="ListParagraph"/>
              <w:numPr>
                <w:ilvl w:val="0"/>
                <w:numId w:val="18"/>
              </w:numPr>
              <w:autoSpaceDE w:val="0"/>
              <w:autoSpaceDN w:val="0"/>
              <w:ind w:leftChars="0"/>
              <w:jc w:val="both"/>
              <w:rPr>
                <w:rFonts w:ascii="Times New Roman" w:hAnsi="Times New Roman"/>
                <w:szCs w:val="20"/>
              </w:rPr>
            </w:pPr>
            <w:r w:rsidRPr="00356193">
              <w:rPr>
                <w:rFonts w:ascii="Times New Roman" w:hAnsi="Times New Roman"/>
                <w:szCs w:val="20"/>
              </w:rPr>
              <w:t>CW adjustment</w:t>
            </w:r>
          </w:p>
          <w:p w14:paraId="6EFB1C81" w14:textId="77777777" w:rsidR="00356193" w:rsidRPr="00356193" w:rsidRDefault="00356193" w:rsidP="00356193">
            <w:pPr>
              <w:pStyle w:val="ListParagraph"/>
              <w:numPr>
                <w:ilvl w:val="1"/>
                <w:numId w:val="18"/>
              </w:numPr>
              <w:autoSpaceDE w:val="0"/>
              <w:autoSpaceDN w:val="0"/>
              <w:ind w:leftChars="0"/>
              <w:jc w:val="both"/>
              <w:rPr>
                <w:rFonts w:ascii="Times New Roman" w:hAnsi="Times New Roman"/>
                <w:szCs w:val="20"/>
              </w:rPr>
            </w:pPr>
            <w:r w:rsidRPr="00356193">
              <w:rPr>
                <w:rFonts w:ascii="Times New Roman" w:hAnsi="Times New Roman"/>
                <w:szCs w:val="20"/>
              </w:rPr>
              <w:t xml:space="preserve">NR-U DL CW adjustment mechanism is used as the baseline for SL-U when SL-HARQ feedback is enabled in SCI for unicast </w:t>
            </w:r>
          </w:p>
          <w:p w14:paraId="328169FD" w14:textId="77777777" w:rsidR="00356193" w:rsidRPr="00356193" w:rsidRDefault="00356193" w:rsidP="00356193">
            <w:pPr>
              <w:pStyle w:val="ListParagraph"/>
              <w:numPr>
                <w:ilvl w:val="2"/>
                <w:numId w:val="18"/>
              </w:numPr>
              <w:autoSpaceDE w:val="0"/>
              <w:autoSpaceDN w:val="0"/>
              <w:ind w:leftChars="0"/>
              <w:jc w:val="both"/>
              <w:rPr>
                <w:rFonts w:ascii="Times New Roman" w:hAnsi="Times New Roman"/>
                <w:szCs w:val="20"/>
              </w:rPr>
            </w:pPr>
            <w:r w:rsidRPr="00356193">
              <w:rPr>
                <w:rFonts w:ascii="Times New Roman" w:hAnsi="Times New Roman"/>
                <w:szCs w:val="20"/>
              </w:rPr>
              <w:t>FFS any necessary update for SL-U operation</w:t>
            </w:r>
          </w:p>
          <w:p w14:paraId="29CBE2C2" w14:textId="77777777" w:rsidR="00356193" w:rsidRPr="00356193" w:rsidRDefault="00356193" w:rsidP="00356193">
            <w:pPr>
              <w:pStyle w:val="ListParagraph"/>
              <w:numPr>
                <w:ilvl w:val="1"/>
                <w:numId w:val="18"/>
              </w:numPr>
              <w:autoSpaceDE w:val="0"/>
              <w:autoSpaceDN w:val="0"/>
              <w:ind w:leftChars="0"/>
              <w:jc w:val="both"/>
              <w:rPr>
                <w:rFonts w:ascii="Times New Roman" w:hAnsi="Times New Roman"/>
                <w:szCs w:val="20"/>
              </w:rPr>
            </w:pPr>
            <w:r w:rsidRPr="00356193">
              <w:rPr>
                <w:rFonts w:ascii="Times New Roman" w:hAnsi="Times New Roman"/>
                <w:szCs w:val="20"/>
              </w:rPr>
              <w:t>FFS: how to determine CW size when SL-HARQ feedback is disabled in SCI</w:t>
            </w:r>
          </w:p>
          <w:p w14:paraId="734E913B" w14:textId="6423E6DA" w:rsidR="00356193" w:rsidRPr="00356193" w:rsidRDefault="00356193" w:rsidP="00356193">
            <w:pPr>
              <w:pStyle w:val="ListParagraph"/>
              <w:numPr>
                <w:ilvl w:val="1"/>
                <w:numId w:val="18"/>
              </w:numPr>
              <w:autoSpaceDE w:val="0"/>
              <w:autoSpaceDN w:val="0"/>
              <w:spacing w:after="60"/>
              <w:ind w:leftChars="0"/>
              <w:jc w:val="both"/>
              <w:rPr>
                <w:rFonts w:ascii="Times New Roman" w:hAnsi="Times New Roman"/>
                <w:sz w:val="22"/>
                <w:szCs w:val="22"/>
              </w:rPr>
            </w:pPr>
            <w:r w:rsidRPr="00356193">
              <w:rPr>
                <w:rFonts w:ascii="Times New Roman" w:hAnsi="Times New Roman"/>
                <w:szCs w:val="20"/>
                <w:lang w:val="en-AU"/>
              </w:rPr>
              <w:t xml:space="preserve">FFS the case of groupcast option 1 (NACK-only) and </w:t>
            </w:r>
            <w:r w:rsidRPr="00356193">
              <w:rPr>
                <w:rFonts w:ascii="Times New Roman" w:hAnsi="Times New Roman"/>
                <w:szCs w:val="20"/>
              </w:rPr>
              <w:t>groupcast option 2</w:t>
            </w:r>
          </w:p>
        </w:tc>
      </w:tr>
    </w:tbl>
    <w:p w14:paraId="615C0356" w14:textId="76D47BB0" w:rsidR="00AE18AE" w:rsidRPr="004E69D6" w:rsidRDefault="00AE18AE" w:rsidP="00C61CA7">
      <w:pPr>
        <w:autoSpaceDE w:val="0"/>
        <w:autoSpaceDN w:val="0"/>
        <w:spacing w:before="120" w:after="120"/>
        <w:jc w:val="both"/>
        <w:rPr>
          <w:rFonts w:ascii="Calibri" w:hAnsi="Calibri" w:cs="Calibri"/>
          <w:color w:val="000000" w:themeColor="text1"/>
          <w:sz w:val="22"/>
        </w:rPr>
      </w:pPr>
      <w:r w:rsidRPr="004E69D6">
        <w:rPr>
          <w:rFonts w:ascii="Calibri" w:hAnsi="Calibri" w:cs="Calibri"/>
          <w:color w:val="000000" w:themeColor="text1"/>
          <w:sz w:val="22"/>
        </w:rPr>
        <w:t xml:space="preserve">One of them remaining details to be resolved is related to the UL and/or DL CAPC should be used as the baseline. Based on review of submitted contributions to </w:t>
      </w:r>
      <w:r w:rsidR="0029596D" w:rsidRPr="004E69D6">
        <w:rPr>
          <w:rFonts w:ascii="Calibri" w:hAnsi="Calibri" w:cs="Calibri"/>
          <w:color w:val="000000" w:themeColor="text1"/>
          <w:sz w:val="22"/>
        </w:rPr>
        <w:t>the last</w:t>
      </w:r>
      <w:r w:rsidRPr="004E69D6">
        <w:rPr>
          <w:rFonts w:ascii="Calibri" w:hAnsi="Calibri" w:cs="Calibri"/>
          <w:color w:val="000000" w:themeColor="text1"/>
          <w:sz w:val="22"/>
        </w:rPr>
        <w:t xml:space="preserve"> meeting</w:t>
      </w:r>
      <w:r w:rsidR="0029596D" w:rsidRPr="004E69D6">
        <w:rPr>
          <w:rFonts w:ascii="Calibri" w:hAnsi="Calibri" w:cs="Calibri"/>
          <w:color w:val="000000" w:themeColor="text1"/>
          <w:sz w:val="22"/>
        </w:rPr>
        <w:t xml:space="preserve"> and this meeting</w:t>
      </w:r>
      <w:r w:rsidRPr="004E69D6">
        <w:rPr>
          <w:rFonts w:ascii="Calibri" w:hAnsi="Calibri" w:cs="Calibri"/>
          <w:color w:val="000000" w:themeColor="text1"/>
          <w:sz w:val="22"/>
        </w:rPr>
        <w:t>, some of the main reasons for supporting either UL or DL CAPC table are:</w:t>
      </w:r>
    </w:p>
    <w:p w14:paraId="474D2EC1" w14:textId="5F59CFEB" w:rsidR="00AE18AE" w:rsidRPr="004E69D6" w:rsidRDefault="00C61CA7" w:rsidP="00AE18AE">
      <w:pPr>
        <w:pStyle w:val="ListParagraph"/>
        <w:numPr>
          <w:ilvl w:val="0"/>
          <w:numId w:val="15"/>
        </w:numPr>
        <w:ind w:leftChars="0"/>
        <w:rPr>
          <w:rFonts w:asciiTheme="minorHAnsi" w:hAnsiTheme="minorHAnsi" w:cstheme="minorHAnsi"/>
          <w:color w:val="000000" w:themeColor="text1"/>
          <w:sz w:val="22"/>
          <w:szCs w:val="28"/>
        </w:rPr>
      </w:pPr>
      <w:r w:rsidRPr="004E69D6">
        <w:rPr>
          <w:rFonts w:asciiTheme="minorHAnsi" w:hAnsiTheme="minorHAnsi" w:cstheme="minorHAnsi"/>
          <w:color w:val="000000" w:themeColor="text1"/>
          <w:sz w:val="22"/>
          <w:szCs w:val="28"/>
        </w:rPr>
        <w:t>DL</w:t>
      </w:r>
      <w:r w:rsidR="00AE18AE" w:rsidRPr="004E69D6">
        <w:rPr>
          <w:rFonts w:asciiTheme="minorHAnsi" w:hAnsiTheme="minorHAnsi" w:cstheme="minorHAnsi"/>
          <w:color w:val="000000" w:themeColor="text1"/>
          <w:sz w:val="22"/>
          <w:szCs w:val="28"/>
        </w:rPr>
        <w:t xml:space="preserve"> CAPC table f</w:t>
      </w:r>
      <w:r w:rsidRPr="004E69D6">
        <w:rPr>
          <w:rFonts w:asciiTheme="minorHAnsi" w:hAnsiTheme="minorHAnsi" w:cstheme="minorHAnsi"/>
          <w:color w:val="000000" w:themeColor="text1"/>
          <w:sz w:val="22"/>
          <w:szCs w:val="28"/>
        </w:rPr>
        <w:t>rom NR-U</w:t>
      </w:r>
      <w:r w:rsidR="00AE18AE" w:rsidRPr="004E69D6">
        <w:rPr>
          <w:rFonts w:asciiTheme="minorHAnsi" w:hAnsiTheme="minorHAnsi" w:cstheme="minorHAnsi"/>
          <w:color w:val="000000" w:themeColor="text1"/>
          <w:sz w:val="22"/>
          <w:szCs w:val="28"/>
        </w:rPr>
        <w:t>:</w:t>
      </w:r>
    </w:p>
    <w:p w14:paraId="531F0141" w14:textId="6C50AADD" w:rsidR="004E69D6" w:rsidRPr="004E69D6" w:rsidRDefault="004E69D6" w:rsidP="00AE18AE">
      <w:pPr>
        <w:pStyle w:val="ListParagraph"/>
        <w:numPr>
          <w:ilvl w:val="1"/>
          <w:numId w:val="15"/>
        </w:numPr>
        <w:ind w:leftChars="0"/>
        <w:rPr>
          <w:rFonts w:asciiTheme="minorHAnsi" w:hAnsiTheme="minorHAnsi" w:cstheme="minorHAnsi"/>
          <w:color w:val="000000" w:themeColor="text1"/>
          <w:sz w:val="22"/>
          <w:szCs w:val="28"/>
        </w:rPr>
      </w:pPr>
      <w:r w:rsidRPr="004E69D6">
        <w:rPr>
          <w:rFonts w:asciiTheme="minorHAnsi" w:hAnsiTheme="minorHAnsi" w:cstheme="minorHAnsi"/>
          <w:color w:val="000000" w:themeColor="text1"/>
          <w:sz w:val="22"/>
          <w:szCs w:val="28"/>
        </w:rPr>
        <w:t>The type of channel access procedure to perform is purely determined by the UE (as a supervising role)</w:t>
      </w:r>
    </w:p>
    <w:p w14:paraId="77077B80" w14:textId="13F257CD" w:rsidR="00AE18AE" w:rsidRPr="004E69D6" w:rsidRDefault="00AE18AE" w:rsidP="00AE18AE">
      <w:pPr>
        <w:pStyle w:val="ListParagraph"/>
        <w:numPr>
          <w:ilvl w:val="1"/>
          <w:numId w:val="15"/>
        </w:numPr>
        <w:ind w:leftChars="0"/>
        <w:rPr>
          <w:rFonts w:asciiTheme="minorHAnsi" w:hAnsiTheme="minorHAnsi" w:cstheme="minorHAnsi"/>
          <w:color w:val="000000" w:themeColor="text1"/>
          <w:sz w:val="22"/>
          <w:szCs w:val="28"/>
        </w:rPr>
      </w:pPr>
      <w:r w:rsidRPr="004E69D6">
        <w:rPr>
          <w:rFonts w:asciiTheme="minorHAnsi" w:hAnsiTheme="minorHAnsi" w:cstheme="minorHAnsi"/>
          <w:color w:val="000000" w:themeColor="text1"/>
          <w:sz w:val="22"/>
          <w:szCs w:val="28"/>
        </w:rPr>
        <w:t>Applications with anchor-node UE to consistently share longer duration COTs.</w:t>
      </w:r>
    </w:p>
    <w:p w14:paraId="7519D216" w14:textId="5CEE6CD0" w:rsidR="00AE18AE" w:rsidRPr="004E69D6" w:rsidRDefault="00AE18AE" w:rsidP="0029596D">
      <w:pPr>
        <w:pStyle w:val="ListParagraph"/>
        <w:numPr>
          <w:ilvl w:val="1"/>
          <w:numId w:val="15"/>
        </w:numPr>
        <w:spacing w:after="120"/>
        <w:ind w:leftChars="0"/>
        <w:rPr>
          <w:rFonts w:asciiTheme="minorHAnsi" w:hAnsiTheme="minorHAnsi" w:cstheme="minorHAnsi"/>
          <w:color w:val="000000" w:themeColor="text1"/>
          <w:sz w:val="22"/>
          <w:szCs w:val="28"/>
        </w:rPr>
      </w:pPr>
      <w:r w:rsidRPr="004E69D6">
        <w:rPr>
          <w:rFonts w:asciiTheme="minorHAnsi" w:hAnsiTheme="minorHAnsi" w:cstheme="minorHAnsi"/>
          <w:color w:val="000000" w:themeColor="text1"/>
          <w:sz w:val="22"/>
          <w:szCs w:val="28"/>
        </w:rPr>
        <w:t>Acting as a supervising role in Mode 2</w:t>
      </w:r>
      <w:r w:rsidR="004E69D6" w:rsidRPr="004E69D6">
        <w:rPr>
          <w:rFonts w:asciiTheme="minorHAnsi" w:hAnsiTheme="minorHAnsi" w:cstheme="minorHAnsi"/>
          <w:color w:val="000000" w:themeColor="text1"/>
          <w:sz w:val="22"/>
          <w:szCs w:val="28"/>
        </w:rPr>
        <w:t xml:space="preserve"> IUC</w:t>
      </w:r>
    </w:p>
    <w:p w14:paraId="7A9D881B" w14:textId="31E64D69" w:rsidR="00AE18AE" w:rsidRPr="004E69D6" w:rsidRDefault="00C61CA7" w:rsidP="00AE18AE">
      <w:pPr>
        <w:pStyle w:val="ListParagraph"/>
        <w:numPr>
          <w:ilvl w:val="0"/>
          <w:numId w:val="15"/>
        </w:numPr>
        <w:ind w:leftChars="0"/>
        <w:rPr>
          <w:rFonts w:asciiTheme="minorHAnsi" w:hAnsiTheme="minorHAnsi" w:cstheme="minorHAnsi"/>
          <w:color w:val="000000" w:themeColor="text1"/>
          <w:sz w:val="22"/>
          <w:szCs w:val="28"/>
        </w:rPr>
      </w:pPr>
      <w:r w:rsidRPr="004E69D6">
        <w:rPr>
          <w:rFonts w:asciiTheme="minorHAnsi" w:hAnsiTheme="minorHAnsi" w:cstheme="minorHAnsi"/>
          <w:color w:val="000000" w:themeColor="text1"/>
          <w:sz w:val="22"/>
          <w:szCs w:val="28"/>
        </w:rPr>
        <w:t xml:space="preserve">UL </w:t>
      </w:r>
      <w:r w:rsidR="00AE18AE" w:rsidRPr="004E69D6">
        <w:rPr>
          <w:rFonts w:asciiTheme="minorHAnsi" w:hAnsiTheme="minorHAnsi" w:cstheme="minorHAnsi"/>
          <w:color w:val="000000" w:themeColor="text1"/>
          <w:sz w:val="22"/>
          <w:szCs w:val="28"/>
        </w:rPr>
        <w:t>CAPC table fr</w:t>
      </w:r>
      <w:r w:rsidRPr="004E69D6">
        <w:rPr>
          <w:rFonts w:asciiTheme="minorHAnsi" w:hAnsiTheme="minorHAnsi" w:cstheme="minorHAnsi"/>
          <w:color w:val="000000" w:themeColor="text1"/>
          <w:sz w:val="22"/>
          <w:szCs w:val="28"/>
        </w:rPr>
        <w:t>om</w:t>
      </w:r>
      <w:r w:rsidR="00AE18AE" w:rsidRPr="004E69D6">
        <w:rPr>
          <w:rFonts w:asciiTheme="minorHAnsi" w:hAnsiTheme="minorHAnsi" w:cstheme="minorHAnsi"/>
          <w:color w:val="000000" w:themeColor="text1"/>
          <w:sz w:val="22"/>
          <w:szCs w:val="28"/>
        </w:rPr>
        <w:t xml:space="preserve"> </w:t>
      </w:r>
      <w:r w:rsidRPr="004E69D6">
        <w:rPr>
          <w:rFonts w:asciiTheme="minorHAnsi" w:hAnsiTheme="minorHAnsi" w:cstheme="minorHAnsi"/>
          <w:color w:val="000000" w:themeColor="text1"/>
          <w:sz w:val="22"/>
          <w:szCs w:val="28"/>
        </w:rPr>
        <w:t>NR</w:t>
      </w:r>
      <w:r w:rsidR="00AE18AE" w:rsidRPr="004E69D6">
        <w:rPr>
          <w:rFonts w:asciiTheme="minorHAnsi" w:hAnsiTheme="minorHAnsi" w:cstheme="minorHAnsi"/>
          <w:color w:val="000000" w:themeColor="text1"/>
          <w:sz w:val="22"/>
          <w:szCs w:val="28"/>
        </w:rPr>
        <w:t xml:space="preserve">-U: </w:t>
      </w:r>
    </w:p>
    <w:p w14:paraId="087B663A" w14:textId="77777777" w:rsidR="00AE18AE" w:rsidRPr="004E69D6" w:rsidRDefault="00AE18AE" w:rsidP="00AE18AE">
      <w:pPr>
        <w:pStyle w:val="ListParagraph"/>
        <w:numPr>
          <w:ilvl w:val="1"/>
          <w:numId w:val="15"/>
        </w:numPr>
        <w:ind w:leftChars="0"/>
        <w:jc w:val="both"/>
        <w:rPr>
          <w:rFonts w:asciiTheme="minorHAnsi" w:hAnsiTheme="minorHAnsi" w:cstheme="minorHAnsi"/>
          <w:color w:val="000000" w:themeColor="text1"/>
          <w:sz w:val="22"/>
          <w:szCs w:val="28"/>
        </w:rPr>
      </w:pPr>
      <w:r w:rsidRPr="004E69D6">
        <w:rPr>
          <w:rFonts w:asciiTheme="minorHAnsi" w:hAnsiTheme="minorHAnsi" w:cstheme="minorHAnsi"/>
          <w:color w:val="000000" w:themeColor="text1"/>
          <w:sz w:val="22"/>
          <w:szCs w:val="28"/>
        </w:rPr>
        <w:t xml:space="preserve">In ultra-dense networks, a wider range of CWs offers more chances to back off if collisions occur. </w:t>
      </w:r>
    </w:p>
    <w:p w14:paraId="010D80A3" w14:textId="77777777" w:rsidR="00AE18AE" w:rsidRPr="004E69D6" w:rsidRDefault="00AE18AE" w:rsidP="00AE18AE">
      <w:pPr>
        <w:pStyle w:val="ListParagraph"/>
        <w:numPr>
          <w:ilvl w:val="1"/>
          <w:numId w:val="15"/>
        </w:numPr>
        <w:ind w:leftChars="0"/>
        <w:jc w:val="both"/>
        <w:rPr>
          <w:rFonts w:asciiTheme="minorHAnsi" w:hAnsiTheme="minorHAnsi" w:cstheme="minorHAnsi"/>
          <w:color w:val="000000" w:themeColor="text1"/>
          <w:sz w:val="22"/>
          <w:szCs w:val="28"/>
        </w:rPr>
      </w:pPr>
      <w:r w:rsidRPr="004E69D6">
        <w:rPr>
          <w:rFonts w:asciiTheme="minorHAnsi" w:hAnsiTheme="minorHAnsi" w:cstheme="minorHAnsi"/>
          <w:color w:val="000000" w:themeColor="text1"/>
          <w:sz w:val="22"/>
          <w:szCs w:val="28"/>
        </w:rPr>
        <w:t>A larger CWmax allows more channel access opportunities if one fails.</w:t>
      </w:r>
    </w:p>
    <w:p w14:paraId="7E0C9E37" w14:textId="77777777" w:rsidR="00AE18AE" w:rsidRPr="004E69D6" w:rsidRDefault="00AE18AE" w:rsidP="00AE18AE">
      <w:pPr>
        <w:pStyle w:val="ListParagraph"/>
        <w:numPr>
          <w:ilvl w:val="1"/>
          <w:numId w:val="15"/>
        </w:numPr>
        <w:ind w:leftChars="0"/>
        <w:jc w:val="both"/>
        <w:rPr>
          <w:rFonts w:asciiTheme="minorHAnsi" w:hAnsiTheme="minorHAnsi" w:cstheme="minorHAnsi"/>
          <w:color w:val="000000" w:themeColor="text1"/>
          <w:sz w:val="22"/>
          <w:szCs w:val="28"/>
        </w:rPr>
      </w:pPr>
      <w:r w:rsidRPr="004E69D6">
        <w:rPr>
          <w:rFonts w:asciiTheme="minorHAnsi" w:hAnsiTheme="minorHAnsi" w:cstheme="minorHAnsi"/>
          <w:color w:val="000000" w:themeColor="text1"/>
          <w:sz w:val="22"/>
          <w:szCs w:val="28"/>
        </w:rPr>
        <w:t>Acting as a supervised role in Mode 1</w:t>
      </w:r>
    </w:p>
    <w:p w14:paraId="451E9C3E" w14:textId="5B98E529" w:rsidR="00AE18AE" w:rsidRPr="004E69D6" w:rsidRDefault="00AE18AE" w:rsidP="0029596D">
      <w:pPr>
        <w:pStyle w:val="ListParagraph"/>
        <w:numPr>
          <w:ilvl w:val="1"/>
          <w:numId w:val="15"/>
        </w:numPr>
        <w:spacing w:after="120"/>
        <w:ind w:leftChars="0"/>
        <w:jc w:val="both"/>
        <w:rPr>
          <w:rFonts w:asciiTheme="minorHAnsi" w:hAnsiTheme="minorHAnsi" w:cstheme="minorHAnsi"/>
          <w:color w:val="000000" w:themeColor="text1"/>
          <w:sz w:val="22"/>
          <w:szCs w:val="28"/>
        </w:rPr>
      </w:pPr>
      <w:r w:rsidRPr="004E69D6">
        <w:rPr>
          <w:rFonts w:asciiTheme="minorHAnsi" w:hAnsiTheme="minorHAnsi" w:cstheme="minorHAnsi"/>
          <w:color w:val="000000" w:themeColor="text1"/>
          <w:sz w:val="22"/>
          <w:szCs w:val="28"/>
        </w:rPr>
        <w:t xml:space="preserve">Unified </w:t>
      </w:r>
      <w:r w:rsidR="0029596D" w:rsidRPr="004E69D6">
        <w:rPr>
          <w:rFonts w:asciiTheme="minorHAnsi" w:hAnsiTheme="minorHAnsi" w:cstheme="minorHAnsi"/>
          <w:color w:val="000000" w:themeColor="text1"/>
          <w:sz w:val="22"/>
          <w:szCs w:val="28"/>
        </w:rPr>
        <w:t>CAPC table</w:t>
      </w:r>
      <w:r w:rsidRPr="004E69D6">
        <w:rPr>
          <w:rFonts w:asciiTheme="minorHAnsi" w:hAnsiTheme="minorHAnsi" w:cstheme="minorHAnsi"/>
          <w:color w:val="000000" w:themeColor="text1"/>
          <w:sz w:val="22"/>
          <w:szCs w:val="28"/>
        </w:rPr>
        <w:t xml:space="preserve"> to access the channel between UL and SL transmissions</w:t>
      </w:r>
      <w:r w:rsidR="00C61CA7" w:rsidRPr="004E69D6">
        <w:rPr>
          <w:rFonts w:asciiTheme="minorHAnsi" w:hAnsiTheme="minorHAnsi" w:cstheme="minorHAnsi"/>
          <w:color w:val="000000" w:themeColor="text1"/>
          <w:sz w:val="22"/>
          <w:szCs w:val="28"/>
        </w:rPr>
        <w:t xml:space="preserve"> for a UE</w:t>
      </w:r>
      <w:r w:rsidRPr="004E69D6">
        <w:rPr>
          <w:rFonts w:asciiTheme="minorHAnsi" w:hAnsiTheme="minorHAnsi" w:cstheme="minorHAnsi"/>
          <w:color w:val="000000" w:themeColor="text1"/>
          <w:sz w:val="22"/>
          <w:szCs w:val="28"/>
        </w:rPr>
        <w:t>.</w:t>
      </w:r>
    </w:p>
    <w:p w14:paraId="0869361A" w14:textId="4D83C2C1" w:rsidR="00AE18AE" w:rsidRPr="004E69D6" w:rsidRDefault="00C61CA7" w:rsidP="00265573">
      <w:pPr>
        <w:autoSpaceDE w:val="0"/>
        <w:autoSpaceDN w:val="0"/>
        <w:spacing w:after="120"/>
        <w:jc w:val="both"/>
        <w:rPr>
          <w:rFonts w:ascii="Calibri" w:hAnsi="Calibri" w:cs="Calibri"/>
          <w:color w:val="000000" w:themeColor="text1"/>
          <w:sz w:val="22"/>
        </w:rPr>
      </w:pPr>
      <w:r w:rsidRPr="004E69D6">
        <w:rPr>
          <w:rFonts w:ascii="Calibri" w:hAnsi="Calibri" w:cs="Calibri"/>
          <w:color w:val="000000" w:themeColor="text1"/>
          <w:sz w:val="22"/>
        </w:rPr>
        <w:t>As summarised in Section 4</w:t>
      </w:r>
      <w:r w:rsidR="0029596D" w:rsidRPr="004E69D6">
        <w:rPr>
          <w:rFonts w:ascii="Calibri" w:hAnsi="Calibri" w:cs="Calibri"/>
          <w:color w:val="000000" w:themeColor="text1"/>
          <w:sz w:val="22"/>
        </w:rPr>
        <w:t>.2</w:t>
      </w:r>
      <w:r w:rsidRPr="004E69D6">
        <w:rPr>
          <w:rFonts w:ascii="Calibri" w:hAnsi="Calibri" w:cs="Calibri"/>
          <w:color w:val="000000" w:themeColor="text1"/>
          <w:sz w:val="22"/>
        </w:rPr>
        <w:t xml:space="preserve">, </w:t>
      </w:r>
      <w:r w:rsidR="0029596D" w:rsidRPr="004E69D6">
        <w:rPr>
          <w:rFonts w:ascii="Calibri" w:hAnsi="Calibri" w:cs="Calibri"/>
          <w:color w:val="000000" w:themeColor="text1"/>
          <w:sz w:val="22"/>
        </w:rPr>
        <w:t xml:space="preserve">firstly, many thinks only one CAPC table should be supported in SL-U. That is, we shouldn’t support both tables depending on the RA mode or other conditions. Secondly, </w:t>
      </w:r>
      <w:r w:rsidR="004E69D6" w:rsidRPr="004E69D6">
        <w:rPr>
          <w:rFonts w:ascii="Calibri" w:hAnsi="Calibri" w:cs="Calibri"/>
          <w:color w:val="000000" w:themeColor="text1"/>
          <w:sz w:val="22"/>
        </w:rPr>
        <w:t xml:space="preserve">some expressed that it is not expected to see much performance difference (if any) in terms of channel access between them, or that one will provide more advantage over the other. Hence, in FL’s understanding, the main difference is the max COT length, where it is 8ms in DL and 6ms in UL the absence of any other technology sharing the channel cannot be guaranteed. </w:t>
      </w:r>
      <w:r w:rsidR="004E69D6">
        <w:rPr>
          <w:rFonts w:ascii="Calibri" w:hAnsi="Calibri" w:cs="Calibri"/>
          <w:color w:val="000000" w:themeColor="text1"/>
          <w:sz w:val="22"/>
        </w:rPr>
        <w:t>It is propose</w:t>
      </w:r>
      <w:r w:rsidR="00F4434F">
        <w:rPr>
          <w:rFonts w:ascii="Calibri" w:hAnsi="Calibri" w:cs="Calibri"/>
          <w:color w:val="000000" w:themeColor="text1"/>
          <w:sz w:val="22"/>
        </w:rPr>
        <w:t>d that</w:t>
      </w:r>
      <w:r w:rsidR="004E69D6">
        <w:rPr>
          <w:rFonts w:ascii="Calibri" w:hAnsi="Calibri" w:cs="Calibri"/>
          <w:color w:val="000000" w:themeColor="text1"/>
          <w:sz w:val="22"/>
        </w:rPr>
        <w:t xml:space="preserve"> we simply choose one of them.</w:t>
      </w:r>
    </w:p>
    <w:p w14:paraId="57A1F37E" w14:textId="7AC6D08B" w:rsidR="0058447B" w:rsidRPr="00F73DD0" w:rsidRDefault="00265573" w:rsidP="00F73DD0">
      <w:pPr>
        <w:autoSpaceDE w:val="0"/>
        <w:autoSpaceDN w:val="0"/>
        <w:jc w:val="both"/>
        <w:rPr>
          <w:rFonts w:ascii="Calibri" w:hAnsi="Calibri" w:cs="Calibri"/>
          <w:color w:val="000000" w:themeColor="text1"/>
          <w:sz w:val="22"/>
        </w:rPr>
      </w:pPr>
      <w:r w:rsidRPr="00F73DD0">
        <w:rPr>
          <w:rFonts w:ascii="Calibri" w:hAnsi="Calibri" w:cs="Calibri"/>
          <w:color w:val="000000" w:themeColor="text1"/>
          <w:sz w:val="22"/>
        </w:rPr>
        <w:t xml:space="preserve">For the topic on the contention window (CW) adjustment, </w:t>
      </w:r>
      <w:r w:rsidR="003E2F29" w:rsidRPr="00F73DD0">
        <w:rPr>
          <w:rFonts w:ascii="Calibri" w:hAnsi="Calibri" w:cs="Calibri"/>
          <w:color w:val="000000" w:themeColor="text1"/>
          <w:sz w:val="22"/>
        </w:rPr>
        <w:t xml:space="preserve">it is yet to decide on the </w:t>
      </w:r>
      <w:r w:rsidR="00F73DD0" w:rsidRPr="00F73DD0">
        <w:rPr>
          <w:rFonts w:ascii="Calibri" w:hAnsi="Calibri" w:cs="Calibri"/>
          <w:color w:val="000000" w:themeColor="text1"/>
          <w:sz w:val="22"/>
        </w:rPr>
        <w:t xml:space="preserve">CW adjustment mechanism for the </w:t>
      </w:r>
      <w:r w:rsidR="003E2F29" w:rsidRPr="00F73DD0">
        <w:rPr>
          <w:rFonts w:ascii="Calibri" w:hAnsi="Calibri" w:cs="Calibri"/>
          <w:color w:val="000000" w:themeColor="text1"/>
          <w:sz w:val="22"/>
        </w:rPr>
        <w:t xml:space="preserve">3 remaining </w:t>
      </w:r>
      <w:r w:rsidR="00F73DD0" w:rsidRPr="00F73DD0">
        <w:rPr>
          <w:rFonts w:ascii="Calibri" w:hAnsi="Calibri" w:cs="Calibri"/>
          <w:color w:val="000000" w:themeColor="text1"/>
          <w:sz w:val="22"/>
        </w:rPr>
        <w:t xml:space="preserve">cases (SL-HARQ disabled, GC option 1 and GC option 2). Following NR-U DL CW adjustment mechanism, </w:t>
      </w:r>
    </w:p>
    <w:p w14:paraId="383B6EE4" w14:textId="0F201E18" w:rsidR="00F73DD0" w:rsidRPr="00F73DD0" w:rsidRDefault="00F73DD0" w:rsidP="00F73DD0">
      <w:pPr>
        <w:pStyle w:val="ListParagraph"/>
        <w:numPr>
          <w:ilvl w:val="0"/>
          <w:numId w:val="20"/>
        </w:numPr>
        <w:autoSpaceDE w:val="0"/>
        <w:autoSpaceDN w:val="0"/>
        <w:spacing w:after="120"/>
        <w:ind w:leftChars="0"/>
        <w:jc w:val="both"/>
        <w:rPr>
          <w:rFonts w:asciiTheme="minorHAnsi" w:hAnsiTheme="minorHAnsi" w:cstheme="minorHAnsi"/>
          <w:color w:val="000000" w:themeColor="text1"/>
          <w:sz w:val="22"/>
          <w:szCs w:val="22"/>
        </w:rPr>
      </w:pPr>
      <w:r w:rsidRPr="00F73DD0">
        <w:rPr>
          <w:rFonts w:asciiTheme="minorHAnsi" w:hAnsiTheme="minorHAnsi" w:cstheme="minorHAnsi"/>
          <w:color w:val="000000" w:themeColor="text1"/>
          <w:sz w:val="22"/>
          <w:szCs w:val="22"/>
        </w:rPr>
        <w:t xml:space="preserve">When the transmissions are not associated with explicit HARQ-ACK feedbacks by the corresponding UE(s), </w:t>
      </w:r>
      <m:oMath>
        <m:r>
          <w:rPr>
            <w:rFonts w:ascii="Cambria Math" w:hAnsi="Cambria Math" w:cstheme="minorHAnsi"/>
            <w:color w:val="000000" w:themeColor="text1"/>
            <w:sz w:val="22"/>
            <w:szCs w:val="22"/>
          </w:rPr>
          <m:t>C</m:t>
        </m:r>
        <m:sSub>
          <m:sSubPr>
            <m:ctrlPr>
              <w:rPr>
                <w:rFonts w:ascii="Cambria Math" w:hAnsi="Cambria Math" w:cstheme="minorHAnsi"/>
                <w:i/>
                <w:color w:val="000000" w:themeColor="text1"/>
                <w:sz w:val="22"/>
                <w:szCs w:val="22"/>
              </w:rPr>
            </m:ctrlPr>
          </m:sSubPr>
          <m:e>
            <m:r>
              <w:rPr>
                <w:rFonts w:ascii="Cambria Math" w:hAnsi="Cambria Math" w:cstheme="minorHAnsi"/>
                <w:color w:val="000000" w:themeColor="text1"/>
                <w:sz w:val="22"/>
                <w:szCs w:val="22"/>
              </w:rPr>
              <m:t>W</m:t>
            </m:r>
          </m:e>
          <m:sub>
            <m:r>
              <w:rPr>
                <w:rFonts w:ascii="Cambria Math" w:hAnsi="Cambria Math" w:cstheme="minorHAnsi"/>
                <w:color w:val="000000" w:themeColor="text1"/>
                <w:sz w:val="22"/>
                <w:szCs w:val="22"/>
              </w:rPr>
              <m:t>p</m:t>
            </m:r>
          </m:sub>
        </m:sSub>
      </m:oMath>
      <w:r w:rsidRPr="00F73DD0">
        <w:rPr>
          <w:rFonts w:asciiTheme="minorHAnsi" w:hAnsiTheme="minorHAnsi" w:cstheme="minorHAnsi"/>
          <w:color w:val="000000" w:themeColor="text1"/>
          <w:sz w:val="22"/>
          <w:szCs w:val="22"/>
        </w:rPr>
        <w:t xml:space="preserve"> is maintained for every priority class </w:t>
      </w:r>
      <m:oMath>
        <m:r>
          <w:rPr>
            <w:rFonts w:ascii="Cambria Math" w:hAnsi="Cambria Math" w:cstheme="minorHAnsi"/>
            <w:color w:val="000000" w:themeColor="text1"/>
            <w:sz w:val="22"/>
            <w:szCs w:val="22"/>
          </w:rPr>
          <m:t>p∈</m:t>
        </m:r>
        <m:d>
          <m:dPr>
            <m:begChr m:val="{"/>
            <m:endChr m:val="}"/>
            <m:ctrlPr>
              <w:rPr>
                <w:rFonts w:ascii="Cambria Math" w:hAnsi="Cambria Math" w:cstheme="minorHAnsi"/>
                <w:i/>
                <w:iCs/>
                <w:color w:val="000000" w:themeColor="text1"/>
                <w:sz w:val="22"/>
                <w:szCs w:val="22"/>
              </w:rPr>
            </m:ctrlPr>
          </m:dPr>
          <m:e>
            <m:r>
              <w:rPr>
                <w:rFonts w:ascii="Cambria Math" w:hAnsi="Cambria Math" w:cstheme="minorHAnsi"/>
                <w:color w:val="000000" w:themeColor="text1"/>
                <w:sz w:val="22"/>
                <w:szCs w:val="22"/>
              </w:rPr>
              <m:t>1,2,3,4</m:t>
            </m:r>
          </m:e>
        </m:d>
      </m:oMath>
      <w:r w:rsidRPr="00F73DD0">
        <w:rPr>
          <w:rFonts w:asciiTheme="minorHAnsi" w:hAnsiTheme="minorHAnsi" w:cstheme="minorHAnsi"/>
          <w:iCs/>
          <w:color w:val="000000" w:themeColor="text1"/>
          <w:sz w:val="22"/>
          <w:szCs w:val="22"/>
        </w:rPr>
        <w:t>.</w:t>
      </w:r>
      <w:r w:rsidR="00FA5725">
        <w:rPr>
          <w:rFonts w:asciiTheme="minorHAnsi" w:hAnsiTheme="minorHAnsi" w:cstheme="minorHAnsi"/>
          <w:iCs/>
          <w:color w:val="000000" w:themeColor="text1"/>
          <w:sz w:val="22"/>
          <w:szCs w:val="22"/>
        </w:rPr>
        <w:t xml:space="preserve"> This can be applied to SL when SL-HARQ feedback is disabled in SCI. While many had proposed to consider CBR measurement for the CW adjustment, it is yet unclear if the CBR measurement is usable since it is a measurement of channel occupancy by SL transmission and it is not measured in Mode 1.</w:t>
      </w:r>
    </w:p>
    <w:p w14:paraId="4F75E138" w14:textId="190CDE08" w:rsidR="00F73DD0" w:rsidRPr="00FA5725" w:rsidRDefault="00F73DD0" w:rsidP="00F73DD0">
      <w:pPr>
        <w:pStyle w:val="ListParagraph"/>
        <w:numPr>
          <w:ilvl w:val="0"/>
          <w:numId w:val="20"/>
        </w:numPr>
        <w:autoSpaceDE w:val="0"/>
        <w:autoSpaceDN w:val="0"/>
        <w:spacing w:after="120"/>
        <w:ind w:leftChars="0"/>
        <w:jc w:val="both"/>
        <w:rPr>
          <w:rFonts w:asciiTheme="minorHAnsi" w:hAnsiTheme="minorHAnsi" w:cstheme="minorHAnsi"/>
          <w:color w:val="000000" w:themeColor="text1"/>
          <w:sz w:val="22"/>
          <w:szCs w:val="22"/>
        </w:rPr>
      </w:pPr>
      <w:r w:rsidRPr="00FA5725">
        <w:rPr>
          <w:rFonts w:asciiTheme="minorHAnsi" w:hAnsiTheme="minorHAnsi" w:cstheme="minorHAnsi"/>
          <w:color w:val="000000" w:themeColor="text1"/>
          <w:sz w:val="22"/>
          <w:szCs w:val="22"/>
        </w:rPr>
        <w:t>When at least one HARQ-ACK feedback is 'ACK' for PDSCH(s) with transport block based feedback or at least 10% of HARQ-ACK feedbacks is 'ACK' for PDSCH CBGs transmitted at least partially on the channel with code block group based feedback, set</w:t>
      </w:r>
      <w:r w:rsidRPr="00FA5725">
        <w:rPr>
          <w:rFonts w:asciiTheme="minorHAnsi" w:hAnsiTheme="minorHAnsi" w:cstheme="minorHAnsi"/>
          <w:color w:val="000000" w:themeColor="text1"/>
          <w:sz w:val="22"/>
          <w:szCs w:val="22"/>
          <w:lang w:val="en-US"/>
        </w:rPr>
        <w:t xml:space="preserve"> </w:t>
      </w:r>
      <w:bookmarkStart w:id="96" w:name="_Hlk115900301"/>
      <m:oMath>
        <m:r>
          <w:rPr>
            <w:rFonts w:ascii="Cambria Math" w:hAnsi="Cambria Math" w:cstheme="minorHAnsi"/>
            <w:color w:val="000000" w:themeColor="text1"/>
            <w:sz w:val="22"/>
            <w:szCs w:val="22"/>
          </w:rPr>
          <m:t>C</m:t>
        </m:r>
        <m:sSub>
          <m:sSubPr>
            <m:ctrlPr>
              <w:rPr>
                <w:rFonts w:ascii="Cambria Math" w:hAnsi="Cambria Math" w:cstheme="minorHAnsi"/>
                <w:i/>
                <w:color w:val="000000" w:themeColor="text1"/>
                <w:sz w:val="22"/>
                <w:szCs w:val="22"/>
              </w:rPr>
            </m:ctrlPr>
          </m:sSubPr>
          <m:e>
            <m:r>
              <w:rPr>
                <w:rFonts w:ascii="Cambria Math" w:hAnsi="Cambria Math" w:cstheme="minorHAnsi"/>
                <w:color w:val="000000" w:themeColor="text1"/>
                <w:sz w:val="22"/>
                <w:szCs w:val="22"/>
              </w:rPr>
              <m:t>W</m:t>
            </m:r>
          </m:e>
          <m:sub>
            <m:r>
              <w:rPr>
                <w:rFonts w:ascii="Cambria Math" w:hAnsi="Cambria Math" w:cstheme="minorHAnsi"/>
                <w:color w:val="000000" w:themeColor="text1"/>
                <w:sz w:val="22"/>
                <w:szCs w:val="22"/>
              </w:rPr>
              <m:t>p</m:t>
            </m:r>
          </m:sub>
        </m:sSub>
        <w:bookmarkEnd w:id="96"/>
        <m:r>
          <w:rPr>
            <w:rFonts w:ascii="Cambria Math" w:hAnsi="Cambria Math" w:cstheme="minorHAnsi"/>
            <w:color w:val="000000" w:themeColor="text1"/>
            <w:sz w:val="22"/>
            <w:szCs w:val="22"/>
            <w:lang w:val="en-US"/>
          </w:rPr>
          <m:t>=</m:t>
        </m:r>
        <m:r>
          <w:rPr>
            <w:rFonts w:ascii="Cambria Math" w:hAnsi="Cambria Math" w:cstheme="minorHAnsi"/>
            <w:color w:val="000000" w:themeColor="text1"/>
            <w:sz w:val="22"/>
            <w:szCs w:val="22"/>
          </w:rPr>
          <m:t>C</m:t>
        </m:r>
        <m:sSub>
          <m:sSubPr>
            <m:ctrlPr>
              <w:rPr>
                <w:rFonts w:ascii="Cambria Math" w:hAnsi="Cambria Math" w:cstheme="minorHAnsi"/>
                <w:i/>
                <w:color w:val="000000" w:themeColor="text1"/>
                <w:sz w:val="22"/>
                <w:szCs w:val="22"/>
              </w:rPr>
            </m:ctrlPr>
          </m:sSubPr>
          <m:e>
            <m:r>
              <w:rPr>
                <w:rFonts w:ascii="Cambria Math" w:hAnsi="Cambria Math" w:cstheme="minorHAnsi"/>
                <w:color w:val="000000" w:themeColor="text1"/>
                <w:sz w:val="22"/>
                <w:szCs w:val="22"/>
              </w:rPr>
              <m:t>W</m:t>
            </m:r>
          </m:e>
          <m:sub>
            <m:func>
              <m:funcPr>
                <m:ctrlPr>
                  <w:rPr>
                    <w:rFonts w:ascii="Cambria Math" w:hAnsi="Cambria Math" w:cstheme="minorHAnsi"/>
                    <w:i/>
                    <w:color w:val="000000" w:themeColor="text1"/>
                    <w:sz w:val="22"/>
                    <w:szCs w:val="22"/>
                  </w:rPr>
                </m:ctrlPr>
              </m:funcPr>
              <m:fName>
                <m:r>
                  <w:rPr>
                    <w:rFonts w:ascii="Cambria Math" w:hAnsi="Cambria Math" w:cstheme="minorHAnsi"/>
                    <w:color w:val="000000" w:themeColor="text1"/>
                    <w:sz w:val="22"/>
                    <w:szCs w:val="22"/>
                  </w:rPr>
                  <m:t>min</m:t>
                </m:r>
                <m:r>
                  <w:rPr>
                    <w:rFonts w:ascii="Cambria Math" w:hAnsi="Cambria Math" w:cstheme="minorHAnsi"/>
                    <w:color w:val="000000" w:themeColor="text1"/>
                    <w:sz w:val="22"/>
                    <w:szCs w:val="22"/>
                    <w:lang w:val="en-US"/>
                  </w:rPr>
                  <m:t>,</m:t>
                </m:r>
              </m:fName>
              <m:e>
                <m:r>
                  <w:rPr>
                    <w:rFonts w:ascii="Cambria Math" w:hAnsi="Cambria Math" w:cstheme="minorHAnsi"/>
                    <w:color w:val="000000" w:themeColor="text1"/>
                    <w:sz w:val="22"/>
                    <w:szCs w:val="22"/>
                  </w:rPr>
                  <m:t>p</m:t>
                </m:r>
              </m:e>
            </m:func>
          </m:sub>
        </m:sSub>
      </m:oMath>
      <w:r w:rsidRPr="00FA5725">
        <w:rPr>
          <w:rFonts w:asciiTheme="minorHAnsi" w:hAnsiTheme="minorHAnsi" w:cstheme="minorHAnsi"/>
          <w:color w:val="000000" w:themeColor="text1"/>
          <w:sz w:val="22"/>
          <w:szCs w:val="22"/>
        </w:rPr>
        <w:t xml:space="preserve"> for all priority classes; </w:t>
      </w:r>
      <w:r w:rsidRPr="00FA5725">
        <w:rPr>
          <w:rFonts w:asciiTheme="minorHAnsi" w:hAnsiTheme="minorHAnsi" w:cstheme="minorHAnsi"/>
          <w:color w:val="000000" w:themeColor="text1"/>
          <w:sz w:val="22"/>
          <w:szCs w:val="22"/>
        </w:rPr>
        <w:lastRenderedPageBreak/>
        <w:t xml:space="preserve">otherwise </w:t>
      </w:r>
      <w:r w:rsidR="00FA5725" w:rsidRPr="00FA5725">
        <w:rPr>
          <w:rFonts w:asciiTheme="minorHAnsi" w:hAnsiTheme="minorHAnsi" w:cstheme="minorHAnsi"/>
          <w:color w:val="000000" w:themeColor="text1"/>
          <w:sz w:val="22"/>
          <w:szCs w:val="22"/>
        </w:rPr>
        <w:t xml:space="preserve">increase </w:t>
      </w:r>
      <m:oMath>
        <m:r>
          <w:rPr>
            <w:rFonts w:ascii="Cambria Math" w:hAnsi="Cambria Math" w:cstheme="minorHAnsi"/>
            <w:color w:val="000000" w:themeColor="text1"/>
            <w:sz w:val="22"/>
            <w:szCs w:val="22"/>
          </w:rPr>
          <m:t>C</m:t>
        </m:r>
        <m:sSub>
          <m:sSubPr>
            <m:ctrlPr>
              <w:rPr>
                <w:rFonts w:ascii="Cambria Math" w:hAnsi="Cambria Math" w:cstheme="minorHAnsi"/>
                <w:i/>
                <w:color w:val="000000" w:themeColor="text1"/>
                <w:sz w:val="22"/>
                <w:szCs w:val="22"/>
              </w:rPr>
            </m:ctrlPr>
          </m:sSubPr>
          <m:e>
            <m:r>
              <w:rPr>
                <w:rFonts w:ascii="Cambria Math" w:hAnsi="Cambria Math" w:cstheme="minorHAnsi"/>
                <w:color w:val="000000" w:themeColor="text1"/>
                <w:sz w:val="22"/>
                <w:szCs w:val="22"/>
              </w:rPr>
              <m:t>W</m:t>
            </m:r>
          </m:e>
          <m:sub>
            <m:r>
              <w:rPr>
                <w:rFonts w:ascii="Cambria Math" w:hAnsi="Cambria Math" w:cstheme="minorHAnsi"/>
                <w:color w:val="000000" w:themeColor="text1"/>
                <w:sz w:val="22"/>
                <w:szCs w:val="22"/>
              </w:rPr>
              <m:t>p</m:t>
            </m:r>
          </m:sub>
        </m:sSub>
      </m:oMath>
      <w:r w:rsidR="00FA5725" w:rsidRPr="00FA5725">
        <w:rPr>
          <w:rFonts w:asciiTheme="minorHAnsi" w:hAnsiTheme="minorHAnsi" w:cstheme="minorHAnsi"/>
          <w:color w:val="000000" w:themeColor="text1"/>
          <w:sz w:val="22"/>
          <w:szCs w:val="22"/>
          <w:lang w:val="en-US"/>
        </w:rPr>
        <w:t xml:space="preserve"> for all priority classes</w:t>
      </w:r>
      <w:r w:rsidRPr="00FA5725">
        <w:rPr>
          <w:rFonts w:asciiTheme="minorHAnsi" w:hAnsiTheme="minorHAnsi" w:cstheme="minorHAnsi"/>
          <w:color w:val="000000" w:themeColor="text1"/>
          <w:sz w:val="22"/>
          <w:szCs w:val="22"/>
        </w:rPr>
        <w:t>.</w:t>
      </w:r>
      <w:r w:rsidR="00E33388">
        <w:rPr>
          <w:rFonts w:asciiTheme="minorHAnsi" w:hAnsiTheme="minorHAnsi" w:cstheme="minorHAnsi"/>
          <w:color w:val="000000" w:themeColor="text1"/>
          <w:sz w:val="22"/>
          <w:szCs w:val="22"/>
        </w:rPr>
        <w:t xml:space="preserve"> For the part of 10% of </w:t>
      </w:r>
      <w:r w:rsidR="00E33388" w:rsidRPr="00FA5725">
        <w:rPr>
          <w:rFonts w:asciiTheme="minorHAnsi" w:hAnsiTheme="minorHAnsi" w:cstheme="minorHAnsi"/>
          <w:color w:val="000000" w:themeColor="text1"/>
          <w:sz w:val="22"/>
          <w:szCs w:val="22"/>
        </w:rPr>
        <w:t>HARQ-ACK feedbacks is 'ACK'</w:t>
      </w:r>
      <w:r w:rsidR="00E33388">
        <w:rPr>
          <w:rFonts w:asciiTheme="minorHAnsi" w:hAnsiTheme="minorHAnsi" w:cstheme="minorHAnsi"/>
          <w:color w:val="000000" w:themeColor="text1"/>
          <w:sz w:val="22"/>
          <w:szCs w:val="22"/>
        </w:rPr>
        <w:t xml:space="preserve">, this seems to be fitting to the case of groupcast option 2, since the groupcast option 2 TX UE has knowledge about the number of UEs in the same group. </w:t>
      </w:r>
      <w:r w:rsidR="00A16B67">
        <w:rPr>
          <w:rFonts w:asciiTheme="minorHAnsi" w:hAnsiTheme="minorHAnsi" w:cstheme="minorHAnsi"/>
          <w:color w:val="000000" w:themeColor="text1"/>
          <w:sz w:val="22"/>
          <w:szCs w:val="22"/>
        </w:rPr>
        <w:t>And many has proposed this option according to the Tdoc review this time.</w:t>
      </w:r>
    </w:p>
    <w:p w14:paraId="57B7C4F6" w14:textId="35915C69" w:rsidR="00FA5725" w:rsidRPr="006C23EF" w:rsidRDefault="00A16B67" w:rsidP="0058447B">
      <w:pPr>
        <w:autoSpaceDE w:val="0"/>
        <w:autoSpaceDN w:val="0"/>
        <w:spacing w:after="120"/>
        <w:jc w:val="both"/>
        <w:rPr>
          <w:rFonts w:ascii="Calibri" w:hAnsi="Calibri" w:cs="Calibri"/>
          <w:color w:val="000000" w:themeColor="text1"/>
          <w:sz w:val="22"/>
        </w:rPr>
      </w:pPr>
      <w:r w:rsidRPr="006C23EF">
        <w:rPr>
          <w:rFonts w:ascii="Calibri" w:hAnsi="Calibri" w:cs="Calibri"/>
          <w:color w:val="000000" w:themeColor="text1"/>
          <w:sz w:val="22"/>
        </w:rPr>
        <w:t xml:space="preserve">For the case of groupcast Option 1 (NACK-only), currently we don’t have a same HARQ-ACK feedback scheme in NR-U. In the NACK-only SL-HARQ feedback, no ‘ACK’ will be reported even if the TB is decoded correctly. In addition, the TX UE cannot determine the DTX case as well based on only NACK feedback. </w:t>
      </w:r>
      <w:r w:rsidR="00AF4249" w:rsidRPr="006C23EF">
        <w:rPr>
          <w:rFonts w:ascii="Calibri" w:hAnsi="Calibri" w:cs="Calibri"/>
          <w:color w:val="000000" w:themeColor="text1"/>
          <w:sz w:val="22"/>
        </w:rPr>
        <w:t xml:space="preserve">Therefore, it is possible that there could be only one UE that reports NACK while others decoded the TB correctly. Or it could be the other way around. Based on the Tdoc review in this meeting, </w:t>
      </w:r>
      <w:r w:rsidR="006C23EF" w:rsidRPr="006C23EF">
        <w:rPr>
          <w:rFonts w:ascii="Calibri" w:hAnsi="Calibri" w:cs="Calibri"/>
          <w:color w:val="000000" w:themeColor="text1"/>
          <w:sz w:val="22"/>
        </w:rPr>
        <w:t>the majority focus on two main options, hence they are proposed below for discussion and down-selection.</w:t>
      </w:r>
    </w:p>
    <w:p w14:paraId="2A78849B" w14:textId="5805205F" w:rsidR="00265573" w:rsidRPr="006C23EF" w:rsidRDefault="0058447B" w:rsidP="0058447B">
      <w:pPr>
        <w:autoSpaceDE w:val="0"/>
        <w:autoSpaceDN w:val="0"/>
        <w:spacing w:after="120"/>
        <w:jc w:val="both"/>
        <w:rPr>
          <w:rFonts w:ascii="Calibri" w:hAnsi="Calibri" w:cs="Calibri"/>
          <w:color w:val="000000" w:themeColor="text1"/>
          <w:sz w:val="22"/>
        </w:rPr>
      </w:pPr>
      <w:r w:rsidRPr="006C23EF">
        <w:rPr>
          <w:rFonts w:ascii="Calibri" w:hAnsi="Calibri" w:cs="Calibri"/>
          <w:color w:val="000000" w:themeColor="text1"/>
          <w:sz w:val="22"/>
        </w:rPr>
        <w:t xml:space="preserve"> Proposal details for CAPC and CW adjustment from FL is captured in Proposal 2-1 </w:t>
      </w:r>
      <w:r w:rsidR="004E69D6" w:rsidRPr="006C23EF">
        <w:rPr>
          <w:rFonts w:ascii="Calibri" w:hAnsi="Calibri" w:cs="Calibri"/>
          <w:color w:val="000000" w:themeColor="text1"/>
          <w:sz w:val="22"/>
        </w:rPr>
        <w:t xml:space="preserve">and 2-2 </w:t>
      </w:r>
      <w:r w:rsidRPr="006C23EF">
        <w:rPr>
          <w:rFonts w:ascii="Calibri" w:hAnsi="Calibri" w:cs="Calibri"/>
          <w:color w:val="000000" w:themeColor="text1"/>
          <w:sz w:val="22"/>
        </w:rPr>
        <w:t>below</w:t>
      </w:r>
      <w:r w:rsidR="004E69D6" w:rsidRPr="006C23EF">
        <w:rPr>
          <w:rFonts w:ascii="Calibri" w:hAnsi="Calibri" w:cs="Calibri"/>
          <w:color w:val="000000" w:themeColor="text1"/>
          <w:sz w:val="22"/>
        </w:rPr>
        <w:t>, respectively</w:t>
      </w:r>
      <w:r w:rsidRPr="006C23EF">
        <w:rPr>
          <w:rFonts w:ascii="Calibri" w:hAnsi="Calibri" w:cs="Calibri"/>
          <w:color w:val="000000" w:themeColor="text1"/>
          <w:sz w:val="22"/>
        </w:rPr>
        <w:t>.</w:t>
      </w:r>
    </w:p>
    <w:p w14:paraId="2824E23F" w14:textId="4CE189E4" w:rsidR="00FA6950" w:rsidRDefault="00FA6950" w:rsidP="0058447B">
      <w:pPr>
        <w:autoSpaceDE w:val="0"/>
        <w:autoSpaceDN w:val="0"/>
        <w:spacing w:after="120"/>
        <w:jc w:val="both"/>
        <w:rPr>
          <w:rFonts w:ascii="Calibri" w:hAnsi="Calibri" w:cs="Calibri"/>
          <w:color w:val="000000" w:themeColor="text1"/>
          <w:sz w:val="22"/>
        </w:rPr>
      </w:pPr>
    </w:p>
    <w:p w14:paraId="0BAABB32" w14:textId="2F70C993" w:rsidR="00CF6AD2" w:rsidRDefault="00EC21DD" w:rsidP="00CF6AD2">
      <w:pPr>
        <w:pStyle w:val="Heading3"/>
      </w:pPr>
      <w:r>
        <w:t>FL Proposal for round 1 discussion</w:t>
      </w:r>
    </w:p>
    <w:p w14:paraId="26A83955" w14:textId="112D3C8F" w:rsidR="00491733" w:rsidRPr="002F1DFF" w:rsidRDefault="0017237F" w:rsidP="00FA6950">
      <w:pPr>
        <w:autoSpaceDE w:val="0"/>
        <w:autoSpaceDN w:val="0"/>
        <w:spacing w:before="120"/>
        <w:jc w:val="both"/>
        <w:rPr>
          <w:rFonts w:ascii="Calibri" w:hAnsi="Calibri" w:cs="Calibri"/>
          <w:sz w:val="22"/>
        </w:rPr>
      </w:pPr>
      <w:r w:rsidRPr="004B1D3C">
        <w:rPr>
          <w:rFonts w:ascii="Calibri" w:hAnsi="Calibri" w:cs="Calibri"/>
          <w:b/>
          <w:bCs/>
          <w:sz w:val="22"/>
        </w:rPr>
        <w:t xml:space="preserve">Proposal </w:t>
      </w:r>
      <w:r w:rsidR="00A81B19" w:rsidRPr="004B1D3C">
        <w:rPr>
          <w:rFonts w:ascii="Calibri" w:hAnsi="Calibri" w:cs="Calibri"/>
          <w:b/>
          <w:bCs/>
          <w:sz w:val="22"/>
        </w:rPr>
        <w:t>2</w:t>
      </w:r>
      <w:r w:rsidR="00C65E36" w:rsidRPr="004B1D3C">
        <w:rPr>
          <w:rFonts w:ascii="Calibri" w:hAnsi="Calibri" w:cs="Calibri"/>
          <w:b/>
          <w:bCs/>
          <w:sz w:val="22"/>
        </w:rPr>
        <w:t>-1</w:t>
      </w:r>
      <w:r w:rsidR="00491733" w:rsidRPr="004B1D3C">
        <w:rPr>
          <w:rFonts w:ascii="Calibri" w:hAnsi="Calibri" w:cs="Calibri"/>
          <w:b/>
          <w:bCs/>
          <w:sz w:val="22"/>
        </w:rPr>
        <w:t xml:space="preserve"> (I)</w:t>
      </w:r>
      <w:r w:rsidRPr="004B1D3C">
        <w:rPr>
          <w:rFonts w:ascii="Calibri" w:hAnsi="Calibri" w:cs="Calibri"/>
          <w:b/>
          <w:bCs/>
          <w:sz w:val="22"/>
        </w:rPr>
        <w:t>:</w:t>
      </w:r>
      <w:r w:rsidR="00491733" w:rsidRPr="002F1DFF">
        <w:rPr>
          <w:rFonts w:ascii="Calibri" w:hAnsi="Calibri" w:cs="Calibri"/>
          <w:b/>
          <w:bCs/>
          <w:sz w:val="22"/>
        </w:rPr>
        <w:t xml:space="preserve"> </w:t>
      </w:r>
    </w:p>
    <w:p w14:paraId="4A7A4639" w14:textId="7363D896" w:rsidR="00516EA9" w:rsidRDefault="00CF6AD2">
      <w:pPr>
        <w:pStyle w:val="ListParagraph"/>
        <w:numPr>
          <w:ilvl w:val="0"/>
          <w:numId w:val="18"/>
        </w:numPr>
        <w:autoSpaceDE w:val="0"/>
        <w:autoSpaceDN w:val="0"/>
        <w:ind w:leftChars="0"/>
        <w:jc w:val="both"/>
        <w:rPr>
          <w:rFonts w:ascii="Calibri" w:hAnsi="Calibri" w:cs="Calibri"/>
          <w:sz w:val="22"/>
        </w:rPr>
      </w:pPr>
      <w:r>
        <w:rPr>
          <w:rFonts w:ascii="Calibri" w:hAnsi="Calibri" w:cs="Calibri"/>
          <w:sz w:val="22"/>
        </w:rPr>
        <w:t xml:space="preserve">In </w:t>
      </w:r>
      <w:r w:rsidR="00516EA9">
        <w:rPr>
          <w:rFonts w:ascii="Calibri" w:hAnsi="Calibri" w:cs="Calibri"/>
          <w:sz w:val="22"/>
        </w:rPr>
        <w:t xml:space="preserve">Type 1 </w:t>
      </w:r>
      <w:r>
        <w:rPr>
          <w:rFonts w:ascii="Calibri" w:hAnsi="Calibri" w:cs="Calibri"/>
          <w:sz w:val="22"/>
        </w:rPr>
        <w:t xml:space="preserve">SL </w:t>
      </w:r>
      <w:r w:rsidR="00516EA9">
        <w:rPr>
          <w:rFonts w:ascii="Calibri" w:hAnsi="Calibri" w:cs="Calibri"/>
          <w:sz w:val="22"/>
        </w:rPr>
        <w:t>channel access procedure</w:t>
      </w:r>
      <w:r>
        <w:rPr>
          <w:rFonts w:ascii="Calibri" w:hAnsi="Calibri" w:cs="Calibri"/>
          <w:sz w:val="22"/>
        </w:rPr>
        <w:t>,</w:t>
      </w:r>
    </w:p>
    <w:p w14:paraId="01BA55A7" w14:textId="1692E4E0" w:rsidR="00C65E36" w:rsidRDefault="00CF6AD2">
      <w:pPr>
        <w:pStyle w:val="ListParagraph"/>
        <w:numPr>
          <w:ilvl w:val="1"/>
          <w:numId w:val="18"/>
        </w:numPr>
        <w:autoSpaceDE w:val="0"/>
        <w:autoSpaceDN w:val="0"/>
        <w:ind w:leftChars="0"/>
        <w:jc w:val="both"/>
        <w:rPr>
          <w:rFonts w:ascii="Calibri" w:hAnsi="Calibri" w:cs="Calibri"/>
          <w:sz w:val="22"/>
        </w:rPr>
      </w:pPr>
      <w:r w:rsidRPr="00CF6AD2">
        <w:rPr>
          <w:rFonts w:ascii="Calibri" w:hAnsi="Calibri" w:cs="Calibri" w:hint="eastAsia"/>
          <w:sz w:val="22"/>
          <w:lang w:val="en-AU"/>
        </w:rPr>
        <w:t>Only one CAPC table is defined, which is based on one of the followings:</w:t>
      </w:r>
    </w:p>
    <w:p w14:paraId="6474A927" w14:textId="295E3F6D" w:rsidR="00C65E36" w:rsidRDefault="00CF6AD2">
      <w:pPr>
        <w:pStyle w:val="ListParagraph"/>
        <w:numPr>
          <w:ilvl w:val="2"/>
          <w:numId w:val="18"/>
        </w:numPr>
        <w:autoSpaceDE w:val="0"/>
        <w:autoSpaceDN w:val="0"/>
        <w:ind w:leftChars="0"/>
        <w:jc w:val="both"/>
        <w:rPr>
          <w:rFonts w:ascii="Calibri" w:hAnsi="Calibri" w:cs="Calibri"/>
          <w:sz w:val="22"/>
        </w:rPr>
      </w:pPr>
      <w:r w:rsidRPr="00CF6AD2">
        <w:rPr>
          <w:rFonts w:ascii="Calibri" w:hAnsi="Calibri" w:cs="Calibri"/>
          <w:sz w:val="22"/>
        </w:rPr>
        <w:t>Option 1: The same DL CAPC table is used (Table 4.1.1-1 in TS37.213)</w:t>
      </w:r>
    </w:p>
    <w:p w14:paraId="1FB3FAC3" w14:textId="728E3141" w:rsidR="00CF6AD2" w:rsidRDefault="00CF6AD2">
      <w:pPr>
        <w:pStyle w:val="ListParagraph"/>
        <w:numPr>
          <w:ilvl w:val="2"/>
          <w:numId w:val="18"/>
        </w:numPr>
        <w:autoSpaceDE w:val="0"/>
        <w:autoSpaceDN w:val="0"/>
        <w:ind w:leftChars="0"/>
        <w:jc w:val="both"/>
        <w:rPr>
          <w:rFonts w:ascii="Calibri" w:hAnsi="Calibri" w:cs="Calibri"/>
          <w:sz w:val="22"/>
        </w:rPr>
      </w:pPr>
      <w:r w:rsidRPr="00CF6AD2">
        <w:rPr>
          <w:rFonts w:ascii="Calibri" w:hAnsi="Calibri" w:cs="Calibri"/>
          <w:sz w:val="22"/>
        </w:rPr>
        <w:t>Option 2: The same UL CAPC table is used (Table 4.2.1-1 in TS37.213)</w:t>
      </w:r>
    </w:p>
    <w:p w14:paraId="6A8A33EE" w14:textId="68B0ACC5" w:rsidR="00C65E36" w:rsidRDefault="00C65E36">
      <w:pPr>
        <w:pStyle w:val="ListParagraph"/>
        <w:numPr>
          <w:ilvl w:val="2"/>
          <w:numId w:val="18"/>
        </w:numPr>
        <w:autoSpaceDE w:val="0"/>
        <w:autoSpaceDN w:val="0"/>
        <w:ind w:leftChars="0"/>
        <w:jc w:val="both"/>
        <w:rPr>
          <w:rFonts w:ascii="Calibri" w:hAnsi="Calibri" w:cs="Calibri"/>
          <w:sz w:val="22"/>
        </w:rPr>
      </w:pPr>
      <w:r>
        <w:rPr>
          <w:rFonts w:ascii="Calibri" w:hAnsi="Calibri" w:cs="Calibri"/>
          <w:sz w:val="22"/>
        </w:rPr>
        <w:t>The mapping of PQI to the 4 CAPC levels is up to RAN2</w:t>
      </w:r>
    </w:p>
    <w:p w14:paraId="5CE0F4BB" w14:textId="09847ECD" w:rsidR="00CF6AD2" w:rsidRDefault="00CF6AD2" w:rsidP="00CF6AD2">
      <w:pPr>
        <w:autoSpaceDE w:val="0"/>
        <w:autoSpaceDN w:val="0"/>
        <w:jc w:val="both"/>
        <w:rPr>
          <w:rFonts w:ascii="Calibri" w:hAnsi="Calibri" w:cs="Calibri"/>
          <w:sz w:val="22"/>
        </w:rPr>
      </w:pPr>
    </w:p>
    <w:tbl>
      <w:tblPr>
        <w:tblStyle w:val="TableGrid"/>
        <w:tblW w:w="9631" w:type="dxa"/>
        <w:tblLayout w:type="fixed"/>
        <w:tblLook w:val="04A0" w:firstRow="1" w:lastRow="0" w:firstColumn="1" w:lastColumn="0" w:noHBand="0" w:noVBand="1"/>
      </w:tblPr>
      <w:tblGrid>
        <w:gridCol w:w="1555"/>
        <w:gridCol w:w="8076"/>
      </w:tblGrid>
      <w:tr w:rsidR="00EC21DD" w14:paraId="60541B27" w14:textId="77777777" w:rsidTr="006B2419">
        <w:tc>
          <w:tcPr>
            <w:tcW w:w="1555" w:type="dxa"/>
          </w:tcPr>
          <w:p w14:paraId="398C95F0" w14:textId="77777777" w:rsidR="00EC21DD" w:rsidRDefault="00EC21DD" w:rsidP="006B2419">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8076" w:type="dxa"/>
          </w:tcPr>
          <w:p w14:paraId="6160F998" w14:textId="77777777" w:rsidR="00EC21DD" w:rsidRDefault="00EC21DD" w:rsidP="006B2419">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EE4559" w14:paraId="4C0AE26D" w14:textId="77777777" w:rsidTr="00EE4559">
        <w:tc>
          <w:tcPr>
            <w:tcW w:w="1555" w:type="dxa"/>
          </w:tcPr>
          <w:p w14:paraId="0B5E496E" w14:textId="77777777" w:rsidR="00EE4559" w:rsidRDefault="00EE4559" w:rsidP="006B2419">
            <w:pPr>
              <w:pStyle w:val="0Maintext"/>
              <w:spacing w:after="0" w:afterAutospacing="0"/>
              <w:ind w:firstLine="0"/>
            </w:pPr>
            <w:r>
              <w:t>IDCC</w:t>
            </w:r>
          </w:p>
        </w:tc>
        <w:tc>
          <w:tcPr>
            <w:tcW w:w="8076" w:type="dxa"/>
          </w:tcPr>
          <w:p w14:paraId="3B33C49F" w14:textId="77777777" w:rsidR="00EE4559" w:rsidRDefault="00EE4559" w:rsidP="006B2419">
            <w:pPr>
              <w:pStyle w:val="0Maintext"/>
              <w:spacing w:after="0" w:afterAutospacing="0"/>
              <w:ind w:firstLine="0"/>
            </w:pPr>
            <w:r>
              <w:t xml:space="preserve">We support the proposal.   </w:t>
            </w:r>
          </w:p>
        </w:tc>
      </w:tr>
      <w:tr w:rsidR="00EE4559" w14:paraId="6EBE4FA3" w14:textId="77777777" w:rsidTr="00EE4559">
        <w:tc>
          <w:tcPr>
            <w:tcW w:w="1555" w:type="dxa"/>
          </w:tcPr>
          <w:p w14:paraId="589D4132" w14:textId="77777777" w:rsidR="00EE4559" w:rsidRDefault="00EE4559" w:rsidP="00EE4559">
            <w:pPr>
              <w:pStyle w:val="0Maintext"/>
              <w:spacing w:after="0" w:afterAutospacing="0"/>
              <w:ind w:firstLine="0"/>
            </w:pPr>
            <w:r>
              <w:t>Qualcomm</w:t>
            </w:r>
          </w:p>
        </w:tc>
        <w:tc>
          <w:tcPr>
            <w:tcW w:w="8076" w:type="dxa"/>
          </w:tcPr>
          <w:p w14:paraId="23DAED96" w14:textId="77777777" w:rsidR="00EE4559" w:rsidRDefault="00EE4559" w:rsidP="006B2419">
            <w:pPr>
              <w:autoSpaceDE w:val="0"/>
              <w:autoSpaceDN w:val="0"/>
              <w:jc w:val="both"/>
              <w:rPr>
                <w:rFonts w:ascii="Calibri" w:hAnsi="Calibri" w:cs="Calibri"/>
                <w:sz w:val="22"/>
                <w:lang w:val="en-US"/>
              </w:rPr>
            </w:pPr>
            <w:r>
              <w:rPr>
                <w:rFonts w:ascii="Calibri" w:hAnsi="Calibri" w:cs="Calibri"/>
                <w:sz w:val="22"/>
              </w:rPr>
              <w:t xml:space="preserve">We are fine with the spirit of the proposal, but we think that Option 2 needs a refinement. The UL table has mp=2 for CAPC=1. When a gNB sends an SSB in NR-U, it does use mp=1. In the Uu UL case we did not have SSB, but in SL we do have S-SSB transmitted by UEs. We believe that due to the importance of sync procedures, also the UE should use mp=1 when using Type 1 LBT for S-SSB. </w:t>
            </w:r>
          </w:p>
          <w:p w14:paraId="20D965D7" w14:textId="77777777" w:rsidR="00EE4559" w:rsidRDefault="00EE4559" w:rsidP="006B2419">
            <w:pPr>
              <w:autoSpaceDE w:val="0"/>
              <w:autoSpaceDN w:val="0"/>
              <w:jc w:val="both"/>
              <w:rPr>
                <w:rFonts w:ascii="Calibri" w:hAnsi="Calibri" w:cs="Calibri"/>
                <w:sz w:val="22"/>
              </w:rPr>
            </w:pPr>
            <w:r>
              <w:rPr>
                <w:rFonts w:ascii="Calibri" w:hAnsi="Calibri" w:cs="Calibri"/>
                <w:b/>
                <w:bCs/>
                <w:sz w:val="22"/>
              </w:rPr>
              <w:t>Therefore, we propose the following modification of Option 2</w:t>
            </w:r>
            <w:r>
              <w:rPr>
                <w:rFonts w:ascii="Calibri" w:hAnsi="Calibri" w:cs="Calibri"/>
                <w:sz w:val="22"/>
              </w:rPr>
              <w:t>:</w:t>
            </w:r>
          </w:p>
          <w:p w14:paraId="4F24B47C" w14:textId="77777777" w:rsidR="00EE4559" w:rsidRDefault="00EE4559" w:rsidP="00EE4559">
            <w:pPr>
              <w:pStyle w:val="ListParagraph"/>
              <w:numPr>
                <w:ilvl w:val="2"/>
                <w:numId w:val="18"/>
              </w:numPr>
              <w:autoSpaceDE w:val="0"/>
              <w:autoSpaceDN w:val="0"/>
              <w:spacing w:line="259" w:lineRule="auto"/>
              <w:ind w:leftChars="0" w:left="739"/>
              <w:jc w:val="both"/>
              <w:rPr>
                <w:rFonts w:ascii="Calibri" w:hAnsi="Calibri" w:cs="Calibri"/>
                <w:sz w:val="22"/>
              </w:rPr>
            </w:pPr>
            <w:r>
              <w:rPr>
                <w:rFonts w:ascii="Calibri" w:hAnsi="Calibri" w:cs="Calibri"/>
                <w:sz w:val="22"/>
              </w:rPr>
              <w:t xml:space="preserve">Option 2: The </w:t>
            </w:r>
            <w:r>
              <w:rPr>
                <w:rFonts w:ascii="Calibri" w:hAnsi="Calibri" w:cs="Calibri"/>
                <w:strike/>
                <w:color w:val="FF0000"/>
                <w:sz w:val="22"/>
              </w:rPr>
              <w:t>same</w:t>
            </w:r>
            <w:r>
              <w:rPr>
                <w:rFonts w:ascii="Calibri" w:hAnsi="Calibri" w:cs="Calibri"/>
                <w:color w:val="FF0000"/>
                <w:sz w:val="22"/>
              </w:rPr>
              <w:t xml:space="preserve"> </w:t>
            </w:r>
            <w:r>
              <w:rPr>
                <w:rFonts w:ascii="Calibri" w:hAnsi="Calibri" w:cs="Calibri"/>
                <w:sz w:val="22"/>
              </w:rPr>
              <w:t xml:space="preserve">UL CAPC table is used (Table 4.2.1-1 in TS37.213) </w:t>
            </w:r>
            <w:r>
              <w:rPr>
                <w:rFonts w:ascii="Calibri" w:hAnsi="Calibri" w:cs="Calibri"/>
                <w:color w:val="FF0000"/>
                <w:sz w:val="22"/>
              </w:rPr>
              <w:t>with the following modification</w:t>
            </w:r>
          </w:p>
          <w:p w14:paraId="4E2CC88C" w14:textId="77777777" w:rsidR="00EE4559" w:rsidRDefault="00EE4559" w:rsidP="00EE4559">
            <w:pPr>
              <w:pStyle w:val="ListParagraph"/>
              <w:numPr>
                <w:ilvl w:val="3"/>
                <w:numId w:val="18"/>
              </w:numPr>
              <w:autoSpaceDE w:val="0"/>
              <w:autoSpaceDN w:val="0"/>
              <w:spacing w:line="259" w:lineRule="auto"/>
              <w:ind w:leftChars="0" w:left="1306"/>
              <w:jc w:val="both"/>
              <w:rPr>
                <w:rFonts w:ascii="Calibri" w:hAnsi="Calibri" w:cs="Calibri"/>
                <w:color w:val="FF0000"/>
                <w:sz w:val="22"/>
              </w:rPr>
            </w:pPr>
            <w:r>
              <w:rPr>
                <w:rFonts w:ascii="Calibri" w:hAnsi="Calibri" w:cs="Calibri"/>
                <w:color w:val="FF0000"/>
                <w:sz w:val="22"/>
              </w:rPr>
              <w:t xml:space="preserve">Include an additional entry for p=1 and S-SSB transmission to use </w:t>
            </w:r>
            <w:r>
              <w:rPr>
                <w:iCs/>
                <w:color w:val="FF0000"/>
                <w:sz w:val="22"/>
                <w:szCs w:val="22"/>
                <w:lang w:eastAsia="zh-CN"/>
              </w:rPr>
              <w:t xml:space="preserve">mp=1 </w:t>
            </w:r>
          </w:p>
          <w:p w14:paraId="271671FC" w14:textId="77777777" w:rsidR="00EE4559" w:rsidRDefault="00EE4559" w:rsidP="006B2419">
            <w:pPr>
              <w:autoSpaceDE w:val="0"/>
              <w:autoSpaceDN w:val="0"/>
              <w:jc w:val="both"/>
              <w:rPr>
                <w:rFonts w:ascii="Calibri" w:hAnsi="Calibri" w:cs="Calibri"/>
                <w:color w:val="000000" w:themeColor="text1"/>
                <w:sz w:val="22"/>
              </w:rPr>
            </w:pPr>
          </w:p>
          <w:p w14:paraId="231FA332" w14:textId="77777777" w:rsidR="00EE4559" w:rsidRDefault="00EE4559" w:rsidP="006B2419">
            <w:pPr>
              <w:autoSpaceDE w:val="0"/>
              <w:autoSpaceDN w:val="0"/>
              <w:jc w:val="both"/>
              <w:rPr>
                <w:rFonts w:ascii="Calibri" w:hAnsi="Calibri" w:cs="Calibri"/>
                <w:color w:val="000000" w:themeColor="text1"/>
                <w:sz w:val="22"/>
              </w:rPr>
            </w:pPr>
            <w:r>
              <w:rPr>
                <w:rFonts w:ascii="Calibri" w:hAnsi="Calibri" w:cs="Calibri"/>
                <w:color w:val="000000" w:themeColor="text1"/>
                <w:sz w:val="22"/>
              </w:rPr>
              <w:t>About mapping of PQI or L1 priority to CAPC, there are further discussion points to be cleared about the pros and cons of the options, and RAN2 is already discussing this. Some discussion points are:</w:t>
            </w:r>
          </w:p>
          <w:p w14:paraId="0FC4760E" w14:textId="77777777" w:rsidR="00EE4559" w:rsidRDefault="00EE4559">
            <w:pPr>
              <w:pStyle w:val="ListParagraph"/>
              <w:numPr>
                <w:ilvl w:val="0"/>
                <w:numId w:val="36"/>
              </w:numPr>
              <w:autoSpaceDE w:val="0"/>
              <w:autoSpaceDN w:val="0"/>
              <w:spacing w:after="160" w:line="259" w:lineRule="auto"/>
              <w:ind w:leftChars="0"/>
              <w:jc w:val="both"/>
              <w:rPr>
                <w:rFonts w:ascii="Calibri" w:hAnsi="Calibri" w:cs="Calibri"/>
                <w:color w:val="000000" w:themeColor="text1"/>
                <w:sz w:val="22"/>
              </w:rPr>
            </w:pPr>
            <w:r>
              <w:rPr>
                <w:rFonts w:ascii="Calibri" w:hAnsi="Calibri" w:cs="Calibri"/>
                <w:color w:val="000000" w:themeColor="text1"/>
                <w:sz w:val="22"/>
              </w:rPr>
              <w:t>PQI to CAPC mapping: each logical channel is mapped with CAPC based on QoS flow of DRB. When MAC PDUs are multiplexed, the resulting CAPC can follow NR-U rule ‘use the lowest DRB or SRB2 CAPC of the multiplexed PDUs’. The downslide is that we need to introduce additional signaling for CAPC in SCI (e.g. for COT sharing information).</w:t>
            </w:r>
          </w:p>
          <w:p w14:paraId="7EF1B619" w14:textId="77777777" w:rsidR="00EE4559" w:rsidRDefault="00EE4559">
            <w:pPr>
              <w:pStyle w:val="ListParagraph"/>
              <w:numPr>
                <w:ilvl w:val="0"/>
                <w:numId w:val="36"/>
              </w:numPr>
              <w:autoSpaceDE w:val="0"/>
              <w:autoSpaceDN w:val="0"/>
              <w:spacing w:after="160" w:line="259" w:lineRule="auto"/>
              <w:ind w:leftChars="0"/>
              <w:jc w:val="both"/>
              <w:rPr>
                <w:rFonts w:ascii="Calibri" w:hAnsi="Calibri" w:cs="Calibri"/>
                <w:color w:val="000000" w:themeColor="text1"/>
                <w:sz w:val="22"/>
              </w:rPr>
            </w:pPr>
            <w:r>
              <w:rPr>
                <w:rFonts w:ascii="Calibri" w:hAnsi="Calibri" w:cs="Calibri"/>
                <w:color w:val="000000" w:themeColor="text1"/>
                <w:sz w:val="22"/>
              </w:rPr>
              <w:t>L1 priority to CAPC mapping: map after logical channel mux. Logical channels do not have CAPC but only priority. The mux has priority equal to the highest priority of logical channels. So the mapped CAPC inherit this “highest” criteria. In NR-U  ‘use the lowest DRB or SRB2 CAPC of the multiplexed PDUs’, which is different. An advantage is that L1 priority in SCI-1 could be used to signal CAPC (needed, e.g. in COT sharing information) without need to add further signaling.</w:t>
            </w:r>
          </w:p>
          <w:p w14:paraId="19E3D412" w14:textId="77777777" w:rsidR="00EE4559" w:rsidRDefault="00EE4559" w:rsidP="006B2419">
            <w:pPr>
              <w:autoSpaceDE w:val="0"/>
              <w:autoSpaceDN w:val="0"/>
              <w:jc w:val="both"/>
              <w:rPr>
                <w:rFonts w:ascii="Calibri" w:hAnsi="Calibri" w:cs="Calibri"/>
                <w:b/>
                <w:bCs/>
                <w:color w:val="000000" w:themeColor="text1"/>
                <w:sz w:val="22"/>
              </w:rPr>
            </w:pPr>
            <w:r>
              <w:rPr>
                <w:rFonts w:ascii="Calibri" w:hAnsi="Calibri" w:cs="Calibri"/>
                <w:b/>
                <w:bCs/>
                <w:color w:val="000000" w:themeColor="text1"/>
                <w:sz w:val="22"/>
              </w:rPr>
              <w:t>So we propose that RAN2 handles the decision on PQI vs. L1 priority mapping to CAPC:</w:t>
            </w:r>
          </w:p>
          <w:p w14:paraId="544B7B19" w14:textId="77777777" w:rsidR="00EE4559" w:rsidRDefault="00EE4559" w:rsidP="00EE4559">
            <w:pPr>
              <w:pStyle w:val="ListParagraph"/>
              <w:numPr>
                <w:ilvl w:val="2"/>
                <w:numId w:val="18"/>
              </w:numPr>
              <w:autoSpaceDE w:val="0"/>
              <w:autoSpaceDN w:val="0"/>
              <w:spacing w:line="259" w:lineRule="auto"/>
              <w:ind w:leftChars="0" w:left="739"/>
              <w:jc w:val="both"/>
              <w:rPr>
                <w:rFonts w:ascii="Calibri" w:hAnsi="Calibri" w:cs="Calibri"/>
                <w:sz w:val="22"/>
              </w:rPr>
            </w:pPr>
            <w:r>
              <w:rPr>
                <w:rFonts w:ascii="Calibri" w:hAnsi="Calibri" w:cs="Calibri"/>
                <w:color w:val="FF0000"/>
                <w:sz w:val="22"/>
              </w:rPr>
              <w:t xml:space="preserve">RAN2 decides on </w:t>
            </w:r>
            <w:r>
              <w:rPr>
                <w:rFonts w:ascii="Calibri" w:hAnsi="Calibri" w:cs="Calibri"/>
                <w:color w:val="000000" w:themeColor="text1"/>
                <w:sz w:val="22"/>
              </w:rPr>
              <w:t xml:space="preserve">the </w:t>
            </w:r>
            <w:r>
              <w:rPr>
                <w:rFonts w:ascii="Calibri" w:hAnsi="Calibri" w:cs="Calibri"/>
                <w:sz w:val="22"/>
              </w:rPr>
              <w:t xml:space="preserve">mapping of PQI </w:t>
            </w:r>
            <w:r>
              <w:rPr>
                <w:rFonts w:ascii="Calibri" w:hAnsi="Calibri" w:cs="Calibri"/>
                <w:color w:val="FF0000"/>
                <w:sz w:val="22"/>
              </w:rPr>
              <w:t xml:space="preserve">or L1 priority </w:t>
            </w:r>
            <w:r>
              <w:rPr>
                <w:rFonts w:ascii="Calibri" w:hAnsi="Calibri" w:cs="Calibri"/>
                <w:sz w:val="22"/>
              </w:rPr>
              <w:t>to the 4 CAPC levels</w:t>
            </w:r>
          </w:p>
        </w:tc>
      </w:tr>
      <w:tr w:rsidR="00EE4559" w14:paraId="085E84CE" w14:textId="77777777" w:rsidTr="00EE4559">
        <w:tc>
          <w:tcPr>
            <w:tcW w:w="1555" w:type="dxa"/>
          </w:tcPr>
          <w:p w14:paraId="16020D17" w14:textId="77777777" w:rsidR="00EE4559" w:rsidRDefault="00EE4559" w:rsidP="006B2419">
            <w:pPr>
              <w:pStyle w:val="0Maintext"/>
              <w:spacing w:after="0" w:afterAutospacing="0"/>
              <w:ind w:firstLine="0"/>
            </w:pPr>
            <w:r>
              <w:lastRenderedPageBreak/>
              <w:t>Intel</w:t>
            </w:r>
          </w:p>
        </w:tc>
        <w:tc>
          <w:tcPr>
            <w:tcW w:w="8076" w:type="dxa"/>
          </w:tcPr>
          <w:p w14:paraId="67BCDBFB" w14:textId="77777777" w:rsidR="00EE4559" w:rsidRDefault="00EE4559" w:rsidP="006B2419">
            <w:pPr>
              <w:pStyle w:val="0Maintext"/>
              <w:spacing w:after="0" w:afterAutospacing="0"/>
              <w:ind w:firstLine="0"/>
            </w:pPr>
            <w:r>
              <w:t xml:space="preserve">OK generally OK with the proposal. </w:t>
            </w:r>
          </w:p>
          <w:p w14:paraId="535027F7" w14:textId="77777777" w:rsidR="00EE4559" w:rsidRDefault="00EE4559" w:rsidP="006B2419">
            <w:pPr>
              <w:pStyle w:val="0Maintext"/>
              <w:spacing w:after="0" w:afterAutospacing="0"/>
              <w:ind w:firstLine="0"/>
            </w:pPr>
            <w:r>
              <w:t>For CAPC table to use, option 1 is our first preference, but we would be also fine by adopting both based on mode of operation (UL CAPC for mode 1 and DL CAPC for mode 2) as long as companies understanding is that only use case would be when a single mode is operated otherwise we will incur in having ambiguity across UEs when decoding the COT sharing information.</w:t>
            </w:r>
          </w:p>
          <w:p w14:paraId="451A0B44" w14:textId="77777777" w:rsidR="00EE4559" w:rsidRDefault="00EE4559" w:rsidP="006B2419">
            <w:pPr>
              <w:pStyle w:val="0Maintext"/>
              <w:spacing w:after="0" w:afterAutospacing="0"/>
              <w:ind w:firstLine="0"/>
            </w:pPr>
          </w:p>
          <w:p w14:paraId="132F160F" w14:textId="77777777" w:rsidR="00EE4559" w:rsidRDefault="00EE4559" w:rsidP="006B2419">
            <w:pPr>
              <w:pStyle w:val="0Maintext"/>
              <w:spacing w:after="0" w:afterAutospacing="0"/>
              <w:ind w:firstLine="0"/>
            </w:pPr>
            <w:r>
              <w:t>For mapping of PQI to CAPC, we are also OK to leave the details to RAN2, but we still believe that an LS is needed to ask guidance on which assumptions RAN1 should make:</w:t>
            </w:r>
          </w:p>
          <w:p w14:paraId="106DF593" w14:textId="77777777" w:rsidR="00EE4559" w:rsidRDefault="00EE4559" w:rsidP="00EE4559">
            <w:pPr>
              <w:pStyle w:val="0Maintext"/>
              <w:numPr>
                <w:ilvl w:val="1"/>
                <w:numId w:val="11"/>
              </w:numPr>
              <w:spacing w:after="0" w:afterAutospacing="0"/>
            </w:pPr>
            <w:r>
              <w:t>should RAN1 assumed that the CAPC levels will be carried in PPPP, and therefore CAPC field is not needed in the COT sharing information?</w:t>
            </w:r>
          </w:p>
          <w:p w14:paraId="6572BDC0" w14:textId="77777777" w:rsidR="00EE4559" w:rsidRDefault="00EE4559" w:rsidP="00EE4559">
            <w:pPr>
              <w:pStyle w:val="0Maintext"/>
              <w:numPr>
                <w:ilvl w:val="1"/>
                <w:numId w:val="11"/>
              </w:numPr>
              <w:spacing w:after="0" w:afterAutospacing="0"/>
            </w:pPr>
            <w:r>
              <w:t>Or should RAN1 assume that PQI will be mapped in CAPC table and therefore redundant info will be carried in PPPP, and likely PPPP is not needed anymore in the SCI for SL-U?</w:t>
            </w:r>
          </w:p>
          <w:p w14:paraId="7DE6552C" w14:textId="77777777" w:rsidR="00EE4559" w:rsidRDefault="00EE4559" w:rsidP="006B2419">
            <w:pPr>
              <w:pStyle w:val="0Maintext"/>
              <w:spacing w:after="0" w:afterAutospacing="0"/>
              <w:ind w:firstLine="0"/>
            </w:pPr>
            <w:r>
              <w:t>From our view these are questions that require some coordination among the two RANs.</w:t>
            </w:r>
          </w:p>
        </w:tc>
      </w:tr>
      <w:tr w:rsidR="00EE4559" w14:paraId="4D047CBF" w14:textId="77777777" w:rsidTr="00EE4559">
        <w:tc>
          <w:tcPr>
            <w:tcW w:w="1555" w:type="dxa"/>
          </w:tcPr>
          <w:p w14:paraId="2D198437" w14:textId="77777777" w:rsidR="00EE4559" w:rsidRDefault="00EE4559" w:rsidP="006B2419">
            <w:pPr>
              <w:pStyle w:val="0Maintext"/>
              <w:spacing w:after="0" w:afterAutospacing="0"/>
              <w:ind w:firstLine="0"/>
            </w:pPr>
            <w:r>
              <w:rPr>
                <w:rFonts w:eastAsiaTheme="minorEastAsia" w:hint="eastAsia"/>
                <w:lang w:eastAsia="zh-CN"/>
              </w:rPr>
              <w:t>O</w:t>
            </w:r>
            <w:r>
              <w:rPr>
                <w:rFonts w:eastAsiaTheme="minorEastAsia"/>
                <w:lang w:eastAsia="zh-CN"/>
              </w:rPr>
              <w:t>PPO</w:t>
            </w:r>
          </w:p>
        </w:tc>
        <w:tc>
          <w:tcPr>
            <w:tcW w:w="8076" w:type="dxa"/>
          </w:tcPr>
          <w:p w14:paraId="46F2005B" w14:textId="77777777" w:rsidR="00EE4559" w:rsidRDefault="00EE4559" w:rsidP="006B2419">
            <w:pPr>
              <w:pStyle w:val="0Maintext"/>
              <w:spacing w:after="0" w:afterAutospacing="0"/>
              <w:ind w:firstLine="0"/>
            </w:pPr>
            <w:r>
              <w:rPr>
                <w:rFonts w:asciiTheme="minorHAnsi" w:eastAsiaTheme="minorEastAsia" w:hAnsiTheme="minorHAnsi" w:cstheme="minorHAnsi" w:hint="eastAsia"/>
                <w:sz w:val="22"/>
                <w:szCs w:val="22"/>
                <w:lang w:eastAsia="zh-CN"/>
              </w:rPr>
              <w:t>s</w:t>
            </w:r>
            <w:r>
              <w:rPr>
                <w:rFonts w:asciiTheme="minorHAnsi" w:eastAsiaTheme="minorEastAsia" w:hAnsiTheme="minorHAnsi" w:cstheme="minorHAnsi"/>
                <w:sz w:val="22"/>
                <w:szCs w:val="22"/>
                <w:lang w:eastAsia="zh-CN"/>
              </w:rPr>
              <w:t xml:space="preserve">upport. </w:t>
            </w:r>
          </w:p>
        </w:tc>
      </w:tr>
      <w:tr w:rsidR="00EE4559" w14:paraId="0BD0BBB1" w14:textId="77777777" w:rsidTr="00EE4559">
        <w:tc>
          <w:tcPr>
            <w:tcW w:w="1555" w:type="dxa"/>
          </w:tcPr>
          <w:p w14:paraId="4032957C" w14:textId="77777777" w:rsidR="00EE4559" w:rsidRDefault="00EE4559" w:rsidP="006B2419">
            <w:pPr>
              <w:pStyle w:val="0Maintext"/>
              <w:spacing w:after="0" w:afterAutospacing="0"/>
              <w:ind w:firstLine="0"/>
            </w:pPr>
            <w:r>
              <w:t>CableLabs</w:t>
            </w:r>
          </w:p>
        </w:tc>
        <w:tc>
          <w:tcPr>
            <w:tcW w:w="8076" w:type="dxa"/>
          </w:tcPr>
          <w:p w14:paraId="6F9D97AD" w14:textId="77777777" w:rsidR="00EE4559" w:rsidRDefault="00EE4559" w:rsidP="006B2419">
            <w:pPr>
              <w:pStyle w:val="0Maintext"/>
              <w:spacing w:after="0" w:afterAutospacing="0"/>
              <w:ind w:firstLine="0"/>
            </w:pPr>
            <w:r>
              <w:t>We support option 1, however since PQIs are logical channels a LS to RAN2 for further guidance should be welcome</w:t>
            </w:r>
          </w:p>
        </w:tc>
      </w:tr>
      <w:tr w:rsidR="00EE4559" w14:paraId="705BA577" w14:textId="77777777" w:rsidTr="00EE4559">
        <w:tc>
          <w:tcPr>
            <w:tcW w:w="1555" w:type="dxa"/>
          </w:tcPr>
          <w:p w14:paraId="61BD21E2" w14:textId="77777777" w:rsidR="00EE4559" w:rsidRDefault="00EE4559" w:rsidP="006B2419">
            <w:pPr>
              <w:pStyle w:val="0Maintext"/>
              <w:spacing w:after="0" w:afterAutospacing="0"/>
              <w:ind w:firstLine="0"/>
              <w:rPr>
                <w:lang w:eastAsia="ko-KR"/>
              </w:rPr>
            </w:pPr>
            <w:r>
              <w:rPr>
                <w:rFonts w:hint="eastAsia"/>
                <w:lang w:eastAsia="ko-KR"/>
              </w:rPr>
              <w:t>LGE</w:t>
            </w:r>
          </w:p>
        </w:tc>
        <w:tc>
          <w:tcPr>
            <w:tcW w:w="8076" w:type="dxa"/>
          </w:tcPr>
          <w:p w14:paraId="2FC9B7DD" w14:textId="77777777" w:rsidR="00EE4559" w:rsidRDefault="00EE4559" w:rsidP="006B2419">
            <w:pPr>
              <w:pStyle w:val="0Maintext"/>
              <w:spacing w:after="0" w:afterAutospacing="0"/>
              <w:ind w:firstLine="0"/>
              <w:rPr>
                <w:lang w:eastAsia="ko-KR"/>
              </w:rPr>
            </w:pPr>
            <w:r>
              <w:rPr>
                <w:rFonts w:hint="eastAsia"/>
                <w:lang w:eastAsia="ko-KR"/>
              </w:rPr>
              <w:t xml:space="preserve">We support this proposal. </w:t>
            </w:r>
          </w:p>
          <w:p w14:paraId="689F6E2D" w14:textId="77777777" w:rsidR="00EE4559" w:rsidRDefault="00EE4559" w:rsidP="006B2419">
            <w:pPr>
              <w:pStyle w:val="0Maintext"/>
              <w:spacing w:after="0" w:afterAutospacing="0"/>
              <w:ind w:firstLine="0"/>
              <w:rPr>
                <w:lang w:eastAsia="ko-KR"/>
              </w:rPr>
            </w:pPr>
          </w:p>
          <w:p w14:paraId="4752ACD5" w14:textId="77777777" w:rsidR="00EE4559" w:rsidRDefault="00EE4559" w:rsidP="006B2419">
            <w:pPr>
              <w:pStyle w:val="0Maintext"/>
              <w:spacing w:after="0" w:afterAutospacing="0"/>
              <w:ind w:firstLine="0"/>
              <w:rPr>
                <w:lang w:eastAsia="ko-KR"/>
              </w:rPr>
            </w:pPr>
            <w:r>
              <w:rPr>
                <w:rFonts w:hint="eastAsia"/>
                <w:lang w:eastAsia="ko-KR"/>
              </w:rPr>
              <w:t xml:space="preserve">Unlike NR-U gNB, a large number of UEs </w:t>
            </w:r>
            <w:r>
              <w:rPr>
                <w:lang w:eastAsia="ko-KR"/>
              </w:rPr>
              <w:t xml:space="preserve">will try to access channel, so, it would be beneficial in terms of fairness with other RAT including NR-U to use UL CAPC table (of which channel sensing duration is expected to be relatively large) conservatively. </w:t>
            </w:r>
          </w:p>
          <w:p w14:paraId="49BD4437" w14:textId="77777777" w:rsidR="00EE4559" w:rsidRDefault="00EE4559" w:rsidP="006B2419">
            <w:pPr>
              <w:pStyle w:val="0Maintext"/>
              <w:spacing w:after="0" w:afterAutospacing="0"/>
              <w:ind w:firstLine="0"/>
              <w:rPr>
                <w:lang w:eastAsia="ko-KR"/>
              </w:rPr>
            </w:pPr>
          </w:p>
          <w:p w14:paraId="7CEECDD7" w14:textId="77777777" w:rsidR="00EE4559" w:rsidRDefault="00EE4559" w:rsidP="006B2419">
            <w:pPr>
              <w:pStyle w:val="0Maintext"/>
              <w:spacing w:after="0" w:afterAutospacing="0"/>
              <w:ind w:firstLine="0"/>
              <w:rPr>
                <w:lang w:eastAsia="ko-KR"/>
              </w:rPr>
            </w:pPr>
            <w:r>
              <w:rPr>
                <w:lang w:eastAsia="ko-KR"/>
              </w:rPr>
              <w:t xml:space="preserve">Regarding CAPC mapping, in our understanding, the principle of seleting L1 SL priority value and selecting CAPC value is quite different. For instance, L1 SL priority value is the smallest SL priority value among the logical channels to be multiplexed. On the other hand, CAPC value will be the largest value among the logical channels to be multiplexed for fairness with other RAT. In this case, in general, CAPC value can be indnependent on L1 SL priority value. Depending on RAN2 decision, if they follows NR-U principel for mapping PQI-to-CAPC level, the high layer may or may not need to provide CAPC information separately.  </w:t>
            </w:r>
          </w:p>
        </w:tc>
      </w:tr>
      <w:tr w:rsidR="00EE4559" w14:paraId="6E942FDB" w14:textId="77777777" w:rsidTr="00EE4559">
        <w:tc>
          <w:tcPr>
            <w:tcW w:w="1555" w:type="dxa"/>
          </w:tcPr>
          <w:p w14:paraId="06E7C9E2" w14:textId="77777777" w:rsidR="00EE4559" w:rsidRDefault="00EE4559" w:rsidP="006B2419">
            <w:pPr>
              <w:pStyle w:val="0Maintext"/>
              <w:spacing w:after="0" w:afterAutospacing="0"/>
              <w:ind w:firstLine="0"/>
              <w:rPr>
                <w:lang w:eastAsia="ko-KR"/>
              </w:rPr>
            </w:pPr>
            <w:r>
              <w:rPr>
                <w:rFonts w:eastAsiaTheme="minorEastAsia" w:hint="eastAsia"/>
                <w:lang w:eastAsia="zh-CN"/>
              </w:rPr>
              <w:t>S</w:t>
            </w:r>
            <w:r>
              <w:rPr>
                <w:rFonts w:eastAsiaTheme="minorEastAsia"/>
                <w:lang w:eastAsia="zh-CN"/>
              </w:rPr>
              <w:t>preadtrum</w:t>
            </w:r>
          </w:p>
        </w:tc>
        <w:tc>
          <w:tcPr>
            <w:tcW w:w="8076" w:type="dxa"/>
          </w:tcPr>
          <w:p w14:paraId="05389C20" w14:textId="77777777" w:rsidR="00EE4559" w:rsidRDefault="00EE4559" w:rsidP="006B2419">
            <w:pPr>
              <w:pStyle w:val="0Maintext"/>
              <w:spacing w:after="0" w:afterAutospacing="0"/>
              <w:ind w:firstLine="0"/>
              <w:rPr>
                <w:lang w:eastAsia="ko-KR"/>
              </w:rPr>
            </w:pPr>
            <w:r>
              <w:rPr>
                <w:lang w:eastAsia="ko-KR"/>
              </w:rPr>
              <w:t>L1 priority should be added in the last sentence. Because, there is no agreement or conclusion on whether PQI or LI priority is used in RAN1. So, the proposal should be updated to</w:t>
            </w:r>
            <w:r>
              <w:rPr>
                <w:rFonts w:hint="eastAsia"/>
                <w:lang w:eastAsia="ko-KR"/>
              </w:rPr>
              <w:t>:</w:t>
            </w:r>
          </w:p>
          <w:p w14:paraId="67CA33DE" w14:textId="77777777" w:rsidR="00EE4559" w:rsidRDefault="00EE4559" w:rsidP="00EE4559">
            <w:pPr>
              <w:autoSpaceDE w:val="0"/>
              <w:autoSpaceDN w:val="0"/>
              <w:jc w:val="both"/>
              <w:rPr>
                <w:rFonts w:ascii="Calibri" w:hAnsi="Calibri" w:cs="Calibri"/>
                <w:sz w:val="22"/>
              </w:rPr>
            </w:pPr>
            <w:r>
              <w:rPr>
                <w:rFonts w:ascii="Calibri" w:hAnsi="Calibri" w:cs="Calibri"/>
                <w:b/>
                <w:bCs/>
                <w:sz w:val="22"/>
                <w:highlight w:val="yellow"/>
              </w:rPr>
              <w:t>Proposal 2-1 (I):</w:t>
            </w:r>
            <w:r>
              <w:rPr>
                <w:rFonts w:ascii="Calibri" w:hAnsi="Calibri" w:cs="Calibri"/>
                <w:b/>
                <w:bCs/>
                <w:sz w:val="22"/>
              </w:rPr>
              <w:t xml:space="preserve"> </w:t>
            </w:r>
          </w:p>
          <w:p w14:paraId="5334A6FC" w14:textId="77777777" w:rsidR="00EE4559" w:rsidRDefault="00EE4559" w:rsidP="00EE4559">
            <w:pPr>
              <w:pStyle w:val="ListParagraph"/>
              <w:numPr>
                <w:ilvl w:val="0"/>
                <w:numId w:val="18"/>
              </w:numPr>
              <w:autoSpaceDE w:val="0"/>
              <w:autoSpaceDN w:val="0"/>
              <w:spacing w:line="259" w:lineRule="auto"/>
              <w:ind w:leftChars="0"/>
              <w:jc w:val="both"/>
              <w:rPr>
                <w:rFonts w:ascii="Calibri" w:hAnsi="Calibri" w:cs="Calibri"/>
                <w:sz w:val="22"/>
              </w:rPr>
            </w:pPr>
            <w:r>
              <w:rPr>
                <w:rFonts w:ascii="Calibri" w:hAnsi="Calibri" w:cs="Calibri"/>
                <w:sz w:val="22"/>
              </w:rPr>
              <w:t>In Type 1 SL channel access procedure,</w:t>
            </w:r>
          </w:p>
          <w:p w14:paraId="25F6FB7F" w14:textId="77777777" w:rsidR="00EE4559" w:rsidRDefault="00EE4559" w:rsidP="00EE4559">
            <w:pPr>
              <w:pStyle w:val="ListParagraph"/>
              <w:numPr>
                <w:ilvl w:val="1"/>
                <w:numId w:val="18"/>
              </w:numPr>
              <w:autoSpaceDE w:val="0"/>
              <w:autoSpaceDN w:val="0"/>
              <w:spacing w:line="259" w:lineRule="auto"/>
              <w:ind w:leftChars="0"/>
              <w:jc w:val="both"/>
              <w:rPr>
                <w:rFonts w:ascii="Calibri" w:hAnsi="Calibri" w:cs="Calibri"/>
                <w:sz w:val="22"/>
              </w:rPr>
            </w:pPr>
            <w:r>
              <w:rPr>
                <w:rFonts w:ascii="Calibri" w:hAnsi="Calibri" w:cs="Calibri" w:hint="eastAsia"/>
                <w:sz w:val="22"/>
                <w:lang w:val="en-AU"/>
              </w:rPr>
              <w:t>Only one CAPC table is defined, which is based on one of the followings:</w:t>
            </w:r>
          </w:p>
          <w:p w14:paraId="0F1B0AD6" w14:textId="77777777" w:rsidR="00EE4559" w:rsidRDefault="00EE4559" w:rsidP="00EE4559">
            <w:pPr>
              <w:pStyle w:val="ListParagraph"/>
              <w:numPr>
                <w:ilvl w:val="2"/>
                <w:numId w:val="18"/>
              </w:numPr>
              <w:autoSpaceDE w:val="0"/>
              <w:autoSpaceDN w:val="0"/>
              <w:spacing w:line="259" w:lineRule="auto"/>
              <w:ind w:leftChars="0"/>
              <w:jc w:val="both"/>
              <w:rPr>
                <w:rFonts w:ascii="Calibri" w:hAnsi="Calibri" w:cs="Calibri"/>
                <w:sz w:val="22"/>
              </w:rPr>
            </w:pPr>
            <w:r>
              <w:rPr>
                <w:rFonts w:ascii="Calibri" w:hAnsi="Calibri" w:cs="Calibri"/>
                <w:sz w:val="22"/>
              </w:rPr>
              <w:t>Option 1: The same DL CAPC table is used (Table 4.1.1-1 in TS37.213)</w:t>
            </w:r>
          </w:p>
          <w:p w14:paraId="1B7B6319" w14:textId="77777777" w:rsidR="00EE4559" w:rsidRDefault="00EE4559" w:rsidP="00EE4559">
            <w:pPr>
              <w:pStyle w:val="ListParagraph"/>
              <w:numPr>
                <w:ilvl w:val="2"/>
                <w:numId w:val="18"/>
              </w:numPr>
              <w:autoSpaceDE w:val="0"/>
              <w:autoSpaceDN w:val="0"/>
              <w:spacing w:line="259" w:lineRule="auto"/>
              <w:ind w:leftChars="0"/>
              <w:jc w:val="both"/>
              <w:rPr>
                <w:rFonts w:ascii="Calibri" w:hAnsi="Calibri" w:cs="Calibri"/>
                <w:sz w:val="22"/>
              </w:rPr>
            </w:pPr>
            <w:r>
              <w:rPr>
                <w:rFonts w:ascii="Calibri" w:hAnsi="Calibri" w:cs="Calibri"/>
                <w:sz w:val="22"/>
              </w:rPr>
              <w:t>Option 2: The same UL CAPC table is used (Table 4.2.1-1 in TS37.213)</w:t>
            </w:r>
          </w:p>
          <w:p w14:paraId="67958820" w14:textId="77777777" w:rsidR="00EE4559" w:rsidRDefault="00EE4559" w:rsidP="00EE4559">
            <w:pPr>
              <w:pStyle w:val="ListParagraph"/>
              <w:numPr>
                <w:ilvl w:val="1"/>
                <w:numId w:val="18"/>
              </w:numPr>
              <w:autoSpaceDE w:val="0"/>
              <w:autoSpaceDN w:val="0"/>
              <w:spacing w:line="259" w:lineRule="auto"/>
              <w:ind w:leftChars="0"/>
              <w:jc w:val="both"/>
              <w:rPr>
                <w:rFonts w:ascii="Calibri" w:hAnsi="Calibri" w:cs="Calibri"/>
                <w:sz w:val="22"/>
              </w:rPr>
            </w:pPr>
            <w:r>
              <w:rPr>
                <w:rFonts w:ascii="Calibri" w:hAnsi="Calibri" w:cs="Calibri"/>
                <w:sz w:val="22"/>
              </w:rPr>
              <w:t>The mapping of PQI</w:t>
            </w:r>
            <w:ins w:id="97" w:author="陈咪咪 (Mimi Chen)" w:date="2022-10-11T13:32:00Z">
              <w:r>
                <w:rPr>
                  <w:rFonts w:ascii="Calibri" w:hAnsi="Calibri" w:cs="Calibri"/>
                  <w:sz w:val="22"/>
                </w:rPr>
                <w:t xml:space="preserve"> or L1 priority</w:t>
              </w:r>
            </w:ins>
            <w:r>
              <w:rPr>
                <w:rFonts w:ascii="Calibri" w:hAnsi="Calibri" w:cs="Calibri"/>
                <w:sz w:val="22"/>
              </w:rPr>
              <w:t xml:space="preserve"> to the 4 CAPC levels is up to RAN2</w:t>
            </w:r>
          </w:p>
        </w:tc>
      </w:tr>
      <w:tr w:rsidR="00EE4559" w14:paraId="408223DD" w14:textId="77777777" w:rsidTr="00EE4559">
        <w:tc>
          <w:tcPr>
            <w:tcW w:w="1555" w:type="dxa"/>
          </w:tcPr>
          <w:p w14:paraId="45FCC48B" w14:textId="77777777" w:rsidR="00EE4559" w:rsidRDefault="00EE4559" w:rsidP="006B2419">
            <w:pPr>
              <w:pStyle w:val="0Maintext"/>
              <w:spacing w:after="0" w:afterAutospacing="0"/>
              <w:ind w:firstLine="0"/>
              <w:rPr>
                <w:rFonts w:eastAsiaTheme="minorEastAsia"/>
                <w:lang w:eastAsia="zh-CN"/>
              </w:rPr>
            </w:pPr>
            <w:r>
              <w:rPr>
                <w:rFonts w:eastAsia="MS Mincho" w:hint="eastAsia"/>
                <w:lang w:eastAsia="ja-JP"/>
              </w:rPr>
              <w:t>S</w:t>
            </w:r>
            <w:r>
              <w:rPr>
                <w:rFonts w:eastAsia="MS Mincho"/>
                <w:lang w:eastAsia="ja-JP"/>
              </w:rPr>
              <w:t>ony</w:t>
            </w:r>
          </w:p>
        </w:tc>
        <w:tc>
          <w:tcPr>
            <w:tcW w:w="8076" w:type="dxa"/>
          </w:tcPr>
          <w:p w14:paraId="0D0CD633" w14:textId="77777777" w:rsidR="00EE4559" w:rsidRDefault="00EE4559" w:rsidP="006B2419">
            <w:pPr>
              <w:pStyle w:val="0Maintext"/>
              <w:spacing w:after="0" w:afterAutospacing="0"/>
              <w:ind w:firstLine="0"/>
              <w:rPr>
                <w:lang w:eastAsia="ko-KR"/>
              </w:rPr>
            </w:pPr>
            <w:r>
              <w:rPr>
                <w:rFonts w:eastAsia="MS Mincho" w:hint="eastAsia"/>
                <w:lang w:eastAsia="ja-JP"/>
              </w:rPr>
              <w:t>W</w:t>
            </w:r>
            <w:r>
              <w:rPr>
                <w:rFonts w:eastAsia="MS Mincho"/>
                <w:lang w:eastAsia="ja-JP"/>
              </w:rPr>
              <w:t>e support the FL proposal.</w:t>
            </w:r>
          </w:p>
        </w:tc>
      </w:tr>
      <w:tr w:rsidR="00EE4559" w14:paraId="4AE16722" w14:textId="77777777" w:rsidTr="00EE4559">
        <w:tc>
          <w:tcPr>
            <w:tcW w:w="1555" w:type="dxa"/>
          </w:tcPr>
          <w:p w14:paraId="5BA6BE1C" w14:textId="77777777" w:rsidR="00EE4559" w:rsidRDefault="00EE4559" w:rsidP="006B2419">
            <w:pPr>
              <w:pStyle w:val="0Maintext"/>
              <w:spacing w:after="0" w:afterAutospacing="0"/>
              <w:ind w:firstLine="0"/>
              <w:rPr>
                <w:rFonts w:eastAsiaTheme="minorEastAsia"/>
                <w:lang w:eastAsia="zh-CN"/>
              </w:rPr>
            </w:pPr>
            <w:r>
              <w:rPr>
                <w:rFonts w:eastAsiaTheme="minorEastAsia" w:hint="eastAsia"/>
                <w:lang w:eastAsia="zh-CN"/>
              </w:rPr>
              <w:t>C</w:t>
            </w:r>
            <w:r>
              <w:rPr>
                <w:rFonts w:eastAsiaTheme="minorEastAsia"/>
                <w:lang w:eastAsia="zh-CN"/>
              </w:rPr>
              <w:t>MCC</w:t>
            </w:r>
          </w:p>
        </w:tc>
        <w:tc>
          <w:tcPr>
            <w:tcW w:w="8076" w:type="dxa"/>
          </w:tcPr>
          <w:p w14:paraId="26D8166F" w14:textId="77777777" w:rsidR="00EE4559" w:rsidRDefault="00EE4559" w:rsidP="006B2419">
            <w:pPr>
              <w:pStyle w:val="0Maintext"/>
              <w:spacing w:after="0" w:afterAutospacing="0"/>
              <w:ind w:firstLine="0"/>
              <w:rPr>
                <w:rFonts w:eastAsiaTheme="minorEastAsia"/>
                <w:lang w:eastAsia="zh-CN"/>
              </w:rPr>
            </w:pPr>
            <w:r>
              <w:rPr>
                <w:rFonts w:eastAsiaTheme="minorEastAsia" w:hint="eastAsia"/>
                <w:lang w:eastAsia="zh-CN"/>
              </w:rPr>
              <w:t>S</w:t>
            </w:r>
            <w:r>
              <w:rPr>
                <w:rFonts w:eastAsiaTheme="minorEastAsia"/>
                <w:lang w:eastAsia="zh-CN"/>
              </w:rPr>
              <w:t>upport</w:t>
            </w:r>
          </w:p>
        </w:tc>
      </w:tr>
      <w:tr w:rsidR="00EE4559" w14:paraId="56EBDAEB" w14:textId="77777777" w:rsidTr="00EE4559">
        <w:tc>
          <w:tcPr>
            <w:tcW w:w="1555" w:type="dxa"/>
          </w:tcPr>
          <w:p w14:paraId="443E4FC7" w14:textId="77777777" w:rsidR="00EE4559" w:rsidRDefault="00EE4559" w:rsidP="006B2419">
            <w:pPr>
              <w:pStyle w:val="0Maintext"/>
              <w:spacing w:after="0" w:afterAutospacing="0"/>
              <w:ind w:firstLine="0"/>
              <w:rPr>
                <w:rFonts w:eastAsia="MS Mincho"/>
                <w:lang w:eastAsia="ja-JP"/>
              </w:rPr>
            </w:pPr>
            <w:r>
              <w:rPr>
                <w:rFonts w:eastAsia="MS Mincho" w:hint="eastAsia"/>
                <w:lang w:eastAsia="ja-JP"/>
              </w:rPr>
              <w:t>P</w:t>
            </w:r>
            <w:r>
              <w:rPr>
                <w:rFonts w:eastAsia="MS Mincho"/>
                <w:lang w:eastAsia="ja-JP"/>
              </w:rPr>
              <w:t>anasonic</w:t>
            </w:r>
          </w:p>
        </w:tc>
        <w:tc>
          <w:tcPr>
            <w:tcW w:w="8076" w:type="dxa"/>
          </w:tcPr>
          <w:p w14:paraId="258769A0" w14:textId="77777777" w:rsidR="00EE4559" w:rsidRDefault="00EE4559" w:rsidP="006B2419">
            <w:pPr>
              <w:pStyle w:val="0Maintext"/>
              <w:spacing w:after="0" w:afterAutospacing="0"/>
              <w:ind w:firstLine="0"/>
              <w:rPr>
                <w:rFonts w:eastAsiaTheme="minorEastAsia"/>
                <w:lang w:eastAsia="zh-CN"/>
              </w:rPr>
            </w:pPr>
            <w:r>
              <w:rPr>
                <w:rFonts w:eastAsiaTheme="minorEastAsia"/>
                <w:lang w:eastAsia="zh-CN"/>
              </w:rPr>
              <w:t>We support the proposal. Single CAPC should be used to reduce complexity. We slightly prefer UL CAPC as same as NR-U UE, although we can accept DL CAPC.</w:t>
            </w:r>
          </w:p>
        </w:tc>
      </w:tr>
      <w:tr w:rsidR="00EE4559" w14:paraId="00556F1F" w14:textId="77777777" w:rsidTr="00EE4559">
        <w:tc>
          <w:tcPr>
            <w:tcW w:w="1555" w:type="dxa"/>
          </w:tcPr>
          <w:p w14:paraId="313A4143" w14:textId="77777777" w:rsidR="00EE4559" w:rsidRDefault="00EE4559" w:rsidP="006B2419">
            <w:pPr>
              <w:pStyle w:val="0Maintext"/>
              <w:spacing w:after="0" w:afterAutospacing="0"/>
              <w:ind w:firstLine="0"/>
            </w:pPr>
            <w:r>
              <w:t>Nokia, NSB</w:t>
            </w:r>
          </w:p>
        </w:tc>
        <w:tc>
          <w:tcPr>
            <w:tcW w:w="8076" w:type="dxa"/>
          </w:tcPr>
          <w:p w14:paraId="22E683A7" w14:textId="77777777" w:rsidR="00EE4559" w:rsidRDefault="00EE4559" w:rsidP="006B2419">
            <w:pPr>
              <w:pStyle w:val="0Maintext"/>
              <w:spacing w:after="0" w:afterAutospacing="0"/>
              <w:ind w:firstLine="0"/>
              <w:rPr>
                <w:rFonts w:eastAsia="MS Mincho"/>
                <w:lang w:eastAsia="ja-JP"/>
              </w:rPr>
            </w:pPr>
            <w:r>
              <w:rPr>
                <w:rFonts w:eastAsia="MS Mincho"/>
                <w:lang w:eastAsia="ja-JP"/>
              </w:rPr>
              <w:t>We agree with the proposal.</w:t>
            </w:r>
          </w:p>
        </w:tc>
      </w:tr>
      <w:tr w:rsidR="00EE4559" w14:paraId="289F5594" w14:textId="77777777" w:rsidTr="00EE4559">
        <w:tc>
          <w:tcPr>
            <w:tcW w:w="1555" w:type="dxa"/>
          </w:tcPr>
          <w:p w14:paraId="68949661" w14:textId="77777777" w:rsidR="00EE4559" w:rsidRDefault="00EE4559" w:rsidP="006B2419">
            <w:pPr>
              <w:pStyle w:val="0Maintext"/>
              <w:spacing w:after="0" w:afterAutospacing="0"/>
              <w:ind w:firstLine="0"/>
            </w:pPr>
            <w:r>
              <w:rPr>
                <w:rFonts w:eastAsiaTheme="minorEastAsia"/>
                <w:lang w:eastAsia="zh-CN"/>
              </w:rPr>
              <w:t>vivo</w:t>
            </w:r>
          </w:p>
        </w:tc>
        <w:tc>
          <w:tcPr>
            <w:tcW w:w="8076" w:type="dxa"/>
          </w:tcPr>
          <w:p w14:paraId="275A0831" w14:textId="77777777" w:rsidR="00EE4559" w:rsidRDefault="00EE4559" w:rsidP="006B2419">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As commented for section 3.1, the CAPC for SSB and PSFCH can be discussed in RAN1.</w:t>
            </w:r>
          </w:p>
          <w:p w14:paraId="43F918D1" w14:textId="77777777" w:rsidR="00EE4559" w:rsidRDefault="00EE4559" w:rsidP="00EE4559">
            <w:pPr>
              <w:pStyle w:val="ListParagraph"/>
              <w:numPr>
                <w:ilvl w:val="0"/>
                <w:numId w:val="18"/>
              </w:numPr>
              <w:autoSpaceDE w:val="0"/>
              <w:autoSpaceDN w:val="0"/>
              <w:spacing w:line="259" w:lineRule="auto"/>
              <w:ind w:leftChars="0"/>
              <w:jc w:val="both"/>
              <w:rPr>
                <w:rFonts w:ascii="Calibri" w:hAnsi="Calibri" w:cs="Calibri"/>
                <w:sz w:val="22"/>
              </w:rPr>
            </w:pPr>
            <w:r>
              <w:rPr>
                <w:rFonts w:ascii="Calibri" w:hAnsi="Calibri" w:cs="Calibri"/>
                <w:sz w:val="22"/>
              </w:rPr>
              <w:t>In Type 1 SL channel access procedure,</w:t>
            </w:r>
          </w:p>
          <w:p w14:paraId="4639DBAC" w14:textId="77777777" w:rsidR="00EE4559" w:rsidRDefault="00EE4559" w:rsidP="00EE4559">
            <w:pPr>
              <w:pStyle w:val="ListParagraph"/>
              <w:numPr>
                <w:ilvl w:val="1"/>
                <w:numId w:val="18"/>
              </w:numPr>
              <w:autoSpaceDE w:val="0"/>
              <w:autoSpaceDN w:val="0"/>
              <w:spacing w:line="259" w:lineRule="auto"/>
              <w:ind w:leftChars="0" w:left="1023"/>
              <w:jc w:val="both"/>
              <w:rPr>
                <w:rFonts w:ascii="Calibri" w:hAnsi="Calibri" w:cs="Calibri"/>
                <w:sz w:val="22"/>
              </w:rPr>
            </w:pPr>
            <w:r>
              <w:rPr>
                <w:rFonts w:ascii="Calibri" w:hAnsi="Calibri" w:cs="Calibri" w:hint="eastAsia"/>
                <w:sz w:val="22"/>
                <w:lang w:val="en-AU"/>
              </w:rPr>
              <w:t>Only one CAPC table is defined, which is based on one of the followings:</w:t>
            </w:r>
          </w:p>
          <w:p w14:paraId="34AD35D8" w14:textId="77777777" w:rsidR="00EE4559" w:rsidRDefault="00EE4559" w:rsidP="00EE4559">
            <w:pPr>
              <w:pStyle w:val="ListParagraph"/>
              <w:numPr>
                <w:ilvl w:val="2"/>
                <w:numId w:val="18"/>
              </w:numPr>
              <w:autoSpaceDE w:val="0"/>
              <w:autoSpaceDN w:val="0"/>
              <w:spacing w:line="259" w:lineRule="auto"/>
              <w:ind w:leftChars="0" w:left="1731"/>
              <w:jc w:val="both"/>
              <w:rPr>
                <w:rFonts w:ascii="Calibri" w:hAnsi="Calibri" w:cs="Calibri"/>
                <w:sz w:val="22"/>
              </w:rPr>
            </w:pPr>
            <w:r>
              <w:rPr>
                <w:rFonts w:ascii="Calibri" w:hAnsi="Calibri" w:cs="Calibri"/>
                <w:sz w:val="22"/>
              </w:rPr>
              <w:t>Option 1: The same DL CAPC table is used (Table 4.1.1-1 in TS37.213)</w:t>
            </w:r>
          </w:p>
          <w:p w14:paraId="73F76992" w14:textId="77777777" w:rsidR="00EE4559" w:rsidRDefault="00EE4559" w:rsidP="00EE4559">
            <w:pPr>
              <w:pStyle w:val="ListParagraph"/>
              <w:numPr>
                <w:ilvl w:val="2"/>
                <w:numId w:val="18"/>
              </w:numPr>
              <w:autoSpaceDE w:val="0"/>
              <w:autoSpaceDN w:val="0"/>
              <w:spacing w:line="259" w:lineRule="auto"/>
              <w:ind w:leftChars="0" w:left="1731"/>
              <w:jc w:val="both"/>
              <w:rPr>
                <w:rFonts w:ascii="Calibri" w:hAnsi="Calibri" w:cs="Calibri"/>
                <w:sz w:val="22"/>
              </w:rPr>
            </w:pPr>
            <w:r>
              <w:rPr>
                <w:rFonts w:ascii="Calibri" w:hAnsi="Calibri" w:cs="Calibri"/>
                <w:sz w:val="22"/>
              </w:rPr>
              <w:t>Option 2: The same UL CAPC table is used (Table 4.2.1-1 in TS37.213)</w:t>
            </w:r>
          </w:p>
          <w:p w14:paraId="7599F887" w14:textId="77777777" w:rsidR="00EE4559" w:rsidRDefault="00EE4559" w:rsidP="00EE4559">
            <w:pPr>
              <w:pStyle w:val="ListParagraph"/>
              <w:numPr>
                <w:ilvl w:val="1"/>
                <w:numId w:val="18"/>
              </w:numPr>
              <w:autoSpaceDE w:val="0"/>
              <w:autoSpaceDN w:val="0"/>
              <w:spacing w:line="259" w:lineRule="auto"/>
              <w:ind w:leftChars="0" w:left="1023"/>
              <w:jc w:val="both"/>
              <w:rPr>
                <w:rFonts w:ascii="Calibri" w:hAnsi="Calibri" w:cs="Calibri"/>
                <w:sz w:val="22"/>
              </w:rPr>
            </w:pPr>
            <w:r>
              <w:rPr>
                <w:rFonts w:ascii="Calibri" w:hAnsi="Calibri" w:cs="Calibri"/>
                <w:sz w:val="22"/>
              </w:rPr>
              <w:t>The mapping of PQI to the 4 CAPC levels is up to RAN2</w:t>
            </w:r>
          </w:p>
          <w:p w14:paraId="2EE041DD" w14:textId="77777777" w:rsidR="00EE4559" w:rsidRDefault="00EE4559" w:rsidP="00EE4559">
            <w:pPr>
              <w:pStyle w:val="ListParagraph"/>
              <w:numPr>
                <w:ilvl w:val="1"/>
                <w:numId w:val="18"/>
              </w:numPr>
              <w:autoSpaceDE w:val="0"/>
              <w:autoSpaceDN w:val="0"/>
              <w:spacing w:line="259" w:lineRule="auto"/>
              <w:ind w:leftChars="0" w:left="1023"/>
              <w:jc w:val="both"/>
              <w:rPr>
                <w:rFonts w:ascii="Calibri" w:hAnsi="Calibri" w:cs="Calibri"/>
                <w:color w:val="FF0000"/>
                <w:sz w:val="22"/>
              </w:rPr>
            </w:pPr>
            <w:r>
              <w:rPr>
                <w:rFonts w:ascii="Calibri" w:hAnsi="Calibri" w:cs="Calibri"/>
                <w:color w:val="FF0000"/>
                <w:sz w:val="22"/>
              </w:rPr>
              <w:t xml:space="preserve">CAPC for S-SSB should be fixed to </w:t>
            </w:r>
            <m:oMath>
              <m:r>
                <w:rPr>
                  <w:rFonts w:ascii="Cambria Math" w:hAnsi="Cambria Math" w:cs="Calibri"/>
                  <w:color w:val="FF0000"/>
                  <w:sz w:val="22"/>
                </w:rPr>
                <m:t>p</m:t>
              </m:r>
              <m:r>
                <m:rPr>
                  <m:sty m:val="p"/>
                </m:rPr>
                <w:rPr>
                  <w:rFonts w:ascii="Cambria Math" w:hAnsi="Cambria Math" w:cs="Calibri"/>
                  <w:color w:val="FF0000"/>
                  <w:sz w:val="22"/>
                </w:rPr>
                <m:t>=1</m:t>
              </m:r>
            </m:oMath>
          </w:p>
          <w:p w14:paraId="6C4B87A2" w14:textId="77777777" w:rsidR="00EE4559" w:rsidRDefault="00EE4559" w:rsidP="00EE4559">
            <w:pPr>
              <w:pStyle w:val="ListParagraph"/>
              <w:numPr>
                <w:ilvl w:val="1"/>
                <w:numId w:val="18"/>
              </w:numPr>
              <w:autoSpaceDE w:val="0"/>
              <w:autoSpaceDN w:val="0"/>
              <w:spacing w:line="259" w:lineRule="auto"/>
              <w:ind w:leftChars="0" w:left="1023"/>
              <w:jc w:val="both"/>
              <w:rPr>
                <w:rFonts w:ascii="Calibri" w:hAnsi="Calibri" w:cs="Calibri"/>
                <w:color w:val="FF0000"/>
                <w:sz w:val="22"/>
              </w:rPr>
            </w:pPr>
            <w:r>
              <w:rPr>
                <w:rFonts w:ascii="Calibri" w:hAnsi="Calibri" w:cs="Calibri"/>
                <w:color w:val="FF0000"/>
                <w:sz w:val="22"/>
              </w:rPr>
              <w:lastRenderedPageBreak/>
              <w:t xml:space="preserve">FFS Whether CAPC for PSFCH should be fixed to </w:t>
            </w:r>
            <m:oMath>
              <m:r>
                <w:rPr>
                  <w:rFonts w:ascii="Cambria Math" w:hAnsi="Cambria Math" w:cs="Calibri"/>
                  <w:color w:val="FF0000"/>
                  <w:sz w:val="22"/>
                </w:rPr>
                <m:t>p</m:t>
              </m:r>
              <m:r>
                <m:rPr>
                  <m:sty m:val="p"/>
                </m:rPr>
                <w:rPr>
                  <w:rFonts w:ascii="Cambria Math" w:hAnsi="Cambria Math" w:cs="Calibri"/>
                  <w:color w:val="FF0000"/>
                  <w:sz w:val="22"/>
                </w:rPr>
                <m:t>=1</m:t>
              </m:r>
            </m:oMath>
          </w:p>
        </w:tc>
      </w:tr>
      <w:tr w:rsidR="00EE4559" w14:paraId="5A7E532F" w14:textId="77777777" w:rsidTr="00EE4559">
        <w:tc>
          <w:tcPr>
            <w:tcW w:w="1555" w:type="dxa"/>
          </w:tcPr>
          <w:p w14:paraId="03A2CED5" w14:textId="77777777" w:rsidR="00EE4559" w:rsidRDefault="00EE4559" w:rsidP="006B2419">
            <w:pPr>
              <w:pStyle w:val="0Maintext"/>
              <w:spacing w:after="0" w:afterAutospacing="0"/>
              <w:ind w:firstLine="0"/>
              <w:rPr>
                <w:rFonts w:eastAsiaTheme="minorEastAsia"/>
                <w:lang w:eastAsia="zh-CN"/>
              </w:rPr>
            </w:pPr>
            <w:r>
              <w:rPr>
                <w:rFonts w:hint="eastAsia"/>
                <w:lang w:eastAsia="ko-KR"/>
              </w:rPr>
              <w:lastRenderedPageBreak/>
              <w:t>W</w:t>
            </w:r>
            <w:r>
              <w:rPr>
                <w:lang w:eastAsia="ko-KR"/>
              </w:rPr>
              <w:t>ILUS</w:t>
            </w:r>
          </w:p>
        </w:tc>
        <w:tc>
          <w:tcPr>
            <w:tcW w:w="8076" w:type="dxa"/>
          </w:tcPr>
          <w:p w14:paraId="17E58079" w14:textId="77777777" w:rsidR="00EE4559" w:rsidRDefault="00EE4559" w:rsidP="006B2419">
            <w:pPr>
              <w:autoSpaceDE w:val="0"/>
              <w:autoSpaceDN w:val="0"/>
              <w:jc w:val="both"/>
              <w:rPr>
                <w:rFonts w:ascii="Calibri" w:eastAsiaTheme="minorEastAsia" w:hAnsi="Calibri" w:cs="Calibri"/>
                <w:sz w:val="22"/>
                <w:lang w:eastAsia="zh-CN"/>
              </w:rPr>
            </w:pPr>
            <w:r>
              <w:rPr>
                <w:rFonts w:hint="eastAsia"/>
                <w:lang w:eastAsia="ko-KR"/>
              </w:rPr>
              <w:t>W</w:t>
            </w:r>
            <w:r>
              <w:rPr>
                <w:lang w:eastAsia="ko-KR"/>
              </w:rPr>
              <w:t>e support the Proposal 2-1 (I).</w:t>
            </w:r>
          </w:p>
        </w:tc>
      </w:tr>
      <w:tr w:rsidR="00EE4559" w14:paraId="08EF38B0" w14:textId="77777777" w:rsidTr="00EE4559">
        <w:tc>
          <w:tcPr>
            <w:tcW w:w="1555" w:type="dxa"/>
          </w:tcPr>
          <w:p w14:paraId="3B4A18E0" w14:textId="77777777" w:rsidR="00EE4559" w:rsidRDefault="00EE4559" w:rsidP="006B2419">
            <w:pPr>
              <w:pStyle w:val="0Maintext"/>
              <w:spacing w:after="0" w:afterAutospacing="0"/>
              <w:ind w:firstLine="0"/>
              <w:rPr>
                <w:lang w:eastAsia="ko-KR"/>
              </w:rPr>
            </w:pPr>
            <w:r>
              <w:rPr>
                <w:rFonts w:eastAsiaTheme="minorEastAsia" w:hint="eastAsia"/>
                <w:lang w:eastAsia="zh-CN"/>
              </w:rPr>
              <w:t>S</w:t>
            </w:r>
            <w:r>
              <w:rPr>
                <w:rFonts w:eastAsiaTheme="minorEastAsia"/>
                <w:lang w:eastAsia="zh-CN"/>
              </w:rPr>
              <w:t>amsung</w:t>
            </w:r>
          </w:p>
        </w:tc>
        <w:tc>
          <w:tcPr>
            <w:tcW w:w="8076" w:type="dxa"/>
          </w:tcPr>
          <w:p w14:paraId="24A92B4F" w14:textId="77777777" w:rsidR="00EE4559" w:rsidRDefault="00EE4559" w:rsidP="006B2419">
            <w:pPr>
              <w:autoSpaceDE w:val="0"/>
              <w:autoSpaceDN w:val="0"/>
              <w:jc w:val="both"/>
              <w:rPr>
                <w:lang w:eastAsia="ko-KR"/>
              </w:rPr>
            </w:pPr>
            <w:r>
              <w:rPr>
                <w:rFonts w:eastAsiaTheme="minorEastAsia" w:hint="eastAsia"/>
                <w:lang w:eastAsia="zh-CN"/>
              </w:rPr>
              <w:t>W</w:t>
            </w:r>
            <w:r>
              <w:rPr>
                <w:rFonts w:eastAsiaTheme="minorEastAsia"/>
                <w:lang w:eastAsia="zh-CN"/>
              </w:rPr>
              <w:t>e’re generally fine with the proposal.</w:t>
            </w:r>
          </w:p>
        </w:tc>
      </w:tr>
      <w:tr w:rsidR="00EE4559" w14:paraId="3948394C" w14:textId="77777777" w:rsidTr="00EE4559">
        <w:tc>
          <w:tcPr>
            <w:tcW w:w="1555" w:type="dxa"/>
          </w:tcPr>
          <w:p w14:paraId="5C5E7A3F" w14:textId="77777777" w:rsidR="00EE4559" w:rsidRDefault="00EE4559" w:rsidP="006B2419">
            <w:pPr>
              <w:pStyle w:val="0Maintext"/>
              <w:spacing w:after="0" w:afterAutospacing="0"/>
              <w:ind w:firstLine="0"/>
              <w:rPr>
                <w:rFonts w:eastAsiaTheme="minorEastAsia"/>
                <w:lang w:eastAsia="zh-CN"/>
              </w:rPr>
            </w:pPr>
            <w:r>
              <w:rPr>
                <w:rFonts w:eastAsiaTheme="minorEastAsia" w:hint="eastAsia"/>
                <w:lang w:eastAsia="zh-CN"/>
              </w:rPr>
              <w:t>C</w:t>
            </w:r>
            <w:r>
              <w:rPr>
                <w:rFonts w:eastAsiaTheme="minorEastAsia"/>
                <w:lang w:eastAsia="zh-CN"/>
              </w:rPr>
              <w:t>ATT/GH</w:t>
            </w:r>
          </w:p>
        </w:tc>
        <w:tc>
          <w:tcPr>
            <w:tcW w:w="8076" w:type="dxa"/>
          </w:tcPr>
          <w:p w14:paraId="2F84B993" w14:textId="77777777" w:rsidR="00EE4559" w:rsidRDefault="00EE4559" w:rsidP="006B2419">
            <w:pPr>
              <w:pStyle w:val="0Maintext"/>
              <w:spacing w:after="0" w:afterAutospacing="0"/>
              <w:ind w:firstLine="0"/>
              <w:rPr>
                <w:rFonts w:eastAsiaTheme="minorEastAsia"/>
                <w:lang w:eastAsia="zh-CN"/>
              </w:rPr>
            </w:pPr>
            <w:r>
              <w:rPr>
                <w:rFonts w:eastAsiaTheme="minorEastAsia" w:hint="eastAsia"/>
                <w:lang w:eastAsia="zh-CN"/>
              </w:rPr>
              <w:t>G</w:t>
            </w:r>
            <w:r>
              <w:rPr>
                <w:rFonts w:eastAsiaTheme="minorEastAsia"/>
                <w:lang w:eastAsia="zh-CN"/>
              </w:rPr>
              <w:t>enerally fine with the proposal.</w:t>
            </w:r>
          </w:p>
          <w:p w14:paraId="11D00B74" w14:textId="77777777" w:rsidR="00EE4559" w:rsidRDefault="00EE4559" w:rsidP="006B2419">
            <w:pPr>
              <w:pStyle w:val="0Maintext"/>
              <w:spacing w:after="0" w:afterAutospacing="0"/>
              <w:ind w:firstLine="0"/>
              <w:rPr>
                <w:rFonts w:eastAsiaTheme="minorEastAsia"/>
                <w:lang w:eastAsia="zh-CN"/>
              </w:rPr>
            </w:pPr>
          </w:p>
          <w:p w14:paraId="75542CD1" w14:textId="77777777" w:rsidR="00EE4559" w:rsidRDefault="00EE4559" w:rsidP="006B2419">
            <w:pPr>
              <w:autoSpaceDE w:val="0"/>
              <w:autoSpaceDN w:val="0"/>
              <w:jc w:val="both"/>
              <w:rPr>
                <w:rFonts w:eastAsiaTheme="minorEastAsia"/>
                <w:lang w:eastAsia="zh-CN"/>
              </w:rPr>
            </w:pPr>
            <w:r>
              <w:rPr>
                <w:rFonts w:eastAsiaTheme="minorEastAsia"/>
                <w:lang w:eastAsia="zh-CN"/>
              </w:rPr>
              <w:t>Regarding the mapping of PQI to CAPC level, RAN2 is still discussing whether the CAPC mapping should be based on PQI or SL priority or any other. Having this bullet in RAN1 seems improper.</w:t>
            </w:r>
          </w:p>
        </w:tc>
      </w:tr>
      <w:tr w:rsidR="00EE4559" w14:paraId="3C3ADBC4" w14:textId="77777777" w:rsidTr="00EE4559">
        <w:tc>
          <w:tcPr>
            <w:tcW w:w="1555" w:type="dxa"/>
          </w:tcPr>
          <w:p w14:paraId="22CAFDB1" w14:textId="77777777" w:rsidR="00EE4559" w:rsidRDefault="00EE4559" w:rsidP="006B2419">
            <w:pPr>
              <w:pStyle w:val="0Maintext"/>
              <w:spacing w:after="0" w:afterAutospacing="0"/>
              <w:ind w:firstLine="0"/>
              <w:rPr>
                <w:lang w:eastAsia="ko-KR"/>
              </w:rPr>
            </w:pPr>
            <w:r>
              <w:rPr>
                <w:rFonts w:eastAsiaTheme="minorEastAsia" w:hint="eastAsia"/>
                <w:lang w:eastAsia="zh-CN"/>
              </w:rPr>
              <w:t>Sharp</w:t>
            </w:r>
          </w:p>
        </w:tc>
        <w:tc>
          <w:tcPr>
            <w:tcW w:w="8076" w:type="dxa"/>
          </w:tcPr>
          <w:p w14:paraId="6073240C" w14:textId="77777777" w:rsidR="00EE4559" w:rsidRDefault="00EE4559" w:rsidP="006B2419">
            <w:pPr>
              <w:pStyle w:val="0Maintext"/>
              <w:spacing w:after="0" w:afterAutospacing="0"/>
              <w:ind w:firstLine="0"/>
              <w:rPr>
                <w:lang w:eastAsia="ko-KR"/>
              </w:rPr>
            </w:pPr>
            <w:r>
              <w:rPr>
                <w:rFonts w:eastAsiaTheme="minorEastAsia" w:hint="eastAsia"/>
                <w:lang w:eastAsia="zh-CN"/>
              </w:rPr>
              <w:t xml:space="preserve">We are fine with the proposal except the last sub-sub-bullet which we think should be described in a more general manner, e.g. </w:t>
            </w:r>
            <w:r>
              <w:rPr>
                <w:rFonts w:eastAsiaTheme="minorEastAsia"/>
                <w:lang w:eastAsia="zh-CN"/>
              </w:rPr>
              <w:t>“</w:t>
            </w:r>
            <w:r>
              <w:rPr>
                <w:rFonts w:eastAsiaTheme="minorEastAsia" w:hint="eastAsia"/>
                <w:lang w:eastAsia="zh-CN"/>
              </w:rPr>
              <w:t>How a UE derives the</w:t>
            </w:r>
            <w:r>
              <w:rPr>
                <w:rFonts w:eastAsiaTheme="minorEastAsia"/>
                <w:lang w:eastAsia="zh-CN"/>
              </w:rPr>
              <w:t xml:space="preserve"> CAPC level is up to RAN2”</w:t>
            </w:r>
            <w:r>
              <w:rPr>
                <w:rFonts w:eastAsiaTheme="minorEastAsia" w:hint="eastAsia"/>
                <w:lang w:eastAsia="zh-CN"/>
              </w:rPr>
              <w:t>.</w:t>
            </w:r>
          </w:p>
        </w:tc>
      </w:tr>
      <w:tr w:rsidR="00EE4559" w14:paraId="06601170" w14:textId="77777777" w:rsidTr="00EE4559">
        <w:tc>
          <w:tcPr>
            <w:tcW w:w="1555" w:type="dxa"/>
          </w:tcPr>
          <w:p w14:paraId="390DCE43" w14:textId="77777777" w:rsidR="00EE4559" w:rsidRDefault="00EE4559" w:rsidP="006B2419">
            <w:pPr>
              <w:pStyle w:val="0Maintext"/>
              <w:spacing w:after="0" w:afterAutospacing="0"/>
              <w:ind w:firstLine="0"/>
              <w:rPr>
                <w:rFonts w:eastAsiaTheme="minorEastAsia"/>
                <w:lang w:eastAsia="zh-CN"/>
              </w:rPr>
            </w:pPr>
            <w:r>
              <w:rPr>
                <w:rFonts w:eastAsia="SimSun" w:hint="eastAsia"/>
                <w:lang w:val="en-US" w:eastAsia="zh-CN"/>
              </w:rPr>
              <w:t>Transsion</w:t>
            </w:r>
          </w:p>
        </w:tc>
        <w:tc>
          <w:tcPr>
            <w:tcW w:w="8076" w:type="dxa"/>
          </w:tcPr>
          <w:p w14:paraId="61AEB4EF" w14:textId="77777777" w:rsidR="00EE4559" w:rsidRDefault="00EE4559" w:rsidP="006B2419">
            <w:pPr>
              <w:autoSpaceDE w:val="0"/>
              <w:autoSpaceDN w:val="0"/>
              <w:jc w:val="both"/>
              <w:rPr>
                <w:rFonts w:eastAsiaTheme="minorEastAsia"/>
                <w:lang w:eastAsia="zh-CN"/>
              </w:rPr>
            </w:pPr>
            <w:r>
              <w:rPr>
                <w:rFonts w:eastAsia="SimSun" w:hint="eastAsia"/>
                <w:lang w:val="en-US" w:eastAsia="zh-CN"/>
              </w:rPr>
              <w:t>We support the proposal.</w:t>
            </w:r>
          </w:p>
        </w:tc>
      </w:tr>
      <w:tr w:rsidR="00EE4559" w14:paraId="09A7EC6D" w14:textId="77777777" w:rsidTr="00EE4559">
        <w:tc>
          <w:tcPr>
            <w:tcW w:w="1555" w:type="dxa"/>
          </w:tcPr>
          <w:p w14:paraId="2E89BCA5" w14:textId="77777777" w:rsidR="00EE4559" w:rsidRDefault="00EE4559" w:rsidP="006B2419">
            <w:pPr>
              <w:pStyle w:val="0Maintext"/>
              <w:spacing w:after="0" w:afterAutospacing="0"/>
              <w:ind w:firstLine="0"/>
              <w:rPr>
                <w:rFonts w:eastAsia="SimSun"/>
                <w:lang w:val="en-US" w:eastAsia="zh-CN"/>
              </w:rPr>
            </w:pPr>
            <w:r>
              <w:rPr>
                <w:rFonts w:eastAsia="SimSun" w:hint="eastAsia"/>
                <w:lang w:val="en-US" w:eastAsia="zh-CN"/>
              </w:rPr>
              <w:t>I</w:t>
            </w:r>
            <w:r>
              <w:rPr>
                <w:rFonts w:eastAsia="SimSun"/>
                <w:lang w:val="en-US" w:eastAsia="zh-CN"/>
              </w:rPr>
              <w:t>TL</w:t>
            </w:r>
          </w:p>
        </w:tc>
        <w:tc>
          <w:tcPr>
            <w:tcW w:w="8076" w:type="dxa"/>
          </w:tcPr>
          <w:p w14:paraId="7516E04D" w14:textId="77777777" w:rsidR="00EE4559" w:rsidRDefault="00EE4559" w:rsidP="006B2419">
            <w:pPr>
              <w:autoSpaceDE w:val="0"/>
              <w:autoSpaceDN w:val="0"/>
              <w:jc w:val="both"/>
              <w:rPr>
                <w:rFonts w:eastAsia="SimSun"/>
                <w:lang w:val="en-US" w:eastAsia="zh-CN"/>
              </w:rPr>
            </w:pPr>
            <w:r>
              <w:rPr>
                <w:rFonts w:eastAsiaTheme="minorEastAsia" w:hint="eastAsia"/>
                <w:lang w:eastAsia="zh-CN"/>
              </w:rPr>
              <w:t>W</w:t>
            </w:r>
            <w:r>
              <w:rPr>
                <w:rFonts w:eastAsiaTheme="minorEastAsia"/>
                <w:lang w:eastAsia="zh-CN"/>
              </w:rPr>
              <w:t>e are fine with the proposal.  Regarding the mapping PQI or L1 priority to CAPC level, it should be concluded by RAN2 and in last bullet from FL, “L1 priority” also needs to be added next to “PQI”.</w:t>
            </w:r>
          </w:p>
        </w:tc>
      </w:tr>
      <w:tr w:rsidR="00EE4559" w14:paraId="25B6C674" w14:textId="77777777" w:rsidTr="00EE4559">
        <w:tc>
          <w:tcPr>
            <w:tcW w:w="1555" w:type="dxa"/>
          </w:tcPr>
          <w:p w14:paraId="0A25CE38" w14:textId="77777777" w:rsidR="00EE4559" w:rsidRDefault="00EE4559" w:rsidP="006B2419">
            <w:pPr>
              <w:pStyle w:val="0Maintext"/>
              <w:spacing w:after="0" w:afterAutospacing="0"/>
              <w:ind w:firstLine="0"/>
              <w:rPr>
                <w:rFonts w:eastAsia="SimSun"/>
                <w:lang w:val="en-US" w:eastAsia="zh-CN"/>
              </w:rPr>
            </w:pPr>
            <w:r>
              <w:rPr>
                <w:rFonts w:eastAsiaTheme="minorEastAsia"/>
                <w:lang w:eastAsia="zh-CN"/>
              </w:rPr>
              <w:t>Fraunhofer</w:t>
            </w:r>
          </w:p>
        </w:tc>
        <w:tc>
          <w:tcPr>
            <w:tcW w:w="8076" w:type="dxa"/>
          </w:tcPr>
          <w:p w14:paraId="6764EBCB" w14:textId="77777777" w:rsidR="00EE4559" w:rsidRDefault="00EE4559" w:rsidP="006B2419">
            <w:pPr>
              <w:autoSpaceDE w:val="0"/>
              <w:autoSpaceDN w:val="0"/>
              <w:jc w:val="both"/>
              <w:rPr>
                <w:rFonts w:eastAsiaTheme="minorEastAsia"/>
                <w:lang w:eastAsia="zh-CN"/>
              </w:rPr>
            </w:pPr>
            <w:r>
              <w:rPr>
                <w:rFonts w:eastAsiaTheme="minorEastAsia"/>
                <w:lang w:eastAsia="zh-CN"/>
              </w:rPr>
              <w:t>We agree with the FL’s proposal and support Option 2.</w:t>
            </w:r>
          </w:p>
        </w:tc>
      </w:tr>
      <w:tr w:rsidR="00EE4559" w14:paraId="5AAEB81A" w14:textId="77777777" w:rsidTr="00EE4559">
        <w:tc>
          <w:tcPr>
            <w:tcW w:w="1555" w:type="dxa"/>
          </w:tcPr>
          <w:p w14:paraId="6FE825B5" w14:textId="77777777" w:rsidR="00EE4559" w:rsidRDefault="00EE4559" w:rsidP="006B2419">
            <w:pPr>
              <w:pStyle w:val="0Maintext"/>
              <w:spacing w:after="0" w:afterAutospacing="0"/>
              <w:ind w:firstLine="0"/>
              <w:rPr>
                <w:rFonts w:eastAsiaTheme="minorEastAsia"/>
                <w:lang w:eastAsia="zh-CN"/>
              </w:rPr>
            </w:pPr>
            <w:r>
              <w:rPr>
                <w:rFonts w:eastAsiaTheme="minorEastAsia" w:hint="eastAsia"/>
                <w:lang w:eastAsia="zh-CN"/>
              </w:rPr>
              <w:t>M</w:t>
            </w:r>
            <w:r>
              <w:rPr>
                <w:rFonts w:eastAsiaTheme="minorEastAsia"/>
                <w:lang w:eastAsia="zh-CN"/>
              </w:rPr>
              <w:t>ediaTek</w:t>
            </w:r>
          </w:p>
        </w:tc>
        <w:tc>
          <w:tcPr>
            <w:tcW w:w="8076" w:type="dxa"/>
          </w:tcPr>
          <w:p w14:paraId="37FB7B3A" w14:textId="77777777" w:rsidR="00EE4559" w:rsidRDefault="00EE4559" w:rsidP="006B2419">
            <w:pPr>
              <w:autoSpaceDE w:val="0"/>
              <w:autoSpaceDN w:val="0"/>
              <w:jc w:val="both"/>
              <w:rPr>
                <w:rFonts w:ascii="Calibri" w:eastAsiaTheme="minorEastAsia" w:hAnsi="Calibri" w:cs="Calibri"/>
                <w:lang w:eastAsia="zh-CN"/>
              </w:rPr>
            </w:pPr>
            <w:r>
              <w:rPr>
                <w:rFonts w:ascii="Calibri" w:eastAsiaTheme="minorEastAsia" w:hAnsi="Calibri" w:cs="Calibri"/>
                <w:sz w:val="22"/>
                <w:lang w:eastAsia="zh-CN"/>
              </w:rPr>
              <w:t xml:space="preserve">We understand the motivation of defining only one CAPC table for SL Type 1 channel access. But we would like to point out that in NR-U, gNB and UE are configured with different CAPC tables to achieve </w:t>
            </w:r>
            <w:r w:rsidRPr="00827A30">
              <w:rPr>
                <w:rFonts w:ascii="Calibri" w:eastAsiaTheme="minorEastAsia" w:hAnsi="Calibri" w:cs="Calibri"/>
                <w:sz w:val="22"/>
                <w:lang w:eastAsia="zh-CN"/>
              </w:rPr>
              <w:t xml:space="preserve">different channel access </w:t>
            </w:r>
            <w:r>
              <w:rPr>
                <w:rFonts w:ascii="Calibri" w:eastAsiaTheme="minorEastAsia" w:hAnsi="Calibri" w:cs="Calibri"/>
                <w:sz w:val="22"/>
                <w:lang w:eastAsia="zh-CN"/>
              </w:rPr>
              <w:t>priority (e.g., for the same CAPC value</w:t>
            </w:r>
            <w:r>
              <w:rPr>
                <w:rFonts w:ascii="Cambria Math"/>
                <w:b/>
                <w:i/>
              </w:rPr>
              <w:t xml:space="preserve"> </w:t>
            </w:r>
            <m:oMath>
              <m:r>
                <m:rPr>
                  <m:sty m:val="bi"/>
                </m:rPr>
                <w:rPr>
                  <w:rFonts w:ascii="Cambria Math"/>
                </w:rPr>
                <m:t>p</m:t>
              </m:r>
            </m:oMath>
            <w:r>
              <w:rPr>
                <w:rFonts w:ascii="Calibri" w:eastAsiaTheme="minorEastAsia" w:hAnsi="Calibri" w:cs="Calibri"/>
                <w:sz w:val="22"/>
                <w:lang w:eastAsia="zh-CN"/>
              </w:rPr>
              <w:t xml:space="preserve">, the value of </w:t>
            </w:r>
            <m:oMath>
              <m:sSub>
                <m:sSubPr>
                  <m:ctrlPr>
                    <w:rPr>
                      <w:rFonts w:ascii="Cambria Math" w:hAnsi="Cambria Math"/>
                      <w:i/>
                    </w:rPr>
                  </m:ctrlPr>
                </m:sSubPr>
                <m:e>
                  <m:r>
                    <m:rPr>
                      <m:sty m:val="bi"/>
                    </m:rPr>
                    <w:rPr>
                      <w:rFonts w:ascii="Cambria Math"/>
                    </w:rPr>
                    <m:t>m</m:t>
                  </m:r>
                </m:e>
                <m:sub>
                  <m:r>
                    <m:rPr>
                      <m:sty m:val="bi"/>
                    </m:rPr>
                    <w:rPr>
                      <w:rFonts w:ascii="Cambria Math"/>
                    </w:rPr>
                    <m:t>p</m:t>
                  </m:r>
                </m:sub>
              </m:sSub>
            </m:oMath>
            <w:r>
              <w:rPr>
                <w:rFonts w:ascii="Calibri" w:eastAsiaTheme="minorEastAsia" w:hAnsi="Calibri" w:cs="Calibri"/>
                <w:lang w:eastAsia="zh-CN"/>
              </w:rPr>
              <w:t xml:space="preserve">, </w:t>
            </w:r>
            <m:oMath>
              <m:r>
                <m:rPr>
                  <m:sty m:val="bi"/>
                </m:rPr>
                <w:rPr>
                  <w:rFonts w:ascii="Cambria Math"/>
                </w:rPr>
                <m:t>C</m:t>
              </m:r>
              <m:sSub>
                <m:sSubPr>
                  <m:ctrlPr>
                    <w:rPr>
                      <w:rFonts w:ascii="Cambria Math" w:hAnsi="Cambria Math"/>
                      <w:i/>
                    </w:rPr>
                  </m:ctrlPr>
                </m:sSubPr>
                <m:e>
                  <m:r>
                    <m:rPr>
                      <m:sty m:val="bi"/>
                    </m:rPr>
                    <w:rPr>
                      <w:rFonts w:ascii="Cambria Math"/>
                    </w:rPr>
                    <m:t>W</m:t>
                  </m:r>
                </m:e>
                <m:sub>
                  <m:func>
                    <m:funcPr>
                      <m:ctrlPr>
                        <w:rPr>
                          <w:rFonts w:ascii="Cambria Math" w:hAnsi="Cambria Math"/>
                          <w:i/>
                        </w:rPr>
                      </m:ctrlPr>
                    </m:funcPr>
                    <m:fName>
                      <m:r>
                        <m:rPr>
                          <m:sty m:val="bi"/>
                        </m:rPr>
                        <w:rPr>
                          <w:rFonts w:ascii="Cambria Math"/>
                        </w:rPr>
                        <m:t>min,</m:t>
                      </m:r>
                    </m:fName>
                    <m:e>
                      <m:r>
                        <m:rPr>
                          <m:sty m:val="bi"/>
                        </m:rPr>
                        <w:rPr>
                          <w:rFonts w:ascii="Cambria Math"/>
                        </w:rPr>
                        <m:t>p</m:t>
                      </m:r>
                    </m:e>
                  </m:func>
                </m:sub>
              </m:sSub>
            </m:oMath>
            <w:r>
              <w:rPr>
                <w:rFonts w:ascii="Calibri" w:eastAsiaTheme="minorEastAsia" w:hAnsi="Calibri" w:cs="Calibri" w:hint="eastAsia"/>
                <w:lang w:eastAsia="zh-CN"/>
              </w:rPr>
              <w:t>,</w:t>
            </w:r>
            <w:r>
              <w:rPr>
                <w:rFonts w:ascii="Calibri" w:eastAsiaTheme="minorEastAsia" w:hAnsi="Calibri" w:cs="Calibri"/>
                <w:lang w:eastAsia="zh-CN"/>
              </w:rPr>
              <w:t xml:space="preserve"> </w:t>
            </w:r>
            <m:oMath>
              <m:r>
                <m:rPr>
                  <m:sty m:val="bi"/>
                </m:rPr>
                <w:rPr>
                  <w:rFonts w:ascii="Cambria Math"/>
                </w:rPr>
                <m:t>C</m:t>
              </m:r>
              <m:sSub>
                <m:sSubPr>
                  <m:ctrlPr>
                    <w:rPr>
                      <w:rFonts w:ascii="Cambria Math" w:hAnsi="Cambria Math"/>
                      <w:i/>
                    </w:rPr>
                  </m:ctrlPr>
                </m:sSubPr>
                <m:e>
                  <m:r>
                    <m:rPr>
                      <m:sty m:val="bi"/>
                    </m:rPr>
                    <w:rPr>
                      <w:rFonts w:ascii="Cambria Math"/>
                    </w:rPr>
                    <m:t>W</m:t>
                  </m:r>
                </m:e>
                <m:sub>
                  <m:func>
                    <m:funcPr>
                      <m:ctrlPr>
                        <w:rPr>
                          <w:rFonts w:ascii="Cambria Math" w:hAnsi="Cambria Math"/>
                          <w:i/>
                        </w:rPr>
                      </m:ctrlPr>
                    </m:funcPr>
                    <m:fName>
                      <m:r>
                        <m:rPr>
                          <m:sty m:val="bi"/>
                        </m:rPr>
                        <w:rPr>
                          <w:rFonts w:ascii="Cambria Math"/>
                        </w:rPr>
                        <m:t>max,</m:t>
                      </m:r>
                    </m:fName>
                    <m:e>
                      <m:r>
                        <m:rPr>
                          <m:sty m:val="bi"/>
                        </m:rPr>
                        <w:rPr>
                          <w:rFonts w:ascii="Cambria Math"/>
                        </w:rPr>
                        <m:t>p</m:t>
                      </m:r>
                    </m:e>
                  </m:func>
                </m:sub>
              </m:sSub>
            </m:oMath>
            <w:r>
              <w:rPr>
                <w:rFonts w:ascii="Calibri" w:eastAsiaTheme="minorEastAsia" w:hAnsi="Calibri" w:cs="Calibri" w:hint="eastAsia"/>
                <w:lang w:eastAsia="zh-CN"/>
              </w:rPr>
              <w:t>,</w:t>
            </w:r>
            <w:r>
              <w:rPr>
                <w:rFonts w:ascii="Calibri" w:eastAsiaTheme="minorEastAsia" w:hAnsi="Calibri" w:cs="Calibri"/>
                <w:lang w:eastAsia="zh-CN"/>
              </w:rPr>
              <w:t xml:space="preserve"> or </w:t>
            </w:r>
            <m:oMath>
              <m:sSub>
                <m:sSubPr>
                  <m:ctrlPr>
                    <w:rPr>
                      <w:rFonts w:ascii="Cambria Math" w:hAnsi="Cambria Math"/>
                      <w:i/>
                    </w:rPr>
                  </m:ctrlPr>
                </m:sSubPr>
                <m:e>
                  <m:r>
                    <m:rPr>
                      <m:sty m:val="bi"/>
                    </m:rPr>
                    <w:rPr>
                      <w:rFonts w:ascii="Cambria Math"/>
                    </w:rPr>
                    <m:t>T</m:t>
                  </m:r>
                </m:e>
                <m:sub>
                  <m:r>
                    <m:rPr>
                      <m:sty m:val="bi"/>
                    </m:rPr>
                    <w:rPr>
                      <w:rFonts w:ascii="Cambria Math"/>
                    </w:rPr>
                    <m:t>m</m:t>
                  </m:r>
                  <m:func>
                    <m:funcPr>
                      <m:ctrlPr>
                        <w:rPr>
                          <w:rFonts w:ascii="Cambria Math" w:hAnsi="Cambria Math"/>
                          <w:i/>
                        </w:rPr>
                      </m:ctrlPr>
                    </m:funcPr>
                    <m:fName>
                      <m:r>
                        <m:rPr>
                          <m:sty m:val="bi"/>
                        </m:rPr>
                        <w:rPr>
                          <w:rFonts w:ascii="Cambria Math"/>
                        </w:rPr>
                        <m:t>cot,</m:t>
                      </m:r>
                    </m:fName>
                    <m:e>
                      <m:r>
                        <m:rPr>
                          <m:sty m:val="bi"/>
                        </m:rPr>
                        <w:rPr>
                          <w:rFonts w:ascii="Cambria Math"/>
                        </w:rPr>
                        <m:t>p</m:t>
                      </m:r>
                    </m:e>
                  </m:func>
                </m:sub>
              </m:sSub>
            </m:oMath>
            <w:r>
              <w:rPr>
                <w:rFonts w:ascii="Calibri" w:eastAsiaTheme="minorEastAsia" w:hAnsi="Calibri" w:cs="Calibri"/>
                <w:lang w:eastAsia="zh-CN"/>
              </w:rPr>
              <w:t xml:space="preserve"> are different in DL and UL CAPC tables). For SL-U, we think this mechanism (different channel access priorities with different CAPC tables) is also necessary in some cases. For example, in groupcast, the COT is intended to be initiated by one device, while in unicast, it is intended to be initiated by multiple devices. From the point of fairness, we think different CAPC tables could be configured here to achieve prioritized or deprioritized channel access based on different COT intentions. At current stage, we think the comnination of Option 1 and Option 2 should not be excluded.</w:t>
            </w:r>
            <w:r>
              <w:rPr>
                <w:rFonts w:ascii="Calibri" w:eastAsiaTheme="minorEastAsia" w:hAnsi="Calibri" w:cs="Calibri" w:hint="eastAsia"/>
                <w:lang w:eastAsia="zh-CN"/>
              </w:rPr>
              <w:t xml:space="preserve"> </w:t>
            </w:r>
            <w:r>
              <w:rPr>
                <w:rFonts w:ascii="Calibri" w:eastAsiaTheme="minorEastAsia" w:hAnsi="Calibri" w:cs="Calibri"/>
                <w:lang w:eastAsia="zh-CN"/>
              </w:rPr>
              <w:t>Therefore, we propose the following update:</w:t>
            </w:r>
          </w:p>
          <w:p w14:paraId="45B33E41" w14:textId="77777777" w:rsidR="00EE4559" w:rsidRDefault="00EE4559" w:rsidP="00EE4559">
            <w:pPr>
              <w:pStyle w:val="ListParagraph"/>
              <w:numPr>
                <w:ilvl w:val="0"/>
                <w:numId w:val="18"/>
              </w:numPr>
              <w:autoSpaceDE w:val="0"/>
              <w:autoSpaceDN w:val="0"/>
              <w:ind w:leftChars="0"/>
              <w:jc w:val="both"/>
              <w:rPr>
                <w:rFonts w:ascii="Calibri" w:hAnsi="Calibri" w:cs="Calibri"/>
                <w:sz w:val="22"/>
              </w:rPr>
            </w:pPr>
            <w:r>
              <w:rPr>
                <w:rFonts w:ascii="Calibri" w:hAnsi="Calibri" w:cs="Calibri"/>
                <w:sz w:val="22"/>
              </w:rPr>
              <w:t>In Type 1 SL channel access procedure,</w:t>
            </w:r>
          </w:p>
          <w:p w14:paraId="086829D2" w14:textId="77777777" w:rsidR="00EE4559" w:rsidRDefault="00EE4559" w:rsidP="00EE4559">
            <w:pPr>
              <w:pStyle w:val="ListParagraph"/>
              <w:numPr>
                <w:ilvl w:val="1"/>
                <w:numId w:val="18"/>
              </w:numPr>
              <w:autoSpaceDE w:val="0"/>
              <w:autoSpaceDN w:val="0"/>
              <w:ind w:leftChars="0"/>
              <w:jc w:val="both"/>
              <w:rPr>
                <w:rFonts w:ascii="Calibri" w:hAnsi="Calibri" w:cs="Calibri"/>
                <w:sz w:val="22"/>
              </w:rPr>
            </w:pPr>
            <w:r w:rsidRPr="00CA5230">
              <w:rPr>
                <w:rFonts w:ascii="Calibri" w:hAnsi="Calibri" w:cs="Calibri" w:hint="eastAsia"/>
                <w:strike/>
                <w:color w:val="FF0000"/>
                <w:sz w:val="22"/>
                <w:lang w:val="en-AU"/>
              </w:rPr>
              <w:t>Only one</w:t>
            </w:r>
            <w:r w:rsidRPr="00CA5230">
              <w:rPr>
                <w:rFonts w:ascii="Calibri" w:hAnsi="Calibri" w:cs="Calibri" w:hint="eastAsia"/>
                <w:color w:val="FF0000"/>
                <w:sz w:val="22"/>
                <w:lang w:val="en-AU"/>
              </w:rPr>
              <w:t xml:space="preserve"> </w:t>
            </w:r>
            <w:r w:rsidRPr="00CA5230">
              <w:rPr>
                <w:rFonts w:ascii="Calibri" w:hAnsi="Calibri" w:cs="Calibri"/>
                <w:color w:val="FF0000"/>
                <w:sz w:val="22"/>
                <w:lang w:val="en-AU"/>
              </w:rPr>
              <w:t xml:space="preserve">The </w:t>
            </w:r>
            <w:r w:rsidRPr="00CF6AD2">
              <w:rPr>
                <w:rFonts w:ascii="Calibri" w:hAnsi="Calibri" w:cs="Calibri" w:hint="eastAsia"/>
                <w:sz w:val="22"/>
                <w:lang w:val="en-AU"/>
              </w:rPr>
              <w:t>CAPC table is defined</w:t>
            </w:r>
            <w:r w:rsidRPr="00CA5230">
              <w:rPr>
                <w:rFonts w:ascii="Calibri" w:hAnsi="Calibri" w:cs="Calibri" w:hint="eastAsia"/>
                <w:strike/>
                <w:color w:val="FF0000"/>
                <w:sz w:val="22"/>
                <w:lang w:val="en-AU"/>
              </w:rPr>
              <w:t xml:space="preserve">, which is </w:t>
            </w:r>
            <w:r w:rsidRPr="00CF6AD2">
              <w:rPr>
                <w:rFonts w:ascii="Calibri" w:hAnsi="Calibri" w:cs="Calibri" w:hint="eastAsia"/>
                <w:sz w:val="22"/>
                <w:lang w:val="en-AU"/>
              </w:rPr>
              <w:t>based on one of the followings:</w:t>
            </w:r>
          </w:p>
          <w:p w14:paraId="1F19077A" w14:textId="77777777" w:rsidR="00EE4559" w:rsidRDefault="00EE4559" w:rsidP="00EE4559">
            <w:pPr>
              <w:pStyle w:val="ListParagraph"/>
              <w:numPr>
                <w:ilvl w:val="2"/>
                <w:numId w:val="18"/>
              </w:numPr>
              <w:autoSpaceDE w:val="0"/>
              <w:autoSpaceDN w:val="0"/>
              <w:ind w:leftChars="0"/>
              <w:jc w:val="both"/>
              <w:rPr>
                <w:rFonts w:ascii="Calibri" w:hAnsi="Calibri" w:cs="Calibri"/>
                <w:sz w:val="22"/>
              </w:rPr>
            </w:pPr>
            <w:r w:rsidRPr="00CF6AD2">
              <w:rPr>
                <w:rFonts w:ascii="Calibri" w:hAnsi="Calibri" w:cs="Calibri"/>
                <w:sz w:val="22"/>
              </w:rPr>
              <w:t>Option 1: The same DL CAPC table is used (Table 4.1.1-1 in TS37.213)</w:t>
            </w:r>
          </w:p>
          <w:p w14:paraId="1E4090EA" w14:textId="77777777" w:rsidR="00EE4559" w:rsidRDefault="00EE4559" w:rsidP="00EE4559">
            <w:pPr>
              <w:pStyle w:val="ListParagraph"/>
              <w:numPr>
                <w:ilvl w:val="2"/>
                <w:numId w:val="18"/>
              </w:numPr>
              <w:autoSpaceDE w:val="0"/>
              <w:autoSpaceDN w:val="0"/>
              <w:ind w:leftChars="0"/>
              <w:jc w:val="both"/>
              <w:rPr>
                <w:rFonts w:ascii="Calibri" w:hAnsi="Calibri" w:cs="Calibri"/>
                <w:sz w:val="22"/>
              </w:rPr>
            </w:pPr>
            <w:r w:rsidRPr="00CF6AD2">
              <w:rPr>
                <w:rFonts w:ascii="Calibri" w:hAnsi="Calibri" w:cs="Calibri"/>
                <w:sz w:val="22"/>
              </w:rPr>
              <w:t>Option 2: The same UL CAPC table is used (Table 4.2.1-1 in TS37.213)</w:t>
            </w:r>
          </w:p>
          <w:p w14:paraId="2E042053" w14:textId="77777777" w:rsidR="00EE4559" w:rsidRPr="009935ED" w:rsidRDefault="00EE4559" w:rsidP="00EE4559">
            <w:pPr>
              <w:pStyle w:val="ListParagraph"/>
              <w:numPr>
                <w:ilvl w:val="2"/>
                <w:numId w:val="18"/>
              </w:numPr>
              <w:autoSpaceDE w:val="0"/>
              <w:autoSpaceDN w:val="0"/>
              <w:ind w:leftChars="0"/>
              <w:jc w:val="both"/>
              <w:rPr>
                <w:rFonts w:ascii="Calibri" w:hAnsi="Calibri" w:cs="Calibri"/>
                <w:color w:val="FF0000"/>
                <w:sz w:val="22"/>
              </w:rPr>
            </w:pPr>
            <w:r w:rsidRPr="009935ED">
              <w:rPr>
                <w:rFonts w:ascii="Calibri" w:eastAsiaTheme="minorEastAsia" w:hAnsi="Calibri" w:cs="Calibri" w:hint="eastAsia"/>
                <w:color w:val="FF0000"/>
                <w:sz w:val="22"/>
                <w:lang w:eastAsia="zh-CN"/>
              </w:rPr>
              <w:t>O</w:t>
            </w:r>
            <w:r w:rsidRPr="009935ED">
              <w:rPr>
                <w:rFonts w:ascii="Calibri" w:eastAsiaTheme="minorEastAsia" w:hAnsi="Calibri" w:cs="Calibri"/>
                <w:color w:val="FF0000"/>
                <w:sz w:val="22"/>
                <w:lang w:eastAsia="zh-CN"/>
              </w:rPr>
              <w:t xml:space="preserve">ption 3: The same </w:t>
            </w:r>
            <w:r w:rsidRPr="009935ED">
              <w:rPr>
                <w:rFonts w:ascii="Calibri" w:hAnsi="Calibri" w:cs="Calibri"/>
                <w:color w:val="FF0000"/>
                <w:sz w:val="22"/>
              </w:rPr>
              <w:t>DL CAPC table (Table 4.1.1-1 in TS37.213) and UL CAPC table (Table 4.2.1-1 in TS37.213) are used based on the conditions</w:t>
            </w:r>
            <w:r>
              <w:rPr>
                <w:rFonts w:ascii="Calibri" w:hAnsi="Calibri" w:cs="Calibri"/>
                <w:color w:val="FF0000"/>
                <w:sz w:val="22"/>
              </w:rPr>
              <w:t>.</w:t>
            </w:r>
          </w:p>
          <w:p w14:paraId="6F58D648" w14:textId="77777777" w:rsidR="00EE4559" w:rsidRPr="009935ED" w:rsidRDefault="00EE4559" w:rsidP="00EE4559">
            <w:pPr>
              <w:pStyle w:val="ListParagraph"/>
              <w:numPr>
                <w:ilvl w:val="3"/>
                <w:numId w:val="18"/>
              </w:numPr>
              <w:autoSpaceDE w:val="0"/>
              <w:autoSpaceDN w:val="0"/>
              <w:ind w:leftChars="0"/>
              <w:jc w:val="both"/>
              <w:rPr>
                <w:rFonts w:ascii="Calibri" w:hAnsi="Calibri" w:cs="Calibri"/>
                <w:color w:val="FF0000"/>
                <w:sz w:val="22"/>
              </w:rPr>
            </w:pPr>
            <w:r w:rsidRPr="009935ED">
              <w:rPr>
                <w:rFonts w:ascii="Calibri" w:hAnsi="Calibri" w:cs="Calibri"/>
                <w:color w:val="FF0000"/>
                <w:sz w:val="22"/>
              </w:rPr>
              <w:t>FFS the conditions.</w:t>
            </w:r>
          </w:p>
          <w:p w14:paraId="27900223" w14:textId="60323367" w:rsidR="00EE4559" w:rsidRPr="00EE4559" w:rsidRDefault="00EE4559" w:rsidP="006B2419">
            <w:pPr>
              <w:pStyle w:val="ListParagraph"/>
              <w:numPr>
                <w:ilvl w:val="2"/>
                <w:numId w:val="18"/>
              </w:numPr>
              <w:autoSpaceDE w:val="0"/>
              <w:autoSpaceDN w:val="0"/>
              <w:ind w:leftChars="0"/>
              <w:jc w:val="both"/>
              <w:rPr>
                <w:rFonts w:ascii="Calibri" w:hAnsi="Calibri" w:cs="Calibri"/>
                <w:sz w:val="22"/>
              </w:rPr>
            </w:pPr>
            <w:r>
              <w:rPr>
                <w:rFonts w:ascii="Calibri" w:hAnsi="Calibri" w:cs="Calibri"/>
                <w:sz w:val="22"/>
              </w:rPr>
              <w:t>The mapping of PQI to the 4 CAPC levels is up to RAN2</w:t>
            </w:r>
          </w:p>
        </w:tc>
      </w:tr>
      <w:tr w:rsidR="00EE4559" w14:paraId="56E5B0CC" w14:textId="77777777" w:rsidTr="00EE4559">
        <w:tc>
          <w:tcPr>
            <w:tcW w:w="1555" w:type="dxa"/>
          </w:tcPr>
          <w:p w14:paraId="7BD9B0E8" w14:textId="77777777" w:rsidR="00EE4559" w:rsidRDefault="00EE4559" w:rsidP="006B2419">
            <w:pPr>
              <w:pStyle w:val="0Maintext"/>
              <w:spacing w:after="0" w:afterAutospacing="0"/>
              <w:ind w:firstLine="0"/>
              <w:rPr>
                <w:rFonts w:eastAsiaTheme="minorEastAsia"/>
                <w:lang w:eastAsia="zh-CN"/>
              </w:rPr>
            </w:pPr>
            <w:r>
              <w:rPr>
                <w:rFonts w:eastAsiaTheme="minorEastAsia"/>
                <w:lang w:eastAsia="zh-CN"/>
              </w:rPr>
              <w:t>NSC</w:t>
            </w:r>
          </w:p>
        </w:tc>
        <w:tc>
          <w:tcPr>
            <w:tcW w:w="8076" w:type="dxa"/>
          </w:tcPr>
          <w:p w14:paraId="6964B0F6" w14:textId="77777777" w:rsidR="00EE4559" w:rsidRDefault="00EE4559" w:rsidP="006B2419">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Support</w:t>
            </w:r>
          </w:p>
        </w:tc>
      </w:tr>
      <w:tr w:rsidR="002F39DC" w:rsidRPr="001A010D" w14:paraId="35953A24" w14:textId="77777777" w:rsidTr="002F39DC">
        <w:tc>
          <w:tcPr>
            <w:tcW w:w="1555" w:type="dxa"/>
          </w:tcPr>
          <w:p w14:paraId="6A504539" w14:textId="77777777" w:rsidR="002F39DC" w:rsidRDefault="002F39DC" w:rsidP="006B2419">
            <w:pPr>
              <w:pStyle w:val="0Maintext"/>
              <w:spacing w:after="0" w:afterAutospacing="0"/>
              <w:ind w:firstLine="0"/>
            </w:pPr>
            <w:r w:rsidRPr="00DE47F8">
              <w:t>Huawei, HiSilicon</w:t>
            </w:r>
          </w:p>
        </w:tc>
        <w:tc>
          <w:tcPr>
            <w:tcW w:w="8076" w:type="dxa"/>
          </w:tcPr>
          <w:p w14:paraId="247C8056" w14:textId="77777777" w:rsidR="002F39DC" w:rsidRDefault="002F39DC" w:rsidP="006B2419">
            <w:pPr>
              <w:pStyle w:val="0Maintext"/>
              <w:spacing w:after="0" w:afterAutospacing="0"/>
              <w:ind w:firstLine="0"/>
              <w:rPr>
                <w:rFonts w:eastAsiaTheme="minorEastAsia"/>
                <w:lang w:eastAsia="zh-CN"/>
              </w:rPr>
            </w:pPr>
            <w:r>
              <w:rPr>
                <w:rFonts w:eastAsiaTheme="minorEastAsia"/>
                <w:lang w:eastAsia="zh-CN"/>
              </w:rPr>
              <w:t>We are generally fine with FL’s proposal.</w:t>
            </w:r>
          </w:p>
          <w:p w14:paraId="57543AE8" w14:textId="77777777" w:rsidR="002F39DC" w:rsidRDefault="002F39DC" w:rsidP="006B2419">
            <w:pPr>
              <w:pStyle w:val="0Maintext"/>
              <w:spacing w:after="0" w:afterAutospacing="0"/>
              <w:ind w:firstLine="0"/>
              <w:rPr>
                <w:rFonts w:eastAsiaTheme="minorEastAsia"/>
                <w:lang w:eastAsia="zh-CN"/>
              </w:rPr>
            </w:pPr>
            <w:r>
              <w:rPr>
                <w:rFonts w:eastAsiaTheme="minorEastAsia"/>
                <w:lang w:eastAsia="zh-CN"/>
              </w:rPr>
              <w:t>But for QC’s comment, we have some different views.</w:t>
            </w:r>
          </w:p>
          <w:p w14:paraId="5564C40D" w14:textId="6A312BA3" w:rsidR="002F39DC" w:rsidRDefault="002F39DC" w:rsidP="006B2419">
            <w:pPr>
              <w:pStyle w:val="0Maintext"/>
              <w:spacing w:after="0" w:afterAutospacing="0"/>
              <w:ind w:firstLine="0"/>
              <w:rPr>
                <w:rFonts w:eastAsiaTheme="minorEastAsia"/>
                <w:lang w:eastAsia="zh-CN"/>
              </w:rPr>
            </w:pPr>
            <w:r>
              <w:rPr>
                <w:rFonts w:eastAsiaTheme="minorEastAsia" w:hint="eastAsia"/>
                <w:lang w:eastAsia="zh-CN"/>
              </w:rPr>
              <w:t>F</w:t>
            </w:r>
            <w:r>
              <w:rPr>
                <w:rFonts w:eastAsiaTheme="minorEastAsia"/>
                <w:lang w:eastAsia="zh-CN"/>
              </w:rPr>
              <w:t xml:space="preserve">or whether the UE can use DL or UL CAPC table depends on whether the UE is supervising device or supervised device, and the DL table is the same as the CAPC table for supervising device, the UL table is supervised device. If UL CAPC table is used for UE, which means the UE is supervised device and </w:t>
            </w:r>
            <w:r w:rsidRPr="003A335B">
              <w:rPr>
                <w:rFonts w:eastAsiaTheme="minorEastAsia"/>
                <w:lang w:eastAsia="zh-CN"/>
              </w:rPr>
              <w:t>for p=1</w:t>
            </w:r>
            <w:r>
              <w:rPr>
                <w:rFonts w:eastAsiaTheme="minorEastAsia"/>
                <w:lang w:eastAsia="zh-CN"/>
              </w:rPr>
              <w:t xml:space="preserve">, it must use the mp = 2 as per regulation, which has been defined in EN 301 893. </w:t>
            </w:r>
          </w:p>
          <w:p w14:paraId="4F34BF21" w14:textId="25B9F678" w:rsidR="002F39DC" w:rsidRPr="001A010D" w:rsidRDefault="002F39DC" w:rsidP="006B2419">
            <w:pPr>
              <w:pStyle w:val="0Maintext"/>
              <w:spacing w:after="0" w:afterAutospacing="0"/>
              <w:ind w:firstLine="0"/>
              <w:rPr>
                <w:rFonts w:eastAsiaTheme="minorEastAsia"/>
                <w:lang w:eastAsia="zh-CN"/>
              </w:rPr>
            </w:pPr>
            <w:r>
              <w:rPr>
                <w:rFonts w:eastAsiaTheme="minorEastAsia"/>
                <w:lang w:eastAsia="zh-CN"/>
              </w:rPr>
              <w:t xml:space="preserve">For </w:t>
            </w:r>
            <w:r w:rsidRPr="003A335B">
              <w:rPr>
                <w:rFonts w:eastAsiaTheme="minorEastAsia"/>
                <w:lang w:eastAsia="zh-CN"/>
              </w:rPr>
              <w:t>L1 priority to CAPC mapping</w:t>
            </w:r>
            <w:r>
              <w:rPr>
                <w:rFonts w:eastAsiaTheme="minorEastAsia"/>
                <w:lang w:eastAsia="zh-CN"/>
              </w:rPr>
              <w:t xml:space="preserve">, we need to clarify one fact is that the reason why </w:t>
            </w:r>
            <w:r w:rsidRPr="000B46CE">
              <w:rPr>
                <w:rFonts w:eastAsiaTheme="minorEastAsia"/>
                <w:lang w:eastAsia="zh-CN"/>
              </w:rPr>
              <w:t>use the lowest DRB or SRB2 CAPC of the multiplexed PDUs’</w:t>
            </w:r>
            <w:r>
              <w:rPr>
                <w:rFonts w:eastAsiaTheme="minorEastAsia"/>
                <w:lang w:eastAsia="zh-CN"/>
              </w:rPr>
              <w:t xml:space="preserve"> is to keep the fairness of channel access procedure. For example, the are three different PDUs</w:t>
            </w:r>
            <w:r w:rsidRPr="000B46CE">
              <w:rPr>
                <w:rFonts w:eastAsiaTheme="minorEastAsia"/>
                <w:lang w:eastAsia="zh-CN"/>
              </w:rPr>
              <w:t xml:space="preserve"> </w:t>
            </w:r>
            <w:r>
              <w:rPr>
                <w:rFonts w:eastAsiaTheme="minorEastAsia"/>
                <w:lang w:eastAsia="zh-CN"/>
              </w:rPr>
              <w:t xml:space="preserve">with CAPC =1, CAPC = 2 and CAPC =3, the L1 priority are 1, 2 and 3, the UE will use CAPC = 3 to </w:t>
            </w:r>
            <w:r w:rsidR="00D9221C">
              <w:rPr>
                <w:rFonts w:eastAsiaTheme="minorEastAsia"/>
                <w:lang w:eastAsia="zh-CN"/>
              </w:rPr>
              <w:t>perform</w:t>
            </w:r>
            <w:r>
              <w:rPr>
                <w:rFonts w:eastAsiaTheme="minorEastAsia"/>
                <w:lang w:eastAsia="zh-CN"/>
              </w:rPr>
              <w:t xml:space="preserve"> channel access procedure, and the L1 priority is 1, but if there one mapping between L1 priority and CAPC, how to define the mapping relationship,  if the L1 priority = 1 maps to CAPC =1, there will be one case that the shared UE </w:t>
            </w:r>
            <w:r w:rsidR="00D9221C">
              <w:rPr>
                <w:rFonts w:eastAsiaTheme="minorEastAsia"/>
                <w:lang w:eastAsia="zh-CN"/>
              </w:rPr>
              <w:t>cannot</w:t>
            </w:r>
            <w:r>
              <w:rPr>
                <w:rFonts w:eastAsiaTheme="minorEastAsia"/>
                <w:lang w:eastAsia="zh-CN"/>
              </w:rPr>
              <w:t xml:space="preserve"> use the sharing COT with CAPC = 2, but actually the CAPC of the initiating COT UE is 3. Thus</w:t>
            </w:r>
            <w:r w:rsidR="00D9221C">
              <w:rPr>
                <w:rFonts w:eastAsiaTheme="minorEastAsia"/>
                <w:lang w:eastAsia="zh-CN"/>
              </w:rPr>
              <w:t>,</w:t>
            </w:r>
            <w:r>
              <w:rPr>
                <w:rFonts w:eastAsiaTheme="minorEastAsia"/>
                <w:lang w:eastAsia="zh-CN"/>
              </w:rPr>
              <w:t xml:space="preserve"> constructing t</w:t>
            </w:r>
            <w:r w:rsidRPr="00813CF8">
              <w:rPr>
                <w:rFonts w:eastAsiaTheme="minorEastAsia"/>
                <w:lang w:eastAsia="zh-CN"/>
              </w:rPr>
              <w:t>he mapping of L1 priority to the 4 CAPC levels</w:t>
            </w:r>
            <w:r>
              <w:rPr>
                <w:rFonts w:eastAsiaTheme="minorEastAsia"/>
                <w:lang w:eastAsia="zh-CN"/>
              </w:rPr>
              <w:t xml:space="preserve"> is </w:t>
            </w:r>
            <w:r w:rsidRPr="00813CF8">
              <w:rPr>
                <w:rFonts w:eastAsiaTheme="minorEastAsia"/>
                <w:lang w:eastAsia="zh-CN"/>
              </w:rPr>
              <w:t>not feasible.</w:t>
            </w:r>
          </w:p>
        </w:tc>
      </w:tr>
    </w:tbl>
    <w:p w14:paraId="3B013CF7" w14:textId="77777777" w:rsidR="00EC21DD" w:rsidRDefault="00EC21DD" w:rsidP="00CF6AD2">
      <w:pPr>
        <w:autoSpaceDE w:val="0"/>
        <w:autoSpaceDN w:val="0"/>
        <w:jc w:val="both"/>
        <w:rPr>
          <w:rFonts w:ascii="Calibri" w:hAnsi="Calibri" w:cs="Calibri"/>
          <w:sz w:val="22"/>
        </w:rPr>
      </w:pPr>
    </w:p>
    <w:p w14:paraId="7E9F2D1C" w14:textId="5C34708D" w:rsidR="00CF6AD2" w:rsidRPr="002F1DFF" w:rsidRDefault="00CF6AD2" w:rsidP="00CF6AD2">
      <w:pPr>
        <w:autoSpaceDE w:val="0"/>
        <w:autoSpaceDN w:val="0"/>
        <w:spacing w:before="120"/>
        <w:jc w:val="both"/>
        <w:rPr>
          <w:rFonts w:ascii="Calibri" w:hAnsi="Calibri" w:cs="Calibri"/>
          <w:sz w:val="22"/>
        </w:rPr>
      </w:pPr>
      <w:r w:rsidRPr="004B1D3C">
        <w:rPr>
          <w:rFonts w:ascii="Calibri" w:hAnsi="Calibri" w:cs="Calibri"/>
          <w:b/>
          <w:bCs/>
          <w:sz w:val="22"/>
        </w:rPr>
        <w:lastRenderedPageBreak/>
        <w:t>Proposal 2-2 (I):</w:t>
      </w:r>
    </w:p>
    <w:p w14:paraId="3B9299B0" w14:textId="77777777" w:rsidR="00CF6AD2" w:rsidRDefault="00CF6AD2">
      <w:pPr>
        <w:pStyle w:val="ListParagraph"/>
        <w:numPr>
          <w:ilvl w:val="0"/>
          <w:numId w:val="18"/>
        </w:numPr>
        <w:autoSpaceDE w:val="0"/>
        <w:autoSpaceDN w:val="0"/>
        <w:ind w:leftChars="0"/>
        <w:jc w:val="both"/>
        <w:rPr>
          <w:rFonts w:ascii="Calibri" w:hAnsi="Calibri" w:cs="Calibri"/>
          <w:sz w:val="22"/>
        </w:rPr>
      </w:pPr>
      <w:r>
        <w:rPr>
          <w:rFonts w:ascii="Calibri" w:hAnsi="Calibri" w:cs="Calibri"/>
          <w:sz w:val="22"/>
        </w:rPr>
        <w:t>In Type 1 SL channel access procedure,</w:t>
      </w:r>
    </w:p>
    <w:p w14:paraId="2BBBEE1B" w14:textId="77777777" w:rsidR="003E2F29" w:rsidRDefault="003E2F29" w:rsidP="003E2F29">
      <w:pPr>
        <w:pStyle w:val="ListParagraph"/>
        <w:numPr>
          <w:ilvl w:val="1"/>
          <w:numId w:val="18"/>
        </w:numPr>
        <w:autoSpaceDE w:val="0"/>
        <w:autoSpaceDN w:val="0"/>
        <w:ind w:leftChars="0"/>
        <w:jc w:val="both"/>
        <w:rPr>
          <w:rFonts w:ascii="Calibri" w:hAnsi="Calibri" w:cs="Calibri"/>
          <w:sz w:val="22"/>
        </w:rPr>
      </w:pPr>
      <w:r w:rsidRPr="00CF6AD2">
        <w:rPr>
          <w:rFonts w:ascii="Calibri" w:hAnsi="Calibri" w:cs="Calibri"/>
          <w:sz w:val="22"/>
        </w:rPr>
        <w:t>CW adjustment when SL-HARQ feedback is disabled in SCI:</w:t>
      </w:r>
    </w:p>
    <w:p w14:paraId="63AA5175" w14:textId="77777777" w:rsidR="003E2F29" w:rsidRDefault="003E2F29" w:rsidP="003E2F29">
      <w:pPr>
        <w:pStyle w:val="ListParagraph"/>
        <w:numPr>
          <w:ilvl w:val="2"/>
          <w:numId w:val="18"/>
        </w:numPr>
        <w:autoSpaceDE w:val="0"/>
        <w:autoSpaceDN w:val="0"/>
        <w:ind w:leftChars="0"/>
        <w:jc w:val="both"/>
        <w:rPr>
          <w:rFonts w:ascii="Calibri" w:hAnsi="Calibri" w:cs="Calibri"/>
          <w:sz w:val="22"/>
        </w:rPr>
      </w:pPr>
      <w:r w:rsidRPr="00CF6AD2">
        <w:rPr>
          <w:rFonts w:ascii="Calibri" w:hAnsi="Calibri" w:cs="Calibri" w:hint="eastAsia"/>
          <w:sz w:val="22"/>
          <w:lang w:val="en-AU"/>
        </w:rPr>
        <w:t xml:space="preserve">For every priority class </w:t>
      </w:r>
      <m:oMath>
        <m:r>
          <w:rPr>
            <w:rFonts w:ascii="Cambria Math" w:hAnsi="Cambria Math" w:cs="Calibri"/>
            <w:sz w:val="22"/>
          </w:rPr>
          <m:t>p∈</m:t>
        </m:r>
        <m:d>
          <m:dPr>
            <m:begChr m:val="{"/>
            <m:endChr m:val="}"/>
            <m:ctrlPr>
              <w:rPr>
                <w:rFonts w:ascii="Cambria Math" w:hAnsi="Cambria Math" w:cs="Calibri"/>
                <w:i/>
                <w:iCs/>
                <w:sz w:val="22"/>
              </w:rPr>
            </m:ctrlPr>
          </m:dPr>
          <m:e>
            <m:r>
              <w:rPr>
                <w:rFonts w:ascii="Cambria Math" w:hAnsi="Cambria Math" w:cs="Calibri"/>
                <w:sz w:val="22"/>
              </w:rPr>
              <m:t>1,2,3,4</m:t>
            </m:r>
          </m:e>
        </m:d>
      </m:oMath>
      <w:r w:rsidRPr="00CF6AD2">
        <w:rPr>
          <w:rFonts w:ascii="Calibri" w:hAnsi="Calibri" w:cs="Calibri" w:hint="eastAsia"/>
          <w:sz w:val="22"/>
          <w:lang w:val="en-AU"/>
        </w:rPr>
        <w:t>,</w:t>
      </w:r>
      <w:r w:rsidRPr="00CF6AD2">
        <w:rPr>
          <w:rFonts w:ascii="Calibri" w:hAnsi="Calibri" w:cs="Calibri"/>
          <w:i/>
          <w:iCs/>
          <w:sz w:val="22"/>
        </w:rPr>
        <w:t xml:space="preserve"> </w:t>
      </w:r>
      <w:r>
        <w:rPr>
          <w:rFonts w:ascii="Calibri" w:hAnsi="Calibri" w:cs="Calibri"/>
          <w:sz w:val="22"/>
        </w:rPr>
        <w:t>use the latest</w:t>
      </w:r>
      <w:r w:rsidRPr="00CF6AD2">
        <w:rPr>
          <w:rFonts w:ascii="Calibri" w:hAnsi="Calibri" w:cs="Calibri" w:hint="eastAsia"/>
          <w:sz w:val="22"/>
        </w:rPr>
        <w:t xml:space="preserve"> </w:t>
      </w:r>
      <m:oMath>
        <m:r>
          <w:rPr>
            <w:rFonts w:ascii="Cambria Math" w:hAnsi="Cambria Math" w:cs="Calibri"/>
            <w:sz w:val="22"/>
          </w:rPr>
          <m:t>C</m:t>
        </m:r>
        <m:sSub>
          <m:sSubPr>
            <m:ctrlPr>
              <w:rPr>
                <w:rFonts w:ascii="Cambria Math" w:hAnsi="Cambria Math" w:cs="Calibri"/>
                <w:i/>
                <w:iCs/>
                <w:sz w:val="22"/>
              </w:rPr>
            </m:ctrlPr>
          </m:sSubPr>
          <m:e>
            <m:r>
              <w:rPr>
                <w:rFonts w:ascii="Cambria Math" w:hAnsi="Cambria Math" w:cs="Calibri"/>
                <w:sz w:val="22"/>
              </w:rPr>
              <m:t>W</m:t>
            </m:r>
          </m:e>
          <m:sub>
            <m:r>
              <w:rPr>
                <w:rFonts w:ascii="Cambria Math" w:hAnsi="Cambria Math" w:cs="Calibri"/>
                <w:sz w:val="22"/>
              </w:rPr>
              <m:t>p</m:t>
            </m:r>
          </m:sub>
        </m:sSub>
      </m:oMath>
      <w:r w:rsidRPr="00CF6AD2">
        <w:rPr>
          <w:rFonts w:ascii="Calibri" w:hAnsi="Calibri" w:cs="Calibri" w:hint="eastAsia"/>
          <w:sz w:val="22"/>
        </w:rPr>
        <w:t xml:space="preserve"> </w:t>
      </w:r>
      <w:r>
        <w:rPr>
          <w:rFonts w:ascii="Calibri" w:hAnsi="Calibri" w:cs="Calibri"/>
          <w:sz w:val="22"/>
        </w:rPr>
        <w:t xml:space="preserve">used for any SL transmissions on the channel using Type 1 channel access procedures associated with the channel access priority class </w:t>
      </w:r>
      <m:oMath>
        <m:r>
          <w:rPr>
            <w:rFonts w:ascii="Cambria Math" w:hAnsi="Cambria Math" w:cs="Calibri"/>
            <w:sz w:val="22"/>
          </w:rPr>
          <m:t>p</m:t>
        </m:r>
      </m:oMath>
      <w:r w:rsidRPr="00CF6AD2">
        <w:rPr>
          <w:rFonts w:ascii="Calibri" w:hAnsi="Calibri" w:cs="Calibri" w:hint="eastAsia"/>
          <w:sz w:val="22"/>
        </w:rPr>
        <w:t>.</w:t>
      </w:r>
      <w:r>
        <w:rPr>
          <w:rFonts w:ascii="Calibri" w:hAnsi="Calibri" w:cs="Calibri"/>
          <w:sz w:val="22"/>
        </w:rPr>
        <w:t xml:space="preserve"> </w:t>
      </w:r>
      <w:r w:rsidRPr="003E2F29">
        <w:rPr>
          <w:rFonts w:asciiTheme="minorHAnsi" w:hAnsiTheme="minorHAnsi" w:cstheme="minorHAnsi"/>
          <w:sz w:val="22"/>
          <w:szCs w:val="28"/>
        </w:rPr>
        <w:t xml:space="preserve">If the corresponding channel access priority class </w:t>
      </w:r>
      <m:oMath>
        <m:r>
          <w:rPr>
            <w:rFonts w:ascii="Cambria Math" w:hAnsi="Cambria Math" w:cstheme="minorHAnsi"/>
            <w:sz w:val="22"/>
            <w:szCs w:val="28"/>
          </w:rPr>
          <m:t>p</m:t>
        </m:r>
      </m:oMath>
      <w:r w:rsidRPr="003E2F29">
        <w:rPr>
          <w:rFonts w:asciiTheme="minorHAnsi" w:hAnsiTheme="minorHAnsi" w:cstheme="minorHAnsi"/>
          <w:sz w:val="22"/>
          <w:szCs w:val="28"/>
        </w:rPr>
        <w:t xml:space="preserve">  has not been used for any SL transmissions on the channel, </w:t>
      </w:r>
      <m:oMath>
        <m:r>
          <w:rPr>
            <w:rFonts w:ascii="Cambria Math" w:hAnsi="Cambria Math" w:cstheme="minorHAnsi"/>
            <w:sz w:val="22"/>
            <w:szCs w:val="28"/>
          </w:rPr>
          <m:t>C</m:t>
        </m:r>
        <m:sSub>
          <m:sSubPr>
            <m:ctrlPr>
              <w:rPr>
                <w:rFonts w:ascii="Cambria Math" w:hAnsi="Cambria Math" w:cstheme="minorHAnsi"/>
                <w:i/>
                <w:sz w:val="22"/>
                <w:szCs w:val="28"/>
              </w:rPr>
            </m:ctrlPr>
          </m:sSubPr>
          <m:e>
            <m:r>
              <w:rPr>
                <w:rFonts w:ascii="Cambria Math" w:hAnsi="Cambria Math" w:cstheme="minorHAnsi"/>
                <w:sz w:val="22"/>
                <w:szCs w:val="28"/>
              </w:rPr>
              <m:t>W</m:t>
            </m:r>
          </m:e>
          <m:sub>
            <m:r>
              <w:rPr>
                <w:rFonts w:ascii="Cambria Math" w:hAnsi="Cambria Math" w:cstheme="minorHAnsi"/>
                <w:sz w:val="22"/>
                <w:szCs w:val="28"/>
              </w:rPr>
              <m:t>p</m:t>
            </m:r>
          </m:sub>
        </m:sSub>
        <m:r>
          <w:rPr>
            <w:rFonts w:ascii="Cambria Math" w:hAnsi="Cambria Math" w:cstheme="minorHAnsi"/>
            <w:sz w:val="22"/>
            <w:szCs w:val="28"/>
            <w:lang w:val="en-US"/>
          </w:rPr>
          <m:t>=</m:t>
        </m:r>
        <m:r>
          <w:rPr>
            <w:rFonts w:ascii="Cambria Math" w:hAnsi="Cambria Math" w:cstheme="minorHAnsi"/>
            <w:sz w:val="22"/>
            <w:szCs w:val="28"/>
          </w:rPr>
          <m:t>C</m:t>
        </m:r>
        <m:sSub>
          <m:sSubPr>
            <m:ctrlPr>
              <w:rPr>
                <w:rFonts w:ascii="Cambria Math" w:hAnsi="Cambria Math" w:cstheme="minorHAnsi"/>
                <w:i/>
                <w:sz w:val="22"/>
                <w:szCs w:val="28"/>
              </w:rPr>
            </m:ctrlPr>
          </m:sSubPr>
          <m:e>
            <m:r>
              <w:rPr>
                <w:rFonts w:ascii="Cambria Math" w:hAnsi="Cambria Math" w:cstheme="minorHAnsi"/>
                <w:sz w:val="22"/>
                <w:szCs w:val="28"/>
              </w:rPr>
              <m:t>W</m:t>
            </m:r>
          </m:e>
          <m:sub>
            <m:func>
              <m:funcPr>
                <m:ctrlPr>
                  <w:rPr>
                    <w:rFonts w:ascii="Cambria Math" w:hAnsi="Cambria Math" w:cstheme="minorHAnsi"/>
                    <w:i/>
                    <w:sz w:val="22"/>
                    <w:szCs w:val="28"/>
                  </w:rPr>
                </m:ctrlPr>
              </m:funcPr>
              <m:fName>
                <m:r>
                  <w:rPr>
                    <w:rFonts w:ascii="Cambria Math" w:hAnsi="Cambria Math" w:cstheme="minorHAnsi"/>
                    <w:sz w:val="22"/>
                    <w:szCs w:val="28"/>
                  </w:rPr>
                  <m:t>min</m:t>
                </m:r>
                <m:r>
                  <w:rPr>
                    <w:rFonts w:ascii="Cambria Math" w:hAnsi="Cambria Math" w:cstheme="minorHAnsi"/>
                    <w:sz w:val="22"/>
                    <w:szCs w:val="28"/>
                    <w:lang w:val="en-US"/>
                  </w:rPr>
                  <m:t>,</m:t>
                </m:r>
              </m:fName>
              <m:e>
                <m:r>
                  <w:rPr>
                    <w:rFonts w:ascii="Cambria Math" w:hAnsi="Cambria Math" w:cstheme="minorHAnsi"/>
                    <w:sz w:val="22"/>
                    <w:szCs w:val="28"/>
                  </w:rPr>
                  <m:t>p</m:t>
                </m:r>
              </m:e>
            </m:func>
          </m:sub>
        </m:sSub>
      </m:oMath>
      <w:r w:rsidRPr="003E2F29">
        <w:rPr>
          <w:rFonts w:asciiTheme="minorHAnsi" w:hAnsiTheme="minorHAnsi" w:cstheme="minorHAnsi"/>
          <w:sz w:val="22"/>
          <w:szCs w:val="28"/>
        </w:rPr>
        <w:t xml:space="preserve"> is used.</w:t>
      </w:r>
    </w:p>
    <w:p w14:paraId="0D9BE6B9" w14:textId="77777777" w:rsidR="00602966" w:rsidRDefault="00602966" w:rsidP="00602966">
      <w:pPr>
        <w:pStyle w:val="ListParagraph"/>
        <w:numPr>
          <w:ilvl w:val="1"/>
          <w:numId w:val="18"/>
        </w:numPr>
        <w:autoSpaceDE w:val="0"/>
        <w:autoSpaceDN w:val="0"/>
        <w:ind w:leftChars="0"/>
        <w:jc w:val="both"/>
        <w:rPr>
          <w:rFonts w:ascii="Calibri" w:hAnsi="Calibri" w:cs="Calibri"/>
          <w:sz w:val="22"/>
        </w:rPr>
      </w:pPr>
      <w:r w:rsidRPr="00CF6AD2">
        <w:rPr>
          <w:rFonts w:ascii="Calibri" w:hAnsi="Calibri" w:cs="Calibri"/>
          <w:sz w:val="22"/>
        </w:rPr>
        <w:t>CW adjustment for groupcast option 2:</w:t>
      </w:r>
    </w:p>
    <w:p w14:paraId="30EF0F4A" w14:textId="77777777" w:rsidR="00602966" w:rsidRDefault="00602966" w:rsidP="00602966">
      <w:pPr>
        <w:pStyle w:val="ListParagraph"/>
        <w:numPr>
          <w:ilvl w:val="2"/>
          <w:numId w:val="18"/>
        </w:numPr>
        <w:autoSpaceDE w:val="0"/>
        <w:autoSpaceDN w:val="0"/>
        <w:ind w:leftChars="0"/>
        <w:jc w:val="both"/>
        <w:rPr>
          <w:rFonts w:ascii="Calibri" w:hAnsi="Calibri" w:cs="Calibri"/>
          <w:sz w:val="22"/>
        </w:rPr>
      </w:pPr>
      <w:r w:rsidRPr="00CF6AD2">
        <w:rPr>
          <w:rFonts w:ascii="Calibri" w:hAnsi="Calibri" w:cs="Calibri" w:hint="eastAsia"/>
          <w:sz w:val="22"/>
          <w:lang w:val="en-AU"/>
        </w:rPr>
        <w:t xml:space="preserve">When a (pre-)configurable ratio of received SL HARQ-ACK feedbacks is </w:t>
      </w:r>
      <w:r w:rsidRPr="00CF6AD2">
        <w:rPr>
          <w:rFonts w:ascii="Calibri" w:hAnsi="Calibri" w:cs="Calibri" w:hint="eastAsia"/>
          <w:sz w:val="22"/>
          <w:lang w:val="en-AU"/>
        </w:rPr>
        <w:t>‘</w:t>
      </w:r>
      <w:r w:rsidRPr="00CF6AD2">
        <w:rPr>
          <w:rFonts w:ascii="Calibri" w:hAnsi="Calibri" w:cs="Calibri" w:hint="eastAsia"/>
          <w:sz w:val="22"/>
          <w:lang w:val="en-AU"/>
        </w:rPr>
        <w:t>ACK</w:t>
      </w:r>
      <w:r w:rsidRPr="00CF6AD2">
        <w:rPr>
          <w:rFonts w:ascii="Calibri" w:hAnsi="Calibri" w:cs="Calibri" w:hint="eastAsia"/>
          <w:sz w:val="22"/>
          <w:lang w:val="en-AU"/>
        </w:rPr>
        <w:t>’</w:t>
      </w:r>
      <w:r w:rsidRPr="00CF6AD2">
        <w:rPr>
          <w:rFonts w:ascii="Calibri" w:hAnsi="Calibri" w:cs="Calibri" w:hint="eastAsia"/>
          <w:sz w:val="22"/>
          <w:lang w:val="en-AU"/>
        </w:rPr>
        <w:t xml:space="preserve">, </w:t>
      </w:r>
      <m:oMath>
        <m:r>
          <w:rPr>
            <w:rFonts w:ascii="Cambria Math" w:hAnsi="Cambria Math" w:cs="Calibri"/>
            <w:sz w:val="22"/>
          </w:rPr>
          <m:t>C</m:t>
        </m:r>
        <m:sSub>
          <m:sSubPr>
            <m:ctrlPr>
              <w:rPr>
                <w:rFonts w:ascii="Cambria Math" w:hAnsi="Cambria Math" w:cs="Calibri"/>
                <w:i/>
                <w:iCs/>
                <w:sz w:val="22"/>
              </w:rPr>
            </m:ctrlPr>
          </m:sSubPr>
          <m:e>
            <m:r>
              <w:rPr>
                <w:rFonts w:ascii="Cambria Math" w:hAnsi="Cambria Math" w:cs="Calibri"/>
                <w:sz w:val="22"/>
              </w:rPr>
              <m:t>W</m:t>
            </m:r>
          </m:e>
          <m:sub>
            <m:r>
              <w:rPr>
                <w:rFonts w:ascii="Cambria Math" w:hAnsi="Cambria Math" w:cs="Calibri"/>
                <w:sz w:val="22"/>
              </w:rPr>
              <m:t>p</m:t>
            </m:r>
          </m:sub>
        </m:sSub>
      </m:oMath>
      <w:r w:rsidRPr="00CF6AD2">
        <w:rPr>
          <w:rFonts w:ascii="Calibri" w:hAnsi="Calibri" w:cs="Calibri" w:hint="eastAsia"/>
          <w:sz w:val="22"/>
          <w:lang w:val="en-AU"/>
        </w:rPr>
        <w:t xml:space="preserve"> is reset to </w:t>
      </w:r>
      <m:oMath>
        <m:r>
          <w:rPr>
            <w:rFonts w:ascii="Cambria Math" w:hAnsi="Cambria Math" w:cs="Calibri"/>
            <w:sz w:val="22"/>
          </w:rPr>
          <m:t>C</m:t>
        </m:r>
        <m:sSub>
          <m:sSubPr>
            <m:ctrlPr>
              <w:rPr>
                <w:rFonts w:ascii="Cambria Math" w:hAnsi="Cambria Math" w:cs="Calibri"/>
                <w:i/>
                <w:iCs/>
                <w:sz w:val="22"/>
              </w:rPr>
            </m:ctrlPr>
          </m:sSubPr>
          <m:e>
            <m:r>
              <w:rPr>
                <w:rFonts w:ascii="Cambria Math" w:hAnsi="Cambria Math" w:cs="Calibri"/>
                <w:sz w:val="22"/>
              </w:rPr>
              <m:t>W</m:t>
            </m:r>
          </m:e>
          <m:sub>
            <m:r>
              <w:rPr>
                <w:rFonts w:ascii="Cambria Math" w:hAnsi="Cambria Math" w:cs="Calibri"/>
                <w:sz w:val="22"/>
                <w:lang w:val="en-AU"/>
              </w:rPr>
              <m:t>min,</m:t>
            </m:r>
            <m:r>
              <w:rPr>
                <w:rFonts w:ascii="Cambria Math" w:hAnsi="Cambria Math" w:cs="Calibri"/>
                <w:sz w:val="22"/>
              </w:rPr>
              <m:t>p</m:t>
            </m:r>
          </m:sub>
        </m:sSub>
      </m:oMath>
      <w:r w:rsidRPr="00CF6AD2">
        <w:rPr>
          <w:rFonts w:ascii="Calibri" w:hAnsi="Calibri" w:cs="Calibri" w:hint="eastAsia"/>
          <w:i/>
          <w:iCs/>
          <w:sz w:val="22"/>
          <w:lang w:val="en-AU"/>
        </w:rPr>
        <w:t xml:space="preserve"> </w:t>
      </w:r>
      <w:r w:rsidRPr="00CF6AD2">
        <w:rPr>
          <w:rFonts w:ascii="Calibri" w:hAnsi="Calibri" w:cs="Calibri" w:hint="eastAsia"/>
          <w:sz w:val="22"/>
          <w:lang w:val="en-AU"/>
        </w:rPr>
        <w:t xml:space="preserve">for every priority class </w:t>
      </w:r>
      <m:oMath>
        <m:r>
          <w:rPr>
            <w:rFonts w:ascii="Cambria Math" w:hAnsi="Cambria Math" w:cs="Calibri"/>
            <w:sz w:val="22"/>
          </w:rPr>
          <m:t>p∈</m:t>
        </m:r>
        <m:d>
          <m:dPr>
            <m:begChr m:val="{"/>
            <m:endChr m:val="}"/>
            <m:ctrlPr>
              <w:rPr>
                <w:rFonts w:ascii="Cambria Math" w:hAnsi="Cambria Math" w:cs="Calibri"/>
                <w:i/>
                <w:iCs/>
                <w:sz w:val="22"/>
              </w:rPr>
            </m:ctrlPr>
          </m:dPr>
          <m:e>
            <m:r>
              <w:rPr>
                <w:rFonts w:ascii="Cambria Math" w:hAnsi="Cambria Math" w:cs="Calibri"/>
                <w:sz w:val="22"/>
              </w:rPr>
              <m:t>1,2,3,4</m:t>
            </m:r>
          </m:e>
        </m:d>
      </m:oMath>
      <w:r w:rsidRPr="00CF6AD2">
        <w:rPr>
          <w:rFonts w:ascii="Calibri" w:hAnsi="Calibri" w:cs="Calibri" w:hint="eastAsia"/>
          <w:sz w:val="22"/>
          <w:lang w:val="en-AU"/>
        </w:rPr>
        <w:t xml:space="preserve">, otherwise </w:t>
      </w:r>
      <w:r w:rsidRPr="00CF6AD2">
        <w:rPr>
          <w:rFonts w:ascii="Calibri" w:hAnsi="Calibri" w:cs="Calibri" w:hint="eastAsia"/>
          <w:sz w:val="22"/>
        </w:rPr>
        <w:t xml:space="preserve">increase </w:t>
      </w:r>
      <m:oMath>
        <m:r>
          <w:rPr>
            <w:rFonts w:ascii="Cambria Math" w:hAnsi="Cambria Math" w:cs="Calibri"/>
            <w:sz w:val="22"/>
          </w:rPr>
          <m:t>C</m:t>
        </m:r>
        <m:sSub>
          <m:sSubPr>
            <m:ctrlPr>
              <w:rPr>
                <w:rFonts w:ascii="Cambria Math" w:hAnsi="Cambria Math" w:cs="Calibri"/>
                <w:i/>
                <w:iCs/>
                <w:sz w:val="22"/>
              </w:rPr>
            </m:ctrlPr>
          </m:sSubPr>
          <m:e>
            <m:r>
              <w:rPr>
                <w:rFonts w:ascii="Cambria Math" w:hAnsi="Cambria Math" w:cs="Calibri"/>
                <w:sz w:val="22"/>
              </w:rPr>
              <m:t>W</m:t>
            </m:r>
          </m:e>
          <m:sub>
            <m:r>
              <w:rPr>
                <w:rFonts w:ascii="Cambria Math" w:hAnsi="Cambria Math" w:cs="Calibri"/>
                <w:sz w:val="22"/>
              </w:rPr>
              <m:t>p</m:t>
            </m:r>
          </m:sub>
        </m:sSub>
      </m:oMath>
      <w:r w:rsidRPr="00CF6AD2">
        <w:rPr>
          <w:rFonts w:ascii="Calibri" w:hAnsi="Calibri" w:cs="Calibri" w:hint="eastAsia"/>
          <w:sz w:val="22"/>
        </w:rPr>
        <w:t xml:space="preserve"> for every priority class </w:t>
      </w:r>
      <m:oMath>
        <m:r>
          <w:rPr>
            <w:rFonts w:ascii="Cambria Math" w:hAnsi="Cambria Math" w:cs="Calibri"/>
            <w:sz w:val="22"/>
          </w:rPr>
          <m:t>p∈</m:t>
        </m:r>
        <m:d>
          <m:dPr>
            <m:begChr m:val="{"/>
            <m:endChr m:val="}"/>
            <m:ctrlPr>
              <w:rPr>
                <w:rFonts w:ascii="Cambria Math" w:hAnsi="Cambria Math" w:cs="Calibri"/>
                <w:i/>
                <w:iCs/>
                <w:sz w:val="22"/>
              </w:rPr>
            </m:ctrlPr>
          </m:dPr>
          <m:e>
            <m:r>
              <w:rPr>
                <w:rFonts w:ascii="Cambria Math" w:hAnsi="Cambria Math" w:cs="Calibri"/>
                <w:sz w:val="22"/>
              </w:rPr>
              <m:t>1,2,3,4</m:t>
            </m:r>
          </m:e>
        </m:d>
      </m:oMath>
      <w:r w:rsidRPr="00CF6AD2">
        <w:rPr>
          <w:rFonts w:ascii="Calibri" w:hAnsi="Calibri" w:cs="Calibri" w:hint="eastAsia"/>
          <w:sz w:val="22"/>
        </w:rPr>
        <w:t xml:space="preserve"> to the next higher allowed value.</w:t>
      </w:r>
    </w:p>
    <w:p w14:paraId="70A143E8" w14:textId="77777777" w:rsidR="003E2F29" w:rsidRPr="00CF6AD2" w:rsidRDefault="003E2F29" w:rsidP="003E2F29">
      <w:pPr>
        <w:pStyle w:val="ListParagraph"/>
        <w:numPr>
          <w:ilvl w:val="1"/>
          <w:numId w:val="18"/>
        </w:numPr>
        <w:autoSpaceDE w:val="0"/>
        <w:autoSpaceDN w:val="0"/>
        <w:ind w:leftChars="0"/>
        <w:jc w:val="both"/>
        <w:rPr>
          <w:rFonts w:ascii="Calibri" w:hAnsi="Calibri" w:cs="Calibri"/>
          <w:sz w:val="22"/>
        </w:rPr>
      </w:pPr>
      <w:r w:rsidRPr="00CF6AD2">
        <w:rPr>
          <w:rFonts w:ascii="Calibri" w:hAnsi="Calibri" w:cs="Calibri" w:hint="eastAsia"/>
          <w:sz w:val="22"/>
          <w:lang w:val="en-AU"/>
        </w:rPr>
        <w:t>For groupcast option 1 (NACK-only)</w:t>
      </w:r>
      <w:r>
        <w:rPr>
          <w:rFonts w:ascii="Calibri" w:hAnsi="Calibri" w:cs="Calibri"/>
          <w:sz w:val="22"/>
          <w:lang w:val="en-AU"/>
        </w:rPr>
        <w:t>: (down-select to one of the following options)</w:t>
      </w:r>
    </w:p>
    <w:p w14:paraId="75B708D3" w14:textId="6F1650ED" w:rsidR="003E2F29" w:rsidRDefault="003E2F29" w:rsidP="003E2F29">
      <w:pPr>
        <w:pStyle w:val="ListParagraph"/>
        <w:numPr>
          <w:ilvl w:val="2"/>
          <w:numId w:val="18"/>
        </w:numPr>
        <w:autoSpaceDE w:val="0"/>
        <w:autoSpaceDN w:val="0"/>
        <w:ind w:leftChars="0"/>
        <w:jc w:val="both"/>
        <w:rPr>
          <w:rFonts w:ascii="Calibri" w:hAnsi="Calibri" w:cs="Calibri"/>
          <w:sz w:val="22"/>
        </w:rPr>
      </w:pPr>
      <w:r w:rsidRPr="00CF6AD2">
        <w:rPr>
          <w:rFonts w:ascii="Calibri" w:hAnsi="Calibri" w:cs="Calibri" w:hint="eastAsia"/>
          <w:sz w:val="22"/>
          <w:lang w:val="en-AU"/>
        </w:rPr>
        <w:t xml:space="preserve">Option 1: For every priority class </w:t>
      </w:r>
      <m:oMath>
        <m:r>
          <w:rPr>
            <w:rFonts w:ascii="Cambria Math" w:hAnsi="Cambria Math" w:cs="Calibri"/>
            <w:sz w:val="22"/>
          </w:rPr>
          <m:t>p∈</m:t>
        </m:r>
        <m:d>
          <m:dPr>
            <m:begChr m:val="{"/>
            <m:endChr m:val="}"/>
            <m:ctrlPr>
              <w:rPr>
                <w:rFonts w:ascii="Cambria Math" w:hAnsi="Cambria Math" w:cs="Calibri"/>
                <w:i/>
                <w:iCs/>
                <w:sz w:val="22"/>
              </w:rPr>
            </m:ctrlPr>
          </m:dPr>
          <m:e>
            <m:r>
              <w:rPr>
                <w:rFonts w:ascii="Cambria Math" w:hAnsi="Cambria Math" w:cs="Calibri"/>
                <w:sz w:val="22"/>
              </w:rPr>
              <m:t>1,2,3,4</m:t>
            </m:r>
          </m:e>
        </m:d>
      </m:oMath>
      <w:r w:rsidRPr="00CF6AD2">
        <w:rPr>
          <w:rFonts w:ascii="Calibri" w:hAnsi="Calibri" w:cs="Calibri" w:hint="eastAsia"/>
          <w:sz w:val="22"/>
          <w:lang w:val="en-AU"/>
        </w:rPr>
        <w:t>,</w:t>
      </w:r>
      <w:r w:rsidRPr="00CF6AD2">
        <w:rPr>
          <w:rFonts w:ascii="Calibri" w:hAnsi="Calibri" w:cs="Calibri"/>
          <w:i/>
          <w:iCs/>
          <w:sz w:val="22"/>
        </w:rPr>
        <w:t xml:space="preserve"> </w:t>
      </w:r>
      <w:r>
        <w:rPr>
          <w:rFonts w:ascii="Calibri" w:hAnsi="Calibri" w:cs="Calibri"/>
          <w:sz w:val="22"/>
        </w:rPr>
        <w:t>use the latest</w:t>
      </w:r>
      <w:r w:rsidRPr="00CF6AD2">
        <w:rPr>
          <w:rFonts w:ascii="Calibri" w:hAnsi="Calibri" w:cs="Calibri" w:hint="eastAsia"/>
          <w:sz w:val="22"/>
        </w:rPr>
        <w:t xml:space="preserve"> </w:t>
      </w:r>
      <m:oMath>
        <m:r>
          <w:rPr>
            <w:rFonts w:ascii="Cambria Math" w:hAnsi="Cambria Math" w:cs="Calibri"/>
            <w:sz w:val="22"/>
          </w:rPr>
          <m:t>C</m:t>
        </m:r>
        <m:sSub>
          <m:sSubPr>
            <m:ctrlPr>
              <w:rPr>
                <w:rFonts w:ascii="Cambria Math" w:hAnsi="Cambria Math" w:cs="Calibri"/>
                <w:i/>
                <w:iCs/>
                <w:sz w:val="22"/>
              </w:rPr>
            </m:ctrlPr>
          </m:sSubPr>
          <m:e>
            <m:r>
              <w:rPr>
                <w:rFonts w:ascii="Cambria Math" w:hAnsi="Cambria Math" w:cs="Calibri"/>
                <w:sz w:val="22"/>
              </w:rPr>
              <m:t>W</m:t>
            </m:r>
          </m:e>
          <m:sub>
            <m:r>
              <w:rPr>
                <w:rFonts w:ascii="Cambria Math" w:hAnsi="Cambria Math" w:cs="Calibri"/>
                <w:sz w:val="22"/>
              </w:rPr>
              <m:t>p</m:t>
            </m:r>
          </m:sub>
        </m:sSub>
      </m:oMath>
      <w:r w:rsidRPr="00CF6AD2">
        <w:rPr>
          <w:rFonts w:ascii="Calibri" w:hAnsi="Calibri" w:cs="Calibri" w:hint="eastAsia"/>
          <w:sz w:val="22"/>
        </w:rPr>
        <w:t xml:space="preserve"> </w:t>
      </w:r>
      <w:r>
        <w:rPr>
          <w:rFonts w:ascii="Calibri" w:hAnsi="Calibri" w:cs="Calibri"/>
          <w:sz w:val="22"/>
        </w:rPr>
        <w:t xml:space="preserve">used for any SL transmissions on the channel using Type 1 channel access procedures associated with the channel access priority class </w:t>
      </w:r>
      <m:oMath>
        <m:r>
          <w:rPr>
            <w:rFonts w:ascii="Cambria Math" w:hAnsi="Cambria Math" w:cs="Calibri"/>
            <w:sz w:val="22"/>
          </w:rPr>
          <m:t>p</m:t>
        </m:r>
      </m:oMath>
      <w:r w:rsidRPr="00CF6AD2">
        <w:rPr>
          <w:rFonts w:ascii="Calibri" w:hAnsi="Calibri" w:cs="Calibri" w:hint="eastAsia"/>
          <w:sz w:val="22"/>
        </w:rPr>
        <w:t>.</w:t>
      </w:r>
      <w:r w:rsidR="00602966">
        <w:rPr>
          <w:rFonts w:ascii="Calibri" w:hAnsi="Calibri" w:cs="Calibri"/>
          <w:sz w:val="22"/>
        </w:rPr>
        <w:t xml:space="preserve"> </w:t>
      </w:r>
      <w:r w:rsidR="00602966" w:rsidRPr="003E2F29">
        <w:rPr>
          <w:rFonts w:asciiTheme="minorHAnsi" w:hAnsiTheme="minorHAnsi" w:cstheme="minorHAnsi"/>
          <w:sz w:val="22"/>
          <w:szCs w:val="28"/>
        </w:rPr>
        <w:t xml:space="preserve">If the corresponding channel access priority class </w:t>
      </w:r>
      <m:oMath>
        <m:r>
          <w:rPr>
            <w:rFonts w:ascii="Cambria Math" w:hAnsi="Cambria Math" w:cstheme="minorHAnsi"/>
            <w:sz w:val="22"/>
            <w:szCs w:val="28"/>
          </w:rPr>
          <m:t>p</m:t>
        </m:r>
      </m:oMath>
      <w:r w:rsidR="00602966" w:rsidRPr="003E2F29">
        <w:rPr>
          <w:rFonts w:asciiTheme="minorHAnsi" w:hAnsiTheme="minorHAnsi" w:cstheme="minorHAnsi"/>
          <w:sz w:val="22"/>
          <w:szCs w:val="28"/>
        </w:rPr>
        <w:t xml:space="preserve">  has not been used for any SL transmissions on the channel, </w:t>
      </w:r>
      <m:oMath>
        <m:r>
          <w:rPr>
            <w:rFonts w:ascii="Cambria Math" w:hAnsi="Cambria Math" w:cstheme="minorHAnsi"/>
            <w:sz w:val="22"/>
            <w:szCs w:val="28"/>
          </w:rPr>
          <m:t>C</m:t>
        </m:r>
        <m:sSub>
          <m:sSubPr>
            <m:ctrlPr>
              <w:rPr>
                <w:rFonts w:ascii="Cambria Math" w:hAnsi="Cambria Math" w:cstheme="minorHAnsi"/>
                <w:i/>
                <w:sz w:val="22"/>
                <w:szCs w:val="28"/>
              </w:rPr>
            </m:ctrlPr>
          </m:sSubPr>
          <m:e>
            <m:r>
              <w:rPr>
                <w:rFonts w:ascii="Cambria Math" w:hAnsi="Cambria Math" w:cstheme="minorHAnsi"/>
                <w:sz w:val="22"/>
                <w:szCs w:val="28"/>
              </w:rPr>
              <m:t>W</m:t>
            </m:r>
          </m:e>
          <m:sub>
            <m:r>
              <w:rPr>
                <w:rFonts w:ascii="Cambria Math" w:hAnsi="Cambria Math" w:cstheme="minorHAnsi"/>
                <w:sz w:val="22"/>
                <w:szCs w:val="28"/>
              </w:rPr>
              <m:t>p</m:t>
            </m:r>
          </m:sub>
        </m:sSub>
        <m:r>
          <w:rPr>
            <w:rFonts w:ascii="Cambria Math" w:hAnsi="Cambria Math" w:cstheme="minorHAnsi"/>
            <w:sz w:val="22"/>
            <w:szCs w:val="28"/>
            <w:lang w:val="en-US"/>
          </w:rPr>
          <m:t>=</m:t>
        </m:r>
        <m:r>
          <w:rPr>
            <w:rFonts w:ascii="Cambria Math" w:hAnsi="Cambria Math" w:cstheme="minorHAnsi"/>
            <w:sz w:val="22"/>
            <w:szCs w:val="28"/>
          </w:rPr>
          <m:t>C</m:t>
        </m:r>
        <m:sSub>
          <m:sSubPr>
            <m:ctrlPr>
              <w:rPr>
                <w:rFonts w:ascii="Cambria Math" w:hAnsi="Cambria Math" w:cstheme="minorHAnsi"/>
                <w:i/>
                <w:sz w:val="22"/>
                <w:szCs w:val="28"/>
              </w:rPr>
            </m:ctrlPr>
          </m:sSubPr>
          <m:e>
            <m:r>
              <w:rPr>
                <w:rFonts w:ascii="Cambria Math" w:hAnsi="Cambria Math" w:cstheme="minorHAnsi"/>
                <w:sz w:val="22"/>
                <w:szCs w:val="28"/>
              </w:rPr>
              <m:t>W</m:t>
            </m:r>
          </m:e>
          <m:sub>
            <m:func>
              <m:funcPr>
                <m:ctrlPr>
                  <w:rPr>
                    <w:rFonts w:ascii="Cambria Math" w:hAnsi="Cambria Math" w:cstheme="minorHAnsi"/>
                    <w:i/>
                    <w:sz w:val="22"/>
                    <w:szCs w:val="28"/>
                  </w:rPr>
                </m:ctrlPr>
              </m:funcPr>
              <m:fName>
                <m:r>
                  <w:rPr>
                    <w:rFonts w:ascii="Cambria Math" w:hAnsi="Cambria Math" w:cstheme="minorHAnsi"/>
                    <w:sz w:val="22"/>
                    <w:szCs w:val="28"/>
                  </w:rPr>
                  <m:t>min</m:t>
                </m:r>
                <m:r>
                  <w:rPr>
                    <w:rFonts w:ascii="Cambria Math" w:hAnsi="Cambria Math" w:cstheme="minorHAnsi"/>
                    <w:sz w:val="22"/>
                    <w:szCs w:val="28"/>
                    <w:lang w:val="en-US"/>
                  </w:rPr>
                  <m:t>,</m:t>
                </m:r>
              </m:fName>
              <m:e>
                <m:r>
                  <w:rPr>
                    <w:rFonts w:ascii="Cambria Math" w:hAnsi="Cambria Math" w:cstheme="minorHAnsi"/>
                    <w:sz w:val="22"/>
                    <w:szCs w:val="28"/>
                  </w:rPr>
                  <m:t>p</m:t>
                </m:r>
              </m:e>
            </m:func>
          </m:sub>
        </m:sSub>
      </m:oMath>
      <w:r w:rsidR="00602966" w:rsidRPr="003E2F29">
        <w:rPr>
          <w:rFonts w:asciiTheme="minorHAnsi" w:hAnsiTheme="minorHAnsi" w:cstheme="minorHAnsi"/>
          <w:sz w:val="22"/>
          <w:szCs w:val="28"/>
        </w:rPr>
        <w:t xml:space="preserve"> is used.</w:t>
      </w:r>
    </w:p>
    <w:p w14:paraId="09DA7613" w14:textId="4B3B1C30" w:rsidR="003E2F29" w:rsidRDefault="003E2F29" w:rsidP="003E2F29">
      <w:pPr>
        <w:pStyle w:val="ListParagraph"/>
        <w:numPr>
          <w:ilvl w:val="2"/>
          <w:numId w:val="18"/>
        </w:numPr>
        <w:autoSpaceDE w:val="0"/>
        <w:autoSpaceDN w:val="0"/>
        <w:ind w:leftChars="0"/>
        <w:jc w:val="both"/>
        <w:rPr>
          <w:rFonts w:ascii="Calibri" w:hAnsi="Calibri" w:cs="Calibri"/>
          <w:sz w:val="22"/>
        </w:rPr>
      </w:pPr>
      <w:r w:rsidRPr="00CF6AD2">
        <w:rPr>
          <w:rFonts w:ascii="Calibri" w:hAnsi="Calibri" w:cs="Calibri" w:hint="eastAsia"/>
          <w:sz w:val="22"/>
          <w:lang w:val="en-AU"/>
        </w:rPr>
        <w:t xml:space="preserve">Option 2: If </w:t>
      </w:r>
      <w:r w:rsidR="00602966">
        <w:rPr>
          <w:rFonts w:ascii="Calibri" w:hAnsi="Calibri" w:cs="Calibri"/>
          <w:sz w:val="22"/>
          <w:lang w:val="en-AU"/>
        </w:rPr>
        <w:t>‘</w:t>
      </w:r>
      <w:r w:rsidRPr="00CF6AD2">
        <w:rPr>
          <w:rFonts w:ascii="Calibri" w:hAnsi="Calibri" w:cs="Calibri" w:hint="eastAsia"/>
          <w:sz w:val="22"/>
          <w:lang w:val="en-AU"/>
        </w:rPr>
        <w:t>NACK</w:t>
      </w:r>
      <w:r w:rsidR="00602966">
        <w:rPr>
          <w:rFonts w:ascii="Calibri" w:hAnsi="Calibri" w:cs="Calibri"/>
          <w:sz w:val="22"/>
          <w:lang w:val="en-AU"/>
        </w:rPr>
        <w:t>’</w:t>
      </w:r>
      <w:r w:rsidRPr="00CF6AD2">
        <w:rPr>
          <w:rFonts w:ascii="Calibri" w:hAnsi="Calibri" w:cs="Calibri" w:hint="eastAsia"/>
          <w:sz w:val="22"/>
          <w:lang w:val="en-AU"/>
        </w:rPr>
        <w:t xml:space="preserve"> is received, </w:t>
      </w:r>
      <w:r w:rsidRPr="00CF6AD2">
        <w:rPr>
          <w:rFonts w:ascii="Calibri" w:hAnsi="Calibri" w:cs="Calibri" w:hint="eastAsia"/>
          <w:sz w:val="22"/>
        </w:rPr>
        <w:t xml:space="preserve">increase </w:t>
      </w:r>
      <m:oMath>
        <m:r>
          <w:rPr>
            <w:rFonts w:ascii="Cambria Math" w:hAnsi="Cambria Math" w:cs="Calibri"/>
            <w:sz w:val="22"/>
          </w:rPr>
          <m:t>C</m:t>
        </m:r>
        <m:sSub>
          <m:sSubPr>
            <m:ctrlPr>
              <w:rPr>
                <w:rFonts w:ascii="Cambria Math" w:hAnsi="Cambria Math" w:cs="Calibri"/>
                <w:i/>
                <w:iCs/>
                <w:sz w:val="22"/>
              </w:rPr>
            </m:ctrlPr>
          </m:sSubPr>
          <m:e>
            <m:r>
              <w:rPr>
                <w:rFonts w:ascii="Cambria Math" w:hAnsi="Cambria Math" w:cs="Calibri"/>
                <w:sz w:val="22"/>
              </w:rPr>
              <m:t>W</m:t>
            </m:r>
          </m:e>
          <m:sub>
            <m:r>
              <w:rPr>
                <w:rFonts w:ascii="Cambria Math" w:hAnsi="Cambria Math" w:cs="Calibri"/>
                <w:sz w:val="22"/>
              </w:rPr>
              <m:t>p</m:t>
            </m:r>
          </m:sub>
        </m:sSub>
      </m:oMath>
      <w:r w:rsidRPr="00CF6AD2">
        <w:rPr>
          <w:rFonts w:ascii="Calibri" w:hAnsi="Calibri" w:cs="Calibri" w:hint="eastAsia"/>
          <w:sz w:val="22"/>
        </w:rPr>
        <w:t xml:space="preserve"> for every priority class </w:t>
      </w:r>
      <m:oMath>
        <m:r>
          <w:rPr>
            <w:rFonts w:ascii="Cambria Math" w:hAnsi="Cambria Math" w:cs="Calibri"/>
            <w:sz w:val="22"/>
          </w:rPr>
          <m:t>p∈</m:t>
        </m:r>
        <m:d>
          <m:dPr>
            <m:begChr m:val="{"/>
            <m:endChr m:val="}"/>
            <m:ctrlPr>
              <w:rPr>
                <w:rFonts w:ascii="Cambria Math" w:hAnsi="Cambria Math" w:cs="Calibri"/>
                <w:i/>
                <w:iCs/>
                <w:sz w:val="22"/>
              </w:rPr>
            </m:ctrlPr>
          </m:dPr>
          <m:e>
            <m:r>
              <w:rPr>
                <w:rFonts w:ascii="Cambria Math" w:hAnsi="Cambria Math" w:cs="Calibri"/>
                <w:sz w:val="22"/>
              </w:rPr>
              <m:t>1,2,3,4</m:t>
            </m:r>
          </m:e>
        </m:d>
      </m:oMath>
      <w:r w:rsidRPr="00CF6AD2">
        <w:rPr>
          <w:rFonts w:ascii="Calibri" w:hAnsi="Calibri" w:cs="Calibri" w:hint="eastAsia"/>
          <w:sz w:val="22"/>
        </w:rPr>
        <w:t xml:space="preserve"> to the next higher allowed value.</w:t>
      </w:r>
      <w:r w:rsidR="006C23EF">
        <w:rPr>
          <w:rFonts w:ascii="Calibri" w:hAnsi="Calibri" w:cs="Calibri"/>
          <w:sz w:val="22"/>
        </w:rPr>
        <w:t xml:space="preserve"> When no </w:t>
      </w:r>
      <w:r w:rsidR="00602966">
        <w:rPr>
          <w:rFonts w:ascii="Calibri" w:hAnsi="Calibri" w:cs="Calibri"/>
          <w:sz w:val="22"/>
        </w:rPr>
        <w:t>‘</w:t>
      </w:r>
      <w:r w:rsidR="006C23EF">
        <w:rPr>
          <w:rFonts w:ascii="Calibri" w:hAnsi="Calibri" w:cs="Calibri"/>
          <w:sz w:val="22"/>
        </w:rPr>
        <w:t>NACK</w:t>
      </w:r>
      <w:r w:rsidR="00602966">
        <w:rPr>
          <w:rFonts w:ascii="Calibri" w:hAnsi="Calibri" w:cs="Calibri"/>
          <w:sz w:val="22"/>
        </w:rPr>
        <w:t>’</w:t>
      </w:r>
      <w:r w:rsidR="006C23EF">
        <w:rPr>
          <w:rFonts w:ascii="Calibri" w:hAnsi="Calibri" w:cs="Calibri"/>
          <w:sz w:val="22"/>
        </w:rPr>
        <w:t xml:space="preserve"> is received, </w:t>
      </w:r>
      <m:oMath>
        <m:r>
          <w:rPr>
            <w:rFonts w:ascii="Cambria Math" w:hAnsi="Cambria Math" w:cs="Calibri"/>
            <w:sz w:val="22"/>
          </w:rPr>
          <m:t>C</m:t>
        </m:r>
        <m:sSub>
          <m:sSubPr>
            <m:ctrlPr>
              <w:rPr>
                <w:rFonts w:ascii="Cambria Math" w:hAnsi="Cambria Math" w:cs="Calibri"/>
                <w:i/>
                <w:iCs/>
                <w:sz w:val="22"/>
              </w:rPr>
            </m:ctrlPr>
          </m:sSubPr>
          <m:e>
            <m:r>
              <w:rPr>
                <w:rFonts w:ascii="Cambria Math" w:hAnsi="Cambria Math" w:cs="Calibri"/>
                <w:sz w:val="22"/>
              </w:rPr>
              <m:t>W</m:t>
            </m:r>
          </m:e>
          <m:sub>
            <m:r>
              <w:rPr>
                <w:rFonts w:ascii="Cambria Math" w:hAnsi="Cambria Math" w:cs="Calibri"/>
                <w:sz w:val="22"/>
              </w:rPr>
              <m:t>p</m:t>
            </m:r>
          </m:sub>
        </m:sSub>
      </m:oMath>
      <w:r w:rsidR="006C23EF" w:rsidRPr="00273368">
        <w:rPr>
          <w:rFonts w:asciiTheme="minorHAnsi" w:hAnsiTheme="minorHAnsi" w:cstheme="minorHAnsi"/>
          <w:sz w:val="22"/>
          <w:szCs w:val="28"/>
        </w:rPr>
        <w:t xml:space="preserve"> </w:t>
      </w:r>
      <w:r w:rsidR="006C23EF">
        <w:rPr>
          <w:rFonts w:asciiTheme="minorHAnsi" w:hAnsiTheme="minorHAnsi" w:cstheme="minorHAnsi"/>
          <w:sz w:val="22"/>
          <w:szCs w:val="28"/>
        </w:rPr>
        <w:t xml:space="preserve">is reset to </w:t>
      </w:r>
      <m:oMath>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min</m:t>
                </m:r>
                <m:r>
                  <w:rPr>
                    <w:rFonts w:ascii="Cambria Math" w:hAnsi="Cambria Math"/>
                    <w:lang w:val="en-US"/>
                  </w:rPr>
                  <m:t>,</m:t>
                </m:r>
              </m:fName>
              <m:e>
                <m:r>
                  <w:rPr>
                    <w:rFonts w:ascii="Cambria Math" w:hAnsi="Cambria Math"/>
                  </w:rPr>
                  <m:t>p</m:t>
                </m:r>
              </m:e>
            </m:func>
          </m:sub>
        </m:sSub>
      </m:oMath>
      <w:r w:rsidR="006C23EF">
        <w:rPr>
          <w:rFonts w:asciiTheme="minorHAnsi" w:hAnsiTheme="minorHAnsi" w:cstheme="minorHAnsi"/>
        </w:rPr>
        <w:t xml:space="preserve"> </w:t>
      </w:r>
      <w:r w:rsidR="006C23EF" w:rsidRPr="00562ED3">
        <w:rPr>
          <w:rFonts w:asciiTheme="minorHAnsi" w:hAnsiTheme="minorHAnsi" w:cstheme="minorHAnsi"/>
          <w:sz w:val="22"/>
          <w:szCs w:val="22"/>
          <w:lang w:val="en-US"/>
        </w:rPr>
        <w:t xml:space="preserve">for every priority class </w:t>
      </w:r>
      <m:oMath>
        <m:r>
          <w:rPr>
            <w:rFonts w:ascii="Cambria Math" w:hAnsi="Cambria Math" w:cstheme="minorHAnsi"/>
            <w:sz w:val="22"/>
            <w:szCs w:val="22"/>
          </w:rPr>
          <m:t>p∈</m:t>
        </m:r>
        <m:d>
          <m:dPr>
            <m:begChr m:val="{"/>
            <m:endChr m:val="}"/>
            <m:ctrlPr>
              <w:rPr>
                <w:rFonts w:ascii="Cambria Math" w:hAnsi="Cambria Math" w:cstheme="minorHAnsi"/>
                <w:i/>
                <w:sz w:val="22"/>
                <w:szCs w:val="22"/>
              </w:rPr>
            </m:ctrlPr>
          </m:dPr>
          <m:e>
            <m:r>
              <w:rPr>
                <w:rFonts w:ascii="Cambria Math" w:hAnsi="Cambria Math" w:cstheme="minorHAnsi"/>
                <w:sz w:val="22"/>
                <w:szCs w:val="22"/>
              </w:rPr>
              <m:t>1,2,3,4</m:t>
            </m:r>
          </m:e>
        </m:d>
      </m:oMath>
      <w:r w:rsidR="006C23EF">
        <w:rPr>
          <w:rFonts w:ascii="Calibri" w:hAnsi="Calibri" w:cs="Calibri"/>
          <w:sz w:val="22"/>
        </w:rPr>
        <w:t xml:space="preserve"> </w:t>
      </w:r>
    </w:p>
    <w:p w14:paraId="4C9F1471" w14:textId="2790799E" w:rsidR="00CF6AD2" w:rsidRDefault="00CF6AD2">
      <w:pPr>
        <w:pStyle w:val="ListParagraph"/>
        <w:numPr>
          <w:ilvl w:val="1"/>
          <w:numId w:val="18"/>
        </w:numPr>
        <w:autoSpaceDE w:val="0"/>
        <w:autoSpaceDN w:val="0"/>
        <w:ind w:leftChars="0"/>
        <w:jc w:val="both"/>
        <w:rPr>
          <w:rFonts w:ascii="Calibri" w:hAnsi="Calibri" w:cs="Calibri"/>
          <w:sz w:val="22"/>
        </w:rPr>
      </w:pPr>
      <w:r w:rsidRPr="00CF6AD2">
        <w:rPr>
          <w:rFonts w:ascii="Calibri" w:hAnsi="Calibri" w:cs="Calibri" w:hint="eastAsia"/>
          <w:sz w:val="22"/>
        </w:rPr>
        <w:t xml:space="preserve">FFS the case when UE is operating </w:t>
      </w:r>
      <w:r w:rsidR="00602966">
        <w:rPr>
          <w:rFonts w:ascii="Calibri" w:hAnsi="Calibri" w:cs="Calibri"/>
          <w:sz w:val="22"/>
        </w:rPr>
        <w:t>with</w:t>
      </w:r>
      <w:r w:rsidRPr="00CF6AD2">
        <w:rPr>
          <w:rFonts w:ascii="Calibri" w:hAnsi="Calibri" w:cs="Calibri" w:hint="eastAsia"/>
          <w:sz w:val="22"/>
        </w:rPr>
        <w:t xml:space="preserve"> different SL-HARQ feedback schemes (e.g., UE has concurrent broadcast transmission + unicast with SL-HARQ enabled, or GC option 1 + GC option 2, etc)</w:t>
      </w:r>
    </w:p>
    <w:p w14:paraId="5467CA3D" w14:textId="3BE59C1F" w:rsidR="001D6E06" w:rsidRDefault="001D6E06" w:rsidP="001D6E06">
      <w:pPr>
        <w:autoSpaceDE w:val="0"/>
        <w:autoSpaceDN w:val="0"/>
        <w:jc w:val="both"/>
        <w:rPr>
          <w:rFonts w:ascii="Calibri" w:hAnsi="Calibri" w:cs="Calibri"/>
          <w:sz w:val="22"/>
        </w:rPr>
      </w:pPr>
    </w:p>
    <w:tbl>
      <w:tblPr>
        <w:tblStyle w:val="TableGrid"/>
        <w:tblW w:w="9631" w:type="dxa"/>
        <w:tblLayout w:type="fixed"/>
        <w:tblLook w:val="04A0" w:firstRow="1" w:lastRow="0" w:firstColumn="1" w:lastColumn="0" w:noHBand="0" w:noVBand="1"/>
      </w:tblPr>
      <w:tblGrid>
        <w:gridCol w:w="1555"/>
        <w:gridCol w:w="8076"/>
      </w:tblGrid>
      <w:tr w:rsidR="00EC21DD" w14:paraId="240ED96A" w14:textId="77777777" w:rsidTr="006B2419">
        <w:tc>
          <w:tcPr>
            <w:tcW w:w="1555" w:type="dxa"/>
          </w:tcPr>
          <w:p w14:paraId="766930C1" w14:textId="77777777" w:rsidR="00EC21DD" w:rsidRDefault="00EC21DD" w:rsidP="006B2419">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8076" w:type="dxa"/>
          </w:tcPr>
          <w:p w14:paraId="3C8060D0" w14:textId="77777777" w:rsidR="00EC21DD" w:rsidRDefault="00EC21DD" w:rsidP="006B2419">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EE4559" w14:paraId="1C131C41" w14:textId="77777777" w:rsidTr="006B2419">
        <w:tc>
          <w:tcPr>
            <w:tcW w:w="1555" w:type="dxa"/>
          </w:tcPr>
          <w:p w14:paraId="5499F075" w14:textId="77777777" w:rsidR="00EE4559" w:rsidRDefault="00EE4559" w:rsidP="006B2419">
            <w:pPr>
              <w:pStyle w:val="0Maintext"/>
              <w:spacing w:after="0" w:afterAutospacing="0"/>
              <w:ind w:firstLine="0"/>
            </w:pPr>
            <w:r>
              <w:t>IDCC</w:t>
            </w:r>
          </w:p>
        </w:tc>
        <w:tc>
          <w:tcPr>
            <w:tcW w:w="8076" w:type="dxa"/>
          </w:tcPr>
          <w:p w14:paraId="30AA9B43" w14:textId="77777777" w:rsidR="00EE4559" w:rsidRDefault="00EE4559" w:rsidP="006B2419">
            <w:pPr>
              <w:pStyle w:val="0Maintext"/>
              <w:spacing w:after="0" w:afterAutospacing="0"/>
              <w:ind w:firstLine="0"/>
            </w:pPr>
            <w:r>
              <w:t xml:space="preserve">We support the proposal with Option 2 for NACK-only groupcast. </w:t>
            </w:r>
          </w:p>
        </w:tc>
      </w:tr>
      <w:tr w:rsidR="00EE4559" w14:paraId="5E6A60BE" w14:textId="77777777" w:rsidTr="006B2419">
        <w:tc>
          <w:tcPr>
            <w:tcW w:w="1555" w:type="dxa"/>
          </w:tcPr>
          <w:p w14:paraId="242FA4F5" w14:textId="77777777" w:rsidR="00EE4559" w:rsidRDefault="00EE4559" w:rsidP="00EE4559">
            <w:pPr>
              <w:pStyle w:val="0Maintext"/>
              <w:spacing w:after="0" w:afterAutospacing="0"/>
              <w:ind w:firstLine="0"/>
            </w:pPr>
            <w:r>
              <w:t>Qualcomm</w:t>
            </w:r>
          </w:p>
        </w:tc>
        <w:tc>
          <w:tcPr>
            <w:tcW w:w="8076" w:type="dxa"/>
          </w:tcPr>
          <w:p w14:paraId="52D81F73" w14:textId="77777777" w:rsidR="00EE4559" w:rsidRDefault="00EE4559" w:rsidP="00EE4559">
            <w:pPr>
              <w:autoSpaceDE w:val="0"/>
              <w:autoSpaceDN w:val="0"/>
              <w:jc w:val="both"/>
              <w:rPr>
                <w:rFonts w:ascii="Calibri" w:hAnsi="Calibri" w:cs="Calibri"/>
                <w:b/>
                <w:bCs/>
                <w:sz w:val="22"/>
              </w:rPr>
            </w:pPr>
            <w:r>
              <w:rPr>
                <w:rFonts w:ascii="Calibri" w:hAnsi="Calibri" w:cs="Calibri"/>
                <w:b/>
                <w:bCs/>
                <w:sz w:val="22"/>
              </w:rPr>
              <w:t>We have proposed modifications:</w:t>
            </w:r>
          </w:p>
          <w:p w14:paraId="483B4D74" w14:textId="77777777" w:rsidR="00EE4559" w:rsidRDefault="00EE4559" w:rsidP="00EE4559">
            <w:pPr>
              <w:autoSpaceDE w:val="0"/>
              <w:autoSpaceDN w:val="0"/>
              <w:jc w:val="both"/>
              <w:rPr>
                <w:rFonts w:ascii="Calibri" w:hAnsi="Calibri" w:cs="Calibri"/>
                <w:sz w:val="22"/>
              </w:rPr>
            </w:pPr>
            <w:r>
              <w:rPr>
                <w:rFonts w:ascii="Calibri" w:hAnsi="Calibri" w:cs="Calibri"/>
                <w:sz w:val="22"/>
              </w:rPr>
              <w:t xml:space="preserve">When HARQ-FB is enabled in unicast and GC opt 2, receiving either an Ack or a Nack means that SCI-2 over PSSCH has been correctly decoded. The absence of either Ack/Nack is used to double the CW. In our view this is a more correct determination of CW update. </w:t>
            </w:r>
          </w:p>
          <w:p w14:paraId="26172A57" w14:textId="77777777" w:rsidR="00EE4559" w:rsidRDefault="00EE4559" w:rsidP="00EE4559">
            <w:pPr>
              <w:autoSpaceDE w:val="0"/>
              <w:autoSpaceDN w:val="0"/>
              <w:jc w:val="both"/>
              <w:rPr>
                <w:rFonts w:ascii="Calibri" w:hAnsi="Calibri" w:cs="Calibri"/>
                <w:b/>
                <w:bCs/>
                <w:sz w:val="22"/>
              </w:rPr>
            </w:pPr>
            <w:r>
              <w:rPr>
                <w:rFonts w:ascii="Calibri" w:hAnsi="Calibri" w:cs="Calibri"/>
                <w:b/>
                <w:bCs/>
                <w:sz w:val="22"/>
              </w:rPr>
              <w:t>We propose to update the proposal as follows:</w:t>
            </w:r>
          </w:p>
          <w:p w14:paraId="61C02538" w14:textId="77777777" w:rsidR="00EE4559" w:rsidRDefault="00EE4559">
            <w:pPr>
              <w:pStyle w:val="ListParagraph"/>
              <w:numPr>
                <w:ilvl w:val="0"/>
                <w:numId w:val="37"/>
              </w:numPr>
              <w:autoSpaceDE w:val="0"/>
              <w:autoSpaceDN w:val="0"/>
              <w:spacing w:line="259" w:lineRule="auto"/>
              <w:ind w:leftChars="0"/>
              <w:jc w:val="both"/>
              <w:rPr>
                <w:rFonts w:ascii="Calibri" w:hAnsi="Calibri" w:cs="Calibri"/>
                <w:sz w:val="22"/>
              </w:rPr>
            </w:pPr>
            <w:r>
              <w:rPr>
                <w:rFonts w:ascii="Calibri" w:hAnsi="Calibri" w:cs="Calibri"/>
                <w:sz w:val="22"/>
              </w:rPr>
              <w:t>Add the condition for unicast based on “</w:t>
            </w:r>
            <w:r>
              <w:rPr>
                <w:rFonts w:ascii="Calibri" w:hAnsi="Calibri" w:cs="Calibri"/>
                <w:color w:val="FF0000"/>
                <w:sz w:val="22"/>
              </w:rPr>
              <w:t>w</w:t>
            </w:r>
            <w:r>
              <w:rPr>
                <w:rFonts w:ascii="Calibri" w:hAnsi="Calibri" w:cs="Calibri" w:hint="eastAsia"/>
                <w:color w:val="FF0000"/>
                <w:sz w:val="22"/>
                <w:lang w:val="en-AU"/>
              </w:rPr>
              <w:t>hen a</w:t>
            </w:r>
            <w:r>
              <w:rPr>
                <w:rFonts w:ascii="Calibri" w:hAnsi="Calibri" w:cs="Calibri"/>
                <w:color w:val="FF0000"/>
                <w:sz w:val="22"/>
                <w:lang w:val="en-AU"/>
              </w:rPr>
              <w:t>t least one</w:t>
            </w:r>
            <w:r>
              <w:rPr>
                <w:rFonts w:ascii="Calibri" w:hAnsi="Calibri" w:cs="Calibri" w:hint="eastAsia"/>
                <w:color w:val="FF0000"/>
                <w:sz w:val="22"/>
                <w:lang w:val="en-AU"/>
              </w:rPr>
              <w:t xml:space="preserve"> SL HARQ-ACK </w:t>
            </w:r>
            <w:r>
              <w:rPr>
                <w:rFonts w:ascii="Calibri" w:hAnsi="Calibri" w:cs="Calibri"/>
                <w:color w:val="FF0000"/>
                <w:sz w:val="22"/>
                <w:lang w:val="en-AU"/>
              </w:rPr>
              <w:t>is received</w:t>
            </w:r>
            <w:r>
              <w:rPr>
                <w:rFonts w:ascii="Calibri" w:hAnsi="Calibri" w:cs="Calibri"/>
                <w:sz w:val="22"/>
              </w:rPr>
              <w:t>”</w:t>
            </w:r>
          </w:p>
          <w:p w14:paraId="2360B87A" w14:textId="77777777" w:rsidR="00EE4559" w:rsidRDefault="00EE4559">
            <w:pPr>
              <w:pStyle w:val="ListParagraph"/>
              <w:numPr>
                <w:ilvl w:val="0"/>
                <w:numId w:val="37"/>
              </w:numPr>
              <w:autoSpaceDE w:val="0"/>
              <w:autoSpaceDN w:val="0"/>
              <w:spacing w:line="259" w:lineRule="auto"/>
              <w:ind w:leftChars="0"/>
              <w:jc w:val="both"/>
              <w:rPr>
                <w:rFonts w:ascii="Calibri" w:hAnsi="Calibri" w:cs="Calibri"/>
                <w:sz w:val="22"/>
              </w:rPr>
            </w:pPr>
            <w:r>
              <w:rPr>
                <w:rFonts w:ascii="Calibri" w:hAnsi="Calibri" w:cs="Calibri"/>
                <w:sz w:val="22"/>
              </w:rPr>
              <w:t>Replace GC Opt2 condition based on “</w:t>
            </w:r>
            <w:r>
              <w:rPr>
                <w:rFonts w:ascii="Calibri" w:hAnsi="Calibri" w:cs="Calibri" w:hint="eastAsia"/>
                <w:sz w:val="22"/>
                <w:lang w:val="en-AU"/>
              </w:rPr>
              <w:t xml:space="preserve">ratio of received SL HARQ-ACK feedbacks is </w:t>
            </w:r>
            <w:r>
              <w:rPr>
                <w:rFonts w:ascii="Calibri" w:hAnsi="Calibri" w:cs="Calibri" w:hint="eastAsia"/>
                <w:sz w:val="22"/>
                <w:lang w:val="en-AU"/>
              </w:rPr>
              <w:t>‘</w:t>
            </w:r>
            <w:r>
              <w:rPr>
                <w:rFonts w:ascii="Calibri" w:hAnsi="Calibri" w:cs="Calibri" w:hint="eastAsia"/>
                <w:sz w:val="22"/>
                <w:lang w:val="en-AU"/>
              </w:rPr>
              <w:t>ACK</w:t>
            </w:r>
            <w:r>
              <w:rPr>
                <w:rFonts w:ascii="Calibri" w:hAnsi="Calibri" w:cs="Calibri" w:hint="eastAsia"/>
                <w:sz w:val="22"/>
                <w:lang w:val="en-AU"/>
              </w:rPr>
              <w:t>’</w:t>
            </w:r>
            <w:r>
              <w:rPr>
                <w:rFonts w:ascii="Calibri" w:hAnsi="Calibri" w:cs="Calibri"/>
                <w:sz w:val="22"/>
                <w:lang w:val="en-AU"/>
              </w:rPr>
              <w:t>”</w:t>
            </w:r>
            <w:r>
              <w:rPr>
                <w:rFonts w:ascii="Calibri" w:hAnsi="Calibri" w:cs="Calibri" w:hint="eastAsia"/>
                <w:sz w:val="22"/>
                <w:lang w:val="en-AU"/>
              </w:rPr>
              <w:t xml:space="preserve"> </w:t>
            </w:r>
            <w:r>
              <w:rPr>
                <w:rFonts w:ascii="Calibri" w:hAnsi="Calibri" w:cs="Calibri"/>
                <w:sz w:val="22"/>
                <w:lang w:val="en-AU"/>
              </w:rPr>
              <w:t>with “</w:t>
            </w:r>
            <w:r>
              <w:rPr>
                <w:rFonts w:ascii="Calibri" w:hAnsi="Calibri" w:cs="Calibri" w:hint="eastAsia"/>
                <w:sz w:val="22"/>
                <w:lang w:val="en-AU"/>
              </w:rPr>
              <w:t xml:space="preserve">ratio of </w:t>
            </w:r>
            <w:r>
              <w:rPr>
                <w:rFonts w:ascii="Calibri" w:hAnsi="Calibri" w:cs="Calibri"/>
                <w:sz w:val="22"/>
                <w:lang w:val="en-AU"/>
              </w:rPr>
              <w:t>received</w:t>
            </w:r>
            <w:r>
              <w:rPr>
                <w:rFonts w:ascii="Calibri" w:hAnsi="Calibri" w:cs="Calibri" w:hint="eastAsia"/>
                <w:sz w:val="22"/>
                <w:lang w:val="en-AU"/>
              </w:rPr>
              <w:t xml:space="preserve"> SL HARQ-ACK</w:t>
            </w:r>
            <w:r>
              <w:rPr>
                <w:rFonts w:ascii="Calibri" w:hAnsi="Calibri" w:cs="Calibri"/>
                <w:sz w:val="22"/>
                <w:lang w:val="en-AU"/>
              </w:rPr>
              <w:t xml:space="preserve"> </w:t>
            </w:r>
            <w:r>
              <w:rPr>
                <w:rFonts w:ascii="Calibri" w:hAnsi="Calibri" w:cs="Calibri" w:hint="eastAsia"/>
                <w:sz w:val="22"/>
                <w:lang w:val="en-AU"/>
              </w:rPr>
              <w:t>feedbacks</w:t>
            </w:r>
            <w:r>
              <w:rPr>
                <w:rFonts w:ascii="Calibri" w:hAnsi="Calibri" w:cs="Calibri" w:hint="eastAsia"/>
                <w:strike/>
                <w:color w:val="FF0000"/>
                <w:sz w:val="22"/>
                <w:lang w:val="en-AU"/>
              </w:rPr>
              <w:t xml:space="preserve"> is </w:t>
            </w:r>
            <w:r>
              <w:rPr>
                <w:rFonts w:ascii="Calibri" w:hAnsi="Calibri" w:cs="Calibri" w:hint="eastAsia"/>
                <w:strike/>
                <w:color w:val="FF0000"/>
                <w:sz w:val="22"/>
                <w:lang w:val="en-AU"/>
              </w:rPr>
              <w:t>‘</w:t>
            </w:r>
            <w:r>
              <w:rPr>
                <w:rFonts w:ascii="Calibri" w:hAnsi="Calibri" w:cs="Calibri" w:hint="eastAsia"/>
                <w:strike/>
                <w:color w:val="FF0000"/>
                <w:sz w:val="22"/>
                <w:lang w:val="en-AU"/>
              </w:rPr>
              <w:t>ACK</w:t>
            </w:r>
            <w:r>
              <w:rPr>
                <w:rFonts w:ascii="Calibri" w:hAnsi="Calibri" w:cs="Calibri" w:hint="eastAsia"/>
                <w:strike/>
                <w:color w:val="FF0000"/>
                <w:sz w:val="22"/>
                <w:lang w:val="en-AU"/>
              </w:rPr>
              <w:t>’</w:t>
            </w:r>
            <w:r>
              <w:rPr>
                <w:rFonts w:ascii="Calibri" w:hAnsi="Calibri" w:cs="Calibri"/>
                <w:sz w:val="22"/>
                <w:lang w:val="en-AU"/>
              </w:rPr>
              <w:t>”</w:t>
            </w:r>
          </w:p>
          <w:p w14:paraId="5091DFB5" w14:textId="77777777" w:rsidR="00EE4559" w:rsidRDefault="00EE4559" w:rsidP="00EE4559">
            <w:pPr>
              <w:autoSpaceDE w:val="0"/>
              <w:autoSpaceDN w:val="0"/>
              <w:jc w:val="both"/>
              <w:rPr>
                <w:rFonts w:ascii="Calibri" w:hAnsi="Calibri" w:cs="Calibri"/>
                <w:sz w:val="22"/>
              </w:rPr>
            </w:pPr>
          </w:p>
          <w:p w14:paraId="07401639" w14:textId="77777777" w:rsidR="00EE4559" w:rsidRDefault="00EE4559" w:rsidP="00EE4559">
            <w:pPr>
              <w:autoSpaceDE w:val="0"/>
              <w:autoSpaceDN w:val="0"/>
              <w:jc w:val="both"/>
              <w:rPr>
                <w:rFonts w:ascii="Calibri" w:hAnsi="Calibri" w:cs="Calibri"/>
                <w:sz w:val="22"/>
              </w:rPr>
            </w:pPr>
            <w:r>
              <w:rPr>
                <w:rFonts w:ascii="Calibri" w:hAnsi="Calibri" w:cs="Calibri"/>
                <w:b/>
                <w:bCs/>
                <w:sz w:val="22"/>
                <w:highlight w:val="yellow"/>
              </w:rPr>
              <w:t>Proposal 2-2 (I):</w:t>
            </w:r>
            <w:r>
              <w:rPr>
                <w:rFonts w:ascii="Calibri" w:hAnsi="Calibri" w:cs="Calibri"/>
                <w:b/>
                <w:bCs/>
                <w:sz w:val="22"/>
              </w:rPr>
              <w:t xml:space="preserve"> </w:t>
            </w:r>
          </w:p>
          <w:p w14:paraId="40A138A9" w14:textId="77777777" w:rsidR="00EE4559" w:rsidRDefault="00EE4559" w:rsidP="00EE4559">
            <w:pPr>
              <w:pStyle w:val="ListParagraph"/>
              <w:numPr>
                <w:ilvl w:val="0"/>
                <w:numId w:val="18"/>
              </w:numPr>
              <w:autoSpaceDE w:val="0"/>
              <w:autoSpaceDN w:val="0"/>
              <w:spacing w:line="259" w:lineRule="auto"/>
              <w:ind w:leftChars="0"/>
              <w:jc w:val="both"/>
              <w:rPr>
                <w:rFonts w:ascii="Calibri" w:hAnsi="Calibri" w:cs="Calibri"/>
                <w:sz w:val="22"/>
              </w:rPr>
            </w:pPr>
            <w:r>
              <w:rPr>
                <w:rFonts w:ascii="Calibri" w:hAnsi="Calibri" w:cs="Calibri"/>
                <w:sz w:val="22"/>
              </w:rPr>
              <w:t>In Type 1 SL channel access procedure,</w:t>
            </w:r>
          </w:p>
          <w:p w14:paraId="04078ED4" w14:textId="77777777" w:rsidR="00EE4559" w:rsidRDefault="00EE4559" w:rsidP="00EE4559">
            <w:pPr>
              <w:pStyle w:val="ListParagraph"/>
              <w:numPr>
                <w:ilvl w:val="1"/>
                <w:numId w:val="18"/>
              </w:numPr>
              <w:autoSpaceDE w:val="0"/>
              <w:autoSpaceDN w:val="0"/>
              <w:spacing w:line="259" w:lineRule="auto"/>
              <w:ind w:leftChars="0"/>
              <w:jc w:val="both"/>
              <w:rPr>
                <w:rFonts w:ascii="Calibri" w:hAnsi="Calibri" w:cs="Calibri"/>
                <w:sz w:val="22"/>
              </w:rPr>
            </w:pPr>
            <w:r>
              <w:rPr>
                <w:rFonts w:ascii="Calibri" w:hAnsi="Calibri" w:cs="Calibri"/>
                <w:sz w:val="22"/>
              </w:rPr>
              <w:t>CW adjustment when SL-HARQ feedback is disabled in SCI:</w:t>
            </w:r>
          </w:p>
          <w:p w14:paraId="30FF0FEB" w14:textId="77777777" w:rsidR="00EE4559" w:rsidRDefault="00EE4559" w:rsidP="00EE4559">
            <w:pPr>
              <w:pStyle w:val="ListParagraph"/>
              <w:numPr>
                <w:ilvl w:val="2"/>
                <w:numId w:val="18"/>
              </w:numPr>
              <w:autoSpaceDE w:val="0"/>
              <w:autoSpaceDN w:val="0"/>
              <w:spacing w:line="259" w:lineRule="auto"/>
              <w:ind w:leftChars="0"/>
              <w:jc w:val="both"/>
              <w:rPr>
                <w:rFonts w:ascii="Calibri" w:hAnsi="Calibri" w:cs="Calibri"/>
                <w:sz w:val="22"/>
              </w:rPr>
            </w:pPr>
            <w:r>
              <w:rPr>
                <w:rFonts w:ascii="Calibri" w:hAnsi="Calibri" w:cs="Calibri" w:hint="eastAsia"/>
                <w:sz w:val="22"/>
                <w:lang w:val="en-AU"/>
              </w:rPr>
              <w:t xml:space="preserve">For every priority class </w:t>
            </w:r>
            <m:oMath>
              <m:r>
                <w:rPr>
                  <w:rFonts w:ascii="Cambria Math" w:hAnsi="Cambria Math" w:cs="Calibri"/>
                  <w:sz w:val="22"/>
                </w:rPr>
                <m:t>p∈</m:t>
              </m:r>
              <m:d>
                <m:dPr>
                  <m:begChr m:val="{"/>
                  <m:endChr m:val="}"/>
                  <m:ctrlPr>
                    <w:rPr>
                      <w:rFonts w:ascii="Cambria Math" w:hAnsi="Cambria Math" w:cs="Calibri"/>
                      <w:i/>
                      <w:iCs/>
                      <w:sz w:val="22"/>
                    </w:rPr>
                  </m:ctrlPr>
                </m:dPr>
                <m:e>
                  <m:r>
                    <w:rPr>
                      <w:rFonts w:ascii="Cambria Math" w:hAnsi="Cambria Math" w:cs="Calibri"/>
                      <w:sz w:val="22"/>
                    </w:rPr>
                    <m:t>1,2,3,4</m:t>
                  </m:r>
                </m:e>
              </m:d>
            </m:oMath>
            <w:r>
              <w:rPr>
                <w:rFonts w:ascii="Calibri" w:hAnsi="Calibri" w:cs="Calibri" w:hint="eastAsia"/>
                <w:sz w:val="22"/>
                <w:lang w:val="en-AU"/>
              </w:rPr>
              <w:t>,</w:t>
            </w:r>
            <w:r>
              <w:rPr>
                <w:rFonts w:ascii="Calibri" w:hAnsi="Calibri" w:cs="Calibri"/>
                <w:i/>
                <w:iCs/>
                <w:sz w:val="22"/>
              </w:rPr>
              <w:t xml:space="preserve"> </w:t>
            </w:r>
            <w:r>
              <w:rPr>
                <w:rFonts w:ascii="Calibri" w:hAnsi="Calibri" w:cs="Calibri"/>
                <w:sz w:val="22"/>
              </w:rPr>
              <w:t>use the latest</w:t>
            </w:r>
            <w:r>
              <w:rPr>
                <w:rFonts w:ascii="Calibri" w:hAnsi="Calibri" w:cs="Calibri" w:hint="eastAsia"/>
                <w:sz w:val="22"/>
              </w:rPr>
              <w:t xml:space="preserve"> </w:t>
            </w:r>
            <m:oMath>
              <m:r>
                <w:rPr>
                  <w:rFonts w:ascii="Cambria Math" w:hAnsi="Cambria Math" w:cs="Calibri"/>
                  <w:sz w:val="22"/>
                </w:rPr>
                <m:t>C</m:t>
              </m:r>
              <m:sSub>
                <m:sSubPr>
                  <m:ctrlPr>
                    <w:rPr>
                      <w:rFonts w:ascii="Cambria Math" w:hAnsi="Cambria Math" w:cs="Calibri"/>
                      <w:i/>
                      <w:iCs/>
                      <w:sz w:val="22"/>
                    </w:rPr>
                  </m:ctrlPr>
                </m:sSubPr>
                <m:e>
                  <m:r>
                    <w:rPr>
                      <w:rFonts w:ascii="Cambria Math" w:hAnsi="Cambria Math" w:cs="Calibri"/>
                      <w:sz w:val="22"/>
                    </w:rPr>
                    <m:t>W</m:t>
                  </m:r>
                </m:e>
                <m:sub>
                  <m:r>
                    <w:rPr>
                      <w:rFonts w:ascii="Cambria Math" w:hAnsi="Cambria Math" w:cs="Calibri"/>
                      <w:sz w:val="22"/>
                    </w:rPr>
                    <m:t>p</m:t>
                  </m:r>
                </m:sub>
              </m:sSub>
            </m:oMath>
            <w:r>
              <w:rPr>
                <w:rFonts w:ascii="Calibri" w:hAnsi="Calibri" w:cs="Calibri" w:hint="eastAsia"/>
                <w:sz w:val="22"/>
              </w:rPr>
              <w:t xml:space="preserve"> </w:t>
            </w:r>
            <w:r>
              <w:rPr>
                <w:rFonts w:ascii="Calibri" w:hAnsi="Calibri" w:cs="Calibri"/>
                <w:sz w:val="22"/>
              </w:rPr>
              <w:t xml:space="preserve">used for any SL transmissions on the channel using Type 1 channel access procedures associated with the channel access priority class </w:t>
            </w:r>
            <m:oMath>
              <m:r>
                <w:rPr>
                  <w:rFonts w:ascii="Cambria Math" w:hAnsi="Cambria Math" w:cs="Calibri"/>
                  <w:sz w:val="22"/>
                </w:rPr>
                <m:t>p</m:t>
              </m:r>
            </m:oMath>
            <w:r>
              <w:rPr>
                <w:rFonts w:ascii="Calibri" w:hAnsi="Calibri" w:cs="Calibri" w:hint="eastAsia"/>
                <w:sz w:val="22"/>
              </w:rPr>
              <w:t>.</w:t>
            </w:r>
            <w:r>
              <w:rPr>
                <w:rFonts w:ascii="Calibri" w:hAnsi="Calibri" w:cs="Calibri"/>
                <w:sz w:val="22"/>
              </w:rPr>
              <w:t xml:space="preserve"> </w:t>
            </w:r>
            <w:r>
              <w:rPr>
                <w:rFonts w:asciiTheme="minorHAnsi" w:hAnsiTheme="minorHAnsi" w:cstheme="minorHAnsi"/>
                <w:sz w:val="22"/>
                <w:szCs w:val="28"/>
              </w:rPr>
              <w:t xml:space="preserve">If the corresponding channel access priority class </w:t>
            </w:r>
            <m:oMath>
              <m:r>
                <w:rPr>
                  <w:rFonts w:ascii="Cambria Math" w:hAnsi="Cambria Math" w:cstheme="minorHAnsi"/>
                  <w:sz w:val="22"/>
                  <w:szCs w:val="28"/>
                </w:rPr>
                <m:t>p</m:t>
              </m:r>
            </m:oMath>
            <w:r>
              <w:rPr>
                <w:rFonts w:asciiTheme="minorHAnsi" w:hAnsiTheme="minorHAnsi" w:cstheme="minorHAnsi"/>
                <w:sz w:val="22"/>
                <w:szCs w:val="28"/>
              </w:rPr>
              <w:t xml:space="preserve">  has not been used for any SL transmissions on the channel, </w:t>
            </w:r>
            <m:oMath>
              <m:r>
                <w:rPr>
                  <w:rFonts w:ascii="Cambria Math" w:hAnsi="Cambria Math" w:cstheme="minorHAnsi"/>
                  <w:sz w:val="22"/>
                  <w:szCs w:val="28"/>
                </w:rPr>
                <m:t>C</m:t>
              </m:r>
              <m:sSub>
                <m:sSubPr>
                  <m:ctrlPr>
                    <w:rPr>
                      <w:rFonts w:ascii="Cambria Math" w:hAnsi="Cambria Math" w:cstheme="minorHAnsi"/>
                      <w:i/>
                      <w:sz w:val="22"/>
                      <w:szCs w:val="28"/>
                    </w:rPr>
                  </m:ctrlPr>
                </m:sSubPr>
                <m:e>
                  <m:r>
                    <w:rPr>
                      <w:rFonts w:ascii="Cambria Math" w:hAnsi="Cambria Math" w:cstheme="minorHAnsi"/>
                      <w:sz w:val="22"/>
                      <w:szCs w:val="28"/>
                    </w:rPr>
                    <m:t>W</m:t>
                  </m:r>
                </m:e>
                <m:sub>
                  <m:r>
                    <w:rPr>
                      <w:rFonts w:ascii="Cambria Math" w:hAnsi="Cambria Math" w:cstheme="minorHAnsi"/>
                      <w:sz w:val="22"/>
                      <w:szCs w:val="28"/>
                    </w:rPr>
                    <m:t>p</m:t>
                  </m:r>
                </m:sub>
              </m:sSub>
              <m:r>
                <w:rPr>
                  <w:rFonts w:ascii="Cambria Math" w:hAnsi="Cambria Math" w:cstheme="minorHAnsi"/>
                  <w:sz w:val="22"/>
                  <w:szCs w:val="28"/>
                  <w:lang w:val="en-US"/>
                </w:rPr>
                <m:t>=</m:t>
              </m:r>
              <m:r>
                <w:rPr>
                  <w:rFonts w:ascii="Cambria Math" w:hAnsi="Cambria Math" w:cstheme="minorHAnsi"/>
                  <w:sz w:val="22"/>
                  <w:szCs w:val="28"/>
                </w:rPr>
                <m:t>C</m:t>
              </m:r>
              <m:sSub>
                <m:sSubPr>
                  <m:ctrlPr>
                    <w:rPr>
                      <w:rFonts w:ascii="Cambria Math" w:hAnsi="Cambria Math" w:cstheme="minorHAnsi"/>
                      <w:i/>
                      <w:sz w:val="22"/>
                      <w:szCs w:val="28"/>
                    </w:rPr>
                  </m:ctrlPr>
                </m:sSubPr>
                <m:e>
                  <m:r>
                    <w:rPr>
                      <w:rFonts w:ascii="Cambria Math" w:hAnsi="Cambria Math" w:cstheme="minorHAnsi"/>
                      <w:sz w:val="22"/>
                      <w:szCs w:val="28"/>
                    </w:rPr>
                    <m:t>W</m:t>
                  </m:r>
                </m:e>
                <m:sub>
                  <m:func>
                    <m:funcPr>
                      <m:ctrlPr>
                        <w:rPr>
                          <w:rFonts w:ascii="Cambria Math" w:hAnsi="Cambria Math" w:cstheme="minorHAnsi"/>
                          <w:i/>
                          <w:sz w:val="22"/>
                          <w:szCs w:val="28"/>
                        </w:rPr>
                      </m:ctrlPr>
                    </m:funcPr>
                    <m:fName>
                      <m:r>
                        <w:rPr>
                          <w:rFonts w:ascii="Cambria Math" w:hAnsi="Cambria Math" w:cstheme="minorHAnsi"/>
                          <w:sz w:val="22"/>
                          <w:szCs w:val="28"/>
                        </w:rPr>
                        <m:t>min</m:t>
                      </m:r>
                      <m:r>
                        <w:rPr>
                          <w:rFonts w:ascii="Cambria Math" w:hAnsi="Cambria Math" w:cstheme="minorHAnsi"/>
                          <w:sz w:val="22"/>
                          <w:szCs w:val="28"/>
                          <w:lang w:val="en-US"/>
                        </w:rPr>
                        <m:t>,</m:t>
                      </m:r>
                    </m:fName>
                    <m:e>
                      <m:r>
                        <w:rPr>
                          <w:rFonts w:ascii="Cambria Math" w:hAnsi="Cambria Math" w:cstheme="minorHAnsi"/>
                          <w:sz w:val="22"/>
                          <w:szCs w:val="28"/>
                        </w:rPr>
                        <m:t>p</m:t>
                      </m:r>
                    </m:e>
                  </m:func>
                </m:sub>
              </m:sSub>
            </m:oMath>
            <w:r>
              <w:rPr>
                <w:rFonts w:asciiTheme="minorHAnsi" w:hAnsiTheme="minorHAnsi" w:cstheme="minorHAnsi"/>
                <w:sz w:val="22"/>
                <w:szCs w:val="28"/>
              </w:rPr>
              <w:t xml:space="preserve"> is used.</w:t>
            </w:r>
          </w:p>
          <w:p w14:paraId="441266FD" w14:textId="77777777" w:rsidR="00EE4559" w:rsidRDefault="00EE4559" w:rsidP="00EE4559">
            <w:pPr>
              <w:pStyle w:val="ListParagraph"/>
              <w:numPr>
                <w:ilvl w:val="1"/>
                <w:numId w:val="18"/>
              </w:numPr>
              <w:autoSpaceDE w:val="0"/>
              <w:autoSpaceDN w:val="0"/>
              <w:spacing w:line="259" w:lineRule="auto"/>
              <w:ind w:leftChars="0"/>
              <w:jc w:val="both"/>
              <w:rPr>
                <w:rFonts w:ascii="Calibri" w:hAnsi="Calibri" w:cs="Calibri"/>
                <w:color w:val="FF0000"/>
                <w:sz w:val="22"/>
              </w:rPr>
            </w:pPr>
            <w:r>
              <w:rPr>
                <w:rFonts w:ascii="Calibri" w:hAnsi="Calibri" w:cs="Calibri"/>
                <w:color w:val="FF0000"/>
                <w:sz w:val="22"/>
              </w:rPr>
              <w:t>CW adjustment for unicast:</w:t>
            </w:r>
          </w:p>
          <w:p w14:paraId="1105CFBB" w14:textId="77777777" w:rsidR="00EE4559" w:rsidRDefault="00EE4559" w:rsidP="00EE4559">
            <w:pPr>
              <w:pStyle w:val="ListParagraph"/>
              <w:numPr>
                <w:ilvl w:val="2"/>
                <w:numId w:val="18"/>
              </w:numPr>
              <w:autoSpaceDE w:val="0"/>
              <w:autoSpaceDN w:val="0"/>
              <w:spacing w:line="259" w:lineRule="auto"/>
              <w:ind w:leftChars="0"/>
              <w:jc w:val="both"/>
              <w:rPr>
                <w:rFonts w:ascii="Calibri" w:hAnsi="Calibri" w:cs="Calibri"/>
                <w:color w:val="FF0000"/>
                <w:sz w:val="22"/>
              </w:rPr>
            </w:pPr>
            <w:r>
              <w:rPr>
                <w:rFonts w:ascii="Calibri" w:hAnsi="Calibri" w:cs="Calibri" w:hint="eastAsia"/>
                <w:color w:val="FF0000"/>
                <w:sz w:val="22"/>
                <w:lang w:val="en-AU"/>
              </w:rPr>
              <w:t>When a</w:t>
            </w:r>
            <w:r>
              <w:rPr>
                <w:rFonts w:ascii="Calibri" w:hAnsi="Calibri" w:cs="Calibri"/>
                <w:color w:val="FF0000"/>
                <w:sz w:val="22"/>
                <w:lang w:val="en-AU"/>
              </w:rPr>
              <w:t>t least one</w:t>
            </w:r>
            <w:r>
              <w:rPr>
                <w:rFonts w:ascii="Calibri" w:hAnsi="Calibri" w:cs="Calibri" w:hint="eastAsia"/>
                <w:color w:val="FF0000"/>
                <w:sz w:val="22"/>
                <w:lang w:val="en-AU"/>
              </w:rPr>
              <w:t xml:space="preserve"> SL HARQ-ACK </w:t>
            </w:r>
            <w:r>
              <w:rPr>
                <w:rFonts w:ascii="Calibri" w:hAnsi="Calibri" w:cs="Calibri"/>
                <w:color w:val="FF0000"/>
                <w:sz w:val="22"/>
                <w:lang w:val="en-AU"/>
              </w:rPr>
              <w:t>is received</w:t>
            </w:r>
            <w:r>
              <w:rPr>
                <w:rFonts w:ascii="Calibri" w:hAnsi="Calibri" w:cs="Calibri" w:hint="eastAsia"/>
                <w:color w:val="FF0000"/>
                <w:sz w:val="22"/>
                <w:lang w:val="en-AU"/>
              </w:rPr>
              <w:t xml:space="preserve">, </w:t>
            </w:r>
            <m:oMath>
              <m:r>
                <w:rPr>
                  <w:rFonts w:ascii="Cambria Math" w:hAnsi="Cambria Math" w:cs="Calibri"/>
                  <w:color w:val="FF0000"/>
                  <w:sz w:val="22"/>
                </w:rPr>
                <m:t>C</m:t>
              </m:r>
              <m:sSub>
                <m:sSubPr>
                  <m:ctrlPr>
                    <w:rPr>
                      <w:rFonts w:ascii="Cambria Math" w:hAnsi="Cambria Math" w:cs="Calibri"/>
                      <w:i/>
                      <w:iCs/>
                      <w:color w:val="FF0000"/>
                      <w:sz w:val="22"/>
                    </w:rPr>
                  </m:ctrlPr>
                </m:sSubPr>
                <m:e>
                  <m:r>
                    <w:rPr>
                      <w:rFonts w:ascii="Cambria Math" w:hAnsi="Cambria Math" w:cs="Calibri"/>
                      <w:color w:val="FF0000"/>
                      <w:sz w:val="22"/>
                    </w:rPr>
                    <m:t>W</m:t>
                  </m:r>
                </m:e>
                <m:sub>
                  <m:r>
                    <w:rPr>
                      <w:rFonts w:ascii="Cambria Math" w:hAnsi="Cambria Math" w:cs="Calibri"/>
                      <w:color w:val="FF0000"/>
                      <w:sz w:val="22"/>
                    </w:rPr>
                    <m:t>p</m:t>
                  </m:r>
                </m:sub>
              </m:sSub>
            </m:oMath>
            <w:r>
              <w:rPr>
                <w:rFonts w:ascii="Calibri" w:hAnsi="Calibri" w:cs="Calibri" w:hint="eastAsia"/>
                <w:color w:val="FF0000"/>
                <w:sz w:val="22"/>
                <w:lang w:val="en-AU"/>
              </w:rPr>
              <w:t xml:space="preserve"> is reset to </w:t>
            </w:r>
            <m:oMath>
              <m:r>
                <w:rPr>
                  <w:rFonts w:ascii="Cambria Math" w:hAnsi="Cambria Math" w:cs="Calibri"/>
                  <w:color w:val="FF0000"/>
                  <w:sz w:val="22"/>
                </w:rPr>
                <m:t>C</m:t>
              </m:r>
              <m:sSub>
                <m:sSubPr>
                  <m:ctrlPr>
                    <w:rPr>
                      <w:rFonts w:ascii="Cambria Math" w:hAnsi="Cambria Math" w:cs="Calibri"/>
                      <w:i/>
                      <w:iCs/>
                      <w:color w:val="FF0000"/>
                      <w:sz w:val="22"/>
                    </w:rPr>
                  </m:ctrlPr>
                </m:sSubPr>
                <m:e>
                  <m:r>
                    <w:rPr>
                      <w:rFonts w:ascii="Cambria Math" w:hAnsi="Cambria Math" w:cs="Calibri"/>
                      <w:color w:val="FF0000"/>
                      <w:sz w:val="22"/>
                    </w:rPr>
                    <m:t>W</m:t>
                  </m:r>
                </m:e>
                <m:sub>
                  <m:r>
                    <w:rPr>
                      <w:rFonts w:ascii="Cambria Math" w:hAnsi="Cambria Math" w:cs="Calibri"/>
                      <w:color w:val="FF0000"/>
                      <w:sz w:val="22"/>
                      <w:lang w:val="en-AU"/>
                    </w:rPr>
                    <m:t>min,</m:t>
                  </m:r>
                  <m:r>
                    <w:rPr>
                      <w:rFonts w:ascii="Cambria Math" w:hAnsi="Cambria Math" w:cs="Calibri"/>
                      <w:color w:val="FF0000"/>
                      <w:sz w:val="22"/>
                    </w:rPr>
                    <m:t>p</m:t>
                  </m:r>
                </m:sub>
              </m:sSub>
            </m:oMath>
            <w:r>
              <w:rPr>
                <w:rFonts w:ascii="Calibri" w:hAnsi="Calibri" w:cs="Calibri" w:hint="eastAsia"/>
                <w:i/>
                <w:iCs/>
                <w:color w:val="FF0000"/>
                <w:sz w:val="22"/>
                <w:lang w:val="en-AU"/>
              </w:rPr>
              <w:t xml:space="preserve"> </w:t>
            </w:r>
            <w:r>
              <w:rPr>
                <w:rFonts w:ascii="Calibri" w:hAnsi="Calibri" w:cs="Calibri" w:hint="eastAsia"/>
                <w:color w:val="FF0000"/>
                <w:sz w:val="22"/>
                <w:lang w:val="en-AU"/>
              </w:rPr>
              <w:t xml:space="preserve">for every priority class </w:t>
            </w:r>
            <m:oMath>
              <m:r>
                <w:rPr>
                  <w:rFonts w:ascii="Cambria Math" w:hAnsi="Cambria Math" w:cs="Calibri"/>
                  <w:color w:val="FF0000"/>
                  <w:sz w:val="22"/>
                </w:rPr>
                <m:t>p∈</m:t>
              </m:r>
              <m:d>
                <m:dPr>
                  <m:begChr m:val="{"/>
                  <m:endChr m:val="}"/>
                  <m:ctrlPr>
                    <w:rPr>
                      <w:rFonts w:ascii="Cambria Math" w:hAnsi="Cambria Math" w:cs="Calibri"/>
                      <w:i/>
                      <w:iCs/>
                      <w:color w:val="FF0000"/>
                      <w:sz w:val="22"/>
                    </w:rPr>
                  </m:ctrlPr>
                </m:dPr>
                <m:e>
                  <m:r>
                    <w:rPr>
                      <w:rFonts w:ascii="Cambria Math" w:hAnsi="Cambria Math" w:cs="Calibri"/>
                      <w:color w:val="FF0000"/>
                      <w:sz w:val="22"/>
                    </w:rPr>
                    <m:t>1,2,3,4</m:t>
                  </m:r>
                </m:e>
              </m:d>
            </m:oMath>
            <w:r>
              <w:rPr>
                <w:rFonts w:ascii="Calibri" w:hAnsi="Calibri" w:cs="Calibri" w:hint="eastAsia"/>
                <w:color w:val="FF0000"/>
                <w:sz w:val="22"/>
                <w:lang w:val="en-AU"/>
              </w:rPr>
              <w:t xml:space="preserve">, otherwise </w:t>
            </w:r>
            <w:r>
              <w:rPr>
                <w:rFonts w:ascii="Calibri" w:hAnsi="Calibri" w:cs="Calibri" w:hint="eastAsia"/>
                <w:color w:val="FF0000"/>
                <w:sz w:val="22"/>
              </w:rPr>
              <w:lastRenderedPageBreak/>
              <w:t xml:space="preserve">increase </w:t>
            </w:r>
            <m:oMath>
              <m:r>
                <w:rPr>
                  <w:rFonts w:ascii="Cambria Math" w:hAnsi="Cambria Math" w:cs="Calibri"/>
                  <w:color w:val="FF0000"/>
                  <w:sz w:val="22"/>
                </w:rPr>
                <m:t>C</m:t>
              </m:r>
              <m:sSub>
                <m:sSubPr>
                  <m:ctrlPr>
                    <w:rPr>
                      <w:rFonts w:ascii="Cambria Math" w:hAnsi="Cambria Math" w:cs="Calibri"/>
                      <w:i/>
                      <w:iCs/>
                      <w:color w:val="FF0000"/>
                      <w:sz w:val="22"/>
                    </w:rPr>
                  </m:ctrlPr>
                </m:sSubPr>
                <m:e>
                  <m:r>
                    <w:rPr>
                      <w:rFonts w:ascii="Cambria Math" w:hAnsi="Cambria Math" w:cs="Calibri"/>
                      <w:color w:val="FF0000"/>
                      <w:sz w:val="22"/>
                    </w:rPr>
                    <m:t>W</m:t>
                  </m:r>
                </m:e>
                <m:sub>
                  <m:r>
                    <w:rPr>
                      <w:rFonts w:ascii="Cambria Math" w:hAnsi="Cambria Math" w:cs="Calibri"/>
                      <w:color w:val="FF0000"/>
                      <w:sz w:val="22"/>
                    </w:rPr>
                    <m:t>p</m:t>
                  </m:r>
                </m:sub>
              </m:sSub>
            </m:oMath>
            <w:r>
              <w:rPr>
                <w:rFonts w:ascii="Calibri" w:hAnsi="Calibri" w:cs="Calibri" w:hint="eastAsia"/>
                <w:color w:val="FF0000"/>
                <w:sz w:val="22"/>
              </w:rPr>
              <w:t xml:space="preserve"> for every priority class </w:t>
            </w:r>
            <m:oMath>
              <m:r>
                <w:rPr>
                  <w:rFonts w:ascii="Cambria Math" w:hAnsi="Cambria Math" w:cs="Calibri"/>
                  <w:color w:val="FF0000"/>
                  <w:sz w:val="22"/>
                </w:rPr>
                <m:t>p∈</m:t>
              </m:r>
              <m:d>
                <m:dPr>
                  <m:begChr m:val="{"/>
                  <m:endChr m:val="}"/>
                  <m:ctrlPr>
                    <w:rPr>
                      <w:rFonts w:ascii="Cambria Math" w:hAnsi="Cambria Math" w:cs="Calibri"/>
                      <w:i/>
                      <w:iCs/>
                      <w:color w:val="FF0000"/>
                      <w:sz w:val="22"/>
                    </w:rPr>
                  </m:ctrlPr>
                </m:dPr>
                <m:e>
                  <m:r>
                    <w:rPr>
                      <w:rFonts w:ascii="Cambria Math" w:hAnsi="Cambria Math" w:cs="Calibri"/>
                      <w:color w:val="FF0000"/>
                      <w:sz w:val="22"/>
                    </w:rPr>
                    <m:t>1,2,3,4</m:t>
                  </m:r>
                </m:e>
              </m:d>
            </m:oMath>
            <w:r>
              <w:rPr>
                <w:rFonts w:ascii="Calibri" w:hAnsi="Calibri" w:cs="Calibri" w:hint="eastAsia"/>
                <w:color w:val="FF0000"/>
                <w:sz w:val="22"/>
              </w:rPr>
              <w:t xml:space="preserve"> to the next higher allowed value</w:t>
            </w:r>
          </w:p>
          <w:p w14:paraId="26FEE7EA" w14:textId="77777777" w:rsidR="00EE4559" w:rsidRDefault="00EE4559" w:rsidP="00EE4559">
            <w:pPr>
              <w:pStyle w:val="ListParagraph"/>
              <w:numPr>
                <w:ilvl w:val="1"/>
                <w:numId w:val="18"/>
              </w:numPr>
              <w:autoSpaceDE w:val="0"/>
              <w:autoSpaceDN w:val="0"/>
              <w:spacing w:line="259" w:lineRule="auto"/>
              <w:ind w:leftChars="0"/>
              <w:jc w:val="both"/>
              <w:rPr>
                <w:rFonts w:ascii="Calibri" w:hAnsi="Calibri" w:cs="Calibri"/>
                <w:sz w:val="22"/>
              </w:rPr>
            </w:pPr>
            <w:r>
              <w:rPr>
                <w:rFonts w:ascii="Calibri" w:hAnsi="Calibri" w:cs="Calibri"/>
                <w:sz w:val="22"/>
              </w:rPr>
              <w:t>CW adjustment for groupcast option 2:</w:t>
            </w:r>
          </w:p>
          <w:p w14:paraId="1C13D194" w14:textId="77777777" w:rsidR="00EE4559" w:rsidRDefault="00EE4559" w:rsidP="00EE4559">
            <w:pPr>
              <w:pStyle w:val="ListParagraph"/>
              <w:numPr>
                <w:ilvl w:val="2"/>
                <w:numId w:val="18"/>
              </w:numPr>
              <w:autoSpaceDE w:val="0"/>
              <w:autoSpaceDN w:val="0"/>
              <w:spacing w:line="259" w:lineRule="auto"/>
              <w:ind w:leftChars="0"/>
              <w:jc w:val="both"/>
              <w:rPr>
                <w:rFonts w:ascii="Calibri" w:hAnsi="Calibri" w:cs="Calibri"/>
                <w:sz w:val="22"/>
              </w:rPr>
            </w:pPr>
            <w:r>
              <w:rPr>
                <w:rFonts w:ascii="Calibri" w:hAnsi="Calibri" w:cs="Calibri" w:hint="eastAsia"/>
                <w:sz w:val="22"/>
                <w:lang w:val="en-AU"/>
              </w:rPr>
              <w:t xml:space="preserve">When a (pre-)configurable ratio of </w:t>
            </w:r>
            <w:r>
              <w:rPr>
                <w:rFonts w:ascii="Calibri" w:hAnsi="Calibri" w:cs="Calibri"/>
                <w:sz w:val="22"/>
                <w:lang w:val="en-AU"/>
              </w:rPr>
              <w:t>received</w:t>
            </w:r>
            <w:r>
              <w:rPr>
                <w:rFonts w:ascii="Calibri" w:hAnsi="Calibri" w:cs="Calibri" w:hint="eastAsia"/>
                <w:sz w:val="22"/>
                <w:lang w:val="en-AU"/>
              </w:rPr>
              <w:t xml:space="preserve"> SL HARQ-ACK</w:t>
            </w:r>
            <w:r>
              <w:rPr>
                <w:rFonts w:ascii="Calibri" w:hAnsi="Calibri" w:cs="Calibri"/>
                <w:sz w:val="22"/>
                <w:lang w:val="en-AU"/>
              </w:rPr>
              <w:t xml:space="preserve"> </w:t>
            </w:r>
            <w:r>
              <w:rPr>
                <w:rFonts w:ascii="Calibri" w:hAnsi="Calibri" w:cs="Calibri" w:hint="eastAsia"/>
                <w:sz w:val="22"/>
                <w:lang w:val="en-AU"/>
              </w:rPr>
              <w:t>feedbacks</w:t>
            </w:r>
            <w:r>
              <w:rPr>
                <w:rFonts w:ascii="Calibri" w:hAnsi="Calibri" w:cs="Calibri" w:hint="eastAsia"/>
                <w:strike/>
                <w:color w:val="FF0000"/>
                <w:sz w:val="22"/>
                <w:lang w:val="en-AU"/>
              </w:rPr>
              <w:t xml:space="preserve"> is </w:t>
            </w:r>
            <w:r>
              <w:rPr>
                <w:rFonts w:ascii="Calibri" w:hAnsi="Calibri" w:cs="Calibri" w:hint="eastAsia"/>
                <w:strike/>
                <w:color w:val="FF0000"/>
                <w:sz w:val="22"/>
                <w:lang w:val="en-AU"/>
              </w:rPr>
              <w:t>‘</w:t>
            </w:r>
            <w:r>
              <w:rPr>
                <w:rFonts w:ascii="Calibri" w:hAnsi="Calibri" w:cs="Calibri" w:hint="eastAsia"/>
                <w:strike/>
                <w:color w:val="FF0000"/>
                <w:sz w:val="22"/>
                <w:lang w:val="en-AU"/>
              </w:rPr>
              <w:t>ACK</w:t>
            </w:r>
            <w:r>
              <w:rPr>
                <w:rFonts w:ascii="Calibri" w:hAnsi="Calibri" w:cs="Calibri" w:hint="eastAsia"/>
                <w:strike/>
                <w:color w:val="FF0000"/>
                <w:sz w:val="22"/>
                <w:lang w:val="en-AU"/>
              </w:rPr>
              <w:t>’</w:t>
            </w:r>
            <w:r>
              <w:rPr>
                <w:rFonts w:ascii="Calibri" w:hAnsi="Calibri" w:cs="Calibri"/>
                <w:sz w:val="22"/>
                <w:lang w:val="en-AU"/>
              </w:rPr>
              <w:t>,</w:t>
            </w:r>
            <w:r>
              <w:rPr>
                <w:rFonts w:ascii="Calibri" w:hAnsi="Calibri" w:cs="Calibri" w:hint="eastAsia"/>
                <w:sz w:val="22"/>
                <w:lang w:val="en-AU"/>
              </w:rPr>
              <w:t xml:space="preserve"> </w:t>
            </w:r>
            <m:oMath>
              <m:r>
                <w:rPr>
                  <w:rFonts w:ascii="Cambria Math" w:hAnsi="Cambria Math" w:cs="Calibri"/>
                  <w:sz w:val="22"/>
                </w:rPr>
                <m:t>C</m:t>
              </m:r>
              <m:sSub>
                <m:sSubPr>
                  <m:ctrlPr>
                    <w:rPr>
                      <w:rFonts w:ascii="Cambria Math" w:hAnsi="Cambria Math" w:cs="Calibri"/>
                      <w:i/>
                      <w:iCs/>
                      <w:sz w:val="22"/>
                    </w:rPr>
                  </m:ctrlPr>
                </m:sSubPr>
                <m:e>
                  <m:r>
                    <w:rPr>
                      <w:rFonts w:ascii="Cambria Math" w:hAnsi="Cambria Math" w:cs="Calibri"/>
                      <w:sz w:val="22"/>
                    </w:rPr>
                    <m:t>W</m:t>
                  </m:r>
                </m:e>
                <m:sub>
                  <m:r>
                    <w:rPr>
                      <w:rFonts w:ascii="Cambria Math" w:hAnsi="Cambria Math" w:cs="Calibri"/>
                      <w:sz w:val="22"/>
                    </w:rPr>
                    <m:t>p</m:t>
                  </m:r>
                </m:sub>
              </m:sSub>
            </m:oMath>
            <w:r>
              <w:rPr>
                <w:rFonts w:ascii="Calibri" w:hAnsi="Calibri" w:cs="Calibri" w:hint="eastAsia"/>
                <w:sz w:val="22"/>
                <w:lang w:val="en-AU"/>
              </w:rPr>
              <w:t xml:space="preserve"> is reset to </w:t>
            </w:r>
            <m:oMath>
              <m:r>
                <w:rPr>
                  <w:rFonts w:ascii="Cambria Math" w:hAnsi="Cambria Math" w:cs="Calibri"/>
                  <w:sz w:val="22"/>
                </w:rPr>
                <m:t>C</m:t>
              </m:r>
              <m:sSub>
                <m:sSubPr>
                  <m:ctrlPr>
                    <w:rPr>
                      <w:rFonts w:ascii="Cambria Math" w:hAnsi="Cambria Math" w:cs="Calibri"/>
                      <w:i/>
                      <w:iCs/>
                      <w:sz w:val="22"/>
                    </w:rPr>
                  </m:ctrlPr>
                </m:sSubPr>
                <m:e>
                  <m:r>
                    <w:rPr>
                      <w:rFonts w:ascii="Cambria Math" w:hAnsi="Cambria Math" w:cs="Calibri"/>
                      <w:sz w:val="22"/>
                    </w:rPr>
                    <m:t>W</m:t>
                  </m:r>
                </m:e>
                <m:sub>
                  <m:r>
                    <w:rPr>
                      <w:rFonts w:ascii="Cambria Math" w:hAnsi="Cambria Math" w:cs="Calibri"/>
                      <w:sz w:val="22"/>
                      <w:lang w:val="en-AU"/>
                    </w:rPr>
                    <m:t>min,</m:t>
                  </m:r>
                  <m:r>
                    <w:rPr>
                      <w:rFonts w:ascii="Cambria Math" w:hAnsi="Cambria Math" w:cs="Calibri"/>
                      <w:sz w:val="22"/>
                    </w:rPr>
                    <m:t>p</m:t>
                  </m:r>
                </m:sub>
              </m:sSub>
            </m:oMath>
            <w:r>
              <w:rPr>
                <w:rFonts w:ascii="Calibri" w:hAnsi="Calibri" w:cs="Calibri" w:hint="eastAsia"/>
                <w:i/>
                <w:iCs/>
                <w:sz w:val="22"/>
                <w:lang w:val="en-AU"/>
              </w:rPr>
              <w:t xml:space="preserve"> </w:t>
            </w:r>
            <w:r>
              <w:rPr>
                <w:rFonts w:ascii="Calibri" w:hAnsi="Calibri" w:cs="Calibri" w:hint="eastAsia"/>
                <w:sz w:val="22"/>
                <w:lang w:val="en-AU"/>
              </w:rPr>
              <w:t xml:space="preserve">for every priority class </w:t>
            </w:r>
            <m:oMath>
              <m:r>
                <w:rPr>
                  <w:rFonts w:ascii="Cambria Math" w:hAnsi="Cambria Math" w:cs="Calibri"/>
                  <w:sz w:val="22"/>
                </w:rPr>
                <m:t>p∈</m:t>
              </m:r>
              <m:d>
                <m:dPr>
                  <m:begChr m:val="{"/>
                  <m:endChr m:val="}"/>
                  <m:ctrlPr>
                    <w:rPr>
                      <w:rFonts w:ascii="Cambria Math" w:hAnsi="Cambria Math" w:cs="Calibri"/>
                      <w:i/>
                      <w:iCs/>
                      <w:sz w:val="22"/>
                    </w:rPr>
                  </m:ctrlPr>
                </m:dPr>
                <m:e>
                  <m:r>
                    <w:rPr>
                      <w:rFonts w:ascii="Cambria Math" w:hAnsi="Cambria Math" w:cs="Calibri"/>
                      <w:sz w:val="22"/>
                    </w:rPr>
                    <m:t>1,2,3,4</m:t>
                  </m:r>
                </m:e>
              </m:d>
            </m:oMath>
            <w:r>
              <w:rPr>
                <w:rFonts w:ascii="Calibri" w:hAnsi="Calibri" w:cs="Calibri" w:hint="eastAsia"/>
                <w:sz w:val="22"/>
                <w:lang w:val="en-AU"/>
              </w:rPr>
              <w:t xml:space="preserve">, otherwise </w:t>
            </w:r>
            <w:r>
              <w:rPr>
                <w:rFonts w:ascii="Calibri" w:hAnsi="Calibri" w:cs="Calibri" w:hint="eastAsia"/>
                <w:sz w:val="22"/>
              </w:rPr>
              <w:t xml:space="preserve">increase </w:t>
            </w:r>
            <m:oMath>
              <m:r>
                <w:rPr>
                  <w:rFonts w:ascii="Cambria Math" w:hAnsi="Cambria Math" w:cs="Calibri"/>
                  <w:sz w:val="22"/>
                </w:rPr>
                <m:t>C</m:t>
              </m:r>
              <m:sSub>
                <m:sSubPr>
                  <m:ctrlPr>
                    <w:rPr>
                      <w:rFonts w:ascii="Cambria Math" w:hAnsi="Cambria Math" w:cs="Calibri"/>
                      <w:i/>
                      <w:iCs/>
                      <w:sz w:val="22"/>
                    </w:rPr>
                  </m:ctrlPr>
                </m:sSubPr>
                <m:e>
                  <m:r>
                    <w:rPr>
                      <w:rFonts w:ascii="Cambria Math" w:hAnsi="Cambria Math" w:cs="Calibri"/>
                      <w:sz w:val="22"/>
                    </w:rPr>
                    <m:t>W</m:t>
                  </m:r>
                </m:e>
                <m:sub>
                  <m:r>
                    <w:rPr>
                      <w:rFonts w:ascii="Cambria Math" w:hAnsi="Cambria Math" w:cs="Calibri"/>
                      <w:sz w:val="22"/>
                    </w:rPr>
                    <m:t>p</m:t>
                  </m:r>
                </m:sub>
              </m:sSub>
            </m:oMath>
            <w:r>
              <w:rPr>
                <w:rFonts w:ascii="Calibri" w:hAnsi="Calibri" w:cs="Calibri" w:hint="eastAsia"/>
                <w:sz w:val="22"/>
              </w:rPr>
              <w:t xml:space="preserve"> for every priority class </w:t>
            </w:r>
            <m:oMath>
              <m:r>
                <w:rPr>
                  <w:rFonts w:ascii="Cambria Math" w:hAnsi="Cambria Math" w:cs="Calibri"/>
                  <w:sz w:val="22"/>
                </w:rPr>
                <m:t>p∈</m:t>
              </m:r>
              <m:d>
                <m:dPr>
                  <m:begChr m:val="{"/>
                  <m:endChr m:val="}"/>
                  <m:ctrlPr>
                    <w:rPr>
                      <w:rFonts w:ascii="Cambria Math" w:hAnsi="Cambria Math" w:cs="Calibri"/>
                      <w:i/>
                      <w:iCs/>
                      <w:sz w:val="22"/>
                    </w:rPr>
                  </m:ctrlPr>
                </m:dPr>
                <m:e>
                  <m:r>
                    <w:rPr>
                      <w:rFonts w:ascii="Cambria Math" w:hAnsi="Cambria Math" w:cs="Calibri"/>
                      <w:sz w:val="22"/>
                    </w:rPr>
                    <m:t>1,2,3,4</m:t>
                  </m:r>
                </m:e>
              </m:d>
            </m:oMath>
            <w:r>
              <w:rPr>
                <w:rFonts w:ascii="Calibri" w:hAnsi="Calibri" w:cs="Calibri" w:hint="eastAsia"/>
                <w:sz w:val="22"/>
              </w:rPr>
              <w:t xml:space="preserve"> to the next higher allowed value.</w:t>
            </w:r>
          </w:p>
          <w:p w14:paraId="3F5BDEE0" w14:textId="77777777" w:rsidR="00EE4559" w:rsidRDefault="00EE4559" w:rsidP="00EE4559">
            <w:pPr>
              <w:pStyle w:val="ListParagraph"/>
              <w:numPr>
                <w:ilvl w:val="1"/>
                <w:numId w:val="18"/>
              </w:numPr>
              <w:autoSpaceDE w:val="0"/>
              <w:autoSpaceDN w:val="0"/>
              <w:spacing w:line="259" w:lineRule="auto"/>
              <w:ind w:leftChars="0"/>
              <w:jc w:val="both"/>
              <w:rPr>
                <w:rFonts w:ascii="Calibri" w:hAnsi="Calibri" w:cs="Calibri"/>
                <w:sz w:val="22"/>
              </w:rPr>
            </w:pPr>
            <w:r>
              <w:rPr>
                <w:rFonts w:ascii="Calibri" w:hAnsi="Calibri" w:cs="Calibri" w:hint="eastAsia"/>
                <w:sz w:val="22"/>
                <w:lang w:val="en-AU"/>
              </w:rPr>
              <w:t>For groupcast option 1 (NACK-only)</w:t>
            </w:r>
            <w:r>
              <w:rPr>
                <w:rFonts w:ascii="Calibri" w:hAnsi="Calibri" w:cs="Calibri"/>
                <w:sz w:val="22"/>
                <w:lang w:val="en-AU"/>
              </w:rPr>
              <w:t>: (down-select to one of the following options)</w:t>
            </w:r>
          </w:p>
          <w:p w14:paraId="4282157C" w14:textId="77777777" w:rsidR="00EE4559" w:rsidRDefault="00EE4559" w:rsidP="00EE4559">
            <w:pPr>
              <w:pStyle w:val="ListParagraph"/>
              <w:numPr>
                <w:ilvl w:val="2"/>
                <w:numId w:val="18"/>
              </w:numPr>
              <w:autoSpaceDE w:val="0"/>
              <w:autoSpaceDN w:val="0"/>
              <w:spacing w:line="259" w:lineRule="auto"/>
              <w:ind w:leftChars="0"/>
              <w:jc w:val="both"/>
              <w:rPr>
                <w:rFonts w:ascii="Calibri" w:hAnsi="Calibri" w:cs="Calibri"/>
                <w:sz w:val="22"/>
              </w:rPr>
            </w:pPr>
            <w:r>
              <w:rPr>
                <w:rFonts w:ascii="Calibri" w:hAnsi="Calibri" w:cs="Calibri" w:hint="eastAsia"/>
                <w:sz w:val="22"/>
                <w:lang w:val="en-AU"/>
              </w:rPr>
              <w:t xml:space="preserve">Option 1: For every priority class </w:t>
            </w:r>
            <m:oMath>
              <m:r>
                <w:rPr>
                  <w:rFonts w:ascii="Cambria Math" w:hAnsi="Cambria Math" w:cs="Calibri"/>
                  <w:sz w:val="22"/>
                </w:rPr>
                <m:t>p∈</m:t>
              </m:r>
              <m:d>
                <m:dPr>
                  <m:begChr m:val="{"/>
                  <m:endChr m:val="}"/>
                  <m:ctrlPr>
                    <w:rPr>
                      <w:rFonts w:ascii="Cambria Math" w:hAnsi="Cambria Math" w:cs="Calibri"/>
                      <w:i/>
                      <w:iCs/>
                      <w:sz w:val="22"/>
                    </w:rPr>
                  </m:ctrlPr>
                </m:dPr>
                <m:e>
                  <m:r>
                    <w:rPr>
                      <w:rFonts w:ascii="Cambria Math" w:hAnsi="Cambria Math" w:cs="Calibri"/>
                      <w:sz w:val="22"/>
                    </w:rPr>
                    <m:t>1,2,3,4</m:t>
                  </m:r>
                </m:e>
              </m:d>
            </m:oMath>
            <w:r>
              <w:rPr>
                <w:rFonts w:ascii="Calibri" w:hAnsi="Calibri" w:cs="Calibri" w:hint="eastAsia"/>
                <w:sz w:val="22"/>
                <w:lang w:val="en-AU"/>
              </w:rPr>
              <w:t>,</w:t>
            </w:r>
            <w:r>
              <w:rPr>
                <w:rFonts w:ascii="Calibri" w:hAnsi="Calibri" w:cs="Calibri"/>
                <w:i/>
                <w:iCs/>
                <w:sz w:val="22"/>
              </w:rPr>
              <w:t xml:space="preserve"> </w:t>
            </w:r>
            <w:r>
              <w:rPr>
                <w:rFonts w:ascii="Calibri" w:hAnsi="Calibri" w:cs="Calibri"/>
                <w:sz w:val="22"/>
              </w:rPr>
              <w:t>use the latest</w:t>
            </w:r>
            <w:r>
              <w:rPr>
                <w:rFonts w:ascii="Calibri" w:hAnsi="Calibri" w:cs="Calibri" w:hint="eastAsia"/>
                <w:sz w:val="22"/>
              </w:rPr>
              <w:t xml:space="preserve"> </w:t>
            </w:r>
            <m:oMath>
              <m:r>
                <w:rPr>
                  <w:rFonts w:ascii="Cambria Math" w:hAnsi="Cambria Math" w:cs="Calibri"/>
                  <w:sz w:val="22"/>
                </w:rPr>
                <m:t>C</m:t>
              </m:r>
              <m:sSub>
                <m:sSubPr>
                  <m:ctrlPr>
                    <w:rPr>
                      <w:rFonts w:ascii="Cambria Math" w:hAnsi="Cambria Math" w:cs="Calibri"/>
                      <w:i/>
                      <w:iCs/>
                      <w:sz w:val="22"/>
                    </w:rPr>
                  </m:ctrlPr>
                </m:sSubPr>
                <m:e>
                  <m:r>
                    <w:rPr>
                      <w:rFonts w:ascii="Cambria Math" w:hAnsi="Cambria Math" w:cs="Calibri"/>
                      <w:sz w:val="22"/>
                    </w:rPr>
                    <m:t>W</m:t>
                  </m:r>
                </m:e>
                <m:sub>
                  <m:r>
                    <w:rPr>
                      <w:rFonts w:ascii="Cambria Math" w:hAnsi="Cambria Math" w:cs="Calibri"/>
                      <w:sz w:val="22"/>
                    </w:rPr>
                    <m:t>p</m:t>
                  </m:r>
                </m:sub>
              </m:sSub>
            </m:oMath>
            <w:r>
              <w:rPr>
                <w:rFonts w:ascii="Calibri" w:hAnsi="Calibri" w:cs="Calibri" w:hint="eastAsia"/>
                <w:sz w:val="22"/>
              </w:rPr>
              <w:t xml:space="preserve"> </w:t>
            </w:r>
            <w:r>
              <w:rPr>
                <w:rFonts w:ascii="Calibri" w:hAnsi="Calibri" w:cs="Calibri"/>
                <w:sz w:val="22"/>
              </w:rPr>
              <w:t xml:space="preserve">used for any SL transmissions on the channel using Type 1 channel access procedures associated with the channel access priority class </w:t>
            </w:r>
            <m:oMath>
              <m:r>
                <w:rPr>
                  <w:rFonts w:ascii="Cambria Math" w:hAnsi="Cambria Math" w:cs="Calibri"/>
                  <w:sz w:val="22"/>
                </w:rPr>
                <m:t>p</m:t>
              </m:r>
            </m:oMath>
            <w:r>
              <w:rPr>
                <w:rFonts w:ascii="Calibri" w:hAnsi="Calibri" w:cs="Calibri" w:hint="eastAsia"/>
                <w:sz w:val="22"/>
              </w:rPr>
              <w:t>.</w:t>
            </w:r>
            <w:r>
              <w:rPr>
                <w:rFonts w:ascii="Calibri" w:hAnsi="Calibri" w:cs="Calibri"/>
                <w:sz w:val="22"/>
              </w:rPr>
              <w:t xml:space="preserve"> </w:t>
            </w:r>
            <w:r>
              <w:rPr>
                <w:rFonts w:asciiTheme="minorHAnsi" w:hAnsiTheme="minorHAnsi" w:cstheme="minorHAnsi"/>
                <w:sz w:val="22"/>
                <w:szCs w:val="28"/>
              </w:rPr>
              <w:t xml:space="preserve">If the corresponding channel access priority class </w:t>
            </w:r>
            <m:oMath>
              <m:r>
                <w:rPr>
                  <w:rFonts w:ascii="Cambria Math" w:hAnsi="Cambria Math" w:cstheme="minorHAnsi"/>
                  <w:sz w:val="22"/>
                  <w:szCs w:val="28"/>
                </w:rPr>
                <m:t>p</m:t>
              </m:r>
            </m:oMath>
            <w:r>
              <w:rPr>
                <w:rFonts w:asciiTheme="minorHAnsi" w:hAnsiTheme="minorHAnsi" w:cstheme="minorHAnsi"/>
                <w:sz w:val="22"/>
                <w:szCs w:val="28"/>
              </w:rPr>
              <w:t xml:space="preserve">  has not been used for any SL transmissions on the channel, </w:t>
            </w:r>
            <m:oMath>
              <m:r>
                <w:rPr>
                  <w:rFonts w:ascii="Cambria Math" w:hAnsi="Cambria Math" w:cstheme="minorHAnsi"/>
                  <w:sz w:val="22"/>
                  <w:szCs w:val="28"/>
                </w:rPr>
                <m:t>C</m:t>
              </m:r>
              <m:sSub>
                <m:sSubPr>
                  <m:ctrlPr>
                    <w:rPr>
                      <w:rFonts w:ascii="Cambria Math" w:hAnsi="Cambria Math" w:cstheme="minorHAnsi"/>
                      <w:i/>
                      <w:sz w:val="22"/>
                      <w:szCs w:val="28"/>
                    </w:rPr>
                  </m:ctrlPr>
                </m:sSubPr>
                <m:e>
                  <m:r>
                    <w:rPr>
                      <w:rFonts w:ascii="Cambria Math" w:hAnsi="Cambria Math" w:cstheme="minorHAnsi"/>
                      <w:sz w:val="22"/>
                      <w:szCs w:val="28"/>
                    </w:rPr>
                    <m:t>W</m:t>
                  </m:r>
                </m:e>
                <m:sub>
                  <m:r>
                    <w:rPr>
                      <w:rFonts w:ascii="Cambria Math" w:hAnsi="Cambria Math" w:cstheme="minorHAnsi"/>
                      <w:sz w:val="22"/>
                      <w:szCs w:val="28"/>
                    </w:rPr>
                    <m:t>p</m:t>
                  </m:r>
                </m:sub>
              </m:sSub>
              <m:r>
                <w:rPr>
                  <w:rFonts w:ascii="Cambria Math" w:hAnsi="Cambria Math" w:cstheme="minorHAnsi"/>
                  <w:sz w:val="22"/>
                  <w:szCs w:val="28"/>
                  <w:lang w:val="en-US"/>
                </w:rPr>
                <m:t>=</m:t>
              </m:r>
              <m:r>
                <w:rPr>
                  <w:rFonts w:ascii="Cambria Math" w:hAnsi="Cambria Math" w:cstheme="minorHAnsi"/>
                  <w:sz w:val="22"/>
                  <w:szCs w:val="28"/>
                </w:rPr>
                <m:t>C</m:t>
              </m:r>
              <m:sSub>
                <m:sSubPr>
                  <m:ctrlPr>
                    <w:rPr>
                      <w:rFonts w:ascii="Cambria Math" w:hAnsi="Cambria Math" w:cstheme="minorHAnsi"/>
                      <w:i/>
                      <w:sz w:val="22"/>
                      <w:szCs w:val="28"/>
                    </w:rPr>
                  </m:ctrlPr>
                </m:sSubPr>
                <m:e>
                  <m:r>
                    <w:rPr>
                      <w:rFonts w:ascii="Cambria Math" w:hAnsi="Cambria Math" w:cstheme="minorHAnsi"/>
                      <w:sz w:val="22"/>
                      <w:szCs w:val="28"/>
                    </w:rPr>
                    <m:t>W</m:t>
                  </m:r>
                </m:e>
                <m:sub>
                  <m:func>
                    <m:funcPr>
                      <m:ctrlPr>
                        <w:rPr>
                          <w:rFonts w:ascii="Cambria Math" w:hAnsi="Cambria Math" w:cstheme="minorHAnsi"/>
                          <w:i/>
                          <w:sz w:val="22"/>
                          <w:szCs w:val="28"/>
                        </w:rPr>
                      </m:ctrlPr>
                    </m:funcPr>
                    <m:fName>
                      <m:r>
                        <w:rPr>
                          <w:rFonts w:ascii="Cambria Math" w:hAnsi="Cambria Math" w:cstheme="minorHAnsi"/>
                          <w:sz w:val="22"/>
                          <w:szCs w:val="28"/>
                        </w:rPr>
                        <m:t>min</m:t>
                      </m:r>
                      <m:r>
                        <w:rPr>
                          <w:rFonts w:ascii="Cambria Math" w:hAnsi="Cambria Math" w:cstheme="minorHAnsi"/>
                          <w:sz w:val="22"/>
                          <w:szCs w:val="28"/>
                          <w:lang w:val="en-US"/>
                        </w:rPr>
                        <m:t>,</m:t>
                      </m:r>
                    </m:fName>
                    <m:e>
                      <m:r>
                        <w:rPr>
                          <w:rFonts w:ascii="Cambria Math" w:hAnsi="Cambria Math" w:cstheme="minorHAnsi"/>
                          <w:sz w:val="22"/>
                          <w:szCs w:val="28"/>
                        </w:rPr>
                        <m:t>p</m:t>
                      </m:r>
                    </m:e>
                  </m:func>
                </m:sub>
              </m:sSub>
            </m:oMath>
            <w:r>
              <w:rPr>
                <w:rFonts w:asciiTheme="minorHAnsi" w:hAnsiTheme="minorHAnsi" w:cstheme="minorHAnsi"/>
                <w:sz w:val="22"/>
                <w:szCs w:val="28"/>
              </w:rPr>
              <w:t xml:space="preserve"> is used.</w:t>
            </w:r>
          </w:p>
          <w:p w14:paraId="137F1549" w14:textId="77777777" w:rsidR="00EE4559" w:rsidRDefault="00EE4559" w:rsidP="00EE4559">
            <w:pPr>
              <w:pStyle w:val="ListParagraph"/>
              <w:numPr>
                <w:ilvl w:val="2"/>
                <w:numId w:val="18"/>
              </w:numPr>
              <w:autoSpaceDE w:val="0"/>
              <w:autoSpaceDN w:val="0"/>
              <w:spacing w:line="259" w:lineRule="auto"/>
              <w:ind w:leftChars="0"/>
              <w:jc w:val="both"/>
              <w:rPr>
                <w:rFonts w:ascii="Calibri" w:hAnsi="Calibri" w:cs="Calibri"/>
                <w:sz w:val="22"/>
              </w:rPr>
            </w:pPr>
            <w:r>
              <w:rPr>
                <w:rFonts w:ascii="Calibri" w:hAnsi="Calibri" w:cs="Calibri" w:hint="eastAsia"/>
                <w:sz w:val="22"/>
                <w:lang w:val="en-AU"/>
              </w:rPr>
              <w:t xml:space="preserve">Option 2: If </w:t>
            </w:r>
            <w:r>
              <w:rPr>
                <w:rFonts w:ascii="Calibri" w:hAnsi="Calibri" w:cs="Calibri"/>
                <w:sz w:val="22"/>
                <w:lang w:val="en-AU"/>
              </w:rPr>
              <w:t>‘</w:t>
            </w:r>
            <w:r>
              <w:rPr>
                <w:rFonts w:ascii="Calibri" w:hAnsi="Calibri" w:cs="Calibri" w:hint="eastAsia"/>
                <w:sz w:val="22"/>
                <w:lang w:val="en-AU"/>
              </w:rPr>
              <w:t>NACK</w:t>
            </w:r>
            <w:r>
              <w:rPr>
                <w:rFonts w:ascii="Calibri" w:hAnsi="Calibri" w:cs="Calibri"/>
                <w:sz w:val="22"/>
                <w:lang w:val="en-AU"/>
              </w:rPr>
              <w:t>’</w:t>
            </w:r>
            <w:r>
              <w:rPr>
                <w:rFonts w:ascii="Calibri" w:hAnsi="Calibri" w:cs="Calibri" w:hint="eastAsia"/>
                <w:sz w:val="22"/>
                <w:lang w:val="en-AU"/>
              </w:rPr>
              <w:t xml:space="preserve"> is received, </w:t>
            </w:r>
            <w:r>
              <w:rPr>
                <w:rFonts w:ascii="Calibri" w:hAnsi="Calibri" w:cs="Calibri" w:hint="eastAsia"/>
                <w:sz w:val="22"/>
              </w:rPr>
              <w:t xml:space="preserve">increase </w:t>
            </w:r>
            <m:oMath>
              <m:r>
                <w:rPr>
                  <w:rFonts w:ascii="Cambria Math" w:hAnsi="Cambria Math" w:cs="Calibri"/>
                  <w:sz w:val="22"/>
                </w:rPr>
                <m:t>C</m:t>
              </m:r>
              <m:sSub>
                <m:sSubPr>
                  <m:ctrlPr>
                    <w:rPr>
                      <w:rFonts w:ascii="Cambria Math" w:hAnsi="Cambria Math" w:cs="Calibri"/>
                      <w:i/>
                      <w:iCs/>
                      <w:sz w:val="22"/>
                    </w:rPr>
                  </m:ctrlPr>
                </m:sSubPr>
                <m:e>
                  <m:r>
                    <w:rPr>
                      <w:rFonts w:ascii="Cambria Math" w:hAnsi="Cambria Math" w:cs="Calibri"/>
                      <w:sz w:val="22"/>
                    </w:rPr>
                    <m:t>W</m:t>
                  </m:r>
                </m:e>
                <m:sub>
                  <m:r>
                    <w:rPr>
                      <w:rFonts w:ascii="Cambria Math" w:hAnsi="Cambria Math" w:cs="Calibri"/>
                      <w:sz w:val="22"/>
                    </w:rPr>
                    <m:t>p</m:t>
                  </m:r>
                </m:sub>
              </m:sSub>
            </m:oMath>
            <w:r>
              <w:rPr>
                <w:rFonts w:ascii="Calibri" w:hAnsi="Calibri" w:cs="Calibri" w:hint="eastAsia"/>
                <w:sz w:val="22"/>
              </w:rPr>
              <w:t xml:space="preserve"> for every priority class </w:t>
            </w:r>
            <m:oMath>
              <m:r>
                <w:rPr>
                  <w:rFonts w:ascii="Cambria Math" w:hAnsi="Cambria Math" w:cs="Calibri"/>
                  <w:sz w:val="22"/>
                </w:rPr>
                <m:t>p∈</m:t>
              </m:r>
              <m:d>
                <m:dPr>
                  <m:begChr m:val="{"/>
                  <m:endChr m:val="}"/>
                  <m:ctrlPr>
                    <w:rPr>
                      <w:rFonts w:ascii="Cambria Math" w:hAnsi="Cambria Math" w:cs="Calibri"/>
                      <w:i/>
                      <w:iCs/>
                      <w:sz w:val="22"/>
                    </w:rPr>
                  </m:ctrlPr>
                </m:dPr>
                <m:e>
                  <m:r>
                    <w:rPr>
                      <w:rFonts w:ascii="Cambria Math" w:hAnsi="Cambria Math" w:cs="Calibri"/>
                      <w:sz w:val="22"/>
                    </w:rPr>
                    <m:t>1,2,3,4</m:t>
                  </m:r>
                </m:e>
              </m:d>
            </m:oMath>
            <w:r>
              <w:rPr>
                <w:rFonts w:ascii="Calibri" w:hAnsi="Calibri" w:cs="Calibri" w:hint="eastAsia"/>
                <w:sz w:val="22"/>
              </w:rPr>
              <w:t xml:space="preserve"> to the next higher allowed value.</w:t>
            </w:r>
            <w:r>
              <w:rPr>
                <w:rFonts w:ascii="Calibri" w:hAnsi="Calibri" w:cs="Calibri"/>
                <w:sz w:val="22"/>
              </w:rPr>
              <w:t xml:space="preserve"> When no ‘NACK’ is received, </w:t>
            </w:r>
            <m:oMath>
              <m:r>
                <w:rPr>
                  <w:rFonts w:ascii="Cambria Math" w:hAnsi="Cambria Math" w:cs="Calibri"/>
                  <w:sz w:val="22"/>
                </w:rPr>
                <m:t>C</m:t>
              </m:r>
              <m:sSub>
                <m:sSubPr>
                  <m:ctrlPr>
                    <w:rPr>
                      <w:rFonts w:ascii="Cambria Math" w:hAnsi="Cambria Math" w:cs="Calibri"/>
                      <w:i/>
                      <w:iCs/>
                      <w:sz w:val="22"/>
                    </w:rPr>
                  </m:ctrlPr>
                </m:sSubPr>
                <m:e>
                  <m:r>
                    <w:rPr>
                      <w:rFonts w:ascii="Cambria Math" w:hAnsi="Cambria Math" w:cs="Calibri"/>
                      <w:sz w:val="22"/>
                    </w:rPr>
                    <m:t>W</m:t>
                  </m:r>
                </m:e>
                <m:sub>
                  <m:r>
                    <w:rPr>
                      <w:rFonts w:ascii="Cambria Math" w:hAnsi="Cambria Math" w:cs="Calibri"/>
                      <w:sz w:val="22"/>
                    </w:rPr>
                    <m:t>p</m:t>
                  </m:r>
                </m:sub>
              </m:sSub>
            </m:oMath>
            <w:r>
              <w:rPr>
                <w:rFonts w:asciiTheme="minorHAnsi" w:hAnsiTheme="minorHAnsi" w:cstheme="minorHAnsi"/>
                <w:sz w:val="22"/>
                <w:szCs w:val="28"/>
              </w:rPr>
              <w:t xml:space="preserve"> is reset to </w:t>
            </w:r>
            <m:oMath>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min</m:t>
                      </m:r>
                      <m:r>
                        <w:rPr>
                          <w:rFonts w:ascii="Cambria Math" w:hAnsi="Cambria Math"/>
                          <w:lang w:val="en-US"/>
                        </w:rPr>
                        <m:t>,</m:t>
                      </m:r>
                    </m:fName>
                    <m:e>
                      <m:r>
                        <w:rPr>
                          <w:rFonts w:ascii="Cambria Math" w:hAnsi="Cambria Math"/>
                        </w:rPr>
                        <m:t>p</m:t>
                      </m:r>
                    </m:e>
                  </m:func>
                </m:sub>
              </m:sSub>
            </m:oMath>
            <w:r>
              <w:rPr>
                <w:rFonts w:asciiTheme="minorHAnsi" w:hAnsiTheme="minorHAnsi" w:cstheme="minorHAnsi"/>
              </w:rPr>
              <w:t xml:space="preserve"> </w:t>
            </w:r>
            <w:r>
              <w:rPr>
                <w:rFonts w:asciiTheme="minorHAnsi" w:hAnsiTheme="minorHAnsi" w:cstheme="minorHAnsi"/>
                <w:sz w:val="22"/>
                <w:szCs w:val="22"/>
                <w:lang w:val="en-US"/>
              </w:rPr>
              <w:t xml:space="preserve">for every priority class </w:t>
            </w:r>
            <m:oMath>
              <m:r>
                <w:rPr>
                  <w:rFonts w:ascii="Cambria Math" w:hAnsi="Cambria Math" w:cstheme="minorHAnsi"/>
                  <w:sz w:val="22"/>
                  <w:szCs w:val="22"/>
                </w:rPr>
                <m:t>p∈</m:t>
              </m:r>
              <m:d>
                <m:dPr>
                  <m:begChr m:val="{"/>
                  <m:endChr m:val="}"/>
                  <m:ctrlPr>
                    <w:rPr>
                      <w:rFonts w:ascii="Cambria Math" w:hAnsi="Cambria Math" w:cstheme="minorHAnsi"/>
                      <w:i/>
                      <w:sz w:val="22"/>
                      <w:szCs w:val="22"/>
                    </w:rPr>
                  </m:ctrlPr>
                </m:dPr>
                <m:e>
                  <m:r>
                    <w:rPr>
                      <w:rFonts w:ascii="Cambria Math" w:hAnsi="Cambria Math" w:cstheme="minorHAnsi"/>
                      <w:sz w:val="22"/>
                      <w:szCs w:val="22"/>
                    </w:rPr>
                    <m:t>1,2,3,4</m:t>
                  </m:r>
                </m:e>
              </m:d>
            </m:oMath>
            <w:r>
              <w:rPr>
                <w:rFonts w:ascii="Calibri" w:hAnsi="Calibri" w:cs="Calibri"/>
                <w:sz w:val="22"/>
              </w:rPr>
              <w:t xml:space="preserve"> </w:t>
            </w:r>
          </w:p>
          <w:p w14:paraId="407D653B" w14:textId="199EE593" w:rsidR="00EE4559" w:rsidRPr="00EE4559" w:rsidRDefault="00EE4559" w:rsidP="00EE4559">
            <w:pPr>
              <w:pStyle w:val="ListParagraph"/>
              <w:numPr>
                <w:ilvl w:val="1"/>
                <w:numId w:val="18"/>
              </w:numPr>
              <w:autoSpaceDE w:val="0"/>
              <w:autoSpaceDN w:val="0"/>
              <w:spacing w:line="259" w:lineRule="auto"/>
              <w:ind w:leftChars="0"/>
              <w:jc w:val="both"/>
              <w:rPr>
                <w:rFonts w:ascii="Calibri" w:hAnsi="Calibri" w:cs="Calibri"/>
                <w:sz w:val="22"/>
              </w:rPr>
            </w:pPr>
            <w:r>
              <w:rPr>
                <w:rFonts w:ascii="Calibri" w:hAnsi="Calibri" w:cs="Calibri" w:hint="eastAsia"/>
                <w:sz w:val="22"/>
              </w:rPr>
              <w:t xml:space="preserve">FFS the case when UE is operating </w:t>
            </w:r>
            <w:r>
              <w:rPr>
                <w:rFonts w:ascii="Calibri" w:hAnsi="Calibri" w:cs="Calibri"/>
                <w:sz w:val="22"/>
              </w:rPr>
              <w:t>with</w:t>
            </w:r>
            <w:r>
              <w:rPr>
                <w:rFonts w:ascii="Calibri" w:hAnsi="Calibri" w:cs="Calibri" w:hint="eastAsia"/>
                <w:sz w:val="22"/>
              </w:rPr>
              <w:t xml:space="preserve"> different SL-HARQ feedback schemes (e.g., UE has concurrent broadcast transmission + unicast with SL-HARQ enabled, or GC option 1 + GC option 2, etc)</w:t>
            </w:r>
          </w:p>
          <w:p w14:paraId="25A171A3" w14:textId="77777777" w:rsidR="00EE4559" w:rsidRDefault="00EE4559" w:rsidP="00EE4559">
            <w:pPr>
              <w:autoSpaceDE w:val="0"/>
              <w:autoSpaceDN w:val="0"/>
              <w:jc w:val="both"/>
              <w:rPr>
                <w:rFonts w:ascii="Calibri" w:hAnsi="Calibri" w:cs="Calibri"/>
                <w:sz w:val="22"/>
              </w:rPr>
            </w:pPr>
          </w:p>
          <w:p w14:paraId="3D912E97" w14:textId="77777777" w:rsidR="00EE4559" w:rsidRDefault="00EE4559" w:rsidP="00EE4559">
            <w:pPr>
              <w:autoSpaceDE w:val="0"/>
              <w:autoSpaceDN w:val="0"/>
              <w:jc w:val="both"/>
              <w:rPr>
                <w:rFonts w:ascii="Calibri" w:hAnsi="Calibri" w:cs="Calibri"/>
                <w:sz w:val="22"/>
              </w:rPr>
            </w:pPr>
            <w:r>
              <w:rPr>
                <w:rFonts w:ascii="Calibri" w:hAnsi="Calibri" w:cs="Calibri"/>
                <w:sz w:val="22"/>
              </w:rPr>
              <w:t xml:space="preserve">Besides previous discussion, </w:t>
            </w:r>
            <w:r>
              <w:rPr>
                <w:rFonts w:ascii="Calibri" w:hAnsi="Calibri" w:cs="Calibri"/>
                <w:b/>
                <w:bCs/>
                <w:sz w:val="22"/>
              </w:rPr>
              <w:t>for GC opt 1, we prefer Option 1 since Option 2 has issues</w:t>
            </w:r>
            <w:r>
              <w:rPr>
                <w:rFonts w:ascii="Calibri" w:hAnsi="Calibri" w:cs="Calibri"/>
                <w:sz w:val="22"/>
              </w:rPr>
              <w:t>:</w:t>
            </w:r>
          </w:p>
          <w:p w14:paraId="05B52F6D" w14:textId="77777777" w:rsidR="00EE4559" w:rsidRDefault="00EE4559">
            <w:pPr>
              <w:pStyle w:val="ListParagraph"/>
              <w:numPr>
                <w:ilvl w:val="0"/>
                <w:numId w:val="38"/>
              </w:numPr>
              <w:autoSpaceDE w:val="0"/>
              <w:autoSpaceDN w:val="0"/>
              <w:spacing w:line="259" w:lineRule="auto"/>
              <w:ind w:leftChars="0"/>
              <w:jc w:val="both"/>
              <w:rPr>
                <w:rFonts w:ascii="Calibri" w:hAnsi="Calibri" w:cs="Calibri"/>
                <w:sz w:val="22"/>
                <w:lang w:val="en-US"/>
              </w:rPr>
            </w:pPr>
            <w:r>
              <w:rPr>
                <w:rFonts w:ascii="Calibri" w:hAnsi="Calibri" w:cs="Calibri"/>
                <w:sz w:val="22"/>
                <w:lang w:val="en-US"/>
              </w:rPr>
              <w:t xml:space="preserve">Case 1: There are no other UEs in the neighborhood, so no one attempts to send NAK </w:t>
            </w:r>
            <w:r>
              <w:rPr>
                <w:rFonts w:ascii="Calibri" w:hAnsi="Calibri" w:cs="Calibri"/>
                <w:sz w:val="22"/>
                <w:lang w:val="en-US"/>
              </w:rPr>
              <w:sym w:font="Wingdings" w:char="F0E0"/>
            </w:r>
            <w:r>
              <w:rPr>
                <w:rFonts w:ascii="Calibri" w:hAnsi="Calibri" w:cs="Calibri"/>
                <w:sz w:val="22"/>
                <w:lang w:val="en-US"/>
              </w:rPr>
              <w:t xml:space="preserve"> reset</w:t>
            </w:r>
          </w:p>
          <w:p w14:paraId="12E9108A" w14:textId="77777777" w:rsidR="00EE4559" w:rsidRDefault="00EE4559">
            <w:pPr>
              <w:numPr>
                <w:ilvl w:val="1"/>
                <w:numId w:val="38"/>
              </w:numPr>
              <w:autoSpaceDE w:val="0"/>
              <w:autoSpaceDN w:val="0"/>
              <w:spacing w:line="259" w:lineRule="auto"/>
              <w:jc w:val="both"/>
              <w:rPr>
                <w:rFonts w:ascii="Calibri" w:hAnsi="Calibri" w:cs="Calibri"/>
                <w:sz w:val="22"/>
                <w:lang w:val="en-US"/>
              </w:rPr>
            </w:pPr>
            <w:r>
              <w:rPr>
                <w:rFonts w:ascii="Calibri" w:hAnsi="Calibri" w:cs="Calibri"/>
                <w:sz w:val="22"/>
                <w:lang w:val="en-US"/>
              </w:rPr>
              <w:t>ideally, we should not change CW (Not reset CW)</w:t>
            </w:r>
          </w:p>
          <w:p w14:paraId="122C2A7E" w14:textId="77777777" w:rsidR="00EE4559" w:rsidRDefault="00EE4559">
            <w:pPr>
              <w:pStyle w:val="ListParagraph"/>
              <w:numPr>
                <w:ilvl w:val="0"/>
                <w:numId w:val="38"/>
              </w:numPr>
              <w:autoSpaceDE w:val="0"/>
              <w:autoSpaceDN w:val="0"/>
              <w:spacing w:line="259" w:lineRule="auto"/>
              <w:ind w:leftChars="0"/>
              <w:jc w:val="both"/>
              <w:rPr>
                <w:rFonts w:ascii="Calibri" w:hAnsi="Calibri" w:cs="Calibri"/>
                <w:sz w:val="22"/>
                <w:lang w:val="en-US"/>
              </w:rPr>
            </w:pPr>
            <w:r>
              <w:rPr>
                <w:rFonts w:ascii="Calibri" w:hAnsi="Calibri" w:cs="Calibri"/>
                <w:sz w:val="22"/>
                <w:lang w:val="en-US"/>
              </w:rPr>
              <w:t xml:space="preserve">Case 2: There are other UEs in the neighborhood, but no one can detect the PSCCH (high interference), so no one sends NAK </w:t>
            </w:r>
            <w:r>
              <w:rPr>
                <w:rFonts w:ascii="Calibri" w:hAnsi="Calibri" w:cs="Calibri"/>
                <w:sz w:val="22"/>
                <w:lang w:val="en-US"/>
              </w:rPr>
              <w:sym w:font="Wingdings" w:char="F0E0"/>
            </w:r>
            <w:r>
              <w:rPr>
                <w:rFonts w:ascii="Calibri" w:hAnsi="Calibri" w:cs="Calibri"/>
                <w:sz w:val="22"/>
                <w:lang w:val="en-US"/>
              </w:rPr>
              <w:t xml:space="preserve"> reset</w:t>
            </w:r>
          </w:p>
          <w:p w14:paraId="4366EBA1" w14:textId="77777777" w:rsidR="00EE4559" w:rsidRDefault="00EE4559">
            <w:pPr>
              <w:pStyle w:val="ListParagraph"/>
              <w:numPr>
                <w:ilvl w:val="1"/>
                <w:numId w:val="38"/>
              </w:numPr>
              <w:autoSpaceDE w:val="0"/>
              <w:autoSpaceDN w:val="0"/>
              <w:spacing w:line="259" w:lineRule="auto"/>
              <w:ind w:leftChars="0"/>
              <w:jc w:val="both"/>
              <w:rPr>
                <w:rFonts w:ascii="Calibri" w:hAnsi="Calibri" w:cs="Calibri"/>
                <w:sz w:val="22"/>
                <w:lang w:val="en-US"/>
              </w:rPr>
            </w:pPr>
            <w:r>
              <w:rPr>
                <w:rFonts w:ascii="Calibri" w:hAnsi="Calibri" w:cs="Calibri"/>
                <w:sz w:val="22"/>
                <w:lang w:val="en-US"/>
              </w:rPr>
              <w:t>We should double CW  (Not reset CW)</w:t>
            </w:r>
          </w:p>
        </w:tc>
      </w:tr>
      <w:tr w:rsidR="00EE4559" w14:paraId="78E3216A" w14:textId="77777777" w:rsidTr="006B2419">
        <w:tc>
          <w:tcPr>
            <w:tcW w:w="1555" w:type="dxa"/>
          </w:tcPr>
          <w:p w14:paraId="320E5063" w14:textId="77777777" w:rsidR="00EE4559" w:rsidRDefault="00EE4559" w:rsidP="006B2419">
            <w:pPr>
              <w:pStyle w:val="0Maintext"/>
              <w:spacing w:after="0" w:afterAutospacing="0"/>
              <w:ind w:firstLine="0"/>
            </w:pPr>
            <w:r>
              <w:lastRenderedPageBreak/>
              <w:t>Intel</w:t>
            </w:r>
          </w:p>
        </w:tc>
        <w:tc>
          <w:tcPr>
            <w:tcW w:w="8076" w:type="dxa"/>
          </w:tcPr>
          <w:p w14:paraId="6A2EA700" w14:textId="77777777" w:rsidR="00EE4559" w:rsidRDefault="00EE4559" w:rsidP="00EE4559">
            <w:pPr>
              <w:pStyle w:val="0Maintext"/>
              <w:spacing w:after="0" w:afterAutospacing="0"/>
              <w:ind w:firstLine="0"/>
            </w:pPr>
            <w:r>
              <w:t>In prior RAN1 meeting, the following was agreed:</w:t>
            </w:r>
          </w:p>
          <w:p w14:paraId="1AC99E51" w14:textId="77777777" w:rsidR="00EE4559" w:rsidRDefault="00EE4559" w:rsidP="00EE4559">
            <w:pPr>
              <w:spacing w:line="276" w:lineRule="auto"/>
              <w:jc w:val="both"/>
              <w:rPr>
                <w:sz w:val="22"/>
                <w:szCs w:val="22"/>
              </w:rPr>
            </w:pPr>
            <w:r>
              <w:rPr>
                <w:b/>
                <w:bCs/>
                <w:sz w:val="22"/>
                <w:szCs w:val="22"/>
                <w:highlight w:val="green"/>
              </w:rPr>
              <w:t>Agreement</w:t>
            </w:r>
          </w:p>
          <w:p w14:paraId="43CB51CE" w14:textId="77777777" w:rsidR="00EE4559" w:rsidRDefault="00EE4559" w:rsidP="00EE4559">
            <w:pPr>
              <w:pStyle w:val="ListParagraph"/>
              <w:numPr>
                <w:ilvl w:val="0"/>
                <w:numId w:val="18"/>
              </w:numPr>
              <w:autoSpaceDE w:val="0"/>
              <w:autoSpaceDN w:val="0"/>
              <w:spacing w:line="276" w:lineRule="auto"/>
              <w:ind w:leftChars="0"/>
              <w:jc w:val="both"/>
              <w:rPr>
                <w:rFonts w:ascii="Times New Roman" w:hAnsi="Times New Roman"/>
              </w:rPr>
            </w:pPr>
            <w:r>
              <w:rPr>
                <w:rFonts w:ascii="Times New Roman" w:hAnsi="Times New Roman"/>
              </w:rPr>
              <w:t>CW adjustment</w:t>
            </w:r>
          </w:p>
          <w:p w14:paraId="6A0E3781" w14:textId="77777777" w:rsidR="00EE4559" w:rsidRDefault="00EE4559" w:rsidP="00EE4559">
            <w:pPr>
              <w:pStyle w:val="ListParagraph"/>
              <w:numPr>
                <w:ilvl w:val="1"/>
                <w:numId w:val="18"/>
              </w:numPr>
              <w:autoSpaceDE w:val="0"/>
              <w:autoSpaceDN w:val="0"/>
              <w:spacing w:line="276" w:lineRule="auto"/>
              <w:ind w:leftChars="0"/>
              <w:jc w:val="both"/>
              <w:rPr>
                <w:rFonts w:ascii="Times New Roman" w:hAnsi="Times New Roman"/>
              </w:rPr>
            </w:pPr>
            <w:r>
              <w:rPr>
                <w:rFonts w:ascii="Times New Roman" w:hAnsi="Times New Roman"/>
              </w:rPr>
              <w:t xml:space="preserve">NR-U DL CW adjustment mechanism is used as the baseline for SL-U when SL-HARQ feedback is enabled in SCI for unicast </w:t>
            </w:r>
          </w:p>
          <w:p w14:paraId="3E7450BE" w14:textId="77777777" w:rsidR="00EE4559" w:rsidRDefault="00EE4559" w:rsidP="00EE4559">
            <w:pPr>
              <w:pStyle w:val="ListParagraph"/>
              <w:numPr>
                <w:ilvl w:val="2"/>
                <w:numId w:val="18"/>
              </w:numPr>
              <w:autoSpaceDE w:val="0"/>
              <w:autoSpaceDN w:val="0"/>
              <w:spacing w:line="276" w:lineRule="auto"/>
              <w:ind w:leftChars="0"/>
              <w:jc w:val="both"/>
              <w:rPr>
                <w:rFonts w:ascii="Times New Roman" w:hAnsi="Times New Roman"/>
              </w:rPr>
            </w:pPr>
            <w:r>
              <w:rPr>
                <w:rFonts w:ascii="Times New Roman" w:hAnsi="Times New Roman"/>
              </w:rPr>
              <w:t>FFS any necessary update for SL-U operation</w:t>
            </w:r>
          </w:p>
          <w:p w14:paraId="0F4A4CB0" w14:textId="77777777" w:rsidR="00EE4559" w:rsidRDefault="00EE4559" w:rsidP="00EE4559">
            <w:pPr>
              <w:pStyle w:val="ListParagraph"/>
              <w:numPr>
                <w:ilvl w:val="1"/>
                <w:numId w:val="18"/>
              </w:numPr>
              <w:autoSpaceDE w:val="0"/>
              <w:autoSpaceDN w:val="0"/>
              <w:spacing w:line="276" w:lineRule="auto"/>
              <w:ind w:leftChars="0"/>
              <w:jc w:val="both"/>
              <w:rPr>
                <w:rFonts w:ascii="Times New Roman" w:hAnsi="Times New Roman"/>
              </w:rPr>
            </w:pPr>
            <w:r>
              <w:rPr>
                <w:rFonts w:ascii="Times New Roman" w:hAnsi="Times New Roman"/>
              </w:rPr>
              <w:t>FFS: how to determine CW size when SL-HARQ feedback is disabled in SCI</w:t>
            </w:r>
          </w:p>
          <w:p w14:paraId="306CB03D" w14:textId="77777777" w:rsidR="00EE4559" w:rsidRDefault="00EE4559" w:rsidP="00EE4559">
            <w:pPr>
              <w:pStyle w:val="0Maintext"/>
              <w:spacing w:after="0" w:afterAutospacing="0"/>
              <w:ind w:firstLine="0"/>
            </w:pPr>
            <w:r>
              <w:rPr>
                <w:lang w:val="en-AU"/>
              </w:rPr>
              <w:t xml:space="preserve">FFS the case of groupcast option 1 (NACK-only) and </w:t>
            </w:r>
            <w:r>
              <w:t>groupcast option 2</w:t>
            </w:r>
          </w:p>
          <w:p w14:paraId="54B1E5C2" w14:textId="77777777" w:rsidR="00EE4559" w:rsidRDefault="00EE4559" w:rsidP="00EE4559">
            <w:pPr>
              <w:pStyle w:val="0Maintext"/>
              <w:spacing w:after="0" w:afterAutospacing="0"/>
              <w:ind w:firstLine="0"/>
            </w:pPr>
          </w:p>
          <w:p w14:paraId="47C815E6" w14:textId="77777777" w:rsidR="00EE4559" w:rsidRDefault="00EE4559" w:rsidP="00EE4559">
            <w:pPr>
              <w:pStyle w:val="0Maintext"/>
              <w:spacing w:after="0" w:afterAutospacing="0"/>
              <w:ind w:firstLine="0"/>
            </w:pPr>
            <w:r>
              <w:t>Our understanding is that with the above agreement we have intrinsically agreed that the CWS adjustment will be based on the HARQ feedback information related to a reference burst. In this matter, we believe that the first step will be to discuss the definition of reference burst for SL, and later on discuss how to update the CWS adjustment mechanism for each individual case. As the proposal is currently structured, it is not acceptable for us since it is unclear how the procedure woks and it clearly deviates from the above agreement. As for proposal 1, it seems the intention here is to have a type 1 LBT for each transmission and a CWS adjusted for each transmission.</w:t>
            </w:r>
          </w:p>
          <w:p w14:paraId="61FCEAE6" w14:textId="77777777" w:rsidR="00EE4559" w:rsidRDefault="00EE4559" w:rsidP="00EE4559">
            <w:pPr>
              <w:pStyle w:val="0Maintext"/>
              <w:spacing w:after="0" w:afterAutospacing="0"/>
              <w:ind w:firstLine="0"/>
            </w:pPr>
          </w:p>
          <w:p w14:paraId="3ECC6B4C" w14:textId="77777777" w:rsidR="00EE4559" w:rsidRDefault="00EE4559" w:rsidP="00EE4559">
            <w:pPr>
              <w:pStyle w:val="0Maintext"/>
              <w:spacing w:after="0" w:afterAutospacing="0"/>
              <w:ind w:firstLine="0"/>
            </w:pPr>
            <w:r>
              <w:t xml:space="preserve">For groupcast option 1, as we mentioned in our contribution (R1-2209054), a third option could be to support an ACK-only procedure rather than a NACK only procedure. The main reason, why a CWS based NACK-only procedure would be highly detrimental is that when an LBT failure will </w:t>
            </w:r>
            <w:r>
              <w:lastRenderedPageBreak/>
              <w:t>occur, this will always be captured as a ACK, meaning that based on the current solutions (e.g., option 1 and 2), the CWp will be always set to its minimum value (</w:t>
            </w:r>
            <w:r>
              <w:rPr>
                <w:rFonts w:ascii="Cambria Math" w:hAnsi="Cambria Math" w:cstheme="minorHAnsi"/>
                <w:i/>
                <w:sz w:val="22"/>
                <w:szCs w:val="28"/>
              </w:rPr>
              <w:t xml:space="preserve"> </w:t>
            </w:r>
            <m:oMath>
              <m:r>
                <w:rPr>
                  <w:rFonts w:ascii="Cambria Math" w:hAnsi="Cambria Math" w:cstheme="minorHAnsi"/>
                  <w:sz w:val="22"/>
                  <w:szCs w:val="28"/>
                </w:rPr>
                <m:t>C</m:t>
              </m:r>
              <m:sSub>
                <m:sSubPr>
                  <m:ctrlPr>
                    <w:rPr>
                      <w:rFonts w:ascii="Cambria Math" w:hAnsi="Cambria Math" w:cstheme="minorHAnsi"/>
                      <w:i/>
                      <w:sz w:val="22"/>
                      <w:szCs w:val="28"/>
                    </w:rPr>
                  </m:ctrlPr>
                </m:sSubPr>
                <m:e>
                  <m:r>
                    <w:rPr>
                      <w:rFonts w:ascii="Cambria Math" w:hAnsi="Cambria Math" w:cstheme="minorHAnsi"/>
                      <w:sz w:val="22"/>
                      <w:szCs w:val="28"/>
                    </w:rPr>
                    <m:t>W</m:t>
                  </m:r>
                </m:e>
                <m:sub>
                  <m:r>
                    <w:rPr>
                      <w:rFonts w:ascii="Cambria Math" w:hAnsi="Cambria Math" w:cstheme="minorHAnsi"/>
                      <w:sz w:val="22"/>
                      <w:szCs w:val="28"/>
                    </w:rPr>
                    <m:t>p</m:t>
                  </m:r>
                </m:sub>
              </m:sSub>
              <m:r>
                <w:rPr>
                  <w:rFonts w:ascii="Cambria Math" w:hAnsi="Cambria Math" w:cstheme="minorHAnsi"/>
                  <w:sz w:val="22"/>
                  <w:szCs w:val="28"/>
                  <w:lang w:val="en-US"/>
                </w:rPr>
                <m:t>=</m:t>
              </m:r>
              <m:r>
                <w:rPr>
                  <w:rFonts w:ascii="Cambria Math" w:hAnsi="Cambria Math" w:cstheme="minorHAnsi"/>
                  <w:sz w:val="22"/>
                  <w:szCs w:val="28"/>
                </w:rPr>
                <m:t>C</m:t>
              </m:r>
              <m:sSub>
                <m:sSubPr>
                  <m:ctrlPr>
                    <w:rPr>
                      <w:rFonts w:ascii="Cambria Math" w:hAnsi="Cambria Math" w:cstheme="minorHAnsi"/>
                      <w:i/>
                      <w:sz w:val="22"/>
                      <w:szCs w:val="28"/>
                    </w:rPr>
                  </m:ctrlPr>
                </m:sSubPr>
                <m:e>
                  <m:r>
                    <w:rPr>
                      <w:rFonts w:ascii="Cambria Math" w:hAnsi="Cambria Math" w:cstheme="minorHAnsi"/>
                      <w:sz w:val="22"/>
                      <w:szCs w:val="28"/>
                    </w:rPr>
                    <m:t>W</m:t>
                  </m:r>
                </m:e>
                <m:sub>
                  <m:func>
                    <m:funcPr>
                      <m:ctrlPr>
                        <w:rPr>
                          <w:rFonts w:ascii="Cambria Math" w:hAnsi="Cambria Math" w:cstheme="minorHAnsi"/>
                          <w:i/>
                          <w:sz w:val="22"/>
                          <w:szCs w:val="28"/>
                        </w:rPr>
                      </m:ctrlPr>
                    </m:funcPr>
                    <m:fName>
                      <m:r>
                        <w:rPr>
                          <w:rFonts w:ascii="Cambria Math" w:hAnsi="Cambria Math" w:cstheme="minorHAnsi"/>
                          <w:sz w:val="22"/>
                          <w:szCs w:val="28"/>
                        </w:rPr>
                        <m:t>min</m:t>
                      </m:r>
                      <m:r>
                        <w:rPr>
                          <w:rFonts w:ascii="Cambria Math" w:hAnsi="Cambria Math" w:cstheme="minorHAnsi"/>
                          <w:sz w:val="22"/>
                          <w:szCs w:val="28"/>
                          <w:lang w:val="en-US"/>
                        </w:rPr>
                        <m:t>,</m:t>
                      </m:r>
                    </m:fName>
                    <m:e>
                      <m:r>
                        <w:rPr>
                          <w:rFonts w:ascii="Cambria Math" w:hAnsi="Cambria Math" w:cstheme="minorHAnsi"/>
                          <w:sz w:val="22"/>
                          <w:szCs w:val="28"/>
                        </w:rPr>
                        <m:t>p</m:t>
                      </m:r>
                    </m:e>
                  </m:func>
                </m:sub>
              </m:sSub>
            </m:oMath>
            <w:r>
              <w:t xml:space="preserve">) meaning that instead of reducing contention, the overall contention within the network will be further increased since devices will be performing shorter LBTs, which is clearly against the purpose of the CWS adjustment mechanism defined in LAA and NR-U. With that said, we would like to update the proposal as follows: </w:t>
            </w:r>
          </w:p>
          <w:p w14:paraId="433D121C" w14:textId="77777777" w:rsidR="00EE4559" w:rsidRDefault="00EE4559" w:rsidP="00EE4559">
            <w:pPr>
              <w:pStyle w:val="0Maintext"/>
              <w:spacing w:after="0" w:afterAutospacing="0"/>
              <w:ind w:firstLine="0"/>
            </w:pPr>
          </w:p>
          <w:p w14:paraId="18EC8B4D" w14:textId="77777777" w:rsidR="00EE4559" w:rsidRDefault="00EE4559" w:rsidP="00EE4559">
            <w:pPr>
              <w:pStyle w:val="ListParagraph"/>
              <w:numPr>
                <w:ilvl w:val="0"/>
                <w:numId w:val="18"/>
              </w:numPr>
              <w:autoSpaceDE w:val="0"/>
              <w:autoSpaceDN w:val="0"/>
              <w:spacing w:line="259" w:lineRule="auto"/>
              <w:ind w:leftChars="0"/>
              <w:jc w:val="both"/>
              <w:rPr>
                <w:rFonts w:ascii="Calibri" w:hAnsi="Calibri" w:cs="Calibri"/>
                <w:sz w:val="22"/>
              </w:rPr>
            </w:pPr>
            <w:r>
              <w:rPr>
                <w:rFonts w:ascii="Calibri" w:hAnsi="Calibri" w:cs="Calibri"/>
                <w:sz w:val="22"/>
              </w:rPr>
              <w:t>In Type 1 SL channel access procedure,</w:t>
            </w:r>
          </w:p>
          <w:p w14:paraId="45A8B541" w14:textId="77777777" w:rsidR="00EE4559" w:rsidRDefault="00EE4559" w:rsidP="00EE4559">
            <w:pPr>
              <w:pStyle w:val="ListParagraph"/>
              <w:numPr>
                <w:ilvl w:val="1"/>
                <w:numId w:val="18"/>
              </w:numPr>
              <w:autoSpaceDE w:val="0"/>
              <w:autoSpaceDN w:val="0"/>
              <w:spacing w:line="259" w:lineRule="auto"/>
              <w:ind w:leftChars="0"/>
              <w:jc w:val="both"/>
              <w:rPr>
                <w:rFonts w:ascii="Calibri" w:hAnsi="Calibri" w:cs="Calibri"/>
                <w:color w:val="FF0000"/>
                <w:sz w:val="22"/>
              </w:rPr>
            </w:pPr>
            <w:r>
              <w:rPr>
                <w:rFonts w:ascii="Calibri" w:hAnsi="Calibri" w:cs="Calibri"/>
                <w:color w:val="FF0000"/>
                <w:sz w:val="22"/>
              </w:rPr>
              <w:t>A SL reference burst is defined as any burst from the beginning of the channel occupancy until either</w:t>
            </w:r>
          </w:p>
          <w:p w14:paraId="743E65DD" w14:textId="77777777" w:rsidR="00EE4559" w:rsidRDefault="00EE4559" w:rsidP="00EE4559">
            <w:pPr>
              <w:pStyle w:val="3GPPText"/>
              <w:numPr>
                <w:ilvl w:val="2"/>
                <w:numId w:val="18"/>
              </w:numPr>
              <w:spacing w:before="0" w:after="0" w:line="276" w:lineRule="auto"/>
              <w:rPr>
                <w:rFonts w:ascii="Calibri" w:eastAsia="Batang" w:hAnsi="Calibri" w:cs="Calibri"/>
                <w:color w:val="FF0000"/>
                <w:szCs w:val="24"/>
                <w:lang w:val="en-GB"/>
              </w:rPr>
            </w:pPr>
            <w:r>
              <w:rPr>
                <w:rFonts w:ascii="Calibri" w:eastAsia="Batang" w:hAnsi="Calibri" w:cs="Calibri"/>
                <w:color w:val="FF0000"/>
                <w:szCs w:val="24"/>
                <w:lang w:val="en-GB"/>
              </w:rPr>
              <w:t>the end of the first slot where at least one unicast PSSCH or a groupcast PSSCH with HARQ-ACK feedback enabled in SCI is transmitted, or</w:t>
            </w:r>
          </w:p>
          <w:p w14:paraId="18D6B4AA" w14:textId="77777777" w:rsidR="00EE4559" w:rsidRDefault="00EE4559" w:rsidP="00EE4559">
            <w:pPr>
              <w:pStyle w:val="3GPPText"/>
              <w:numPr>
                <w:ilvl w:val="2"/>
                <w:numId w:val="18"/>
              </w:numPr>
              <w:spacing w:before="0" w:after="0" w:line="276" w:lineRule="auto"/>
              <w:rPr>
                <w:rFonts w:ascii="Calibri" w:eastAsia="Batang" w:hAnsi="Calibri" w:cs="Calibri"/>
                <w:color w:val="FF0000"/>
                <w:szCs w:val="24"/>
                <w:lang w:val="en-GB"/>
              </w:rPr>
            </w:pPr>
            <w:r>
              <w:rPr>
                <w:rFonts w:ascii="Calibri" w:eastAsia="Batang" w:hAnsi="Calibri" w:cs="Calibri"/>
                <w:color w:val="FF0000"/>
                <w:szCs w:val="24"/>
                <w:lang w:val="en-GB"/>
              </w:rPr>
              <w:t>the end of the first transmission burst that contains a unicast PSSCH or a groupcast PSSCH with HARQ-ACK feedback enabled in SCI,</w:t>
            </w:r>
          </w:p>
          <w:p w14:paraId="7FDDAE74" w14:textId="77777777" w:rsidR="00EE4559" w:rsidRDefault="00EE4559" w:rsidP="00EE4559">
            <w:pPr>
              <w:pStyle w:val="3GPPText"/>
              <w:spacing w:before="0" w:after="0" w:line="276" w:lineRule="auto"/>
              <w:ind w:left="1440"/>
              <w:rPr>
                <w:rFonts w:ascii="Calibri" w:eastAsia="Batang" w:hAnsi="Calibri" w:cs="Calibri"/>
                <w:color w:val="FF0000"/>
                <w:szCs w:val="24"/>
                <w:lang w:val="en-GB"/>
              </w:rPr>
            </w:pPr>
            <w:r>
              <w:rPr>
                <w:rFonts w:ascii="Calibri" w:eastAsia="Batang" w:hAnsi="Calibri" w:cs="Calibri"/>
                <w:color w:val="FF0000"/>
                <w:szCs w:val="24"/>
                <w:lang w:val="en-GB"/>
              </w:rPr>
              <w:t>whichever occurs earlier.</w:t>
            </w:r>
          </w:p>
          <w:p w14:paraId="767A8A07" w14:textId="77777777" w:rsidR="00EE4559" w:rsidRDefault="00EE4559" w:rsidP="00EE4559">
            <w:pPr>
              <w:pStyle w:val="ListParagraph"/>
              <w:numPr>
                <w:ilvl w:val="1"/>
                <w:numId w:val="18"/>
              </w:numPr>
              <w:autoSpaceDE w:val="0"/>
              <w:autoSpaceDN w:val="0"/>
              <w:spacing w:line="259" w:lineRule="auto"/>
              <w:ind w:leftChars="0"/>
              <w:jc w:val="both"/>
              <w:rPr>
                <w:rFonts w:ascii="Calibri" w:hAnsi="Calibri" w:cs="Calibri"/>
                <w:strike/>
                <w:sz w:val="22"/>
              </w:rPr>
            </w:pPr>
            <w:r>
              <w:rPr>
                <w:rFonts w:ascii="Calibri" w:hAnsi="Calibri" w:cs="Calibri"/>
                <w:strike/>
                <w:sz w:val="22"/>
              </w:rPr>
              <w:t>CW adjustment when SL-HARQ feedback is disabled in SCI:</w:t>
            </w:r>
          </w:p>
          <w:p w14:paraId="560E3257" w14:textId="77777777" w:rsidR="00EE4559" w:rsidRDefault="00EE4559" w:rsidP="00EE4559">
            <w:pPr>
              <w:pStyle w:val="ListParagraph"/>
              <w:numPr>
                <w:ilvl w:val="2"/>
                <w:numId w:val="18"/>
              </w:numPr>
              <w:autoSpaceDE w:val="0"/>
              <w:autoSpaceDN w:val="0"/>
              <w:spacing w:line="259" w:lineRule="auto"/>
              <w:ind w:leftChars="0"/>
              <w:jc w:val="both"/>
              <w:rPr>
                <w:rFonts w:ascii="Calibri" w:hAnsi="Calibri" w:cs="Calibri"/>
                <w:strike/>
                <w:sz w:val="22"/>
              </w:rPr>
            </w:pPr>
            <w:r>
              <w:rPr>
                <w:rFonts w:ascii="Calibri" w:hAnsi="Calibri" w:cs="Calibri" w:hint="eastAsia"/>
                <w:strike/>
                <w:sz w:val="22"/>
                <w:lang w:val="en-AU"/>
              </w:rPr>
              <w:t xml:space="preserve">For every priority class </w:t>
            </w:r>
            <m:oMath>
              <m:r>
                <w:rPr>
                  <w:rFonts w:ascii="Cambria Math" w:hAnsi="Cambria Math" w:cs="Calibri"/>
                  <w:strike/>
                  <w:sz w:val="22"/>
                </w:rPr>
                <m:t>p∈</m:t>
              </m:r>
              <m:d>
                <m:dPr>
                  <m:begChr m:val="{"/>
                  <m:endChr m:val="}"/>
                  <m:ctrlPr>
                    <w:rPr>
                      <w:rFonts w:ascii="Cambria Math" w:hAnsi="Cambria Math" w:cs="Calibri"/>
                      <w:i/>
                      <w:iCs/>
                      <w:strike/>
                      <w:sz w:val="22"/>
                    </w:rPr>
                  </m:ctrlPr>
                </m:dPr>
                <m:e>
                  <m:r>
                    <w:rPr>
                      <w:rFonts w:ascii="Cambria Math" w:hAnsi="Cambria Math" w:cs="Calibri"/>
                      <w:strike/>
                      <w:sz w:val="22"/>
                    </w:rPr>
                    <m:t>1,2,3,4</m:t>
                  </m:r>
                </m:e>
              </m:d>
            </m:oMath>
            <w:r>
              <w:rPr>
                <w:rFonts w:ascii="Calibri" w:hAnsi="Calibri" w:cs="Calibri" w:hint="eastAsia"/>
                <w:strike/>
                <w:sz w:val="22"/>
                <w:lang w:val="en-AU"/>
              </w:rPr>
              <w:t>,</w:t>
            </w:r>
            <w:r>
              <w:rPr>
                <w:rFonts w:ascii="Calibri" w:hAnsi="Calibri" w:cs="Calibri"/>
                <w:i/>
                <w:iCs/>
                <w:strike/>
                <w:sz w:val="22"/>
              </w:rPr>
              <w:t xml:space="preserve"> </w:t>
            </w:r>
            <w:r>
              <w:rPr>
                <w:rFonts w:ascii="Calibri" w:hAnsi="Calibri" w:cs="Calibri"/>
                <w:strike/>
                <w:sz w:val="22"/>
              </w:rPr>
              <w:t>use the latest</w:t>
            </w:r>
            <w:r>
              <w:rPr>
                <w:rFonts w:ascii="Calibri" w:hAnsi="Calibri" w:cs="Calibri" w:hint="eastAsia"/>
                <w:strike/>
                <w:sz w:val="22"/>
              </w:rPr>
              <w:t xml:space="preserve"> </w:t>
            </w:r>
            <m:oMath>
              <m:r>
                <w:rPr>
                  <w:rFonts w:ascii="Cambria Math" w:hAnsi="Cambria Math" w:cs="Calibri"/>
                  <w:strike/>
                  <w:sz w:val="22"/>
                </w:rPr>
                <m:t>C</m:t>
              </m:r>
              <m:sSub>
                <m:sSubPr>
                  <m:ctrlPr>
                    <w:rPr>
                      <w:rFonts w:ascii="Cambria Math" w:hAnsi="Cambria Math" w:cs="Calibri"/>
                      <w:i/>
                      <w:iCs/>
                      <w:strike/>
                      <w:sz w:val="22"/>
                    </w:rPr>
                  </m:ctrlPr>
                </m:sSubPr>
                <m:e>
                  <m:r>
                    <w:rPr>
                      <w:rFonts w:ascii="Cambria Math" w:hAnsi="Cambria Math" w:cs="Calibri"/>
                      <w:strike/>
                      <w:sz w:val="22"/>
                    </w:rPr>
                    <m:t>W</m:t>
                  </m:r>
                </m:e>
                <m:sub>
                  <m:r>
                    <w:rPr>
                      <w:rFonts w:ascii="Cambria Math" w:hAnsi="Cambria Math" w:cs="Calibri"/>
                      <w:strike/>
                      <w:sz w:val="22"/>
                    </w:rPr>
                    <m:t>p</m:t>
                  </m:r>
                </m:sub>
              </m:sSub>
            </m:oMath>
            <w:r>
              <w:rPr>
                <w:rFonts w:ascii="Calibri" w:hAnsi="Calibri" w:cs="Calibri" w:hint="eastAsia"/>
                <w:strike/>
                <w:sz w:val="22"/>
              </w:rPr>
              <w:t xml:space="preserve"> </w:t>
            </w:r>
            <w:r>
              <w:rPr>
                <w:rFonts w:ascii="Calibri" w:hAnsi="Calibri" w:cs="Calibri"/>
                <w:strike/>
                <w:sz w:val="22"/>
              </w:rPr>
              <w:t xml:space="preserve">used for any SL transmissions on the channel using Type 1 channel access procedures associated with the channel access priority class </w:t>
            </w:r>
            <m:oMath>
              <m:r>
                <w:rPr>
                  <w:rFonts w:ascii="Cambria Math" w:hAnsi="Cambria Math" w:cs="Calibri"/>
                  <w:strike/>
                  <w:sz w:val="22"/>
                </w:rPr>
                <m:t>p</m:t>
              </m:r>
            </m:oMath>
            <w:r>
              <w:rPr>
                <w:rFonts w:ascii="Calibri" w:hAnsi="Calibri" w:cs="Calibri" w:hint="eastAsia"/>
                <w:strike/>
                <w:sz w:val="22"/>
              </w:rPr>
              <w:t>.</w:t>
            </w:r>
            <w:r>
              <w:rPr>
                <w:rFonts w:ascii="Calibri" w:hAnsi="Calibri" w:cs="Calibri"/>
                <w:strike/>
                <w:sz w:val="22"/>
              </w:rPr>
              <w:t xml:space="preserve"> </w:t>
            </w:r>
            <w:r>
              <w:rPr>
                <w:rFonts w:asciiTheme="minorHAnsi" w:hAnsiTheme="minorHAnsi" w:cstheme="minorHAnsi"/>
                <w:strike/>
                <w:sz w:val="22"/>
                <w:szCs w:val="28"/>
              </w:rPr>
              <w:t xml:space="preserve">If the corresponding channel access priority class </w:t>
            </w:r>
            <m:oMath>
              <m:r>
                <w:rPr>
                  <w:rFonts w:ascii="Cambria Math" w:hAnsi="Cambria Math" w:cstheme="minorHAnsi"/>
                  <w:strike/>
                  <w:sz w:val="22"/>
                  <w:szCs w:val="28"/>
                </w:rPr>
                <m:t>p</m:t>
              </m:r>
            </m:oMath>
            <w:r>
              <w:rPr>
                <w:rFonts w:asciiTheme="minorHAnsi" w:hAnsiTheme="minorHAnsi" w:cstheme="minorHAnsi"/>
                <w:strike/>
                <w:sz w:val="22"/>
                <w:szCs w:val="28"/>
              </w:rPr>
              <w:t xml:space="preserve">  has not been used for any SL transmissions on the channel, </w:t>
            </w:r>
            <m:oMath>
              <m:r>
                <w:rPr>
                  <w:rFonts w:ascii="Cambria Math" w:hAnsi="Cambria Math" w:cstheme="minorHAnsi"/>
                  <w:strike/>
                  <w:sz w:val="22"/>
                  <w:szCs w:val="28"/>
                </w:rPr>
                <m:t>C</m:t>
              </m:r>
              <m:sSub>
                <m:sSubPr>
                  <m:ctrlPr>
                    <w:rPr>
                      <w:rFonts w:ascii="Cambria Math" w:hAnsi="Cambria Math" w:cstheme="minorHAnsi"/>
                      <w:i/>
                      <w:strike/>
                      <w:sz w:val="22"/>
                      <w:szCs w:val="28"/>
                    </w:rPr>
                  </m:ctrlPr>
                </m:sSubPr>
                <m:e>
                  <m:r>
                    <w:rPr>
                      <w:rFonts w:ascii="Cambria Math" w:hAnsi="Cambria Math" w:cstheme="minorHAnsi"/>
                      <w:strike/>
                      <w:sz w:val="22"/>
                      <w:szCs w:val="28"/>
                    </w:rPr>
                    <m:t>W</m:t>
                  </m:r>
                </m:e>
                <m:sub>
                  <m:r>
                    <w:rPr>
                      <w:rFonts w:ascii="Cambria Math" w:hAnsi="Cambria Math" w:cstheme="minorHAnsi"/>
                      <w:strike/>
                      <w:sz w:val="22"/>
                      <w:szCs w:val="28"/>
                    </w:rPr>
                    <m:t>p</m:t>
                  </m:r>
                </m:sub>
              </m:sSub>
              <m:r>
                <w:rPr>
                  <w:rFonts w:ascii="Cambria Math" w:hAnsi="Cambria Math" w:cstheme="minorHAnsi"/>
                  <w:strike/>
                  <w:sz w:val="22"/>
                  <w:szCs w:val="28"/>
                  <w:lang w:val="en-US"/>
                </w:rPr>
                <m:t>=</m:t>
              </m:r>
              <m:r>
                <w:rPr>
                  <w:rFonts w:ascii="Cambria Math" w:hAnsi="Cambria Math" w:cstheme="minorHAnsi"/>
                  <w:strike/>
                  <w:sz w:val="22"/>
                  <w:szCs w:val="28"/>
                </w:rPr>
                <m:t>C</m:t>
              </m:r>
              <m:sSub>
                <m:sSubPr>
                  <m:ctrlPr>
                    <w:rPr>
                      <w:rFonts w:ascii="Cambria Math" w:hAnsi="Cambria Math" w:cstheme="minorHAnsi"/>
                      <w:i/>
                      <w:strike/>
                      <w:sz w:val="22"/>
                      <w:szCs w:val="28"/>
                    </w:rPr>
                  </m:ctrlPr>
                </m:sSubPr>
                <m:e>
                  <m:r>
                    <w:rPr>
                      <w:rFonts w:ascii="Cambria Math" w:hAnsi="Cambria Math" w:cstheme="minorHAnsi"/>
                      <w:strike/>
                      <w:sz w:val="22"/>
                      <w:szCs w:val="28"/>
                    </w:rPr>
                    <m:t>W</m:t>
                  </m:r>
                </m:e>
                <m:sub>
                  <m:func>
                    <m:funcPr>
                      <m:ctrlPr>
                        <w:rPr>
                          <w:rFonts w:ascii="Cambria Math" w:hAnsi="Cambria Math" w:cstheme="minorHAnsi"/>
                          <w:i/>
                          <w:strike/>
                          <w:sz w:val="22"/>
                          <w:szCs w:val="28"/>
                        </w:rPr>
                      </m:ctrlPr>
                    </m:funcPr>
                    <m:fName>
                      <m:r>
                        <w:rPr>
                          <w:rFonts w:ascii="Cambria Math" w:hAnsi="Cambria Math" w:cstheme="minorHAnsi"/>
                          <w:strike/>
                          <w:sz w:val="22"/>
                          <w:szCs w:val="28"/>
                        </w:rPr>
                        <m:t>min</m:t>
                      </m:r>
                      <m:r>
                        <w:rPr>
                          <w:rFonts w:ascii="Cambria Math" w:hAnsi="Cambria Math" w:cstheme="minorHAnsi"/>
                          <w:strike/>
                          <w:sz w:val="22"/>
                          <w:szCs w:val="28"/>
                          <w:lang w:val="en-US"/>
                        </w:rPr>
                        <m:t>,</m:t>
                      </m:r>
                    </m:fName>
                    <m:e>
                      <m:r>
                        <w:rPr>
                          <w:rFonts w:ascii="Cambria Math" w:hAnsi="Cambria Math" w:cstheme="minorHAnsi"/>
                          <w:strike/>
                          <w:sz w:val="22"/>
                          <w:szCs w:val="28"/>
                        </w:rPr>
                        <m:t>p</m:t>
                      </m:r>
                    </m:e>
                  </m:func>
                </m:sub>
              </m:sSub>
            </m:oMath>
            <w:r>
              <w:rPr>
                <w:rFonts w:asciiTheme="minorHAnsi" w:hAnsiTheme="minorHAnsi" w:cstheme="minorHAnsi"/>
                <w:strike/>
                <w:sz w:val="22"/>
                <w:szCs w:val="28"/>
              </w:rPr>
              <w:t xml:space="preserve"> is used.</w:t>
            </w:r>
          </w:p>
          <w:p w14:paraId="79AE20EC" w14:textId="77777777" w:rsidR="00EE4559" w:rsidRDefault="00EE4559" w:rsidP="00EE4559">
            <w:pPr>
              <w:pStyle w:val="3GPPText"/>
              <w:numPr>
                <w:ilvl w:val="1"/>
                <w:numId w:val="18"/>
              </w:numPr>
              <w:spacing w:before="0" w:after="0" w:line="276" w:lineRule="auto"/>
              <w:rPr>
                <w:rFonts w:asciiTheme="minorHAnsi" w:hAnsiTheme="minorHAnsi" w:cstheme="minorHAnsi"/>
                <w:color w:val="FF0000"/>
                <w:szCs w:val="22"/>
              </w:rPr>
            </w:pPr>
            <w:r>
              <w:rPr>
                <w:rFonts w:asciiTheme="minorHAnsi" w:hAnsiTheme="minorHAnsi" w:cstheme="minorHAnsi"/>
                <w:color w:val="FF0000"/>
                <w:szCs w:val="22"/>
              </w:rPr>
              <w:t>If all transmissions within a SL reference burst may be with the SL-HARQ feedback disabled, the CWS may be kept unchanged f</w:t>
            </w:r>
            <w:r>
              <w:rPr>
                <w:rFonts w:asciiTheme="minorHAnsi" w:hAnsiTheme="minorHAnsi" w:cstheme="minorHAnsi" w:hint="eastAsia"/>
                <w:color w:val="FF0000"/>
                <w:szCs w:val="22"/>
              </w:rPr>
              <w:t xml:space="preserve">or every priority class </w:t>
            </w:r>
            <m:oMath>
              <m:r>
                <w:rPr>
                  <w:rFonts w:ascii="Cambria Math" w:hAnsi="Cambria Math" w:cstheme="minorHAnsi"/>
                  <w:color w:val="FF0000"/>
                  <w:szCs w:val="22"/>
                </w:rPr>
                <m:t>p</m:t>
              </m:r>
              <m:r>
                <m:rPr>
                  <m:sty m:val="p"/>
                </m:rPr>
                <w:rPr>
                  <w:rFonts w:ascii="Cambria Math" w:hAnsi="Cambria Math" w:cstheme="minorHAnsi"/>
                  <w:color w:val="FF0000"/>
                  <w:szCs w:val="22"/>
                </w:rPr>
                <m:t>∈</m:t>
              </m:r>
              <m:d>
                <m:dPr>
                  <m:begChr m:val="{"/>
                  <m:endChr m:val="}"/>
                  <m:ctrlPr>
                    <w:rPr>
                      <w:rFonts w:ascii="Cambria Math" w:hAnsi="Cambria Math" w:cstheme="minorHAnsi"/>
                      <w:color w:val="FF0000"/>
                      <w:szCs w:val="22"/>
                    </w:rPr>
                  </m:ctrlPr>
                </m:dPr>
                <m:e>
                  <m:r>
                    <m:rPr>
                      <m:sty m:val="p"/>
                    </m:rPr>
                    <w:rPr>
                      <w:rFonts w:ascii="Cambria Math" w:hAnsi="Cambria Math" w:cstheme="minorHAnsi"/>
                      <w:color w:val="FF0000"/>
                      <w:szCs w:val="22"/>
                    </w:rPr>
                    <m:t>1,2,3,4</m:t>
                  </m:r>
                </m:e>
              </m:d>
            </m:oMath>
            <w:r>
              <w:rPr>
                <w:rFonts w:asciiTheme="minorHAnsi" w:hAnsiTheme="minorHAnsi" w:cstheme="minorHAnsi" w:hint="eastAsia"/>
                <w:color w:val="FF0000"/>
                <w:szCs w:val="22"/>
              </w:rPr>
              <w:t>,</w:t>
            </w:r>
            <w:r>
              <w:rPr>
                <w:rFonts w:asciiTheme="minorHAnsi" w:hAnsiTheme="minorHAnsi" w:cstheme="minorHAnsi"/>
                <w:color w:val="FF0000"/>
                <w:szCs w:val="22"/>
              </w:rPr>
              <w:t xml:space="preserve">. </w:t>
            </w:r>
          </w:p>
          <w:p w14:paraId="2831FE77" w14:textId="77777777" w:rsidR="00EE4559" w:rsidRDefault="00EE4559" w:rsidP="00EE4559">
            <w:pPr>
              <w:pStyle w:val="3GPPText"/>
              <w:numPr>
                <w:ilvl w:val="1"/>
                <w:numId w:val="18"/>
              </w:numPr>
              <w:spacing w:before="0" w:after="0" w:line="276" w:lineRule="auto"/>
              <w:rPr>
                <w:rFonts w:asciiTheme="minorHAnsi" w:hAnsiTheme="minorHAnsi" w:cstheme="minorHAnsi"/>
                <w:color w:val="FF0000"/>
                <w:szCs w:val="22"/>
              </w:rPr>
            </w:pPr>
            <w:r>
              <w:rPr>
                <w:rFonts w:asciiTheme="minorHAnsi" w:hAnsiTheme="minorHAnsi" w:cstheme="minorHAnsi"/>
                <w:color w:val="FF0000"/>
                <w:szCs w:val="22"/>
              </w:rPr>
              <w:t xml:space="preserve">If a UE may receive feedback information for unicast PSSCH with HARQ-ACK feedback enabled occurring within the SL reference burst </w:t>
            </w:r>
            <m:oMath>
              <m:r>
                <w:rPr>
                  <w:rFonts w:ascii="Cambria Math" w:hAnsi="Cambria Math" w:cstheme="minorHAnsi"/>
                  <w:color w:val="FF0000"/>
                  <w:szCs w:val="22"/>
                </w:rPr>
                <m:t>C</m:t>
              </m:r>
              <m:sSub>
                <m:sSubPr>
                  <m:ctrlPr>
                    <w:rPr>
                      <w:rFonts w:ascii="Cambria Math" w:hAnsi="Cambria Math" w:cstheme="minorHAnsi"/>
                      <w:i/>
                      <w:iCs/>
                      <w:color w:val="FF0000"/>
                      <w:szCs w:val="22"/>
                    </w:rPr>
                  </m:ctrlPr>
                </m:sSubPr>
                <m:e>
                  <m:r>
                    <w:rPr>
                      <w:rFonts w:ascii="Cambria Math" w:hAnsi="Cambria Math" w:cstheme="minorHAnsi"/>
                      <w:color w:val="FF0000"/>
                      <w:szCs w:val="22"/>
                    </w:rPr>
                    <m:t>W</m:t>
                  </m:r>
                </m:e>
                <m:sub>
                  <m:r>
                    <w:rPr>
                      <w:rFonts w:ascii="Cambria Math" w:hAnsi="Cambria Math" w:cstheme="minorHAnsi"/>
                      <w:color w:val="FF0000"/>
                      <w:szCs w:val="22"/>
                    </w:rPr>
                    <m:t>p</m:t>
                  </m:r>
                </m:sub>
              </m:sSub>
              <m:r>
                <m:rPr>
                  <m:sty m:val="p"/>
                </m:rPr>
                <w:rPr>
                  <w:rFonts w:ascii="Cambria Math" w:hAnsi="Cambria Math" w:cstheme="minorHAnsi"/>
                  <w:color w:val="FF0000"/>
                  <w:szCs w:val="22"/>
                </w:rPr>
                <m:t>=</m:t>
              </m:r>
              <m:r>
                <w:rPr>
                  <w:rFonts w:ascii="Cambria Math" w:hAnsi="Cambria Math" w:cstheme="minorHAnsi"/>
                  <w:color w:val="FF0000"/>
                  <w:szCs w:val="22"/>
                </w:rPr>
                <m:t>C</m:t>
              </m:r>
              <m:sSub>
                <m:sSubPr>
                  <m:ctrlPr>
                    <w:rPr>
                      <w:rFonts w:ascii="Cambria Math" w:hAnsi="Cambria Math" w:cstheme="minorHAnsi"/>
                      <w:i/>
                      <w:iCs/>
                      <w:color w:val="FF0000"/>
                      <w:szCs w:val="22"/>
                    </w:rPr>
                  </m:ctrlPr>
                </m:sSubPr>
                <m:e>
                  <m:r>
                    <w:rPr>
                      <w:rFonts w:ascii="Cambria Math" w:hAnsi="Cambria Math" w:cstheme="minorHAnsi"/>
                      <w:color w:val="FF0000"/>
                      <w:szCs w:val="22"/>
                    </w:rPr>
                    <m:t>W</m:t>
                  </m:r>
                </m:e>
                <m:sub>
                  <m:func>
                    <m:funcPr>
                      <m:ctrlPr>
                        <w:rPr>
                          <w:rFonts w:ascii="Cambria Math" w:hAnsi="Cambria Math" w:cstheme="minorHAnsi"/>
                          <w:i/>
                          <w:iCs/>
                          <w:color w:val="FF0000"/>
                          <w:szCs w:val="22"/>
                        </w:rPr>
                      </m:ctrlPr>
                    </m:funcPr>
                    <m:fName>
                      <m:r>
                        <w:rPr>
                          <w:rFonts w:ascii="Cambria Math" w:hAnsi="Cambria Math" w:cstheme="minorHAnsi"/>
                          <w:color w:val="FF0000"/>
                          <w:szCs w:val="22"/>
                        </w:rPr>
                        <m:t>min</m:t>
                      </m:r>
                      <m:r>
                        <m:rPr>
                          <m:sty m:val="p"/>
                        </m:rPr>
                        <w:rPr>
                          <w:rFonts w:ascii="Cambria Math" w:hAnsi="Cambria Math" w:cstheme="minorHAnsi"/>
                          <w:color w:val="FF0000"/>
                          <w:szCs w:val="22"/>
                        </w:rPr>
                        <m:t>,</m:t>
                      </m:r>
                    </m:fName>
                    <m:e>
                      <m:r>
                        <w:rPr>
                          <w:rFonts w:ascii="Cambria Math" w:hAnsi="Cambria Math" w:cstheme="minorHAnsi"/>
                          <w:color w:val="FF0000"/>
                          <w:szCs w:val="22"/>
                        </w:rPr>
                        <m:t>p</m:t>
                      </m:r>
                    </m:e>
                  </m:func>
                </m:sub>
              </m:sSub>
            </m:oMath>
            <w:r>
              <w:rPr>
                <w:rFonts w:asciiTheme="minorHAnsi" w:hAnsiTheme="minorHAnsi" w:cstheme="minorHAnsi"/>
                <w:color w:val="FF0000"/>
                <w:szCs w:val="22"/>
              </w:rPr>
              <w:t xml:space="preserve"> if at least a ‘ACK’ is received, otherwise </w:t>
            </w:r>
            <m:oMath>
              <m:r>
                <w:rPr>
                  <w:rFonts w:ascii="Cambria Math" w:hAnsi="Cambria Math" w:cstheme="minorHAnsi"/>
                  <w:color w:val="FF0000"/>
                  <w:szCs w:val="22"/>
                </w:rPr>
                <m:t>C</m:t>
              </m:r>
              <m:sSub>
                <m:sSubPr>
                  <m:ctrlPr>
                    <w:rPr>
                      <w:rFonts w:ascii="Cambria Math" w:hAnsi="Cambria Math" w:cstheme="minorHAnsi"/>
                      <w:i/>
                      <w:iCs/>
                      <w:color w:val="FF0000"/>
                      <w:szCs w:val="22"/>
                    </w:rPr>
                  </m:ctrlPr>
                </m:sSubPr>
                <m:e>
                  <m:r>
                    <w:rPr>
                      <w:rFonts w:ascii="Cambria Math" w:hAnsi="Cambria Math" w:cstheme="minorHAnsi"/>
                      <w:color w:val="FF0000"/>
                      <w:szCs w:val="22"/>
                    </w:rPr>
                    <m:t>W</m:t>
                  </m:r>
                </m:e>
                <m:sub>
                  <m:r>
                    <w:rPr>
                      <w:rFonts w:ascii="Cambria Math" w:hAnsi="Cambria Math" w:cstheme="minorHAnsi"/>
                      <w:color w:val="FF0000"/>
                      <w:szCs w:val="22"/>
                    </w:rPr>
                    <m:t>p</m:t>
                  </m:r>
                </m:sub>
              </m:sSub>
              <m:r>
                <w:rPr>
                  <w:rFonts w:ascii="Cambria Math" w:hAnsi="Cambria Math" w:cstheme="minorHAnsi"/>
                  <w:color w:val="FF0000"/>
                  <w:szCs w:val="22"/>
                </w:rPr>
                <m:t> </m:t>
              </m:r>
            </m:oMath>
            <w:r>
              <w:rPr>
                <w:rFonts w:asciiTheme="minorHAnsi" w:hAnsiTheme="minorHAnsi" w:cstheme="minorHAnsi"/>
                <w:color w:val="FF0000"/>
                <w:szCs w:val="22"/>
              </w:rPr>
              <w:t xml:space="preserve">is increased. </w:t>
            </w:r>
          </w:p>
          <w:p w14:paraId="20FBD11B" w14:textId="77777777" w:rsidR="00EE4559" w:rsidRDefault="00EE4559" w:rsidP="00EE4559">
            <w:pPr>
              <w:pStyle w:val="3GPPText"/>
              <w:numPr>
                <w:ilvl w:val="1"/>
                <w:numId w:val="18"/>
              </w:numPr>
              <w:spacing w:before="0" w:after="0" w:line="276" w:lineRule="auto"/>
              <w:rPr>
                <w:rFonts w:ascii="Calibri" w:hAnsi="Calibri" w:cs="Calibri"/>
              </w:rPr>
            </w:pPr>
            <w:r>
              <w:rPr>
                <w:rFonts w:ascii="Calibri" w:hAnsi="Calibri" w:cs="Calibri"/>
                <w:strike/>
              </w:rPr>
              <w:t xml:space="preserve">CW adjustment for groupcast option 2: </w:t>
            </w:r>
            <w:r>
              <w:rPr>
                <w:rFonts w:asciiTheme="minorHAnsi" w:hAnsiTheme="minorHAnsi" w:cstheme="minorHAnsi"/>
                <w:color w:val="FF0000"/>
                <w:szCs w:val="22"/>
              </w:rPr>
              <w:t>In case a groupcast option 2 PSSCH may be transmitted in the reference burst one of the following options could be down-selected:</w:t>
            </w:r>
            <w:r>
              <w:rPr>
                <w:rFonts w:ascii="Calibri" w:hAnsi="Calibri" w:cs="Calibri"/>
              </w:rPr>
              <w:t xml:space="preserve"> </w:t>
            </w:r>
          </w:p>
          <w:p w14:paraId="7791C349" w14:textId="77777777" w:rsidR="00EE4559" w:rsidRDefault="00EE4559" w:rsidP="00EE4559">
            <w:pPr>
              <w:pStyle w:val="ListParagraph"/>
              <w:numPr>
                <w:ilvl w:val="2"/>
                <w:numId w:val="18"/>
              </w:numPr>
              <w:autoSpaceDE w:val="0"/>
              <w:autoSpaceDN w:val="0"/>
              <w:spacing w:line="259" w:lineRule="auto"/>
              <w:ind w:leftChars="0"/>
              <w:jc w:val="both"/>
              <w:rPr>
                <w:rFonts w:ascii="Calibri" w:hAnsi="Calibri" w:cs="Calibri"/>
                <w:sz w:val="22"/>
              </w:rPr>
            </w:pPr>
            <w:r>
              <w:rPr>
                <w:rFonts w:ascii="Calibri" w:hAnsi="Calibri" w:cs="Calibri"/>
                <w:color w:val="FF0000"/>
                <w:sz w:val="22"/>
                <w:lang w:val="en-AU"/>
              </w:rPr>
              <w:t xml:space="preserve">Option 1: </w:t>
            </w:r>
            <w:r>
              <w:rPr>
                <w:rFonts w:ascii="Calibri" w:hAnsi="Calibri" w:cs="Calibri" w:hint="eastAsia"/>
                <w:sz w:val="22"/>
                <w:lang w:val="en-AU"/>
              </w:rPr>
              <w:t xml:space="preserve">When a (pre-)configurable ratio of received SL HARQ-ACK feedbacks is </w:t>
            </w:r>
            <w:r>
              <w:rPr>
                <w:rFonts w:ascii="Calibri" w:hAnsi="Calibri" w:cs="Calibri" w:hint="eastAsia"/>
                <w:sz w:val="22"/>
                <w:lang w:val="en-AU"/>
              </w:rPr>
              <w:t>‘</w:t>
            </w:r>
            <w:r>
              <w:rPr>
                <w:rFonts w:ascii="Calibri" w:hAnsi="Calibri" w:cs="Calibri" w:hint="eastAsia"/>
                <w:sz w:val="22"/>
                <w:lang w:val="en-AU"/>
              </w:rPr>
              <w:t>ACK</w:t>
            </w:r>
            <w:r>
              <w:rPr>
                <w:rFonts w:ascii="Calibri" w:hAnsi="Calibri" w:cs="Calibri" w:hint="eastAsia"/>
                <w:sz w:val="22"/>
                <w:lang w:val="en-AU"/>
              </w:rPr>
              <w:t>’</w:t>
            </w:r>
            <w:r>
              <w:rPr>
                <w:rFonts w:ascii="Calibri" w:hAnsi="Calibri" w:cs="Calibri" w:hint="eastAsia"/>
                <w:sz w:val="22"/>
                <w:lang w:val="en-AU"/>
              </w:rPr>
              <w:t xml:space="preserve">, </w:t>
            </w:r>
            <m:oMath>
              <m:r>
                <w:rPr>
                  <w:rFonts w:ascii="Cambria Math" w:hAnsi="Cambria Math" w:cs="Calibri"/>
                  <w:sz w:val="22"/>
                </w:rPr>
                <m:t>C</m:t>
              </m:r>
              <m:sSub>
                <m:sSubPr>
                  <m:ctrlPr>
                    <w:rPr>
                      <w:rFonts w:ascii="Cambria Math" w:hAnsi="Cambria Math" w:cs="Calibri"/>
                      <w:i/>
                      <w:iCs/>
                      <w:sz w:val="22"/>
                    </w:rPr>
                  </m:ctrlPr>
                </m:sSubPr>
                <m:e>
                  <m:r>
                    <w:rPr>
                      <w:rFonts w:ascii="Cambria Math" w:hAnsi="Cambria Math" w:cs="Calibri"/>
                      <w:sz w:val="22"/>
                    </w:rPr>
                    <m:t>W</m:t>
                  </m:r>
                </m:e>
                <m:sub>
                  <m:r>
                    <w:rPr>
                      <w:rFonts w:ascii="Cambria Math" w:hAnsi="Cambria Math" w:cs="Calibri"/>
                      <w:sz w:val="22"/>
                    </w:rPr>
                    <m:t>p</m:t>
                  </m:r>
                </m:sub>
              </m:sSub>
            </m:oMath>
            <w:r>
              <w:rPr>
                <w:rFonts w:ascii="Calibri" w:hAnsi="Calibri" w:cs="Calibri" w:hint="eastAsia"/>
                <w:sz w:val="22"/>
                <w:lang w:val="en-AU"/>
              </w:rPr>
              <w:t xml:space="preserve"> is reset to </w:t>
            </w:r>
            <m:oMath>
              <m:r>
                <w:rPr>
                  <w:rFonts w:ascii="Cambria Math" w:hAnsi="Cambria Math" w:cs="Calibri"/>
                  <w:sz w:val="22"/>
                </w:rPr>
                <m:t>C</m:t>
              </m:r>
              <m:sSub>
                <m:sSubPr>
                  <m:ctrlPr>
                    <w:rPr>
                      <w:rFonts w:ascii="Cambria Math" w:hAnsi="Cambria Math" w:cs="Calibri"/>
                      <w:i/>
                      <w:iCs/>
                      <w:sz w:val="22"/>
                    </w:rPr>
                  </m:ctrlPr>
                </m:sSubPr>
                <m:e>
                  <m:r>
                    <w:rPr>
                      <w:rFonts w:ascii="Cambria Math" w:hAnsi="Cambria Math" w:cs="Calibri"/>
                      <w:sz w:val="22"/>
                    </w:rPr>
                    <m:t>W</m:t>
                  </m:r>
                </m:e>
                <m:sub>
                  <m:r>
                    <w:rPr>
                      <w:rFonts w:ascii="Cambria Math" w:hAnsi="Cambria Math" w:cs="Calibri"/>
                      <w:sz w:val="22"/>
                      <w:lang w:val="en-AU"/>
                    </w:rPr>
                    <m:t>min,</m:t>
                  </m:r>
                  <m:r>
                    <w:rPr>
                      <w:rFonts w:ascii="Cambria Math" w:hAnsi="Cambria Math" w:cs="Calibri"/>
                      <w:sz w:val="22"/>
                    </w:rPr>
                    <m:t>p</m:t>
                  </m:r>
                </m:sub>
              </m:sSub>
            </m:oMath>
            <w:r>
              <w:rPr>
                <w:rFonts w:ascii="Calibri" w:hAnsi="Calibri" w:cs="Calibri" w:hint="eastAsia"/>
                <w:i/>
                <w:iCs/>
                <w:sz w:val="22"/>
                <w:lang w:val="en-AU"/>
              </w:rPr>
              <w:t xml:space="preserve"> </w:t>
            </w:r>
            <w:r>
              <w:rPr>
                <w:rFonts w:ascii="Calibri" w:hAnsi="Calibri" w:cs="Calibri" w:hint="eastAsia"/>
                <w:sz w:val="22"/>
                <w:lang w:val="en-AU"/>
              </w:rPr>
              <w:t xml:space="preserve">for every priority class </w:t>
            </w:r>
            <m:oMath>
              <m:r>
                <w:rPr>
                  <w:rFonts w:ascii="Cambria Math" w:hAnsi="Cambria Math" w:cs="Calibri"/>
                  <w:sz w:val="22"/>
                </w:rPr>
                <m:t>p∈</m:t>
              </m:r>
              <m:d>
                <m:dPr>
                  <m:begChr m:val="{"/>
                  <m:endChr m:val="}"/>
                  <m:ctrlPr>
                    <w:rPr>
                      <w:rFonts w:ascii="Cambria Math" w:hAnsi="Cambria Math" w:cs="Calibri"/>
                      <w:i/>
                      <w:iCs/>
                      <w:sz w:val="22"/>
                    </w:rPr>
                  </m:ctrlPr>
                </m:dPr>
                <m:e>
                  <m:r>
                    <w:rPr>
                      <w:rFonts w:ascii="Cambria Math" w:hAnsi="Cambria Math" w:cs="Calibri"/>
                      <w:sz w:val="22"/>
                    </w:rPr>
                    <m:t>1,2,3,4</m:t>
                  </m:r>
                </m:e>
              </m:d>
            </m:oMath>
            <w:r>
              <w:rPr>
                <w:rFonts w:ascii="Calibri" w:hAnsi="Calibri" w:cs="Calibri" w:hint="eastAsia"/>
                <w:sz w:val="22"/>
                <w:lang w:val="en-AU"/>
              </w:rPr>
              <w:t xml:space="preserve">, otherwise </w:t>
            </w:r>
            <w:r>
              <w:rPr>
                <w:rFonts w:ascii="Calibri" w:hAnsi="Calibri" w:cs="Calibri" w:hint="eastAsia"/>
                <w:sz w:val="22"/>
              </w:rPr>
              <w:t xml:space="preserve">increase </w:t>
            </w:r>
            <m:oMath>
              <m:r>
                <w:rPr>
                  <w:rFonts w:ascii="Cambria Math" w:hAnsi="Cambria Math" w:cs="Calibri"/>
                  <w:sz w:val="22"/>
                </w:rPr>
                <m:t>C</m:t>
              </m:r>
              <m:sSub>
                <m:sSubPr>
                  <m:ctrlPr>
                    <w:rPr>
                      <w:rFonts w:ascii="Cambria Math" w:hAnsi="Cambria Math" w:cs="Calibri"/>
                      <w:i/>
                      <w:iCs/>
                      <w:sz w:val="22"/>
                    </w:rPr>
                  </m:ctrlPr>
                </m:sSubPr>
                <m:e>
                  <m:r>
                    <w:rPr>
                      <w:rFonts w:ascii="Cambria Math" w:hAnsi="Cambria Math" w:cs="Calibri"/>
                      <w:sz w:val="22"/>
                    </w:rPr>
                    <m:t>W</m:t>
                  </m:r>
                </m:e>
                <m:sub>
                  <m:r>
                    <w:rPr>
                      <w:rFonts w:ascii="Cambria Math" w:hAnsi="Cambria Math" w:cs="Calibri"/>
                      <w:sz w:val="22"/>
                    </w:rPr>
                    <m:t>p</m:t>
                  </m:r>
                </m:sub>
              </m:sSub>
            </m:oMath>
            <w:r>
              <w:rPr>
                <w:rFonts w:ascii="Calibri" w:hAnsi="Calibri" w:cs="Calibri" w:hint="eastAsia"/>
                <w:sz w:val="22"/>
              </w:rPr>
              <w:t xml:space="preserve"> for every priority class </w:t>
            </w:r>
            <m:oMath>
              <m:r>
                <w:rPr>
                  <w:rFonts w:ascii="Cambria Math" w:hAnsi="Cambria Math" w:cs="Calibri"/>
                  <w:sz w:val="22"/>
                </w:rPr>
                <m:t>p∈</m:t>
              </m:r>
              <m:d>
                <m:dPr>
                  <m:begChr m:val="{"/>
                  <m:endChr m:val="}"/>
                  <m:ctrlPr>
                    <w:rPr>
                      <w:rFonts w:ascii="Cambria Math" w:hAnsi="Cambria Math" w:cs="Calibri"/>
                      <w:i/>
                      <w:iCs/>
                      <w:sz w:val="22"/>
                    </w:rPr>
                  </m:ctrlPr>
                </m:dPr>
                <m:e>
                  <m:r>
                    <w:rPr>
                      <w:rFonts w:ascii="Cambria Math" w:hAnsi="Cambria Math" w:cs="Calibri"/>
                      <w:sz w:val="22"/>
                    </w:rPr>
                    <m:t>1,2,3,4</m:t>
                  </m:r>
                </m:e>
              </m:d>
            </m:oMath>
            <w:r>
              <w:rPr>
                <w:rFonts w:ascii="Calibri" w:hAnsi="Calibri" w:cs="Calibri" w:hint="eastAsia"/>
                <w:sz w:val="22"/>
              </w:rPr>
              <w:t xml:space="preserve"> to the next higher allowed value.</w:t>
            </w:r>
          </w:p>
          <w:p w14:paraId="2DFDB67D" w14:textId="77777777" w:rsidR="00EE4559" w:rsidRDefault="00EE4559" w:rsidP="00EE4559">
            <w:pPr>
              <w:pStyle w:val="ListParagraph"/>
              <w:numPr>
                <w:ilvl w:val="2"/>
                <w:numId w:val="18"/>
              </w:numPr>
              <w:autoSpaceDE w:val="0"/>
              <w:autoSpaceDN w:val="0"/>
              <w:spacing w:line="259" w:lineRule="auto"/>
              <w:ind w:leftChars="0"/>
              <w:jc w:val="both"/>
              <w:rPr>
                <w:rFonts w:ascii="Calibri" w:hAnsi="Calibri" w:cs="Calibri"/>
                <w:color w:val="FF0000"/>
                <w:sz w:val="22"/>
              </w:rPr>
            </w:pPr>
            <w:r>
              <w:rPr>
                <w:rFonts w:ascii="Calibri" w:hAnsi="Calibri" w:cs="Calibri"/>
                <w:color w:val="FF0000"/>
                <w:sz w:val="22"/>
              </w:rPr>
              <w:t>Option 2: if a ‘ACK’ is reported</w:t>
            </w:r>
            <w:r>
              <w:rPr>
                <w:rFonts w:ascii="Calibri" w:hAnsi="Calibri" w:cs="Calibri"/>
                <w:sz w:val="22"/>
              </w:rPr>
              <w:t xml:space="preserve"> </w:t>
            </w:r>
            <w:r>
              <w:rPr>
                <w:rFonts w:ascii="Calibri" w:hAnsi="Calibri" w:cs="Calibri"/>
                <w:color w:val="FF0000"/>
                <w:sz w:val="22"/>
              </w:rPr>
              <w:t xml:space="preserve">(as in Rel.16 SL design a UE reports ACK if all expected PSFCH resources carry ACK, and NACK is reported if at least one PSFCH carries NACK or if no PSFCH is detected), then </w:t>
            </w:r>
            <m:oMath>
              <m:r>
                <w:rPr>
                  <w:rFonts w:ascii="Cambria Math" w:hAnsi="Cambria Math" w:cs="Calibri"/>
                  <w:color w:val="FF0000"/>
                  <w:sz w:val="22"/>
                </w:rPr>
                <m:t>C</m:t>
              </m:r>
              <m:sSub>
                <m:sSubPr>
                  <m:ctrlPr>
                    <w:rPr>
                      <w:rFonts w:ascii="Cambria Math" w:hAnsi="Cambria Math" w:cs="Calibri"/>
                      <w:color w:val="FF0000"/>
                      <w:sz w:val="22"/>
                    </w:rPr>
                  </m:ctrlPr>
                </m:sSubPr>
                <m:e>
                  <m:r>
                    <w:rPr>
                      <w:rFonts w:ascii="Cambria Math" w:hAnsi="Cambria Math" w:cs="Calibri"/>
                      <w:color w:val="FF0000"/>
                      <w:sz w:val="22"/>
                    </w:rPr>
                    <m:t>W</m:t>
                  </m:r>
                </m:e>
                <m:sub>
                  <m:r>
                    <w:rPr>
                      <w:rFonts w:ascii="Cambria Math" w:hAnsi="Cambria Math" w:cs="Calibri"/>
                      <w:color w:val="FF0000"/>
                      <w:sz w:val="22"/>
                    </w:rPr>
                    <m:t>p</m:t>
                  </m:r>
                </m:sub>
              </m:sSub>
              <m:r>
                <m:rPr>
                  <m:sty m:val="p"/>
                </m:rPr>
                <w:rPr>
                  <w:rFonts w:ascii="Cambria Math" w:hAnsi="Cambria Math" w:cs="Calibri"/>
                  <w:color w:val="FF0000"/>
                  <w:sz w:val="22"/>
                </w:rPr>
                <m:t>=</m:t>
              </m:r>
              <m:r>
                <w:rPr>
                  <w:rFonts w:ascii="Cambria Math" w:hAnsi="Cambria Math" w:cs="Calibri"/>
                  <w:color w:val="FF0000"/>
                  <w:sz w:val="22"/>
                </w:rPr>
                <m:t>C</m:t>
              </m:r>
              <m:sSub>
                <m:sSubPr>
                  <m:ctrlPr>
                    <w:rPr>
                      <w:rFonts w:ascii="Cambria Math" w:hAnsi="Cambria Math" w:cs="Calibri"/>
                      <w:color w:val="FF0000"/>
                      <w:sz w:val="22"/>
                    </w:rPr>
                  </m:ctrlPr>
                </m:sSubPr>
                <m:e>
                  <m:r>
                    <w:rPr>
                      <w:rFonts w:ascii="Cambria Math" w:hAnsi="Cambria Math" w:cs="Calibri"/>
                      <w:color w:val="FF0000"/>
                      <w:sz w:val="22"/>
                    </w:rPr>
                    <m:t>W</m:t>
                  </m:r>
                </m:e>
                <m:sub>
                  <m:func>
                    <m:funcPr>
                      <m:ctrlPr>
                        <w:rPr>
                          <w:rFonts w:ascii="Cambria Math" w:hAnsi="Cambria Math" w:cs="Calibri"/>
                          <w:color w:val="FF0000"/>
                          <w:sz w:val="22"/>
                        </w:rPr>
                      </m:ctrlPr>
                    </m:funcPr>
                    <m:fName>
                      <m:r>
                        <w:rPr>
                          <w:rFonts w:ascii="Cambria Math" w:hAnsi="Cambria Math" w:cs="Calibri"/>
                          <w:color w:val="FF0000"/>
                          <w:sz w:val="22"/>
                        </w:rPr>
                        <m:t>min</m:t>
                      </m:r>
                      <m:r>
                        <m:rPr>
                          <m:sty m:val="p"/>
                        </m:rPr>
                        <w:rPr>
                          <w:rFonts w:ascii="Cambria Math" w:hAnsi="Cambria Math" w:cs="Calibri"/>
                          <w:color w:val="FF0000"/>
                          <w:sz w:val="22"/>
                        </w:rPr>
                        <m:t>,</m:t>
                      </m:r>
                    </m:fName>
                    <m:e>
                      <m:r>
                        <w:rPr>
                          <w:rFonts w:ascii="Cambria Math" w:hAnsi="Cambria Math" w:cs="Calibri"/>
                          <w:color w:val="FF0000"/>
                          <w:sz w:val="22"/>
                        </w:rPr>
                        <m:t>p</m:t>
                      </m:r>
                    </m:e>
                  </m:func>
                </m:sub>
              </m:sSub>
            </m:oMath>
            <w:r>
              <w:rPr>
                <w:rFonts w:ascii="Calibri" w:hAnsi="Calibri" w:cs="Calibri"/>
                <w:color w:val="FF0000"/>
                <w:sz w:val="22"/>
              </w:rPr>
              <w:t xml:space="preserve"> if at least a ‘ACK’ is received , otherwise </w:t>
            </w:r>
            <m:oMath>
              <m:r>
                <w:rPr>
                  <w:rFonts w:ascii="Cambria Math" w:hAnsi="Cambria Math" w:cs="Calibri"/>
                  <w:color w:val="FF0000"/>
                  <w:sz w:val="22"/>
                </w:rPr>
                <m:t>C</m:t>
              </m:r>
              <m:sSub>
                <m:sSubPr>
                  <m:ctrlPr>
                    <w:rPr>
                      <w:rFonts w:ascii="Cambria Math" w:hAnsi="Cambria Math" w:cs="Calibri"/>
                      <w:color w:val="FF0000"/>
                      <w:sz w:val="22"/>
                    </w:rPr>
                  </m:ctrlPr>
                </m:sSubPr>
                <m:e>
                  <m:r>
                    <w:rPr>
                      <w:rFonts w:ascii="Cambria Math" w:hAnsi="Cambria Math" w:cs="Calibri"/>
                      <w:color w:val="FF0000"/>
                      <w:sz w:val="22"/>
                    </w:rPr>
                    <m:t>W</m:t>
                  </m:r>
                </m:e>
                <m:sub>
                  <m:r>
                    <w:rPr>
                      <w:rFonts w:ascii="Cambria Math" w:hAnsi="Cambria Math" w:cs="Calibri"/>
                      <w:color w:val="FF0000"/>
                      <w:sz w:val="22"/>
                    </w:rPr>
                    <m:t>p</m:t>
                  </m:r>
                </m:sub>
              </m:sSub>
              <m:r>
                <m:rPr>
                  <m:sty m:val="p"/>
                </m:rPr>
                <w:rPr>
                  <w:rFonts w:ascii="Cambria Math" w:hAnsi="Cambria Math" w:cs="Calibri"/>
                  <w:color w:val="FF0000"/>
                  <w:sz w:val="22"/>
                </w:rPr>
                <m:t> </m:t>
              </m:r>
            </m:oMath>
            <w:r>
              <w:rPr>
                <w:rFonts w:ascii="Calibri" w:hAnsi="Calibri" w:cs="Calibri"/>
                <w:color w:val="FF0000"/>
                <w:sz w:val="22"/>
              </w:rPr>
              <w:t>is increased.</w:t>
            </w:r>
          </w:p>
          <w:p w14:paraId="794EB3B2" w14:textId="77777777" w:rsidR="00EE4559" w:rsidRDefault="00EE4559" w:rsidP="00EE4559">
            <w:pPr>
              <w:pStyle w:val="ListParagraph"/>
              <w:numPr>
                <w:ilvl w:val="1"/>
                <w:numId w:val="18"/>
              </w:numPr>
              <w:autoSpaceDE w:val="0"/>
              <w:autoSpaceDN w:val="0"/>
              <w:spacing w:line="276" w:lineRule="auto"/>
              <w:ind w:leftChars="0"/>
              <w:jc w:val="both"/>
              <w:rPr>
                <w:rFonts w:ascii="Calibri" w:hAnsi="Calibri" w:cs="Calibri"/>
                <w:sz w:val="22"/>
              </w:rPr>
            </w:pPr>
            <w:r>
              <w:rPr>
                <w:rFonts w:ascii="Calibri" w:hAnsi="Calibri" w:cs="Calibri" w:hint="eastAsia"/>
                <w:strike/>
                <w:sz w:val="22"/>
                <w:lang w:val="en-AU"/>
              </w:rPr>
              <w:t>For groupcast option 1 (NACK-only)</w:t>
            </w:r>
            <w:r>
              <w:rPr>
                <w:rFonts w:ascii="Calibri" w:hAnsi="Calibri" w:cs="Calibri"/>
                <w:strike/>
                <w:sz w:val="22"/>
                <w:lang w:val="en-AU"/>
              </w:rPr>
              <w:t>: (down-select to one of the following options)</w:t>
            </w:r>
            <w:r>
              <w:rPr>
                <w:rFonts w:ascii="Calibri" w:hAnsi="Calibri" w:cs="Calibri"/>
                <w:sz w:val="22"/>
                <w:lang w:val="en-AU"/>
              </w:rPr>
              <w:t xml:space="preserve"> </w:t>
            </w:r>
            <w:r>
              <w:rPr>
                <w:rFonts w:ascii="Calibri" w:hAnsi="Calibri" w:cs="Calibri"/>
                <w:color w:val="FF0000"/>
                <w:sz w:val="22"/>
              </w:rPr>
              <w:t xml:space="preserve">In case a groupcast option 1 </w:t>
            </w:r>
            <w:r>
              <w:rPr>
                <w:rFonts w:ascii="Calibri" w:hAnsi="Calibri" w:cs="Calibri" w:hint="eastAsia"/>
                <w:color w:val="FF0000"/>
                <w:sz w:val="22"/>
              </w:rPr>
              <w:t>(NACK-only)</w:t>
            </w:r>
            <w:r>
              <w:rPr>
                <w:rFonts w:ascii="Calibri" w:hAnsi="Calibri" w:cs="Calibri"/>
                <w:color w:val="FF0000"/>
                <w:sz w:val="22"/>
              </w:rPr>
              <w:t xml:space="preserve"> PSSCH may be transmitted in the reference burst one of the following options could be down-selected:</w:t>
            </w:r>
            <w:r>
              <w:rPr>
                <w:rFonts w:ascii="Calibri" w:hAnsi="Calibri" w:cs="Calibri"/>
                <w:sz w:val="22"/>
              </w:rPr>
              <w:t xml:space="preserve"> </w:t>
            </w:r>
          </w:p>
          <w:p w14:paraId="5B50AF25" w14:textId="77777777" w:rsidR="00EE4559" w:rsidRDefault="00EE4559" w:rsidP="00EE4559">
            <w:pPr>
              <w:pStyle w:val="ListParagraph"/>
              <w:numPr>
                <w:ilvl w:val="2"/>
                <w:numId w:val="18"/>
              </w:numPr>
              <w:autoSpaceDE w:val="0"/>
              <w:autoSpaceDN w:val="0"/>
              <w:spacing w:line="259" w:lineRule="auto"/>
              <w:ind w:leftChars="0"/>
              <w:jc w:val="both"/>
              <w:rPr>
                <w:rFonts w:ascii="Calibri" w:hAnsi="Calibri" w:cs="Calibri"/>
                <w:sz w:val="22"/>
              </w:rPr>
            </w:pPr>
            <w:r>
              <w:rPr>
                <w:rFonts w:ascii="Calibri" w:hAnsi="Calibri" w:cs="Calibri" w:hint="eastAsia"/>
                <w:sz w:val="22"/>
                <w:lang w:val="en-AU"/>
              </w:rPr>
              <w:t xml:space="preserve">Option 1: For every priority class </w:t>
            </w:r>
            <m:oMath>
              <m:r>
                <w:rPr>
                  <w:rFonts w:ascii="Cambria Math" w:hAnsi="Cambria Math" w:cs="Calibri"/>
                  <w:sz w:val="22"/>
                </w:rPr>
                <m:t>p∈</m:t>
              </m:r>
              <m:d>
                <m:dPr>
                  <m:begChr m:val="{"/>
                  <m:endChr m:val="}"/>
                  <m:ctrlPr>
                    <w:rPr>
                      <w:rFonts w:ascii="Cambria Math" w:hAnsi="Cambria Math" w:cs="Calibri"/>
                      <w:i/>
                      <w:iCs/>
                      <w:sz w:val="22"/>
                    </w:rPr>
                  </m:ctrlPr>
                </m:dPr>
                <m:e>
                  <m:r>
                    <w:rPr>
                      <w:rFonts w:ascii="Cambria Math" w:hAnsi="Cambria Math" w:cs="Calibri"/>
                      <w:sz w:val="22"/>
                    </w:rPr>
                    <m:t>1,2,3,4</m:t>
                  </m:r>
                </m:e>
              </m:d>
            </m:oMath>
            <w:r>
              <w:rPr>
                <w:rFonts w:ascii="Calibri" w:hAnsi="Calibri" w:cs="Calibri" w:hint="eastAsia"/>
                <w:sz w:val="22"/>
                <w:lang w:val="en-AU"/>
              </w:rPr>
              <w:t>,</w:t>
            </w:r>
            <w:r>
              <w:rPr>
                <w:rFonts w:ascii="Calibri" w:hAnsi="Calibri" w:cs="Calibri"/>
                <w:i/>
                <w:iCs/>
                <w:sz w:val="22"/>
              </w:rPr>
              <w:t xml:space="preserve"> </w:t>
            </w:r>
            <w:r>
              <w:rPr>
                <w:rFonts w:ascii="Calibri" w:hAnsi="Calibri" w:cs="Calibri"/>
                <w:sz w:val="22"/>
              </w:rPr>
              <w:t>use the latest</w:t>
            </w:r>
            <w:r>
              <w:rPr>
                <w:rFonts w:ascii="Calibri" w:hAnsi="Calibri" w:cs="Calibri" w:hint="eastAsia"/>
                <w:sz w:val="22"/>
              </w:rPr>
              <w:t xml:space="preserve"> </w:t>
            </w:r>
            <m:oMath>
              <m:r>
                <w:rPr>
                  <w:rFonts w:ascii="Cambria Math" w:hAnsi="Cambria Math" w:cs="Calibri"/>
                  <w:sz w:val="22"/>
                </w:rPr>
                <m:t>C</m:t>
              </m:r>
              <m:sSub>
                <m:sSubPr>
                  <m:ctrlPr>
                    <w:rPr>
                      <w:rFonts w:ascii="Cambria Math" w:hAnsi="Cambria Math" w:cs="Calibri"/>
                      <w:i/>
                      <w:iCs/>
                      <w:sz w:val="22"/>
                    </w:rPr>
                  </m:ctrlPr>
                </m:sSubPr>
                <m:e>
                  <m:r>
                    <w:rPr>
                      <w:rFonts w:ascii="Cambria Math" w:hAnsi="Cambria Math" w:cs="Calibri"/>
                      <w:sz w:val="22"/>
                    </w:rPr>
                    <m:t>W</m:t>
                  </m:r>
                </m:e>
                <m:sub>
                  <m:r>
                    <w:rPr>
                      <w:rFonts w:ascii="Cambria Math" w:hAnsi="Cambria Math" w:cs="Calibri"/>
                      <w:sz w:val="22"/>
                    </w:rPr>
                    <m:t>p</m:t>
                  </m:r>
                </m:sub>
              </m:sSub>
            </m:oMath>
            <w:r>
              <w:rPr>
                <w:rFonts w:ascii="Calibri" w:hAnsi="Calibri" w:cs="Calibri" w:hint="eastAsia"/>
                <w:sz w:val="22"/>
              </w:rPr>
              <w:t xml:space="preserve"> </w:t>
            </w:r>
            <w:r>
              <w:rPr>
                <w:rFonts w:ascii="Calibri" w:hAnsi="Calibri" w:cs="Calibri"/>
                <w:sz w:val="22"/>
              </w:rPr>
              <w:t xml:space="preserve">used for any SL transmissions on the channel using Type 1 </w:t>
            </w:r>
            <w:r>
              <w:rPr>
                <w:rFonts w:ascii="Calibri" w:hAnsi="Calibri" w:cs="Calibri"/>
                <w:sz w:val="22"/>
              </w:rPr>
              <w:lastRenderedPageBreak/>
              <w:t xml:space="preserve">channel access procedures associated with the channel access priority class </w:t>
            </w:r>
            <m:oMath>
              <m:r>
                <w:rPr>
                  <w:rFonts w:ascii="Cambria Math" w:hAnsi="Cambria Math" w:cs="Calibri"/>
                  <w:sz w:val="22"/>
                </w:rPr>
                <m:t>p</m:t>
              </m:r>
            </m:oMath>
            <w:r>
              <w:rPr>
                <w:rFonts w:ascii="Calibri" w:hAnsi="Calibri" w:cs="Calibri" w:hint="eastAsia"/>
                <w:sz w:val="22"/>
              </w:rPr>
              <w:t>.</w:t>
            </w:r>
            <w:r>
              <w:rPr>
                <w:rFonts w:ascii="Calibri" w:hAnsi="Calibri" w:cs="Calibri"/>
                <w:sz w:val="22"/>
              </w:rPr>
              <w:t xml:space="preserve"> </w:t>
            </w:r>
            <w:r>
              <w:rPr>
                <w:rFonts w:asciiTheme="minorHAnsi" w:hAnsiTheme="minorHAnsi" w:cstheme="minorHAnsi"/>
                <w:sz w:val="22"/>
                <w:szCs w:val="28"/>
              </w:rPr>
              <w:t xml:space="preserve">If the corresponding channel access priority class </w:t>
            </w:r>
            <m:oMath>
              <m:r>
                <w:rPr>
                  <w:rFonts w:ascii="Cambria Math" w:hAnsi="Cambria Math" w:cstheme="minorHAnsi"/>
                  <w:sz w:val="22"/>
                  <w:szCs w:val="28"/>
                </w:rPr>
                <m:t>p</m:t>
              </m:r>
            </m:oMath>
            <w:r>
              <w:rPr>
                <w:rFonts w:asciiTheme="minorHAnsi" w:hAnsiTheme="minorHAnsi" w:cstheme="minorHAnsi"/>
                <w:sz w:val="22"/>
                <w:szCs w:val="28"/>
              </w:rPr>
              <w:t xml:space="preserve">  has not been used for any SL transmissions on the channel, </w:t>
            </w:r>
            <m:oMath>
              <m:r>
                <w:rPr>
                  <w:rFonts w:ascii="Cambria Math" w:hAnsi="Cambria Math" w:cstheme="minorHAnsi"/>
                  <w:sz w:val="22"/>
                  <w:szCs w:val="28"/>
                </w:rPr>
                <m:t>C</m:t>
              </m:r>
              <m:sSub>
                <m:sSubPr>
                  <m:ctrlPr>
                    <w:rPr>
                      <w:rFonts w:ascii="Cambria Math" w:hAnsi="Cambria Math" w:cstheme="minorHAnsi"/>
                      <w:i/>
                      <w:sz w:val="22"/>
                      <w:szCs w:val="28"/>
                    </w:rPr>
                  </m:ctrlPr>
                </m:sSubPr>
                <m:e>
                  <m:r>
                    <w:rPr>
                      <w:rFonts w:ascii="Cambria Math" w:hAnsi="Cambria Math" w:cstheme="minorHAnsi"/>
                      <w:sz w:val="22"/>
                      <w:szCs w:val="28"/>
                    </w:rPr>
                    <m:t>W</m:t>
                  </m:r>
                </m:e>
                <m:sub>
                  <m:r>
                    <w:rPr>
                      <w:rFonts w:ascii="Cambria Math" w:hAnsi="Cambria Math" w:cstheme="minorHAnsi"/>
                      <w:sz w:val="22"/>
                      <w:szCs w:val="28"/>
                    </w:rPr>
                    <m:t>p</m:t>
                  </m:r>
                </m:sub>
              </m:sSub>
              <m:r>
                <w:rPr>
                  <w:rFonts w:ascii="Cambria Math" w:hAnsi="Cambria Math" w:cstheme="minorHAnsi"/>
                  <w:sz w:val="22"/>
                  <w:szCs w:val="28"/>
                  <w:lang w:val="en-US"/>
                </w:rPr>
                <m:t>=</m:t>
              </m:r>
              <m:r>
                <w:rPr>
                  <w:rFonts w:ascii="Cambria Math" w:hAnsi="Cambria Math" w:cstheme="minorHAnsi"/>
                  <w:sz w:val="22"/>
                  <w:szCs w:val="28"/>
                </w:rPr>
                <m:t>C</m:t>
              </m:r>
              <m:sSub>
                <m:sSubPr>
                  <m:ctrlPr>
                    <w:rPr>
                      <w:rFonts w:ascii="Cambria Math" w:hAnsi="Cambria Math" w:cstheme="minorHAnsi"/>
                      <w:i/>
                      <w:sz w:val="22"/>
                      <w:szCs w:val="28"/>
                    </w:rPr>
                  </m:ctrlPr>
                </m:sSubPr>
                <m:e>
                  <m:r>
                    <w:rPr>
                      <w:rFonts w:ascii="Cambria Math" w:hAnsi="Cambria Math" w:cstheme="minorHAnsi"/>
                      <w:sz w:val="22"/>
                      <w:szCs w:val="28"/>
                    </w:rPr>
                    <m:t>W</m:t>
                  </m:r>
                </m:e>
                <m:sub>
                  <m:func>
                    <m:funcPr>
                      <m:ctrlPr>
                        <w:rPr>
                          <w:rFonts w:ascii="Cambria Math" w:hAnsi="Cambria Math" w:cstheme="minorHAnsi"/>
                          <w:i/>
                          <w:sz w:val="22"/>
                          <w:szCs w:val="28"/>
                        </w:rPr>
                      </m:ctrlPr>
                    </m:funcPr>
                    <m:fName>
                      <m:r>
                        <w:rPr>
                          <w:rFonts w:ascii="Cambria Math" w:hAnsi="Cambria Math" w:cstheme="minorHAnsi"/>
                          <w:sz w:val="22"/>
                          <w:szCs w:val="28"/>
                        </w:rPr>
                        <m:t>min</m:t>
                      </m:r>
                      <m:r>
                        <w:rPr>
                          <w:rFonts w:ascii="Cambria Math" w:hAnsi="Cambria Math" w:cstheme="minorHAnsi"/>
                          <w:sz w:val="22"/>
                          <w:szCs w:val="28"/>
                          <w:lang w:val="en-US"/>
                        </w:rPr>
                        <m:t>,</m:t>
                      </m:r>
                    </m:fName>
                    <m:e>
                      <m:r>
                        <w:rPr>
                          <w:rFonts w:ascii="Cambria Math" w:hAnsi="Cambria Math" w:cstheme="minorHAnsi"/>
                          <w:sz w:val="22"/>
                          <w:szCs w:val="28"/>
                        </w:rPr>
                        <m:t>p</m:t>
                      </m:r>
                    </m:e>
                  </m:func>
                </m:sub>
              </m:sSub>
            </m:oMath>
            <w:r>
              <w:rPr>
                <w:rFonts w:asciiTheme="minorHAnsi" w:hAnsiTheme="minorHAnsi" w:cstheme="minorHAnsi"/>
                <w:sz w:val="22"/>
                <w:szCs w:val="28"/>
              </w:rPr>
              <w:t xml:space="preserve"> is used.</w:t>
            </w:r>
          </w:p>
          <w:p w14:paraId="415C0578" w14:textId="77777777" w:rsidR="00EE4559" w:rsidRDefault="00EE4559" w:rsidP="00EE4559">
            <w:pPr>
              <w:pStyle w:val="ListParagraph"/>
              <w:numPr>
                <w:ilvl w:val="2"/>
                <w:numId w:val="18"/>
              </w:numPr>
              <w:autoSpaceDE w:val="0"/>
              <w:autoSpaceDN w:val="0"/>
              <w:spacing w:line="259" w:lineRule="auto"/>
              <w:ind w:leftChars="0"/>
              <w:jc w:val="both"/>
              <w:rPr>
                <w:rFonts w:ascii="Calibri" w:hAnsi="Calibri" w:cs="Calibri"/>
                <w:sz w:val="22"/>
              </w:rPr>
            </w:pPr>
            <w:r>
              <w:rPr>
                <w:rFonts w:ascii="Calibri" w:hAnsi="Calibri" w:cs="Calibri" w:hint="eastAsia"/>
                <w:sz w:val="22"/>
                <w:lang w:val="en-AU"/>
              </w:rPr>
              <w:t xml:space="preserve">Option 2: If </w:t>
            </w:r>
            <w:r>
              <w:rPr>
                <w:rFonts w:ascii="Calibri" w:hAnsi="Calibri" w:cs="Calibri"/>
                <w:sz w:val="22"/>
                <w:lang w:val="en-AU"/>
              </w:rPr>
              <w:t>‘</w:t>
            </w:r>
            <w:r>
              <w:rPr>
                <w:rFonts w:ascii="Calibri" w:hAnsi="Calibri" w:cs="Calibri" w:hint="eastAsia"/>
                <w:sz w:val="22"/>
                <w:lang w:val="en-AU"/>
              </w:rPr>
              <w:t>NACK</w:t>
            </w:r>
            <w:r>
              <w:rPr>
                <w:rFonts w:ascii="Calibri" w:hAnsi="Calibri" w:cs="Calibri"/>
                <w:sz w:val="22"/>
                <w:lang w:val="en-AU"/>
              </w:rPr>
              <w:t>’</w:t>
            </w:r>
            <w:r>
              <w:rPr>
                <w:rFonts w:ascii="Calibri" w:hAnsi="Calibri" w:cs="Calibri" w:hint="eastAsia"/>
                <w:sz w:val="22"/>
                <w:lang w:val="en-AU"/>
              </w:rPr>
              <w:t xml:space="preserve"> is received, </w:t>
            </w:r>
            <w:r>
              <w:rPr>
                <w:rFonts w:ascii="Calibri" w:hAnsi="Calibri" w:cs="Calibri" w:hint="eastAsia"/>
                <w:sz w:val="22"/>
              </w:rPr>
              <w:t xml:space="preserve">increase </w:t>
            </w:r>
            <m:oMath>
              <m:r>
                <w:rPr>
                  <w:rFonts w:ascii="Cambria Math" w:hAnsi="Cambria Math" w:cs="Calibri"/>
                  <w:sz w:val="22"/>
                </w:rPr>
                <m:t>C</m:t>
              </m:r>
              <m:sSub>
                <m:sSubPr>
                  <m:ctrlPr>
                    <w:rPr>
                      <w:rFonts w:ascii="Cambria Math" w:hAnsi="Cambria Math" w:cs="Calibri"/>
                      <w:i/>
                      <w:iCs/>
                      <w:sz w:val="22"/>
                    </w:rPr>
                  </m:ctrlPr>
                </m:sSubPr>
                <m:e>
                  <m:r>
                    <w:rPr>
                      <w:rFonts w:ascii="Cambria Math" w:hAnsi="Cambria Math" w:cs="Calibri"/>
                      <w:sz w:val="22"/>
                    </w:rPr>
                    <m:t>W</m:t>
                  </m:r>
                </m:e>
                <m:sub>
                  <m:r>
                    <w:rPr>
                      <w:rFonts w:ascii="Cambria Math" w:hAnsi="Cambria Math" w:cs="Calibri"/>
                      <w:sz w:val="22"/>
                    </w:rPr>
                    <m:t>p</m:t>
                  </m:r>
                </m:sub>
              </m:sSub>
            </m:oMath>
            <w:r>
              <w:rPr>
                <w:rFonts w:ascii="Calibri" w:hAnsi="Calibri" w:cs="Calibri" w:hint="eastAsia"/>
                <w:sz w:val="22"/>
              </w:rPr>
              <w:t xml:space="preserve"> for every priority class </w:t>
            </w:r>
            <m:oMath>
              <m:r>
                <w:rPr>
                  <w:rFonts w:ascii="Cambria Math" w:hAnsi="Cambria Math" w:cs="Calibri"/>
                  <w:sz w:val="22"/>
                </w:rPr>
                <m:t>p∈</m:t>
              </m:r>
              <m:d>
                <m:dPr>
                  <m:begChr m:val="{"/>
                  <m:endChr m:val="}"/>
                  <m:ctrlPr>
                    <w:rPr>
                      <w:rFonts w:ascii="Cambria Math" w:hAnsi="Cambria Math" w:cs="Calibri"/>
                      <w:i/>
                      <w:iCs/>
                      <w:sz w:val="22"/>
                    </w:rPr>
                  </m:ctrlPr>
                </m:dPr>
                <m:e>
                  <m:r>
                    <w:rPr>
                      <w:rFonts w:ascii="Cambria Math" w:hAnsi="Cambria Math" w:cs="Calibri"/>
                      <w:sz w:val="22"/>
                    </w:rPr>
                    <m:t>1,2,3,4</m:t>
                  </m:r>
                </m:e>
              </m:d>
            </m:oMath>
            <w:r>
              <w:rPr>
                <w:rFonts w:ascii="Calibri" w:hAnsi="Calibri" w:cs="Calibri" w:hint="eastAsia"/>
                <w:sz w:val="22"/>
              </w:rPr>
              <w:t xml:space="preserve"> to the next higher allowed value.</w:t>
            </w:r>
            <w:r>
              <w:rPr>
                <w:rFonts w:ascii="Calibri" w:hAnsi="Calibri" w:cs="Calibri"/>
                <w:sz w:val="22"/>
              </w:rPr>
              <w:t xml:space="preserve"> When no ‘NACK’ is received, </w:t>
            </w:r>
            <m:oMath>
              <m:r>
                <w:rPr>
                  <w:rFonts w:ascii="Cambria Math" w:hAnsi="Cambria Math" w:cs="Calibri"/>
                  <w:sz w:val="22"/>
                </w:rPr>
                <m:t>C</m:t>
              </m:r>
              <m:sSub>
                <m:sSubPr>
                  <m:ctrlPr>
                    <w:rPr>
                      <w:rFonts w:ascii="Cambria Math" w:hAnsi="Cambria Math" w:cs="Calibri"/>
                      <w:i/>
                      <w:iCs/>
                      <w:sz w:val="22"/>
                    </w:rPr>
                  </m:ctrlPr>
                </m:sSubPr>
                <m:e>
                  <m:r>
                    <w:rPr>
                      <w:rFonts w:ascii="Cambria Math" w:hAnsi="Cambria Math" w:cs="Calibri"/>
                      <w:sz w:val="22"/>
                    </w:rPr>
                    <m:t>W</m:t>
                  </m:r>
                </m:e>
                <m:sub>
                  <m:r>
                    <w:rPr>
                      <w:rFonts w:ascii="Cambria Math" w:hAnsi="Cambria Math" w:cs="Calibri"/>
                      <w:sz w:val="22"/>
                    </w:rPr>
                    <m:t>p</m:t>
                  </m:r>
                </m:sub>
              </m:sSub>
            </m:oMath>
            <w:r>
              <w:rPr>
                <w:rFonts w:asciiTheme="minorHAnsi" w:hAnsiTheme="minorHAnsi" w:cstheme="minorHAnsi"/>
                <w:sz w:val="22"/>
                <w:szCs w:val="28"/>
              </w:rPr>
              <w:t xml:space="preserve"> is reset to </w:t>
            </w:r>
            <m:oMath>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min</m:t>
                      </m:r>
                      <m:r>
                        <w:rPr>
                          <w:rFonts w:ascii="Cambria Math" w:hAnsi="Cambria Math"/>
                          <w:lang w:val="en-US"/>
                        </w:rPr>
                        <m:t>,</m:t>
                      </m:r>
                    </m:fName>
                    <m:e>
                      <m:r>
                        <w:rPr>
                          <w:rFonts w:ascii="Cambria Math" w:hAnsi="Cambria Math"/>
                        </w:rPr>
                        <m:t>p</m:t>
                      </m:r>
                    </m:e>
                  </m:func>
                </m:sub>
              </m:sSub>
            </m:oMath>
            <w:r>
              <w:rPr>
                <w:rFonts w:asciiTheme="minorHAnsi" w:hAnsiTheme="minorHAnsi" w:cstheme="minorHAnsi"/>
              </w:rPr>
              <w:t xml:space="preserve"> </w:t>
            </w:r>
            <w:r>
              <w:rPr>
                <w:rFonts w:asciiTheme="minorHAnsi" w:hAnsiTheme="minorHAnsi" w:cstheme="minorHAnsi"/>
                <w:sz w:val="22"/>
                <w:szCs w:val="22"/>
                <w:lang w:val="en-US"/>
              </w:rPr>
              <w:t xml:space="preserve">for every priority class </w:t>
            </w:r>
            <m:oMath>
              <m:r>
                <w:rPr>
                  <w:rFonts w:ascii="Cambria Math" w:hAnsi="Cambria Math" w:cstheme="minorHAnsi"/>
                  <w:sz w:val="22"/>
                  <w:szCs w:val="22"/>
                </w:rPr>
                <m:t>p∈</m:t>
              </m:r>
              <m:d>
                <m:dPr>
                  <m:begChr m:val="{"/>
                  <m:endChr m:val="}"/>
                  <m:ctrlPr>
                    <w:rPr>
                      <w:rFonts w:ascii="Cambria Math" w:hAnsi="Cambria Math" w:cstheme="minorHAnsi"/>
                      <w:i/>
                      <w:sz w:val="22"/>
                      <w:szCs w:val="22"/>
                    </w:rPr>
                  </m:ctrlPr>
                </m:dPr>
                <m:e>
                  <m:r>
                    <w:rPr>
                      <w:rFonts w:ascii="Cambria Math" w:hAnsi="Cambria Math" w:cstheme="minorHAnsi"/>
                      <w:sz w:val="22"/>
                      <w:szCs w:val="22"/>
                    </w:rPr>
                    <m:t>1,2,3,4</m:t>
                  </m:r>
                </m:e>
              </m:d>
            </m:oMath>
            <w:r>
              <w:rPr>
                <w:rFonts w:ascii="Calibri" w:hAnsi="Calibri" w:cs="Calibri"/>
                <w:sz w:val="22"/>
              </w:rPr>
              <w:t xml:space="preserve"> </w:t>
            </w:r>
          </w:p>
          <w:p w14:paraId="024A9D12" w14:textId="77777777" w:rsidR="00EE4559" w:rsidRDefault="00EE4559" w:rsidP="00EE4559">
            <w:pPr>
              <w:pStyle w:val="ListParagraph"/>
              <w:numPr>
                <w:ilvl w:val="2"/>
                <w:numId w:val="18"/>
              </w:numPr>
              <w:autoSpaceDE w:val="0"/>
              <w:autoSpaceDN w:val="0"/>
              <w:spacing w:line="259" w:lineRule="auto"/>
              <w:ind w:leftChars="0"/>
              <w:jc w:val="both"/>
              <w:rPr>
                <w:rFonts w:ascii="Calibri" w:hAnsi="Calibri" w:cs="Calibri"/>
                <w:color w:val="FF0000"/>
                <w:sz w:val="22"/>
              </w:rPr>
            </w:pPr>
            <w:r>
              <w:rPr>
                <w:rFonts w:asciiTheme="minorHAnsi" w:eastAsia="SimSun" w:hAnsiTheme="minorHAnsi" w:cstheme="minorHAnsi"/>
                <w:color w:val="FF0000"/>
                <w:sz w:val="22"/>
                <w:szCs w:val="22"/>
                <w:lang w:val="en-US"/>
              </w:rPr>
              <w:t xml:space="preserve">Option 3: An ACK-only procedure is used instead of a NACK-only procedure. In this case, </w:t>
            </w:r>
            <w:r>
              <w:rPr>
                <w:rFonts w:ascii="Calibri" w:hAnsi="Calibri" w:cs="Calibri"/>
                <w:color w:val="FF0000"/>
                <w:sz w:val="22"/>
              </w:rPr>
              <w:t xml:space="preserve">if at least a ‘ACK’ is received then </w:t>
            </w:r>
            <m:oMath>
              <m:r>
                <w:rPr>
                  <w:rFonts w:ascii="Cambria Math" w:hAnsi="Cambria Math" w:cs="Calibri"/>
                  <w:color w:val="FF0000"/>
                  <w:sz w:val="22"/>
                </w:rPr>
                <m:t>C</m:t>
              </m:r>
              <m:sSub>
                <m:sSubPr>
                  <m:ctrlPr>
                    <w:rPr>
                      <w:rFonts w:ascii="Cambria Math" w:hAnsi="Cambria Math" w:cs="Calibri"/>
                      <w:color w:val="FF0000"/>
                      <w:sz w:val="22"/>
                    </w:rPr>
                  </m:ctrlPr>
                </m:sSubPr>
                <m:e>
                  <m:r>
                    <w:rPr>
                      <w:rFonts w:ascii="Cambria Math" w:hAnsi="Cambria Math" w:cs="Calibri"/>
                      <w:color w:val="FF0000"/>
                      <w:sz w:val="22"/>
                    </w:rPr>
                    <m:t>W</m:t>
                  </m:r>
                </m:e>
                <m:sub>
                  <m:r>
                    <w:rPr>
                      <w:rFonts w:ascii="Cambria Math" w:hAnsi="Cambria Math" w:cs="Calibri"/>
                      <w:color w:val="FF0000"/>
                      <w:sz w:val="22"/>
                    </w:rPr>
                    <m:t>p</m:t>
                  </m:r>
                </m:sub>
              </m:sSub>
              <m:r>
                <m:rPr>
                  <m:sty m:val="p"/>
                </m:rPr>
                <w:rPr>
                  <w:rFonts w:ascii="Cambria Math" w:hAnsi="Cambria Math" w:cs="Calibri"/>
                  <w:color w:val="FF0000"/>
                  <w:sz w:val="22"/>
                </w:rPr>
                <m:t>=</m:t>
              </m:r>
              <m:r>
                <w:rPr>
                  <w:rFonts w:ascii="Cambria Math" w:hAnsi="Cambria Math" w:cs="Calibri"/>
                  <w:color w:val="FF0000"/>
                  <w:sz w:val="22"/>
                </w:rPr>
                <m:t>C</m:t>
              </m:r>
              <m:sSub>
                <m:sSubPr>
                  <m:ctrlPr>
                    <w:rPr>
                      <w:rFonts w:ascii="Cambria Math" w:hAnsi="Cambria Math" w:cs="Calibri"/>
                      <w:color w:val="FF0000"/>
                      <w:sz w:val="22"/>
                    </w:rPr>
                  </m:ctrlPr>
                </m:sSubPr>
                <m:e>
                  <m:r>
                    <w:rPr>
                      <w:rFonts w:ascii="Cambria Math" w:hAnsi="Cambria Math" w:cs="Calibri"/>
                      <w:color w:val="FF0000"/>
                      <w:sz w:val="22"/>
                    </w:rPr>
                    <m:t>W</m:t>
                  </m:r>
                </m:e>
                <m:sub>
                  <m:func>
                    <m:funcPr>
                      <m:ctrlPr>
                        <w:rPr>
                          <w:rFonts w:ascii="Cambria Math" w:hAnsi="Cambria Math" w:cs="Calibri"/>
                          <w:color w:val="FF0000"/>
                          <w:sz w:val="22"/>
                        </w:rPr>
                      </m:ctrlPr>
                    </m:funcPr>
                    <m:fName>
                      <m:r>
                        <w:rPr>
                          <w:rFonts w:ascii="Cambria Math" w:hAnsi="Cambria Math" w:cs="Calibri"/>
                          <w:color w:val="FF0000"/>
                          <w:sz w:val="22"/>
                        </w:rPr>
                        <m:t>min</m:t>
                      </m:r>
                      <m:r>
                        <m:rPr>
                          <m:sty m:val="p"/>
                        </m:rPr>
                        <w:rPr>
                          <w:rFonts w:ascii="Cambria Math" w:hAnsi="Cambria Math" w:cs="Calibri"/>
                          <w:color w:val="FF0000"/>
                          <w:sz w:val="22"/>
                        </w:rPr>
                        <m:t>,</m:t>
                      </m:r>
                    </m:fName>
                    <m:e>
                      <m:r>
                        <w:rPr>
                          <w:rFonts w:ascii="Cambria Math" w:hAnsi="Cambria Math" w:cs="Calibri"/>
                          <w:color w:val="FF0000"/>
                          <w:sz w:val="22"/>
                        </w:rPr>
                        <m:t>p</m:t>
                      </m:r>
                    </m:e>
                  </m:func>
                </m:sub>
              </m:sSub>
            </m:oMath>
            <w:r>
              <w:rPr>
                <w:rFonts w:ascii="Calibri" w:hAnsi="Calibri" w:cs="Calibri"/>
                <w:color w:val="FF0000"/>
                <w:sz w:val="22"/>
              </w:rPr>
              <w:t xml:space="preserve">, otherwise </w:t>
            </w:r>
            <m:oMath>
              <m:r>
                <w:rPr>
                  <w:rFonts w:ascii="Cambria Math" w:hAnsi="Cambria Math" w:cs="Calibri"/>
                  <w:color w:val="FF0000"/>
                  <w:sz w:val="22"/>
                </w:rPr>
                <m:t>C</m:t>
              </m:r>
              <m:sSub>
                <m:sSubPr>
                  <m:ctrlPr>
                    <w:rPr>
                      <w:rFonts w:ascii="Cambria Math" w:hAnsi="Cambria Math" w:cs="Calibri"/>
                      <w:color w:val="FF0000"/>
                      <w:sz w:val="22"/>
                    </w:rPr>
                  </m:ctrlPr>
                </m:sSubPr>
                <m:e>
                  <m:r>
                    <w:rPr>
                      <w:rFonts w:ascii="Cambria Math" w:hAnsi="Cambria Math" w:cs="Calibri"/>
                      <w:color w:val="FF0000"/>
                      <w:sz w:val="22"/>
                    </w:rPr>
                    <m:t>W</m:t>
                  </m:r>
                </m:e>
                <m:sub>
                  <m:r>
                    <w:rPr>
                      <w:rFonts w:ascii="Cambria Math" w:hAnsi="Cambria Math" w:cs="Calibri"/>
                      <w:color w:val="FF0000"/>
                      <w:sz w:val="22"/>
                    </w:rPr>
                    <m:t>p</m:t>
                  </m:r>
                </m:sub>
              </m:sSub>
              <m:r>
                <m:rPr>
                  <m:sty m:val="p"/>
                </m:rPr>
                <w:rPr>
                  <w:rFonts w:ascii="Cambria Math" w:hAnsi="Cambria Math" w:cs="Calibri"/>
                  <w:color w:val="FF0000"/>
                  <w:sz w:val="22"/>
                </w:rPr>
                <m:t> </m:t>
              </m:r>
            </m:oMath>
            <w:r>
              <w:rPr>
                <w:rFonts w:ascii="Calibri" w:hAnsi="Calibri" w:cs="Calibri"/>
                <w:color w:val="FF0000"/>
                <w:sz w:val="22"/>
              </w:rPr>
              <w:t>is increased</w:t>
            </w:r>
          </w:p>
          <w:p w14:paraId="0378722A" w14:textId="77777777" w:rsidR="00EE4559" w:rsidRDefault="00EE4559" w:rsidP="00EE4559">
            <w:pPr>
              <w:pStyle w:val="ListParagraph"/>
              <w:autoSpaceDE w:val="0"/>
              <w:autoSpaceDN w:val="0"/>
              <w:ind w:leftChars="0" w:left="2160"/>
              <w:jc w:val="both"/>
              <w:rPr>
                <w:rFonts w:asciiTheme="minorHAnsi" w:eastAsia="SimSun" w:hAnsiTheme="minorHAnsi" w:cstheme="minorHAnsi"/>
                <w:color w:val="FF0000"/>
                <w:sz w:val="22"/>
                <w:szCs w:val="22"/>
                <w:lang w:val="en-US"/>
              </w:rPr>
            </w:pPr>
          </w:p>
          <w:p w14:paraId="3EC078B2" w14:textId="77777777" w:rsidR="00EE4559" w:rsidRDefault="00EE4559" w:rsidP="00EE4559">
            <w:pPr>
              <w:pStyle w:val="ListParagraph"/>
              <w:numPr>
                <w:ilvl w:val="1"/>
                <w:numId w:val="18"/>
              </w:numPr>
              <w:autoSpaceDE w:val="0"/>
              <w:autoSpaceDN w:val="0"/>
              <w:spacing w:line="259" w:lineRule="auto"/>
              <w:ind w:leftChars="0"/>
              <w:jc w:val="both"/>
              <w:rPr>
                <w:rFonts w:ascii="Calibri" w:hAnsi="Calibri" w:cs="Calibri"/>
                <w:sz w:val="22"/>
              </w:rPr>
            </w:pPr>
            <w:r>
              <w:rPr>
                <w:rFonts w:ascii="Calibri" w:hAnsi="Calibri" w:cs="Calibri" w:hint="eastAsia"/>
                <w:sz w:val="22"/>
              </w:rPr>
              <w:t xml:space="preserve">FFS the case when UE is operating </w:t>
            </w:r>
            <w:r>
              <w:rPr>
                <w:rFonts w:ascii="Calibri" w:hAnsi="Calibri" w:cs="Calibri"/>
                <w:sz w:val="22"/>
              </w:rPr>
              <w:t>with</w:t>
            </w:r>
            <w:r>
              <w:rPr>
                <w:rFonts w:ascii="Calibri" w:hAnsi="Calibri" w:cs="Calibri" w:hint="eastAsia"/>
                <w:sz w:val="22"/>
              </w:rPr>
              <w:t xml:space="preserve"> different SL-HARQ feedback schemes (e.g., UE has concurrent broadcast transmission + unicast with SL-HARQ enabled, or GC option 1 + GC option 2, etc)</w:t>
            </w:r>
          </w:p>
        </w:tc>
      </w:tr>
      <w:tr w:rsidR="00EE4559" w14:paraId="59A3C22A" w14:textId="77777777" w:rsidTr="006B2419">
        <w:tc>
          <w:tcPr>
            <w:tcW w:w="1555" w:type="dxa"/>
          </w:tcPr>
          <w:p w14:paraId="3C85CB7B" w14:textId="77777777" w:rsidR="00EE4559" w:rsidRDefault="00EE4559" w:rsidP="006B2419">
            <w:pPr>
              <w:pStyle w:val="0Maintext"/>
              <w:tabs>
                <w:tab w:val="left" w:pos="1199"/>
              </w:tabs>
              <w:spacing w:after="0" w:afterAutospacing="0"/>
              <w:ind w:firstLine="0"/>
            </w:pPr>
            <w:r>
              <w:lastRenderedPageBreak/>
              <w:t>Apple</w:t>
            </w:r>
          </w:p>
        </w:tc>
        <w:tc>
          <w:tcPr>
            <w:tcW w:w="8076" w:type="dxa"/>
          </w:tcPr>
          <w:p w14:paraId="73DBFDC7" w14:textId="77777777" w:rsidR="00EE4559" w:rsidRDefault="00EE4559" w:rsidP="006B2419">
            <w:pPr>
              <w:pStyle w:val="0Maintext"/>
              <w:spacing w:after="0" w:afterAutospacing="0"/>
              <w:ind w:firstLine="0"/>
            </w:pPr>
            <w:r>
              <w:t>We support the proposal.   Support option 2</w:t>
            </w:r>
          </w:p>
        </w:tc>
      </w:tr>
      <w:tr w:rsidR="00EE4559" w14:paraId="14C119F7" w14:textId="77777777" w:rsidTr="006B2419">
        <w:tc>
          <w:tcPr>
            <w:tcW w:w="1555" w:type="dxa"/>
          </w:tcPr>
          <w:p w14:paraId="7A5C9D4C" w14:textId="77777777" w:rsidR="00EE4559" w:rsidRDefault="00EE4559" w:rsidP="006B2419">
            <w:pPr>
              <w:pStyle w:val="0Maintext"/>
              <w:spacing w:after="0" w:afterAutospacing="0"/>
              <w:ind w:firstLine="0"/>
            </w:pPr>
            <w:r>
              <w:rPr>
                <w:rFonts w:eastAsiaTheme="minorEastAsia" w:hint="eastAsia"/>
                <w:lang w:eastAsia="zh-CN"/>
              </w:rPr>
              <w:t>O</w:t>
            </w:r>
            <w:r>
              <w:rPr>
                <w:rFonts w:eastAsiaTheme="minorEastAsia"/>
                <w:lang w:eastAsia="zh-CN"/>
              </w:rPr>
              <w:t>PPO</w:t>
            </w:r>
          </w:p>
        </w:tc>
        <w:tc>
          <w:tcPr>
            <w:tcW w:w="8076" w:type="dxa"/>
          </w:tcPr>
          <w:p w14:paraId="4E0B56DB" w14:textId="77777777" w:rsidR="00EE4559" w:rsidRDefault="00EE4559" w:rsidP="006B2419">
            <w:pPr>
              <w:pStyle w:val="ListParagraph"/>
              <w:ind w:leftChars="0" w:left="33"/>
              <w:jc w:val="both"/>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We are fine with 1</w:t>
            </w:r>
            <w:r>
              <w:rPr>
                <w:rFonts w:asciiTheme="minorHAnsi" w:eastAsiaTheme="minorEastAsia" w:hAnsiTheme="minorHAnsi" w:cstheme="minorHAnsi"/>
                <w:sz w:val="22"/>
                <w:szCs w:val="22"/>
                <w:vertAlign w:val="superscript"/>
                <w:lang w:eastAsia="zh-CN"/>
              </w:rPr>
              <w:t>st</w:t>
            </w:r>
            <w:r>
              <w:rPr>
                <w:rFonts w:asciiTheme="minorHAnsi" w:eastAsiaTheme="minorEastAsia" w:hAnsiTheme="minorHAnsi" w:cstheme="minorHAnsi"/>
                <w:sz w:val="22"/>
                <w:szCs w:val="22"/>
                <w:lang w:eastAsia="zh-CN"/>
              </w:rPr>
              <w:t xml:space="preserve"> and 2</w:t>
            </w:r>
            <w:r>
              <w:rPr>
                <w:rFonts w:asciiTheme="minorHAnsi" w:eastAsiaTheme="minorEastAsia" w:hAnsiTheme="minorHAnsi" w:cstheme="minorHAnsi"/>
                <w:sz w:val="22"/>
                <w:szCs w:val="22"/>
                <w:vertAlign w:val="superscript"/>
                <w:lang w:eastAsia="zh-CN"/>
              </w:rPr>
              <w:t>nd</w:t>
            </w:r>
            <w:r>
              <w:rPr>
                <w:rFonts w:asciiTheme="minorHAnsi" w:eastAsiaTheme="minorEastAsia" w:hAnsiTheme="minorHAnsi" w:cstheme="minorHAnsi"/>
                <w:sz w:val="22"/>
                <w:szCs w:val="22"/>
                <w:lang w:eastAsia="zh-CN"/>
              </w:rPr>
              <w:t xml:space="preserve"> bullet. </w:t>
            </w:r>
          </w:p>
          <w:p w14:paraId="240FFF47" w14:textId="77777777" w:rsidR="00EE4559" w:rsidRDefault="00EE4559" w:rsidP="006B2419">
            <w:pPr>
              <w:pStyle w:val="0Maintext"/>
              <w:spacing w:after="0" w:afterAutospacing="0"/>
              <w:ind w:firstLine="0"/>
            </w:pPr>
            <w:r>
              <w:rPr>
                <w:rFonts w:asciiTheme="minorHAnsi" w:eastAsiaTheme="minorEastAsia" w:hAnsiTheme="minorHAnsi" w:cstheme="minorHAnsi"/>
                <w:sz w:val="22"/>
                <w:szCs w:val="22"/>
                <w:lang w:eastAsia="zh-CN"/>
              </w:rPr>
              <w:t>For the 3</w:t>
            </w:r>
            <w:r>
              <w:rPr>
                <w:rFonts w:asciiTheme="minorHAnsi" w:eastAsiaTheme="minorEastAsia" w:hAnsiTheme="minorHAnsi" w:cstheme="minorHAnsi"/>
                <w:sz w:val="22"/>
                <w:szCs w:val="22"/>
                <w:vertAlign w:val="superscript"/>
                <w:lang w:eastAsia="zh-CN"/>
              </w:rPr>
              <w:t>rd</w:t>
            </w:r>
            <w:r>
              <w:rPr>
                <w:rFonts w:asciiTheme="minorHAnsi" w:eastAsiaTheme="minorEastAsia" w:hAnsiTheme="minorHAnsi" w:cstheme="minorHAnsi"/>
                <w:sz w:val="22"/>
                <w:szCs w:val="22"/>
                <w:lang w:eastAsia="zh-CN"/>
              </w:rPr>
              <w:t xml:space="preserve"> bullet of NACK-only case, as commented in proposal 1, if type 1 LBT is applied to NACK-only SL FB, that will cause ambiguous at TX UE. So we suggest to discuss whether Type 1 LBT can be applied to NACK-only firstly. If it cannot be applied, we do not necessary to discuss CW adjustment any more. </w:t>
            </w:r>
          </w:p>
        </w:tc>
      </w:tr>
      <w:tr w:rsidR="00EE4559" w14:paraId="241B29E9" w14:textId="77777777" w:rsidTr="006B2419">
        <w:tc>
          <w:tcPr>
            <w:tcW w:w="1555" w:type="dxa"/>
          </w:tcPr>
          <w:p w14:paraId="4F0DE408" w14:textId="77777777" w:rsidR="00EE4559" w:rsidRDefault="00EE4559" w:rsidP="006B2419">
            <w:pPr>
              <w:pStyle w:val="0Maintext"/>
              <w:spacing w:after="0" w:afterAutospacing="0"/>
              <w:ind w:firstLine="0"/>
            </w:pPr>
            <w:r>
              <w:t>CableLabs</w:t>
            </w:r>
          </w:p>
        </w:tc>
        <w:tc>
          <w:tcPr>
            <w:tcW w:w="8076" w:type="dxa"/>
          </w:tcPr>
          <w:p w14:paraId="62F1F5CC" w14:textId="77777777" w:rsidR="00EE4559" w:rsidRDefault="00EE4559" w:rsidP="006B2419">
            <w:pPr>
              <w:pStyle w:val="0Maintext"/>
              <w:spacing w:after="0" w:afterAutospacing="0"/>
              <w:ind w:firstLine="0"/>
            </w:pPr>
            <w:r>
              <w:t>We support the following modified agreement:</w:t>
            </w:r>
          </w:p>
          <w:p w14:paraId="776F8CB7" w14:textId="77777777" w:rsidR="00EE4559" w:rsidRDefault="00EE4559" w:rsidP="00EE4559">
            <w:pPr>
              <w:pStyle w:val="ListParagraph"/>
              <w:numPr>
                <w:ilvl w:val="0"/>
                <w:numId w:val="18"/>
              </w:numPr>
              <w:autoSpaceDE w:val="0"/>
              <w:autoSpaceDN w:val="0"/>
              <w:spacing w:line="259" w:lineRule="auto"/>
              <w:ind w:leftChars="0"/>
              <w:jc w:val="both"/>
              <w:rPr>
                <w:rFonts w:ascii="Calibri" w:hAnsi="Calibri" w:cs="Calibri"/>
                <w:sz w:val="22"/>
              </w:rPr>
            </w:pPr>
            <w:r>
              <w:rPr>
                <w:rFonts w:ascii="Calibri" w:hAnsi="Calibri" w:cs="Calibri"/>
                <w:sz w:val="22"/>
              </w:rPr>
              <w:t>In Type 1 SL channel access procedure,</w:t>
            </w:r>
          </w:p>
          <w:p w14:paraId="0D76411E" w14:textId="77777777" w:rsidR="00EE4559" w:rsidRDefault="00EE4559" w:rsidP="00EE4559">
            <w:pPr>
              <w:pStyle w:val="ListParagraph"/>
              <w:numPr>
                <w:ilvl w:val="1"/>
                <w:numId w:val="18"/>
              </w:numPr>
              <w:autoSpaceDE w:val="0"/>
              <w:autoSpaceDN w:val="0"/>
              <w:spacing w:line="259" w:lineRule="auto"/>
              <w:ind w:leftChars="0"/>
              <w:jc w:val="both"/>
              <w:rPr>
                <w:rFonts w:ascii="Calibri" w:hAnsi="Calibri" w:cs="Calibri"/>
                <w:color w:val="FF0000"/>
                <w:sz w:val="22"/>
              </w:rPr>
            </w:pPr>
            <w:r>
              <w:rPr>
                <w:rFonts w:ascii="Calibri" w:hAnsi="Calibri" w:cs="Calibri"/>
                <w:color w:val="FF0000"/>
                <w:sz w:val="22"/>
              </w:rPr>
              <w:t>A SL reference burst is defined as any burst from the beginning of the channel occupancy until either</w:t>
            </w:r>
          </w:p>
          <w:p w14:paraId="0CACE076" w14:textId="77777777" w:rsidR="00EE4559" w:rsidRDefault="00EE4559" w:rsidP="00EE4559">
            <w:pPr>
              <w:pStyle w:val="3GPPText"/>
              <w:numPr>
                <w:ilvl w:val="2"/>
                <w:numId w:val="18"/>
              </w:numPr>
              <w:spacing w:before="0" w:after="0" w:line="276" w:lineRule="auto"/>
              <w:rPr>
                <w:rFonts w:ascii="Calibri" w:eastAsia="Batang" w:hAnsi="Calibri" w:cs="Calibri"/>
                <w:color w:val="FF0000"/>
                <w:szCs w:val="24"/>
                <w:lang w:val="en-GB"/>
              </w:rPr>
            </w:pPr>
            <w:r>
              <w:rPr>
                <w:rFonts w:ascii="Calibri" w:eastAsia="Batang" w:hAnsi="Calibri" w:cs="Calibri"/>
                <w:color w:val="FF0000"/>
                <w:szCs w:val="24"/>
                <w:lang w:val="en-GB"/>
              </w:rPr>
              <w:t>the end of the first slot where at least one unicast PSSCH or a groupcast PSSCH with HARQ-ACK feedback enabled in SCI is transmitted, or</w:t>
            </w:r>
          </w:p>
          <w:p w14:paraId="5F2BCA0F" w14:textId="77777777" w:rsidR="00EE4559" w:rsidRDefault="00EE4559" w:rsidP="00EE4559">
            <w:pPr>
              <w:pStyle w:val="3GPPText"/>
              <w:numPr>
                <w:ilvl w:val="2"/>
                <w:numId w:val="18"/>
              </w:numPr>
              <w:spacing w:before="0" w:after="0" w:line="276" w:lineRule="auto"/>
              <w:rPr>
                <w:rFonts w:ascii="Calibri" w:eastAsia="Batang" w:hAnsi="Calibri" w:cs="Calibri"/>
                <w:color w:val="FF0000"/>
                <w:szCs w:val="24"/>
                <w:lang w:val="en-GB"/>
              </w:rPr>
            </w:pPr>
            <w:r>
              <w:rPr>
                <w:rFonts w:ascii="Calibri" w:eastAsia="Batang" w:hAnsi="Calibri" w:cs="Calibri"/>
                <w:color w:val="FF0000"/>
                <w:szCs w:val="24"/>
                <w:lang w:val="en-GB"/>
              </w:rPr>
              <w:t>the end of the first transmission burst that contains a unicast PSSCH or a groupcast PSSCH with HARQ-ACK feedback enabled in SCI,</w:t>
            </w:r>
          </w:p>
          <w:p w14:paraId="2DF38E52" w14:textId="77777777" w:rsidR="00EE4559" w:rsidRDefault="00EE4559" w:rsidP="00EE4559">
            <w:pPr>
              <w:pStyle w:val="3GPPText"/>
              <w:spacing w:before="0" w:after="0" w:line="276" w:lineRule="auto"/>
              <w:ind w:left="1440"/>
              <w:rPr>
                <w:rFonts w:ascii="Calibri" w:eastAsia="Batang" w:hAnsi="Calibri" w:cs="Calibri"/>
                <w:color w:val="FF0000"/>
                <w:szCs w:val="24"/>
                <w:lang w:val="en-GB"/>
              </w:rPr>
            </w:pPr>
            <w:r>
              <w:rPr>
                <w:rFonts w:ascii="Calibri" w:eastAsia="Batang" w:hAnsi="Calibri" w:cs="Calibri"/>
                <w:color w:val="FF0000"/>
                <w:szCs w:val="24"/>
                <w:lang w:val="en-GB"/>
              </w:rPr>
              <w:t>whichever occurs earlier.</w:t>
            </w:r>
          </w:p>
          <w:p w14:paraId="73A7B6B4" w14:textId="77777777" w:rsidR="00EE4559" w:rsidRDefault="00EE4559" w:rsidP="00EE4559">
            <w:pPr>
              <w:pStyle w:val="3GPPText"/>
              <w:numPr>
                <w:ilvl w:val="0"/>
                <w:numId w:val="18"/>
              </w:numPr>
              <w:spacing w:before="0" w:after="0" w:line="276" w:lineRule="auto"/>
              <w:rPr>
                <w:rFonts w:asciiTheme="minorHAnsi" w:hAnsiTheme="minorHAnsi" w:cstheme="minorHAnsi"/>
                <w:color w:val="FF0000"/>
                <w:szCs w:val="22"/>
              </w:rPr>
            </w:pPr>
            <w:r>
              <w:rPr>
                <w:rFonts w:asciiTheme="minorHAnsi" w:hAnsiTheme="minorHAnsi" w:cstheme="minorHAnsi"/>
                <w:color w:val="FF0000"/>
                <w:szCs w:val="22"/>
              </w:rPr>
              <w:t>If all transmissions within a SL reference burst may be with the SL-HARQ feedback disabled, the CWS may be kept unchanged f</w:t>
            </w:r>
            <w:r>
              <w:rPr>
                <w:rFonts w:asciiTheme="minorHAnsi" w:hAnsiTheme="minorHAnsi" w:cstheme="minorHAnsi" w:hint="eastAsia"/>
                <w:color w:val="FF0000"/>
                <w:szCs w:val="22"/>
              </w:rPr>
              <w:t xml:space="preserve">or every priority class </w:t>
            </w:r>
            <m:oMath>
              <m:r>
                <w:rPr>
                  <w:rFonts w:ascii="Cambria Math" w:hAnsi="Cambria Math" w:cstheme="minorHAnsi"/>
                  <w:color w:val="FF0000"/>
                  <w:szCs w:val="22"/>
                </w:rPr>
                <m:t>p</m:t>
              </m:r>
              <m:r>
                <m:rPr>
                  <m:sty m:val="p"/>
                </m:rPr>
                <w:rPr>
                  <w:rFonts w:ascii="Cambria Math" w:hAnsi="Cambria Math" w:cstheme="minorHAnsi"/>
                  <w:color w:val="FF0000"/>
                  <w:szCs w:val="22"/>
                </w:rPr>
                <m:t>∈</m:t>
              </m:r>
              <m:d>
                <m:dPr>
                  <m:begChr m:val="{"/>
                  <m:endChr m:val="}"/>
                  <m:ctrlPr>
                    <w:rPr>
                      <w:rFonts w:ascii="Cambria Math" w:hAnsi="Cambria Math" w:cstheme="minorHAnsi"/>
                      <w:color w:val="FF0000"/>
                      <w:szCs w:val="22"/>
                    </w:rPr>
                  </m:ctrlPr>
                </m:dPr>
                <m:e>
                  <m:r>
                    <m:rPr>
                      <m:sty m:val="p"/>
                    </m:rPr>
                    <w:rPr>
                      <w:rFonts w:ascii="Cambria Math" w:hAnsi="Cambria Math" w:cstheme="minorHAnsi"/>
                      <w:color w:val="FF0000"/>
                      <w:szCs w:val="22"/>
                    </w:rPr>
                    <m:t>1,2,3,4</m:t>
                  </m:r>
                </m:e>
              </m:d>
            </m:oMath>
            <w:r>
              <w:rPr>
                <w:rFonts w:asciiTheme="minorHAnsi" w:hAnsiTheme="minorHAnsi" w:cstheme="minorHAnsi" w:hint="eastAsia"/>
                <w:color w:val="FF0000"/>
                <w:szCs w:val="22"/>
              </w:rPr>
              <w:t>,</w:t>
            </w:r>
            <w:r>
              <w:rPr>
                <w:rFonts w:asciiTheme="minorHAnsi" w:hAnsiTheme="minorHAnsi" w:cstheme="minorHAnsi"/>
                <w:color w:val="FF0000"/>
                <w:szCs w:val="22"/>
              </w:rPr>
              <w:t xml:space="preserve">. </w:t>
            </w:r>
          </w:p>
          <w:p w14:paraId="04190C35" w14:textId="77777777" w:rsidR="00EE4559" w:rsidRDefault="00EE4559" w:rsidP="00EE4559">
            <w:pPr>
              <w:pStyle w:val="3GPPText"/>
              <w:numPr>
                <w:ilvl w:val="0"/>
                <w:numId w:val="18"/>
              </w:numPr>
              <w:spacing w:before="0" w:after="0" w:line="276" w:lineRule="auto"/>
              <w:rPr>
                <w:rFonts w:asciiTheme="minorHAnsi" w:hAnsiTheme="minorHAnsi" w:cstheme="minorHAnsi"/>
                <w:color w:val="FF0000"/>
                <w:szCs w:val="22"/>
              </w:rPr>
            </w:pPr>
            <w:r>
              <w:rPr>
                <w:rFonts w:asciiTheme="minorHAnsi" w:hAnsiTheme="minorHAnsi" w:cstheme="minorHAnsi"/>
                <w:color w:val="FF0000"/>
                <w:szCs w:val="22"/>
              </w:rPr>
              <w:t xml:space="preserve">If a UE may receive feedback information for unicast PSSCH with HARQ-ACK feedback enabled occurring within the SL reference burst </w:t>
            </w:r>
            <m:oMath>
              <m:r>
                <w:rPr>
                  <w:rFonts w:ascii="Cambria Math" w:hAnsi="Cambria Math" w:cstheme="minorHAnsi"/>
                  <w:color w:val="FF0000"/>
                  <w:szCs w:val="22"/>
                </w:rPr>
                <m:t>C</m:t>
              </m:r>
              <m:sSub>
                <m:sSubPr>
                  <m:ctrlPr>
                    <w:rPr>
                      <w:rFonts w:ascii="Cambria Math" w:hAnsi="Cambria Math" w:cstheme="minorHAnsi"/>
                      <w:i/>
                      <w:iCs/>
                      <w:color w:val="FF0000"/>
                      <w:szCs w:val="22"/>
                    </w:rPr>
                  </m:ctrlPr>
                </m:sSubPr>
                <m:e>
                  <m:r>
                    <w:rPr>
                      <w:rFonts w:ascii="Cambria Math" w:hAnsi="Cambria Math" w:cstheme="minorHAnsi"/>
                      <w:color w:val="FF0000"/>
                      <w:szCs w:val="22"/>
                    </w:rPr>
                    <m:t>W</m:t>
                  </m:r>
                </m:e>
                <m:sub>
                  <m:r>
                    <w:rPr>
                      <w:rFonts w:ascii="Cambria Math" w:hAnsi="Cambria Math" w:cstheme="minorHAnsi"/>
                      <w:color w:val="FF0000"/>
                      <w:szCs w:val="22"/>
                    </w:rPr>
                    <m:t>p</m:t>
                  </m:r>
                </m:sub>
              </m:sSub>
              <m:r>
                <m:rPr>
                  <m:sty m:val="p"/>
                </m:rPr>
                <w:rPr>
                  <w:rFonts w:ascii="Cambria Math" w:hAnsi="Cambria Math" w:cstheme="minorHAnsi"/>
                  <w:color w:val="FF0000"/>
                  <w:szCs w:val="22"/>
                </w:rPr>
                <m:t>=</m:t>
              </m:r>
              <m:r>
                <w:rPr>
                  <w:rFonts w:ascii="Cambria Math" w:hAnsi="Cambria Math" w:cstheme="minorHAnsi"/>
                  <w:color w:val="FF0000"/>
                  <w:szCs w:val="22"/>
                </w:rPr>
                <m:t>C</m:t>
              </m:r>
              <m:sSub>
                <m:sSubPr>
                  <m:ctrlPr>
                    <w:rPr>
                      <w:rFonts w:ascii="Cambria Math" w:hAnsi="Cambria Math" w:cstheme="minorHAnsi"/>
                      <w:i/>
                      <w:iCs/>
                      <w:color w:val="FF0000"/>
                      <w:szCs w:val="22"/>
                    </w:rPr>
                  </m:ctrlPr>
                </m:sSubPr>
                <m:e>
                  <m:r>
                    <w:rPr>
                      <w:rFonts w:ascii="Cambria Math" w:hAnsi="Cambria Math" w:cstheme="minorHAnsi"/>
                      <w:color w:val="FF0000"/>
                      <w:szCs w:val="22"/>
                    </w:rPr>
                    <m:t>W</m:t>
                  </m:r>
                </m:e>
                <m:sub>
                  <m:func>
                    <m:funcPr>
                      <m:ctrlPr>
                        <w:rPr>
                          <w:rFonts w:ascii="Cambria Math" w:hAnsi="Cambria Math" w:cstheme="minorHAnsi"/>
                          <w:i/>
                          <w:iCs/>
                          <w:color w:val="FF0000"/>
                          <w:szCs w:val="22"/>
                        </w:rPr>
                      </m:ctrlPr>
                    </m:funcPr>
                    <m:fName>
                      <m:r>
                        <w:rPr>
                          <w:rFonts w:ascii="Cambria Math" w:hAnsi="Cambria Math" w:cstheme="minorHAnsi"/>
                          <w:color w:val="FF0000"/>
                          <w:szCs w:val="22"/>
                        </w:rPr>
                        <m:t>min</m:t>
                      </m:r>
                      <m:r>
                        <m:rPr>
                          <m:sty m:val="p"/>
                        </m:rPr>
                        <w:rPr>
                          <w:rFonts w:ascii="Cambria Math" w:hAnsi="Cambria Math" w:cstheme="minorHAnsi"/>
                          <w:color w:val="FF0000"/>
                          <w:szCs w:val="22"/>
                        </w:rPr>
                        <m:t>,</m:t>
                      </m:r>
                    </m:fName>
                    <m:e>
                      <m:r>
                        <w:rPr>
                          <w:rFonts w:ascii="Cambria Math" w:hAnsi="Cambria Math" w:cstheme="minorHAnsi"/>
                          <w:color w:val="FF0000"/>
                          <w:szCs w:val="22"/>
                        </w:rPr>
                        <m:t>p</m:t>
                      </m:r>
                    </m:e>
                  </m:func>
                </m:sub>
              </m:sSub>
            </m:oMath>
            <w:r>
              <w:rPr>
                <w:rFonts w:asciiTheme="minorHAnsi" w:hAnsiTheme="minorHAnsi" w:cstheme="minorHAnsi"/>
                <w:color w:val="FF0000"/>
                <w:szCs w:val="22"/>
              </w:rPr>
              <w:t xml:space="preserve"> if at least a ‘ACK’ is received, otherwise </w:t>
            </w:r>
            <m:oMath>
              <m:r>
                <w:rPr>
                  <w:rFonts w:ascii="Cambria Math" w:hAnsi="Cambria Math" w:cstheme="minorHAnsi"/>
                  <w:color w:val="FF0000"/>
                  <w:szCs w:val="22"/>
                </w:rPr>
                <m:t>C</m:t>
              </m:r>
              <m:sSub>
                <m:sSubPr>
                  <m:ctrlPr>
                    <w:rPr>
                      <w:rFonts w:ascii="Cambria Math" w:hAnsi="Cambria Math" w:cstheme="minorHAnsi"/>
                      <w:i/>
                      <w:iCs/>
                      <w:color w:val="FF0000"/>
                      <w:szCs w:val="22"/>
                    </w:rPr>
                  </m:ctrlPr>
                </m:sSubPr>
                <m:e>
                  <m:r>
                    <w:rPr>
                      <w:rFonts w:ascii="Cambria Math" w:hAnsi="Cambria Math" w:cstheme="minorHAnsi"/>
                      <w:color w:val="FF0000"/>
                      <w:szCs w:val="22"/>
                    </w:rPr>
                    <m:t>W</m:t>
                  </m:r>
                </m:e>
                <m:sub>
                  <m:r>
                    <w:rPr>
                      <w:rFonts w:ascii="Cambria Math" w:hAnsi="Cambria Math" w:cstheme="minorHAnsi"/>
                      <w:color w:val="FF0000"/>
                      <w:szCs w:val="22"/>
                    </w:rPr>
                    <m:t>p</m:t>
                  </m:r>
                </m:sub>
              </m:sSub>
              <m:r>
                <w:rPr>
                  <w:rFonts w:ascii="Cambria Math" w:hAnsi="Cambria Math" w:cstheme="minorHAnsi"/>
                  <w:color w:val="FF0000"/>
                  <w:szCs w:val="22"/>
                </w:rPr>
                <m:t> </m:t>
              </m:r>
            </m:oMath>
            <w:r>
              <w:rPr>
                <w:rFonts w:asciiTheme="minorHAnsi" w:hAnsiTheme="minorHAnsi" w:cstheme="minorHAnsi"/>
                <w:color w:val="FF0000"/>
                <w:szCs w:val="22"/>
              </w:rPr>
              <w:t xml:space="preserve">is increased. </w:t>
            </w:r>
          </w:p>
          <w:p w14:paraId="4FF6079F" w14:textId="77777777" w:rsidR="00EE4559" w:rsidRDefault="00EE4559" w:rsidP="00EE4559">
            <w:pPr>
              <w:pStyle w:val="3GPPText"/>
              <w:numPr>
                <w:ilvl w:val="0"/>
                <w:numId w:val="18"/>
              </w:numPr>
              <w:spacing w:before="0" w:after="0" w:line="276" w:lineRule="auto"/>
              <w:rPr>
                <w:rFonts w:ascii="Calibri" w:hAnsi="Calibri" w:cs="Calibri"/>
              </w:rPr>
            </w:pPr>
            <w:r>
              <w:rPr>
                <w:rFonts w:asciiTheme="minorHAnsi" w:hAnsiTheme="minorHAnsi" w:cstheme="minorHAnsi"/>
                <w:color w:val="FF0000"/>
                <w:szCs w:val="22"/>
              </w:rPr>
              <w:t>In case a groupcast option 2 PSSCH may be transmitted in the reference burst one of the following options could be down-selected:</w:t>
            </w:r>
            <w:r>
              <w:rPr>
                <w:rFonts w:ascii="Calibri" w:hAnsi="Calibri" w:cs="Calibri"/>
              </w:rPr>
              <w:t xml:space="preserve"> </w:t>
            </w:r>
          </w:p>
          <w:p w14:paraId="2C8F4BB5" w14:textId="77777777" w:rsidR="00EE4559" w:rsidRDefault="00EE4559" w:rsidP="00EE4559">
            <w:pPr>
              <w:pStyle w:val="ListParagraph"/>
              <w:numPr>
                <w:ilvl w:val="1"/>
                <w:numId w:val="18"/>
              </w:numPr>
              <w:autoSpaceDE w:val="0"/>
              <w:autoSpaceDN w:val="0"/>
              <w:spacing w:line="259" w:lineRule="auto"/>
              <w:ind w:leftChars="0"/>
              <w:jc w:val="both"/>
              <w:rPr>
                <w:rFonts w:ascii="Calibri" w:hAnsi="Calibri" w:cs="Calibri"/>
                <w:sz w:val="22"/>
              </w:rPr>
            </w:pPr>
            <w:r>
              <w:rPr>
                <w:rFonts w:ascii="Calibri" w:hAnsi="Calibri" w:cs="Calibri"/>
                <w:color w:val="FF0000"/>
                <w:sz w:val="22"/>
                <w:lang w:val="en-AU"/>
              </w:rPr>
              <w:t xml:space="preserve">Option 1: </w:t>
            </w:r>
            <w:r>
              <w:rPr>
                <w:rFonts w:ascii="Calibri" w:hAnsi="Calibri" w:cs="Calibri" w:hint="eastAsia"/>
                <w:sz w:val="22"/>
                <w:lang w:val="en-AU"/>
              </w:rPr>
              <w:t xml:space="preserve">When a (pre-)configurable ratio of received SL HARQ-ACK feedbacks is </w:t>
            </w:r>
            <w:r>
              <w:rPr>
                <w:rFonts w:ascii="Calibri" w:hAnsi="Calibri" w:cs="Calibri" w:hint="eastAsia"/>
                <w:sz w:val="22"/>
                <w:lang w:val="en-AU"/>
              </w:rPr>
              <w:t>‘</w:t>
            </w:r>
            <w:r>
              <w:rPr>
                <w:rFonts w:ascii="Calibri" w:hAnsi="Calibri" w:cs="Calibri" w:hint="eastAsia"/>
                <w:sz w:val="22"/>
                <w:lang w:val="en-AU"/>
              </w:rPr>
              <w:t>ACK</w:t>
            </w:r>
            <w:r>
              <w:rPr>
                <w:rFonts w:ascii="Calibri" w:hAnsi="Calibri" w:cs="Calibri" w:hint="eastAsia"/>
                <w:sz w:val="22"/>
                <w:lang w:val="en-AU"/>
              </w:rPr>
              <w:t>’</w:t>
            </w:r>
            <w:r>
              <w:rPr>
                <w:rFonts w:ascii="Calibri" w:hAnsi="Calibri" w:cs="Calibri" w:hint="eastAsia"/>
                <w:sz w:val="22"/>
                <w:lang w:val="en-AU"/>
              </w:rPr>
              <w:t xml:space="preserve">, </w:t>
            </w:r>
            <m:oMath>
              <m:r>
                <w:rPr>
                  <w:rFonts w:ascii="Cambria Math" w:hAnsi="Cambria Math" w:cs="Calibri"/>
                  <w:sz w:val="22"/>
                </w:rPr>
                <m:t>C</m:t>
              </m:r>
              <m:sSub>
                <m:sSubPr>
                  <m:ctrlPr>
                    <w:rPr>
                      <w:rFonts w:ascii="Cambria Math" w:hAnsi="Cambria Math" w:cs="Calibri"/>
                      <w:i/>
                      <w:iCs/>
                      <w:sz w:val="22"/>
                    </w:rPr>
                  </m:ctrlPr>
                </m:sSubPr>
                <m:e>
                  <m:r>
                    <w:rPr>
                      <w:rFonts w:ascii="Cambria Math" w:hAnsi="Cambria Math" w:cs="Calibri"/>
                      <w:sz w:val="22"/>
                    </w:rPr>
                    <m:t>W</m:t>
                  </m:r>
                </m:e>
                <m:sub>
                  <m:r>
                    <w:rPr>
                      <w:rFonts w:ascii="Cambria Math" w:hAnsi="Cambria Math" w:cs="Calibri"/>
                      <w:sz w:val="22"/>
                    </w:rPr>
                    <m:t>p</m:t>
                  </m:r>
                </m:sub>
              </m:sSub>
            </m:oMath>
            <w:r>
              <w:rPr>
                <w:rFonts w:ascii="Calibri" w:hAnsi="Calibri" w:cs="Calibri" w:hint="eastAsia"/>
                <w:sz w:val="22"/>
                <w:lang w:val="en-AU"/>
              </w:rPr>
              <w:t xml:space="preserve"> is reset to </w:t>
            </w:r>
            <m:oMath>
              <m:r>
                <w:rPr>
                  <w:rFonts w:ascii="Cambria Math" w:hAnsi="Cambria Math" w:cs="Calibri"/>
                  <w:sz w:val="22"/>
                </w:rPr>
                <m:t>C</m:t>
              </m:r>
              <m:sSub>
                <m:sSubPr>
                  <m:ctrlPr>
                    <w:rPr>
                      <w:rFonts w:ascii="Cambria Math" w:hAnsi="Cambria Math" w:cs="Calibri"/>
                      <w:i/>
                      <w:iCs/>
                      <w:sz w:val="22"/>
                    </w:rPr>
                  </m:ctrlPr>
                </m:sSubPr>
                <m:e>
                  <m:r>
                    <w:rPr>
                      <w:rFonts w:ascii="Cambria Math" w:hAnsi="Cambria Math" w:cs="Calibri"/>
                      <w:sz w:val="22"/>
                    </w:rPr>
                    <m:t>W</m:t>
                  </m:r>
                </m:e>
                <m:sub>
                  <m:r>
                    <w:rPr>
                      <w:rFonts w:ascii="Cambria Math" w:hAnsi="Cambria Math" w:cs="Calibri"/>
                      <w:sz w:val="22"/>
                      <w:lang w:val="en-AU"/>
                    </w:rPr>
                    <m:t>min,</m:t>
                  </m:r>
                  <m:r>
                    <w:rPr>
                      <w:rFonts w:ascii="Cambria Math" w:hAnsi="Cambria Math" w:cs="Calibri"/>
                      <w:sz w:val="22"/>
                    </w:rPr>
                    <m:t>p</m:t>
                  </m:r>
                </m:sub>
              </m:sSub>
            </m:oMath>
            <w:r>
              <w:rPr>
                <w:rFonts w:ascii="Calibri" w:hAnsi="Calibri" w:cs="Calibri" w:hint="eastAsia"/>
                <w:i/>
                <w:iCs/>
                <w:sz w:val="22"/>
                <w:lang w:val="en-AU"/>
              </w:rPr>
              <w:t xml:space="preserve"> </w:t>
            </w:r>
            <w:r>
              <w:rPr>
                <w:rFonts w:ascii="Calibri" w:hAnsi="Calibri" w:cs="Calibri" w:hint="eastAsia"/>
                <w:sz w:val="22"/>
                <w:lang w:val="en-AU"/>
              </w:rPr>
              <w:t xml:space="preserve">for every priority class </w:t>
            </w:r>
            <m:oMath>
              <m:r>
                <w:rPr>
                  <w:rFonts w:ascii="Cambria Math" w:hAnsi="Cambria Math" w:cs="Calibri"/>
                  <w:sz w:val="22"/>
                </w:rPr>
                <m:t>p∈</m:t>
              </m:r>
              <m:d>
                <m:dPr>
                  <m:begChr m:val="{"/>
                  <m:endChr m:val="}"/>
                  <m:ctrlPr>
                    <w:rPr>
                      <w:rFonts w:ascii="Cambria Math" w:hAnsi="Cambria Math" w:cs="Calibri"/>
                      <w:i/>
                      <w:iCs/>
                      <w:sz w:val="22"/>
                    </w:rPr>
                  </m:ctrlPr>
                </m:dPr>
                <m:e>
                  <m:r>
                    <w:rPr>
                      <w:rFonts w:ascii="Cambria Math" w:hAnsi="Cambria Math" w:cs="Calibri"/>
                      <w:sz w:val="22"/>
                    </w:rPr>
                    <m:t>1,2,3,4</m:t>
                  </m:r>
                </m:e>
              </m:d>
            </m:oMath>
            <w:r>
              <w:rPr>
                <w:rFonts w:ascii="Calibri" w:hAnsi="Calibri" w:cs="Calibri" w:hint="eastAsia"/>
                <w:sz w:val="22"/>
                <w:lang w:val="en-AU"/>
              </w:rPr>
              <w:t xml:space="preserve">, otherwise </w:t>
            </w:r>
            <w:r>
              <w:rPr>
                <w:rFonts w:ascii="Calibri" w:hAnsi="Calibri" w:cs="Calibri" w:hint="eastAsia"/>
                <w:sz w:val="22"/>
              </w:rPr>
              <w:t xml:space="preserve">increase </w:t>
            </w:r>
            <m:oMath>
              <m:r>
                <w:rPr>
                  <w:rFonts w:ascii="Cambria Math" w:hAnsi="Cambria Math" w:cs="Calibri"/>
                  <w:sz w:val="22"/>
                </w:rPr>
                <m:t>C</m:t>
              </m:r>
              <m:sSub>
                <m:sSubPr>
                  <m:ctrlPr>
                    <w:rPr>
                      <w:rFonts w:ascii="Cambria Math" w:hAnsi="Cambria Math" w:cs="Calibri"/>
                      <w:i/>
                      <w:iCs/>
                      <w:sz w:val="22"/>
                    </w:rPr>
                  </m:ctrlPr>
                </m:sSubPr>
                <m:e>
                  <m:r>
                    <w:rPr>
                      <w:rFonts w:ascii="Cambria Math" w:hAnsi="Cambria Math" w:cs="Calibri"/>
                      <w:sz w:val="22"/>
                    </w:rPr>
                    <m:t>W</m:t>
                  </m:r>
                </m:e>
                <m:sub>
                  <m:r>
                    <w:rPr>
                      <w:rFonts w:ascii="Cambria Math" w:hAnsi="Cambria Math" w:cs="Calibri"/>
                      <w:sz w:val="22"/>
                    </w:rPr>
                    <m:t>p</m:t>
                  </m:r>
                </m:sub>
              </m:sSub>
            </m:oMath>
            <w:r>
              <w:rPr>
                <w:rFonts w:ascii="Calibri" w:hAnsi="Calibri" w:cs="Calibri" w:hint="eastAsia"/>
                <w:sz w:val="22"/>
              </w:rPr>
              <w:t xml:space="preserve"> for every priority class </w:t>
            </w:r>
            <m:oMath>
              <m:r>
                <w:rPr>
                  <w:rFonts w:ascii="Cambria Math" w:hAnsi="Cambria Math" w:cs="Calibri"/>
                  <w:sz w:val="22"/>
                </w:rPr>
                <m:t>p∈</m:t>
              </m:r>
              <m:d>
                <m:dPr>
                  <m:begChr m:val="{"/>
                  <m:endChr m:val="}"/>
                  <m:ctrlPr>
                    <w:rPr>
                      <w:rFonts w:ascii="Cambria Math" w:hAnsi="Cambria Math" w:cs="Calibri"/>
                      <w:i/>
                      <w:iCs/>
                      <w:sz w:val="22"/>
                    </w:rPr>
                  </m:ctrlPr>
                </m:dPr>
                <m:e>
                  <m:r>
                    <w:rPr>
                      <w:rFonts w:ascii="Cambria Math" w:hAnsi="Cambria Math" w:cs="Calibri"/>
                      <w:sz w:val="22"/>
                    </w:rPr>
                    <m:t>1,2,3,4</m:t>
                  </m:r>
                </m:e>
              </m:d>
            </m:oMath>
            <w:r>
              <w:rPr>
                <w:rFonts w:ascii="Calibri" w:hAnsi="Calibri" w:cs="Calibri" w:hint="eastAsia"/>
                <w:sz w:val="22"/>
              </w:rPr>
              <w:t xml:space="preserve"> to the next higher allowed value.</w:t>
            </w:r>
          </w:p>
          <w:p w14:paraId="10583CA4" w14:textId="77777777" w:rsidR="00EE4559" w:rsidRDefault="00EE4559" w:rsidP="00EE4559">
            <w:pPr>
              <w:autoSpaceDE w:val="0"/>
              <w:autoSpaceDN w:val="0"/>
              <w:ind w:left="1800"/>
              <w:jc w:val="both"/>
              <w:rPr>
                <w:rFonts w:ascii="Calibri" w:hAnsi="Calibri" w:cs="Calibri"/>
                <w:color w:val="FF0000"/>
                <w:sz w:val="22"/>
              </w:rPr>
            </w:pPr>
            <w:r>
              <w:rPr>
                <w:rFonts w:ascii="Calibri" w:hAnsi="Calibri" w:cs="Calibri"/>
                <w:color w:val="FF0000"/>
                <w:sz w:val="22"/>
              </w:rPr>
              <w:t>The (pre)configurable ratio is FFS</w:t>
            </w:r>
          </w:p>
        </w:tc>
      </w:tr>
      <w:tr w:rsidR="00EE4559" w14:paraId="3D97282D" w14:textId="77777777" w:rsidTr="006B2419">
        <w:tc>
          <w:tcPr>
            <w:tcW w:w="1555" w:type="dxa"/>
          </w:tcPr>
          <w:p w14:paraId="41238A50" w14:textId="77777777" w:rsidR="00EE4559" w:rsidRDefault="00EE4559" w:rsidP="006B2419">
            <w:pPr>
              <w:pStyle w:val="0Maintext"/>
              <w:spacing w:after="0" w:afterAutospacing="0"/>
              <w:ind w:firstLine="0"/>
              <w:rPr>
                <w:lang w:eastAsia="ko-KR"/>
              </w:rPr>
            </w:pPr>
            <w:r>
              <w:rPr>
                <w:rFonts w:hint="eastAsia"/>
                <w:lang w:eastAsia="ko-KR"/>
              </w:rPr>
              <w:t>LGE</w:t>
            </w:r>
          </w:p>
        </w:tc>
        <w:tc>
          <w:tcPr>
            <w:tcW w:w="8076" w:type="dxa"/>
          </w:tcPr>
          <w:p w14:paraId="0B7E0186" w14:textId="77777777" w:rsidR="00EE4559" w:rsidRDefault="00EE4559" w:rsidP="006B2419">
            <w:pPr>
              <w:pStyle w:val="0Maintext"/>
              <w:spacing w:after="0" w:afterAutospacing="0"/>
              <w:ind w:firstLine="0"/>
              <w:rPr>
                <w:lang w:eastAsia="ko-KR"/>
              </w:rPr>
            </w:pPr>
            <w:r>
              <w:rPr>
                <w:rFonts w:hint="eastAsia"/>
                <w:lang w:eastAsia="ko-KR"/>
              </w:rPr>
              <w:t xml:space="preserve">In </w:t>
            </w:r>
            <w:r>
              <w:rPr>
                <w:lang w:eastAsia="ko-KR"/>
              </w:rPr>
              <w:t>general</w:t>
            </w:r>
            <w:r>
              <w:rPr>
                <w:rFonts w:hint="eastAsia"/>
                <w:lang w:eastAsia="ko-KR"/>
              </w:rPr>
              <w:t>,</w:t>
            </w:r>
            <w:r>
              <w:rPr>
                <w:lang w:eastAsia="ko-KR"/>
              </w:rPr>
              <w:t xml:space="preserve"> it would be good to use ACK feedback for CWS adjustment as much as possible considering fairness with other RAT including NR-U. As we know, in NR-U, they don’t use NACK </w:t>
            </w:r>
            <w:r>
              <w:rPr>
                <w:lang w:eastAsia="ko-KR"/>
              </w:rPr>
              <w:lastRenderedPageBreak/>
              <w:t xml:space="preserve">feedback for CWS adjustment. In this case, when SL UE aggressively resets its CWS, it would have negative impact on NR-U operation. </w:t>
            </w:r>
          </w:p>
          <w:p w14:paraId="7C0D18B7" w14:textId="77777777" w:rsidR="00EE4559" w:rsidRDefault="00EE4559" w:rsidP="006B2419">
            <w:pPr>
              <w:pStyle w:val="0Maintext"/>
              <w:spacing w:after="0" w:afterAutospacing="0"/>
              <w:ind w:firstLine="0"/>
              <w:rPr>
                <w:lang w:eastAsia="ko-KR"/>
              </w:rPr>
            </w:pPr>
          </w:p>
          <w:p w14:paraId="1D7A16AC" w14:textId="77777777" w:rsidR="00EE4559" w:rsidRDefault="00EE4559" w:rsidP="006B2419">
            <w:pPr>
              <w:pStyle w:val="0Maintext"/>
              <w:spacing w:after="0" w:afterAutospacing="0"/>
              <w:ind w:firstLine="0"/>
              <w:rPr>
                <w:lang w:eastAsia="ko-KR"/>
              </w:rPr>
            </w:pPr>
            <w:r>
              <w:rPr>
                <w:lang w:eastAsia="ko-KR"/>
              </w:rPr>
              <w:t>Regarding NACK-only feedback, we still need to keep the NACK feedback. The necessity of the NACK feedback is already discussed in Rel-16 NR SL. Regarding the Option 2, due to the DTX problem, it would be problematic to reset the CW aggressively. So, we suggest to updated is as follows:</w:t>
            </w:r>
          </w:p>
          <w:p w14:paraId="6FC4976D" w14:textId="77777777" w:rsidR="00EE4559" w:rsidRDefault="00EE4559">
            <w:pPr>
              <w:pStyle w:val="ListParagraph"/>
              <w:numPr>
                <w:ilvl w:val="0"/>
                <w:numId w:val="39"/>
              </w:numPr>
              <w:autoSpaceDE w:val="0"/>
              <w:autoSpaceDN w:val="0"/>
              <w:spacing w:after="160" w:line="259" w:lineRule="auto"/>
              <w:ind w:leftChars="0"/>
              <w:jc w:val="both"/>
              <w:rPr>
                <w:rFonts w:ascii="Calibri" w:hAnsi="Calibri" w:cs="Calibri"/>
                <w:sz w:val="22"/>
              </w:rPr>
            </w:pPr>
            <w:r>
              <w:rPr>
                <w:rFonts w:ascii="Calibri" w:hAnsi="Calibri" w:cs="Calibri" w:hint="eastAsia"/>
                <w:sz w:val="22"/>
                <w:lang w:val="en-AU"/>
              </w:rPr>
              <w:t xml:space="preserve">Option 2: If </w:t>
            </w:r>
            <w:r>
              <w:rPr>
                <w:rFonts w:ascii="Calibri" w:hAnsi="Calibri" w:cs="Calibri"/>
                <w:sz w:val="22"/>
                <w:lang w:val="en-AU"/>
              </w:rPr>
              <w:t>‘</w:t>
            </w:r>
            <w:r>
              <w:rPr>
                <w:rFonts w:ascii="Calibri" w:hAnsi="Calibri" w:cs="Calibri" w:hint="eastAsia"/>
                <w:sz w:val="22"/>
                <w:lang w:val="en-AU"/>
              </w:rPr>
              <w:t>NACK</w:t>
            </w:r>
            <w:r>
              <w:rPr>
                <w:rFonts w:ascii="Calibri" w:hAnsi="Calibri" w:cs="Calibri"/>
                <w:sz w:val="22"/>
                <w:lang w:val="en-AU"/>
              </w:rPr>
              <w:t>’</w:t>
            </w:r>
            <w:r>
              <w:rPr>
                <w:rFonts w:ascii="Calibri" w:hAnsi="Calibri" w:cs="Calibri" w:hint="eastAsia"/>
                <w:sz w:val="22"/>
                <w:lang w:val="en-AU"/>
              </w:rPr>
              <w:t xml:space="preserve"> is received, </w:t>
            </w:r>
            <w:r>
              <w:rPr>
                <w:rFonts w:ascii="Calibri" w:hAnsi="Calibri" w:cs="Calibri" w:hint="eastAsia"/>
                <w:sz w:val="22"/>
              </w:rPr>
              <w:t xml:space="preserve">increase </w:t>
            </w:r>
            <m:oMath>
              <m:r>
                <w:rPr>
                  <w:rFonts w:ascii="Cambria Math" w:hAnsi="Cambria Math" w:cs="Calibri"/>
                  <w:sz w:val="22"/>
                </w:rPr>
                <m:t>C</m:t>
              </m:r>
              <m:sSub>
                <m:sSubPr>
                  <m:ctrlPr>
                    <w:rPr>
                      <w:rFonts w:ascii="Cambria Math" w:hAnsi="Cambria Math" w:cs="Calibri"/>
                      <w:i/>
                      <w:iCs/>
                      <w:sz w:val="22"/>
                    </w:rPr>
                  </m:ctrlPr>
                </m:sSubPr>
                <m:e>
                  <m:r>
                    <w:rPr>
                      <w:rFonts w:ascii="Cambria Math" w:hAnsi="Cambria Math" w:cs="Calibri"/>
                      <w:sz w:val="22"/>
                    </w:rPr>
                    <m:t>W</m:t>
                  </m:r>
                </m:e>
                <m:sub>
                  <m:r>
                    <w:rPr>
                      <w:rFonts w:ascii="Cambria Math" w:hAnsi="Cambria Math" w:cs="Calibri"/>
                      <w:sz w:val="22"/>
                    </w:rPr>
                    <m:t>p</m:t>
                  </m:r>
                </m:sub>
              </m:sSub>
            </m:oMath>
            <w:r>
              <w:rPr>
                <w:rFonts w:ascii="Calibri" w:hAnsi="Calibri" w:cs="Calibri" w:hint="eastAsia"/>
                <w:sz w:val="22"/>
              </w:rPr>
              <w:t xml:space="preserve"> for every priority class </w:t>
            </w:r>
            <m:oMath>
              <m:r>
                <w:rPr>
                  <w:rFonts w:ascii="Cambria Math" w:hAnsi="Cambria Math" w:cs="Calibri"/>
                  <w:sz w:val="22"/>
                </w:rPr>
                <m:t>p∈</m:t>
              </m:r>
              <m:d>
                <m:dPr>
                  <m:begChr m:val="{"/>
                  <m:endChr m:val="}"/>
                  <m:ctrlPr>
                    <w:rPr>
                      <w:rFonts w:ascii="Cambria Math" w:hAnsi="Cambria Math" w:cs="Calibri"/>
                      <w:i/>
                      <w:iCs/>
                      <w:sz w:val="22"/>
                    </w:rPr>
                  </m:ctrlPr>
                </m:dPr>
                <m:e>
                  <m:r>
                    <w:rPr>
                      <w:rFonts w:ascii="Cambria Math" w:hAnsi="Cambria Math" w:cs="Calibri"/>
                      <w:sz w:val="22"/>
                    </w:rPr>
                    <m:t>1,2,3,4</m:t>
                  </m:r>
                </m:e>
              </m:d>
            </m:oMath>
            <w:r>
              <w:rPr>
                <w:rFonts w:ascii="Calibri" w:hAnsi="Calibri" w:cs="Calibri" w:hint="eastAsia"/>
                <w:sz w:val="22"/>
              </w:rPr>
              <w:t xml:space="preserve"> to the next higher allowed value.</w:t>
            </w:r>
            <w:r>
              <w:rPr>
                <w:rFonts w:ascii="Calibri" w:hAnsi="Calibri" w:cs="Calibri"/>
                <w:sz w:val="22"/>
              </w:rPr>
              <w:t xml:space="preserve"> When no ‘NACK’ is received, </w:t>
            </w:r>
            <m:oMath>
              <m:r>
                <w:rPr>
                  <w:rFonts w:ascii="Cambria Math" w:hAnsi="Cambria Math" w:cs="Calibri"/>
                  <w:sz w:val="22"/>
                </w:rPr>
                <m:t>C</m:t>
              </m:r>
              <m:sSub>
                <m:sSubPr>
                  <m:ctrlPr>
                    <w:rPr>
                      <w:rFonts w:ascii="Cambria Math" w:hAnsi="Cambria Math" w:cs="Calibri"/>
                      <w:i/>
                      <w:iCs/>
                      <w:sz w:val="22"/>
                    </w:rPr>
                  </m:ctrlPr>
                </m:sSubPr>
                <m:e>
                  <m:r>
                    <w:rPr>
                      <w:rFonts w:ascii="Cambria Math" w:hAnsi="Cambria Math" w:cs="Calibri"/>
                      <w:sz w:val="22"/>
                    </w:rPr>
                    <m:t>W</m:t>
                  </m:r>
                </m:e>
                <m:sub>
                  <m:r>
                    <w:rPr>
                      <w:rFonts w:ascii="Cambria Math" w:hAnsi="Cambria Math" w:cs="Calibri"/>
                      <w:sz w:val="22"/>
                    </w:rPr>
                    <m:t>p</m:t>
                  </m:r>
                </m:sub>
              </m:sSub>
            </m:oMath>
            <w:r>
              <w:rPr>
                <w:rFonts w:asciiTheme="minorHAnsi" w:hAnsiTheme="minorHAnsi" w:cstheme="minorHAnsi"/>
                <w:sz w:val="22"/>
                <w:szCs w:val="28"/>
              </w:rPr>
              <w:t xml:space="preserve"> is reset to </w:t>
            </w:r>
            <m:oMath>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min</m:t>
                      </m:r>
                      <m:r>
                        <w:rPr>
                          <w:rFonts w:ascii="Cambria Math" w:hAnsi="Cambria Math"/>
                          <w:lang w:val="en-US"/>
                        </w:rPr>
                        <m:t>,</m:t>
                      </m:r>
                    </m:fName>
                    <m:e>
                      <m:r>
                        <w:rPr>
                          <w:rFonts w:ascii="Cambria Math" w:hAnsi="Cambria Math"/>
                        </w:rPr>
                        <m:t>p</m:t>
                      </m:r>
                    </m:e>
                  </m:func>
                </m:sub>
              </m:sSub>
            </m:oMath>
            <w:r>
              <w:rPr>
                <w:rFonts w:asciiTheme="minorHAnsi" w:hAnsiTheme="minorHAnsi" w:cstheme="minorHAnsi"/>
              </w:rPr>
              <w:t xml:space="preserve"> </w:t>
            </w:r>
            <w:r>
              <w:rPr>
                <w:rFonts w:asciiTheme="minorHAnsi" w:hAnsiTheme="minorHAnsi" w:cstheme="minorHAnsi"/>
                <w:sz w:val="22"/>
                <w:szCs w:val="22"/>
                <w:lang w:val="en-US"/>
              </w:rPr>
              <w:t xml:space="preserve">for every priority class </w:t>
            </w:r>
            <m:oMath>
              <m:r>
                <w:rPr>
                  <w:rFonts w:ascii="Cambria Math" w:hAnsi="Cambria Math" w:cstheme="minorHAnsi"/>
                  <w:sz w:val="22"/>
                  <w:szCs w:val="22"/>
                </w:rPr>
                <m:t>p∈</m:t>
              </m:r>
              <m:d>
                <m:dPr>
                  <m:begChr m:val="{"/>
                  <m:endChr m:val="}"/>
                  <m:ctrlPr>
                    <w:rPr>
                      <w:rFonts w:ascii="Cambria Math" w:hAnsi="Cambria Math" w:cstheme="minorHAnsi"/>
                      <w:i/>
                      <w:sz w:val="22"/>
                      <w:szCs w:val="22"/>
                    </w:rPr>
                  </m:ctrlPr>
                </m:dPr>
                <m:e>
                  <m:r>
                    <w:rPr>
                      <w:rFonts w:ascii="Cambria Math" w:hAnsi="Cambria Math" w:cstheme="minorHAnsi"/>
                      <w:sz w:val="22"/>
                      <w:szCs w:val="22"/>
                    </w:rPr>
                    <m:t>1,2,3,4</m:t>
                  </m:r>
                </m:e>
              </m:d>
            </m:oMath>
            <w:r>
              <w:rPr>
                <w:rFonts w:ascii="Calibri" w:hAnsi="Calibri" w:cs="Calibri"/>
                <w:sz w:val="22"/>
              </w:rPr>
              <w:t xml:space="preserve"> </w:t>
            </w:r>
            <w:r>
              <w:rPr>
                <w:rFonts w:ascii="Calibri" w:hAnsi="Calibri" w:cs="Calibri"/>
                <w:color w:val="FF0000"/>
                <w:sz w:val="22"/>
              </w:rPr>
              <w:t>or uses the latest</w:t>
            </w:r>
            <w:r>
              <w:rPr>
                <w:rFonts w:ascii="Calibri" w:hAnsi="Calibri" w:cs="Calibri" w:hint="eastAsia"/>
                <w:color w:val="FF0000"/>
                <w:sz w:val="22"/>
              </w:rPr>
              <w:t xml:space="preserve"> </w:t>
            </w:r>
            <m:oMath>
              <m:r>
                <w:rPr>
                  <w:rFonts w:ascii="Cambria Math" w:hAnsi="Cambria Math" w:cs="Calibri"/>
                  <w:color w:val="FF0000"/>
                  <w:sz w:val="22"/>
                </w:rPr>
                <m:t>C</m:t>
              </m:r>
              <m:sSub>
                <m:sSubPr>
                  <m:ctrlPr>
                    <w:rPr>
                      <w:rFonts w:ascii="Cambria Math" w:hAnsi="Cambria Math" w:cs="Calibri"/>
                      <w:i/>
                      <w:iCs/>
                      <w:color w:val="FF0000"/>
                      <w:sz w:val="22"/>
                    </w:rPr>
                  </m:ctrlPr>
                </m:sSubPr>
                <m:e>
                  <m:r>
                    <w:rPr>
                      <w:rFonts w:ascii="Cambria Math" w:hAnsi="Cambria Math" w:cs="Calibri"/>
                      <w:color w:val="FF0000"/>
                      <w:sz w:val="22"/>
                    </w:rPr>
                    <m:t>W</m:t>
                  </m:r>
                </m:e>
                <m:sub>
                  <m:r>
                    <w:rPr>
                      <w:rFonts w:ascii="Cambria Math" w:hAnsi="Cambria Math" w:cs="Calibri"/>
                      <w:color w:val="FF0000"/>
                      <w:sz w:val="22"/>
                    </w:rPr>
                    <m:t>p</m:t>
                  </m:r>
                </m:sub>
              </m:sSub>
            </m:oMath>
            <w:r>
              <w:rPr>
                <w:rFonts w:ascii="Calibri" w:hAnsi="Calibri" w:cs="Calibri" w:hint="eastAsia"/>
                <w:color w:val="FF0000"/>
                <w:sz w:val="22"/>
              </w:rPr>
              <w:t xml:space="preserve"> </w:t>
            </w:r>
            <w:r>
              <w:rPr>
                <w:rFonts w:ascii="Calibri" w:hAnsi="Calibri" w:cs="Calibri"/>
                <w:color w:val="FF0000"/>
                <w:sz w:val="22"/>
              </w:rPr>
              <w:t xml:space="preserve">used for any SL transmissions on the channel using Type 1 channel access procedures associated with the channel access priority class </w:t>
            </w:r>
            <m:oMath>
              <m:r>
                <w:rPr>
                  <w:rFonts w:ascii="Cambria Math" w:hAnsi="Cambria Math" w:cs="Calibri"/>
                  <w:color w:val="FF0000"/>
                  <w:sz w:val="22"/>
                </w:rPr>
                <m:t>p</m:t>
              </m:r>
            </m:oMath>
          </w:p>
          <w:p w14:paraId="63F233B8" w14:textId="77777777" w:rsidR="00EE4559" w:rsidRDefault="00EE4559" w:rsidP="006B2419">
            <w:pPr>
              <w:pStyle w:val="0Maintext"/>
              <w:spacing w:after="0" w:afterAutospacing="0"/>
              <w:ind w:firstLine="0"/>
              <w:rPr>
                <w:lang w:eastAsia="ko-KR"/>
              </w:rPr>
            </w:pPr>
          </w:p>
          <w:p w14:paraId="5DB71540" w14:textId="77777777" w:rsidR="00EE4559" w:rsidRDefault="00EE4559" w:rsidP="006B2419">
            <w:pPr>
              <w:pStyle w:val="0Maintext"/>
              <w:spacing w:after="0" w:afterAutospacing="0"/>
              <w:ind w:firstLine="0"/>
              <w:rPr>
                <w:lang w:eastAsia="ko-KR"/>
              </w:rPr>
            </w:pPr>
            <w:r>
              <w:rPr>
                <w:lang w:eastAsia="ko-KR"/>
              </w:rPr>
              <w:t>W</w:t>
            </w:r>
            <w:r>
              <w:rPr>
                <w:rFonts w:hint="eastAsia"/>
                <w:lang w:eastAsia="ko-KR"/>
              </w:rPr>
              <w:t xml:space="preserve">ith this change, we can support it, and we can further discuss details of Option 2, if necessary. </w:t>
            </w:r>
          </w:p>
          <w:p w14:paraId="53B7184F" w14:textId="77777777" w:rsidR="00EE4559" w:rsidRDefault="00EE4559" w:rsidP="006B2419">
            <w:pPr>
              <w:pStyle w:val="0Maintext"/>
              <w:spacing w:after="0" w:afterAutospacing="0"/>
              <w:ind w:firstLine="0"/>
              <w:rPr>
                <w:lang w:eastAsia="ko-KR"/>
              </w:rPr>
            </w:pPr>
          </w:p>
          <w:p w14:paraId="322C634B" w14:textId="77777777" w:rsidR="00EE4559" w:rsidRDefault="00EE4559" w:rsidP="006B2419">
            <w:pPr>
              <w:pStyle w:val="0Maintext"/>
              <w:spacing w:after="0" w:afterAutospacing="0"/>
              <w:ind w:firstLine="0"/>
              <w:rPr>
                <w:lang w:eastAsia="ko-KR"/>
              </w:rPr>
            </w:pPr>
            <w:r>
              <w:rPr>
                <w:rFonts w:hint="eastAsia"/>
                <w:lang w:eastAsia="ko-KR"/>
              </w:rPr>
              <w:t xml:space="preserve">Regarding CBR-based CWS </w:t>
            </w:r>
            <w:r>
              <w:rPr>
                <w:lang w:eastAsia="ko-KR"/>
              </w:rPr>
              <w:t xml:space="preserve">adjustment, it would have negative impact on coexst NR-U. To be specific, even for Uu link, they have RSSI measurement and reporting, but they don’t use it for CWS adjustment. In this situation, if SL UE uses CBR for CWS adjustment, fairness could be harmed. </w:t>
            </w:r>
          </w:p>
          <w:p w14:paraId="6BEA10DB" w14:textId="77777777" w:rsidR="00EE4559" w:rsidRDefault="00EE4559" w:rsidP="006B2419">
            <w:pPr>
              <w:pStyle w:val="0Maintext"/>
              <w:spacing w:after="0" w:afterAutospacing="0"/>
              <w:ind w:firstLine="0"/>
              <w:rPr>
                <w:lang w:eastAsia="ko-KR"/>
              </w:rPr>
            </w:pPr>
          </w:p>
          <w:p w14:paraId="0D958EE2" w14:textId="77777777" w:rsidR="00EE4559" w:rsidRDefault="00EE4559" w:rsidP="006B2419">
            <w:pPr>
              <w:pStyle w:val="0Maintext"/>
              <w:spacing w:after="0" w:afterAutospacing="0"/>
              <w:ind w:firstLine="0"/>
              <w:rPr>
                <w:lang w:eastAsia="ko-KR"/>
              </w:rPr>
            </w:pPr>
            <w:r>
              <w:rPr>
                <w:lang w:eastAsia="ko-KR"/>
              </w:rPr>
              <w:t xml:space="preserve">Regarding the reference duration, we are fine with Intel’s suggestion. </w:t>
            </w:r>
          </w:p>
        </w:tc>
      </w:tr>
      <w:tr w:rsidR="00EE4559" w14:paraId="0F6CCA2A" w14:textId="77777777" w:rsidTr="006B2419">
        <w:tc>
          <w:tcPr>
            <w:tcW w:w="1555" w:type="dxa"/>
          </w:tcPr>
          <w:p w14:paraId="6AED2967" w14:textId="77777777" w:rsidR="00EE4559" w:rsidRDefault="00EE4559" w:rsidP="006B2419">
            <w:pPr>
              <w:pStyle w:val="0Maintext"/>
              <w:spacing w:after="0" w:afterAutospacing="0"/>
              <w:ind w:firstLine="0"/>
              <w:rPr>
                <w:rFonts w:eastAsia="MS Mincho"/>
                <w:lang w:eastAsia="ja-JP"/>
              </w:rPr>
            </w:pPr>
            <w:r>
              <w:rPr>
                <w:rFonts w:eastAsia="MS Mincho" w:hint="eastAsia"/>
                <w:lang w:eastAsia="ja-JP"/>
              </w:rPr>
              <w:lastRenderedPageBreak/>
              <w:t>D</w:t>
            </w:r>
            <w:r>
              <w:rPr>
                <w:rFonts w:eastAsia="MS Mincho"/>
                <w:lang w:eastAsia="ja-JP"/>
              </w:rPr>
              <w:t>CM</w:t>
            </w:r>
          </w:p>
        </w:tc>
        <w:tc>
          <w:tcPr>
            <w:tcW w:w="8076" w:type="dxa"/>
          </w:tcPr>
          <w:p w14:paraId="275A3334" w14:textId="77777777" w:rsidR="00EE4559" w:rsidRDefault="00EE4559" w:rsidP="006B2419">
            <w:pPr>
              <w:pStyle w:val="0Maintext"/>
              <w:spacing w:after="0" w:afterAutospacing="0"/>
              <w:ind w:firstLine="0"/>
              <w:rPr>
                <w:rFonts w:eastAsia="MS Mincho"/>
                <w:lang w:eastAsia="ja-JP"/>
              </w:rPr>
            </w:pPr>
            <w:r>
              <w:rPr>
                <w:rFonts w:eastAsia="MS Mincho" w:hint="eastAsia"/>
                <w:lang w:eastAsia="ja-JP"/>
              </w:rPr>
              <w:t>G</w:t>
            </w:r>
            <w:r>
              <w:rPr>
                <w:rFonts w:eastAsia="MS Mincho"/>
                <w:lang w:eastAsia="ja-JP"/>
              </w:rPr>
              <w:t>enerally fine.</w:t>
            </w:r>
          </w:p>
          <w:p w14:paraId="4A6B2330" w14:textId="77777777" w:rsidR="00EE4559" w:rsidRDefault="00EE4559" w:rsidP="006B2419">
            <w:pPr>
              <w:pStyle w:val="0Maintext"/>
              <w:spacing w:after="0" w:afterAutospacing="0"/>
              <w:ind w:firstLine="0"/>
              <w:rPr>
                <w:rFonts w:eastAsia="MS Mincho"/>
                <w:lang w:eastAsia="ja-JP"/>
              </w:rPr>
            </w:pPr>
            <w:r>
              <w:rPr>
                <w:rFonts w:eastAsia="MS Mincho" w:hint="eastAsia"/>
                <w:lang w:eastAsia="ja-JP"/>
              </w:rPr>
              <w:t>F</w:t>
            </w:r>
            <w:r>
              <w:rPr>
                <w:rFonts w:eastAsia="MS Mincho"/>
                <w:lang w:eastAsia="ja-JP"/>
              </w:rPr>
              <w:t>or groupcast option 2, the (pre-)configurable ratio should be set as FFS, in order to avoid no further discussion.</w:t>
            </w:r>
          </w:p>
          <w:p w14:paraId="0B31C55A" w14:textId="77777777" w:rsidR="00EE4559" w:rsidRDefault="00EE4559" w:rsidP="006B2419">
            <w:pPr>
              <w:pStyle w:val="0Maintext"/>
              <w:spacing w:after="0" w:afterAutospacing="0"/>
              <w:ind w:firstLine="0"/>
              <w:rPr>
                <w:rFonts w:eastAsia="MS Mincho"/>
                <w:lang w:eastAsia="ja-JP"/>
              </w:rPr>
            </w:pPr>
            <w:r>
              <w:rPr>
                <w:rFonts w:eastAsia="MS Mincho" w:hint="eastAsia"/>
                <w:lang w:eastAsia="ja-JP"/>
              </w:rPr>
              <w:t>F</w:t>
            </w:r>
            <w:r>
              <w:rPr>
                <w:rFonts w:eastAsia="MS Mincho"/>
                <w:lang w:eastAsia="ja-JP"/>
              </w:rPr>
              <w:t>or groupcast option 1, we prefer option 2 since the regulation is to decide according to whether ‘retransmission’ is performed or not.</w:t>
            </w:r>
          </w:p>
        </w:tc>
      </w:tr>
      <w:tr w:rsidR="00EE4559" w14:paraId="6D40F9CA" w14:textId="77777777" w:rsidTr="006B2419">
        <w:tc>
          <w:tcPr>
            <w:tcW w:w="1555" w:type="dxa"/>
          </w:tcPr>
          <w:p w14:paraId="5B947723" w14:textId="77777777" w:rsidR="00EE4559" w:rsidRDefault="00EE4559" w:rsidP="006B2419">
            <w:pPr>
              <w:pStyle w:val="0Maintext"/>
              <w:spacing w:after="0" w:afterAutospacing="0"/>
              <w:ind w:firstLine="0"/>
              <w:rPr>
                <w:rFonts w:eastAsia="MS Mincho"/>
                <w:lang w:eastAsia="ja-JP"/>
              </w:rPr>
            </w:pPr>
            <w:r>
              <w:rPr>
                <w:rFonts w:eastAsiaTheme="minorEastAsia" w:hint="eastAsia"/>
                <w:lang w:eastAsia="zh-CN"/>
              </w:rPr>
              <w:t>S</w:t>
            </w:r>
            <w:r>
              <w:rPr>
                <w:rFonts w:eastAsiaTheme="minorEastAsia"/>
                <w:lang w:eastAsia="zh-CN"/>
              </w:rPr>
              <w:t>preadtrum</w:t>
            </w:r>
          </w:p>
        </w:tc>
        <w:tc>
          <w:tcPr>
            <w:tcW w:w="8076" w:type="dxa"/>
          </w:tcPr>
          <w:p w14:paraId="69AB574C" w14:textId="77777777" w:rsidR="00EE4559" w:rsidRDefault="00EE4559" w:rsidP="006B2419">
            <w:pPr>
              <w:pStyle w:val="0Maintext"/>
              <w:spacing w:after="0" w:afterAutospacing="0"/>
              <w:ind w:firstLine="0"/>
              <w:rPr>
                <w:rFonts w:eastAsia="MS Mincho"/>
                <w:lang w:eastAsia="ja-JP"/>
              </w:rPr>
            </w:pPr>
            <w:r>
              <w:rPr>
                <w:rFonts w:eastAsiaTheme="minorEastAsia"/>
                <w:lang w:eastAsia="zh-CN"/>
              </w:rPr>
              <w:t>We are fine with the proposal with option 2 for groupcast option 1.</w:t>
            </w:r>
          </w:p>
        </w:tc>
      </w:tr>
      <w:tr w:rsidR="00EE4559" w14:paraId="40D6FCC4" w14:textId="77777777" w:rsidTr="006B2419">
        <w:tc>
          <w:tcPr>
            <w:tcW w:w="1555" w:type="dxa"/>
          </w:tcPr>
          <w:p w14:paraId="70BBABE6" w14:textId="77777777" w:rsidR="00EE4559" w:rsidRDefault="00EE4559" w:rsidP="006B2419">
            <w:pPr>
              <w:pStyle w:val="0Maintext"/>
              <w:spacing w:after="0" w:afterAutospacing="0"/>
              <w:ind w:firstLine="0"/>
              <w:rPr>
                <w:rFonts w:eastAsiaTheme="minorEastAsia"/>
                <w:lang w:eastAsia="zh-CN"/>
              </w:rPr>
            </w:pPr>
            <w:r>
              <w:rPr>
                <w:rFonts w:eastAsiaTheme="minorEastAsia" w:hint="eastAsia"/>
                <w:lang w:eastAsia="zh-CN"/>
              </w:rPr>
              <w:t>C</w:t>
            </w:r>
            <w:r>
              <w:rPr>
                <w:rFonts w:eastAsiaTheme="minorEastAsia"/>
                <w:lang w:eastAsia="zh-CN"/>
              </w:rPr>
              <w:t>MCC</w:t>
            </w:r>
          </w:p>
        </w:tc>
        <w:tc>
          <w:tcPr>
            <w:tcW w:w="8076" w:type="dxa"/>
          </w:tcPr>
          <w:p w14:paraId="6ABE7796" w14:textId="77777777" w:rsidR="00EE4559" w:rsidRDefault="00EE4559" w:rsidP="006B2419">
            <w:pPr>
              <w:pStyle w:val="0Maintext"/>
              <w:spacing w:after="0" w:afterAutospacing="0"/>
              <w:ind w:firstLine="0"/>
              <w:rPr>
                <w:rFonts w:eastAsiaTheme="minorEastAsia"/>
                <w:lang w:eastAsia="zh-CN"/>
              </w:rPr>
            </w:pPr>
            <w:r>
              <w:rPr>
                <w:rFonts w:eastAsiaTheme="minorEastAsia" w:hint="eastAsia"/>
                <w:lang w:eastAsia="zh-CN"/>
              </w:rPr>
              <w:t>W</w:t>
            </w:r>
            <w:r>
              <w:rPr>
                <w:rFonts w:eastAsiaTheme="minorEastAsia"/>
                <w:lang w:eastAsia="zh-CN"/>
              </w:rPr>
              <w:t>e agree with Intel’s view that the it should be discussed whether the definition of “reference duration” in section 4.1.4.2 of TS37.213 can be directly reused or not in SL-U.</w:t>
            </w:r>
          </w:p>
          <w:p w14:paraId="27FE9806" w14:textId="77777777" w:rsidR="00EE4559" w:rsidRDefault="00EE4559" w:rsidP="006B2419">
            <w:pPr>
              <w:pStyle w:val="0Maintext"/>
              <w:spacing w:after="0" w:afterAutospacing="0"/>
              <w:ind w:firstLine="0"/>
              <w:rPr>
                <w:rFonts w:eastAsiaTheme="minorEastAsia"/>
                <w:lang w:eastAsia="zh-CN"/>
              </w:rPr>
            </w:pPr>
          </w:p>
          <w:p w14:paraId="6D1AF28C" w14:textId="77777777" w:rsidR="00EE4559" w:rsidRDefault="00EE4559" w:rsidP="006B2419">
            <w:pPr>
              <w:pStyle w:val="0Maintext"/>
              <w:spacing w:after="0" w:afterAutospacing="0"/>
              <w:ind w:firstLine="0"/>
              <w:rPr>
                <w:rFonts w:eastAsiaTheme="minorEastAsia"/>
              </w:rPr>
            </w:pPr>
            <w:r>
              <w:rPr>
                <w:rFonts w:eastAsiaTheme="minorEastAsia" w:hint="eastAsia"/>
                <w:lang w:eastAsia="zh-CN"/>
              </w:rPr>
              <w:t>F</w:t>
            </w:r>
            <w:r>
              <w:rPr>
                <w:rFonts w:eastAsiaTheme="minorEastAsia"/>
                <w:lang w:eastAsia="zh-CN"/>
              </w:rPr>
              <w:t xml:space="preserve">or groupcast option 2, it seems better that when at least an “ACK” is received from at least one UE, reset the </w:t>
            </w:r>
            <m:oMath>
              <m:r>
                <w:rPr>
                  <w:rFonts w:ascii="Cambria Math" w:hAnsi="Cambria Math" w:cs="Calibri"/>
                </w:rPr>
                <m:t>C</m:t>
              </m:r>
              <m:sSub>
                <m:sSubPr>
                  <m:ctrlPr>
                    <w:rPr>
                      <w:rFonts w:ascii="Cambria Math" w:hAnsi="Cambria Math" w:cs="Calibri"/>
                    </w:rPr>
                  </m:ctrlPr>
                </m:sSubPr>
                <m:e>
                  <m:r>
                    <w:rPr>
                      <w:rFonts w:ascii="Cambria Math" w:hAnsi="Cambria Math" w:cs="Calibri"/>
                    </w:rPr>
                    <m:t>W</m:t>
                  </m:r>
                </m:e>
                <m:sub>
                  <m:r>
                    <w:rPr>
                      <w:rFonts w:ascii="Cambria Math" w:hAnsi="Cambria Math" w:cs="Calibri"/>
                    </w:rPr>
                    <m:t>p</m:t>
                  </m:r>
                </m:sub>
              </m:sSub>
              <m:r>
                <m:rPr>
                  <m:sty m:val="p"/>
                </m:rPr>
                <w:rPr>
                  <w:rFonts w:ascii="Cambria Math" w:hAnsi="Cambria Math" w:cs="Calibri"/>
                </w:rPr>
                <m:t>=</m:t>
              </m:r>
              <m:r>
                <w:rPr>
                  <w:rFonts w:ascii="Cambria Math" w:hAnsi="Cambria Math" w:cs="Calibri"/>
                </w:rPr>
                <m:t>C</m:t>
              </m:r>
              <m:sSub>
                <m:sSubPr>
                  <m:ctrlPr>
                    <w:rPr>
                      <w:rFonts w:ascii="Cambria Math" w:hAnsi="Cambria Math" w:cs="Calibri"/>
                    </w:rPr>
                  </m:ctrlPr>
                </m:sSubPr>
                <m:e>
                  <m:r>
                    <w:rPr>
                      <w:rFonts w:ascii="Cambria Math" w:hAnsi="Cambria Math" w:cs="Calibri"/>
                    </w:rPr>
                    <m:t>W</m:t>
                  </m:r>
                </m:e>
                <m:sub>
                  <m:func>
                    <m:funcPr>
                      <m:ctrlPr>
                        <w:rPr>
                          <w:rFonts w:ascii="Cambria Math" w:hAnsi="Cambria Math" w:cs="Calibri"/>
                        </w:rPr>
                      </m:ctrlPr>
                    </m:funcPr>
                    <m:fName>
                      <m:r>
                        <w:rPr>
                          <w:rFonts w:ascii="Cambria Math" w:hAnsi="Cambria Math" w:cs="Calibri"/>
                        </w:rPr>
                        <m:t>min</m:t>
                      </m:r>
                      <m:r>
                        <m:rPr>
                          <m:sty m:val="p"/>
                        </m:rPr>
                        <w:rPr>
                          <w:rFonts w:ascii="Cambria Math" w:hAnsi="Cambria Math" w:cs="Calibri"/>
                        </w:rPr>
                        <m:t>,</m:t>
                      </m:r>
                    </m:fName>
                    <m:e>
                      <m:r>
                        <w:rPr>
                          <w:rFonts w:ascii="Cambria Math" w:hAnsi="Cambria Math" w:cs="Calibri"/>
                        </w:rPr>
                        <m:t>p</m:t>
                      </m:r>
                    </m:e>
                  </m:func>
                </m:sub>
              </m:sSub>
            </m:oMath>
            <w:r>
              <w:rPr>
                <w:rFonts w:eastAsiaTheme="minorEastAsia"/>
              </w:rPr>
              <w:t>, because some receiver UEs may not be able to report ACK during the reference duration since there is a nearby UE from other RAT which performs contiguous transmission.</w:t>
            </w:r>
          </w:p>
          <w:p w14:paraId="3DD7D2EE" w14:textId="77777777" w:rsidR="00EE4559" w:rsidRDefault="00EE4559" w:rsidP="006B2419">
            <w:pPr>
              <w:pStyle w:val="0Maintext"/>
              <w:spacing w:after="0" w:afterAutospacing="0"/>
              <w:ind w:firstLine="0"/>
              <w:rPr>
                <w:rFonts w:eastAsiaTheme="minorEastAsia"/>
              </w:rPr>
            </w:pPr>
          </w:p>
          <w:p w14:paraId="1BC3C7DC" w14:textId="77777777" w:rsidR="00EE4559" w:rsidRDefault="00EE4559" w:rsidP="006B2419">
            <w:pPr>
              <w:pStyle w:val="0Maintext"/>
              <w:spacing w:after="0" w:afterAutospacing="0"/>
              <w:ind w:firstLine="0"/>
              <w:rPr>
                <w:rFonts w:eastAsiaTheme="minorEastAsia"/>
                <w:lang w:eastAsia="zh-CN"/>
              </w:rPr>
            </w:pPr>
            <w:r>
              <w:rPr>
                <w:rFonts w:eastAsiaTheme="minorEastAsia" w:hint="eastAsia"/>
                <w:lang w:eastAsia="zh-CN"/>
              </w:rPr>
              <w:t>F</w:t>
            </w:r>
            <w:r>
              <w:rPr>
                <w:rFonts w:eastAsiaTheme="minorEastAsia"/>
                <w:lang w:eastAsia="zh-CN"/>
              </w:rPr>
              <w:t>or groupcast option 1, we think RAN1 should first decide whether it is supported in SL-U due to the misunderstanding b/w “ACK” and “LBT failure”.</w:t>
            </w:r>
          </w:p>
        </w:tc>
      </w:tr>
      <w:tr w:rsidR="00EE4559" w14:paraId="01485CD5" w14:textId="77777777" w:rsidTr="006B2419">
        <w:tc>
          <w:tcPr>
            <w:tcW w:w="1555" w:type="dxa"/>
          </w:tcPr>
          <w:p w14:paraId="12ABCDBD" w14:textId="77777777" w:rsidR="00EE4559" w:rsidRDefault="00EE4559" w:rsidP="006B2419">
            <w:pPr>
              <w:pStyle w:val="0Maintext"/>
              <w:spacing w:after="0" w:afterAutospacing="0"/>
              <w:ind w:firstLine="0"/>
              <w:rPr>
                <w:rFonts w:eastAsia="MS Mincho"/>
                <w:lang w:eastAsia="ja-JP"/>
              </w:rPr>
            </w:pPr>
            <w:r>
              <w:rPr>
                <w:rFonts w:eastAsia="MS Mincho" w:hint="eastAsia"/>
                <w:lang w:eastAsia="ja-JP"/>
              </w:rPr>
              <w:t>P</w:t>
            </w:r>
            <w:r>
              <w:rPr>
                <w:rFonts w:eastAsia="MS Mincho"/>
                <w:lang w:eastAsia="ja-JP"/>
              </w:rPr>
              <w:t>anasonic</w:t>
            </w:r>
          </w:p>
        </w:tc>
        <w:tc>
          <w:tcPr>
            <w:tcW w:w="8076" w:type="dxa"/>
          </w:tcPr>
          <w:p w14:paraId="640079AA" w14:textId="77777777" w:rsidR="00EE4559" w:rsidRDefault="00EE4559" w:rsidP="006B2419">
            <w:pPr>
              <w:pStyle w:val="0Maintext"/>
              <w:spacing w:after="0" w:afterAutospacing="0"/>
              <w:ind w:firstLine="0"/>
              <w:rPr>
                <w:rFonts w:eastAsiaTheme="minorEastAsia"/>
                <w:lang w:eastAsia="zh-CN"/>
              </w:rPr>
            </w:pPr>
            <w:r>
              <w:rPr>
                <w:rFonts w:eastAsiaTheme="minorEastAsia"/>
                <w:lang w:eastAsia="zh-CN"/>
              </w:rPr>
              <w:t>We think for other case than SL-HARQ feedback is enabled in SCI for unicast, CR/CBR based CW adjustment could be used. CR/CBR is reflecting the resource occupancy. However for progress we can accept above proposal. For groupcast option 1 (NACK-only), we prefer option 1 since even in collision is not happened, UE may receive NACK from UE with lower SINR depending on the MCS of groupcast. If option 2 is used, CW size might be increased unnecessary.</w:t>
            </w:r>
          </w:p>
        </w:tc>
      </w:tr>
      <w:tr w:rsidR="00EE4559" w14:paraId="72DA07FC" w14:textId="77777777" w:rsidTr="006B2419">
        <w:tc>
          <w:tcPr>
            <w:tcW w:w="1555" w:type="dxa"/>
          </w:tcPr>
          <w:p w14:paraId="501E0456" w14:textId="77777777" w:rsidR="00EE4559" w:rsidRDefault="00EE4559" w:rsidP="006B2419">
            <w:pPr>
              <w:pStyle w:val="0Maintext"/>
              <w:spacing w:after="0" w:afterAutospacing="0"/>
              <w:ind w:firstLine="0"/>
            </w:pPr>
            <w:r>
              <w:t>Nokia, NSB</w:t>
            </w:r>
          </w:p>
        </w:tc>
        <w:tc>
          <w:tcPr>
            <w:tcW w:w="8076" w:type="dxa"/>
          </w:tcPr>
          <w:p w14:paraId="2A99307C" w14:textId="77777777" w:rsidR="00EE4559" w:rsidRDefault="00EE4559" w:rsidP="006B2419">
            <w:pPr>
              <w:jc w:val="both"/>
            </w:pPr>
            <w:r>
              <w:rPr>
                <w:rFonts w:eastAsia="MS Mincho"/>
                <w:lang w:eastAsia="ja-JP"/>
              </w:rPr>
              <w:t>Regarding the first bullet, we note that by a</w:t>
            </w:r>
            <w:r>
              <w:rPr>
                <w:rFonts w:cs="Arial"/>
              </w:rPr>
              <w:t xml:space="preserve">pplying this procedure, the SL-U Tx UE would either reuse the latest CWS obtained from other HARQ acknowledged transmissions and, in the absence of these transmissions, the UE would instead use the minimum CWS, i.e.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r>
                <w:rPr>
                  <w:rFonts w:ascii="Cambria Math" w:hAnsi="Cambria Math"/>
                  <w:lang w:val="en-US"/>
                </w:rPr>
                <m:t>=</m:t>
              </m:r>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min</m:t>
                      </m:r>
                      <m:r>
                        <w:rPr>
                          <w:rFonts w:ascii="Cambria Math" w:hAnsi="Cambria Math"/>
                          <w:lang w:val="en-US"/>
                        </w:rPr>
                        <m:t>,</m:t>
                      </m:r>
                    </m:fName>
                    <m:e>
                      <m:r>
                        <w:rPr>
                          <w:rFonts w:ascii="Cambria Math" w:hAnsi="Cambria Math"/>
                        </w:rPr>
                        <m:t>p</m:t>
                      </m:r>
                    </m:e>
                  </m:func>
                </m:sub>
              </m:sSub>
            </m:oMath>
            <w:r>
              <w:rPr>
                <w:rFonts w:cs="Arial"/>
              </w:rPr>
              <w:t>. However, that procedure</w:t>
            </w:r>
            <w:r>
              <w:t xml:space="preserve"> may lead to situations where the SL-U UE would keep reusing a large CW unnecessarily. In our view, it should be allowed that the SL-U UE uses other than the latest CWS. The SL-U UE could determine a CWS, for example, based on CBR, e.g., a smaller CWS (than the latest CWS) can be selected if CBR is low. Therefore, we would like that CWS based CBR setting is reflected in the first bullet.</w:t>
            </w:r>
          </w:p>
          <w:p w14:paraId="51E5D0CC" w14:textId="77777777" w:rsidR="00EE4559" w:rsidRDefault="00EE4559" w:rsidP="006B2419">
            <w:pPr>
              <w:jc w:val="both"/>
            </w:pPr>
          </w:p>
          <w:p w14:paraId="178560AA" w14:textId="5BF3EFC6" w:rsidR="00EE4559" w:rsidRPr="00EE4559" w:rsidRDefault="00EE4559" w:rsidP="00EE4559">
            <w:pPr>
              <w:jc w:val="both"/>
            </w:pPr>
            <w:r>
              <w:t>The same is proposed for the 3</w:t>
            </w:r>
            <w:r>
              <w:rPr>
                <w:vertAlign w:val="superscript"/>
              </w:rPr>
              <w:t>rd</w:t>
            </w:r>
            <w:r>
              <w:t xml:space="preserve"> bullet in option 1, i.e. the initial CWS is set based on CBR. </w:t>
            </w:r>
          </w:p>
        </w:tc>
      </w:tr>
      <w:tr w:rsidR="00EE4559" w14:paraId="7A385603" w14:textId="77777777" w:rsidTr="006B2419">
        <w:tc>
          <w:tcPr>
            <w:tcW w:w="1555" w:type="dxa"/>
          </w:tcPr>
          <w:p w14:paraId="31715186" w14:textId="77777777" w:rsidR="00EE4559" w:rsidRDefault="00EE4559" w:rsidP="006B2419">
            <w:pPr>
              <w:pStyle w:val="0Maintext"/>
              <w:spacing w:after="0" w:afterAutospacing="0"/>
              <w:ind w:firstLine="0"/>
            </w:pPr>
            <w:r>
              <w:rPr>
                <w:rFonts w:eastAsiaTheme="minorEastAsia" w:hint="eastAsia"/>
                <w:lang w:eastAsia="zh-CN"/>
              </w:rPr>
              <w:lastRenderedPageBreak/>
              <w:t>v</w:t>
            </w:r>
            <w:r>
              <w:rPr>
                <w:rFonts w:eastAsiaTheme="minorEastAsia"/>
                <w:lang w:eastAsia="zh-CN"/>
              </w:rPr>
              <w:t>ivo</w:t>
            </w:r>
          </w:p>
        </w:tc>
        <w:tc>
          <w:tcPr>
            <w:tcW w:w="8076" w:type="dxa"/>
          </w:tcPr>
          <w:p w14:paraId="635148A3" w14:textId="77777777" w:rsidR="00EE4559" w:rsidRDefault="00EE4559" w:rsidP="006B2419">
            <w:pPr>
              <w:autoSpaceDE w:val="0"/>
              <w:autoSpaceDN w:val="0"/>
              <w:jc w:val="both"/>
            </w:pPr>
            <w:r>
              <w:rPr>
                <w:rFonts w:ascii="Calibri" w:eastAsiaTheme="minorEastAsia" w:hAnsi="Calibri" w:cs="Calibri"/>
                <w:sz w:val="22"/>
                <w:lang w:eastAsia="zh-CN"/>
              </w:rPr>
              <w:t xml:space="preserve">Comment 1: For groupcast option 2, </w:t>
            </w:r>
            <w:r>
              <w:rPr>
                <w:rFonts w:ascii="Calibri" w:eastAsiaTheme="minorEastAsia" w:hAnsi="Calibri" w:cs="Calibri" w:hint="eastAsia"/>
                <w:sz w:val="22"/>
                <w:lang w:eastAsia="zh-CN"/>
              </w:rPr>
              <w:t>i</w:t>
            </w:r>
            <w:r>
              <w:rPr>
                <w:rFonts w:ascii="Cambria Math" w:eastAsiaTheme="minorEastAsia" w:hAnsi="Cambria Math" w:cs="Calibri"/>
                <w:sz w:val="22"/>
                <w:lang w:eastAsia="zh-CN"/>
              </w:rPr>
              <w:t xml:space="preserve">f ratio is used, we should say, if number of “ACK” is higher than the ratio, </w:t>
            </w:r>
            <m:oMath>
              <m:r>
                <w:rPr>
                  <w:rFonts w:ascii="Cambria Math" w:hAnsi="Cambria Math" w:cs="Calibri"/>
                  <w:sz w:val="22"/>
                </w:rPr>
                <m:t>C</m:t>
              </m:r>
              <m:sSub>
                <m:sSubPr>
                  <m:ctrlPr>
                    <w:rPr>
                      <w:rFonts w:ascii="Cambria Math" w:hAnsi="Cambria Math" w:cs="Calibri"/>
                      <w:i/>
                      <w:iCs/>
                      <w:sz w:val="22"/>
                    </w:rPr>
                  </m:ctrlPr>
                </m:sSubPr>
                <m:e>
                  <m:r>
                    <w:rPr>
                      <w:rFonts w:ascii="Cambria Math" w:hAnsi="Cambria Math" w:cs="Calibri"/>
                      <w:sz w:val="22"/>
                    </w:rPr>
                    <m:t>W</m:t>
                  </m:r>
                </m:e>
                <m:sub>
                  <m:r>
                    <w:rPr>
                      <w:rFonts w:ascii="Cambria Math" w:hAnsi="Cambria Math" w:cs="Calibri"/>
                      <w:sz w:val="22"/>
                    </w:rPr>
                    <m:t>p</m:t>
                  </m:r>
                </m:sub>
              </m:sSub>
            </m:oMath>
            <w:r>
              <w:rPr>
                <w:rFonts w:ascii="Calibri" w:eastAsiaTheme="minorEastAsia" w:hAnsi="Calibri" w:cs="Calibri"/>
                <w:sz w:val="22"/>
                <w:lang w:eastAsia="zh-CN"/>
              </w:rPr>
              <w:t xml:space="preserve"> </w:t>
            </w:r>
            <w:r>
              <w:rPr>
                <w:rFonts w:ascii="Calibri" w:hAnsi="Calibri" w:cs="Calibri" w:hint="eastAsia"/>
                <w:sz w:val="22"/>
                <w:lang w:val="en-AU"/>
              </w:rPr>
              <w:t xml:space="preserve">for </w:t>
            </w:r>
            <w:r>
              <w:rPr>
                <w:rFonts w:asciiTheme="minorEastAsia" w:eastAsiaTheme="minorEastAsia" w:hAnsiTheme="minorEastAsia" w:cs="Calibri" w:hint="eastAsia"/>
                <w:sz w:val="22"/>
                <w:lang w:val="en-AU" w:eastAsia="zh-CN"/>
              </w:rPr>
              <w:t>c</w:t>
            </w:r>
            <w:r>
              <w:rPr>
                <w:rFonts w:ascii="Calibri" w:hAnsi="Calibri" w:cs="Calibri"/>
                <w:sz w:val="22"/>
                <w:lang w:val="en-AU"/>
              </w:rPr>
              <w:t>orresponding</w:t>
            </w:r>
            <w:r>
              <w:rPr>
                <w:rFonts w:ascii="Calibri" w:hAnsi="Calibri" w:cs="Calibri" w:hint="eastAsia"/>
                <w:sz w:val="22"/>
                <w:lang w:val="en-AU"/>
              </w:rPr>
              <w:t xml:space="preserve"> priority class</w:t>
            </w:r>
            <w:r>
              <w:rPr>
                <w:rFonts w:ascii="Cambria Math" w:hAnsi="Cambria Math" w:cs="Calibri"/>
                <w:sz w:val="22"/>
                <w:lang w:val="en-AU"/>
              </w:rPr>
              <w:t xml:space="preserve"> set to </w:t>
            </w:r>
            <m:oMath>
              <m:r>
                <w:rPr>
                  <w:rFonts w:ascii="Cambria Math" w:hAnsi="Cambria Math" w:cs="Calibri"/>
                  <w:sz w:val="22"/>
                </w:rPr>
                <m:t>C</m:t>
              </m:r>
              <m:sSub>
                <m:sSubPr>
                  <m:ctrlPr>
                    <w:rPr>
                      <w:rFonts w:ascii="Cambria Math" w:hAnsi="Cambria Math" w:cs="Calibri"/>
                      <w:i/>
                      <w:iCs/>
                      <w:sz w:val="22"/>
                    </w:rPr>
                  </m:ctrlPr>
                </m:sSubPr>
                <m:e>
                  <m:r>
                    <w:rPr>
                      <w:rFonts w:ascii="Cambria Math" w:hAnsi="Cambria Math" w:cs="Calibri"/>
                      <w:sz w:val="22"/>
                    </w:rPr>
                    <m:t>W</m:t>
                  </m:r>
                </m:e>
                <m:sub>
                  <m:r>
                    <w:rPr>
                      <w:rFonts w:ascii="Cambria Math" w:hAnsi="Cambria Math" w:cs="Calibri"/>
                      <w:sz w:val="22"/>
                      <w:lang w:val="en-AU"/>
                    </w:rPr>
                    <m:t>min,</m:t>
                  </m:r>
                  <m:r>
                    <w:rPr>
                      <w:rFonts w:ascii="Cambria Math" w:hAnsi="Cambria Math" w:cs="Calibri"/>
                      <w:sz w:val="22"/>
                    </w:rPr>
                    <m:t>p</m:t>
                  </m:r>
                </m:sub>
              </m:sSub>
            </m:oMath>
            <w:r>
              <w:rPr>
                <w:rFonts w:ascii="Cambria Math" w:eastAsiaTheme="minorEastAsia" w:hAnsi="Cambria Math" w:cs="Calibri" w:hint="eastAsia"/>
                <w:iCs/>
                <w:sz w:val="22"/>
                <w:lang w:eastAsia="zh-CN"/>
              </w:rPr>
              <w:t>.</w:t>
            </w:r>
            <w:r>
              <w:rPr>
                <w:rFonts w:ascii="Cambria Math" w:eastAsiaTheme="minorEastAsia" w:hAnsi="Cambria Math" w:cs="Calibri"/>
                <w:iCs/>
                <w:sz w:val="22"/>
                <w:lang w:eastAsia="zh-CN"/>
              </w:rPr>
              <w:t xml:space="preserve"> Otherwise… </w:t>
            </w:r>
          </w:p>
          <w:p w14:paraId="405C6F94" w14:textId="1391579F" w:rsidR="00EE4559" w:rsidRDefault="00EE4559" w:rsidP="006B2419">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Comment 2: For NACK-only feedback, our preference is option 2, however no “NACK” may be incurred by DTX or ACK, so it is ambitigous to set the CW as CWmin</w:t>
            </w:r>
          </w:p>
          <w:p w14:paraId="35315CDA" w14:textId="77777777" w:rsidR="00EE4559" w:rsidRDefault="00EE4559" w:rsidP="00EE4559">
            <w:pPr>
              <w:pStyle w:val="ListParagraph"/>
              <w:numPr>
                <w:ilvl w:val="1"/>
                <w:numId w:val="18"/>
              </w:numPr>
              <w:autoSpaceDE w:val="0"/>
              <w:autoSpaceDN w:val="0"/>
              <w:spacing w:line="259" w:lineRule="auto"/>
              <w:ind w:leftChars="0"/>
              <w:jc w:val="both"/>
              <w:rPr>
                <w:rFonts w:ascii="Calibri" w:hAnsi="Calibri" w:cs="Calibri"/>
                <w:sz w:val="22"/>
              </w:rPr>
            </w:pPr>
            <w:r>
              <w:rPr>
                <w:rFonts w:ascii="Calibri" w:hAnsi="Calibri" w:cs="Calibri" w:hint="eastAsia"/>
                <w:sz w:val="22"/>
                <w:lang w:val="en-AU"/>
              </w:rPr>
              <w:t>For groupcast option 1 (NACK-only)</w:t>
            </w:r>
            <w:r>
              <w:rPr>
                <w:rFonts w:ascii="Calibri" w:hAnsi="Calibri" w:cs="Calibri"/>
                <w:sz w:val="22"/>
                <w:lang w:val="en-AU"/>
              </w:rPr>
              <w:t>: (down-select to one of the following options)</w:t>
            </w:r>
          </w:p>
          <w:p w14:paraId="41C3FA1A" w14:textId="77777777" w:rsidR="00EE4559" w:rsidRDefault="00EE4559" w:rsidP="00EE4559">
            <w:pPr>
              <w:pStyle w:val="ListParagraph"/>
              <w:numPr>
                <w:ilvl w:val="2"/>
                <w:numId w:val="18"/>
              </w:numPr>
              <w:autoSpaceDE w:val="0"/>
              <w:autoSpaceDN w:val="0"/>
              <w:spacing w:after="160" w:line="259" w:lineRule="auto"/>
              <w:ind w:leftChars="0"/>
              <w:jc w:val="both"/>
              <w:rPr>
                <w:rFonts w:ascii="Calibri" w:hAnsi="Calibri" w:cs="Calibri"/>
                <w:strike/>
                <w:color w:val="FF0000"/>
                <w:sz w:val="22"/>
              </w:rPr>
            </w:pPr>
            <w:r>
              <w:rPr>
                <w:rFonts w:ascii="Calibri" w:hAnsi="Calibri" w:cs="Calibri" w:hint="eastAsia"/>
                <w:sz w:val="22"/>
                <w:lang w:val="en-AU"/>
              </w:rPr>
              <w:t xml:space="preserve">Option 2: If </w:t>
            </w:r>
            <w:r>
              <w:rPr>
                <w:rFonts w:ascii="Calibri" w:hAnsi="Calibri" w:cs="Calibri"/>
                <w:sz w:val="22"/>
                <w:lang w:val="en-AU"/>
              </w:rPr>
              <w:t>‘</w:t>
            </w:r>
            <w:r>
              <w:rPr>
                <w:rFonts w:ascii="Calibri" w:hAnsi="Calibri" w:cs="Calibri" w:hint="eastAsia"/>
                <w:sz w:val="22"/>
                <w:lang w:val="en-AU"/>
              </w:rPr>
              <w:t>NACK</w:t>
            </w:r>
            <w:r>
              <w:rPr>
                <w:rFonts w:ascii="Calibri" w:hAnsi="Calibri" w:cs="Calibri"/>
                <w:sz w:val="22"/>
                <w:lang w:val="en-AU"/>
              </w:rPr>
              <w:t>’</w:t>
            </w:r>
            <w:r>
              <w:rPr>
                <w:rFonts w:ascii="Calibri" w:hAnsi="Calibri" w:cs="Calibri" w:hint="eastAsia"/>
                <w:sz w:val="22"/>
                <w:lang w:val="en-AU"/>
              </w:rPr>
              <w:t xml:space="preserve"> is received, </w:t>
            </w:r>
            <w:r>
              <w:rPr>
                <w:rFonts w:ascii="Calibri" w:hAnsi="Calibri" w:cs="Calibri" w:hint="eastAsia"/>
                <w:sz w:val="22"/>
              </w:rPr>
              <w:t xml:space="preserve">increase </w:t>
            </w:r>
            <m:oMath>
              <m:r>
                <w:rPr>
                  <w:rFonts w:ascii="Cambria Math" w:hAnsi="Cambria Math" w:cs="Calibri"/>
                  <w:sz w:val="22"/>
                </w:rPr>
                <m:t>C</m:t>
              </m:r>
              <m:sSub>
                <m:sSubPr>
                  <m:ctrlPr>
                    <w:rPr>
                      <w:rFonts w:ascii="Cambria Math" w:hAnsi="Cambria Math" w:cs="Calibri"/>
                      <w:i/>
                      <w:iCs/>
                      <w:sz w:val="22"/>
                    </w:rPr>
                  </m:ctrlPr>
                </m:sSubPr>
                <m:e>
                  <m:r>
                    <w:rPr>
                      <w:rFonts w:ascii="Cambria Math" w:hAnsi="Cambria Math" w:cs="Calibri"/>
                      <w:sz w:val="22"/>
                    </w:rPr>
                    <m:t>W</m:t>
                  </m:r>
                </m:e>
                <m:sub>
                  <m:r>
                    <w:rPr>
                      <w:rFonts w:ascii="Cambria Math" w:hAnsi="Cambria Math" w:cs="Calibri"/>
                      <w:sz w:val="22"/>
                    </w:rPr>
                    <m:t>p</m:t>
                  </m:r>
                </m:sub>
              </m:sSub>
            </m:oMath>
            <w:r>
              <w:rPr>
                <w:rFonts w:ascii="Calibri" w:hAnsi="Calibri" w:cs="Calibri" w:hint="eastAsia"/>
                <w:sz w:val="22"/>
              </w:rPr>
              <w:t xml:space="preserve"> for every priority class </w:t>
            </w:r>
            <m:oMath>
              <m:r>
                <w:rPr>
                  <w:rFonts w:ascii="Cambria Math" w:hAnsi="Cambria Math" w:cs="Calibri"/>
                  <w:sz w:val="22"/>
                </w:rPr>
                <m:t>p∈</m:t>
              </m:r>
              <m:d>
                <m:dPr>
                  <m:begChr m:val="{"/>
                  <m:endChr m:val="}"/>
                  <m:ctrlPr>
                    <w:rPr>
                      <w:rFonts w:ascii="Cambria Math" w:hAnsi="Cambria Math" w:cs="Calibri"/>
                      <w:i/>
                      <w:iCs/>
                      <w:sz w:val="22"/>
                    </w:rPr>
                  </m:ctrlPr>
                </m:dPr>
                <m:e>
                  <m:r>
                    <w:rPr>
                      <w:rFonts w:ascii="Cambria Math" w:hAnsi="Cambria Math" w:cs="Calibri"/>
                      <w:sz w:val="22"/>
                    </w:rPr>
                    <m:t>1,2,3,4</m:t>
                  </m:r>
                </m:e>
              </m:d>
            </m:oMath>
            <w:r>
              <w:rPr>
                <w:rFonts w:ascii="Calibri" w:hAnsi="Calibri" w:cs="Calibri" w:hint="eastAsia"/>
                <w:sz w:val="22"/>
              </w:rPr>
              <w:t xml:space="preserve"> to the next higher allowed value.</w:t>
            </w:r>
            <w:r>
              <w:rPr>
                <w:rFonts w:ascii="Calibri" w:hAnsi="Calibri" w:cs="Calibri"/>
                <w:sz w:val="22"/>
              </w:rPr>
              <w:t xml:space="preserve"> When no ‘NACK’ is received, </w:t>
            </w:r>
            <m:oMath>
              <m:r>
                <w:rPr>
                  <w:rFonts w:ascii="Cambria Math" w:hAnsi="Cambria Math" w:cs="Calibri"/>
                  <w:sz w:val="22"/>
                </w:rPr>
                <m:t>C</m:t>
              </m:r>
              <m:sSub>
                <m:sSubPr>
                  <m:ctrlPr>
                    <w:rPr>
                      <w:rFonts w:ascii="Cambria Math" w:hAnsi="Cambria Math" w:cs="Calibri"/>
                      <w:i/>
                      <w:iCs/>
                      <w:sz w:val="22"/>
                    </w:rPr>
                  </m:ctrlPr>
                </m:sSubPr>
                <m:e>
                  <m:r>
                    <w:rPr>
                      <w:rFonts w:ascii="Cambria Math" w:hAnsi="Cambria Math" w:cs="Calibri"/>
                      <w:sz w:val="22"/>
                    </w:rPr>
                    <m:t>W</m:t>
                  </m:r>
                </m:e>
                <m:sub>
                  <m:r>
                    <w:rPr>
                      <w:rFonts w:ascii="Cambria Math" w:hAnsi="Cambria Math" w:cs="Calibri"/>
                      <w:sz w:val="22"/>
                    </w:rPr>
                    <m:t>p</m:t>
                  </m:r>
                </m:sub>
              </m:sSub>
            </m:oMath>
            <w:r>
              <w:rPr>
                <w:rFonts w:asciiTheme="minorHAnsi" w:hAnsiTheme="minorHAnsi" w:cstheme="minorHAnsi"/>
                <w:sz w:val="22"/>
                <w:szCs w:val="28"/>
              </w:rPr>
              <w:t xml:space="preserve"> is reset to</w:t>
            </w:r>
            <w:r>
              <w:rPr>
                <w:rFonts w:ascii="Calibri" w:hAnsi="Calibri" w:cs="Calibri"/>
                <w:sz w:val="22"/>
              </w:rPr>
              <w:t xml:space="preserve"> </w:t>
            </w:r>
            <w:r>
              <w:rPr>
                <w:rFonts w:ascii="Calibri" w:hAnsi="Calibri" w:cs="Calibri"/>
                <w:color w:val="FF0000"/>
                <w:sz w:val="22"/>
              </w:rPr>
              <w:t>the latest</w:t>
            </w:r>
            <w:r>
              <w:rPr>
                <w:rFonts w:ascii="Calibri" w:hAnsi="Calibri" w:cs="Calibri" w:hint="eastAsia"/>
                <w:color w:val="FF0000"/>
                <w:sz w:val="22"/>
              </w:rPr>
              <w:t xml:space="preserve"> </w:t>
            </w:r>
            <m:oMath>
              <m:r>
                <w:rPr>
                  <w:rFonts w:ascii="Cambria Math" w:hAnsi="Cambria Math" w:cs="Calibri"/>
                  <w:color w:val="FF0000"/>
                  <w:sz w:val="22"/>
                </w:rPr>
                <m:t>C</m:t>
              </m:r>
              <m:sSub>
                <m:sSubPr>
                  <m:ctrlPr>
                    <w:rPr>
                      <w:rFonts w:ascii="Cambria Math" w:hAnsi="Cambria Math" w:cs="Calibri"/>
                      <w:i/>
                      <w:iCs/>
                      <w:color w:val="FF0000"/>
                      <w:sz w:val="22"/>
                    </w:rPr>
                  </m:ctrlPr>
                </m:sSubPr>
                <m:e>
                  <m:r>
                    <w:rPr>
                      <w:rFonts w:ascii="Cambria Math" w:hAnsi="Cambria Math" w:cs="Calibri"/>
                      <w:color w:val="FF0000"/>
                      <w:sz w:val="22"/>
                    </w:rPr>
                    <m:t>W</m:t>
                  </m:r>
                </m:e>
                <m:sub>
                  <m:r>
                    <w:rPr>
                      <w:rFonts w:ascii="Cambria Math" w:hAnsi="Cambria Math" w:cs="Calibri"/>
                      <w:color w:val="FF0000"/>
                      <w:sz w:val="22"/>
                    </w:rPr>
                    <m:t>p</m:t>
                  </m:r>
                </m:sub>
              </m:sSub>
            </m:oMath>
            <w:r>
              <w:rPr>
                <w:rFonts w:asciiTheme="minorHAnsi" w:hAnsiTheme="minorHAnsi" w:cstheme="minorHAnsi"/>
                <w:color w:val="FF0000"/>
                <w:sz w:val="22"/>
                <w:szCs w:val="28"/>
              </w:rPr>
              <w:t xml:space="preserve"> </w:t>
            </w:r>
            <m:oMath>
              <m:r>
                <w:rPr>
                  <w:rFonts w:ascii="Cambria Math" w:hAnsi="Cambria Math"/>
                  <w:strike/>
                  <w:color w:val="FF0000"/>
                </w:rPr>
                <m:t>C</m:t>
              </m:r>
              <m:sSub>
                <m:sSubPr>
                  <m:ctrlPr>
                    <w:rPr>
                      <w:rFonts w:ascii="Cambria Math" w:hAnsi="Cambria Math"/>
                      <w:i/>
                      <w:strike/>
                      <w:color w:val="FF0000"/>
                    </w:rPr>
                  </m:ctrlPr>
                </m:sSubPr>
                <m:e>
                  <m:r>
                    <w:rPr>
                      <w:rFonts w:ascii="Cambria Math" w:hAnsi="Cambria Math"/>
                      <w:strike/>
                      <w:color w:val="FF0000"/>
                    </w:rPr>
                    <m:t>W</m:t>
                  </m:r>
                </m:e>
                <m:sub>
                  <m:func>
                    <m:funcPr>
                      <m:ctrlPr>
                        <w:rPr>
                          <w:rFonts w:ascii="Cambria Math" w:hAnsi="Cambria Math"/>
                          <w:i/>
                          <w:strike/>
                          <w:color w:val="FF0000"/>
                        </w:rPr>
                      </m:ctrlPr>
                    </m:funcPr>
                    <m:fName>
                      <m:r>
                        <w:rPr>
                          <w:rFonts w:ascii="Cambria Math" w:hAnsi="Cambria Math"/>
                          <w:strike/>
                          <w:color w:val="FF0000"/>
                        </w:rPr>
                        <m:t>min</m:t>
                      </m:r>
                      <m:r>
                        <w:rPr>
                          <w:rFonts w:ascii="Cambria Math" w:hAnsi="Cambria Math"/>
                          <w:strike/>
                          <w:color w:val="FF0000"/>
                          <w:lang w:val="en-US"/>
                        </w:rPr>
                        <m:t>,</m:t>
                      </m:r>
                    </m:fName>
                    <m:e>
                      <m:r>
                        <w:rPr>
                          <w:rFonts w:ascii="Cambria Math" w:hAnsi="Cambria Math"/>
                          <w:strike/>
                          <w:color w:val="FF0000"/>
                        </w:rPr>
                        <m:t>p</m:t>
                      </m:r>
                    </m:e>
                  </m:func>
                </m:sub>
              </m:sSub>
            </m:oMath>
            <w:r>
              <w:rPr>
                <w:rFonts w:asciiTheme="minorHAnsi" w:hAnsiTheme="minorHAnsi" w:cstheme="minorHAnsi"/>
                <w:strike/>
                <w:color w:val="FF0000"/>
              </w:rPr>
              <w:t xml:space="preserve"> </w:t>
            </w:r>
            <w:r>
              <w:rPr>
                <w:rFonts w:asciiTheme="minorHAnsi" w:hAnsiTheme="minorHAnsi" w:cstheme="minorHAnsi"/>
                <w:strike/>
                <w:color w:val="FF0000"/>
                <w:sz w:val="22"/>
                <w:szCs w:val="22"/>
                <w:lang w:val="en-US"/>
              </w:rPr>
              <w:t xml:space="preserve">for every priority class </w:t>
            </w:r>
            <m:oMath>
              <m:r>
                <w:rPr>
                  <w:rFonts w:ascii="Cambria Math" w:hAnsi="Cambria Math" w:cstheme="minorHAnsi"/>
                  <w:strike/>
                  <w:color w:val="FF0000"/>
                  <w:sz w:val="22"/>
                  <w:szCs w:val="22"/>
                </w:rPr>
                <m:t>p∈</m:t>
              </m:r>
              <m:d>
                <m:dPr>
                  <m:begChr m:val="{"/>
                  <m:endChr m:val="}"/>
                  <m:ctrlPr>
                    <w:rPr>
                      <w:rFonts w:ascii="Cambria Math" w:hAnsi="Cambria Math" w:cstheme="minorHAnsi"/>
                      <w:i/>
                      <w:strike/>
                      <w:color w:val="FF0000"/>
                      <w:sz w:val="22"/>
                      <w:szCs w:val="22"/>
                    </w:rPr>
                  </m:ctrlPr>
                </m:dPr>
                <m:e>
                  <m:r>
                    <w:rPr>
                      <w:rFonts w:ascii="Cambria Math" w:hAnsi="Cambria Math" w:cstheme="minorHAnsi"/>
                      <w:strike/>
                      <w:color w:val="FF0000"/>
                      <w:sz w:val="22"/>
                      <w:szCs w:val="22"/>
                    </w:rPr>
                    <m:t>1,2,3,4</m:t>
                  </m:r>
                </m:e>
              </m:d>
            </m:oMath>
            <w:r>
              <w:rPr>
                <w:rFonts w:ascii="Calibri" w:hAnsi="Calibri" w:cs="Calibri"/>
                <w:strike/>
                <w:color w:val="FF0000"/>
                <w:sz w:val="22"/>
              </w:rPr>
              <w:t xml:space="preserve"> </w:t>
            </w:r>
          </w:p>
          <w:p w14:paraId="165E884C" w14:textId="003BDCC6" w:rsidR="00EE4559" w:rsidRDefault="00EE4559" w:rsidP="006B2419">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Comment 3: We also suggest to discuss the definition of the reference duration</w:t>
            </w:r>
          </w:p>
          <w:p w14:paraId="439F7EB6" w14:textId="77777777" w:rsidR="00EE4559" w:rsidRDefault="00EE4559" w:rsidP="00EE4559">
            <w:pPr>
              <w:pStyle w:val="ListParagraph"/>
              <w:numPr>
                <w:ilvl w:val="1"/>
                <w:numId w:val="18"/>
              </w:numPr>
              <w:autoSpaceDE w:val="0"/>
              <w:autoSpaceDN w:val="0"/>
              <w:spacing w:line="259" w:lineRule="auto"/>
              <w:ind w:leftChars="0"/>
              <w:jc w:val="both"/>
              <w:rPr>
                <w:rFonts w:ascii="Calibri" w:hAnsi="Calibri" w:cs="Calibri"/>
                <w:color w:val="FF0000"/>
                <w:sz w:val="22"/>
              </w:rPr>
            </w:pPr>
            <w:r>
              <w:rPr>
                <w:rFonts w:ascii="Calibri" w:hAnsi="Calibri" w:cs="Calibri"/>
                <w:color w:val="FF0000"/>
                <w:sz w:val="22"/>
              </w:rPr>
              <w:t xml:space="preserve">A SL reference burst is defined as any burst from the beginning of the prior channel occupancy until </w:t>
            </w:r>
          </w:p>
          <w:p w14:paraId="58CCE14F" w14:textId="0BCD3EEE" w:rsidR="00EE4559" w:rsidRDefault="00EE4559" w:rsidP="00EE4559">
            <w:pPr>
              <w:pStyle w:val="3GPPText"/>
              <w:numPr>
                <w:ilvl w:val="2"/>
                <w:numId w:val="18"/>
              </w:numPr>
              <w:spacing w:before="0" w:after="0" w:line="276" w:lineRule="auto"/>
              <w:rPr>
                <w:rFonts w:ascii="Calibri" w:eastAsia="Batang" w:hAnsi="Calibri" w:cs="Calibri"/>
                <w:color w:val="FF0000"/>
                <w:szCs w:val="24"/>
                <w:lang w:val="en-GB"/>
              </w:rPr>
            </w:pPr>
            <w:r>
              <w:rPr>
                <w:rFonts w:ascii="Calibri" w:eastAsia="Batang" w:hAnsi="Calibri" w:cs="Calibri"/>
                <w:color w:val="FF0000"/>
                <w:szCs w:val="24"/>
                <w:lang w:val="en-GB"/>
              </w:rPr>
              <w:t>the end of the first unicast PSSCH in the prior channel occupancy</w:t>
            </w:r>
          </w:p>
          <w:p w14:paraId="46EC81B2" w14:textId="5399A775" w:rsidR="00EE4559" w:rsidRDefault="00EE4559" w:rsidP="00EE4559">
            <w:pPr>
              <w:pStyle w:val="3GPPText"/>
              <w:numPr>
                <w:ilvl w:val="2"/>
                <w:numId w:val="18"/>
              </w:numPr>
              <w:spacing w:before="0" w:after="0" w:line="276" w:lineRule="auto"/>
              <w:rPr>
                <w:rFonts w:ascii="Calibri" w:eastAsia="Batang" w:hAnsi="Calibri" w:cs="Calibri"/>
                <w:color w:val="FF0000"/>
                <w:szCs w:val="24"/>
                <w:lang w:val="en-GB"/>
              </w:rPr>
            </w:pPr>
            <w:r>
              <w:rPr>
                <w:rFonts w:ascii="Calibri" w:eastAsia="Batang" w:hAnsi="Calibri" w:cs="Calibri"/>
                <w:color w:val="FF0000"/>
                <w:szCs w:val="24"/>
                <w:lang w:val="en-GB"/>
              </w:rPr>
              <w:t>or, the end of the first groupcast PSSCH in the prior channel occupancy, if there was no unicast PSSCH</w:t>
            </w:r>
          </w:p>
        </w:tc>
      </w:tr>
      <w:tr w:rsidR="00EE4559" w14:paraId="04B4505E" w14:textId="77777777" w:rsidTr="006B2419">
        <w:tc>
          <w:tcPr>
            <w:tcW w:w="1555" w:type="dxa"/>
          </w:tcPr>
          <w:p w14:paraId="5E48B4D0" w14:textId="77777777" w:rsidR="00EE4559" w:rsidRDefault="00EE4559" w:rsidP="006B2419">
            <w:pPr>
              <w:pStyle w:val="0Maintext"/>
              <w:spacing w:after="0" w:afterAutospacing="0"/>
              <w:ind w:firstLine="0"/>
              <w:rPr>
                <w:rFonts w:eastAsiaTheme="minorEastAsia"/>
                <w:lang w:eastAsia="zh-CN"/>
              </w:rPr>
            </w:pPr>
            <w:r>
              <w:rPr>
                <w:rFonts w:hint="eastAsia"/>
                <w:lang w:eastAsia="ko-KR"/>
              </w:rPr>
              <w:t>W</w:t>
            </w:r>
            <w:r>
              <w:rPr>
                <w:lang w:eastAsia="ko-KR"/>
              </w:rPr>
              <w:t>ILUS</w:t>
            </w:r>
          </w:p>
        </w:tc>
        <w:tc>
          <w:tcPr>
            <w:tcW w:w="8076" w:type="dxa"/>
          </w:tcPr>
          <w:p w14:paraId="264D75FE" w14:textId="77777777" w:rsidR="00EE4559" w:rsidRDefault="00EE4559" w:rsidP="006B2419">
            <w:pPr>
              <w:autoSpaceDE w:val="0"/>
              <w:autoSpaceDN w:val="0"/>
              <w:jc w:val="both"/>
              <w:rPr>
                <w:rFonts w:ascii="Calibri" w:eastAsiaTheme="minorEastAsia" w:hAnsi="Calibri" w:cs="Calibri"/>
                <w:sz w:val="22"/>
                <w:lang w:eastAsia="zh-CN"/>
              </w:rPr>
            </w:pPr>
            <w:r>
              <w:rPr>
                <w:rFonts w:hint="eastAsia"/>
                <w:lang w:eastAsia="ko-KR"/>
              </w:rPr>
              <w:t>W</w:t>
            </w:r>
            <w:r>
              <w:rPr>
                <w:lang w:eastAsia="ko-KR"/>
              </w:rPr>
              <w:t>e support this proposal and we prefer option 2 for groupcast option 1 (NACK-only).</w:t>
            </w:r>
          </w:p>
        </w:tc>
      </w:tr>
      <w:tr w:rsidR="00EE4559" w14:paraId="60873D8D" w14:textId="77777777" w:rsidTr="006B2419">
        <w:tc>
          <w:tcPr>
            <w:tcW w:w="1555" w:type="dxa"/>
          </w:tcPr>
          <w:p w14:paraId="147BD761" w14:textId="77777777" w:rsidR="00EE4559" w:rsidRDefault="00EE4559" w:rsidP="006B2419">
            <w:pPr>
              <w:pStyle w:val="0Maintext"/>
              <w:spacing w:after="0" w:afterAutospacing="0"/>
              <w:ind w:firstLine="0"/>
              <w:rPr>
                <w:lang w:eastAsia="ko-KR"/>
              </w:rPr>
            </w:pPr>
            <w:r>
              <w:rPr>
                <w:rFonts w:eastAsiaTheme="minorEastAsia" w:hint="eastAsia"/>
                <w:lang w:eastAsia="zh-CN"/>
              </w:rPr>
              <w:t>Samsung</w:t>
            </w:r>
          </w:p>
        </w:tc>
        <w:tc>
          <w:tcPr>
            <w:tcW w:w="8076" w:type="dxa"/>
          </w:tcPr>
          <w:p w14:paraId="6E0264AD" w14:textId="77777777" w:rsidR="00EE4559" w:rsidRDefault="00EE4559" w:rsidP="006B2419">
            <w:pPr>
              <w:pStyle w:val="0Maintext"/>
              <w:spacing w:after="0" w:afterAutospacing="0"/>
              <w:ind w:firstLine="0"/>
              <w:rPr>
                <w:rFonts w:eastAsiaTheme="minorEastAsia"/>
                <w:lang w:eastAsia="zh-CN"/>
              </w:rPr>
            </w:pPr>
            <w:r>
              <w:rPr>
                <w:rFonts w:eastAsiaTheme="minorEastAsia" w:hint="eastAsia"/>
                <w:lang w:eastAsia="zh-CN"/>
              </w:rPr>
              <w:t>F</w:t>
            </w:r>
            <w:r>
              <w:rPr>
                <w:rFonts w:eastAsiaTheme="minorEastAsia"/>
                <w:lang w:eastAsia="zh-CN"/>
              </w:rPr>
              <w:t>or disabled SL-HARQ feedback: In our understanding, the case of HARQ-ACK feedback unavailable in NR-U mostly happens when UE failed to transmit HARQ-ACK feedback or due to miss detection, which is different with the scenario of SL HARQ-ACK feedback disabled. Therefore we prefer to further justify the performance and study potential enhancements, rather than simply decide to reuse NR-U behaviour at now.</w:t>
            </w:r>
          </w:p>
          <w:p w14:paraId="6CDD22C7" w14:textId="77777777" w:rsidR="00EE4559" w:rsidRDefault="00EE4559" w:rsidP="00EE4559">
            <w:pPr>
              <w:pStyle w:val="ListParagraph"/>
              <w:numPr>
                <w:ilvl w:val="1"/>
                <w:numId w:val="18"/>
              </w:numPr>
              <w:autoSpaceDE w:val="0"/>
              <w:autoSpaceDN w:val="0"/>
              <w:spacing w:after="160" w:line="259" w:lineRule="auto"/>
              <w:ind w:leftChars="0"/>
              <w:jc w:val="both"/>
              <w:rPr>
                <w:rFonts w:ascii="Calibri" w:hAnsi="Calibri" w:cs="Calibri"/>
                <w:sz w:val="22"/>
              </w:rPr>
            </w:pPr>
            <w:r>
              <w:rPr>
                <w:rFonts w:ascii="Calibri" w:hAnsi="Calibri" w:cs="Calibri"/>
                <w:sz w:val="22"/>
              </w:rPr>
              <w:t xml:space="preserve">CW adjustment when SL-HARQ feedback is disabled in SCI: </w:t>
            </w:r>
            <w:r>
              <w:rPr>
                <w:rFonts w:ascii="Calibri" w:hAnsi="Calibri" w:cs="Calibri"/>
                <w:color w:val="FF0000"/>
                <w:sz w:val="22"/>
              </w:rPr>
              <w:t>further justfy the performance and study potential enhancements.</w:t>
            </w:r>
          </w:p>
          <w:p w14:paraId="7A8C15B7" w14:textId="77777777" w:rsidR="00EE4559" w:rsidRDefault="00EE4559" w:rsidP="006B2419">
            <w:pPr>
              <w:pStyle w:val="0Maintext"/>
              <w:spacing w:after="0" w:afterAutospacing="0"/>
              <w:ind w:firstLine="0"/>
              <w:rPr>
                <w:rFonts w:eastAsiaTheme="minorEastAsia"/>
                <w:lang w:eastAsia="zh-CN"/>
              </w:rPr>
            </w:pPr>
            <w:r>
              <w:rPr>
                <w:rFonts w:eastAsiaTheme="minorEastAsia"/>
                <w:lang w:eastAsia="zh-CN"/>
              </w:rPr>
              <w:t xml:space="preserve">For GC option 2: Fine with the principle. We think how to calculate the ratio needs further study, e.g. whether this ratio is calculated by a single (re)transmission or it depends on at least one PSFCH reception occasion from the number of PSFCH reception occasions in PSFCH resources corresponding to every expected receiver. For increasing of </w:t>
            </w:r>
            <m:oMath>
              <m:r>
                <w:rPr>
                  <w:rFonts w:ascii="Cambria Math" w:hAnsi="Cambria Math" w:cs="Calibri"/>
                  <w:sz w:val="22"/>
                </w:rPr>
                <m:t>C</m:t>
              </m:r>
              <m:sSub>
                <m:sSubPr>
                  <m:ctrlPr>
                    <w:rPr>
                      <w:rFonts w:ascii="Cambria Math" w:hAnsi="Cambria Math" w:cs="Calibri"/>
                      <w:i/>
                      <w:iCs/>
                      <w:sz w:val="22"/>
                    </w:rPr>
                  </m:ctrlPr>
                </m:sSubPr>
                <m:e>
                  <m:r>
                    <w:rPr>
                      <w:rFonts w:ascii="Cambria Math" w:hAnsi="Cambria Math" w:cs="Calibri"/>
                      <w:sz w:val="22"/>
                    </w:rPr>
                    <m:t>W</m:t>
                  </m:r>
                </m:e>
                <m:sub>
                  <m:r>
                    <w:rPr>
                      <w:rFonts w:ascii="Cambria Math" w:hAnsi="Cambria Math" w:cs="Calibri"/>
                      <w:sz w:val="22"/>
                    </w:rPr>
                    <m:t>p</m:t>
                  </m:r>
                </m:sub>
              </m:sSub>
            </m:oMath>
            <w:r>
              <w:rPr>
                <w:rFonts w:eastAsiaTheme="minorEastAsia"/>
                <w:lang w:eastAsia="zh-CN"/>
              </w:rPr>
              <w:t>, we think details can be further discussed. Therefore, the following modification is suggested:</w:t>
            </w:r>
          </w:p>
          <w:p w14:paraId="6B29FD32" w14:textId="77777777" w:rsidR="00EE4559" w:rsidRDefault="00EE4559" w:rsidP="00EE4559">
            <w:pPr>
              <w:pStyle w:val="ListParagraph"/>
              <w:numPr>
                <w:ilvl w:val="1"/>
                <w:numId w:val="18"/>
              </w:numPr>
              <w:autoSpaceDE w:val="0"/>
              <w:autoSpaceDN w:val="0"/>
              <w:spacing w:line="259" w:lineRule="auto"/>
              <w:ind w:leftChars="0"/>
              <w:jc w:val="both"/>
              <w:rPr>
                <w:rFonts w:ascii="Calibri" w:hAnsi="Calibri" w:cs="Calibri"/>
                <w:sz w:val="22"/>
              </w:rPr>
            </w:pPr>
            <w:r>
              <w:rPr>
                <w:rFonts w:ascii="Calibri" w:hAnsi="Calibri" w:cs="Calibri"/>
                <w:sz w:val="22"/>
              </w:rPr>
              <w:t>CW adjustment for groupcast option 2:</w:t>
            </w:r>
          </w:p>
          <w:p w14:paraId="44E360C6" w14:textId="77777777" w:rsidR="00EE4559" w:rsidRDefault="00EE4559" w:rsidP="00EE4559">
            <w:pPr>
              <w:pStyle w:val="ListParagraph"/>
              <w:numPr>
                <w:ilvl w:val="2"/>
                <w:numId w:val="18"/>
              </w:numPr>
              <w:autoSpaceDE w:val="0"/>
              <w:autoSpaceDN w:val="0"/>
              <w:spacing w:after="120" w:line="259" w:lineRule="auto"/>
              <w:ind w:leftChars="0"/>
              <w:jc w:val="both"/>
              <w:rPr>
                <w:rFonts w:ascii="Calibri" w:hAnsi="Calibri" w:cs="Calibri"/>
                <w:sz w:val="22"/>
              </w:rPr>
            </w:pPr>
            <w:r>
              <w:rPr>
                <w:rFonts w:ascii="Calibri" w:hAnsi="Calibri" w:cs="Calibri" w:hint="eastAsia"/>
                <w:sz w:val="22"/>
                <w:lang w:val="en-AU"/>
              </w:rPr>
              <w:t xml:space="preserve">When </w:t>
            </w:r>
            <w:r>
              <w:rPr>
                <w:rFonts w:ascii="Calibri" w:hAnsi="Calibri" w:cs="Calibri"/>
                <w:color w:val="FF0000"/>
                <w:sz w:val="22"/>
                <w:lang w:val="en-AU"/>
              </w:rPr>
              <w:t xml:space="preserve">at least </w:t>
            </w:r>
            <w:r>
              <w:rPr>
                <w:rFonts w:ascii="Calibri" w:hAnsi="Calibri" w:cs="Calibri" w:hint="eastAsia"/>
                <w:sz w:val="22"/>
                <w:lang w:val="en-AU"/>
              </w:rPr>
              <w:t xml:space="preserve">a (pre-)configurable ratio of received SL HARQ-ACK feedbacks is </w:t>
            </w:r>
            <w:r>
              <w:rPr>
                <w:rFonts w:ascii="Calibri" w:hAnsi="Calibri" w:cs="Calibri" w:hint="eastAsia"/>
                <w:sz w:val="22"/>
                <w:lang w:val="en-AU"/>
              </w:rPr>
              <w:t>‘</w:t>
            </w:r>
            <w:r>
              <w:rPr>
                <w:rFonts w:ascii="Calibri" w:hAnsi="Calibri" w:cs="Calibri" w:hint="eastAsia"/>
                <w:sz w:val="22"/>
                <w:lang w:val="en-AU"/>
              </w:rPr>
              <w:t>ACK</w:t>
            </w:r>
            <w:r>
              <w:rPr>
                <w:rFonts w:ascii="Calibri" w:hAnsi="Calibri" w:cs="Calibri" w:hint="eastAsia"/>
                <w:sz w:val="22"/>
                <w:lang w:val="en-AU"/>
              </w:rPr>
              <w:t>’</w:t>
            </w:r>
            <w:r>
              <w:rPr>
                <w:rFonts w:ascii="Calibri" w:hAnsi="Calibri" w:cs="Calibri" w:hint="eastAsia"/>
                <w:sz w:val="22"/>
                <w:lang w:val="en-AU"/>
              </w:rPr>
              <w:t xml:space="preserve">, </w:t>
            </w:r>
            <m:oMath>
              <m:r>
                <w:rPr>
                  <w:rFonts w:ascii="Cambria Math" w:hAnsi="Cambria Math" w:cs="Calibri"/>
                  <w:sz w:val="22"/>
                </w:rPr>
                <m:t>C</m:t>
              </m:r>
              <m:sSub>
                <m:sSubPr>
                  <m:ctrlPr>
                    <w:rPr>
                      <w:rFonts w:ascii="Cambria Math" w:hAnsi="Cambria Math" w:cs="Calibri"/>
                      <w:i/>
                      <w:iCs/>
                      <w:sz w:val="22"/>
                    </w:rPr>
                  </m:ctrlPr>
                </m:sSubPr>
                <m:e>
                  <m:r>
                    <w:rPr>
                      <w:rFonts w:ascii="Cambria Math" w:hAnsi="Cambria Math" w:cs="Calibri"/>
                      <w:sz w:val="22"/>
                    </w:rPr>
                    <m:t>W</m:t>
                  </m:r>
                </m:e>
                <m:sub>
                  <m:r>
                    <w:rPr>
                      <w:rFonts w:ascii="Cambria Math" w:hAnsi="Cambria Math" w:cs="Calibri"/>
                      <w:sz w:val="22"/>
                    </w:rPr>
                    <m:t>p</m:t>
                  </m:r>
                </m:sub>
              </m:sSub>
            </m:oMath>
            <w:r>
              <w:rPr>
                <w:rFonts w:ascii="Calibri" w:hAnsi="Calibri" w:cs="Calibri" w:hint="eastAsia"/>
                <w:sz w:val="22"/>
                <w:lang w:val="en-AU"/>
              </w:rPr>
              <w:t xml:space="preserve"> is reset to </w:t>
            </w:r>
            <m:oMath>
              <m:r>
                <w:rPr>
                  <w:rFonts w:ascii="Cambria Math" w:hAnsi="Cambria Math" w:cs="Calibri"/>
                  <w:sz w:val="22"/>
                </w:rPr>
                <m:t>C</m:t>
              </m:r>
              <m:sSub>
                <m:sSubPr>
                  <m:ctrlPr>
                    <w:rPr>
                      <w:rFonts w:ascii="Cambria Math" w:hAnsi="Cambria Math" w:cs="Calibri"/>
                      <w:i/>
                      <w:iCs/>
                      <w:sz w:val="22"/>
                    </w:rPr>
                  </m:ctrlPr>
                </m:sSubPr>
                <m:e>
                  <m:r>
                    <w:rPr>
                      <w:rFonts w:ascii="Cambria Math" w:hAnsi="Cambria Math" w:cs="Calibri"/>
                      <w:sz w:val="22"/>
                    </w:rPr>
                    <m:t>W</m:t>
                  </m:r>
                </m:e>
                <m:sub>
                  <m:r>
                    <w:rPr>
                      <w:rFonts w:ascii="Cambria Math" w:hAnsi="Cambria Math" w:cs="Calibri"/>
                      <w:sz w:val="22"/>
                      <w:lang w:val="en-AU"/>
                    </w:rPr>
                    <m:t>min,</m:t>
                  </m:r>
                  <m:r>
                    <w:rPr>
                      <w:rFonts w:ascii="Cambria Math" w:hAnsi="Cambria Math" w:cs="Calibri"/>
                      <w:sz w:val="22"/>
                    </w:rPr>
                    <m:t>p</m:t>
                  </m:r>
                </m:sub>
              </m:sSub>
            </m:oMath>
            <w:r>
              <w:rPr>
                <w:rFonts w:ascii="Calibri" w:hAnsi="Calibri" w:cs="Calibri" w:hint="eastAsia"/>
                <w:i/>
                <w:iCs/>
                <w:sz w:val="22"/>
                <w:lang w:val="en-AU"/>
              </w:rPr>
              <w:t xml:space="preserve"> </w:t>
            </w:r>
            <w:r>
              <w:rPr>
                <w:rFonts w:ascii="Calibri" w:hAnsi="Calibri" w:cs="Calibri" w:hint="eastAsia"/>
                <w:sz w:val="22"/>
                <w:lang w:val="en-AU"/>
              </w:rPr>
              <w:t xml:space="preserve">for every priority class </w:t>
            </w:r>
            <m:oMath>
              <m:r>
                <w:rPr>
                  <w:rFonts w:ascii="Cambria Math" w:hAnsi="Cambria Math" w:cs="Calibri"/>
                  <w:sz w:val="22"/>
                </w:rPr>
                <m:t>p∈</m:t>
              </m:r>
              <m:d>
                <m:dPr>
                  <m:begChr m:val="{"/>
                  <m:endChr m:val="}"/>
                  <m:ctrlPr>
                    <w:rPr>
                      <w:rFonts w:ascii="Cambria Math" w:hAnsi="Cambria Math" w:cs="Calibri"/>
                      <w:i/>
                      <w:iCs/>
                      <w:sz w:val="22"/>
                    </w:rPr>
                  </m:ctrlPr>
                </m:dPr>
                <m:e>
                  <m:r>
                    <w:rPr>
                      <w:rFonts w:ascii="Cambria Math" w:hAnsi="Cambria Math" w:cs="Calibri"/>
                      <w:sz w:val="22"/>
                    </w:rPr>
                    <m:t>1,2,3,4</m:t>
                  </m:r>
                </m:e>
              </m:d>
            </m:oMath>
            <w:r>
              <w:rPr>
                <w:rFonts w:ascii="Calibri" w:hAnsi="Calibri" w:cs="Calibri" w:hint="eastAsia"/>
                <w:sz w:val="22"/>
                <w:lang w:val="en-AU"/>
              </w:rPr>
              <w:t xml:space="preserve">, otherwise </w:t>
            </w:r>
            <w:r>
              <w:rPr>
                <w:rFonts w:ascii="Calibri" w:hAnsi="Calibri" w:cs="Calibri" w:hint="eastAsia"/>
                <w:sz w:val="22"/>
              </w:rPr>
              <w:t xml:space="preserve">increase </w:t>
            </w:r>
            <m:oMath>
              <m:r>
                <w:rPr>
                  <w:rFonts w:ascii="Cambria Math" w:hAnsi="Cambria Math" w:cs="Calibri"/>
                  <w:sz w:val="22"/>
                </w:rPr>
                <m:t>C</m:t>
              </m:r>
              <m:sSub>
                <m:sSubPr>
                  <m:ctrlPr>
                    <w:rPr>
                      <w:rFonts w:ascii="Cambria Math" w:hAnsi="Cambria Math" w:cs="Calibri"/>
                      <w:i/>
                      <w:iCs/>
                      <w:sz w:val="22"/>
                    </w:rPr>
                  </m:ctrlPr>
                </m:sSubPr>
                <m:e>
                  <m:r>
                    <w:rPr>
                      <w:rFonts w:ascii="Cambria Math" w:hAnsi="Cambria Math" w:cs="Calibri"/>
                      <w:sz w:val="22"/>
                    </w:rPr>
                    <m:t>W</m:t>
                  </m:r>
                </m:e>
                <m:sub>
                  <m:r>
                    <w:rPr>
                      <w:rFonts w:ascii="Cambria Math" w:hAnsi="Cambria Math" w:cs="Calibri"/>
                      <w:sz w:val="22"/>
                    </w:rPr>
                    <m:t>p</m:t>
                  </m:r>
                </m:sub>
              </m:sSub>
            </m:oMath>
            <w:r>
              <w:rPr>
                <w:rFonts w:ascii="Calibri" w:hAnsi="Calibri" w:cs="Calibri" w:hint="eastAsia"/>
                <w:sz w:val="22"/>
              </w:rPr>
              <w:t xml:space="preserve"> </w:t>
            </w:r>
            <w:r>
              <w:rPr>
                <w:rFonts w:ascii="Calibri" w:hAnsi="Calibri" w:cs="Calibri" w:hint="eastAsia"/>
                <w:strike/>
                <w:color w:val="FF0000"/>
                <w:sz w:val="22"/>
              </w:rPr>
              <w:t xml:space="preserve">for every priority class </w:t>
            </w:r>
            <m:oMath>
              <m:r>
                <w:rPr>
                  <w:rFonts w:ascii="Cambria Math" w:hAnsi="Cambria Math" w:cs="Calibri"/>
                  <w:strike/>
                  <w:color w:val="FF0000"/>
                  <w:sz w:val="22"/>
                </w:rPr>
                <m:t>p∈</m:t>
              </m:r>
              <m:d>
                <m:dPr>
                  <m:begChr m:val="{"/>
                  <m:endChr m:val="}"/>
                  <m:ctrlPr>
                    <w:rPr>
                      <w:rFonts w:ascii="Cambria Math" w:hAnsi="Cambria Math" w:cs="Calibri"/>
                      <w:i/>
                      <w:iCs/>
                      <w:strike/>
                      <w:color w:val="FF0000"/>
                      <w:sz w:val="22"/>
                    </w:rPr>
                  </m:ctrlPr>
                </m:dPr>
                <m:e>
                  <m:r>
                    <w:rPr>
                      <w:rFonts w:ascii="Cambria Math" w:hAnsi="Cambria Math" w:cs="Calibri"/>
                      <w:strike/>
                      <w:color w:val="FF0000"/>
                      <w:sz w:val="22"/>
                    </w:rPr>
                    <m:t>1,2,3,4</m:t>
                  </m:r>
                </m:e>
              </m:d>
            </m:oMath>
            <w:r>
              <w:rPr>
                <w:rFonts w:ascii="Calibri" w:hAnsi="Calibri" w:cs="Calibri" w:hint="eastAsia"/>
                <w:strike/>
                <w:color w:val="FF0000"/>
                <w:sz w:val="22"/>
              </w:rPr>
              <w:t xml:space="preserve"> to the next higher allowed value</w:t>
            </w:r>
            <w:r>
              <w:rPr>
                <w:rFonts w:ascii="Calibri" w:hAnsi="Calibri" w:cs="Calibri" w:hint="eastAsia"/>
                <w:sz w:val="22"/>
              </w:rPr>
              <w:t>.</w:t>
            </w:r>
            <w:r>
              <w:rPr>
                <w:rFonts w:ascii="Calibri" w:hAnsi="Calibri" w:cs="Calibri"/>
                <w:sz w:val="22"/>
              </w:rPr>
              <w:t xml:space="preserve"> </w:t>
            </w:r>
            <w:r>
              <w:rPr>
                <w:rFonts w:ascii="Calibri" w:hAnsi="Calibri" w:cs="Calibri"/>
                <w:color w:val="FF0000"/>
                <w:sz w:val="22"/>
              </w:rPr>
              <w:t xml:space="preserve">FFS details e.g. how to calculate the ratio and how to increase </w:t>
            </w:r>
            <m:oMath>
              <m:r>
                <w:rPr>
                  <w:rFonts w:ascii="Cambria Math" w:hAnsi="Cambria Math" w:cs="Calibri"/>
                  <w:color w:val="FF0000"/>
                  <w:sz w:val="22"/>
                </w:rPr>
                <m:t>C</m:t>
              </m:r>
              <m:sSub>
                <m:sSubPr>
                  <m:ctrlPr>
                    <w:rPr>
                      <w:rFonts w:ascii="Cambria Math" w:hAnsi="Cambria Math" w:cs="Calibri"/>
                      <w:i/>
                      <w:iCs/>
                      <w:color w:val="FF0000"/>
                      <w:sz w:val="22"/>
                    </w:rPr>
                  </m:ctrlPr>
                </m:sSubPr>
                <m:e>
                  <m:r>
                    <w:rPr>
                      <w:rFonts w:ascii="Cambria Math" w:hAnsi="Cambria Math" w:cs="Calibri"/>
                      <w:color w:val="FF0000"/>
                      <w:sz w:val="22"/>
                    </w:rPr>
                    <m:t>W</m:t>
                  </m:r>
                </m:e>
                <m:sub>
                  <m:r>
                    <w:rPr>
                      <w:rFonts w:ascii="Cambria Math" w:hAnsi="Cambria Math" w:cs="Calibri"/>
                      <w:color w:val="FF0000"/>
                      <w:sz w:val="22"/>
                    </w:rPr>
                    <m:t>p</m:t>
                  </m:r>
                </m:sub>
              </m:sSub>
            </m:oMath>
            <w:r>
              <w:rPr>
                <w:rFonts w:ascii="Calibri" w:hAnsi="Calibri" w:cs="Calibri"/>
                <w:color w:val="FF0000"/>
                <w:sz w:val="22"/>
              </w:rPr>
              <w:t>.</w:t>
            </w:r>
          </w:p>
          <w:p w14:paraId="62045E46" w14:textId="77777777" w:rsidR="00EE4559" w:rsidRDefault="00EE4559" w:rsidP="006B2419">
            <w:pPr>
              <w:pStyle w:val="0Maintext"/>
              <w:spacing w:after="0" w:afterAutospacing="0"/>
              <w:ind w:firstLine="0"/>
              <w:rPr>
                <w:rFonts w:eastAsiaTheme="minorEastAsia"/>
                <w:lang w:eastAsia="zh-CN"/>
              </w:rPr>
            </w:pPr>
            <w:r>
              <w:rPr>
                <w:rFonts w:eastAsiaTheme="minorEastAsia" w:hint="eastAsia"/>
                <w:lang w:eastAsia="zh-CN"/>
              </w:rPr>
              <w:t>F</w:t>
            </w:r>
            <w:r>
              <w:rPr>
                <w:rFonts w:eastAsiaTheme="minorEastAsia"/>
                <w:lang w:eastAsia="zh-CN"/>
              </w:rPr>
              <w:t xml:space="preserve">or GC option 1: In option 1, UE behaviour looks like even if 'NACK' is received, UE still use latest </w:t>
            </w:r>
            <m:oMath>
              <m:r>
                <w:rPr>
                  <w:rFonts w:ascii="Cambria Math" w:hAnsi="Cambria Math" w:cs="Calibri"/>
                  <w:sz w:val="22"/>
                </w:rPr>
                <m:t>C</m:t>
              </m:r>
              <m:sSub>
                <m:sSubPr>
                  <m:ctrlPr>
                    <w:rPr>
                      <w:rFonts w:ascii="Cambria Math" w:hAnsi="Cambria Math" w:cs="Calibri"/>
                      <w:i/>
                      <w:iCs/>
                      <w:sz w:val="22"/>
                    </w:rPr>
                  </m:ctrlPr>
                </m:sSubPr>
                <m:e>
                  <m:r>
                    <w:rPr>
                      <w:rFonts w:ascii="Cambria Math" w:hAnsi="Cambria Math" w:cs="Calibri"/>
                      <w:sz w:val="22"/>
                    </w:rPr>
                    <m:t>W</m:t>
                  </m:r>
                </m:e>
                <m:sub>
                  <m:r>
                    <w:rPr>
                      <w:rFonts w:ascii="Cambria Math" w:hAnsi="Cambria Math" w:cs="Calibri"/>
                      <w:sz w:val="22"/>
                    </w:rPr>
                    <m:t>p</m:t>
                  </m:r>
                </m:sub>
              </m:sSub>
            </m:oMath>
            <w:r>
              <w:rPr>
                <w:rFonts w:eastAsiaTheme="minorEastAsia"/>
                <w:lang w:eastAsia="zh-CN"/>
              </w:rPr>
              <w:t xml:space="preserve">. We are unclear on the motivation. From our view, if 'NACK' is received, it is straightforward to increase </w:t>
            </w:r>
            <m:oMath>
              <m:r>
                <w:rPr>
                  <w:rFonts w:ascii="Cambria Math" w:hAnsi="Cambria Math" w:cs="Calibri"/>
                  <w:sz w:val="22"/>
                </w:rPr>
                <m:t>C</m:t>
              </m:r>
              <m:sSub>
                <m:sSubPr>
                  <m:ctrlPr>
                    <w:rPr>
                      <w:rFonts w:ascii="Cambria Math" w:hAnsi="Cambria Math" w:cs="Calibri"/>
                      <w:i/>
                      <w:iCs/>
                      <w:sz w:val="22"/>
                    </w:rPr>
                  </m:ctrlPr>
                </m:sSubPr>
                <m:e>
                  <m:r>
                    <w:rPr>
                      <w:rFonts w:ascii="Cambria Math" w:hAnsi="Cambria Math" w:cs="Calibri"/>
                      <w:sz w:val="22"/>
                    </w:rPr>
                    <m:t>W</m:t>
                  </m:r>
                </m:e>
                <m:sub>
                  <m:r>
                    <w:rPr>
                      <w:rFonts w:ascii="Cambria Math" w:hAnsi="Cambria Math" w:cs="Calibri"/>
                      <w:sz w:val="22"/>
                    </w:rPr>
                    <m:t>p</m:t>
                  </m:r>
                </m:sub>
              </m:sSub>
            </m:oMath>
            <w:r>
              <w:rPr>
                <w:rFonts w:eastAsiaTheme="minorEastAsia"/>
                <w:lang w:eastAsia="zh-CN"/>
              </w:rPr>
              <w:t>; otherwise if UE determines absence of PSFCH reception, possible behaviour e.g. as in the two options can be discussed. So we suggest to update the logic as:</w:t>
            </w:r>
          </w:p>
          <w:p w14:paraId="5CA1952B" w14:textId="77777777" w:rsidR="00EE4559" w:rsidRDefault="00EE4559" w:rsidP="00EE4559">
            <w:pPr>
              <w:pStyle w:val="ListParagraph"/>
              <w:numPr>
                <w:ilvl w:val="1"/>
                <w:numId w:val="18"/>
              </w:numPr>
              <w:autoSpaceDE w:val="0"/>
              <w:autoSpaceDN w:val="0"/>
              <w:spacing w:line="259" w:lineRule="auto"/>
              <w:ind w:leftChars="0"/>
              <w:jc w:val="both"/>
              <w:rPr>
                <w:rFonts w:ascii="Calibri" w:hAnsi="Calibri" w:cs="Calibri"/>
                <w:sz w:val="22"/>
              </w:rPr>
            </w:pPr>
            <w:r>
              <w:rPr>
                <w:rFonts w:ascii="Calibri" w:hAnsi="Calibri" w:cs="Calibri" w:hint="eastAsia"/>
                <w:sz w:val="22"/>
                <w:lang w:val="en-AU"/>
              </w:rPr>
              <w:t>For groupcast option 1 (NACK-only)</w:t>
            </w:r>
            <w:r>
              <w:rPr>
                <w:rFonts w:ascii="Calibri" w:hAnsi="Calibri" w:cs="Calibri"/>
                <w:sz w:val="22"/>
                <w:lang w:val="en-AU"/>
              </w:rPr>
              <w:t xml:space="preserve">: </w:t>
            </w:r>
            <w:r>
              <w:rPr>
                <w:rFonts w:ascii="Calibri" w:hAnsi="Calibri" w:cs="Calibri"/>
                <w:strike/>
                <w:color w:val="FF0000"/>
                <w:sz w:val="22"/>
                <w:lang w:val="en-AU"/>
              </w:rPr>
              <w:t>(down-select to one of the following options)</w:t>
            </w:r>
          </w:p>
          <w:p w14:paraId="3DE4887C" w14:textId="77777777" w:rsidR="00EE4559" w:rsidRDefault="00EE4559" w:rsidP="00EE4559">
            <w:pPr>
              <w:pStyle w:val="ListParagraph"/>
              <w:numPr>
                <w:ilvl w:val="2"/>
                <w:numId w:val="18"/>
              </w:numPr>
              <w:autoSpaceDE w:val="0"/>
              <w:autoSpaceDN w:val="0"/>
              <w:spacing w:line="259" w:lineRule="auto"/>
              <w:ind w:leftChars="0"/>
              <w:jc w:val="both"/>
              <w:rPr>
                <w:rFonts w:ascii="Calibri" w:hAnsi="Calibri" w:cs="Calibri"/>
                <w:color w:val="FF0000"/>
                <w:sz w:val="22"/>
              </w:rPr>
            </w:pPr>
            <w:r>
              <w:rPr>
                <w:rFonts w:ascii="Calibri" w:hAnsi="Calibri" w:cs="Calibri" w:hint="eastAsia"/>
                <w:color w:val="FF0000"/>
                <w:sz w:val="22"/>
                <w:lang w:val="en-AU"/>
              </w:rPr>
              <w:t xml:space="preserve">If </w:t>
            </w:r>
            <w:r>
              <w:rPr>
                <w:rFonts w:ascii="Calibri" w:hAnsi="Calibri" w:cs="Calibri"/>
                <w:color w:val="FF0000"/>
                <w:sz w:val="22"/>
                <w:lang w:val="en-AU"/>
              </w:rPr>
              <w:t>‘</w:t>
            </w:r>
            <w:r>
              <w:rPr>
                <w:rFonts w:ascii="Calibri" w:hAnsi="Calibri" w:cs="Calibri" w:hint="eastAsia"/>
                <w:color w:val="FF0000"/>
                <w:sz w:val="22"/>
                <w:lang w:val="en-AU"/>
              </w:rPr>
              <w:t>NACK</w:t>
            </w:r>
            <w:r>
              <w:rPr>
                <w:rFonts w:ascii="Calibri" w:hAnsi="Calibri" w:cs="Calibri"/>
                <w:color w:val="FF0000"/>
                <w:sz w:val="22"/>
                <w:lang w:val="en-AU"/>
              </w:rPr>
              <w:t>’</w:t>
            </w:r>
            <w:r>
              <w:rPr>
                <w:rFonts w:ascii="Calibri" w:hAnsi="Calibri" w:cs="Calibri" w:hint="eastAsia"/>
                <w:color w:val="FF0000"/>
                <w:sz w:val="22"/>
                <w:lang w:val="en-AU"/>
              </w:rPr>
              <w:t xml:space="preserve"> is received, </w:t>
            </w:r>
            <w:r>
              <w:rPr>
                <w:rFonts w:ascii="Calibri" w:hAnsi="Calibri" w:cs="Calibri" w:hint="eastAsia"/>
                <w:color w:val="FF0000"/>
                <w:sz w:val="22"/>
              </w:rPr>
              <w:t xml:space="preserve">increase </w:t>
            </w:r>
            <m:oMath>
              <m:r>
                <w:rPr>
                  <w:rFonts w:ascii="Cambria Math" w:hAnsi="Cambria Math" w:cs="Calibri"/>
                  <w:color w:val="FF0000"/>
                  <w:sz w:val="22"/>
                </w:rPr>
                <m:t>C</m:t>
              </m:r>
              <m:sSub>
                <m:sSubPr>
                  <m:ctrlPr>
                    <w:rPr>
                      <w:rFonts w:ascii="Cambria Math" w:hAnsi="Cambria Math" w:cs="Calibri"/>
                      <w:i/>
                      <w:iCs/>
                      <w:color w:val="FF0000"/>
                      <w:sz w:val="22"/>
                    </w:rPr>
                  </m:ctrlPr>
                </m:sSubPr>
                <m:e>
                  <m:r>
                    <w:rPr>
                      <w:rFonts w:ascii="Cambria Math" w:hAnsi="Cambria Math" w:cs="Calibri"/>
                      <w:color w:val="FF0000"/>
                      <w:sz w:val="22"/>
                    </w:rPr>
                    <m:t>W</m:t>
                  </m:r>
                </m:e>
                <m:sub>
                  <m:r>
                    <w:rPr>
                      <w:rFonts w:ascii="Cambria Math" w:hAnsi="Cambria Math" w:cs="Calibri"/>
                      <w:color w:val="FF0000"/>
                      <w:sz w:val="22"/>
                    </w:rPr>
                    <m:t>p</m:t>
                  </m:r>
                </m:sub>
              </m:sSub>
            </m:oMath>
            <w:r>
              <w:rPr>
                <w:rFonts w:ascii="Calibri" w:hAnsi="Calibri" w:cs="Calibri" w:hint="eastAsia"/>
                <w:color w:val="FF0000"/>
                <w:sz w:val="22"/>
              </w:rPr>
              <w:t xml:space="preserve"> for every priority class </w:t>
            </w:r>
            <m:oMath>
              <m:r>
                <w:rPr>
                  <w:rFonts w:ascii="Cambria Math" w:hAnsi="Cambria Math" w:cs="Calibri"/>
                  <w:color w:val="FF0000"/>
                  <w:sz w:val="22"/>
                </w:rPr>
                <m:t>p∈</m:t>
              </m:r>
              <m:d>
                <m:dPr>
                  <m:begChr m:val="{"/>
                  <m:endChr m:val="}"/>
                  <m:ctrlPr>
                    <w:rPr>
                      <w:rFonts w:ascii="Cambria Math" w:hAnsi="Cambria Math" w:cs="Calibri"/>
                      <w:i/>
                      <w:iCs/>
                      <w:color w:val="FF0000"/>
                      <w:sz w:val="22"/>
                    </w:rPr>
                  </m:ctrlPr>
                </m:dPr>
                <m:e>
                  <m:r>
                    <w:rPr>
                      <w:rFonts w:ascii="Cambria Math" w:hAnsi="Cambria Math" w:cs="Calibri"/>
                      <w:color w:val="FF0000"/>
                      <w:sz w:val="22"/>
                    </w:rPr>
                    <m:t>1,2,3,4</m:t>
                  </m:r>
                </m:e>
              </m:d>
            </m:oMath>
            <w:r>
              <w:rPr>
                <w:rFonts w:ascii="Calibri" w:hAnsi="Calibri" w:cs="Calibri" w:hint="eastAsia"/>
                <w:color w:val="FF0000"/>
                <w:sz w:val="22"/>
              </w:rPr>
              <w:t xml:space="preserve"> to the next higher allowed value.</w:t>
            </w:r>
            <w:r>
              <w:rPr>
                <w:rFonts w:ascii="Calibri" w:hAnsi="Calibri" w:cs="Calibri"/>
                <w:color w:val="FF0000"/>
                <w:sz w:val="22"/>
              </w:rPr>
              <w:t xml:space="preserve"> </w:t>
            </w:r>
          </w:p>
          <w:p w14:paraId="0354CC2D" w14:textId="77777777" w:rsidR="00EE4559" w:rsidRDefault="00EE4559" w:rsidP="00EE4559">
            <w:pPr>
              <w:pStyle w:val="ListParagraph"/>
              <w:numPr>
                <w:ilvl w:val="2"/>
                <w:numId w:val="18"/>
              </w:numPr>
              <w:autoSpaceDE w:val="0"/>
              <w:autoSpaceDN w:val="0"/>
              <w:spacing w:line="259" w:lineRule="auto"/>
              <w:ind w:leftChars="0"/>
              <w:jc w:val="both"/>
              <w:rPr>
                <w:rFonts w:ascii="Calibri" w:hAnsi="Calibri" w:cs="Calibri"/>
                <w:color w:val="FF0000"/>
                <w:sz w:val="22"/>
              </w:rPr>
            </w:pPr>
            <w:r>
              <w:rPr>
                <w:rFonts w:ascii="Calibri" w:hAnsi="Calibri" w:cs="Calibri"/>
                <w:color w:val="FF0000"/>
                <w:sz w:val="22"/>
              </w:rPr>
              <w:t>If no PSFCH is received, at least study the following options:</w:t>
            </w:r>
          </w:p>
          <w:p w14:paraId="672986A1" w14:textId="77777777" w:rsidR="00EE4559" w:rsidRDefault="00EE4559" w:rsidP="00EE4559">
            <w:pPr>
              <w:pStyle w:val="ListParagraph"/>
              <w:numPr>
                <w:ilvl w:val="3"/>
                <w:numId w:val="18"/>
              </w:numPr>
              <w:autoSpaceDE w:val="0"/>
              <w:autoSpaceDN w:val="0"/>
              <w:spacing w:line="259" w:lineRule="auto"/>
              <w:ind w:leftChars="0"/>
              <w:jc w:val="both"/>
              <w:rPr>
                <w:rFonts w:ascii="Calibri" w:hAnsi="Calibri" w:cs="Calibri"/>
                <w:sz w:val="22"/>
              </w:rPr>
            </w:pPr>
            <w:r>
              <w:rPr>
                <w:rFonts w:ascii="Calibri" w:hAnsi="Calibri" w:cs="Calibri" w:hint="eastAsia"/>
                <w:sz w:val="22"/>
                <w:lang w:val="en-AU"/>
              </w:rPr>
              <w:t xml:space="preserve">Option 1: For every priority class </w:t>
            </w:r>
            <m:oMath>
              <m:r>
                <w:rPr>
                  <w:rFonts w:ascii="Cambria Math" w:hAnsi="Cambria Math" w:cs="Calibri"/>
                  <w:sz w:val="22"/>
                </w:rPr>
                <m:t>p∈</m:t>
              </m:r>
              <m:d>
                <m:dPr>
                  <m:begChr m:val="{"/>
                  <m:endChr m:val="}"/>
                  <m:ctrlPr>
                    <w:rPr>
                      <w:rFonts w:ascii="Cambria Math" w:hAnsi="Cambria Math" w:cs="Calibri"/>
                      <w:i/>
                      <w:iCs/>
                      <w:sz w:val="22"/>
                    </w:rPr>
                  </m:ctrlPr>
                </m:dPr>
                <m:e>
                  <m:r>
                    <w:rPr>
                      <w:rFonts w:ascii="Cambria Math" w:hAnsi="Cambria Math" w:cs="Calibri"/>
                      <w:sz w:val="22"/>
                    </w:rPr>
                    <m:t>1,2,3,4</m:t>
                  </m:r>
                </m:e>
              </m:d>
            </m:oMath>
            <w:r>
              <w:rPr>
                <w:rFonts w:ascii="Calibri" w:hAnsi="Calibri" w:cs="Calibri" w:hint="eastAsia"/>
                <w:sz w:val="22"/>
                <w:lang w:val="en-AU"/>
              </w:rPr>
              <w:t>,</w:t>
            </w:r>
            <w:r>
              <w:rPr>
                <w:rFonts w:ascii="Calibri" w:hAnsi="Calibri" w:cs="Calibri"/>
                <w:i/>
                <w:iCs/>
                <w:sz w:val="22"/>
              </w:rPr>
              <w:t xml:space="preserve"> </w:t>
            </w:r>
            <w:r>
              <w:rPr>
                <w:rFonts w:ascii="Calibri" w:hAnsi="Calibri" w:cs="Calibri"/>
                <w:sz w:val="22"/>
              </w:rPr>
              <w:t>use the latest</w:t>
            </w:r>
            <w:r>
              <w:rPr>
                <w:rFonts w:ascii="Calibri" w:hAnsi="Calibri" w:cs="Calibri" w:hint="eastAsia"/>
                <w:sz w:val="22"/>
              </w:rPr>
              <w:t xml:space="preserve"> </w:t>
            </w:r>
            <m:oMath>
              <m:r>
                <w:rPr>
                  <w:rFonts w:ascii="Cambria Math" w:hAnsi="Cambria Math" w:cs="Calibri"/>
                  <w:sz w:val="22"/>
                </w:rPr>
                <m:t>C</m:t>
              </m:r>
              <m:sSub>
                <m:sSubPr>
                  <m:ctrlPr>
                    <w:rPr>
                      <w:rFonts w:ascii="Cambria Math" w:hAnsi="Cambria Math" w:cs="Calibri"/>
                      <w:i/>
                      <w:iCs/>
                      <w:sz w:val="22"/>
                    </w:rPr>
                  </m:ctrlPr>
                </m:sSubPr>
                <m:e>
                  <m:r>
                    <w:rPr>
                      <w:rFonts w:ascii="Cambria Math" w:hAnsi="Cambria Math" w:cs="Calibri"/>
                      <w:sz w:val="22"/>
                    </w:rPr>
                    <m:t>W</m:t>
                  </m:r>
                </m:e>
                <m:sub>
                  <m:r>
                    <w:rPr>
                      <w:rFonts w:ascii="Cambria Math" w:hAnsi="Cambria Math" w:cs="Calibri"/>
                      <w:sz w:val="22"/>
                    </w:rPr>
                    <m:t>p</m:t>
                  </m:r>
                </m:sub>
              </m:sSub>
            </m:oMath>
            <w:r>
              <w:rPr>
                <w:rFonts w:ascii="Calibri" w:hAnsi="Calibri" w:cs="Calibri" w:hint="eastAsia"/>
                <w:sz w:val="22"/>
              </w:rPr>
              <w:t xml:space="preserve"> </w:t>
            </w:r>
            <w:r>
              <w:rPr>
                <w:rFonts w:ascii="Calibri" w:hAnsi="Calibri" w:cs="Calibri"/>
                <w:sz w:val="22"/>
              </w:rPr>
              <w:t xml:space="preserve">used for any SL transmissions on the channel </w:t>
            </w:r>
            <w:r>
              <w:rPr>
                <w:rFonts w:ascii="Calibri" w:hAnsi="Calibri" w:cs="Calibri"/>
                <w:sz w:val="22"/>
              </w:rPr>
              <w:lastRenderedPageBreak/>
              <w:t xml:space="preserve">using Type 1 channel access procedures associated with the channel access priority class </w:t>
            </w:r>
            <m:oMath>
              <m:r>
                <w:rPr>
                  <w:rFonts w:ascii="Cambria Math" w:hAnsi="Cambria Math" w:cs="Calibri"/>
                  <w:sz w:val="22"/>
                </w:rPr>
                <m:t>p</m:t>
              </m:r>
            </m:oMath>
            <w:r>
              <w:rPr>
                <w:rFonts w:ascii="Calibri" w:hAnsi="Calibri" w:cs="Calibri" w:hint="eastAsia"/>
                <w:sz w:val="22"/>
              </w:rPr>
              <w:t>.</w:t>
            </w:r>
            <w:r>
              <w:rPr>
                <w:rFonts w:ascii="Calibri" w:hAnsi="Calibri" w:cs="Calibri"/>
                <w:sz w:val="22"/>
              </w:rPr>
              <w:t xml:space="preserve"> </w:t>
            </w:r>
            <w:r>
              <w:rPr>
                <w:rFonts w:asciiTheme="minorHAnsi" w:hAnsiTheme="minorHAnsi" w:cstheme="minorHAnsi"/>
                <w:sz w:val="22"/>
                <w:szCs w:val="28"/>
              </w:rPr>
              <w:t xml:space="preserve">If the corresponding channel access priority class </w:t>
            </w:r>
            <m:oMath>
              <m:r>
                <w:rPr>
                  <w:rFonts w:ascii="Cambria Math" w:hAnsi="Cambria Math" w:cstheme="minorHAnsi"/>
                  <w:sz w:val="22"/>
                  <w:szCs w:val="28"/>
                </w:rPr>
                <m:t>p</m:t>
              </m:r>
            </m:oMath>
            <w:r>
              <w:rPr>
                <w:rFonts w:asciiTheme="minorHAnsi" w:hAnsiTheme="minorHAnsi" w:cstheme="minorHAnsi"/>
                <w:sz w:val="22"/>
                <w:szCs w:val="28"/>
              </w:rPr>
              <w:t xml:space="preserve">  has not been used for any SL transmissions on the channel, </w:t>
            </w:r>
            <m:oMath>
              <m:r>
                <w:rPr>
                  <w:rFonts w:ascii="Cambria Math" w:hAnsi="Cambria Math" w:cstheme="minorHAnsi"/>
                  <w:sz w:val="22"/>
                  <w:szCs w:val="28"/>
                </w:rPr>
                <m:t>C</m:t>
              </m:r>
              <m:sSub>
                <m:sSubPr>
                  <m:ctrlPr>
                    <w:rPr>
                      <w:rFonts w:ascii="Cambria Math" w:hAnsi="Cambria Math" w:cstheme="minorHAnsi"/>
                      <w:i/>
                      <w:sz w:val="22"/>
                      <w:szCs w:val="28"/>
                    </w:rPr>
                  </m:ctrlPr>
                </m:sSubPr>
                <m:e>
                  <m:r>
                    <w:rPr>
                      <w:rFonts w:ascii="Cambria Math" w:hAnsi="Cambria Math" w:cstheme="minorHAnsi"/>
                      <w:sz w:val="22"/>
                      <w:szCs w:val="28"/>
                    </w:rPr>
                    <m:t>W</m:t>
                  </m:r>
                </m:e>
                <m:sub>
                  <m:r>
                    <w:rPr>
                      <w:rFonts w:ascii="Cambria Math" w:hAnsi="Cambria Math" w:cstheme="minorHAnsi"/>
                      <w:sz w:val="22"/>
                      <w:szCs w:val="28"/>
                    </w:rPr>
                    <m:t>p</m:t>
                  </m:r>
                </m:sub>
              </m:sSub>
              <m:r>
                <w:rPr>
                  <w:rFonts w:ascii="Cambria Math" w:hAnsi="Cambria Math" w:cstheme="minorHAnsi"/>
                  <w:sz w:val="22"/>
                  <w:szCs w:val="28"/>
                  <w:lang w:val="en-US"/>
                </w:rPr>
                <m:t>=</m:t>
              </m:r>
              <m:r>
                <w:rPr>
                  <w:rFonts w:ascii="Cambria Math" w:hAnsi="Cambria Math" w:cstheme="minorHAnsi"/>
                  <w:sz w:val="22"/>
                  <w:szCs w:val="28"/>
                </w:rPr>
                <m:t>C</m:t>
              </m:r>
              <m:sSub>
                <m:sSubPr>
                  <m:ctrlPr>
                    <w:rPr>
                      <w:rFonts w:ascii="Cambria Math" w:hAnsi="Cambria Math" w:cstheme="minorHAnsi"/>
                      <w:i/>
                      <w:sz w:val="22"/>
                      <w:szCs w:val="28"/>
                    </w:rPr>
                  </m:ctrlPr>
                </m:sSubPr>
                <m:e>
                  <m:r>
                    <w:rPr>
                      <w:rFonts w:ascii="Cambria Math" w:hAnsi="Cambria Math" w:cstheme="minorHAnsi"/>
                      <w:sz w:val="22"/>
                      <w:szCs w:val="28"/>
                    </w:rPr>
                    <m:t>W</m:t>
                  </m:r>
                </m:e>
                <m:sub>
                  <m:func>
                    <m:funcPr>
                      <m:ctrlPr>
                        <w:rPr>
                          <w:rFonts w:ascii="Cambria Math" w:hAnsi="Cambria Math" w:cstheme="minorHAnsi"/>
                          <w:i/>
                          <w:sz w:val="22"/>
                          <w:szCs w:val="28"/>
                        </w:rPr>
                      </m:ctrlPr>
                    </m:funcPr>
                    <m:fName>
                      <m:r>
                        <w:rPr>
                          <w:rFonts w:ascii="Cambria Math" w:hAnsi="Cambria Math" w:cstheme="minorHAnsi"/>
                          <w:sz w:val="22"/>
                          <w:szCs w:val="28"/>
                        </w:rPr>
                        <m:t>min</m:t>
                      </m:r>
                      <m:r>
                        <w:rPr>
                          <w:rFonts w:ascii="Cambria Math" w:hAnsi="Cambria Math" w:cstheme="minorHAnsi"/>
                          <w:sz w:val="22"/>
                          <w:szCs w:val="28"/>
                          <w:lang w:val="en-US"/>
                        </w:rPr>
                        <m:t>,</m:t>
                      </m:r>
                    </m:fName>
                    <m:e>
                      <m:r>
                        <w:rPr>
                          <w:rFonts w:ascii="Cambria Math" w:hAnsi="Cambria Math" w:cstheme="minorHAnsi"/>
                          <w:sz w:val="22"/>
                          <w:szCs w:val="28"/>
                        </w:rPr>
                        <m:t>p</m:t>
                      </m:r>
                    </m:e>
                  </m:func>
                </m:sub>
              </m:sSub>
            </m:oMath>
            <w:r>
              <w:rPr>
                <w:rFonts w:asciiTheme="minorHAnsi" w:hAnsiTheme="minorHAnsi" w:cstheme="minorHAnsi"/>
                <w:sz w:val="22"/>
                <w:szCs w:val="28"/>
              </w:rPr>
              <w:t xml:space="preserve"> is used.</w:t>
            </w:r>
          </w:p>
          <w:p w14:paraId="3F1EB5BE" w14:textId="77777777" w:rsidR="00EE4559" w:rsidRDefault="00EE4559" w:rsidP="00EE4559">
            <w:pPr>
              <w:pStyle w:val="ListParagraph"/>
              <w:numPr>
                <w:ilvl w:val="3"/>
                <w:numId w:val="18"/>
              </w:numPr>
              <w:autoSpaceDE w:val="0"/>
              <w:autoSpaceDN w:val="0"/>
              <w:spacing w:line="259" w:lineRule="auto"/>
              <w:ind w:leftChars="0"/>
              <w:jc w:val="both"/>
              <w:rPr>
                <w:rFonts w:ascii="Calibri" w:hAnsi="Calibri" w:cs="Calibri"/>
                <w:sz w:val="22"/>
              </w:rPr>
            </w:pPr>
            <w:r>
              <w:rPr>
                <w:rFonts w:ascii="Calibri" w:hAnsi="Calibri" w:cs="Calibri" w:hint="eastAsia"/>
                <w:sz w:val="22"/>
                <w:lang w:val="en-AU"/>
              </w:rPr>
              <w:t>Option 2:</w:t>
            </w:r>
            <w:r>
              <w:rPr>
                <w:rFonts w:ascii="Calibri" w:hAnsi="Calibri" w:cs="Calibri"/>
                <w:sz w:val="22"/>
              </w:rPr>
              <w:t xml:space="preserve"> </w:t>
            </w:r>
            <w:r>
              <w:rPr>
                <w:rFonts w:ascii="Calibri" w:hAnsi="Calibri" w:cs="Calibri" w:hint="eastAsia"/>
                <w:strike/>
                <w:color w:val="FF0000"/>
                <w:sz w:val="22"/>
                <w:lang w:val="en-AU"/>
              </w:rPr>
              <w:t xml:space="preserve">If </w:t>
            </w:r>
            <w:r>
              <w:rPr>
                <w:rFonts w:ascii="Calibri" w:hAnsi="Calibri" w:cs="Calibri"/>
                <w:strike/>
                <w:color w:val="FF0000"/>
                <w:sz w:val="22"/>
                <w:lang w:val="en-AU"/>
              </w:rPr>
              <w:t>‘</w:t>
            </w:r>
            <w:r>
              <w:rPr>
                <w:rFonts w:ascii="Calibri" w:hAnsi="Calibri" w:cs="Calibri" w:hint="eastAsia"/>
                <w:strike/>
                <w:color w:val="FF0000"/>
                <w:sz w:val="22"/>
                <w:lang w:val="en-AU"/>
              </w:rPr>
              <w:t>NACK</w:t>
            </w:r>
            <w:r>
              <w:rPr>
                <w:rFonts w:ascii="Calibri" w:hAnsi="Calibri" w:cs="Calibri"/>
                <w:strike/>
                <w:color w:val="FF0000"/>
                <w:sz w:val="22"/>
                <w:lang w:val="en-AU"/>
              </w:rPr>
              <w:t>’</w:t>
            </w:r>
            <w:r>
              <w:rPr>
                <w:rFonts w:ascii="Calibri" w:hAnsi="Calibri" w:cs="Calibri" w:hint="eastAsia"/>
                <w:strike/>
                <w:color w:val="FF0000"/>
                <w:sz w:val="22"/>
                <w:lang w:val="en-AU"/>
              </w:rPr>
              <w:t xml:space="preserve"> is received, </w:t>
            </w:r>
            <w:r>
              <w:rPr>
                <w:rFonts w:ascii="Calibri" w:hAnsi="Calibri" w:cs="Calibri" w:hint="eastAsia"/>
                <w:strike/>
                <w:color w:val="FF0000"/>
                <w:sz w:val="22"/>
              </w:rPr>
              <w:t xml:space="preserve">increase </w:t>
            </w:r>
            <m:oMath>
              <m:r>
                <w:rPr>
                  <w:rFonts w:ascii="Cambria Math" w:hAnsi="Cambria Math" w:cs="Calibri"/>
                  <w:strike/>
                  <w:color w:val="FF0000"/>
                  <w:sz w:val="22"/>
                </w:rPr>
                <m:t>C</m:t>
              </m:r>
              <m:sSub>
                <m:sSubPr>
                  <m:ctrlPr>
                    <w:rPr>
                      <w:rFonts w:ascii="Cambria Math" w:hAnsi="Cambria Math" w:cs="Calibri"/>
                      <w:i/>
                      <w:iCs/>
                      <w:strike/>
                      <w:color w:val="FF0000"/>
                      <w:sz w:val="22"/>
                    </w:rPr>
                  </m:ctrlPr>
                </m:sSubPr>
                <m:e>
                  <m:r>
                    <w:rPr>
                      <w:rFonts w:ascii="Cambria Math" w:hAnsi="Cambria Math" w:cs="Calibri"/>
                      <w:strike/>
                      <w:color w:val="FF0000"/>
                      <w:sz w:val="22"/>
                    </w:rPr>
                    <m:t>W</m:t>
                  </m:r>
                </m:e>
                <m:sub>
                  <m:r>
                    <w:rPr>
                      <w:rFonts w:ascii="Cambria Math" w:hAnsi="Cambria Math" w:cs="Calibri"/>
                      <w:strike/>
                      <w:color w:val="FF0000"/>
                      <w:sz w:val="22"/>
                    </w:rPr>
                    <m:t>p</m:t>
                  </m:r>
                </m:sub>
              </m:sSub>
            </m:oMath>
            <w:r>
              <w:rPr>
                <w:rFonts w:ascii="Calibri" w:hAnsi="Calibri" w:cs="Calibri" w:hint="eastAsia"/>
                <w:strike/>
                <w:color w:val="FF0000"/>
                <w:sz w:val="22"/>
              </w:rPr>
              <w:t xml:space="preserve"> for every priority class </w:t>
            </w:r>
            <m:oMath>
              <m:r>
                <w:rPr>
                  <w:rFonts w:ascii="Cambria Math" w:hAnsi="Cambria Math" w:cs="Calibri"/>
                  <w:strike/>
                  <w:color w:val="FF0000"/>
                  <w:sz w:val="22"/>
                </w:rPr>
                <m:t>p∈</m:t>
              </m:r>
              <m:d>
                <m:dPr>
                  <m:begChr m:val="{"/>
                  <m:endChr m:val="}"/>
                  <m:ctrlPr>
                    <w:rPr>
                      <w:rFonts w:ascii="Cambria Math" w:hAnsi="Cambria Math" w:cs="Calibri"/>
                      <w:i/>
                      <w:iCs/>
                      <w:strike/>
                      <w:color w:val="FF0000"/>
                      <w:sz w:val="22"/>
                    </w:rPr>
                  </m:ctrlPr>
                </m:dPr>
                <m:e>
                  <m:r>
                    <w:rPr>
                      <w:rFonts w:ascii="Cambria Math" w:hAnsi="Cambria Math" w:cs="Calibri"/>
                      <w:strike/>
                      <w:color w:val="FF0000"/>
                      <w:sz w:val="22"/>
                    </w:rPr>
                    <m:t>1,2,3,4</m:t>
                  </m:r>
                </m:e>
              </m:d>
            </m:oMath>
            <w:r>
              <w:rPr>
                <w:rFonts w:ascii="Calibri" w:hAnsi="Calibri" w:cs="Calibri" w:hint="eastAsia"/>
                <w:strike/>
                <w:color w:val="FF0000"/>
                <w:sz w:val="22"/>
              </w:rPr>
              <w:t xml:space="preserve"> to the next higher allowed value.</w:t>
            </w:r>
            <w:r>
              <w:rPr>
                <w:rFonts w:ascii="Calibri" w:hAnsi="Calibri" w:cs="Calibri"/>
                <w:strike/>
                <w:color w:val="FF0000"/>
                <w:sz w:val="22"/>
              </w:rPr>
              <w:t xml:space="preserve"> When no ‘NACK’ is received, </w:t>
            </w:r>
            <m:oMath>
              <m:r>
                <w:rPr>
                  <w:rFonts w:ascii="Cambria Math" w:hAnsi="Cambria Math" w:cs="Calibri"/>
                  <w:sz w:val="22"/>
                </w:rPr>
                <m:t>C</m:t>
              </m:r>
              <m:sSub>
                <m:sSubPr>
                  <m:ctrlPr>
                    <w:rPr>
                      <w:rFonts w:ascii="Cambria Math" w:hAnsi="Cambria Math" w:cs="Calibri"/>
                      <w:i/>
                      <w:iCs/>
                      <w:sz w:val="22"/>
                    </w:rPr>
                  </m:ctrlPr>
                </m:sSubPr>
                <m:e>
                  <m:r>
                    <w:rPr>
                      <w:rFonts w:ascii="Cambria Math" w:hAnsi="Cambria Math" w:cs="Calibri"/>
                      <w:sz w:val="22"/>
                    </w:rPr>
                    <m:t>W</m:t>
                  </m:r>
                </m:e>
                <m:sub>
                  <m:r>
                    <w:rPr>
                      <w:rFonts w:ascii="Cambria Math" w:hAnsi="Cambria Math" w:cs="Calibri"/>
                      <w:sz w:val="22"/>
                    </w:rPr>
                    <m:t>p</m:t>
                  </m:r>
                </m:sub>
              </m:sSub>
            </m:oMath>
            <w:r>
              <w:rPr>
                <w:rFonts w:asciiTheme="minorHAnsi" w:hAnsiTheme="minorHAnsi" w:cstheme="minorHAnsi"/>
                <w:sz w:val="22"/>
                <w:szCs w:val="28"/>
              </w:rPr>
              <w:t xml:space="preserve"> is reset to </w:t>
            </w:r>
            <m:oMath>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min</m:t>
                      </m:r>
                      <m:r>
                        <w:rPr>
                          <w:rFonts w:ascii="Cambria Math" w:hAnsi="Cambria Math"/>
                          <w:lang w:val="en-US"/>
                        </w:rPr>
                        <m:t>,</m:t>
                      </m:r>
                    </m:fName>
                    <m:e>
                      <m:r>
                        <w:rPr>
                          <w:rFonts w:ascii="Cambria Math" w:hAnsi="Cambria Math"/>
                        </w:rPr>
                        <m:t>p</m:t>
                      </m:r>
                    </m:e>
                  </m:func>
                </m:sub>
              </m:sSub>
            </m:oMath>
            <w:r>
              <w:rPr>
                <w:rFonts w:asciiTheme="minorHAnsi" w:hAnsiTheme="minorHAnsi" w:cstheme="minorHAnsi"/>
              </w:rPr>
              <w:t xml:space="preserve"> </w:t>
            </w:r>
            <w:r>
              <w:rPr>
                <w:rFonts w:asciiTheme="minorHAnsi" w:hAnsiTheme="minorHAnsi" w:cstheme="minorHAnsi"/>
                <w:sz w:val="22"/>
                <w:szCs w:val="22"/>
                <w:lang w:val="en-US"/>
              </w:rPr>
              <w:t xml:space="preserve">for every priority class </w:t>
            </w:r>
            <m:oMath>
              <m:r>
                <w:rPr>
                  <w:rFonts w:ascii="Cambria Math" w:hAnsi="Cambria Math" w:cstheme="minorHAnsi"/>
                  <w:sz w:val="22"/>
                  <w:szCs w:val="22"/>
                </w:rPr>
                <m:t>p∈</m:t>
              </m:r>
              <m:d>
                <m:dPr>
                  <m:begChr m:val="{"/>
                  <m:endChr m:val="}"/>
                  <m:ctrlPr>
                    <w:rPr>
                      <w:rFonts w:ascii="Cambria Math" w:hAnsi="Cambria Math" w:cstheme="minorHAnsi"/>
                      <w:i/>
                      <w:sz w:val="22"/>
                      <w:szCs w:val="22"/>
                    </w:rPr>
                  </m:ctrlPr>
                </m:dPr>
                <m:e>
                  <m:r>
                    <w:rPr>
                      <w:rFonts w:ascii="Cambria Math" w:hAnsi="Cambria Math" w:cstheme="minorHAnsi"/>
                      <w:sz w:val="22"/>
                      <w:szCs w:val="22"/>
                    </w:rPr>
                    <m:t>1,2,3,4</m:t>
                  </m:r>
                </m:e>
              </m:d>
            </m:oMath>
            <w:r>
              <w:rPr>
                <w:rFonts w:ascii="Calibri" w:hAnsi="Calibri" w:cs="Calibri"/>
                <w:sz w:val="22"/>
              </w:rPr>
              <w:t xml:space="preserve"> </w:t>
            </w:r>
          </w:p>
          <w:p w14:paraId="182F100B" w14:textId="77777777" w:rsidR="00EE4559" w:rsidRDefault="00EE4559" w:rsidP="006B2419">
            <w:pPr>
              <w:autoSpaceDE w:val="0"/>
              <w:autoSpaceDN w:val="0"/>
              <w:jc w:val="both"/>
              <w:rPr>
                <w:lang w:eastAsia="ko-KR"/>
              </w:rPr>
            </w:pPr>
            <w:r>
              <w:rPr>
                <w:rFonts w:eastAsiaTheme="minorEastAsia" w:hint="eastAsia"/>
                <w:lang w:eastAsia="zh-CN"/>
              </w:rPr>
              <w:t>F</w:t>
            </w:r>
            <w:r>
              <w:rPr>
                <w:rFonts w:eastAsiaTheme="minorEastAsia"/>
                <w:lang w:eastAsia="zh-CN"/>
              </w:rPr>
              <w:t>or last FFS sub-bullet, our understanding is UE determines CW adjustment for each transmission separately. But fine to keep the sub-bullet for progress.</w:t>
            </w:r>
          </w:p>
        </w:tc>
      </w:tr>
      <w:tr w:rsidR="00EE4559" w14:paraId="2CBBF2BA" w14:textId="77777777" w:rsidTr="006B2419">
        <w:tc>
          <w:tcPr>
            <w:tcW w:w="1555" w:type="dxa"/>
          </w:tcPr>
          <w:p w14:paraId="3F5135F8" w14:textId="77777777" w:rsidR="00EE4559" w:rsidRDefault="00EE4559" w:rsidP="006B2419">
            <w:pPr>
              <w:pStyle w:val="0Maintext"/>
              <w:spacing w:after="0" w:afterAutospacing="0"/>
              <w:ind w:firstLine="0"/>
              <w:rPr>
                <w:rFonts w:eastAsiaTheme="minorEastAsia"/>
                <w:lang w:eastAsia="zh-CN"/>
              </w:rPr>
            </w:pPr>
            <w:r>
              <w:rPr>
                <w:rFonts w:eastAsiaTheme="minorEastAsia"/>
                <w:lang w:eastAsia="zh-CN"/>
              </w:rPr>
              <w:lastRenderedPageBreak/>
              <w:t>NEC</w:t>
            </w:r>
          </w:p>
        </w:tc>
        <w:tc>
          <w:tcPr>
            <w:tcW w:w="8076" w:type="dxa"/>
          </w:tcPr>
          <w:p w14:paraId="29904C94" w14:textId="77777777" w:rsidR="00EE4559" w:rsidRDefault="00EE4559" w:rsidP="006B2419">
            <w:pPr>
              <w:pStyle w:val="0Maintext"/>
              <w:spacing w:after="0" w:afterAutospacing="0"/>
              <w:ind w:firstLine="0"/>
              <w:rPr>
                <w:rFonts w:eastAsiaTheme="minorEastAsia"/>
                <w:lang w:eastAsia="zh-CN"/>
              </w:rPr>
            </w:pPr>
            <w:r>
              <w:rPr>
                <w:rFonts w:eastAsiaTheme="minorEastAsia"/>
                <w:lang w:eastAsia="zh-CN"/>
              </w:rPr>
              <w:t>Agree with the 2</w:t>
            </w:r>
            <w:r>
              <w:rPr>
                <w:rFonts w:eastAsiaTheme="minorEastAsia"/>
                <w:vertAlign w:val="superscript"/>
                <w:lang w:eastAsia="zh-CN"/>
              </w:rPr>
              <w:t>nd</w:t>
            </w:r>
            <w:r>
              <w:rPr>
                <w:rFonts w:eastAsiaTheme="minorEastAsia"/>
                <w:lang w:eastAsia="zh-CN"/>
              </w:rPr>
              <w:t xml:space="preserve"> sub-bullet for “</w:t>
            </w:r>
            <w:r>
              <w:rPr>
                <w:rFonts w:ascii="Calibri" w:hAnsi="Calibri" w:cs="Calibri"/>
                <w:sz w:val="22"/>
              </w:rPr>
              <w:t>CW adjustment for groupcast option 2</w:t>
            </w:r>
            <w:r>
              <w:rPr>
                <w:rFonts w:eastAsiaTheme="minorEastAsia"/>
                <w:lang w:eastAsia="zh-CN"/>
              </w:rPr>
              <w:t>”.</w:t>
            </w:r>
          </w:p>
          <w:p w14:paraId="1FD6894F" w14:textId="77777777" w:rsidR="00EE4559" w:rsidRDefault="00EE4559" w:rsidP="006B2419">
            <w:pPr>
              <w:pStyle w:val="0Maintext"/>
              <w:spacing w:after="0" w:afterAutospacing="0"/>
              <w:ind w:firstLine="0"/>
              <w:rPr>
                <w:rFonts w:eastAsiaTheme="minorEastAsia"/>
                <w:lang w:eastAsia="zh-CN"/>
              </w:rPr>
            </w:pPr>
          </w:p>
          <w:p w14:paraId="045E5061" w14:textId="77777777" w:rsidR="00EE4559" w:rsidRDefault="00EE4559" w:rsidP="006B2419">
            <w:pPr>
              <w:pStyle w:val="0Maintext"/>
              <w:spacing w:after="0" w:afterAutospacing="0"/>
              <w:ind w:firstLine="0"/>
              <w:rPr>
                <w:rFonts w:eastAsiaTheme="minorEastAsia"/>
                <w:lang w:eastAsia="zh-CN"/>
              </w:rPr>
            </w:pPr>
            <w:r>
              <w:rPr>
                <w:rFonts w:eastAsiaTheme="minorEastAsia"/>
                <w:lang w:eastAsia="zh-CN"/>
              </w:rPr>
              <w:t>For SL A/N unavailable cases, including no PSFCH in resource pool, A/N disabled in SCI and broadcast communication,</w:t>
            </w:r>
            <w:r>
              <w:rPr>
                <w:rFonts w:eastAsiaTheme="minorEastAsia"/>
                <w:b/>
                <w:lang w:eastAsia="zh-CN"/>
              </w:rPr>
              <w:t xml:space="preserve"> SL CBR</w:t>
            </w:r>
            <w:r>
              <w:rPr>
                <w:rFonts w:eastAsiaTheme="minorEastAsia"/>
                <w:lang w:eastAsia="zh-CN"/>
              </w:rPr>
              <w:t xml:space="preserve"> should be considered for CW adjustment as it represents the channel status. </w:t>
            </w:r>
          </w:p>
          <w:p w14:paraId="313E40F4" w14:textId="77777777" w:rsidR="00EE4559" w:rsidRDefault="00EE4559" w:rsidP="006B2419">
            <w:pPr>
              <w:pStyle w:val="0Maintext"/>
              <w:spacing w:after="0" w:afterAutospacing="0"/>
              <w:ind w:firstLine="0"/>
              <w:rPr>
                <w:rFonts w:eastAsiaTheme="minorEastAsia"/>
                <w:lang w:eastAsia="zh-CN"/>
              </w:rPr>
            </w:pPr>
          </w:p>
          <w:p w14:paraId="3C4E8E75" w14:textId="77777777" w:rsidR="00EE4559" w:rsidRDefault="00EE4559" w:rsidP="006B2419">
            <w:pPr>
              <w:pStyle w:val="0Maintext"/>
              <w:spacing w:after="0" w:afterAutospacing="0"/>
              <w:ind w:firstLine="0"/>
              <w:rPr>
                <w:rFonts w:eastAsiaTheme="minorEastAsia"/>
                <w:lang w:eastAsia="zh-CN"/>
              </w:rPr>
            </w:pPr>
            <w:r>
              <w:rPr>
                <w:rFonts w:eastAsiaTheme="minorEastAsia"/>
                <w:lang w:eastAsia="zh-CN"/>
              </w:rPr>
              <w:t>For groupcast option 1, option 2 seems to be a strict rule as CW should be increased even when only one NACK is received. For the case that NACK-only is indicated, Rx UEs may send NACK on a common PSFCH resource, and the power on the PSFCH resource represents a ratio of NACK to some extent. By comparing the receiving power on the PSFCH and a relevant power threshold, CW adjustment could be determined accordingly.</w:t>
            </w:r>
          </w:p>
        </w:tc>
      </w:tr>
      <w:tr w:rsidR="00EE4559" w14:paraId="690A561C" w14:textId="77777777" w:rsidTr="006B2419">
        <w:tc>
          <w:tcPr>
            <w:tcW w:w="1555" w:type="dxa"/>
          </w:tcPr>
          <w:p w14:paraId="415B8357" w14:textId="77777777" w:rsidR="00EE4559" w:rsidRDefault="00EE4559" w:rsidP="006B2419">
            <w:pPr>
              <w:pStyle w:val="0Maintext"/>
              <w:spacing w:after="0" w:afterAutospacing="0"/>
              <w:ind w:firstLine="0"/>
              <w:rPr>
                <w:rFonts w:eastAsiaTheme="minorEastAsia"/>
                <w:lang w:eastAsia="zh-CN"/>
              </w:rPr>
            </w:pPr>
            <w:r>
              <w:rPr>
                <w:rFonts w:eastAsiaTheme="minorEastAsia"/>
                <w:lang w:eastAsia="zh-CN"/>
              </w:rPr>
              <w:t>xiaomi</w:t>
            </w:r>
          </w:p>
        </w:tc>
        <w:tc>
          <w:tcPr>
            <w:tcW w:w="8076" w:type="dxa"/>
          </w:tcPr>
          <w:p w14:paraId="6ECA7C2A" w14:textId="77777777" w:rsidR="00EE4559" w:rsidRDefault="00EE4559" w:rsidP="006B2419">
            <w:pPr>
              <w:pStyle w:val="0Maintext"/>
              <w:spacing w:after="0" w:afterAutospacing="0"/>
              <w:ind w:firstLine="0"/>
              <w:rPr>
                <w:rFonts w:eastAsiaTheme="minorEastAsia"/>
                <w:lang w:eastAsia="zh-CN"/>
              </w:rPr>
            </w:pPr>
            <w:r>
              <w:rPr>
                <w:rFonts w:eastAsiaTheme="minorEastAsia"/>
                <w:lang w:eastAsia="zh-CN"/>
              </w:rPr>
              <w:t>We are generally fine with the proposal.</w:t>
            </w:r>
          </w:p>
        </w:tc>
      </w:tr>
      <w:tr w:rsidR="00EE4559" w14:paraId="50B35B98" w14:textId="77777777" w:rsidTr="006B2419">
        <w:tc>
          <w:tcPr>
            <w:tcW w:w="1555" w:type="dxa"/>
          </w:tcPr>
          <w:p w14:paraId="4C965DF1" w14:textId="77777777" w:rsidR="00EE4559" w:rsidRDefault="00EE4559" w:rsidP="006B2419">
            <w:pPr>
              <w:pStyle w:val="0Maintext"/>
              <w:spacing w:after="0" w:afterAutospacing="0"/>
              <w:ind w:firstLine="0"/>
              <w:rPr>
                <w:rFonts w:eastAsiaTheme="minorEastAsia"/>
                <w:lang w:eastAsia="zh-CN"/>
              </w:rPr>
            </w:pPr>
            <w:r>
              <w:rPr>
                <w:rFonts w:eastAsiaTheme="minorEastAsia" w:hint="eastAsia"/>
                <w:lang w:eastAsia="zh-CN"/>
              </w:rPr>
              <w:t>C</w:t>
            </w:r>
            <w:r>
              <w:rPr>
                <w:rFonts w:eastAsiaTheme="minorEastAsia"/>
                <w:lang w:eastAsia="zh-CN"/>
              </w:rPr>
              <w:t>ATT/GH</w:t>
            </w:r>
          </w:p>
        </w:tc>
        <w:tc>
          <w:tcPr>
            <w:tcW w:w="8076" w:type="dxa"/>
          </w:tcPr>
          <w:p w14:paraId="3F9EC45D" w14:textId="77777777" w:rsidR="00EE4559" w:rsidRDefault="00EE4559" w:rsidP="006B2419">
            <w:pPr>
              <w:pStyle w:val="0Maintext"/>
              <w:spacing w:after="0" w:afterAutospacing="0"/>
              <w:ind w:firstLine="0"/>
              <w:rPr>
                <w:rFonts w:eastAsiaTheme="minorEastAsia"/>
                <w:lang w:eastAsia="zh-CN"/>
              </w:rPr>
            </w:pPr>
            <w:r>
              <w:rPr>
                <w:rFonts w:eastAsiaTheme="minorEastAsia" w:hint="eastAsia"/>
                <w:lang w:eastAsia="zh-CN"/>
              </w:rPr>
              <w:t>W</w:t>
            </w:r>
            <w:r>
              <w:rPr>
                <w:rFonts w:eastAsiaTheme="minorEastAsia"/>
                <w:lang w:eastAsia="zh-CN"/>
              </w:rPr>
              <w:t xml:space="preserve">e have concern about the third bullet. </w:t>
            </w:r>
          </w:p>
          <w:p w14:paraId="48DFE725" w14:textId="77777777" w:rsidR="00EE4559" w:rsidRDefault="00EE4559" w:rsidP="006B2419">
            <w:pPr>
              <w:pStyle w:val="0Maintext"/>
              <w:spacing w:after="0" w:afterAutospacing="0"/>
              <w:ind w:firstLine="0"/>
              <w:rPr>
                <w:rFonts w:eastAsiaTheme="minorEastAsia"/>
                <w:lang w:eastAsia="zh-CN"/>
              </w:rPr>
            </w:pPr>
            <w:r>
              <w:rPr>
                <w:rFonts w:eastAsiaTheme="minorEastAsia"/>
                <w:lang w:eastAsia="zh-CN"/>
              </w:rPr>
              <w:t>It is still unclear how groupcast option 1 (NACK-only) can be supported in SL-U, at least in Type 1. In this option, the Tx UE cannot distinguish whether the Rx UE successfully receives the data or fails to send NACK. In case that the NACK was lost or delayed due to channel access failure, the Tx UE may assume that the data was successfully received and will no longer send retransmission(s), which will lead to reliability decrease. Therefore, we suggest to postpone the discussion until it is proved that NACK-only groupcast option 1 (NACK-only) can be supported in Type 1 channel access.</w:t>
            </w:r>
          </w:p>
        </w:tc>
      </w:tr>
      <w:tr w:rsidR="00EE4559" w14:paraId="7DC15B9F" w14:textId="77777777" w:rsidTr="006B2419">
        <w:tc>
          <w:tcPr>
            <w:tcW w:w="1555" w:type="dxa"/>
          </w:tcPr>
          <w:p w14:paraId="0BCDB84E" w14:textId="77777777" w:rsidR="00EE4559" w:rsidRDefault="00EE4559" w:rsidP="006B2419">
            <w:r>
              <w:t>ZTE,Sanechips</w:t>
            </w:r>
          </w:p>
        </w:tc>
        <w:tc>
          <w:tcPr>
            <w:tcW w:w="8076" w:type="dxa"/>
          </w:tcPr>
          <w:p w14:paraId="6E2432E5" w14:textId="77777777" w:rsidR="00EE4559" w:rsidRDefault="00EE4559" w:rsidP="006B2419">
            <w:r>
              <w:t xml:space="preserve">OK, for better progress, we can try to first agree on option 2 and FFS whether to have option 1 on top. </w:t>
            </w:r>
          </w:p>
        </w:tc>
      </w:tr>
      <w:tr w:rsidR="00EE4559" w14:paraId="3479E22B" w14:textId="77777777" w:rsidTr="006B2419">
        <w:tc>
          <w:tcPr>
            <w:tcW w:w="1555" w:type="dxa"/>
          </w:tcPr>
          <w:p w14:paraId="7DE4DA45" w14:textId="77777777" w:rsidR="00EE4559" w:rsidRDefault="00EE4559" w:rsidP="006B2419">
            <w:pPr>
              <w:pStyle w:val="0Maintext"/>
              <w:spacing w:after="0" w:afterAutospacing="0"/>
              <w:ind w:firstLine="0"/>
              <w:rPr>
                <w:rFonts w:eastAsia="MS Mincho"/>
                <w:lang w:eastAsia="ja-JP"/>
              </w:rPr>
            </w:pPr>
            <w:r>
              <w:rPr>
                <w:rFonts w:eastAsiaTheme="minorEastAsia" w:hint="eastAsia"/>
                <w:lang w:eastAsia="zh-CN"/>
              </w:rPr>
              <w:t>S</w:t>
            </w:r>
            <w:r>
              <w:rPr>
                <w:rFonts w:eastAsia="MS Mincho"/>
                <w:lang w:eastAsia="ja-JP"/>
              </w:rPr>
              <w:t>harp</w:t>
            </w:r>
          </w:p>
        </w:tc>
        <w:tc>
          <w:tcPr>
            <w:tcW w:w="8076" w:type="dxa"/>
          </w:tcPr>
          <w:p w14:paraId="4F967E7A" w14:textId="77777777" w:rsidR="00EE4559" w:rsidRDefault="00EE4559" w:rsidP="006B2419">
            <w:pPr>
              <w:pStyle w:val="0Maintext"/>
              <w:spacing w:after="0" w:afterAutospacing="0"/>
              <w:ind w:firstLine="0"/>
              <w:rPr>
                <w:bCs/>
                <w:color w:val="000000" w:themeColor="text1"/>
                <w:lang w:val="en-US"/>
              </w:rPr>
            </w:pPr>
            <w:r>
              <w:rPr>
                <w:rFonts w:eastAsia="MS Mincho"/>
                <w:lang w:eastAsia="ja-JP"/>
              </w:rPr>
              <w:t>For first bullet, we would like to clarify whether the case where SL-HARQ feedback is disabled in SCI is for unicast only or can be for broadcast as well. If the case in the first bullet is only for unicast, we think the unicast with disabled HARQ-ACK feedback is a short-term transmission. Using latest CWp should be fine. However, if the case is for broadcast as well, we have some concerns on using the latest CWp. That is because the broadcast transmission would be for periodical long-term V2X application, which means a UE with broadcast transmission would always use the minimum CW size for a long time. Considering other UEs with unicast transmission use ACK feedback to adjust CW size, the UE with broadcast transmission always perform the shortest LBT to access channel, which cause the unfair channel access. To keep the fairness, a limitation can be introduced to avoid</w:t>
            </w:r>
            <w:r>
              <w:rPr>
                <w:bCs/>
                <w:color w:val="000000" w:themeColor="text1"/>
                <w:lang w:val="en-US"/>
              </w:rPr>
              <w:t xml:space="preserve"> a UE use a minimum CW size for a long time. Similar principle is specified in NR-U as below to avoid a UE uses the maximum CW size for a long time. Therefore, we propose to update first bullest as below.</w:t>
            </w:r>
          </w:p>
          <w:p w14:paraId="5B7F006F" w14:textId="77777777" w:rsidR="00EE4559" w:rsidRDefault="00EE4559" w:rsidP="006B2419">
            <w:pPr>
              <w:pStyle w:val="0Maintext"/>
              <w:spacing w:after="0" w:afterAutospacing="0"/>
              <w:ind w:firstLine="0"/>
              <w:rPr>
                <w:bCs/>
                <w:color w:val="000000" w:themeColor="text1"/>
                <w:lang w:val="en-US"/>
              </w:rPr>
            </w:pPr>
          </w:p>
          <w:tbl>
            <w:tblPr>
              <w:tblStyle w:val="TableGrid"/>
              <w:tblW w:w="7850" w:type="dxa"/>
              <w:tblLayout w:type="fixed"/>
              <w:tblLook w:val="04A0" w:firstRow="1" w:lastRow="0" w:firstColumn="1" w:lastColumn="0" w:noHBand="0" w:noVBand="1"/>
            </w:tblPr>
            <w:tblGrid>
              <w:gridCol w:w="7850"/>
            </w:tblGrid>
            <w:tr w:rsidR="00EE4559" w14:paraId="1AA1ACA7" w14:textId="77777777" w:rsidTr="006B2419">
              <w:tc>
                <w:tcPr>
                  <w:tcW w:w="7850" w:type="dxa"/>
                </w:tcPr>
                <w:p w14:paraId="324094AA" w14:textId="77777777" w:rsidR="00EE4559" w:rsidRDefault="00EE4559" w:rsidP="006B2419">
                  <w:pPr>
                    <w:keepNext/>
                    <w:keepLines/>
                    <w:spacing w:before="120" w:after="180"/>
                    <w:outlineLvl w:val="3"/>
                    <w:rPr>
                      <w:rFonts w:ascii="Arial" w:eastAsia="MS PGothic" w:hAnsi="Arial"/>
                      <w:sz w:val="21"/>
                      <w:szCs w:val="16"/>
                    </w:rPr>
                  </w:pPr>
                  <w:bookmarkStart w:id="98" w:name="_Toc114067696"/>
                  <w:bookmarkStart w:id="99" w:name="_Toc51607180"/>
                  <w:bookmarkStart w:id="100" w:name="_Toc44669031"/>
                  <w:bookmarkStart w:id="101" w:name="_Toc35593623"/>
                  <w:bookmarkStart w:id="102" w:name="_Toc28873165"/>
                  <w:r>
                    <w:rPr>
                      <w:rFonts w:ascii="Arial" w:eastAsia="MS PGothic" w:hAnsi="Arial"/>
                      <w:sz w:val="21"/>
                      <w:szCs w:val="16"/>
                    </w:rPr>
                    <w:t>4.2.2.3 Common procedures for CWS adjustments for UL transmissions</w:t>
                  </w:r>
                  <w:bookmarkEnd w:id="98"/>
                  <w:bookmarkEnd w:id="99"/>
                  <w:bookmarkEnd w:id="100"/>
                  <w:bookmarkEnd w:id="101"/>
                  <w:bookmarkEnd w:id="102"/>
                  <w:r>
                    <w:rPr>
                      <w:rFonts w:ascii="Arial" w:eastAsia="MS PGothic" w:hAnsi="Arial"/>
                      <w:sz w:val="21"/>
                      <w:szCs w:val="16"/>
                    </w:rPr>
                    <w:t xml:space="preserve"> (TS37.213)</w:t>
                  </w:r>
                </w:p>
                <w:p w14:paraId="72941EA3" w14:textId="77777777" w:rsidR="00EE4559" w:rsidRDefault="00EE4559" w:rsidP="006B2419">
                  <w:pPr>
                    <w:spacing w:after="180"/>
                    <w:rPr>
                      <w:rFonts w:ascii="Times New Roman" w:eastAsia="Yu Mincho" w:hAnsi="Times New Roman"/>
                      <w:szCs w:val="20"/>
                      <w:lang w:val="en-US"/>
                    </w:rPr>
                  </w:pPr>
                  <w:r>
                    <w:rPr>
                      <w:rFonts w:ascii="Times New Roman" w:eastAsia="Yu Mincho" w:hAnsi="Times New Roman"/>
                      <w:szCs w:val="20"/>
                      <w:lang w:val="en-US"/>
                    </w:rPr>
                    <w:t>The following applies to the procedures described in clauses 4.2.2.1 and 4.2.2.2:</w:t>
                  </w:r>
                </w:p>
                <w:p w14:paraId="37684E19" w14:textId="77777777" w:rsidR="00EE4559" w:rsidRDefault="00EE4559" w:rsidP="006B2419">
                  <w:pPr>
                    <w:spacing w:after="180"/>
                    <w:ind w:left="568" w:hanging="284"/>
                    <w:rPr>
                      <w:rFonts w:ascii="Times New Roman" w:hAnsi="Times New Roman"/>
                      <w:szCs w:val="20"/>
                    </w:rPr>
                  </w:pPr>
                  <w:r>
                    <w:rPr>
                      <w:rFonts w:ascii="Times New Roman" w:hAnsi="Times New Roman"/>
                      <w:szCs w:val="20"/>
                      <w:lang w:val="en-US"/>
                    </w:rPr>
                    <w:t>-</w:t>
                  </w:r>
                  <w:r>
                    <w:rPr>
                      <w:rFonts w:ascii="Times New Roman" w:hAnsi="Times New Roman"/>
                      <w:szCs w:val="20"/>
                      <w:lang w:val="en-US"/>
                    </w:rPr>
                    <w:tab/>
                    <w:t xml:space="preserve">If </w:t>
                  </w:r>
                  <m:oMath>
                    <m:r>
                      <w:rPr>
                        <w:rFonts w:ascii="Cambria Math" w:hAnsi="Cambria Math"/>
                        <w:szCs w:val="20"/>
                        <w:lang w:val="en-US"/>
                      </w:rPr>
                      <m:t>C</m:t>
                    </m:r>
                    <m:sSub>
                      <m:sSubPr>
                        <m:ctrlPr>
                          <w:rPr>
                            <w:rFonts w:ascii="Cambria Math" w:eastAsia="Yu Mincho" w:hAnsi="Cambria Math"/>
                            <w:i/>
                            <w:szCs w:val="20"/>
                          </w:rPr>
                        </m:ctrlPr>
                      </m:sSubPr>
                      <m:e>
                        <m:r>
                          <w:rPr>
                            <w:rFonts w:ascii="Cambria Math" w:hAnsi="Cambria Math"/>
                            <w:szCs w:val="20"/>
                            <w:lang w:val="en-US"/>
                          </w:rPr>
                          <m:t>W</m:t>
                        </m:r>
                      </m:e>
                      <m:sub>
                        <m:r>
                          <w:rPr>
                            <w:rFonts w:ascii="Cambria Math" w:hAnsi="Cambria Math"/>
                            <w:szCs w:val="20"/>
                            <w:lang w:val="en-US"/>
                          </w:rPr>
                          <m:t>p</m:t>
                        </m:r>
                      </m:sub>
                    </m:sSub>
                    <m:r>
                      <w:rPr>
                        <w:rFonts w:ascii="Cambria Math" w:hAnsi="Cambria Math"/>
                        <w:szCs w:val="20"/>
                        <w:lang w:val="en-US"/>
                      </w:rPr>
                      <m:t>=C</m:t>
                    </m:r>
                    <m:sSub>
                      <m:sSubPr>
                        <m:ctrlPr>
                          <w:rPr>
                            <w:rFonts w:ascii="Cambria Math" w:eastAsia="Yu Mincho" w:hAnsi="Cambria Math"/>
                            <w:i/>
                            <w:szCs w:val="20"/>
                          </w:rPr>
                        </m:ctrlPr>
                      </m:sSubPr>
                      <m:e>
                        <m:r>
                          <w:rPr>
                            <w:rFonts w:ascii="Cambria Math" w:hAnsi="Cambria Math"/>
                            <w:szCs w:val="20"/>
                            <w:lang w:val="en-US"/>
                          </w:rPr>
                          <m:t>W</m:t>
                        </m:r>
                      </m:e>
                      <m:sub>
                        <m:func>
                          <m:funcPr>
                            <m:ctrlPr>
                              <w:rPr>
                                <w:rFonts w:ascii="Cambria Math" w:eastAsia="Yu Mincho" w:hAnsi="Cambria Math"/>
                                <w:i/>
                                <w:szCs w:val="20"/>
                              </w:rPr>
                            </m:ctrlPr>
                          </m:funcPr>
                          <m:fName>
                            <m:r>
                              <w:rPr>
                                <w:rFonts w:ascii="Cambria Math" w:hAnsi="Cambria Math"/>
                                <w:szCs w:val="20"/>
                                <w:lang w:val="en-US"/>
                              </w:rPr>
                              <m:t>max,</m:t>
                            </m:r>
                          </m:fName>
                          <m:e>
                            <m:r>
                              <w:rPr>
                                <w:rFonts w:ascii="Cambria Math" w:hAnsi="Cambria Math"/>
                                <w:szCs w:val="20"/>
                                <w:lang w:val="en-US"/>
                              </w:rPr>
                              <m:t>p</m:t>
                            </m:r>
                          </m:e>
                        </m:func>
                      </m:sub>
                    </m:sSub>
                  </m:oMath>
                  <w:r>
                    <w:rPr>
                      <w:rFonts w:ascii="Times New Roman" w:hAnsi="Times New Roman"/>
                      <w:szCs w:val="20"/>
                      <w:lang w:val="en-US"/>
                    </w:rPr>
                    <w:t xml:space="preserve">, the next higher allowed value for adjusting </w:t>
                  </w:r>
                  <m:oMath>
                    <m:r>
                      <w:rPr>
                        <w:rFonts w:ascii="Cambria Math" w:hAnsi="Cambria Math"/>
                        <w:szCs w:val="20"/>
                        <w:lang w:val="en-US"/>
                      </w:rPr>
                      <m:t>C</m:t>
                    </m:r>
                    <m:sSub>
                      <m:sSubPr>
                        <m:ctrlPr>
                          <w:rPr>
                            <w:rFonts w:ascii="Cambria Math" w:eastAsia="Yu Mincho" w:hAnsi="Cambria Math"/>
                            <w:i/>
                            <w:szCs w:val="20"/>
                          </w:rPr>
                        </m:ctrlPr>
                      </m:sSubPr>
                      <m:e>
                        <m:r>
                          <w:rPr>
                            <w:rFonts w:ascii="Cambria Math" w:hAnsi="Cambria Math"/>
                            <w:szCs w:val="20"/>
                            <w:lang w:val="en-US"/>
                          </w:rPr>
                          <m:t>W</m:t>
                        </m:r>
                      </m:e>
                      <m:sub>
                        <m:r>
                          <w:rPr>
                            <w:rFonts w:ascii="Cambria Math" w:hAnsi="Cambria Math"/>
                            <w:szCs w:val="20"/>
                            <w:lang w:val="en-US"/>
                          </w:rPr>
                          <m:t>p</m:t>
                        </m:r>
                      </m:sub>
                    </m:sSub>
                  </m:oMath>
                  <w:r>
                    <w:rPr>
                      <w:rFonts w:ascii="Times New Roman" w:hAnsi="Times New Roman"/>
                      <w:szCs w:val="20"/>
                      <w:lang w:val="en-US"/>
                    </w:rPr>
                    <w:t xml:space="preserve"> is </w:t>
                  </w:r>
                  <m:oMath>
                    <m:r>
                      <w:rPr>
                        <w:rFonts w:ascii="Cambria Math" w:hAnsi="Cambria Math"/>
                        <w:szCs w:val="20"/>
                        <w:lang w:val="en-US"/>
                      </w:rPr>
                      <m:t>C</m:t>
                    </m:r>
                    <m:sSub>
                      <m:sSubPr>
                        <m:ctrlPr>
                          <w:rPr>
                            <w:rFonts w:ascii="Cambria Math" w:eastAsia="Yu Mincho" w:hAnsi="Cambria Math"/>
                            <w:i/>
                            <w:szCs w:val="20"/>
                          </w:rPr>
                        </m:ctrlPr>
                      </m:sSubPr>
                      <m:e>
                        <m:r>
                          <w:rPr>
                            <w:rFonts w:ascii="Cambria Math" w:hAnsi="Cambria Math"/>
                            <w:szCs w:val="20"/>
                            <w:lang w:val="en-US"/>
                          </w:rPr>
                          <m:t>W</m:t>
                        </m:r>
                      </m:e>
                      <m:sub>
                        <m:func>
                          <m:funcPr>
                            <m:ctrlPr>
                              <w:rPr>
                                <w:rFonts w:ascii="Cambria Math" w:eastAsia="Yu Mincho" w:hAnsi="Cambria Math"/>
                                <w:i/>
                                <w:szCs w:val="20"/>
                              </w:rPr>
                            </m:ctrlPr>
                          </m:funcPr>
                          <m:fName>
                            <m:r>
                              <w:rPr>
                                <w:rFonts w:ascii="Cambria Math" w:hAnsi="Cambria Math"/>
                                <w:szCs w:val="20"/>
                                <w:lang w:val="en-US"/>
                              </w:rPr>
                              <m:t>max,</m:t>
                            </m:r>
                          </m:fName>
                          <m:e>
                            <m:r>
                              <w:rPr>
                                <w:rFonts w:ascii="Cambria Math" w:hAnsi="Cambria Math"/>
                                <w:szCs w:val="20"/>
                                <w:lang w:val="en-US"/>
                              </w:rPr>
                              <m:t>p</m:t>
                            </m:r>
                          </m:e>
                        </m:func>
                      </m:sub>
                    </m:sSub>
                  </m:oMath>
                  <w:r>
                    <w:rPr>
                      <w:rFonts w:ascii="Times New Roman" w:hAnsi="Times New Roman"/>
                      <w:szCs w:val="20"/>
                      <w:lang w:val="en-US"/>
                    </w:rPr>
                    <w:t>.</w:t>
                  </w:r>
                </w:p>
                <w:p w14:paraId="3788EABA" w14:textId="77777777" w:rsidR="00EE4559" w:rsidRDefault="00EE4559" w:rsidP="006B2419">
                  <w:pPr>
                    <w:spacing w:after="180"/>
                    <w:ind w:left="568" w:hanging="284"/>
                    <w:rPr>
                      <w:rFonts w:ascii="Times New Roman" w:hAnsi="Times New Roman"/>
                      <w:szCs w:val="20"/>
                      <w:lang w:val="en-US"/>
                    </w:rPr>
                  </w:pPr>
                  <w:r>
                    <w:rPr>
                      <w:rFonts w:ascii="Times New Roman" w:hAnsi="Times New Roman"/>
                      <w:szCs w:val="20"/>
                      <w:lang w:val="en-US"/>
                    </w:rPr>
                    <w:lastRenderedPageBreak/>
                    <w:t>-</w:t>
                  </w:r>
                  <w:r>
                    <w:rPr>
                      <w:rFonts w:ascii="Times New Roman" w:hAnsi="Times New Roman"/>
                      <w:szCs w:val="20"/>
                      <w:lang w:val="en-US"/>
                    </w:rPr>
                    <w:tab/>
                    <w:t xml:space="preserve">If the </w:t>
                  </w:r>
                  <m:oMath>
                    <m:r>
                      <w:rPr>
                        <w:rFonts w:ascii="Cambria Math" w:hAnsi="Cambria Math"/>
                        <w:szCs w:val="20"/>
                        <w:lang w:val="en-US"/>
                      </w:rPr>
                      <m:t>C</m:t>
                    </m:r>
                    <m:sSub>
                      <m:sSubPr>
                        <m:ctrlPr>
                          <w:rPr>
                            <w:rFonts w:ascii="Cambria Math" w:eastAsia="Yu Mincho" w:hAnsi="Cambria Math"/>
                            <w:i/>
                            <w:szCs w:val="20"/>
                          </w:rPr>
                        </m:ctrlPr>
                      </m:sSubPr>
                      <m:e>
                        <m:r>
                          <w:rPr>
                            <w:rFonts w:ascii="Cambria Math" w:hAnsi="Cambria Math"/>
                            <w:szCs w:val="20"/>
                            <w:lang w:val="en-US"/>
                          </w:rPr>
                          <m:t>W</m:t>
                        </m:r>
                      </m:e>
                      <m:sub>
                        <m:r>
                          <w:rPr>
                            <w:rFonts w:ascii="Cambria Math" w:hAnsi="Cambria Math"/>
                            <w:szCs w:val="20"/>
                            <w:lang w:val="en-US"/>
                          </w:rPr>
                          <m:t>p</m:t>
                        </m:r>
                      </m:sub>
                    </m:sSub>
                    <m:r>
                      <w:rPr>
                        <w:rFonts w:ascii="Cambria Math" w:hAnsi="Cambria Math"/>
                        <w:szCs w:val="20"/>
                        <w:lang w:val="en-US"/>
                      </w:rPr>
                      <m:t>=C</m:t>
                    </m:r>
                    <m:sSub>
                      <m:sSubPr>
                        <m:ctrlPr>
                          <w:rPr>
                            <w:rFonts w:ascii="Cambria Math" w:eastAsia="Yu Mincho" w:hAnsi="Cambria Math"/>
                            <w:i/>
                            <w:szCs w:val="20"/>
                          </w:rPr>
                        </m:ctrlPr>
                      </m:sSubPr>
                      <m:e>
                        <m:r>
                          <w:rPr>
                            <w:rFonts w:ascii="Cambria Math" w:hAnsi="Cambria Math"/>
                            <w:szCs w:val="20"/>
                            <w:lang w:val="en-US"/>
                          </w:rPr>
                          <m:t>W</m:t>
                        </m:r>
                      </m:e>
                      <m:sub>
                        <m:func>
                          <m:funcPr>
                            <m:ctrlPr>
                              <w:rPr>
                                <w:rFonts w:ascii="Cambria Math" w:eastAsia="Yu Mincho" w:hAnsi="Cambria Math"/>
                                <w:i/>
                                <w:szCs w:val="20"/>
                              </w:rPr>
                            </m:ctrlPr>
                          </m:funcPr>
                          <m:fName>
                            <m:r>
                              <w:rPr>
                                <w:rFonts w:ascii="Cambria Math" w:hAnsi="Cambria Math"/>
                                <w:szCs w:val="20"/>
                                <w:lang w:val="en-US"/>
                              </w:rPr>
                              <m:t>max,</m:t>
                            </m:r>
                          </m:fName>
                          <m:e>
                            <m:r>
                              <w:rPr>
                                <w:rFonts w:ascii="Cambria Math" w:hAnsi="Cambria Math"/>
                                <w:szCs w:val="20"/>
                                <w:lang w:val="en-US"/>
                              </w:rPr>
                              <m:t>p</m:t>
                            </m:r>
                          </m:e>
                        </m:func>
                      </m:sub>
                    </m:sSub>
                  </m:oMath>
                  <w:r>
                    <w:rPr>
                      <w:rFonts w:ascii="Times New Roman" w:hAnsi="Times New Roman"/>
                      <w:szCs w:val="20"/>
                      <w:lang w:val="en-US"/>
                    </w:rPr>
                    <w:t xml:space="preserve"> is consecutively used </w:t>
                  </w:r>
                  <m:oMath>
                    <m:r>
                      <w:rPr>
                        <w:rFonts w:ascii="Cambria Math" w:hAnsi="Cambria Math"/>
                        <w:szCs w:val="20"/>
                        <w:lang w:val="en-US"/>
                      </w:rPr>
                      <m:t>K</m:t>
                    </m:r>
                  </m:oMath>
                  <w:r>
                    <w:rPr>
                      <w:rFonts w:ascii="Times New Roman" w:hAnsi="Times New Roman"/>
                      <w:szCs w:val="20"/>
                      <w:lang w:val="en-US"/>
                    </w:rPr>
                    <w:t xml:space="preserve"> times for generation of </w:t>
                  </w:r>
                  <m:oMath>
                    <m:sSub>
                      <m:sSubPr>
                        <m:ctrlPr>
                          <w:rPr>
                            <w:rFonts w:ascii="Cambria Math" w:eastAsia="Yu Mincho" w:hAnsi="Cambria Math"/>
                            <w:i/>
                            <w:szCs w:val="20"/>
                          </w:rPr>
                        </m:ctrlPr>
                      </m:sSubPr>
                      <m:e>
                        <m:r>
                          <w:rPr>
                            <w:rFonts w:ascii="Cambria Math" w:hAnsi="Cambria Math"/>
                            <w:szCs w:val="20"/>
                            <w:lang w:val="en-US"/>
                          </w:rPr>
                          <m:t>N</m:t>
                        </m:r>
                      </m:e>
                      <m:sub>
                        <m:r>
                          <w:rPr>
                            <w:rFonts w:ascii="Cambria Math" w:hAnsi="Cambria Math"/>
                            <w:szCs w:val="20"/>
                            <w:lang w:val="en-US"/>
                          </w:rPr>
                          <m:t>init</m:t>
                        </m:r>
                      </m:sub>
                    </m:sSub>
                  </m:oMath>
                  <w:r>
                    <w:rPr>
                      <w:rFonts w:ascii="Times New Roman" w:hAnsi="Times New Roman"/>
                      <w:szCs w:val="20"/>
                      <w:lang w:val="en-US"/>
                    </w:rPr>
                    <w:t xml:space="preserve">, </w:t>
                  </w:r>
                  <m:oMath>
                    <m:r>
                      <w:rPr>
                        <w:rFonts w:ascii="Cambria Math" w:hAnsi="Cambria Math"/>
                        <w:szCs w:val="20"/>
                        <w:lang w:val="en-US"/>
                      </w:rPr>
                      <m:t>C</m:t>
                    </m:r>
                    <m:sSub>
                      <m:sSubPr>
                        <m:ctrlPr>
                          <w:rPr>
                            <w:rFonts w:ascii="Cambria Math" w:eastAsia="Yu Mincho" w:hAnsi="Cambria Math"/>
                            <w:i/>
                            <w:szCs w:val="20"/>
                          </w:rPr>
                        </m:ctrlPr>
                      </m:sSubPr>
                      <m:e>
                        <m:r>
                          <w:rPr>
                            <w:rFonts w:ascii="Cambria Math" w:hAnsi="Cambria Math"/>
                            <w:szCs w:val="20"/>
                            <w:lang w:val="en-US"/>
                          </w:rPr>
                          <m:t>W</m:t>
                        </m:r>
                      </m:e>
                      <m:sub>
                        <m:r>
                          <w:rPr>
                            <w:rFonts w:ascii="Cambria Math" w:hAnsi="Cambria Math"/>
                            <w:szCs w:val="20"/>
                            <w:lang w:val="en-US"/>
                          </w:rPr>
                          <m:t>p</m:t>
                        </m:r>
                      </m:sub>
                    </m:sSub>
                  </m:oMath>
                  <w:r>
                    <w:rPr>
                      <w:rFonts w:ascii="Times New Roman" w:hAnsi="Times New Roman"/>
                      <w:szCs w:val="20"/>
                      <w:lang w:val="en-US"/>
                    </w:rPr>
                    <w:t xml:space="preserve"> is reset to </w:t>
                  </w:r>
                  <m:oMath>
                    <m:r>
                      <w:rPr>
                        <w:rFonts w:ascii="Cambria Math" w:hAnsi="Cambria Math"/>
                        <w:szCs w:val="20"/>
                        <w:lang w:val="en-US"/>
                      </w:rPr>
                      <m:t>C</m:t>
                    </m:r>
                    <m:sSub>
                      <m:sSubPr>
                        <m:ctrlPr>
                          <w:rPr>
                            <w:rFonts w:ascii="Cambria Math" w:eastAsia="Yu Mincho" w:hAnsi="Cambria Math"/>
                            <w:i/>
                            <w:szCs w:val="20"/>
                          </w:rPr>
                        </m:ctrlPr>
                      </m:sSubPr>
                      <m:e>
                        <m:r>
                          <w:rPr>
                            <w:rFonts w:ascii="Cambria Math" w:hAnsi="Cambria Math"/>
                            <w:szCs w:val="20"/>
                            <w:lang w:val="en-US"/>
                          </w:rPr>
                          <m:t>W</m:t>
                        </m:r>
                      </m:e>
                      <m:sub>
                        <m:func>
                          <m:funcPr>
                            <m:ctrlPr>
                              <w:rPr>
                                <w:rFonts w:ascii="Cambria Math" w:eastAsia="Yu Mincho" w:hAnsi="Cambria Math"/>
                                <w:i/>
                                <w:szCs w:val="20"/>
                              </w:rPr>
                            </m:ctrlPr>
                          </m:funcPr>
                          <m:fName>
                            <m:r>
                              <w:rPr>
                                <w:rFonts w:ascii="Cambria Math" w:hAnsi="Cambria Math"/>
                                <w:szCs w:val="20"/>
                                <w:lang w:val="en-US"/>
                              </w:rPr>
                              <m:t>min,</m:t>
                            </m:r>
                          </m:fName>
                          <m:e>
                            <m:r>
                              <w:rPr>
                                <w:rFonts w:ascii="Cambria Math" w:hAnsi="Cambria Math"/>
                                <w:szCs w:val="20"/>
                                <w:lang w:val="en-US"/>
                              </w:rPr>
                              <m:t>p</m:t>
                            </m:r>
                          </m:e>
                        </m:func>
                      </m:sub>
                    </m:sSub>
                  </m:oMath>
                  <w:r>
                    <w:rPr>
                      <w:rFonts w:ascii="Times New Roman" w:hAnsi="Times New Roman"/>
                      <w:szCs w:val="20"/>
                      <w:lang w:val="en-US"/>
                    </w:rPr>
                    <w:t xml:space="preserve"> only for that priority class </w:t>
                  </w:r>
                  <m:oMath>
                    <m:r>
                      <w:rPr>
                        <w:rFonts w:ascii="Cambria Math" w:hAnsi="Cambria Math"/>
                        <w:szCs w:val="20"/>
                        <w:lang w:val="en-US"/>
                      </w:rPr>
                      <m:t>p</m:t>
                    </m:r>
                  </m:oMath>
                  <w:r>
                    <w:rPr>
                      <w:rFonts w:ascii="Times New Roman" w:hAnsi="Times New Roman"/>
                      <w:szCs w:val="20"/>
                      <w:lang w:val="en-US"/>
                    </w:rPr>
                    <w:t xml:space="preserve"> for which </w:t>
                  </w:r>
                  <m:oMath>
                    <m:r>
                      <w:rPr>
                        <w:rFonts w:ascii="Cambria Math" w:hAnsi="Cambria Math"/>
                        <w:szCs w:val="20"/>
                        <w:lang w:val="en-US"/>
                      </w:rPr>
                      <m:t>C</m:t>
                    </m:r>
                    <m:sSub>
                      <m:sSubPr>
                        <m:ctrlPr>
                          <w:rPr>
                            <w:rFonts w:ascii="Cambria Math" w:eastAsia="Yu Mincho" w:hAnsi="Cambria Math"/>
                            <w:i/>
                            <w:szCs w:val="20"/>
                          </w:rPr>
                        </m:ctrlPr>
                      </m:sSubPr>
                      <m:e>
                        <m:r>
                          <w:rPr>
                            <w:rFonts w:ascii="Cambria Math" w:hAnsi="Cambria Math"/>
                            <w:szCs w:val="20"/>
                            <w:lang w:val="en-US"/>
                          </w:rPr>
                          <m:t>W</m:t>
                        </m:r>
                      </m:e>
                      <m:sub>
                        <m:r>
                          <w:rPr>
                            <w:rFonts w:ascii="Cambria Math" w:hAnsi="Cambria Math"/>
                            <w:szCs w:val="20"/>
                            <w:lang w:val="en-US"/>
                          </w:rPr>
                          <m:t>p</m:t>
                        </m:r>
                      </m:sub>
                    </m:sSub>
                    <m:r>
                      <w:rPr>
                        <w:rFonts w:ascii="Cambria Math" w:hAnsi="Cambria Math"/>
                        <w:szCs w:val="20"/>
                        <w:lang w:val="en-US"/>
                      </w:rPr>
                      <m:t>=C</m:t>
                    </m:r>
                    <m:sSub>
                      <m:sSubPr>
                        <m:ctrlPr>
                          <w:rPr>
                            <w:rFonts w:ascii="Cambria Math" w:eastAsia="Yu Mincho" w:hAnsi="Cambria Math"/>
                            <w:i/>
                            <w:szCs w:val="20"/>
                          </w:rPr>
                        </m:ctrlPr>
                      </m:sSubPr>
                      <m:e>
                        <m:r>
                          <w:rPr>
                            <w:rFonts w:ascii="Cambria Math" w:hAnsi="Cambria Math"/>
                            <w:szCs w:val="20"/>
                            <w:lang w:val="en-US"/>
                          </w:rPr>
                          <m:t>W</m:t>
                        </m:r>
                      </m:e>
                      <m:sub>
                        <m:func>
                          <m:funcPr>
                            <m:ctrlPr>
                              <w:rPr>
                                <w:rFonts w:ascii="Cambria Math" w:eastAsia="Yu Mincho" w:hAnsi="Cambria Math"/>
                                <w:i/>
                                <w:szCs w:val="20"/>
                              </w:rPr>
                            </m:ctrlPr>
                          </m:funcPr>
                          <m:fName>
                            <m:r>
                              <w:rPr>
                                <w:rFonts w:ascii="Cambria Math" w:hAnsi="Cambria Math"/>
                                <w:szCs w:val="20"/>
                                <w:lang w:val="en-US"/>
                              </w:rPr>
                              <m:t>max,</m:t>
                            </m:r>
                          </m:fName>
                          <m:e>
                            <m:r>
                              <w:rPr>
                                <w:rFonts w:ascii="Cambria Math" w:hAnsi="Cambria Math"/>
                                <w:szCs w:val="20"/>
                                <w:lang w:val="en-US"/>
                              </w:rPr>
                              <m:t>p</m:t>
                            </m:r>
                          </m:e>
                        </m:func>
                      </m:sub>
                    </m:sSub>
                  </m:oMath>
                  <w:r>
                    <w:rPr>
                      <w:rFonts w:ascii="Times New Roman" w:hAnsi="Times New Roman"/>
                      <w:szCs w:val="20"/>
                      <w:lang w:val="en-US"/>
                    </w:rPr>
                    <w:t xml:space="preserve"> is consecutively used </w:t>
                  </w:r>
                  <m:oMath>
                    <m:r>
                      <w:rPr>
                        <w:rFonts w:ascii="Cambria Math" w:hAnsi="Cambria Math"/>
                        <w:szCs w:val="20"/>
                        <w:lang w:val="en-US"/>
                      </w:rPr>
                      <m:t>K</m:t>
                    </m:r>
                  </m:oMath>
                  <w:r>
                    <w:rPr>
                      <w:rFonts w:ascii="Times New Roman" w:hAnsi="Times New Roman"/>
                      <w:szCs w:val="20"/>
                      <w:lang w:val="en-US"/>
                    </w:rPr>
                    <w:t xml:space="preserve"> times for generation of </w:t>
                  </w:r>
                  <m:oMath>
                    <m:sSub>
                      <m:sSubPr>
                        <m:ctrlPr>
                          <w:rPr>
                            <w:rFonts w:ascii="Cambria Math" w:eastAsia="Yu Mincho" w:hAnsi="Cambria Math"/>
                            <w:i/>
                            <w:szCs w:val="20"/>
                          </w:rPr>
                        </m:ctrlPr>
                      </m:sSubPr>
                      <m:e>
                        <m:r>
                          <w:rPr>
                            <w:rFonts w:ascii="Cambria Math" w:hAnsi="Cambria Math"/>
                            <w:szCs w:val="20"/>
                            <w:lang w:val="en-US"/>
                          </w:rPr>
                          <m:t>N</m:t>
                        </m:r>
                      </m:e>
                      <m:sub>
                        <m:r>
                          <w:rPr>
                            <w:rFonts w:ascii="Cambria Math" w:hAnsi="Cambria Math"/>
                            <w:szCs w:val="20"/>
                            <w:lang w:val="en-US"/>
                          </w:rPr>
                          <m:t>init</m:t>
                        </m:r>
                      </m:sub>
                    </m:sSub>
                  </m:oMath>
                  <w:r>
                    <w:rPr>
                      <w:rFonts w:ascii="Times New Roman" w:hAnsi="Times New Roman"/>
                      <w:szCs w:val="20"/>
                      <w:lang w:val="en-US"/>
                    </w:rPr>
                    <w:t xml:space="preserve">. </w:t>
                  </w:r>
                  <m:oMath>
                    <m:r>
                      <w:rPr>
                        <w:rFonts w:ascii="Cambria Math" w:hAnsi="Cambria Math"/>
                        <w:szCs w:val="20"/>
                        <w:lang w:val="en-US"/>
                      </w:rPr>
                      <m:t>K</m:t>
                    </m:r>
                  </m:oMath>
                  <w:r>
                    <w:rPr>
                      <w:rFonts w:ascii="Times New Roman" w:hAnsi="Times New Roman"/>
                      <w:szCs w:val="20"/>
                      <w:lang w:val="en-US"/>
                    </w:rPr>
                    <w:t xml:space="preserve"> is selected by UE from the set of values {1, 2, …,8} for each priority class </w:t>
                  </w:r>
                  <m:oMath>
                    <m:r>
                      <w:rPr>
                        <w:rFonts w:ascii="Cambria Math" w:hAnsi="Cambria Math"/>
                        <w:szCs w:val="20"/>
                        <w:lang w:val="en-US"/>
                      </w:rPr>
                      <m:t>p∈</m:t>
                    </m:r>
                    <m:d>
                      <m:dPr>
                        <m:begChr m:val="{"/>
                        <m:endChr m:val="}"/>
                        <m:ctrlPr>
                          <w:rPr>
                            <w:rFonts w:ascii="Cambria Math" w:eastAsia="Yu Mincho" w:hAnsi="Cambria Math"/>
                            <w:i/>
                            <w:szCs w:val="20"/>
                          </w:rPr>
                        </m:ctrlPr>
                      </m:dPr>
                      <m:e>
                        <m:r>
                          <w:rPr>
                            <w:rFonts w:ascii="Cambria Math" w:hAnsi="Cambria Math"/>
                            <w:szCs w:val="20"/>
                            <w:lang w:val="en-US"/>
                          </w:rPr>
                          <m:t>1,2,3,4</m:t>
                        </m:r>
                      </m:e>
                    </m:d>
                  </m:oMath>
                  <w:r>
                    <w:rPr>
                      <w:rFonts w:ascii="Times New Roman" w:hAnsi="Times New Roman"/>
                      <w:szCs w:val="20"/>
                      <w:lang w:val="en-US"/>
                    </w:rPr>
                    <w:t>.</w:t>
                  </w:r>
                </w:p>
              </w:tc>
            </w:tr>
          </w:tbl>
          <w:p w14:paraId="4769364B" w14:textId="77777777" w:rsidR="00EE4559" w:rsidRDefault="00EE4559" w:rsidP="006B2419">
            <w:pPr>
              <w:pStyle w:val="0Maintext"/>
              <w:spacing w:after="0" w:afterAutospacing="0"/>
              <w:ind w:firstLine="0"/>
              <w:rPr>
                <w:rFonts w:eastAsia="MS Mincho"/>
                <w:lang w:eastAsia="ja-JP"/>
              </w:rPr>
            </w:pPr>
          </w:p>
          <w:p w14:paraId="2A54BADB" w14:textId="77777777" w:rsidR="00EE4559" w:rsidRDefault="00EE4559" w:rsidP="00EE4559">
            <w:pPr>
              <w:pStyle w:val="ListParagraph"/>
              <w:numPr>
                <w:ilvl w:val="1"/>
                <w:numId w:val="18"/>
              </w:numPr>
              <w:autoSpaceDE w:val="0"/>
              <w:autoSpaceDN w:val="0"/>
              <w:spacing w:line="259" w:lineRule="auto"/>
              <w:ind w:leftChars="0"/>
              <w:jc w:val="both"/>
              <w:rPr>
                <w:rFonts w:ascii="Calibri" w:hAnsi="Calibri" w:cs="Calibri"/>
                <w:sz w:val="22"/>
              </w:rPr>
            </w:pPr>
            <w:r>
              <w:rPr>
                <w:rFonts w:ascii="Calibri" w:hAnsi="Calibri" w:cs="Calibri"/>
                <w:sz w:val="22"/>
              </w:rPr>
              <w:t>CW adjustment when SL-HARQ feedback is disabled in SCI:</w:t>
            </w:r>
          </w:p>
          <w:p w14:paraId="0F9134B6" w14:textId="77777777" w:rsidR="00EE4559" w:rsidRDefault="00EE4559" w:rsidP="00EE4559">
            <w:pPr>
              <w:pStyle w:val="ListParagraph"/>
              <w:numPr>
                <w:ilvl w:val="2"/>
                <w:numId w:val="18"/>
              </w:numPr>
              <w:autoSpaceDE w:val="0"/>
              <w:autoSpaceDN w:val="0"/>
              <w:spacing w:line="259" w:lineRule="auto"/>
              <w:ind w:leftChars="0"/>
              <w:jc w:val="both"/>
              <w:rPr>
                <w:rFonts w:ascii="Calibri" w:hAnsi="Calibri" w:cs="Calibri"/>
                <w:sz w:val="22"/>
              </w:rPr>
            </w:pPr>
            <w:r>
              <w:rPr>
                <w:rFonts w:ascii="Calibri" w:hAnsi="Calibri" w:cs="Calibri" w:hint="eastAsia"/>
                <w:sz w:val="22"/>
                <w:lang w:val="en-AU"/>
              </w:rPr>
              <w:t xml:space="preserve">For every priority class </w:t>
            </w:r>
            <m:oMath>
              <m:r>
                <w:rPr>
                  <w:rFonts w:ascii="Cambria Math" w:hAnsi="Cambria Math" w:cs="Calibri"/>
                  <w:sz w:val="22"/>
                </w:rPr>
                <m:t>p∈</m:t>
              </m:r>
              <m:d>
                <m:dPr>
                  <m:begChr m:val="{"/>
                  <m:endChr m:val="}"/>
                  <m:ctrlPr>
                    <w:rPr>
                      <w:rFonts w:ascii="Cambria Math" w:hAnsi="Cambria Math" w:cs="Calibri"/>
                      <w:i/>
                      <w:iCs/>
                      <w:sz w:val="22"/>
                    </w:rPr>
                  </m:ctrlPr>
                </m:dPr>
                <m:e>
                  <m:r>
                    <w:rPr>
                      <w:rFonts w:ascii="Cambria Math" w:hAnsi="Cambria Math" w:cs="Calibri"/>
                      <w:sz w:val="22"/>
                    </w:rPr>
                    <m:t>1,2,3,4</m:t>
                  </m:r>
                </m:e>
              </m:d>
            </m:oMath>
            <w:r>
              <w:rPr>
                <w:rFonts w:ascii="Calibri" w:hAnsi="Calibri" w:cs="Calibri" w:hint="eastAsia"/>
                <w:sz w:val="22"/>
                <w:lang w:val="en-AU"/>
              </w:rPr>
              <w:t>,</w:t>
            </w:r>
            <w:r>
              <w:rPr>
                <w:rFonts w:ascii="Calibri" w:hAnsi="Calibri" w:cs="Calibri"/>
                <w:i/>
                <w:iCs/>
                <w:sz w:val="22"/>
              </w:rPr>
              <w:t xml:space="preserve"> </w:t>
            </w:r>
            <w:r>
              <w:rPr>
                <w:rFonts w:ascii="Calibri" w:hAnsi="Calibri" w:cs="Calibri"/>
                <w:sz w:val="22"/>
              </w:rPr>
              <w:t>use the latest</w:t>
            </w:r>
            <w:r>
              <w:rPr>
                <w:rFonts w:ascii="Calibri" w:hAnsi="Calibri" w:cs="Calibri" w:hint="eastAsia"/>
                <w:sz w:val="22"/>
              </w:rPr>
              <w:t xml:space="preserve"> </w:t>
            </w:r>
            <m:oMath>
              <m:r>
                <w:rPr>
                  <w:rFonts w:ascii="Cambria Math" w:hAnsi="Cambria Math" w:cs="Calibri"/>
                  <w:sz w:val="22"/>
                </w:rPr>
                <m:t>C</m:t>
              </m:r>
              <m:sSub>
                <m:sSubPr>
                  <m:ctrlPr>
                    <w:rPr>
                      <w:rFonts w:ascii="Cambria Math" w:hAnsi="Cambria Math" w:cs="Calibri"/>
                      <w:i/>
                      <w:iCs/>
                      <w:sz w:val="22"/>
                    </w:rPr>
                  </m:ctrlPr>
                </m:sSubPr>
                <m:e>
                  <m:r>
                    <w:rPr>
                      <w:rFonts w:ascii="Cambria Math" w:hAnsi="Cambria Math" w:cs="Calibri"/>
                      <w:sz w:val="22"/>
                    </w:rPr>
                    <m:t>W</m:t>
                  </m:r>
                </m:e>
                <m:sub>
                  <m:r>
                    <w:rPr>
                      <w:rFonts w:ascii="Cambria Math" w:hAnsi="Cambria Math" w:cs="Calibri"/>
                      <w:sz w:val="22"/>
                    </w:rPr>
                    <m:t>p</m:t>
                  </m:r>
                </m:sub>
              </m:sSub>
            </m:oMath>
            <w:r>
              <w:rPr>
                <w:rFonts w:ascii="Calibri" w:hAnsi="Calibri" w:cs="Calibri" w:hint="eastAsia"/>
                <w:sz w:val="22"/>
              </w:rPr>
              <w:t xml:space="preserve"> </w:t>
            </w:r>
            <w:r>
              <w:rPr>
                <w:rFonts w:ascii="Calibri" w:hAnsi="Calibri" w:cs="Calibri"/>
                <w:sz w:val="22"/>
              </w:rPr>
              <w:t xml:space="preserve">used for any SL transmissions on the channel using Type 1 channel access procedures associated with the channel access priority class </w:t>
            </w:r>
            <m:oMath>
              <m:r>
                <w:rPr>
                  <w:rFonts w:ascii="Cambria Math" w:hAnsi="Cambria Math" w:cs="Calibri"/>
                  <w:sz w:val="22"/>
                </w:rPr>
                <m:t>p</m:t>
              </m:r>
            </m:oMath>
            <w:r>
              <w:rPr>
                <w:rFonts w:ascii="Calibri" w:hAnsi="Calibri" w:cs="Calibri" w:hint="eastAsia"/>
                <w:sz w:val="22"/>
              </w:rPr>
              <w:t>.</w:t>
            </w:r>
            <w:r>
              <w:rPr>
                <w:rFonts w:ascii="Calibri" w:hAnsi="Calibri" w:cs="Calibri"/>
                <w:sz w:val="22"/>
              </w:rPr>
              <w:t xml:space="preserve"> </w:t>
            </w:r>
            <w:r>
              <w:rPr>
                <w:rFonts w:asciiTheme="minorHAnsi" w:hAnsiTheme="minorHAnsi" w:cstheme="minorHAnsi"/>
                <w:sz w:val="22"/>
                <w:szCs w:val="28"/>
              </w:rPr>
              <w:t xml:space="preserve">If the corresponding channel access priority class </w:t>
            </w:r>
            <m:oMath>
              <m:r>
                <w:rPr>
                  <w:rFonts w:ascii="Cambria Math" w:hAnsi="Cambria Math" w:cstheme="minorHAnsi"/>
                  <w:sz w:val="22"/>
                  <w:szCs w:val="28"/>
                </w:rPr>
                <m:t>p</m:t>
              </m:r>
            </m:oMath>
            <w:r>
              <w:rPr>
                <w:rFonts w:asciiTheme="minorHAnsi" w:hAnsiTheme="minorHAnsi" w:cstheme="minorHAnsi"/>
                <w:sz w:val="22"/>
                <w:szCs w:val="28"/>
              </w:rPr>
              <w:t xml:space="preserve">  has not been used for any SL transmissions on the channel, </w:t>
            </w:r>
            <m:oMath>
              <m:r>
                <w:rPr>
                  <w:rFonts w:ascii="Cambria Math" w:hAnsi="Cambria Math" w:cstheme="minorHAnsi"/>
                  <w:sz w:val="22"/>
                  <w:szCs w:val="28"/>
                </w:rPr>
                <m:t>C</m:t>
              </m:r>
              <m:sSub>
                <m:sSubPr>
                  <m:ctrlPr>
                    <w:rPr>
                      <w:rFonts w:ascii="Cambria Math" w:hAnsi="Cambria Math" w:cstheme="minorHAnsi"/>
                      <w:i/>
                      <w:sz w:val="22"/>
                      <w:szCs w:val="28"/>
                    </w:rPr>
                  </m:ctrlPr>
                </m:sSubPr>
                <m:e>
                  <m:r>
                    <w:rPr>
                      <w:rFonts w:ascii="Cambria Math" w:hAnsi="Cambria Math" w:cstheme="minorHAnsi"/>
                      <w:sz w:val="22"/>
                      <w:szCs w:val="28"/>
                    </w:rPr>
                    <m:t>W</m:t>
                  </m:r>
                </m:e>
                <m:sub>
                  <m:r>
                    <w:rPr>
                      <w:rFonts w:ascii="Cambria Math" w:hAnsi="Cambria Math" w:cstheme="minorHAnsi"/>
                      <w:sz w:val="22"/>
                      <w:szCs w:val="28"/>
                    </w:rPr>
                    <m:t>p</m:t>
                  </m:r>
                </m:sub>
              </m:sSub>
              <m:r>
                <w:rPr>
                  <w:rFonts w:ascii="Cambria Math" w:hAnsi="Cambria Math" w:cstheme="minorHAnsi"/>
                  <w:sz w:val="22"/>
                  <w:szCs w:val="28"/>
                  <w:lang w:val="en-US"/>
                </w:rPr>
                <m:t>=</m:t>
              </m:r>
              <m:r>
                <w:rPr>
                  <w:rFonts w:ascii="Cambria Math" w:hAnsi="Cambria Math" w:cstheme="minorHAnsi"/>
                  <w:sz w:val="22"/>
                  <w:szCs w:val="28"/>
                </w:rPr>
                <m:t>C</m:t>
              </m:r>
              <m:sSub>
                <m:sSubPr>
                  <m:ctrlPr>
                    <w:rPr>
                      <w:rFonts w:ascii="Cambria Math" w:hAnsi="Cambria Math" w:cstheme="minorHAnsi"/>
                      <w:i/>
                      <w:sz w:val="22"/>
                      <w:szCs w:val="28"/>
                    </w:rPr>
                  </m:ctrlPr>
                </m:sSubPr>
                <m:e>
                  <m:r>
                    <w:rPr>
                      <w:rFonts w:ascii="Cambria Math" w:hAnsi="Cambria Math" w:cstheme="minorHAnsi"/>
                      <w:sz w:val="22"/>
                      <w:szCs w:val="28"/>
                    </w:rPr>
                    <m:t>W</m:t>
                  </m:r>
                </m:e>
                <m:sub>
                  <m:func>
                    <m:funcPr>
                      <m:ctrlPr>
                        <w:rPr>
                          <w:rFonts w:ascii="Cambria Math" w:hAnsi="Cambria Math" w:cstheme="minorHAnsi"/>
                          <w:i/>
                          <w:sz w:val="22"/>
                          <w:szCs w:val="28"/>
                        </w:rPr>
                      </m:ctrlPr>
                    </m:funcPr>
                    <m:fName>
                      <m:r>
                        <w:rPr>
                          <w:rFonts w:ascii="Cambria Math" w:hAnsi="Cambria Math" w:cstheme="minorHAnsi"/>
                          <w:sz w:val="22"/>
                          <w:szCs w:val="28"/>
                        </w:rPr>
                        <m:t>min</m:t>
                      </m:r>
                      <m:r>
                        <w:rPr>
                          <w:rFonts w:ascii="Cambria Math" w:hAnsi="Cambria Math" w:cstheme="minorHAnsi"/>
                          <w:sz w:val="22"/>
                          <w:szCs w:val="28"/>
                          <w:lang w:val="en-US"/>
                        </w:rPr>
                        <m:t>,</m:t>
                      </m:r>
                    </m:fName>
                    <m:e>
                      <m:r>
                        <w:rPr>
                          <w:rFonts w:ascii="Cambria Math" w:hAnsi="Cambria Math" w:cstheme="minorHAnsi"/>
                          <w:sz w:val="22"/>
                          <w:szCs w:val="28"/>
                        </w:rPr>
                        <m:t>p</m:t>
                      </m:r>
                    </m:e>
                  </m:func>
                </m:sub>
              </m:sSub>
            </m:oMath>
            <w:r>
              <w:rPr>
                <w:rFonts w:asciiTheme="minorHAnsi" w:hAnsiTheme="minorHAnsi" w:cstheme="minorHAnsi"/>
                <w:sz w:val="22"/>
                <w:szCs w:val="28"/>
              </w:rPr>
              <w:t xml:space="preserve"> is used.</w:t>
            </w:r>
          </w:p>
          <w:p w14:paraId="509FD2BA" w14:textId="77777777" w:rsidR="00EE4559" w:rsidRDefault="00EE4559" w:rsidP="00EE4559">
            <w:pPr>
              <w:pStyle w:val="ListParagraph"/>
              <w:numPr>
                <w:ilvl w:val="2"/>
                <w:numId w:val="18"/>
              </w:numPr>
              <w:autoSpaceDE w:val="0"/>
              <w:autoSpaceDN w:val="0"/>
              <w:spacing w:line="259" w:lineRule="auto"/>
              <w:ind w:leftChars="0"/>
              <w:jc w:val="both"/>
              <w:rPr>
                <w:rFonts w:ascii="Calibri" w:hAnsi="Calibri" w:cs="Calibri"/>
                <w:lang w:eastAsia="zh-CN"/>
              </w:rPr>
            </w:pPr>
            <w:r>
              <w:rPr>
                <w:rFonts w:ascii="Calibri" w:hAnsi="Calibri" w:cs="Calibri"/>
                <w:color w:val="FF0000"/>
                <w:sz w:val="22"/>
                <w:lang w:val="en-US"/>
              </w:rPr>
              <w:t xml:space="preserve">If a </w:t>
            </w:r>
            <m:oMath>
              <m:r>
                <w:rPr>
                  <w:rFonts w:ascii="Cambria Math" w:hAnsi="Cambria Math" w:cs="Calibri"/>
                  <w:color w:val="FF0000"/>
                  <w:sz w:val="22"/>
                </w:rPr>
                <m:t>C</m:t>
              </m:r>
              <m:sSub>
                <m:sSubPr>
                  <m:ctrlPr>
                    <w:rPr>
                      <w:rFonts w:ascii="Cambria Math" w:hAnsi="Cambria Math" w:cs="Calibri"/>
                      <w:i/>
                      <w:color w:val="FF0000"/>
                      <w:sz w:val="22"/>
                      <w:szCs w:val="22"/>
                    </w:rPr>
                  </m:ctrlPr>
                </m:sSubPr>
                <m:e>
                  <m:r>
                    <w:rPr>
                      <w:rFonts w:ascii="Cambria Math" w:hAnsi="Cambria Math" w:cs="Calibri"/>
                      <w:color w:val="FF0000"/>
                      <w:sz w:val="22"/>
                    </w:rPr>
                    <m:t>W</m:t>
                  </m:r>
                </m:e>
                <m:sub>
                  <m:r>
                    <w:rPr>
                      <w:rFonts w:ascii="Cambria Math" w:hAnsi="Cambria Math" w:cs="Calibri"/>
                      <w:color w:val="FF0000"/>
                      <w:sz w:val="22"/>
                    </w:rPr>
                    <m:t>p</m:t>
                  </m:r>
                </m:sub>
              </m:sSub>
            </m:oMath>
            <w:r>
              <w:rPr>
                <w:rFonts w:ascii="Calibri" w:eastAsia="MS Mincho" w:hAnsi="Calibri" w:cs="Calibri"/>
                <w:color w:val="FF0000"/>
                <w:sz w:val="22"/>
                <w:lang w:eastAsia="ja-JP"/>
              </w:rPr>
              <w:t xml:space="preserve"> </w:t>
            </w:r>
            <w:r>
              <w:rPr>
                <w:rFonts w:ascii="Calibri" w:hAnsi="Calibri" w:cs="Calibri"/>
                <w:color w:val="FF0000"/>
                <w:sz w:val="22"/>
                <w:lang w:val="en-US"/>
              </w:rPr>
              <w:t xml:space="preserve">is consecutively used </w:t>
            </w:r>
            <m:oMath>
              <m:r>
                <w:rPr>
                  <w:rFonts w:ascii="Cambria Math" w:hAnsi="Cambria Math" w:cs="Calibri"/>
                  <w:color w:val="FF0000"/>
                  <w:sz w:val="22"/>
                </w:rPr>
                <m:t>K</m:t>
              </m:r>
            </m:oMath>
            <w:r>
              <w:rPr>
                <w:rFonts w:ascii="Calibri" w:hAnsi="Calibri" w:cs="Calibri"/>
                <w:color w:val="FF0000"/>
                <w:sz w:val="22"/>
                <w:lang w:val="en-US"/>
              </w:rPr>
              <w:t xml:space="preserve"> times for generation of </w:t>
            </w:r>
            <m:oMath>
              <m:sSub>
                <m:sSubPr>
                  <m:ctrlPr>
                    <w:rPr>
                      <w:rFonts w:ascii="Cambria Math" w:hAnsi="Cambria Math" w:cs="Calibri"/>
                      <w:i/>
                      <w:color w:val="FF0000"/>
                      <w:sz w:val="22"/>
                      <w:szCs w:val="22"/>
                    </w:rPr>
                  </m:ctrlPr>
                </m:sSubPr>
                <m:e>
                  <m:r>
                    <w:rPr>
                      <w:rFonts w:ascii="Cambria Math" w:hAnsi="Cambria Math" w:cs="Calibri"/>
                      <w:color w:val="FF0000"/>
                      <w:sz w:val="22"/>
                    </w:rPr>
                    <m:t>N</m:t>
                  </m:r>
                </m:e>
                <m:sub>
                  <m:r>
                    <w:rPr>
                      <w:rFonts w:ascii="Cambria Math" w:hAnsi="Cambria Math" w:cs="Calibri"/>
                      <w:color w:val="FF0000"/>
                      <w:sz w:val="22"/>
                    </w:rPr>
                    <m:t>init</m:t>
                  </m:r>
                </m:sub>
              </m:sSub>
            </m:oMath>
            <w:r>
              <w:rPr>
                <w:rFonts w:ascii="Calibri" w:hAnsi="Calibri" w:cs="Calibri"/>
                <w:color w:val="FF0000"/>
                <w:sz w:val="22"/>
              </w:rPr>
              <w:t xml:space="preserve">, </w:t>
            </w:r>
            <m:oMath>
              <m:r>
                <w:rPr>
                  <w:rFonts w:ascii="Cambria Math" w:hAnsi="Cambria Math" w:cs="Calibri"/>
                  <w:color w:val="FF0000"/>
                  <w:sz w:val="22"/>
                </w:rPr>
                <m:t>C</m:t>
              </m:r>
              <m:sSub>
                <m:sSubPr>
                  <m:ctrlPr>
                    <w:rPr>
                      <w:rFonts w:ascii="Cambria Math" w:hAnsi="Cambria Math" w:cs="Calibri"/>
                      <w:i/>
                      <w:color w:val="FF0000"/>
                      <w:sz w:val="22"/>
                      <w:szCs w:val="22"/>
                    </w:rPr>
                  </m:ctrlPr>
                </m:sSubPr>
                <m:e>
                  <m:r>
                    <w:rPr>
                      <w:rFonts w:ascii="Cambria Math" w:hAnsi="Cambria Math" w:cs="Calibri"/>
                      <w:color w:val="FF0000"/>
                      <w:sz w:val="22"/>
                    </w:rPr>
                    <m:t>W</m:t>
                  </m:r>
                </m:e>
                <m:sub>
                  <m:r>
                    <w:rPr>
                      <w:rFonts w:ascii="Cambria Math" w:hAnsi="Cambria Math" w:cs="Calibri"/>
                      <w:color w:val="FF0000"/>
                      <w:sz w:val="22"/>
                    </w:rPr>
                    <m:t>p</m:t>
                  </m:r>
                </m:sub>
              </m:sSub>
            </m:oMath>
            <w:r>
              <w:rPr>
                <w:rFonts w:ascii="Calibri" w:hAnsi="Calibri" w:cs="Calibri"/>
                <w:color w:val="FF0000"/>
                <w:sz w:val="22"/>
                <w:lang w:val="en-US"/>
              </w:rPr>
              <w:t xml:space="preserve"> is updated </w:t>
            </w:r>
            <w:r>
              <w:rPr>
                <w:rFonts w:ascii="Calibri" w:hAnsi="Calibri" w:cs="Calibri"/>
                <w:color w:val="FF0000"/>
                <w:sz w:val="22"/>
              </w:rPr>
              <w:t xml:space="preserve">for </w:t>
            </w:r>
            <w:r>
              <w:rPr>
                <w:rFonts w:ascii="Calibri" w:hAnsi="Calibri" w:cs="Calibri"/>
                <w:color w:val="FF0000"/>
                <w:sz w:val="22"/>
                <w:lang w:val="en-US"/>
              </w:rPr>
              <w:t xml:space="preserve">each priority class </w:t>
            </w:r>
            <m:oMath>
              <m:r>
                <w:rPr>
                  <w:rFonts w:ascii="Cambria Math" w:hAnsi="Cambria Math" w:cs="Calibri"/>
                  <w:color w:val="FF0000"/>
                  <w:sz w:val="22"/>
                </w:rPr>
                <m:t>p∈</m:t>
              </m:r>
              <m:d>
                <m:dPr>
                  <m:begChr m:val="{"/>
                  <m:endChr m:val="}"/>
                  <m:ctrlPr>
                    <w:rPr>
                      <w:rFonts w:ascii="Cambria Math" w:hAnsi="Cambria Math" w:cs="Calibri"/>
                      <w:i/>
                      <w:color w:val="FF0000"/>
                      <w:sz w:val="22"/>
                      <w:szCs w:val="22"/>
                    </w:rPr>
                  </m:ctrlPr>
                </m:dPr>
                <m:e>
                  <m:r>
                    <w:rPr>
                      <w:rFonts w:ascii="Cambria Math" w:hAnsi="Cambria Math" w:cs="Calibri"/>
                      <w:color w:val="FF0000"/>
                      <w:sz w:val="22"/>
                    </w:rPr>
                    <m:t>1,2,3,4</m:t>
                  </m:r>
                </m:e>
              </m:d>
            </m:oMath>
            <w:r>
              <w:rPr>
                <w:rFonts w:ascii="Calibri" w:eastAsia="MS Mincho" w:hAnsi="Calibri" w:cs="Calibri" w:hint="eastAsia"/>
                <w:color w:val="FF0000"/>
                <w:sz w:val="22"/>
                <w:szCs w:val="22"/>
                <w:lang w:eastAsia="ja-JP"/>
              </w:rPr>
              <w:t xml:space="preserve"> </w:t>
            </w:r>
            <w:r>
              <w:rPr>
                <w:rFonts w:ascii="Calibri" w:hAnsi="Calibri" w:cs="Calibri"/>
                <w:color w:val="FF0000"/>
                <w:sz w:val="22"/>
              </w:rPr>
              <w:t>to the next higher allowed value</w:t>
            </w:r>
            <w:r>
              <w:rPr>
                <w:rFonts w:ascii="Calibri" w:hAnsi="Calibri" w:cs="Calibri"/>
                <w:color w:val="FF0000"/>
                <w:sz w:val="22"/>
                <w:lang w:val="en-US"/>
              </w:rPr>
              <w:t>.</w:t>
            </w:r>
          </w:p>
          <w:p w14:paraId="0078C713" w14:textId="77777777" w:rsidR="00EE4559" w:rsidRDefault="00EE4559" w:rsidP="006B2419">
            <w:pPr>
              <w:autoSpaceDE w:val="0"/>
              <w:autoSpaceDN w:val="0"/>
              <w:jc w:val="both"/>
              <w:rPr>
                <w:rFonts w:ascii="Calibri" w:eastAsiaTheme="minorEastAsia" w:hAnsi="Calibri" w:cs="Calibri"/>
                <w:lang w:eastAsia="zh-CN"/>
              </w:rPr>
            </w:pPr>
            <w:r>
              <w:rPr>
                <w:rFonts w:ascii="Calibri" w:eastAsia="MS Mincho" w:hAnsi="Calibri" w:cs="Calibri" w:hint="eastAsia"/>
                <w:lang w:eastAsia="ja-JP"/>
              </w:rPr>
              <w:t>F</w:t>
            </w:r>
            <w:r>
              <w:rPr>
                <w:rFonts w:ascii="Calibri" w:eastAsia="MS Mincho" w:hAnsi="Calibri" w:cs="Calibri"/>
                <w:lang w:eastAsia="ja-JP"/>
              </w:rPr>
              <w:t xml:space="preserve">or </w:t>
            </w:r>
            <w:r>
              <w:rPr>
                <w:rFonts w:ascii="Calibri" w:hAnsi="Calibri" w:cs="Calibri"/>
                <w:sz w:val="22"/>
              </w:rPr>
              <w:t>groupcast option 2 and option 1, we are fine with Intel’s modifications.</w:t>
            </w:r>
          </w:p>
        </w:tc>
      </w:tr>
      <w:tr w:rsidR="00EE4559" w14:paraId="7A6B91E0" w14:textId="77777777" w:rsidTr="006B2419">
        <w:tc>
          <w:tcPr>
            <w:tcW w:w="1555" w:type="dxa"/>
          </w:tcPr>
          <w:p w14:paraId="42E6634A" w14:textId="77777777" w:rsidR="00EE4559" w:rsidRDefault="00EE4559" w:rsidP="006B2419">
            <w:pPr>
              <w:pStyle w:val="0Maintext"/>
              <w:spacing w:after="0" w:afterAutospacing="0"/>
              <w:ind w:firstLine="0"/>
              <w:rPr>
                <w:rFonts w:eastAsiaTheme="minorEastAsia"/>
                <w:lang w:val="en-US" w:eastAsia="zh-CN"/>
              </w:rPr>
            </w:pPr>
            <w:r>
              <w:rPr>
                <w:rFonts w:eastAsiaTheme="minorEastAsia" w:hint="eastAsia"/>
                <w:lang w:val="en-US" w:eastAsia="zh-CN"/>
              </w:rPr>
              <w:lastRenderedPageBreak/>
              <w:t>Transsion</w:t>
            </w:r>
          </w:p>
        </w:tc>
        <w:tc>
          <w:tcPr>
            <w:tcW w:w="8076" w:type="dxa"/>
          </w:tcPr>
          <w:p w14:paraId="1B7BE0CB" w14:textId="77777777" w:rsidR="00EE4559" w:rsidRDefault="00EE4559" w:rsidP="006B2419">
            <w:pPr>
              <w:autoSpaceDE w:val="0"/>
              <w:autoSpaceDN w:val="0"/>
              <w:jc w:val="both"/>
              <w:rPr>
                <w:rFonts w:ascii="Calibri" w:eastAsia="SimSun" w:hAnsi="Calibri" w:cs="Calibri"/>
                <w:lang w:val="en-US" w:eastAsia="zh-CN"/>
              </w:rPr>
            </w:pPr>
            <w:r>
              <w:rPr>
                <w:rFonts w:ascii="Times New Roman" w:eastAsia="SimSun" w:hAnsi="Times New Roman"/>
                <w:sz w:val="21"/>
                <w:szCs w:val="21"/>
                <w:lang w:val="en-US" w:eastAsia="zh-CN"/>
              </w:rPr>
              <w:t>We support this proposal with option 2 for groupcast option 1</w:t>
            </w:r>
            <w:r>
              <w:rPr>
                <w:rFonts w:ascii="Times New Roman" w:eastAsia="SimSun" w:hAnsi="Times New Roman" w:hint="eastAsia"/>
                <w:sz w:val="21"/>
                <w:szCs w:val="21"/>
                <w:lang w:val="en-US" w:eastAsia="zh-CN"/>
              </w:rPr>
              <w:t>.</w:t>
            </w:r>
          </w:p>
        </w:tc>
      </w:tr>
      <w:tr w:rsidR="00EE4559" w14:paraId="04CFFCC2" w14:textId="77777777" w:rsidTr="006B2419">
        <w:tc>
          <w:tcPr>
            <w:tcW w:w="1555" w:type="dxa"/>
          </w:tcPr>
          <w:p w14:paraId="0BC83F2E" w14:textId="77777777" w:rsidR="00EE4559" w:rsidRDefault="00EE4559" w:rsidP="006B2419">
            <w:pPr>
              <w:pStyle w:val="0Maintext"/>
              <w:spacing w:after="0" w:afterAutospacing="0"/>
              <w:ind w:firstLine="0"/>
              <w:rPr>
                <w:rFonts w:eastAsiaTheme="minorEastAsia"/>
                <w:lang w:val="en-US" w:eastAsia="zh-CN"/>
              </w:rPr>
            </w:pPr>
            <w:r>
              <w:t>Ericsson</w:t>
            </w:r>
          </w:p>
        </w:tc>
        <w:tc>
          <w:tcPr>
            <w:tcW w:w="8076" w:type="dxa"/>
          </w:tcPr>
          <w:p w14:paraId="1C2C847B" w14:textId="77777777" w:rsidR="00EE4559" w:rsidRDefault="00EE4559" w:rsidP="006B2419">
            <w:pPr>
              <w:pStyle w:val="0Maintext"/>
              <w:spacing w:after="0" w:afterAutospacing="0"/>
              <w:ind w:firstLine="0"/>
            </w:pPr>
            <w:r>
              <w:t>For CW adjustment for groupcast option 2, we propose to reset the CW when one HARQ ACK is received rather than pre-configuring a value.</w:t>
            </w:r>
          </w:p>
          <w:p w14:paraId="72E32212" w14:textId="77777777" w:rsidR="00EE4559" w:rsidRDefault="00EE4559" w:rsidP="006B2419">
            <w:pPr>
              <w:pStyle w:val="0Maintext"/>
              <w:spacing w:after="0" w:afterAutospacing="0"/>
              <w:ind w:firstLine="0"/>
            </w:pPr>
          </w:p>
          <w:p w14:paraId="0E9F0002" w14:textId="77777777" w:rsidR="00EE4559" w:rsidRDefault="00EE4559" w:rsidP="006B2419">
            <w:pPr>
              <w:autoSpaceDE w:val="0"/>
              <w:autoSpaceDN w:val="0"/>
              <w:jc w:val="both"/>
              <w:rPr>
                <w:rFonts w:ascii="Times New Roman" w:eastAsia="SimSun" w:hAnsi="Times New Roman"/>
                <w:sz w:val="21"/>
                <w:szCs w:val="21"/>
                <w:lang w:val="en-US" w:eastAsia="zh-CN"/>
              </w:rPr>
            </w:pPr>
            <w:r>
              <w:t>Moreover, in our view, Option 2 in groupcast option 1 is not aligned with the ETSI regulations. The absence of NACK cannot be understood as ACK in order to reset the CW.</w:t>
            </w:r>
          </w:p>
        </w:tc>
      </w:tr>
      <w:tr w:rsidR="00EE4559" w14:paraId="718B7349" w14:textId="77777777" w:rsidTr="006B2419">
        <w:tc>
          <w:tcPr>
            <w:tcW w:w="1555" w:type="dxa"/>
          </w:tcPr>
          <w:p w14:paraId="3A206283" w14:textId="77777777" w:rsidR="00EE4559" w:rsidRDefault="00EE4559" w:rsidP="006B2419">
            <w:pPr>
              <w:pStyle w:val="0Maintext"/>
              <w:spacing w:after="0" w:afterAutospacing="0"/>
              <w:ind w:firstLine="0"/>
            </w:pPr>
            <w:r>
              <w:rPr>
                <w:rFonts w:hint="eastAsia"/>
              </w:rPr>
              <w:t>I</w:t>
            </w:r>
            <w:r>
              <w:t>TL</w:t>
            </w:r>
          </w:p>
        </w:tc>
        <w:tc>
          <w:tcPr>
            <w:tcW w:w="8076" w:type="dxa"/>
          </w:tcPr>
          <w:p w14:paraId="077012BC" w14:textId="77777777" w:rsidR="00EE4559" w:rsidRDefault="00EE4559" w:rsidP="006B2419">
            <w:pPr>
              <w:pStyle w:val="0Maintext"/>
              <w:spacing w:after="0" w:afterAutospacing="0"/>
              <w:ind w:firstLine="0"/>
            </w:pPr>
            <w:r>
              <w:rPr>
                <w:rFonts w:eastAsia="MS Mincho" w:hint="eastAsia"/>
                <w:lang w:eastAsia="ja-JP"/>
              </w:rPr>
              <w:t>W</w:t>
            </w:r>
            <w:r>
              <w:rPr>
                <w:rFonts w:eastAsia="MS Mincho"/>
                <w:lang w:eastAsia="ja-JP"/>
              </w:rPr>
              <w:t>e are generally fine with the proposal.</w:t>
            </w:r>
          </w:p>
        </w:tc>
      </w:tr>
      <w:tr w:rsidR="00EE4559" w14:paraId="1199A618" w14:textId="77777777" w:rsidTr="006B2419">
        <w:tc>
          <w:tcPr>
            <w:tcW w:w="1555" w:type="dxa"/>
          </w:tcPr>
          <w:p w14:paraId="0DD2B22E" w14:textId="77777777" w:rsidR="00EE4559" w:rsidRDefault="00EE4559" w:rsidP="006B2419">
            <w:pPr>
              <w:pStyle w:val="0Maintext"/>
              <w:spacing w:after="0" w:afterAutospacing="0"/>
              <w:ind w:firstLine="0"/>
            </w:pPr>
            <w:r>
              <w:rPr>
                <w:rFonts w:eastAsiaTheme="minorEastAsia"/>
                <w:lang w:eastAsia="zh-CN"/>
              </w:rPr>
              <w:t>Fraunhofer</w:t>
            </w:r>
          </w:p>
        </w:tc>
        <w:tc>
          <w:tcPr>
            <w:tcW w:w="8076" w:type="dxa"/>
          </w:tcPr>
          <w:p w14:paraId="670A4F86" w14:textId="77777777" w:rsidR="00EE4559" w:rsidRDefault="00EE4559" w:rsidP="006B2419">
            <w:pPr>
              <w:pStyle w:val="0Maintext"/>
              <w:spacing w:after="0" w:afterAutospacing="0"/>
              <w:ind w:firstLine="0"/>
              <w:rPr>
                <w:rFonts w:eastAsia="MS Mincho"/>
                <w:lang w:eastAsia="ja-JP"/>
              </w:rPr>
            </w:pPr>
            <w:r>
              <w:rPr>
                <w:rFonts w:eastAsia="MS Mincho"/>
                <w:lang w:eastAsia="ja-JP"/>
              </w:rPr>
              <w:t xml:space="preserve">We are in general fine with the proposal. However, we have one question – when the </w:t>
            </w:r>
            <m:oMath>
              <m:r>
                <w:rPr>
                  <w:rFonts w:ascii="Cambria Math" w:hAnsi="Cambria Math"/>
                  <w:lang w:val="en-US"/>
                </w:rPr>
                <m:t>C</m:t>
              </m:r>
              <m:sSub>
                <m:sSubPr>
                  <m:ctrlPr>
                    <w:rPr>
                      <w:rFonts w:ascii="Cambria Math" w:eastAsia="Yu Mincho" w:hAnsi="Cambria Math"/>
                      <w:i/>
                    </w:rPr>
                  </m:ctrlPr>
                </m:sSubPr>
                <m:e>
                  <m:r>
                    <w:rPr>
                      <w:rFonts w:ascii="Cambria Math" w:hAnsi="Cambria Math"/>
                      <w:lang w:val="en-US"/>
                    </w:rPr>
                    <m:t>W</m:t>
                  </m:r>
                </m:e>
                <m:sub>
                  <m:r>
                    <w:rPr>
                      <w:rFonts w:ascii="Cambria Math" w:hAnsi="Cambria Math"/>
                      <w:lang w:val="en-US"/>
                    </w:rPr>
                    <m:t>p</m:t>
                  </m:r>
                </m:sub>
              </m:sSub>
            </m:oMath>
            <w:r>
              <w:rPr>
                <w:rFonts w:eastAsia="MS Mincho"/>
              </w:rPr>
              <w:t xml:space="preserve"> is reset or increased, does the CW adjustment affect every single transmission carried out by the UE in question, across priority classes and different links of different cast types?</w:t>
            </w:r>
          </w:p>
        </w:tc>
      </w:tr>
      <w:tr w:rsidR="00EE4559" w14:paraId="03462687" w14:textId="77777777" w:rsidTr="006B2419">
        <w:tc>
          <w:tcPr>
            <w:tcW w:w="1555" w:type="dxa"/>
          </w:tcPr>
          <w:p w14:paraId="4E859519" w14:textId="77777777" w:rsidR="00EE4559" w:rsidRDefault="00EE4559" w:rsidP="006B2419">
            <w:pPr>
              <w:pStyle w:val="0Maintext"/>
              <w:spacing w:after="0" w:afterAutospacing="0"/>
              <w:ind w:firstLine="0"/>
              <w:rPr>
                <w:rFonts w:eastAsiaTheme="minorEastAsia"/>
                <w:lang w:eastAsia="zh-CN"/>
              </w:rPr>
            </w:pPr>
            <w:r>
              <w:rPr>
                <w:rFonts w:eastAsiaTheme="minorEastAsia" w:hint="eastAsia"/>
                <w:lang w:eastAsia="zh-CN"/>
              </w:rPr>
              <w:t>M</w:t>
            </w:r>
            <w:r>
              <w:rPr>
                <w:rFonts w:eastAsiaTheme="minorEastAsia"/>
                <w:lang w:eastAsia="zh-CN"/>
              </w:rPr>
              <w:t>ediaTek</w:t>
            </w:r>
          </w:p>
        </w:tc>
        <w:tc>
          <w:tcPr>
            <w:tcW w:w="8076" w:type="dxa"/>
          </w:tcPr>
          <w:p w14:paraId="75B5CAA1" w14:textId="77777777" w:rsidR="00EE4559" w:rsidRPr="00A82901" w:rsidRDefault="00EE4559" w:rsidP="006B2419">
            <w:pPr>
              <w:autoSpaceDE w:val="0"/>
              <w:autoSpaceDN w:val="0"/>
              <w:jc w:val="both"/>
              <w:rPr>
                <w:rFonts w:ascii="Times New Roman" w:eastAsiaTheme="minorEastAsia" w:hAnsi="Times New Roman"/>
                <w:sz w:val="22"/>
                <w:lang w:eastAsia="zh-CN"/>
              </w:rPr>
            </w:pPr>
            <w:r w:rsidRPr="00A82901">
              <w:rPr>
                <w:rFonts w:ascii="Times New Roman" w:eastAsiaTheme="minorEastAsia" w:hAnsi="Times New Roman"/>
                <w:sz w:val="22"/>
                <w:lang w:eastAsia="zh-CN"/>
              </w:rPr>
              <w:t xml:space="preserve">As some other compines point out, we also think the definition of </w:t>
            </w:r>
            <w:r w:rsidRPr="00A82901">
              <w:rPr>
                <w:rFonts w:ascii="Times New Roman" w:eastAsiaTheme="minorEastAsia" w:hAnsi="Times New Roman"/>
                <w:i/>
                <w:iCs/>
                <w:sz w:val="22"/>
                <w:lang w:eastAsia="zh-CN"/>
              </w:rPr>
              <w:t>reference duration</w:t>
            </w:r>
            <w:r w:rsidRPr="00A82901">
              <w:rPr>
                <w:rFonts w:ascii="Times New Roman" w:eastAsiaTheme="minorEastAsia" w:hAnsi="Times New Roman"/>
                <w:sz w:val="22"/>
                <w:lang w:eastAsia="zh-CN"/>
              </w:rPr>
              <w:t xml:space="preserve"> in SL-U should be clarified with reference to that in NR-U:</w:t>
            </w:r>
          </w:p>
          <w:p w14:paraId="5A2B6791" w14:textId="77777777" w:rsidR="00EE4559" w:rsidRPr="00922C93" w:rsidRDefault="00EE4559" w:rsidP="00EE4559">
            <w:pPr>
              <w:pStyle w:val="ListParagraph"/>
              <w:numPr>
                <w:ilvl w:val="1"/>
                <w:numId w:val="18"/>
              </w:numPr>
              <w:autoSpaceDE w:val="0"/>
              <w:autoSpaceDN w:val="0"/>
              <w:ind w:leftChars="0"/>
              <w:jc w:val="both"/>
              <w:rPr>
                <w:rFonts w:ascii="Calibri" w:hAnsi="Calibri" w:cs="Calibri"/>
                <w:color w:val="FF0000"/>
                <w:sz w:val="22"/>
              </w:rPr>
            </w:pPr>
            <w:r w:rsidRPr="00922C93">
              <w:rPr>
                <w:rFonts w:ascii="Calibri" w:hAnsi="Calibri" w:cs="Calibri"/>
                <w:color w:val="FF0000"/>
                <w:sz w:val="22"/>
              </w:rPr>
              <w:t xml:space="preserve">A SL </w:t>
            </w:r>
            <w:r w:rsidRPr="00B65591">
              <w:rPr>
                <w:rFonts w:ascii="Calibri" w:hAnsi="Calibri" w:cs="Calibri"/>
                <w:i/>
                <w:iCs/>
                <w:color w:val="FF0000"/>
                <w:sz w:val="22"/>
              </w:rPr>
              <w:t>reference duration</w:t>
            </w:r>
            <w:r w:rsidRPr="00922C93">
              <w:rPr>
                <w:rFonts w:ascii="Calibri" w:hAnsi="Calibri" w:cs="Calibri"/>
                <w:color w:val="FF0000"/>
                <w:sz w:val="22"/>
              </w:rPr>
              <w:t xml:space="preserve"> is defined </w:t>
            </w:r>
            <w:r w:rsidRPr="00B65591">
              <w:rPr>
                <w:rFonts w:ascii="Calibri" w:hAnsi="Calibri" w:cs="Calibri"/>
                <w:color w:val="FF0000"/>
                <w:sz w:val="22"/>
              </w:rPr>
              <w:t>as a duration starting from the beginning of the channel occupancy until</w:t>
            </w:r>
          </w:p>
          <w:p w14:paraId="4E3100DD" w14:textId="77777777" w:rsidR="00EE4559" w:rsidRPr="00922C93" w:rsidRDefault="00EE4559" w:rsidP="00EE4559">
            <w:pPr>
              <w:pStyle w:val="3GPPText"/>
              <w:numPr>
                <w:ilvl w:val="2"/>
                <w:numId w:val="18"/>
              </w:numPr>
              <w:spacing w:before="0" w:after="0" w:line="276" w:lineRule="auto"/>
              <w:rPr>
                <w:rFonts w:ascii="Calibri" w:eastAsia="Batang" w:hAnsi="Calibri" w:cs="Calibri"/>
                <w:color w:val="FF0000"/>
                <w:szCs w:val="24"/>
                <w:lang w:val="en-GB" w:eastAsia="x-none"/>
              </w:rPr>
            </w:pPr>
            <w:r w:rsidRPr="00B65591">
              <w:rPr>
                <w:rFonts w:ascii="Calibri" w:eastAsia="Batang" w:hAnsi="Calibri" w:cs="Calibri"/>
                <w:color w:val="FF0000"/>
                <w:szCs w:val="24"/>
                <w:lang w:val="en-GB" w:eastAsia="x-none"/>
              </w:rPr>
              <w:t>the end of the first slot where at least one unicast PSSCH is transmitted over all the resources allocated for the PSSCH</w:t>
            </w:r>
            <w:r>
              <w:rPr>
                <w:rFonts w:ascii="Calibri" w:eastAsia="Batang" w:hAnsi="Calibri" w:cs="Calibri"/>
                <w:color w:val="FF0000"/>
                <w:szCs w:val="24"/>
                <w:lang w:val="en-GB" w:eastAsia="x-none"/>
              </w:rPr>
              <w:t>,</w:t>
            </w:r>
            <w:r w:rsidRPr="00922C93">
              <w:rPr>
                <w:rFonts w:ascii="Calibri" w:eastAsia="Batang" w:hAnsi="Calibri" w:cs="Calibri"/>
                <w:color w:val="FF0000"/>
                <w:szCs w:val="24"/>
                <w:lang w:val="en-GB" w:eastAsia="x-none"/>
              </w:rPr>
              <w:t xml:space="preserve"> or</w:t>
            </w:r>
          </w:p>
          <w:p w14:paraId="48FAFA4C" w14:textId="77777777" w:rsidR="00EE4559" w:rsidRPr="00922C93" w:rsidRDefault="00EE4559" w:rsidP="00EE4559">
            <w:pPr>
              <w:pStyle w:val="3GPPText"/>
              <w:numPr>
                <w:ilvl w:val="2"/>
                <w:numId w:val="18"/>
              </w:numPr>
              <w:spacing w:before="0" w:after="0" w:line="276" w:lineRule="auto"/>
              <w:rPr>
                <w:rFonts w:ascii="Calibri" w:eastAsia="Batang" w:hAnsi="Calibri" w:cs="Calibri"/>
                <w:color w:val="FF0000"/>
                <w:szCs w:val="24"/>
                <w:lang w:val="en-GB" w:eastAsia="x-none"/>
              </w:rPr>
            </w:pPr>
            <w:r w:rsidRPr="00B65591">
              <w:rPr>
                <w:rFonts w:ascii="Calibri" w:eastAsia="Batang" w:hAnsi="Calibri" w:cs="Calibri"/>
                <w:color w:val="FF0000"/>
                <w:szCs w:val="24"/>
                <w:lang w:val="en-GB" w:eastAsia="x-none"/>
              </w:rPr>
              <w:t>the end of the first transmission burst by the UE that contains unicast PSSCH(s) transmitted over all the resources allocated for the PSSCH</w:t>
            </w:r>
            <w:r w:rsidRPr="00922C93">
              <w:rPr>
                <w:rFonts w:ascii="Calibri" w:eastAsia="Batang" w:hAnsi="Calibri" w:cs="Calibri"/>
                <w:color w:val="FF0000"/>
                <w:szCs w:val="24"/>
                <w:lang w:val="en-GB" w:eastAsia="x-none"/>
              </w:rPr>
              <w:t>,</w:t>
            </w:r>
          </w:p>
          <w:p w14:paraId="5F61118B" w14:textId="77777777" w:rsidR="00EE4559" w:rsidRDefault="00EE4559" w:rsidP="00EE4559">
            <w:pPr>
              <w:pStyle w:val="3GPPText"/>
              <w:spacing w:before="0" w:after="0" w:line="276" w:lineRule="auto"/>
              <w:ind w:left="1440"/>
              <w:rPr>
                <w:rFonts w:ascii="Calibri" w:eastAsia="Batang" w:hAnsi="Calibri" w:cs="Calibri"/>
                <w:color w:val="FF0000"/>
                <w:szCs w:val="24"/>
                <w:lang w:val="en-GB" w:eastAsia="x-none"/>
              </w:rPr>
            </w:pPr>
            <w:r w:rsidRPr="00922C93">
              <w:rPr>
                <w:rFonts w:ascii="Calibri" w:eastAsia="Batang" w:hAnsi="Calibri" w:cs="Calibri"/>
                <w:color w:val="FF0000"/>
                <w:szCs w:val="24"/>
                <w:lang w:val="en-GB" w:eastAsia="x-none"/>
              </w:rPr>
              <w:t>whichever occurs earlier.</w:t>
            </w:r>
          </w:p>
          <w:p w14:paraId="36F22A1B" w14:textId="054341B1" w:rsidR="00EE4559" w:rsidRPr="00EE4559" w:rsidRDefault="00EE4559" w:rsidP="00EE4559">
            <w:pPr>
              <w:autoSpaceDE w:val="0"/>
              <w:autoSpaceDN w:val="0"/>
              <w:jc w:val="both"/>
              <w:rPr>
                <w:rFonts w:ascii="Calibri" w:eastAsiaTheme="minorEastAsia" w:hAnsi="Calibri" w:cs="Calibri"/>
                <w:sz w:val="22"/>
                <w:lang w:eastAsia="zh-CN"/>
              </w:rPr>
            </w:pPr>
            <w:r w:rsidRPr="00A82901">
              <w:rPr>
                <w:rFonts w:ascii="Times New Roman" w:eastAsiaTheme="minorEastAsia" w:hAnsi="Times New Roman"/>
                <w:sz w:val="22"/>
                <w:lang w:eastAsia="zh-CN"/>
              </w:rPr>
              <w:t>For groupcast option 1 (NACK-only), It seems both Option 1 and Option 2 could raise a lot of concerns. Considering the progressing, we suggest the CW adjustment mech</w:t>
            </w:r>
            <w:r>
              <w:rPr>
                <w:rFonts w:ascii="Calibri" w:eastAsiaTheme="minorEastAsia" w:hAnsi="Calibri" w:cs="Calibri"/>
                <w:sz w:val="22"/>
                <w:lang w:eastAsia="zh-CN"/>
              </w:rPr>
              <w:t>anism for this case can be left for FFS.</w:t>
            </w:r>
          </w:p>
        </w:tc>
      </w:tr>
      <w:tr w:rsidR="00EE4559" w14:paraId="292E1639" w14:textId="77777777" w:rsidTr="006B2419">
        <w:tc>
          <w:tcPr>
            <w:tcW w:w="1555" w:type="dxa"/>
          </w:tcPr>
          <w:p w14:paraId="3540BEEB" w14:textId="77777777" w:rsidR="00EE4559" w:rsidRDefault="00EE4559" w:rsidP="006B2419">
            <w:pPr>
              <w:pStyle w:val="0Maintext"/>
              <w:spacing w:after="0" w:afterAutospacing="0"/>
              <w:ind w:firstLine="0"/>
              <w:rPr>
                <w:rFonts w:eastAsiaTheme="minorEastAsia"/>
                <w:lang w:eastAsia="zh-CN"/>
              </w:rPr>
            </w:pPr>
            <w:r>
              <w:rPr>
                <w:rFonts w:eastAsiaTheme="minorEastAsia"/>
                <w:lang w:eastAsia="zh-CN"/>
              </w:rPr>
              <w:t>Lenovo</w:t>
            </w:r>
          </w:p>
        </w:tc>
        <w:tc>
          <w:tcPr>
            <w:tcW w:w="8076" w:type="dxa"/>
          </w:tcPr>
          <w:p w14:paraId="0FE907DB" w14:textId="77777777" w:rsidR="00EE4559" w:rsidRDefault="00EE4559" w:rsidP="006B2419">
            <w:pPr>
              <w:pStyle w:val="0Maintext"/>
              <w:spacing w:after="0" w:afterAutospacing="0"/>
              <w:ind w:firstLine="0"/>
              <w:rPr>
                <w:rFonts w:eastAsiaTheme="minorEastAsia"/>
                <w:lang w:eastAsia="zh-CN"/>
              </w:rPr>
            </w:pPr>
            <w:r>
              <w:rPr>
                <w:rFonts w:eastAsiaTheme="minorEastAsia"/>
                <w:lang w:eastAsia="zh-CN"/>
              </w:rPr>
              <w:t>Generally we agree with Intel that RAN1 needs progress on the definition of a reference resource first. With the current proposal, it is very unclear how CWS adaptation will work if during a COT we have a mix of groupcast option 1, groupcast option 2, and disabled feedback. So unfortunately we cannot agree to the proposal at this stage.</w:t>
            </w:r>
          </w:p>
          <w:p w14:paraId="79DF15CD" w14:textId="77777777" w:rsidR="00EE4559" w:rsidRDefault="00EE4559" w:rsidP="006B2419">
            <w:pPr>
              <w:pStyle w:val="0Maintext"/>
              <w:spacing w:after="0" w:afterAutospacing="0"/>
              <w:ind w:firstLine="0"/>
              <w:rPr>
                <w:rFonts w:eastAsiaTheme="minorEastAsia"/>
                <w:lang w:eastAsia="zh-CN"/>
              </w:rPr>
            </w:pPr>
          </w:p>
          <w:p w14:paraId="7E5450FB" w14:textId="77777777" w:rsidR="00EE4559" w:rsidRDefault="00EE4559" w:rsidP="006B2419">
            <w:pPr>
              <w:pStyle w:val="0Maintext"/>
              <w:spacing w:after="0" w:afterAutospacing="0"/>
              <w:ind w:firstLine="0"/>
              <w:rPr>
                <w:rFonts w:eastAsiaTheme="minorEastAsia"/>
                <w:lang w:eastAsia="zh-CN"/>
              </w:rPr>
            </w:pPr>
            <w:r>
              <w:rPr>
                <w:rFonts w:eastAsiaTheme="minorEastAsia"/>
                <w:lang w:eastAsia="zh-CN"/>
              </w:rPr>
              <w:t>We think we should adapt 37.213 clause 4.2.2.3 to SL:</w:t>
            </w:r>
          </w:p>
          <w:p w14:paraId="03B3A29A" w14:textId="77777777" w:rsidR="00EE4559" w:rsidRPr="00ED3A03" w:rsidRDefault="00EE4559" w:rsidP="006B2419">
            <w:pPr>
              <w:pStyle w:val="B1"/>
            </w:pPr>
            <w:r w:rsidRPr="00ED3A03">
              <w:rPr>
                <w:lang w:val="en-US"/>
              </w:rPr>
              <w:t>-</w:t>
            </w:r>
            <w:r w:rsidRPr="00ED3A03">
              <w:rPr>
                <w:lang w:val="en-US"/>
              </w:rPr>
              <w:tab/>
            </w:r>
            <w:r w:rsidRPr="00ED3A03">
              <w:t xml:space="preserve">If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max,</m:t>
                      </m:r>
                    </m:fName>
                    <m:e>
                      <m:r>
                        <w:rPr>
                          <w:rFonts w:ascii="Cambria Math" w:hAnsi="Cambria Math"/>
                        </w:rPr>
                        <m:t>p</m:t>
                      </m:r>
                    </m:e>
                  </m:func>
                </m:sub>
              </m:sSub>
            </m:oMath>
            <w:r w:rsidRPr="00ED3A03">
              <w:t xml:space="preserve">, the next higher allowed value for adjusting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ED3A03">
              <w:t xml:space="preserve"> is </w:t>
            </w:r>
            <m:oMath>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max,</m:t>
                      </m:r>
                    </m:fName>
                    <m:e>
                      <m:r>
                        <w:rPr>
                          <w:rFonts w:ascii="Cambria Math" w:hAnsi="Cambria Math"/>
                        </w:rPr>
                        <m:t>p</m:t>
                      </m:r>
                    </m:e>
                  </m:func>
                </m:sub>
              </m:sSub>
            </m:oMath>
            <w:r w:rsidRPr="00ED3A03">
              <w:t>.</w:t>
            </w:r>
          </w:p>
          <w:p w14:paraId="1D719356" w14:textId="77777777" w:rsidR="00EE4559" w:rsidRPr="00A82901" w:rsidRDefault="00EE4559" w:rsidP="006B2419">
            <w:pPr>
              <w:autoSpaceDE w:val="0"/>
              <w:autoSpaceDN w:val="0"/>
              <w:jc w:val="both"/>
              <w:rPr>
                <w:rFonts w:ascii="Times New Roman" w:eastAsiaTheme="minorEastAsia" w:hAnsi="Times New Roman"/>
                <w:sz w:val="22"/>
                <w:lang w:eastAsia="zh-CN"/>
              </w:rPr>
            </w:pPr>
            <w:r w:rsidRPr="00ED3A03">
              <w:rPr>
                <w:lang w:val="en-US"/>
              </w:rPr>
              <w:t>-</w:t>
            </w:r>
            <w:r w:rsidRPr="00ED3A03">
              <w:rPr>
                <w:lang w:val="en-US"/>
              </w:rPr>
              <w:tab/>
              <w:t xml:space="preserve">If the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max,</m:t>
                      </m:r>
                    </m:fName>
                    <m:e>
                      <m:r>
                        <w:rPr>
                          <w:rFonts w:ascii="Cambria Math" w:hAnsi="Cambria Math"/>
                        </w:rPr>
                        <m:t>p</m:t>
                      </m:r>
                    </m:e>
                  </m:func>
                </m:sub>
              </m:sSub>
            </m:oMath>
            <w:r w:rsidRPr="00ED3A03">
              <w:rPr>
                <w:lang w:val="en-US"/>
              </w:rPr>
              <w:t xml:space="preserve"> is consecutively used </w:t>
            </w:r>
            <m:oMath>
              <m:r>
                <w:rPr>
                  <w:rFonts w:ascii="Cambria Math" w:hAnsi="Cambria Math"/>
                </w:rPr>
                <m:t>K</m:t>
              </m:r>
            </m:oMath>
            <w:r w:rsidRPr="00ED3A03">
              <w:rPr>
                <w:lang w:val="en-US"/>
              </w:rPr>
              <w:t xml:space="preserve"> times for generation of </w:t>
            </w:r>
            <m:oMath>
              <m:sSub>
                <m:sSubPr>
                  <m:ctrlPr>
                    <w:rPr>
                      <w:rFonts w:ascii="Cambria Math" w:hAnsi="Cambria Math"/>
                      <w:i/>
                    </w:rPr>
                  </m:ctrlPr>
                </m:sSubPr>
                <m:e>
                  <m:r>
                    <w:rPr>
                      <w:rFonts w:ascii="Cambria Math" w:hAnsi="Cambria Math"/>
                    </w:rPr>
                    <m:t>N</m:t>
                  </m:r>
                </m:e>
                <m:sub>
                  <m:r>
                    <w:rPr>
                      <w:rFonts w:ascii="Cambria Math" w:hAnsi="Cambria Math"/>
                    </w:rPr>
                    <m:t>init</m:t>
                  </m:r>
                </m:sub>
              </m:sSub>
            </m:oMath>
            <w:r w:rsidRPr="00ED3A03">
              <w:t xml:space="preserv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ED3A03">
              <w:rPr>
                <w:lang w:val="en-US"/>
              </w:rPr>
              <w:t xml:space="preserve"> is reset to </w:t>
            </w:r>
            <m:oMath>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min,</m:t>
                      </m:r>
                    </m:fName>
                    <m:e>
                      <m:r>
                        <w:rPr>
                          <w:rFonts w:ascii="Cambria Math" w:hAnsi="Cambria Math"/>
                        </w:rPr>
                        <m:t>p</m:t>
                      </m:r>
                    </m:e>
                  </m:func>
                </m:sub>
              </m:sSub>
            </m:oMath>
            <w:r w:rsidRPr="00ED3A03">
              <w:t xml:space="preserve"> only for that priority class </w:t>
            </w:r>
            <m:oMath>
              <m:r>
                <w:rPr>
                  <w:rFonts w:ascii="Cambria Math" w:hAnsi="Cambria Math"/>
                </w:rPr>
                <m:t>p</m:t>
              </m:r>
            </m:oMath>
            <w:r w:rsidRPr="00ED3A03">
              <w:t xml:space="preserve"> for which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max,</m:t>
                      </m:r>
                    </m:fName>
                    <m:e>
                      <m:r>
                        <w:rPr>
                          <w:rFonts w:ascii="Cambria Math" w:hAnsi="Cambria Math"/>
                        </w:rPr>
                        <m:t>p</m:t>
                      </m:r>
                    </m:e>
                  </m:func>
                </m:sub>
              </m:sSub>
            </m:oMath>
            <w:r w:rsidRPr="00ED3A03">
              <w:rPr>
                <w:lang w:val="en-US"/>
              </w:rPr>
              <w:t xml:space="preserve"> is consecutively used </w:t>
            </w:r>
            <m:oMath>
              <m:r>
                <w:rPr>
                  <w:rFonts w:ascii="Cambria Math" w:hAnsi="Cambria Math"/>
                </w:rPr>
                <m:t>K</m:t>
              </m:r>
            </m:oMath>
            <w:r w:rsidRPr="00ED3A03">
              <w:rPr>
                <w:lang w:val="en-US"/>
              </w:rPr>
              <w:t xml:space="preserve"> times for generation of </w:t>
            </w:r>
            <m:oMath>
              <m:sSub>
                <m:sSubPr>
                  <m:ctrlPr>
                    <w:rPr>
                      <w:rFonts w:ascii="Cambria Math" w:hAnsi="Cambria Math"/>
                      <w:i/>
                    </w:rPr>
                  </m:ctrlPr>
                </m:sSubPr>
                <m:e>
                  <m:r>
                    <w:rPr>
                      <w:rFonts w:ascii="Cambria Math" w:hAnsi="Cambria Math"/>
                    </w:rPr>
                    <m:t>N</m:t>
                  </m:r>
                </m:e>
                <m:sub>
                  <m:r>
                    <w:rPr>
                      <w:rFonts w:ascii="Cambria Math" w:hAnsi="Cambria Math"/>
                    </w:rPr>
                    <m:t>init</m:t>
                  </m:r>
                </m:sub>
              </m:sSub>
            </m:oMath>
            <w:r w:rsidRPr="00ED3A03">
              <w:t xml:space="preserve">. </w:t>
            </w:r>
            <m:oMath>
              <m:r>
                <w:rPr>
                  <w:rFonts w:ascii="Cambria Math" w:hAnsi="Cambria Math"/>
                </w:rPr>
                <m:t>K</m:t>
              </m:r>
            </m:oMath>
            <w:r w:rsidRPr="00ED3A03">
              <w:rPr>
                <w:lang w:val="en-US"/>
              </w:rPr>
              <w:t xml:space="preserve"> is selected by UE from the set of values {1, 2, …,8} for each priority class</w:t>
            </w:r>
            <w:r w:rsidRPr="00ED3A03">
              <w:t xml:space="preserve"> </w:t>
            </w:r>
            <m:oMath>
              <m:r>
                <w:rPr>
                  <w:rFonts w:ascii="Cambria Math" w:hAnsi="Cambria Math"/>
                </w:rPr>
                <m:t>p∈</m:t>
              </m:r>
              <m:d>
                <m:dPr>
                  <m:begChr m:val="{"/>
                  <m:endChr m:val="}"/>
                  <m:ctrlPr>
                    <w:rPr>
                      <w:rFonts w:ascii="Cambria Math" w:hAnsi="Cambria Math"/>
                      <w:i/>
                    </w:rPr>
                  </m:ctrlPr>
                </m:dPr>
                <m:e>
                  <m:r>
                    <w:rPr>
                      <w:rFonts w:ascii="Cambria Math" w:hAnsi="Cambria Math"/>
                    </w:rPr>
                    <m:t>1,2,3,4</m:t>
                  </m:r>
                </m:e>
              </m:d>
            </m:oMath>
            <w:r w:rsidRPr="00ED3A03">
              <w:rPr>
                <w:lang w:val="en-US"/>
              </w:rPr>
              <w:t>.</w:t>
            </w:r>
          </w:p>
        </w:tc>
      </w:tr>
    </w:tbl>
    <w:tbl>
      <w:tblPr>
        <w:tblStyle w:val="TableGrid7"/>
        <w:tblW w:w="9631" w:type="dxa"/>
        <w:tblLayout w:type="fixed"/>
        <w:tblLook w:val="04A0" w:firstRow="1" w:lastRow="0" w:firstColumn="1" w:lastColumn="0" w:noHBand="0" w:noVBand="1"/>
      </w:tblPr>
      <w:tblGrid>
        <w:gridCol w:w="1555"/>
        <w:gridCol w:w="8076"/>
      </w:tblGrid>
      <w:tr w:rsidR="00EE4559" w14:paraId="7C946EF7" w14:textId="77777777" w:rsidTr="006B2419">
        <w:tc>
          <w:tcPr>
            <w:tcW w:w="1555" w:type="dxa"/>
          </w:tcPr>
          <w:p w14:paraId="68174339" w14:textId="77777777" w:rsidR="00EE4559" w:rsidRDefault="00EE4559" w:rsidP="006B2419">
            <w:pPr>
              <w:pStyle w:val="0Maintext"/>
              <w:spacing w:after="0" w:afterAutospacing="0"/>
              <w:ind w:firstLine="0"/>
            </w:pPr>
            <w:r>
              <w:lastRenderedPageBreak/>
              <w:t>Futurewei</w:t>
            </w:r>
          </w:p>
        </w:tc>
        <w:tc>
          <w:tcPr>
            <w:tcW w:w="8076" w:type="dxa"/>
          </w:tcPr>
          <w:p w14:paraId="5F7ADC96" w14:textId="77777777" w:rsidR="00EE4559" w:rsidRDefault="00EE4559" w:rsidP="006B2419">
            <w:pPr>
              <w:pStyle w:val="0Maintext"/>
              <w:spacing w:after="0" w:afterAutospacing="0"/>
              <w:ind w:firstLine="0"/>
            </w:pPr>
            <w:r>
              <w:t xml:space="preserve">We note that RAN1 did not agree yet on which Type 1 (DL or UL based) channel access is used in each situation. CAPC should be dependent on the Type 1 usage (as intended in TS 37.213) rather than selected independently. </w:t>
            </w:r>
          </w:p>
          <w:p w14:paraId="076D6281" w14:textId="77777777" w:rsidR="00EE4559" w:rsidRDefault="00EE4559" w:rsidP="006B2419">
            <w:pPr>
              <w:pStyle w:val="0Maintext"/>
              <w:spacing w:after="0" w:afterAutospacing="0"/>
              <w:ind w:firstLine="0"/>
            </w:pPr>
            <w:r>
              <w:t>We propose to postpone this proposal and its exact formulation until the Type 1 channel access details are decided.</w:t>
            </w:r>
          </w:p>
          <w:p w14:paraId="0A689395" w14:textId="77777777" w:rsidR="00EE4559" w:rsidRDefault="00EE4559" w:rsidP="006B2419">
            <w:pPr>
              <w:pStyle w:val="0Maintext"/>
              <w:spacing w:after="0" w:afterAutospacing="0"/>
              <w:ind w:firstLine="0"/>
            </w:pPr>
          </w:p>
          <w:p w14:paraId="68F26EC1" w14:textId="77777777" w:rsidR="00EE4559" w:rsidRDefault="00EE4559" w:rsidP="006B2419">
            <w:pPr>
              <w:pStyle w:val="0Maintext"/>
              <w:spacing w:after="0" w:afterAutospacing="0"/>
              <w:ind w:firstLine="0"/>
            </w:pPr>
            <w:r>
              <w:t xml:space="preserve">TS 37.213 specifies that Type 1 UL (and therefore UL CAPC) is used for transmissions scheduled or configured by gNB. </w:t>
            </w:r>
          </w:p>
          <w:p w14:paraId="378FC1B9" w14:textId="77777777" w:rsidR="00EE4559" w:rsidRDefault="00EE4559" w:rsidP="006B2419">
            <w:pPr>
              <w:pStyle w:val="0Maintext"/>
              <w:spacing w:after="0" w:afterAutospacing="0"/>
              <w:ind w:firstLine="0"/>
            </w:pPr>
            <w:r>
              <w:t>RAN1 did not yet agree whether a SL UE that initiates a COT is controlling the channel access of the SL UE responders that share the COT. In other words, it is not decided if the COT initiator plays the role of the supervisor UE. If this is the case, it makes sense that SL U channel access mirror the CAPC from NR-U i.e., the UE uses DL Type 1(and DL CAPC) to initiate a COT, and UL Type 1 (and UL CAPC) to share a COT when indicated by the COT initiator.</w:t>
            </w:r>
          </w:p>
          <w:p w14:paraId="2107A75B" w14:textId="3467981C" w:rsidR="00EE4559" w:rsidRDefault="00EE4559" w:rsidP="006B2419">
            <w:pPr>
              <w:pStyle w:val="0Maintext"/>
              <w:spacing w:after="0" w:afterAutospacing="0"/>
              <w:ind w:firstLine="0"/>
            </w:pPr>
          </w:p>
          <w:p w14:paraId="3DAC1D09" w14:textId="77777777" w:rsidR="00EE4559" w:rsidRDefault="00EE4559" w:rsidP="006B2419">
            <w:pPr>
              <w:pStyle w:val="0Maintext"/>
              <w:spacing w:after="0" w:afterAutospacing="0"/>
              <w:ind w:firstLine="0"/>
            </w:pPr>
            <w:r>
              <w:t xml:space="preserve">When using DL CAPC, the SL-UEs will have the same priority as gNB operating in shared spectrum, which may put gNB in disadvantage if there are many SL UE trying to access channel. At the same time, a SL UE may be in disadvantage for accessing the channel with respect of gNB is only UL CAPC is used for initiating a COT, i.e., SL UE will have less opportunities to initiate COTs therefore experiencing increased delays. </w:t>
            </w:r>
          </w:p>
          <w:p w14:paraId="560E45B1" w14:textId="6A8611D9" w:rsidR="00EE4559" w:rsidRDefault="00EE4559" w:rsidP="006B2419">
            <w:pPr>
              <w:pStyle w:val="0Maintext"/>
              <w:spacing w:after="0" w:afterAutospacing="0"/>
              <w:ind w:firstLine="0"/>
            </w:pPr>
            <w:r>
              <w:t>A more nuanced solution, which we prefer, would be to use DL CAPC to initiate a COT and an UL CAPC for all other cases.</w:t>
            </w:r>
          </w:p>
        </w:tc>
      </w:tr>
      <w:tr w:rsidR="00EE4559" w14:paraId="4E815B4B" w14:textId="77777777" w:rsidTr="006B2419">
        <w:tc>
          <w:tcPr>
            <w:tcW w:w="1555" w:type="dxa"/>
          </w:tcPr>
          <w:p w14:paraId="6571E780" w14:textId="77777777" w:rsidR="00EE4559" w:rsidRDefault="00EE4559" w:rsidP="006B2419">
            <w:pPr>
              <w:pStyle w:val="0Maintext"/>
              <w:spacing w:after="0" w:afterAutospacing="0"/>
              <w:ind w:firstLine="0"/>
            </w:pPr>
            <w:r>
              <w:t>NSC</w:t>
            </w:r>
          </w:p>
        </w:tc>
        <w:tc>
          <w:tcPr>
            <w:tcW w:w="8076" w:type="dxa"/>
          </w:tcPr>
          <w:p w14:paraId="5DCAF762" w14:textId="77777777" w:rsidR="00EE4559" w:rsidRDefault="00EE4559" w:rsidP="006B2419">
            <w:pPr>
              <w:pStyle w:val="0Maintext"/>
              <w:spacing w:after="0" w:afterAutospacing="0"/>
              <w:ind w:firstLine="0"/>
            </w:pPr>
            <w:r>
              <w:t>Generally supportive but groupcast case needs further refining.</w:t>
            </w:r>
          </w:p>
        </w:tc>
      </w:tr>
      <w:tr w:rsidR="005547DE" w:rsidRPr="00044857" w14:paraId="059EDD56" w14:textId="77777777" w:rsidTr="005547DE">
        <w:tc>
          <w:tcPr>
            <w:tcW w:w="1555" w:type="dxa"/>
          </w:tcPr>
          <w:p w14:paraId="4AF43A41" w14:textId="77777777" w:rsidR="005547DE" w:rsidRDefault="005547DE" w:rsidP="006B2419">
            <w:pPr>
              <w:pStyle w:val="0Maintext"/>
              <w:spacing w:after="0" w:afterAutospacing="0"/>
              <w:ind w:firstLine="0"/>
            </w:pPr>
            <w:r w:rsidRPr="00DE47F8">
              <w:t>Huawei, HiSilicon</w:t>
            </w:r>
          </w:p>
        </w:tc>
        <w:tc>
          <w:tcPr>
            <w:tcW w:w="8076" w:type="dxa"/>
          </w:tcPr>
          <w:p w14:paraId="166BBEBC" w14:textId="77777777" w:rsidR="005547DE" w:rsidRDefault="005547DE" w:rsidP="006B2419">
            <w:pPr>
              <w:pStyle w:val="0Maintext"/>
              <w:spacing w:after="0" w:afterAutospacing="0"/>
              <w:ind w:firstLine="0"/>
              <w:rPr>
                <w:rFonts w:eastAsiaTheme="minorEastAsia"/>
                <w:lang w:eastAsia="zh-CN"/>
              </w:rPr>
            </w:pPr>
            <w:r>
              <w:rPr>
                <w:rFonts w:eastAsiaTheme="minorEastAsia" w:hint="eastAsia"/>
                <w:lang w:eastAsia="zh-CN"/>
              </w:rPr>
              <w:t>F</w:t>
            </w:r>
            <w:r>
              <w:rPr>
                <w:rFonts w:eastAsiaTheme="minorEastAsia"/>
                <w:lang w:eastAsia="zh-CN"/>
              </w:rPr>
              <w:t>or the first bullet, we think current NR-U procedure cannot directly used in sidelink.</w:t>
            </w:r>
            <w:r>
              <w:t xml:space="preserve"> If CW is not adjusted any longer when SL HARQ is disabled, f</w:t>
            </w:r>
            <w:r w:rsidRPr="00AD3679">
              <w:rPr>
                <w:rFonts w:eastAsiaTheme="minorEastAsia"/>
                <w:lang w:eastAsia="zh-CN"/>
              </w:rPr>
              <w:t>or different UEs’ initial transmissions selecting same CW, there may exist transmission collision due to lack of reservation information, and collision will occur persistently. One possible way to solve the issue is that CW is adjusted according to the number TBs is going to be transmitted within a COT. If there is a large quantity of retransmissions, a UE could initiate a COT with larger CW to avoid the retransmission’s collisions with others transmission.</w:t>
            </w:r>
          </w:p>
          <w:p w14:paraId="3E80F416" w14:textId="77777777" w:rsidR="005547DE" w:rsidRDefault="005547DE" w:rsidP="006B2419">
            <w:pPr>
              <w:pStyle w:val="0Maintext"/>
              <w:spacing w:after="0" w:afterAutospacing="0"/>
              <w:ind w:firstLine="0"/>
              <w:rPr>
                <w:rFonts w:eastAsiaTheme="minorEastAsia"/>
                <w:lang w:eastAsia="zh-CN"/>
              </w:rPr>
            </w:pPr>
            <w:r>
              <w:rPr>
                <w:rFonts w:eastAsiaTheme="minorEastAsia" w:hint="eastAsia"/>
                <w:lang w:eastAsia="zh-CN"/>
              </w:rPr>
              <w:t>F</w:t>
            </w:r>
            <w:r>
              <w:rPr>
                <w:rFonts w:eastAsiaTheme="minorEastAsia"/>
                <w:lang w:eastAsia="zh-CN"/>
              </w:rPr>
              <w:t>or the second bullt, we are OK.</w:t>
            </w:r>
          </w:p>
          <w:p w14:paraId="7420B5E6" w14:textId="77777777" w:rsidR="005547DE" w:rsidRDefault="005547DE" w:rsidP="006B2419">
            <w:pPr>
              <w:pStyle w:val="0Maintext"/>
              <w:spacing w:after="0" w:afterAutospacing="0"/>
              <w:ind w:firstLine="0"/>
              <w:rPr>
                <w:rFonts w:eastAsiaTheme="minorEastAsia"/>
                <w:lang w:eastAsia="zh-CN"/>
              </w:rPr>
            </w:pPr>
            <w:r>
              <w:rPr>
                <w:rFonts w:eastAsiaTheme="minorEastAsia"/>
                <w:lang w:eastAsia="zh-CN"/>
              </w:rPr>
              <w:t>For the third bullet, we support Option 1.</w:t>
            </w:r>
          </w:p>
          <w:p w14:paraId="25EF2474" w14:textId="77777777" w:rsidR="005547DE" w:rsidRPr="00991551" w:rsidRDefault="005547DE" w:rsidP="006B2419">
            <w:pPr>
              <w:pStyle w:val="0Maintext"/>
              <w:spacing w:after="0" w:afterAutospacing="0"/>
              <w:ind w:firstLine="0"/>
              <w:rPr>
                <w:rFonts w:eastAsiaTheme="minorEastAsia"/>
                <w:lang w:eastAsia="zh-CN"/>
              </w:rPr>
            </w:pPr>
            <w:r>
              <w:rPr>
                <w:rFonts w:eastAsiaTheme="minorEastAsia"/>
                <w:lang w:eastAsia="zh-CN"/>
              </w:rPr>
              <w:t>And more, in NR-U, the reference duration is defined as “</w:t>
            </w:r>
            <w:r w:rsidRPr="00ED3A03">
              <w:t>The</w:t>
            </w:r>
            <w:r w:rsidRPr="00ED3A03">
              <w:rPr>
                <w:i/>
              </w:rPr>
              <w:t xml:space="preserve"> reference duration </w:t>
            </w:r>
            <w:r w:rsidRPr="00ED3A03">
              <w:t>corresponding to a channel occupancy initiated by the gNB including transmission of PDSCH(s) is defined in this cl</w:t>
            </w:r>
            <w:r w:rsidRPr="00830238">
              <w:rPr>
                <w:color w:val="000000" w:themeColor="text1"/>
              </w:rPr>
              <w:t xml:space="preserve">ause as a duration starting </w:t>
            </w:r>
            <w:r w:rsidRPr="00830238">
              <w:rPr>
                <w:color w:val="000000" w:themeColor="text1"/>
                <w:lang w:eastAsia="x-none"/>
              </w:rPr>
              <w:t>from the beginning of the channel occupancy until the end of the first slot where at least one unicast PDSCH is transmitted over all the resources allocated for the PDSCH</w:t>
            </w:r>
            <w:r>
              <w:rPr>
                <w:color w:val="000000" w:themeColor="text1"/>
                <w:lang w:eastAsia="x-none"/>
              </w:rPr>
              <w:t>,…</w:t>
            </w:r>
            <w:r>
              <w:rPr>
                <w:rFonts w:eastAsiaTheme="minorEastAsia"/>
                <w:lang w:eastAsia="zh-CN"/>
              </w:rPr>
              <w:t>” and there must be feedback for any transmission within the reference duration, but in SL-U, there will be the case that the transmissions within the reference duration don’t have feedbacks, thus current definition of reference duration is incorrect and neet to modify.</w:t>
            </w:r>
          </w:p>
          <w:p w14:paraId="62563F32" w14:textId="77777777" w:rsidR="005547DE" w:rsidRPr="00991551" w:rsidRDefault="005547DE" w:rsidP="006B2419">
            <w:pPr>
              <w:pStyle w:val="0Maintext"/>
              <w:spacing w:after="0" w:afterAutospacing="0"/>
              <w:ind w:firstLine="0"/>
              <w:rPr>
                <w:rFonts w:eastAsiaTheme="minorEastAsia"/>
                <w:lang w:eastAsia="zh-CN"/>
              </w:rPr>
            </w:pPr>
          </w:p>
          <w:p w14:paraId="21C33ED4" w14:textId="77777777" w:rsidR="005547DE" w:rsidRDefault="005547DE" w:rsidP="006B2419">
            <w:pPr>
              <w:pStyle w:val="0Maintext"/>
              <w:spacing w:after="0" w:afterAutospacing="0"/>
              <w:ind w:firstLine="0"/>
            </w:pPr>
            <w:r>
              <w:t>We give some modifications based on the FL’ proposal, as follow,</w:t>
            </w:r>
          </w:p>
          <w:p w14:paraId="5A4E0070" w14:textId="77777777" w:rsidR="005547DE" w:rsidRPr="00192E4C" w:rsidRDefault="005547DE" w:rsidP="006B2419">
            <w:pPr>
              <w:autoSpaceDE w:val="0"/>
              <w:autoSpaceDN w:val="0"/>
              <w:spacing w:before="120"/>
              <w:jc w:val="both"/>
              <w:rPr>
                <w:rFonts w:ascii="Calibri" w:hAnsi="Calibri" w:cs="Calibri"/>
                <w:sz w:val="22"/>
              </w:rPr>
            </w:pPr>
            <w:r w:rsidRPr="002F1DFF">
              <w:rPr>
                <w:rFonts w:ascii="Calibri" w:hAnsi="Calibri" w:cs="Calibri"/>
                <w:b/>
                <w:bCs/>
                <w:sz w:val="22"/>
                <w:highlight w:val="yellow"/>
              </w:rPr>
              <w:t>Proposal 2</w:t>
            </w:r>
            <w:r>
              <w:rPr>
                <w:rFonts w:ascii="Calibri" w:hAnsi="Calibri" w:cs="Calibri"/>
                <w:b/>
                <w:bCs/>
                <w:sz w:val="22"/>
                <w:highlight w:val="yellow"/>
              </w:rPr>
              <w:t>-2</w:t>
            </w:r>
            <w:r w:rsidRPr="002F1DFF">
              <w:rPr>
                <w:rFonts w:ascii="Calibri" w:hAnsi="Calibri" w:cs="Calibri"/>
                <w:b/>
                <w:bCs/>
                <w:sz w:val="22"/>
                <w:highlight w:val="yellow"/>
              </w:rPr>
              <w:t xml:space="preserve"> (I):</w:t>
            </w:r>
            <w:r w:rsidRPr="002F1DFF">
              <w:rPr>
                <w:rFonts w:ascii="Calibri" w:hAnsi="Calibri" w:cs="Calibri"/>
                <w:b/>
                <w:bCs/>
                <w:sz w:val="22"/>
              </w:rPr>
              <w:t xml:space="preserve"> </w:t>
            </w:r>
          </w:p>
          <w:p w14:paraId="7D73B614" w14:textId="77777777" w:rsidR="005547DE" w:rsidRDefault="005547DE" w:rsidP="006B2419">
            <w:pPr>
              <w:pStyle w:val="ListParagraph"/>
              <w:numPr>
                <w:ilvl w:val="0"/>
                <w:numId w:val="18"/>
              </w:numPr>
              <w:autoSpaceDE w:val="0"/>
              <w:autoSpaceDN w:val="0"/>
              <w:ind w:leftChars="0"/>
              <w:jc w:val="both"/>
              <w:rPr>
                <w:rFonts w:ascii="Calibri" w:hAnsi="Calibri" w:cs="Calibri"/>
                <w:sz w:val="22"/>
              </w:rPr>
            </w:pPr>
            <w:r>
              <w:rPr>
                <w:rFonts w:ascii="Calibri" w:hAnsi="Calibri" w:cs="Calibri"/>
                <w:sz w:val="22"/>
              </w:rPr>
              <w:t>In Type 1 SL channel access procedure,</w:t>
            </w:r>
          </w:p>
          <w:p w14:paraId="5B1D24F6" w14:textId="77777777" w:rsidR="005547DE" w:rsidRDefault="005547DE" w:rsidP="006B2419">
            <w:pPr>
              <w:pStyle w:val="ListParagraph"/>
              <w:numPr>
                <w:ilvl w:val="1"/>
                <w:numId w:val="18"/>
              </w:numPr>
              <w:autoSpaceDE w:val="0"/>
              <w:autoSpaceDN w:val="0"/>
              <w:ind w:leftChars="0"/>
              <w:jc w:val="both"/>
              <w:rPr>
                <w:rFonts w:ascii="Calibri" w:hAnsi="Calibri" w:cs="Calibri"/>
                <w:sz w:val="22"/>
              </w:rPr>
            </w:pPr>
            <w:r w:rsidRPr="00CF6AD2">
              <w:rPr>
                <w:rFonts w:ascii="Calibri" w:hAnsi="Calibri" w:cs="Calibri"/>
                <w:sz w:val="22"/>
              </w:rPr>
              <w:t>CW adjustment when SL-HARQ feedback is disabled in SCI:</w:t>
            </w:r>
          </w:p>
          <w:p w14:paraId="081FC969" w14:textId="77777777" w:rsidR="005547DE" w:rsidRPr="003129AC" w:rsidRDefault="005547DE" w:rsidP="006B2419">
            <w:pPr>
              <w:pStyle w:val="ListParagraph"/>
              <w:numPr>
                <w:ilvl w:val="2"/>
                <w:numId w:val="18"/>
              </w:numPr>
              <w:autoSpaceDE w:val="0"/>
              <w:autoSpaceDN w:val="0"/>
              <w:ind w:leftChars="0"/>
              <w:jc w:val="both"/>
              <w:rPr>
                <w:rFonts w:ascii="Calibri" w:hAnsi="Calibri" w:cs="Calibri"/>
                <w:color w:val="00B050"/>
                <w:sz w:val="22"/>
              </w:rPr>
            </w:pPr>
            <w:r w:rsidRPr="003129AC">
              <w:rPr>
                <w:rFonts w:ascii="Calibri" w:hAnsi="Calibri" w:cs="Calibri" w:hint="eastAsia"/>
                <w:strike/>
                <w:color w:val="00B050"/>
                <w:sz w:val="22"/>
                <w:lang w:val="en-AU"/>
              </w:rPr>
              <w:t xml:space="preserve">For every priority class </w:t>
            </w:r>
            <m:oMath>
              <m:r>
                <w:rPr>
                  <w:rFonts w:ascii="Cambria Math" w:hAnsi="Cambria Math" w:cs="Calibri"/>
                  <w:strike/>
                  <w:color w:val="00B050"/>
                  <w:sz w:val="22"/>
                </w:rPr>
                <m:t>p∈</m:t>
              </m:r>
              <m:d>
                <m:dPr>
                  <m:begChr m:val="{"/>
                  <m:endChr m:val="}"/>
                  <m:ctrlPr>
                    <w:rPr>
                      <w:rFonts w:ascii="Cambria Math" w:hAnsi="Cambria Math" w:cs="Calibri"/>
                      <w:i/>
                      <w:iCs/>
                      <w:strike/>
                      <w:color w:val="00B050"/>
                      <w:sz w:val="22"/>
                    </w:rPr>
                  </m:ctrlPr>
                </m:dPr>
                <m:e>
                  <m:r>
                    <w:rPr>
                      <w:rFonts w:ascii="Cambria Math" w:hAnsi="Cambria Math" w:cs="Calibri"/>
                      <w:strike/>
                      <w:color w:val="00B050"/>
                      <w:sz w:val="22"/>
                    </w:rPr>
                    <m:t>1,2,3,4</m:t>
                  </m:r>
                </m:e>
              </m:d>
            </m:oMath>
            <w:r w:rsidRPr="003129AC">
              <w:rPr>
                <w:rFonts w:ascii="Calibri" w:hAnsi="Calibri" w:cs="Calibri" w:hint="eastAsia"/>
                <w:strike/>
                <w:color w:val="00B050"/>
                <w:sz w:val="22"/>
                <w:lang w:val="en-AU"/>
              </w:rPr>
              <w:t>,</w:t>
            </w:r>
            <w:r w:rsidRPr="003129AC">
              <w:rPr>
                <w:rFonts w:ascii="Calibri" w:hAnsi="Calibri" w:cs="Calibri"/>
                <w:i/>
                <w:iCs/>
                <w:strike/>
                <w:color w:val="00B050"/>
                <w:sz w:val="22"/>
              </w:rPr>
              <w:t xml:space="preserve"> </w:t>
            </w:r>
            <w:r w:rsidRPr="003129AC">
              <w:rPr>
                <w:rFonts w:ascii="Calibri" w:hAnsi="Calibri" w:cs="Calibri"/>
                <w:strike/>
                <w:color w:val="00B050"/>
                <w:sz w:val="22"/>
              </w:rPr>
              <w:t>use the latest</w:t>
            </w:r>
            <w:r w:rsidRPr="003129AC">
              <w:rPr>
                <w:rFonts w:ascii="Calibri" w:hAnsi="Calibri" w:cs="Calibri" w:hint="eastAsia"/>
                <w:strike/>
                <w:color w:val="00B050"/>
                <w:sz w:val="22"/>
              </w:rPr>
              <w:t xml:space="preserve"> </w:t>
            </w:r>
            <m:oMath>
              <m:r>
                <w:rPr>
                  <w:rFonts w:ascii="Cambria Math" w:hAnsi="Cambria Math" w:cs="Calibri"/>
                  <w:strike/>
                  <w:color w:val="00B050"/>
                  <w:sz w:val="22"/>
                </w:rPr>
                <m:t>C</m:t>
              </m:r>
              <m:sSub>
                <m:sSubPr>
                  <m:ctrlPr>
                    <w:rPr>
                      <w:rFonts w:ascii="Cambria Math" w:hAnsi="Cambria Math" w:cs="Calibri"/>
                      <w:i/>
                      <w:iCs/>
                      <w:strike/>
                      <w:color w:val="00B050"/>
                      <w:sz w:val="22"/>
                    </w:rPr>
                  </m:ctrlPr>
                </m:sSubPr>
                <m:e>
                  <m:r>
                    <w:rPr>
                      <w:rFonts w:ascii="Cambria Math" w:hAnsi="Cambria Math" w:cs="Calibri"/>
                      <w:strike/>
                      <w:color w:val="00B050"/>
                      <w:sz w:val="22"/>
                    </w:rPr>
                    <m:t>W</m:t>
                  </m:r>
                </m:e>
                <m:sub>
                  <m:r>
                    <w:rPr>
                      <w:rFonts w:ascii="Cambria Math" w:hAnsi="Cambria Math" w:cs="Calibri"/>
                      <w:strike/>
                      <w:color w:val="00B050"/>
                      <w:sz w:val="22"/>
                    </w:rPr>
                    <m:t>p</m:t>
                  </m:r>
                </m:sub>
              </m:sSub>
            </m:oMath>
            <w:r w:rsidRPr="003129AC">
              <w:rPr>
                <w:rFonts w:ascii="Calibri" w:hAnsi="Calibri" w:cs="Calibri" w:hint="eastAsia"/>
                <w:strike/>
                <w:color w:val="00B050"/>
                <w:sz w:val="22"/>
              </w:rPr>
              <w:t xml:space="preserve"> </w:t>
            </w:r>
            <w:r w:rsidRPr="003129AC">
              <w:rPr>
                <w:rFonts w:ascii="Calibri" w:hAnsi="Calibri" w:cs="Calibri"/>
                <w:strike/>
                <w:color w:val="00B050"/>
                <w:sz w:val="22"/>
              </w:rPr>
              <w:t xml:space="preserve">used for any SL transmissions on the channel using Type 1 channel access procedures associated with the channel access priority class </w:t>
            </w:r>
            <m:oMath>
              <m:r>
                <w:rPr>
                  <w:rFonts w:ascii="Cambria Math" w:hAnsi="Cambria Math" w:cs="Calibri"/>
                  <w:strike/>
                  <w:color w:val="00B050"/>
                  <w:sz w:val="22"/>
                </w:rPr>
                <m:t>p</m:t>
              </m:r>
            </m:oMath>
            <w:r w:rsidRPr="003129AC">
              <w:rPr>
                <w:rFonts w:ascii="Calibri" w:hAnsi="Calibri" w:cs="Calibri" w:hint="eastAsia"/>
                <w:strike/>
                <w:color w:val="00B050"/>
                <w:sz w:val="22"/>
              </w:rPr>
              <w:t>.</w:t>
            </w:r>
            <w:r w:rsidRPr="003129AC">
              <w:rPr>
                <w:rFonts w:ascii="Calibri" w:hAnsi="Calibri" w:cs="Calibri"/>
                <w:strike/>
                <w:color w:val="00B050"/>
                <w:sz w:val="22"/>
              </w:rPr>
              <w:t xml:space="preserve"> </w:t>
            </w:r>
            <w:r w:rsidRPr="003129AC">
              <w:rPr>
                <w:rFonts w:asciiTheme="minorHAnsi" w:hAnsiTheme="minorHAnsi" w:cstheme="minorHAnsi"/>
                <w:strike/>
                <w:color w:val="00B050"/>
                <w:sz w:val="22"/>
                <w:szCs w:val="28"/>
              </w:rPr>
              <w:t xml:space="preserve">If the corresponding channel access priority class </w:t>
            </w:r>
            <m:oMath>
              <m:r>
                <w:rPr>
                  <w:rFonts w:ascii="Cambria Math" w:hAnsi="Cambria Math" w:cstheme="minorHAnsi"/>
                  <w:strike/>
                  <w:color w:val="00B050"/>
                  <w:sz w:val="22"/>
                  <w:szCs w:val="28"/>
                </w:rPr>
                <m:t>p</m:t>
              </m:r>
            </m:oMath>
            <w:r w:rsidRPr="003129AC">
              <w:rPr>
                <w:rFonts w:asciiTheme="minorHAnsi" w:hAnsiTheme="minorHAnsi" w:cstheme="minorHAnsi"/>
                <w:strike/>
                <w:color w:val="00B050"/>
                <w:sz w:val="22"/>
                <w:szCs w:val="28"/>
              </w:rPr>
              <w:t xml:space="preserve">  has not been used for any SL transmissions on the channel, </w:t>
            </w:r>
            <m:oMath>
              <m:r>
                <w:rPr>
                  <w:rFonts w:ascii="Cambria Math" w:hAnsi="Cambria Math" w:cstheme="minorHAnsi"/>
                  <w:strike/>
                  <w:color w:val="00B050"/>
                  <w:sz w:val="22"/>
                  <w:szCs w:val="28"/>
                </w:rPr>
                <m:t>C</m:t>
              </m:r>
              <m:sSub>
                <m:sSubPr>
                  <m:ctrlPr>
                    <w:rPr>
                      <w:rFonts w:ascii="Cambria Math" w:hAnsi="Cambria Math" w:cstheme="minorHAnsi"/>
                      <w:i/>
                      <w:strike/>
                      <w:color w:val="00B050"/>
                      <w:sz w:val="22"/>
                      <w:szCs w:val="28"/>
                    </w:rPr>
                  </m:ctrlPr>
                </m:sSubPr>
                <m:e>
                  <m:r>
                    <w:rPr>
                      <w:rFonts w:ascii="Cambria Math" w:hAnsi="Cambria Math" w:cstheme="minorHAnsi"/>
                      <w:strike/>
                      <w:color w:val="00B050"/>
                      <w:sz w:val="22"/>
                      <w:szCs w:val="28"/>
                    </w:rPr>
                    <m:t>W</m:t>
                  </m:r>
                </m:e>
                <m:sub>
                  <m:r>
                    <w:rPr>
                      <w:rFonts w:ascii="Cambria Math" w:hAnsi="Cambria Math" w:cstheme="minorHAnsi"/>
                      <w:strike/>
                      <w:color w:val="00B050"/>
                      <w:sz w:val="22"/>
                      <w:szCs w:val="28"/>
                    </w:rPr>
                    <m:t>p</m:t>
                  </m:r>
                </m:sub>
              </m:sSub>
              <m:r>
                <w:rPr>
                  <w:rFonts w:ascii="Cambria Math" w:hAnsi="Cambria Math" w:cstheme="minorHAnsi"/>
                  <w:strike/>
                  <w:color w:val="00B050"/>
                  <w:sz w:val="22"/>
                  <w:szCs w:val="28"/>
                  <w:lang w:val="en-US"/>
                </w:rPr>
                <m:t>=</m:t>
              </m:r>
              <m:r>
                <w:rPr>
                  <w:rFonts w:ascii="Cambria Math" w:hAnsi="Cambria Math" w:cstheme="minorHAnsi"/>
                  <w:strike/>
                  <w:color w:val="00B050"/>
                  <w:sz w:val="22"/>
                  <w:szCs w:val="28"/>
                </w:rPr>
                <m:t>C</m:t>
              </m:r>
              <m:sSub>
                <m:sSubPr>
                  <m:ctrlPr>
                    <w:rPr>
                      <w:rFonts w:ascii="Cambria Math" w:hAnsi="Cambria Math" w:cstheme="minorHAnsi"/>
                      <w:i/>
                      <w:strike/>
                      <w:color w:val="00B050"/>
                      <w:sz w:val="22"/>
                      <w:szCs w:val="28"/>
                    </w:rPr>
                  </m:ctrlPr>
                </m:sSubPr>
                <m:e>
                  <m:r>
                    <w:rPr>
                      <w:rFonts w:ascii="Cambria Math" w:hAnsi="Cambria Math" w:cstheme="minorHAnsi"/>
                      <w:strike/>
                      <w:color w:val="00B050"/>
                      <w:sz w:val="22"/>
                      <w:szCs w:val="28"/>
                    </w:rPr>
                    <m:t>W</m:t>
                  </m:r>
                </m:e>
                <m:sub>
                  <m:func>
                    <m:funcPr>
                      <m:ctrlPr>
                        <w:rPr>
                          <w:rFonts w:ascii="Cambria Math" w:hAnsi="Cambria Math" w:cstheme="minorHAnsi"/>
                          <w:i/>
                          <w:strike/>
                          <w:color w:val="00B050"/>
                          <w:sz w:val="22"/>
                          <w:szCs w:val="28"/>
                        </w:rPr>
                      </m:ctrlPr>
                    </m:funcPr>
                    <m:fName>
                      <m:r>
                        <w:rPr>
                          <w:rFonts w:ascii="Cambria Math" w:hAnsi="Cambria Math" w:cstheme="minorHAnsi"/>
                          <w:strike/>
                          <w:color w:val="00B050"/>
                          <w:sz w:val="22"/>
                          <w:szCs w:val="28"/>
                        </w:rPr>
                        <m:t>min</m:t>
                      </m:r>
                      <m:r>
                        <w:rPr>
                          <w:rFonts w:ascii="Cambria Math" w:hAnsi="Cambria Math" w:cstheme="minorHAnsi"/>
                          <w:strike/>
                          <w:color w:val="00B050"/>
                          <w:sz w:val="22"/>
                          <w:szCs w:val="28"/>
                          <w:lang w:val="en-US"/>
                        </w:rPr>
                        <m:t>,</m:t>
                      </m:r>
                    </m:fName>
                    <m:e>
                      <m:r>
                        <w:rPr>
                          <w:rFonts w:ascii="Cambria Math" w:hAnsi="Cambria Math" w:cstheme="minorHAnsi"/>
                          <w:strike/>
                          <w:color w:val="00B050"/>
                          <w:sz w:val="22"/>
                          <w:szCs w:val="28"/>
                        </w:rPr>
                        <m:t>p</m:t>
                      </m:r>
                    </m:e>
                  </m:func>
                </m:sub>
              </m:sSub>
            </m:oMath>
            <w:r w:rsidRPr="003129AC">
              <w:rPr>
                <w:rFonts w:asciiTheme="minorHAnsi" w:hAnsiTheme="minorHAnsi" w:cstheme="minorHAnsi"/>
                <w:strike/>
                <w:color w:val="00B050"/>
                <w:sz w:val="22"/>
                <w:szCs w:val="28"/>
              </w:rPr>
              <w:t xml:space="preserve"> is used</w:t>
            </w:r>
            <w:r w:rsidRPr="003129AC">
              <w:rPr>
                <w:rFonts w:asciiTheme="minorHAnsi" w:hAnsiTheme="minorHAnsi" w:cstheme="minorHAnsi"/>
                <w:color w:val="00B050"/>
                <w:sz w:val="22"/>
                <w:szCs w:val="28"/>
              </w:rPr>
              <w:t>.</w:t>
            </w:r>
          </w:p>
          <w:p w14:paraId="467E8508" w14:textId="77777777" w:rsidR="005547DE" w:rsidRPr="003129AC" w:rsidRDefault="005547DE" w:rsidP="006B2419">
            <w:pPr>
              <w:pStyle w:val="ListParagraph"/>
              <w:numPr>
                <w:ilvl w:val="2"/>
                <w:numId w:val="18"/>
              </w:numPr>
              <w:ind w:leftChars="0"/>
              <w:rPr>
                <w:rFonts w:asciiTheme="minorHAnsi" w:hAnsiTheme="minorHAnsi" w:cstheme="minorHAnsi"/>
                <w:color w:val="00B050"/>
                <w:sz w:val="22"/>
                <w:szCs w:val="28"/>
              </w:rPr>
            </w:pPr>
            <w:r w:rsidRPr="003129AC">
              <w:rPr>
                <w:rFonts w:asciiTheme="minorHAnsi" w:hAnsiTheme="minorHAnsi" w:cstheme="minorHAnsi"/>
                <w:color w:val="00B050"/>
                <w:sz w:val="22"/>
                <w:szCs w:val="28"/>
              </w:rPr>
              <w:t>CW is adjusted according to number blind retransmissions of the TBs within a COT</w:t>
            </w:r>
          </w:p>
          <w:p w14:paraId="7EC24D1C" w14:textId="77777777" w:rsidR="005547DE" w:rsidRDefault="005547DE" w:rsidP="006B2419">
            <w:pPr>
              <w:pStyle w:val="ListParagraph"/>
              <w:numPr>
                <w:ilvl w:val="1"/>
                <w:numId w:val="18"/>
              </w:numPr>
              <w:autoSpaceDE w:val="0"/>
              <w:autoSpaceDN w:val="0"/>
              <w:ind w:leftChars="0"/>
              <w:jc w:val="both"/>
              <w:rPr>
                <w:rFonts w:ascii="Calibri" w:hAnsi="Calibri" w:cs="Calibri"/>
                <w:sz w:val="22"/>
              </w:rPr>
            </w:pPr>
            <w:r w:rsidRPr="00CF6AD2">
              <w:rPr>
                <w:rFonts w:ascii="Calibri" w:hAnsi="Calibri" w:cs="Calibri"/>
                <w:sz w:val="22"/>
              </w:rPr>
              <w:t>CW adjustment for groupcast option 2:</w:t>
            </w:r>
          </w:p>
          <w:p w14:paraId="7F1516C4" w14:textId="77777777" w:rsidR="005547DE" w:rsidRDefault="005547DE" w:rsidP="006B2419">
            <w:pPr>
              <w:pStyle w:val="ListParagraph"/>
              <w:numPr>
                <w:ilvl w:val="2"/>
                <w:numId w:val="18"/>
              </w:numPr>
              <w:autoSpaceDE w:val="0"/>
              <w:autoSpaceDN w:val="0"/>
              <w:ind w:leftChars="0"/>
              <w:jc w:val="both"/>
              <w:rPr>
                <w:rFonts w:ascii="Calibri" w:hAnsi="Calibri" w:cs="Calibri"/>
                <w:sz w:val="22"/>
              </w:rPr>
            </w:pPr>
            <w:r w:rsidRPr="00CF6AD2">
              <w:rPr>
                <w:rFonts w:ascii="Calibri" w:hAnsi="Calibri" w:cs="Calibri" w:hint="eastAsia"/>
                <w:sz w:val="22"/>
                <w:lang w:val="en-AU"/>
              </w:rPr>
              <w:lastRenderedPageBreak/>
              <w:t xml:space="preserve">When a (pre-)configurable ratio of received SL HARQ-ACK feedbacks is </w:t>
            </w:r>
            <w:r w:rsidRPr="00CF6AD2">
              <w:rPr>
                <w:rFonts w:ascii="Calibri" w:hAnsi="Calibri" w:cs="Calibri" w:hint="eastAsia"/>
                <w:sz w:val="22"/>
                <w:lang w:val="en-AU"/>
              </w:rPr>
              <w:t>‘</w:t>
            </w:r>
            <w:r w:rsidRPr="00CF6AD2">
              <w:rPr>
                <w:rFonts w:ascii="Calibri" w:hAnsi="Calibri" w:cs="Calibri" w:hint="eastAsia"/>
                <w:sz w:val="22"/>
                <w:lang w:val="en-AU"/>
              </w:rPr>
              <w:t>ACK</w:t>
            </w:r>
            <w:r w:rsidRPr="00CF6AD2">
              <w:rPr>
                <w:rFonts w:ascii="Calibri" w:hAnsi="Calibri" w:cs="Calibri" w:hint="eastAsia"/>
                <w:sz w:val="22"/>
                <w:lang w:val="en-AU"/>
              </w:rPr>
              <w:t>’</w:t>
            </w:r>
            <w:r w:rsidRPr="00CF6AD2">
              <w:rPr>
                <w:rFonts w:ascii="Calibri" w:hAnsi="Calibri" w:cs="Calibri" w:hint="eastAsia"/>
                <w:sz w:val="22"/>
                <w:lang w:val="en-AU"/>
              </w:rPr>
              <w:t xml:space="preserve">, </w:t>
            </w:r>
            <m:oMath>
              <m:r>
                <w:rPr>
                  <w:rFonts w:ascii="Cambria Math" w:hAnsi="Cambria Math" w:cs="Calibri"/>
                  <w:sz w:val="22"/>
                </w:rPr>
                <m:t>C</m:t>
              </m:r>
              <m:sSub>
                <m:sSubPr>
                  <m:ctrlPr>
                    <w:rPr>
                      <w:rFonts w:ascii="Cambria Math" w:hAnsi="Cambria Math" w:cs="Calibri"/>
                      <w:i/>
                      <w:iCs/>
                      <w:sz w:val="22"/>
                    </w:rPr>
                  </m:ctrlPr>
                </m:sSubPr>
                <m:e>
                  <m:r>
                    <w:rPr>
                      <w:rFonts w:ascii="Cambria Math" w:hAnsi="Cambria Math" w:cs="Calibri"/>
                      <w:sz w:val="22"/>
                    </w:rPr>
                    <m:t>W</m:t>
                  </m:r>
                </m:e>
                <m:sub>
                  <m:r>
                    <w:rPr>
                      <w:rFonts w:ascii="Cambria Math" w:hAnsi="Cambria Math" w:cs="Calibri"/>
                      <w:sz w:val="22"/>
                    </w:rPr>
                    <m:t>p</m:t>
                  </m:r>
                </m:sub>
              </m:sSub>
            </m:oMath>
            <w:r w:rsidRPr="00CF6AD2">
              <w:rPr>
                <w:rFonts w:ascii="Calibri" w:hAnsi="Calibri" w:cs="Calibri" w:hint="eastAsia"/>
                <w:sz w:val="22"/>
                <w:lang w:val="en-AU"/>
              </w:rPr>
              <w:t xml:space="preserve"> is reset to </w:t>
            </w:r>
            <m:oMath>
              <m:r>
                <w:rPr>
                  <w:rFonts w:ascii="Cambria Math" w:hAnsi="Cambria Math" w:cs="Calibri"/>
                  <w:sz w:val="22"/>
                </w:rPr>
                <m:t>C</m:t>
              </m:r>
              <m:sSub>
                <m:sSubPr>
                  <m:ctrlPr>
                    <w:rPr>
                      <w:rFonts w:ascii="Cambria Math" w:hAnsi="Cambria Math" w:cs="Calibri"/>
                      <w:i/>
                      <w:iCs/>
                      <w:sz w:val="22"/>
                    </w:rPr>
                  </m:ctrlPr>
                </m:sSubPr>
                <m:e>
                  <m:r>
                    <w:rPr>
                      <w:rFonts w:ascii="Cambria Math" w:hAnsi="Cambria Math" w:cs="Calibri"/>
                      <w:sz w:val="22"/>
                    </w:rPr>
                    <m:t>W</m:t>
                  </m:r>
                </m:e>
                <m:sub>
                  <m:r>
                    <w:rPr>
                      <w:rFonts w:ascii="Cambria Math" w:hAnsi="Cambria Math" w:cs="Calibri"/>
                      <w:sz w:val="22"/>
                      <w:lang w:val="en-AU"/>
                    </w:rPr>
                    <m:t>min,</m:t>
                  </m:r>
                  <m:r>
                    <w:rPr>
                      <w:rFonts w:ascii="Cambria Math" w:hAnsi="Cambria Math" w:cs="Calibri"/>
                      <w:sz w:val="22"/>
                    </w:rPr>
                    <m:t>p</m:t>
                  </m:r>
                </m:sub>
              </m:sSub>
            </m:oMath>
            <w:r w:rsidRPr="00CF6AD2">
              <w:rPr>
                <w:rFonts w:ascii="Calibri" w:hAnsi="Calibri" w:cs="Calibri" w:hint="eastAsia"/>
                <w:i/>
                <w:iCs/>
                <w:sz w:val="22"/>
                <w:lang w:val="en-AU"/>
              </w:rPr>
              <w:t xml:space="preserve"> </w:t>
            </w:r>
            <w:r w:rsidRPr="00CF6AD2">
              <w:rPr>
                <w:rFonts w:ascii="Calibri" w:hAnsi="Calibri" w:cs="Calibri" w:hint="eastAsia"/>
                <w:sz w:val="22"/>
                <w:lang w:val="en-AU"/>
              </w:rPr>
              <w:t xml:space="preserve">for every priority class </w:t>
            </w:r>
            <m:oMath>
              <m:r>
                <w:rPr>
                  <w:rFonts w:ascii="Cambria Math" w:hAnsi="Cambria Math" w:cs="Calibri"/>
                  <w:sz w:val="22"/>
                </w:rPr>
                <m:t>p∈</m:t>
              </m:r>
              <m:d>
                <m:dPr>
                  <m:begChr m:val="{"/>
                  <m:endChr m:val="}"/>
                  <m:ctrlPr>
                    <w:rPr>
                      <w:rFonts w:ascii="Cambria Math" w:hAnsi="Cambria Math" w:cs="Calibri"/>
                      <w:i/>
                      <w:iCs/>
                      <w:sz w:val="22"/>
                    </w:rPr>
                  </m:ctrlPr>
                </m:dPr>
                <m:e>
                  <m:r>
                    <w:rPr>
                      <w:rFonts w:ascii="Cambria Math" w:hAnsi="Cambria Math" w:cs="Calibri"/>
                      <w:sz w:val="22"/>
                    </w:rPr>
                    <m:t>1,2,3,4</m:t>
                  </m:r>
                </m:e>
              </m:d>
            </m:oMath>
            <w:r w:rsidRPr="00CF6AD2">
              <w:rPr>
                <w:rFonts w:ascii="Calibri" w:hAnsi="Calibri" w:cs="Calibri" w:hint="eastAsia"/>
                <w:sz w:val="22"/>
                <w:lang w:val="en-AU"/>
              </w:rPr>
              <w:t xml:space="preserve">, otherwise </w:t>
            </w:r>
            <w:r w:rsidRPr="00CF6AD2">
              <w:rPr>
                <w:rFonts w:ascii="Calibri" w:hAnsi="Calibri" w:cs="Calibri" w:hint="eastAsia"/>
                <w:sz w:val="22"/>
              </w:rPr>
              <w:t xml:space="preserve">increase </w:t>
            </w:r>
            <m:oMath>
              <m:r>
                <w:rPr>
                  <w:rFonts w:ascii="Cambria Math" w:hAnsi="Cambria Math" w:cs="Calibri"/>
                  <w:sz w:val="22"/>
                </w:rPr>
                <m:t>C</m:t>
              </m:r>
              <m:sSub>
                <m:sSubPr>
                  <m:ctrlPr>
                    <w:rPr>
                      <w:rFonts w:ascii="Cambria Math" w:hAnsi="Cambria Math" w:cs="Calibri"/>
                      <w:i/>
                      <w:iCs/>
                      <w:sz w:val="22"/>
                    </w:rPr>
                  </m:ctrlPr>
                </m:sSubPr>
                <m:e>
                  <m:r>
                    <w:rPr>
                      <w:rFonts w:ascii="Cambria Math" w:hAnsi="Cambria Math" w:cs="Calibri"/>
                      <w:sz w:val="22"/>
                    </w:rPr>
                    <m:t>W</m:t>
                  </m:r>
                </m:e>
                <m:sub>
                  <m:r>
                    <w:rPr>
                      <w:rFonts w:ascii="Cambria Math" w:hAnsi="Cambria Math" w:cs="Calibri"/>
                      <w:sz w:val="22"/>
                    </w:rPr>
                    <m:t>p</m:t>
                  </m:r>
                </m:sub>
              </m:sSub>
            </m:oMath>
            <w:r w:rsidRPr="00CF6AD2">
              <w:rPr>
                <w:rFonts w:ascii="Calibri" w:hAnsi="Calibri" w:cs="Calibri" w:hint="eastAsia"/>
                <w:sz w:val="22"/>
              </w:rPr>
              <w:t xml:space="preserve"> for every priority class </w:t>
            </w:r>
            <m:oMath>
              <m:r>
                <w:rPr>
                  <w:rFonts w:ascii="Cambria Math" w:hAnsi="Cambria Math" w:cs="Calibri"/>
                  <w:sz w:val="22"/>
                </w:rPr>
                <m:t>p∈</m:t>
              </m:r>
              <m:d>
                <m:dPr>
                  <m:begChr m:val="{"/>
                  <m:endChr m:val="}"/>
                  <m:ctrlPr>
                    <w:rPr>
                      <w:rFonts w:ascii="Cambria Math" w:hAnsi="Cambria Math" w:cs="Calibri"/>
                      <w:i/>
                      <w:iCs/>
                      <w:sz w:val="22"/>
                    </w:rPr>
                  </m:ctrlPr>
                </m:dPr>
                <m:e>
                  <m:r>
                    <w:rPr>
                      <w:rFonts w:ascii="Cambria Math" w:hAnsi="Cambria Math" w:cs="Calibri"/>
                      <w:sz w:val="22"/>
                    </w:rPr>
                    <m:t>1,2,3,4</m:t>
                  </m:r>
                </m:e>
              </m:d>
            </m:oMath>
            <w:r w:rsidRPr="00CF6AD2">
              <w:rPr>
                <w:rFonts w:ascii="Calibri" w:hAnsi="Calibri" w:cs="Calibri" w:hint="eastAsia"/>
                <w:sz w:val="22"/>
              </w:rPr>
              <w:t xml:space="preserve"> to the next higher allowed value.</w:t>
            </w:r>
          </w:p>
          <w:p w14:paraId="6717571C" w14:textId="77777777" w:rsidR="005547DE" w:rsidRPr="00CF6AD2" w:rsidRDefault="005547DE" w:rsidP="006B2419">
            <w:pPr>
              <w:pStyle w:val="ListParagraph"/>
              <w:numPr>
                <w:ilvl w:val="1"/>
                <w:numId w:val="18"/>
              </w:numPr>
              <w:autoSpaceDE w:val="0"/>
              <w:autoSpaceDN w:val="0"/>
              <w:ind w:leftChars="0"/>
              <w:jc w:val="both"/>
              <w:rPr>
                <w:rFonts w:ascii="Calibri" w:hAnsi="Calibri" w:cs="Calibri"/>
                <w:sz w:val="22"/>
              </w:rPr>
            </w:pPr>
            <w:r w:rsidRPr="00CF6AD2">
              <w:rPr>
                <w:rFonts w:ascii="Calibri" w:hAnsi="Calibri" w:cs="Calibri" w:hint="eastAsia"/>
                <w:sz w:val="22"/>
                <w:lang w:val="en-AU"/>
              </w:rPr>
              <w:t>For groupcast option 1 (NACK-only)</w:t>
            </w:r>
            <w:r>
              <w:rPr>
                <w:rFonts w:ascii="Calibri" w:hAnsi="Calibri" w:cs="Calibri"/>
                <w:sz w:val="22"/>
                <w:lang w:val="en-AU"/>
              </w:rPr>
              <w:t>: (down-select to one of the following options)</w:t>
            </w:r>
          </w:p>
          <w:p w14:paraId="0575BB65" w14:textId="77777777" w:rsidR="005547DE" w:rsidRDefault="005547DE" w:rsidP="006B2419">
            <w:pPr>
              <w:pStyle w:val="ListParagraph"/>
              <w:numPr>
                <w:ilvl w:val="2"/>
                <w:numId w:val="18"/>
              </w:numPr>
              <w:autoSpaceDE w:val="0"/>
              <w:autoSpaceDN w:val="0"/>
              <w:ind w:leftChars="0"/>
              <w:jc w:val="both"/>
              <w:rPr>
                <w:rFonts w:ascii="Calibri" w:hAnsi="Calibri" w:cs="Calibri"/>
                <w:sz w:val="22"/>
              </w:rPr>
            </w:pPr>
            <w:r w:rsidRPr="00CF6AD2">
              <w:rPr>
                <w:rFonts w:ascii="Calibri" w:hAnsi="Calibri" w:cs="Calibri" w:hint="eastAsia"/>
                <w:sz w:val="22"/>
                <w:lang w:val="en-AU"/>
              </w:rPr>
              <w:t xml:space="preserve">Option 1: For every priority class </w:t>
            </w:r>
            <m:oMath>
              <m:r>
                <w:rPr>
                  <w:rFonts w:ascii="Cambria Math" w:hAnsi="Cambria Math" w:cs="Calibri"/>
                  <w:sz w:val="22"/>
                </w:rPr>
                <m:t>p∈</m:t>
              </m:r>
              <m:d>
                <m:dPr>
                  <m:begChr m:val="{"/>
                  <m:endChr m:val="}"/>
                  <m:ctrlPr>
                    <w:rPr>
                      <w:rFonts w:ascii="Cambria Math" w:hAnsi="Cambria Math" w:cs="Calibri"/>
                      <w:i/>
                      <w:iCs/>
                      <w:sz w:val="22"/>
                    </w:rPr>
                  </m:ctrlPr>
                </m:dPr>
                <m:e>
                  <m:r>
                    <w:rPr>
                      <w:rFonts w:ascii="Cambria Math" w:hAnsi="Cambria Math" w:cs="Calibri"/>
                      <w:sz w:val="22"/>
                    </w:rPr>
                    <m:t>1,2,3,4</m:t>
                  </m:r>
                </m:e>
              </m:d>
            </m:oMath>
            <w:r w:rsidRPr="00CF6AD2">
              <w:rPr>
                <w:rFonts w:ascii="Calibri" w:hAnsi="Calibri" w:cs="Calibri" w:hint="eastAsia"/>
                <w:sz w:val="22"/>
                <w:lang w:val="en-AU"/>
              </w:rPr>
              <w:t>,</w:t>
            </w:r>
            <w:r w:rsidRPr="00CF6AD2">
              <w:rPr>
                <w:rFonts w:ascii="Calibri" w:hAnsi="Calibri" w:cs="Calibri"/>
                <w:i/>
                <w:iCs/>
                <w:sz w:val="22"/>
              </w:rPr>
              <w:t xml:space="preserve"> </w:t>
            </w:r>
            <w:r>
              <w:rPr>
                <w:rFonts w:ascii="Calibri" w:hAnsi="Calibri" w:cs="Calibri"/>
                <w:sz w:val="22"/>
              </w:rPr>
              <w:t>use the latest</w:t>
            </w:r>
            <w:r w:rsidRPr="00CF6AD2">
              <w:rPr>
                <w:rFonts w:ascii="Calibri" w:hAnsi="Calibri" w:cs="Calibri" w:hint="eastAsia"/>
                <w:sz w:val="22"/>
              </w:rPr>
              <w:t xml:space="preserve"> </w:t>
            </w:r>
            <m:oMath>
              <m:r>
                <w:rPr>
                  <w:rFonts w:ascii="Cambria Math" w:hAnsi="Cambria Math" w:cs="Calibri"/>
                  <w:sz w:val="22"/>
                </w:rPr>
                <m:t>C</m:t>
              </m:r>
              <m:sSub>
                <m:sSubPr>
                  <m:ctrlPr>
                    <w:rPr>
                      <w:rFonts w:ascii="Cambria Math" w:hAnsi="Cambria Math" w:cs="Calibri"/>
                      <w:i/>
                      <w:iCs/>
                      <w:sz w:val="22"/>
                    </w:rPr>
                  </m:ctrlPr>
                </m:sSubPr>
                <m:e>
                  <m:r>
                    <w:rPr>
                      <w:rFonts w:ascii="Cambria Math" w:hAnsi="Cambria Math" w:cs="Calibri"/>
                      <w:sz w:val="22"/>
                    </w:rPr>
                    <m:t>W</m:t>
                  </m:r>
                </m:e>
                <m:sub>
                  <m:r>
                    <w:rPr>
                      <w:rFonts w:ascii="Cambria Math" w:hAnsi="Cambria Math" w:cs="Calibri"/>
                      <w:sz w:val="22"/>
                    </w:rPr>
                    <m:t>p</m:t>
                  </m:r>
                </m:sub>
              </m:sSub>
            </m:oMath>
            <w:r w:rsidRPr="00CF6AD2">
              <w:rPr>
                <w:rFonts w:ascii="Calibri" w:hAnsi="Calibri" w:cs="Calibri" w:hint="eastAsia"/>
                <w:sz w:val="22"/>
              </w:rPr>
              <w:t xml:space="preserve"> </w:t>
            </w:r>
            <w:r>
              <w:rPr>
                <w:rFonts w:ascii="Calibri" w:hAnsi="Calibri" w:cs="Calibri"/>
                <w:sz w:val="22"/>
              </w:rPr>
              <w:t xml:space="preserve">used for any SL transmissions on the channel using Type 1 channel access procedures associated with the channel access priority class </w:t>
            </w:r>
            <m:oMath>
              <m:r>
                <w:rPr>
                  <w:rFonts w:ascii="Cambria Math" w:hAnsi="Cambria Math" w:cs="Calibri"/>
                  <w:sz w:val="22"/>
                </w:rPr>
                <m:t>p</m:t>
              </m:r>
            </m:oMath>
            <w:r w:rsidRPr="00CF6AD2">
              <w:rPr>
                <w:rFonts w:ascii="Calibri" w:hAnsi="Calibri" w:cs="Calibri" w:hint="eastAsia"/>
                <w:sz w:val="22"/>
              </w:rPr>
              <w:t>.</w:t>
            </w:r>
            <w:r>
              <w:rPr>
                <w:rFonts w:ascii="Calibri" w:hAnsi="Calibri" w:cs="Calibri"/>
                <w:sz w:val="22"/>
              </w:rPr>
              <w:t xml:space="preserve"> </w:t>
            </w:r>
            <w:r w:rsidRPr="003E2F29">
              <w:rPr>
                <w:rFonts w:asciiTheme="minorHAnsi" w:hAnsiTheme="minorHAnsi" w:cstheme="minorHAnsi"/>
                <w:sz w:val="22"/>
                <w:szCs w:val="28"/>
              </w:rPr>
              <w:t xml:space="preserve">If the corresponding channel access priority class </w:t>
            </w:r>
            <m:oMath>
              <m:r>
                <w:rPr>
                  <w:rFonts w:ascii="Cambria Math" w:hAnsi="Cambria Math" w:cstheme="minorHAnsi"/>
                  <w:sz w:val="22"/>
                  <w:szCs w:val="28"/>
                </w:rPr>
                <m:t>p</m:t>
              </m:r>
            </m:oMath>
            <w:r w:rsidRPr="003E2F29">
              <w:rPr>
                <w:rFonts w:asciiTheme="minorHAnsi" w:hAnsiTheme="minorHAnsi" w:cstheme="minorHAnsi"/>
                <w:sz w:val="22"/>
                <w:szCs w:val="28"/>
              </w:rPr>
              <w:t xml:space="preserve">  has not been used for any SL transmissions on the channel, </w:t>
            </w:r>
            <m:oMath>
              <m:r>
                <w:rPr>
                  <w:rFonts w:ascii="Cambria Math" w:hAnsi="Cambria Math" w:cstheme="minorHAnsi"/>
                  <w:sz w:val="22"/>
                  <w:szCs w:val="28"/>
                </w:rPr>
                <m:t>C</m:t>
              </m:r>
              <m:sSub>
                <m:sSubPr>
                  <m:ctrlPr>
                    <w:rPr>
                      <w:rFonts w:ascii="Cambria Math" w:hAnsi="Cambria Math" w:cstheme="minorHAnsi"/>
                      <w:i/>
                      <w:sz w:val="22"/>
                      <w:szCs w:val="28"/>
                    </w:rPr>
                  </m:ctrlPr>
                </m:sSubPr>
                <m:e>
                  <m:r>
                    <w:rPr>
                      <w:rFonts w:ascii="Cambria Math" w:hAnsi="Cambria Math" w:cstheme="minorHAnsi"/>
                      <w:sz w:val="22"/>
                      <w:szCs w:val="28"/>
                    </w:rPr>
                    <m:t>W</m:t>
                  </m:r>
                </m:e>
                <m:sub>
                  <m:r>
                    <w:rPr>
                      <w:rFonts w:ascii="Cambria Math" w:hAnsi="Cambria Math" w:cstheme="minorHAnsi"/>
                      <w:sz w:val="22"/>
                      <w:szCs w:val="28"/>
                    </w:rPr>
                    <m:t>p</m:t>
                  </m:r>
                </m:sub>
              </m:sSub>
              <m:r>
                <w:rPr>
                  <w:rFonts w:ascii="Cambria Math" w:hAnsi="Cambria Math" w:cstheme="minorHAnsi"/>
                  <w:sz w:val="22"/>
                  <w:szCs w:val="28"/>
                  <w:lang w:val="en-US"/>
                </w:rPr>
                <m:t>=</m:t>
              </m:r>
              <m:r>
                <w:rPr>
                  <w:rFonts w:ascii="Cambria Math" w:hAnsi="Cambria Math" w:cstheme="minorHAnsi"/>
                  <w:sz w:val="22"/>
                  <w:szCs w:val="28"/>
                </w:rPr>
                <m:t>C</m:t>
              </m:r>
              <m:sSub>
                <m:sSubPr>
                  <m:ctrlPr>
                    <w:rPr>
                      <w:rFonts w:ascii="Cambria Math" w:hAnsi="Cambria Math" w:cstheme="minorHAnsi"/>
                      <w:i/>
                      <w:sz w:val="22"/>
                      <w:szCs w:val="28"/>
                    </w:rPr>
                  </m:ctrlPr>
                </m:sSubPr>
                <m:e>
                  <m:r>
                    <w:rPr>
                      <w:rFonts w:ascii="Cambria Math" w:hAnsi="Cambria Math" w:cstheme="minorHAnsi"/>
                      <w:sz w:val="22"/>
                      <w:szCs w:val="28"/>
                    </w:rPr>
                    <m:t>W</m:t>
                  </m:r>
                </m:e>
                <m:sub>
                  <m:func>
                    <m:funcPr>
                      <m:ctrlPr>
                        <w:rPr>
                          <w:rFonts w:ascii="Cambria Math" w:hAnsi="Cambria Math" w:cstheme="minorHAnsi"/>
                          <w:i/>
                          <w:sz w:val="22"/>
                          <w:szCs w:val="28"/>
                        </w:rPr>
                      </m:ctrlPr>
                    </m:funcPr>
                    <m:fName>
                      <m:r>
                        <w:rPr>
                          <w:rFonts w:ascii="Cambria Math" w:hAnsi="Cambria Math" w:cstheme="minorHAnsi"/>
                          <w:sz w:val="22"/>
                          <w:szCs w:val="28"/>
                        </w:rPr>
                        <m:t>min</m:t>
                      </m:r>
                      <m:r>
                        <w:rPr>
                          <w:rFonts w:ascii="Cambria Math" w:hAnsi="Cambria Math" w:cstheme="minorHAnsi"/>
                          <w:sz w:val="22"/>
                          <w:szCs w:val="28"/>
                          <w:lang w:val="en-US"/>
                        </w:rPr>
                        <m:t>,</m:t>
                      </m:r>
                    </m:fName>
                    <m:e>
                      <m:r>
                        <w:rPr>
                          <w:rFonts w:ascii="Cambria Math" w:hAnsi="Cambria Math" w:cstheme="minorHAnsi"/>
                          <w:sz w:val="22"/>
                          <w:szCs w:val="28"/>
                        </w:rPr>
                        <m:t>p</m:t>
                      </m:r>
                    </m:e>
                  </m:func>
                </m:sub>
              </m:sSub>
            </m:oMath>
            <w:r w:rsidRPr="003E2F29">
              <w:rPr>
                <w:rFonts w:asciiTheme="minorHAnsi" w:hAnsiTheme="minorHAnsi" w:cstheme="minorHAnsi"/>
                <w:sz w:val="22"/>
                <w:szCs w:val="28"/>
              </w:rPr>
              <w:t xml:space="preserve"> is used.</w:t>
            </w:r>
          </w:p>
          <w:p w14:paraId="10A2CC97" w14:textId="77777777" w:rsidR="005547DE" w:rsidRDefault="005547DE" w:rsidP="006B2419">
            <w:pPr>
              <w:pStyle w:val="ListParagraph"/>
              <w:numPr>
                <w:ilvl w:val="2"/>
                <w:numId w:val="18"/>
              </w:numPr>
              <w:autoSpaceDE w:val="0"/>
              <w:autoSpaceDN w:val="0"/>
              <w:ind w:leftChars="0"/>
              <w:jc w:val="both"/>
              <w:rPr>
                <w:rFonts w:ascii="Calibri" w:hAnsi="Calibri" w:cs="Calibri"/>
                <w:sz w:val="22"/>
              </w:rPr>
            </w:pPr>
            <w:r w:rsidRPr="00CF6AD2">
              <w:rPr>
                <w:rFonts w:ascii="Calibri" w:hAnsi="Calibri" w:cs="Calibri" w:hint="eastAsia"/>
                <w:sz w:val="22"/>
                <w:lang w:val="en-AU"/>
              </w:rPr>
              <w:t xml:space="preserve">Option 2: If </w:t>
            </w:r>
            <w:r>
              <w:rPr>
                <w:rFonts w:ascii="Calibri" w:hAnsi="Calibri" w:cs="Calibri"/>
                <w:sz w:val="22"/>
                <w:lang w:val="en-AU"/>
              </w:rPr>
              <w:t>‘</w:t>
            </w:r>
            <w:r w:rsidRPr="00CF6AD2">
              <w:rPr>
                <w:rFonts w:ascii="Calibri" w:hAnsi="Calibri" w:cs="Calibri" w:hint="eastAsia"/>
                <w:sz w:val="22"/>
                <w:lang w:val="en-AU"/>
              </w:rPr>
              <w:t>NACK</w:t>
            </w:r>
            <w:r>
              <w:rPr>
                <w:rFonts w:ascii="Calibri" w:hAnsi="Calibri" w:cs="Calibri"/>
                <w:sz w:val="22"/>
                <w:lang w:val="en-AU"/>
              </w:rPr>
              <w:t>’</w:t>
            </w:r>
            <w:r w:rsidRPr="00CF6AD2">
              <w:rPr>
                <w:rFonts w:ascii="Calibri" w:hAnsi="Calibri" w:cs="Calibri" w:hint="eastAsia"/>
                <w:sz w:val="22"/>
                <w:lang w:val="en-AU"/>
              </w:rPr>
              <w:t xml:space="preserve"> is received, </w:t>
            </w:r>
            <w:r w:rsidRPr="00CF6AD2">
              <w:rPr>
                <w:rFonts w:ascii="Calibri" w:hAnsi="Calibri" w:cs="Calibri" w:hint="eastAsia"/>
                <w:sz w:val="22"/>
              </w:rPr>
              <w:t xml:space="preserve">increase </w:t>
            </w:r>
            <m:oMath>
              <m:r>
                <w:rPr>
                  <w:rFonts w:ascii="Cambria Math" w:hAnsi="Cambria Math" w:cs="Calibri"/>
                  <w:sz w:val="22"/>
                </w:rPr>
                <m:t>C</m:t>
              </m:r>
              <m:sSub>
                <m:sSubPr>
                  <m:ctrlPr>
                    <w:rPr>
                      <w:rFonts w:ascii="Cambria Math" w:hAnsi="Cambria Math" w:cs="Calibri"/>
                      <w:i/>
                      <w:iCs/>
                      <w:sz w:val="22"/>
                    </w:rPr>
                  </m:ctrlPr>
                </m:sSubPr>
                <m:e>
                  <m:r>
                    <w:rPr>
                      <w:rFonts w:ascii="Cambria Math" w:hAnsi="Cambria Math" w:cs="Calibri"/>
                      <w:sz w:val="22"/>
                    </w:rPr>
                    <m:t>W</m:t>
                  </m:r>
                </m:e>
                <m:sub>
                  <m:r>
                    <w:rPr>
                      <w:rFonts w:ascii="Cambria Math" w:hAnsi="Cambria Math" w:cs="Calibri"/>
                      <w:sz w:val="22"/>
                    </w:rPr>
                    <m:t>p</m:t>
                  </m:r>
                </m:sub>
              </m:sSub>
            </m:oMath>
            <w:r w:rsidRPr="00CF6AD2">
              <w:rPr>
                <w:rFonts w:ascii="Calibri" w:hAnsi="Calibri" w:cs="Calibri" w:hint="eastAsia"/>
                <w:sz w:val="22"/>
              </w:rPr>
              <w:t xml:space="preserve"> for every priority class </w:t>
            </w:r>
            <m:oMath>
              <m:r>
                <w:rPr>
                  <w:rFonts w:ascii="Cambria Math" w:hAnsi="Cambria Math" w:cs="Calibri"/>
                  <w:sz w:val="22"/>
                </w:rPr>
                <m:t>p∈</m:t>
              </m:r>
              <m:d>
                <m:dPr>
                  <m:begChr m:val="{"/>
                  <m:endChr m:val="}"/>
                  <m:ctrlPr>
                    <w:rPr>
                      <w:rFonts w:ascii="Cambria Math" w:hAnsi="Cambria Math" w:cs="Calibri"/>
                      <w:i/>
                      <w:iCs/>
                      <w:sz w:val="22"/>
                    </w:rPr>
                  </m:ctrlPr>
                </m:dPr>
                <m:e>
                  <m:r>
                    <w:rPr>
                      <w:rFonts w:ascii="Cambria Math" w:hAnsi="Cambria Math" w:cs="Calibri"/>
                      <w:sz w:val="22"/>
                    </w:rPr>
                    <m:t>1,2,3,4</m:t>
                  </m:r>
                </m:e>
              </m:d>
            </m:oMath>
            <w:r w:rsidRPr="00CF6AD2">
              <w:rPr>
                <w:rFonts w:ascii="Calibri" w:hAnsi="Calibri" w:cs="Calibri" w:hint="eastAsia"/>
                <w:sz w:val="22"/>
              </w:rPr>
              <w:t xml:space="preserve"> to the next higher allowed value.</w:t>
            </w:r>
            <w:r>
              <w:rPr>
                <w:rFonts w:ascii="Calibri" w:hAnsi="Calibri" w:cs="Calibri"/>
                <w:sz w:val="22"/>
              </w:rPr>
              <w:t xml:space="preserve"> When no ‘NACK’ is received, </w:t>
            </w:r>
            <m:oMath>
              <m:r>
                <w:rPr>
                  <w:rFonts w:ascii="Cambria Math" w:hAnsi="Cambria Math" w:cs="Calibri"/>
                  <w:sz w:val="22"/>
                </w:rPr>
                <m:t>C</m:t>
              </m:r>
              <m:sSub>
                <m:sSubPr>
                  <m:ctrlPr>
                    <w:rPr>
                      <w:rFonts w:ascii="Cambria Math" w:hAnsi="Cambria Math" w:cs="Calibri"/>
                      <w:i/>
                      <w:iCs/>
                      <w:sz w:val="22"/>
                    </w:rPr>
                  </m:ctrlPr>
                </m:sSubPr>
                <m:e>
                  <m:r>
                    <w:rPr>
                      <w:rFonts w:ascii="Cambria Math" w:hAnsi="Cambria Math" w:cs="Calibri"/>
                      <w:sz w:val="22"/>
                    </w:rPr>
                    <m:t>W</m:t>
                  </m:r>
                </m:e>
                <m:sub>
                  <m:r>
                    <w:rPr>
                      <w:rFonts w:ascii="Cambria Math" w:hAnsi="Cambria Math" w:cs="Calibri"/>
                      <w:sz w:val="22"/>
                    </w:rPr>
                    <m:t>p</m:t>
                  </m:r>
                </m:sub>
              </m:sSub>
            </m:oMath>
            <w:r w:rsidRPr="00273368">
              <w:rPr>
                <w:rFonts w:asciiTheme="minorHAnsi" w:hAnsiTheme="minorHAnsi" w:cstheme="minorHAnsi"/>
                <w:sz w:val="22"/>
                <w:szCs w:val="28"/>
              </w:rPr>
              <w:t xml:space="preserve"> </w:t>
            </w:r>
            <w:r>
              <w:rPr>
                <w:rFonts w:asciiTheme="minorHAnsi" w:hAnsiTheme="minorHAnsi" w:cstheme="minorHAnsi"/>
                <w:sz w:val="22"/>
                <w:szCs w:val="28"/>
              </w:rPr>
              <w:t xml:space="preserve">is reset to </w:t>
            </w:r>
            <m:oMath>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min</m:t>
                      </m:r>
                      <m:r>
                        <w:rPr>
                          <w:rFonts w:ascii="Cambria Math" w:hAnsi="Cambria Math"/>
                          <w:lang w:val="en-US"/>
                        </w:rPr>
                        <m:t>,</m:t>
                      </m:r>
                    </m:fName>
                    <m:e>
                      <m:r>
                        <w:rPr>
                          <w:rFonts w:ascii="Cambria Math" w:hAnsi="Cambria Math"/>
                        </w:rPr>
                        <m:t>p</m:t>
                      </m:r>
                    </m:e>
                  </m:func>
                </m:sub>
              </m:sSub>
            </m:oMath>
            <w:r>
              <w:rPr>
                <w:rFonts w:asciiTheme="minorHAnsi" w:hAnsiTheme="minorHAnsi" w:cstheme="minorHAnsi"/>
              </w:rPr>
              <w:t xml:space="preserve"> </w:t>
            </w:r>
            <w:r w:rsidRPr="00562ED3">
              <w:rPr>
                <w:rFonts w:asciiTheme="minorHAnsi" w:hAnsiTheme="minorHAnsi" w:cstheme="minorHAnsi"/>
                <w:sz w:val="22"/>
                <w:szCs w:val="22"/>
                <w:lang w:val="en-US"/>
              </w:rPr>
              <w:t xml:space="preserve">for every priority class </w:t>
            </w:r>
            <m:oMath>
              <m:r>
                <w:rPr>
                  <w:rFonts w:ascii="Cambria Math" w:hAnsi="Cambria Math" w:cstheme="minorHAnsi"/>
                  <w:sz w:val="22"/>
                  <w:szCs w:val="22"/>
                </w:rPr>
                <m:t>p∈</m:t>
              </m:r>
              <m:d>
                <m:dPr>
                  <m:begChr m:val="{"/>
                  <m:endChr m:val="}"/>
                  <m:ctrlPr>
                    <w:rPr>
                      <w:rFonts w:ascii="Cambria Math" w:hAnsi="Cambria Math" w:cstheme="minorHAnsi"/>
                      <w:i/>
                      <w:sz w:val="22"/>
                      <w:szCs w:val="22"/>
                    </w:rPr>
                  </m:ctrlPr>
                </m:dPr>
                <m:e>
                  <m:r>
                    <w:rPr>
                      <w:rFonts w:ascii="Cambria Math" w:hAnsi="Cambria Math" w:cstheme="minorHAnsi"/>
                      <w:sz w:val="22"/>
                      <w:szCs w:val="22"/>
                    </w:rPr>
                    <m:t>1,2,3,4</m:t>
                  </m:r>
                </m:e>
              </m:d>
            </m:oMath>
            <w:r>
              <w:rPr>
                <w:rFonts w:ascii="Calibri" w:hAnsi="Calibri" w:cs="Calibri"/>
                <w:sz w:val="22"/>
              </w:rPr>
              <w:t xml:space="preserve"> </w:t>
            </w:r>
          </w:p>
          <w:p w14:paraId="508F677D" w14:textId="77777777" w:rsidR="005547DE" w:rsidRDefault="005547DE" w:rsidP="006B2419">
            <w:pPr>
              <w:pStyle w:val="ListParagraph"/>
              <w:numPr>
                <w:ilvl w:val="1"/>
                <w:numId w:val="18"/>
              </w:numPr>
              <w:autoSpaceDE w:val="0"/>
              <w:autoSpaceDN w:val="0"/>
              <w:ind w:leftChars="0"/>
              <w:jc w:val="both"/>
              <w:rPr>
                <w:rFonts w:ascii="Calibri" w:hAnsi="Calibri" w:cs="Calibri"/>
                <w:sz w:val="22"/>
              </w:rPr>
            </w:pPr>
            <w:r w:rsidRPr="00CF6AD2">
              <w:rPr>
                <w:rFonts w:ascii="Calibri" w:hAnsi="Calibri" w:cs="Calibri" w:hint="eastAsia"/>
                <w:sz w:val="22"/>
              </w:rPr>
              <w:t xml:space="preserve">FFS the case when UE is operating </w:t>
            </w:r>
            <w:r>
              <w:rPr>
                <w:rFonts w:ascii="Calibri" w:hAnsi="Calibri" w:cs="Calibri"/>
                <w:sz w:val="22"/>
              </w:rPr>
              <w:t>with</w:t>
            </w:r>
            <w:r w:rsidRPr="00CF6AD2">
              <w:rPr>
                <w:rFonts w:ascii="Calibri" w:hAnsi="Calibri" w:cs="Calibri" w:hint="eastAsia"/>
                <w:sz w:val="22"/>
              </w:rPr>
              <w:t xml:space="preserve"> different SL-HARQ feedback schemes (e.g., UE has concurrent broadcast transmission + unicast with SL-HARQ enabled, or GC option 1 + GC option 2, etc)</w:t>
            </w:r>
          </w:p>
          <w:p w14:paraId="2058B184" w14:textId="75F9F892" w:rsidR="005547DE" w:rsidRPr="00D9221C" w:rsidRDefault="005547DE" w:rsidP="00D9221C">
            <w:pPr>
              <w:pStyle w:val="ListParagraph"/>
              <w:numPr>
                <w:ilvl w:val="1"/>
                <w:numId w:val="18"/>
              </w:numPr>
              <w:autoSpaceDE w:val="0"/>
              <w:autoSpaceDN w:val="0"/>
              <w:ind w:leftChars="0"/>
              <w:jc w:val="both"/>
              <w:rPr>
                <w:rFonts w:ascii="Calibri" w:hAnsi="Calibri" w:cs="Calibri"/>
                <w:color w:val="00B050"/>
                <w:sz w:val="22"/>
              </w:rPr>
            </w:pPr>
            <w:r w:rsidRPr="005547DE">
              <w:rPr>
                <w:rFonts w:ascii="Calibri" w:hAnsi="Calibri" w:cs="Calibri"/>
                <w:color w:val="00B050"/>
                <w:sz w:val="22"/>
              </w:rPr>
              <w:t>FFS: the modification on “reference duration”</w:t>
            </w:r>
          </w:p>
        </w:tc>
      </w:tr>
    </w:tbl>
    <w:p w14:paraId="72A31BAA" w14:textId="77777777" w:rsidR="00EC21DD" w:rsidRDefault="00EC21DD" w:rsidP="001D6E06">
      <w:pPr>
        <w:autoSpaceDE w:val="0"/>
        <w:autoSpaceDN w:val="0"/>
        <w:jc w:val="both"/>
        <w:rPr>
          <w:rFonts w:ascii="Calibri" w:hAnsi="Calibri" w:cs="Calibri"/>
          <w:sz w:val="22"/>
        </w:rPr>
      </w:pPr>
    </w:p>
    <w:p w14:paraId="48453FD4" w14:textId="1BC7D07A" w:rsidR="00AC3B6D" w:rsidRDefault="00CF6AD2" w:rsidP="00AC3B6D">
      <w:pPr>
        <w:pStyle w:val="Heading3"/>
      </w:pPr>
      <w:r>
        <w:t xml:space="preserve">FL Proposals for round </w:t>
      </w:r>
      <w:r w:rsidR="00EC21DD">
        <w:t>2</w:t>
      </w:r>
      <w:r>
        <w:t xml:space="preserve"> </w:t>
      </w:r>
      <w:r w:rsidR="002C72F4">
        <w:t>discussion</w:t>
      </w:r>
    </w:p>
    <w:p w14:paraId="7A5798B6" w14:textId="384E9E62" w:rsidR="004B1D3C" w:rsidRPr="00D567B9" w:rsidRDefault="004B1D3C" w:rsidP="004B1D3C">
      <w:pPr>
        <w:autoSpaceDE w:val="0"/>
        <w:autoSpaceDN w:val="0"/>
        <w:spacing w:before="120" w:after="120"/>
        <w:jc w:val="both"/>
        <w:rPr>
          <w:rFonts w:ascii="Calibri" w:hAnsi="Calibri" w:cs="Calibri"/>
          <w:sz w:val="22"/>
          <w:u w:val="single"/>
        </w:rPr>
      </w:pPr>
      <w:r w:rsidRPr="00D567B9">
        <w:rPr>
          <w:rFonts w:ascii="Calibri" w:hAnsi="Calibri" w:cs="Calibri"/>
          <w:sz w:val="22"/>
          <w:u w:val="single"/>
        </w:rPr>
        <w:t xml:space="preserve">FL </w:t>
      </w:r>
      <w:r>
        <w:rPr>
          <w:rFonts w:ascii="Calibri" w:hAnsi="Calibri" w:cs="Calibri"/>
          <w:sz w:val="22"/>
          <w:u w:val="single"/>
        </w:rPr>
        <w:t>responses</w:t>
      </w:r>
      <w:r w:rsidRPr="00D567B9">
        <w:rPr>
          <w:rFonts w:ascii="Calibri" w:hAnsi="Calibri" w:cs="Calibri"/>
          <w:sz w:val="22"/>
          <w:u w:val="single"/>
        </w:rPr>
        <w:t xml:space="preserve"> based on </w:t>
      </w:r>
      <w:r>
        <w:rPr>
          <w:rFonts w:ascii="Calibri" w:hAnsi="Calibri" w:cs="Calibri"/>
          <w:sz w:val="22"/>
          <w:u w:val="single"/>
        </w:rPr>
        <w:t>Round 1 inputs on Proposal 2-1 (I)</w:t>
      </w:r>
      <w:r w:rsidRPr="00D567B9">
        <w:rPr>
          <w:rFonts w:ascii="Calibri" w:hAnsi="Calibri" w:cs="Calibri"/>
          <w:sz w:val="22"/>
          <w:u w:val="single"/>
        </w:rPr>
        <w:t>:</w:t>
      </w:r>
    </w:p>
    <w:p w14:paraId="0D8A6586" w14:textId="695B9268" w:rsidR="004B1D3C" w:rsidRDefault="004B1D3C" w:rsidP="004B1D3C">
      <w:pPr>
        <w:pStyle w:val="ListParagraph"/>
        <w:numPr>
          <w:ilvl w:val="0"/>
          <w:numId w:val="18"/>
        </w:numPr>
        <w:autoSpaceDE w:val="0"/>
        <w:autoSpaceDN w:val="0"/>
        <w:spacing w:before="120"/>
        <w:ind w:leftChars="0"/>
        <w:jc w:val="both"/>
        <w:rPr>
          <w:rFonts w:ascii="Calibri" w:hAnsi="Calibri" w:cs="Calibri"/>
          <w:sz w:val="22"/>
        </w:rPr>
      </w:pPr>
      <w:r>
        <w:rPr>
          <w:rFonts w:ascii="Calibri" w:hAnsi="Calibri" w:cs="Calibri"/>
          <w:sz w:val="22"/>
        </w:rPr>
        <w:t xml:space="preserve">Fine with the Proposal 2-1 (I) </w:t>
      </w:r>
      <w:r w:rsidR="0047390E">
        <w:rPr>
          <w:rFonts w:ascii="Calibri" w:hAnsi="Calibri" w:cs="Calibri"/>
          <w:sz w:val="22"/>
        </w:rPr>
        <w:t>in principle</w:t>
      </w:r>
      <w:r>
        <w:rPr>
          <w:rFonts w:ascii="Calibri" w:hAnsi="Calibri" w:cs="Calibri"/>
          <w:sz w:val="22"/>
        </w:rPr>
        <w:t xml:space="preserve">: </w:t>
      </w:r>
      <w:r w:rsidR="0052044C">
        <w:rPr>
          <w:rFonts w:ascii="Calibri" w:hAnsi="Calibri" w:cs="Calibri"/>
          <w:sz w:val="22"/>
        </w:rPr>
        <w:t xml:space="preserve">IDCC, QC, </w:t>
      </w:r>
      <w:r w:rsidR="0047390E">
        <w:rPr>
          <w:rFonts w:ascii="Calibri" w:hAnsi="Calibri" w:cs="Calibri"/>
          <w:sz w:val="22"/>
        </w:rPr>
        <w:t xml:space="preserve">Intel, OPPO, CableLabs, LGE, Spreadtrum, Sony, CMCC, Panasonic, Nokia/NSB, vivo, WILUS, Samsung, CATT/GH, </w:t>
      </w:r>
      <w:r w:rsidR="00163935">
        <w:rPr>
          <w:rFonts w:ascii="Calibri" w:hAnsi="Calibri" w:cs="Calibri"/>
          <w:sz w:val="22"/>
        </w:rPr>
        <w:t>Sharp, Transsion, ITL, Fraunhofer, NSC, HW/HiSi</w:t>
      </w:r>
    </w:p>
    <w:p w14:paraId="489E95CB" w14:textId="26C62254" w:rsidR="0047390E" w:rsidRDefault="0047390E" w:rsidP="004B1D3C">
      <w:pPr>
        <w:pStyle w:val="ListParagraph"/>
        <w:numPr>
          <w:ilvl w:val="0"/>
          <w:numId w:val="18"/>
        </w:numPr>
        <w:autoSpaceDE w:val="0"/>
        <w:autoSpaceDN w:val="0"/>
        <w:spacing w:before="120"/>
        <w:ind w:leftChars="0"/>
        <w:jc w:val="both"/>
        <w:rPr>
          <w:rFonts w:ascii="Calibri" w:hAnsi="Calibri" w:cs="Calibri"/>
          <w:sz w:val="22"/>
        </w:rPr>
      </w:pPr>
      <w:r>
        <w:rPr>
          <w:rFonts w:ascii="Calibri" w:hAnsi="Calibri" w:cs="Calibri"/>
          <w:sz w:val="22"/>
        </w:rPr>
        <w:t>To support both DL and UL CAPC tables for SL</w:t>
      </w:r>
      <w:r w:rsidR="00163935">
        <w:rPr>
          <w:rFonts w:ascii="Calibri" w:hAnsi="Calibri" w:cs="Calibri"/>
          <w:sz w:val="22"/>
        </w:rPr>
        <w:t xml:space="preserve"> (depending on conditions): MediaTek</w:t>
      </w:r>
    </w:p>
    <w:p w14:paraId="0759A03D" w14:textId="77777777" w:rsidR="0052044C" w:rsidRDefault="0052044C" w:rsidP="0052044C">
      <w:pPr>
        <w:pStyle w:val="ListParagraph"/>
        <w:numPr>
          <w:ilvl w:val="0"/>
          <w:numId w:val="18"/>
        </w:numPr>
        <w:autoSpaceDE w:val="0"/>
        <w:autoSpaceDN w:val="0"/>
        <w:spacing w:before="120"/>
        <w:ind w:leftChars="0"/>
        <w:jc w:val="both"/>
        <w:rPr>
          <w:rFonts w:ascii="Calibri" w:hAnsi="Calibri" w:cs="Calibri"/>
          <w:sz w:val="22"/>
        </w:rPr>
      </w:pPr>
      <w:r>
        <w:rPr>
          <w:rFonts w:ascii="Calibri" w:hAnsi="Calibri" w:cs="Calibri"/>
          <w:sz w:val="22"/>
        </w:rPr>
        <w:t>Choice between the options</w:t>
      </w:r>
    </w:p>
    <w:p w14:paraId="14650533" w14:textId="76BB16E1" w:rsidR="0052044C" w:rsidRDefault="0052044C" w:rsidP="0052044C">
      <w:pPr>
        <w:pStyle w:val="ListParagraph"/>
        <w:numPr>
          <w:ilvl w:val="1"/>
          <w:numId w:val="18"/>
        </w:numPr>
        <w:autoSpaceDE w:val="0"/>
        <w:autoSpaceDN w:val="0"/>
        <w:spacing w:before="120"/>
        <w:ind w:leftChars="0"/>
        <w:jc w:val="both"/>
        <w:rPr>
          <w:rFonts w:ascii="Calibri" w:hAnsi="Calibri" w:cs="Calibri"/>
          <w:sz w:val="22"/>
        </w:rPr>
      </w:pPr>
      <w:r w:rsidRPr="00CF6AD2">
        <w:rPr>
          <w:rFonts w:ascii="Calibri" w:hAnsi="Calibri" w:cs="Calibri"/>
          <w:sz w:val="22"/>
        </w:rPr>
        <w:t>DL CAPC table is used</w:t>
      </w:r>
      <w:r>
        <w:rPr>
          <w:rFonts w:ascii="Calibri" w:hAnsi="Calibri" w:cs="Calibri"/>
          <w:sz w:val="22"/>
        </w:rPr>
        <w:t xml:space="preserve"> (Option 1): </w:t>
      </w:r>
      <w:r w:rsidR="00163935">
        <w:rPr>
          <w:rFonts w:ascii="Calibri" w:hAnsi="Calibri" w:cs="Calibri"/>
          <w:sz w:val="22"/>
        </w:rPr>
        <w:t xml:space="preserve">Qualcomm, </w:t>
      </w:r>
      <w:r>
        <w:rPr>
          <w:rFonts w:ascii="Calibri" w:hAnsi="Calibri" w:cs="Calibri"/>
          <w:sz w:val="22"/>
        </w:rPr>
        <w:t>Intel</w:t>
      </w:r>
      <w:r w:rsidR="00E33573">
        <w:rPr>
          <w:rFonts w:ascii="Calibri" w:hAnsi="Calibri" w:cs="Calibri"/>
          <w:sz w:val="22"/>
        </w:rPr>
        <w:t xml:space="preserve">, CableLabs, </w:t>
      </w:r>
      <w:r w:rsidR="0047390E">
        <w:rPr>
          <w:rFonts w:ascii="Calibri" w:hAnsi="Calibri" w:cs="Calibri"/>
          <w:sz w:val="22"/>
        </w:rPr>
        <w:t>Panasonic</w:t>
      </w:r>
    </w:p>
    <w:p w14:paraId="4D543110" w14:textId="2AC963A5" w:rsidR="0052044C" w:rsidRDefault="0052044C" w:rsidP="0052044C">
      <w:pPr>
        <w:pStyle w:val="ListParagraph"/>
        <w:numPr>
          <w:ilvl w:val="1"/>
          <w:numId w:val="18"/>
        </w:numPr>
        <w:autoSpaceDE w:val="0"/>
        <w:autoSpaceDN w:val="0"/>
        <w:spacing w:before="120"/>
        <w:ind w:leftChars="0"/>
        <w:jc w:val="both"/>
        <w:rPr>
          <w:rFonts w:ascii="Calibri" w:hAnsi="Calibri" w:cs="Calibri"/>
          <w:sz w:val="22"/>
        </w:rPr>
      </w:pPr>
      <w:r>
        <w:rPr>
          <w:rFonts w:ascii="Calibri" w:hAnsi="Calibri" w:cs="Calibri"/>
          <w:sz w:val="22"/>
        </w:rPr>
        <w:t>U</w:t>
      </w:r>
      <w:r w:rsidRPr="00CF6AD2">
        <w:rPr>
          <w:rFonts w:ascii="Calibri" w:hAnsi="Calibri" w:cs="Calibri"/>
          <w:sz w:val="22"/>
        </w:rPr>
        <w:t>L CAPC table is used</w:t>
      </w:r>
      <w:r>
        <w:rPr>
          <w:rFonts w:ascii="Calibri" w:hAnsi="Calibri" w:cs="Calibri"/>
          <w:sz w:val="22"/>
        </w:rPr>
        <w:t xml:space="preserve"> (Option 2): </w:t>
      </w:r>
      <w:r w:rsidR="0047390E">
        <w:rPr>
          <w:rFonts w:ascii="Calibri" w:hAnsi="Calibri" w:cs="Calibri"/>
          <w:sz w:val="22"/>
        </w:rPr>
        <w:t>LGE, Panasonic, Fraunhofer</w:t>
      </w:r>
    </w:p>
    <w:p w14:paraId="2FA1E9C9" w14:textId="5FE9E68E" w:rsidR="0052044C" w:rsidRDefault="0052044C" w:rsidP="004B1D3C">
      <w:pPr>
        <w:pStyle w:val="ListParagraph"/>
        <w:numPr>
          <w:ilvl w:val="0"/>
          <w:numId w:val="18"/>
        </w:numPr>
        <w:autoSpaceDE w:val="0"/>
        <w:autoSpaceDN w:val="0"/>
        <w:spacing w:before="120"/>
        <w:ind w:leftChars="0"/>
        <w:jc w:val="both"/>
        <w:rPr>
          <w:rFonts w:ascii="Calibri" w:hAnsi="Calibri" w:cs="Calibri"/>
          <w:sz w:val="22"/>
        </w:rPr>
      </w:pPr>
      <w:r>
        <w:rPr>
          <w:rFonts w:ascii="Calibri" w:hAnsi="Calibri" w:cs="Calibri"/>
          <w:sz w:val="22"/>
        </w:rPr>
        <w:t>On suggestion to make p=1 for S-SSB to use mp=1, based on the inputs, I believe not all companies are on the same page. For this point, I have added an FFS in Proposal 1 if Type 1 is supported for S-SSB.</w:t>
      </w:r>
    </w:p>
    <w:p w14:paraId="51A712AB" w14:textId="5B72E201" w:rsidR="00E33573" w:rsidRDefault="0052044C" w:rsidP="00163935">
      <w:pPr>
        <w:pStyle w:val="ListParagraph"/>
        <w:numPr>
          <w:ilvl w:val="0"/>
          <w:numId w:val="18"/>
        </w:numPr>
        <w:autoSpaceDE w:val="0"/>
        <w:autoSpaceDN w:val="0"/>
        <w:spacing w:before="120"/>
        <w:ind w:leftChars="0"/>
        <w:jc w:val="both"/>
        <w:rPr>
          <w:rFonts w:ascii="Calibri" w:hAnsi="Calibri" w:cs="Calibri"/>
          <w:sz w:val="22"/>
        </w:rPr>
      </w:pPr>
      <w:r>
        <w:rPr>
          <w:rFonts w:ascii="Calibri" w:hAnsi="Calibri" w:cs="Calibri"/>
          <w:sz w:val="22"/>
        </w:rPr>
        <w:t xml:space="preserve">On whether PQI or L1 priority is mapping to the 4 CAPC levels, this discussion is already started in RAN2. I can see some merits in using either one of them. I </w:t>
      </w:r>
      <w:r w:rsidR="00163935">
        <w:rPr>
          <w:rFonts w:ascii="Calibri" w:hAnsi="Calibri" w:cs="Calibri"/>
          <w:sz w:val="22"/>
        </w:rPr>
        <w:t xml:space="preserve">believe </w:t>
      </w:r>
      <w:r>
        <w:rPr>
          <w:rFonts w:ascii="Calibri" w:hAnsi="Calibri" w:cs="Calibri"/>
          <w:sz w:val="22"/>
        </w:rPr>
        <w:t>this sub-bullet</w:t>
      </w:r>
      <w:r w:rsidR="00163935">
        <w:rPr>
          <w:rFonts w:ascii="Calibri" w:hAnsi="Calibri" w:cs="Calibri"/>
          <w:sz w:val="22"/>
        </w:rPr>
        <w:t xml:space="preserve"> can be removed</w:t>
      </w:r>
      <w:r>
        <w:rPr>
          <w:rFonts w:ascii="Calibri" w:hAnsi="Calibri" w:cs="Calibri"/>
          <w:sz w:val="22"/>
        </w:rPr>
        <w:t xml:space="preserve">, </w:t>
      </w:r>
      <w:r w:rsidR="00163935">
        <w:rPr>
          <w:rFonts w:ascii="Calibri" w:hAnsi="Calibri" w:cs="Calibri"/>
          <w:sz w:val="22"/>
        </w:rPr>
        <w:t>and we can wait for the outcome of this discussion in RAN2</w:t>
      </w:r>
      <w:r>
        <w:rPr>
          <w:rFonts w:ascii="Calibri" w:hAnsi="Calibri" w:cs="Calibri"/>
          <w:sz w:val="22"/>
        </w:rPr>
        <w:t>.</w:t>
      </w:r>
    </w:p>
    <w:p w14:paraId="5F56A7F1" w14:textId="2A786927" w:rsidR="00163935" w:rsidRPr="00163935" w:rsidRDefault="00163935" w:rsidP="00163935">
      <w:pPr>
        <w:pStyle w:val="ListParagraph"/>
        <w:numPr>
          <w:ilvl w:val="0"/>
          <w:numId w:val="18"/>
        </w:numPr>
        <w:autoSpaceDE w:val="0"/>
        <w:autoSpaceDN w:val="0"/>
        <w:spacing w:before="120"/>
        <w:ind w:leftChars="0"/>
        <w:jc w:val="both"/>
        <w:rPr>
          <w:rFonts w:ascii="Calibri" w:hAnsi="Calibri" w:cs="Calibri"/>
          <w:sz w:val="22"/>
        </w:rPr>
      </w:pPr>
      <w:r>
        <w:rPr>
          <w:rFonts w:ascii="Calibri" w:hAnsi="Calibri" w:cs="Calibri"/>
          <w:sz w:val="22"/>
        </w:rPr>
        <w:t>Based on the above results, it is clear that we should define only one CAPC table for SL. The next step is down-select between Option 1 (DL) and Option 2 (UL). Please indicate your preference in Round_2 discussion.</w:t>
      </w:r>
    </w:p>
    <w:p w14:paraId="23AE7B30" w14:textId="607A637C" w:rsidR="00AC3B6D" w:rsidRDefault="00AC3B6D" w:rsidP="00AC3B6D">
      <w:pPr>
        <w:autoSpaceDE w:val="0"/>
        <w:autoSpaceDN w:val="0"/>
        <w:spacing w:after="120"/>
        <w:jc w:val="both"/>
        <w:rPr>
          <w:rFonts w:ascii="Calibri" w:hAnsi="Calibri" w:cs="Calibri"/>
          <w:sz w:val="22"/>
        </w:rPr>
      </w:pPr>
    </w:p>
    <w:p w14:paraId="2D27D57B" w14:textId="5F806876" w:rsidR="004B1D3C" w:rsidRPr="002F1DFF" w:rsidRDefault="004B1D3C" w:rsidP="004B1D3C">
      <w:pPr>
        <w:autoSpaceDE w:val="0"/>
        <w:autoSpaceDN w:val="0"/>
        <w:spacing w:before="120"/>
        <w:jc w:val="both"/>
        <w:rPr>
          <w:rFonts w:ascii="Calibri" w:hAnsi="Calibri" w:cs="Calibri"/>
          <w:sz w:val="22"/>
        </w:rPr>
      </w:pPr>
      <w:r w:rsidRPr="002F1DFF">
        <w:rPr>
          <w:rFonts w:ascii="Calibri" w:hAnsi="Calibri" w:cs="Calibri"/>
          <w:b/>
          <w:bCs/>
          <w:sz w:val="22"/>
          <w:highlight w:val="yellow"/>
        </w:rPr>
        <w:t>Proposal 2</w:t>
      </w:r>
      <w:r>
        <w:rPr>
          <w:rFonts w:ascii="Calibri" w:hAnsi="Calibri" w:cs="Calibri"/>
          <w:b/>
          <w:bCs/>
          <w:sz w:val="22"/>
          <w:highlight w:val="yellow"/>
        </w:rPr>
        <w:t>-1</w:t>
      </w:r>
      <w:r w:rsidRPr="002F1DFF">
        <w:rPr>
          <w:rFonts w:ascii="Calibri" w:hAnsi="Calibri" w:cs="Calibri"/>
          <w:b/>
          <w:bCs/>
          <w:sz w:val="22"/>
          <w:highlight w:val="yellow"/>
        </w:rPr>
        <w:t xml:space="preserve"> (I</w:t>
      </w:r>
      <w:r>
        <w:rPr>
          <w:rFonts w:ascii="Calibri" w:hAnsi="Calibri" w:cs="Calibri"/>
          <w:b/>
          <w:bCs/>
          <w:sz w:val="22"/>
          <w:highlight w:val="yellow"/>
        </w:rPr>
        <w:t>I</w:t>
      </w:r>
      <w:r w:rsidRPr="002F1DFF">
        <w:rPr>
          <w:rFonts w:ascii="Calibri" w:hAnsi="Calibri" w:cs="Calibri"/>
          <w:b/>
          <w:bCs/>
          <w:sz w:val="22"/>
          <w:highlight w:val="yellow"/>
        </w:rPr>
        <w:t>):</w:t>
      </w:r>
      <w:r w:rsidRPr="002F1DFF">
        <w:rPr>
          <w:rFonts w:ascii="Calibri" w:hAnsi="Calibri" w:cs="Calibri"/>
          <w:b/>
          <w:bCs/>
          <w:sz w:val="22"/>
        </w:rPr>
        <w:t xml:space="preserve"> </w:t>
      </w:r>
    </w:p>
    <w:p w14:paraId="6C35918B" w14:textId="77777777" w:rsidR="004B1D3C" w:rsidRDefault="004B1D3C" w:rsidP="004B1D3C">
      <w:pPr>
        <w:pStyle w:val="ListParagraph"/>
        <w:numPr>
          <w:ilvl w:val="0"/>
          <w:numId w:val="18"/>
        </w:numPr>
        <w:autoSpaceDE w:val="0"/>
        <w:autoSpaceDN w:val="0"/>
        <w:ind w:leftChars="0"/>
        <w:jc w:val="both"/>
        <w:rPr>
          <w:rFonts w:ascii="Calibri" w:hAnsi="Calibri" w:cs="Calibri"/>
          <w:sz w:val="22"/>
        </w:rPr>
      </w:pPr>
      <w:r>
        <w:rPr>
          <w:rFonts w:ascii="Calibri" w:hAnsi="Calibri" w:cs="Calibri"/>
          <w:sz w:val="22"/>
        </w:rPr>
        <w:t>In Type 1 SL channel access procedure,</w:t>
      </w:r>
    </w:p>
    <w:p w14:paraId="5E1D74BC" w14:textId="77777777" w:rsidR="004B1D3C" w:rsidRDefault="004B1D3C" w:rsidP="004B1D3C">
      <w:pPr>
        <w:pStyle w:val="ListParagraph"/>
        <w:numPr>
          <w:ilvl w:val="1"/>
          <w:numId w:val="18"/>
        </w:numPr>
        <w:autoSpaceDE w:val="0"/>
        <w:autoSpaceDN w:val="0"/>
        <w:ind w:leftChars="0"/>
        <w:jc w:val="both"/>
        <w:rPr>
          <w:rFonts w:ascii="Calibri" w:hAnsi="Calibri" w:cs="Calibri"/>
          <w:sz w:val="22"/>
        </w:rPr>
      </w:pPr>
      <w:r w:rsidRPr="00CF6AD2">
        <w:rPr>
          <w:rFonts w:ascii="Calibri" w:hAnsi="Calibri" w:cs="Calibri" w:hint="eastAsia"/>
          <w:sz w:val="22"/>
          <w:lang w:val="en-AU"/>
        </w:rPr>
        <w:t>Only one CAPC table is defined, which is based on one of the followings:</w:t>
      </w:r>
    </w:p>
    <w:p w14:paraId="2B143839" w14:textId="77777777" w:rsidR="004B1D3C" w:rsidRDefault="004B1D3C" w:rsidP="004B1D3C">
      <w:pPr>
        <w:pStyle w:val="ListParagraph"/>
        <w:numPr>
          <w:ilvl w:val="2"/>
          <w:numId w:val="18"/>
        </w:numPr>
        <w:autoSpaceDE w:val="0"/>
        <w:autoSpaceDN w:val="0"/>
        <w:ind w:leftChars="0"/>
        <w:jc w:val="both"/>
        <w:rPr>
          <w:rFonts w:ascii="Calibri" w:hAnsi="Calibri" w:cs="Calibri"/>
          <w:sz w:val="22"/>
        </w:rPr>
      </w:pPr>
      <w:r w:rsidRPr="00CF6AD2">
        <w:rPr>
          <w:rFonts w:ascii="Calibri" w:hAnsi="Calibri" w:cs="Calibri"/>
          <w:sz w:val="22"/>
        </w:rPr>
        <w:t>Option 1: The same DL CAPC table is used (Table 4.1.1-1 in TS37.213)</w:t>
      </w:r>
    </w:p>
    <w:p w14:paraId="41BDBA13" w14:textId="77777777" w:rsidR="004B1D3C" w:rsidRDefault="004B1D3C" w:rsidP="004B1D3C">
      <w:pPr>
        <w:pStyle w:val="ListParagraph"/>
        <w:numPr>
          <w:ilvl w:val="2"/>
          <w:numId w:val="18"/>
        </w:numPr>
        <w:autoSpaceDE w:val="0"/>
        <w:autoSpaceDN w:val="0"/>
        <w:ind w:leftChars="0"/>
        <w:jc w:val="both"/>
        <w:rPr>
          <w:rFonts w:ascii="Calibri" w:hAnsi="Calibri" w:cs="Calibri"/>
          <w:sz w:val="22"/>
        </w:rPr>
      </w:pPr>
      <w:r w:rsidRPr="00CF6AD2">
        <w:rPr>
          <w:rFonts w:ascii="Calibri" w:hAnsi="Calibri" w:cs="Calibri"/>
          <w:sz w:val="22"/>
        </w:rPr>
        <w:t>Option 2: The same UL CAPC table is used (Table 4.2.1-1 in TS37.213)</w:t>
      </w:r>
    </w:p>
    <w:p w14:paraId="26983CCD" w14:textId="09B1B232" w:rsidR="004B1D3C" w:rsidRPr="00163935" w:rsidRDefault="004B1D3C" w:rsidP="004B1D3C">
      <w:pPr>
        <w:pStyle w:val="ListParagraph"/>
        <w:numPr>
          <w:ilvl w:val="2"/>
          <w:numId w:val="18"/>
        </w:numPr>
        <w:autoSpaceDE w:val="0"/>
        <w:autoSpaceDN w:val="0"/>
        <w:ind w:leftChars="0"/>
        <w:jc w:val="both"/>
        <w:rPr>
          <w:rFonts w:ascii="Calibri" w:hAnsi="Calibri" w:cs="Calibri"/>
          <w:strike/>
          <w:color w:val="FF0000"/>
          <w:sz w:val="22"/>
        </w:rPr>
      </w:pPr>
      <w:r w:rsidRPr="00163935">
        <w:rPr>
          <w:rFonts w:ascii="Calibri" w:hAnsi="Calibri" w:cs="Calibri"/>
          <w:strike/>
          <w:color w:val="FF0000"/>
          <w:sz w:val="22"/>
        </w:rPr>
        <w:t>The mapping of PQI</w:t>
      </w:r>
      <w:r w:rsidR="0052044C" w:rsidRPr="00163935">
        <w:rPr>
          <w:rFonts w:ascii="Calibri" w:hAnsi="Calibri" w:cs="Calibri"/>
          <w:strike/>
          <w:color w:val="FF0000"/>
          <w:sz w:val="22"/>
        </w:rPr>
        <w:t xml:space="preserve"> </w:t>
      </w:r>
      <w:r w:rsidRPr="00163935">
        <w:rPr>
          <w:rFonts w:ascii="Calibri" w:hAnsi="Calibri" w:cs="Calibri"/>
          <w:strike/>
          <w:color w:val="FF0000"/>
          <w:sz w:val="22"/>
        </w:rPr>
        <w:t>to the 4 CAPC levels is up to RAN2</w:t>
      </w:r>
    </w:p>
    <w:p w14:paraId="6239CA3F" w14:textId="27E93A0D" w:rsidR="004B1D3C" w:rsidRDefault="004B1D3C" w:rsidP="00AC3B6D">
      <w:pPr>
        <w:autoSpaceDE w:val="0"/>
        <w:autoSpaceDN w:val="0"/>
        <w:spacing w:after="120"/>
        <w:jc w:val="both"/>
        <w:rPr>
          <w:rFonts w:ascii="Calibri" w:hAnsi="Calibri" w:cs="Calibri"/>
          <w:sz w:val="22"/>
        </w:rPr>
      </w:pPr>
    </w:p>
    <w:tbl>
      <w:tblPr>
        <w:tblStyle w:val="TableGrid"/>
        <w:tblW w:w="9776" w:type="dxa"/>
        <w:tblLayout w:type="fixed"/>
        <w:tblLook w:val="04A0" w:firstRow="1" w:lastRow="0" w:firstColumn="1" w:lastColumn="0" w:noHBand="0" w:noVBand="1"/>
      </w:tblPr>
      <w:tblGrid>
        <w:gridCol w:w="1555"/>
        <w:gridCol w:w="1555"/>
        <w:gridCol w:w="6666"/>
      </w:tblGrid>
      <w:tr w:rsidR="00163935" w14:paraId="013DC68E" w14:textId="77777777" w:rsidTr="00163935">
        <w:tc>
          <w:tcPr>
            <w:tcW w:w="1555" w:type="dxa"/>
          </w:tcPr>
          <w:p w14:paraId="653DF7D2" w14:textId="42016F1D" w:rsidR="00163935" w:rsidRDefault="00163935" w:rsidP="006B2419">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lastRenderedPageBreak/>
              <w:t>Company</w:t>
            </w:r>
          </w:p>
        </w:tc>
        <w:tc>
          <w:tcPr>
            <w:tcW w:w="1555" w:type="dxa"/>
          </w:tcPr>
          <w:p w14:paraId="696B3DA5" w14:textId="49FFEC99" w:rsidR="00163935" w:rsidRDefault="00163935" w:rsidP="006B2419">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Option 1 or 2</w:t>
            </w:r>
          </w:p>
        </w:tc>
        <w:tc>
          <w:tcPr>
            <w:tcW w:w="6666" w:type="dxa"/>
          </w:tcPr>
          <w:p w14:paraId="5228C5EC" w14:textId="77777777" w:rsidR="00163935" w:rsidRDefault="00163935" w:rsidP="006B2419">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961C87" w14:paraId="7D319475" w14:textId="77777777" w:rsidTr="00163935">
        <w:tc>
          <w:tcPr>
            <w:tcW w:w="1555" w:type="dxa"/>
          </w:tcPr>
          <w:p w14:paraId="14B583FD" w14:textId="22275F2E" w:rsidR="00961C87" w:rsidRDefault="00961C87" w:rsidP="00961C87">
            <w:pPr>
              <w:pStyle w:val="0Maintext"/>
              <w:spacing w:after="0" w:afterAutospacing="0"/>
              <w:ind w:firstLine="0"/>
            </w:pPr>
            <w:r>
              <w:rPr>
                <w:rFonts w:hint="eastAsia"/>
                <w:lang w:eastAsia="ko-KR"/>
              </w:rPr>
              <w:t>LGE</w:t>
            </w:r>
          </w:p>
        </w:tc>
        <w:tc>
          <w:tcPr>
            <w:tcW w:w="1555" w:type="dxa"/>
          </w:tcPr>
          <w:p w14:paraId="39F6E491" w14:textId="5B7B3629" w:rsidR="00961C87" w:rsidRDefault="00961C87" w:rsidP="00961C87">
            <w:pPr>
              <w:pStyle w:val="0Maintext"/>
              <w:spacing w:after="0" w:afterAutospacing="0"/>
              <w:ind w:firstLine="0"/>
            </w:pPr>
            <w:r>
              <w:rPr>
                <w:rFonts w:hint="eastAsia"/>
                <w:lang w:eastAsia="ko-KR"/>
              </w:rPr>
              <w:t>Option 2</w:t>
            </w:r>
          </w:p>
        </w:tc>
        <w:tc>
          <w:tcPr>
            <w:tcW w:w="6666" w:type="dxa"/>
          </w:tcPr>
          <w:p w14:paraId="58643E33" w14:textId="77777777" w:rsidR="00961C87" w:rsidRDefault="00961C87" w:rsidP="00961C87">
            <w:pPr>
              <w:pStyle w:val="0Maintext"/>
              <w:spacing w:after="0" w:afterAutospacing="0"/>
              <w:ind w:firstLine="0"/>
              <w:rPr>
                <w:lang w:eastAsia="ko-KR"/>
              </w:rPr>
            </w:pPr>
            <w:r>
              <w:rPr>
                <w:rFonts w:hint="eastAsia"/>
                <w:lang w:eastAsia="ko-KR"/>
              </w:rPr>
              <w:t xml:space="preserve">First of all, the number of SL UE will be much larger than </w:t>
            </w:r>
            <w:r>
              <w:rPr>
                <w:lang w:eastAsia="ko-KR"/>
              </w:rPr>
              <w:t>that</w:t>
            </w:r>
            <w:r>
              <w:rPr>
                <w:rFonts w:hint="eastAsia"/>
                <w:lang w:eastAsia="ko-KR"/>
              </w:rPr>
              <w:t xml:space="preserve"> </w:t>
            </w:r>
            <w:r>
              <w:rPr>
                <w:lang w:eastAsia="ko-KR"/>
              </w:rPr>
              <w:t xml:space="preserve">of gNB. So, it would be safe to use more conservative one for fairness with other RAT including NR-U. </w:t>
            </w:r>
          </w:p>
          <w:p w14:paraId="4FAB643F" w14:textId="18B30C89" w:rsidR="00961C87" w:rsidRDefault="00961C87" w:rsidP="00961C87">
            <w:pPr>
              <w:pStyle w:val="0Maintext"/>
              <w:spacing w:after="0" w:afterAutospacing="0"/>
              <w:ind w:firstLine="0"/>
            </w:pPr>
            <w:r>
              <w:rPr>
                <w:lang w:eastAsia="ko-KR"/>
              </w:rPr>
              <w:t xml:space="preserve">Second, if we consider the coexistence between NR-U UL and SL in a UE in this release or the future release, it would be necessary to align CAPC table for fair CAPC comparison. </w:t>
            </w:r>
          </w:p>
        </w:tc>
      </w:tr>
      <w:tr w:rsidR="006B2419" w14:paraId="2B400D32" w14:textId="77777777" w:rsidTr="00163935">
        <w:tc>
          <w:tcPr>
            <w:tcW w:w="1555" w:type="dxa"/>
          </w:tcPr>
          <w:p w14:paraId="6EA5308F" w14:textId="3B70B5A0" w:rsidR="006B2419" w:rsidRDefault="006B2419" w:rsidP="006B2419">
            <w:pPr>
              <w:pStyle w:val="0Maintext"/>
              <w:spacing w:after="0" w:afterAutospacing="0"/>
              <w:ind w:firstLine="0"/>
            </w:pPr>
            <w:r>
              <w:rPr>
                <w:rFonts w:eastAsiaTheme="minorEastAsia" w:hint="eastAsia"/>
                <w:lang w:eastAsia="zh-CN"/>
              </w:rPr>
              <w:t>O</w:t>
            </w:r>
            <w:r>
              <w:rPr>
                <w:rFonts w:eastAsiaTheme="minorEastAsia"/>
                <w:lang w:eastAsia="zh-CN"/>
              </w:rPr>
              <w:t>PPO</w:t>
            </w:r>
          </w:p>
        </w:tc>
        <w:tc>
          <w:tcPr>
            <w:tcW w:w="1555" w:type="dxa"/>
          </w:tcPr>
          <w:p w14:paraId="5244BF6E" w14:textId="6DF49E54" w:rsidR="006B2419" w:rsidRDefault="006B2419" w:rsidP="006B2419">
            <w:pPr>
              <w:pStyle w:val="0Maintext"/>
              <w:spacing w:after="0" w:afterAutospacing="0"/>
              <w:ind w:firstLine="0"/>
            </w:pPr>
            <w:r>
              <w:rPr>
                <w:rFonts w:eastAsiaTheme="minorEastAsia" w:hint="eastAsia"/>
                <w:lang w:eastAsia="zh-CN"/>
              </w:rPr>
              <w:t>O</w:t>
            </w:r>
            <w:r>
              <w:rPr>
                <w:rFonts w:eastAsiaTheme="minorEastAsia"/>
                <w:lang w:eastAsia="zh-CN"/>
              </w:rPr>
              <w:t>ption 1</w:t>
            </w:r>
          </w:p>
        </w:tc>
        <w:tc>
          <w:tcPr>
            <w:tcW w:w="6666" w:type="dxa"/>
          </w:tcPr>
          <w:p w14:paraId="3270C4F1" w14:textId="5C6AE93C" w:rsidR="006B2419" w:rsidRDefault="006B2419" w:rsidP="006B2419">
            <w:pPr>
              <w:pStyle w:val="0Maintext"/>
              <w:spacing w:after="0" w:afterAutospacing="0"/>
              <w:ind w:firstLine="0"/>
            </w:pPr>
            <w:r>
              <w:t xml:space="preserve">Reusing DL CAPC table is beneficial for SL-U UEs to access the channel. </w:t>
            </w:r>
          </w:p>
        </w:tc>
      </w:tr>
      <w:tr w:rsidR="00D6367A" w14:paraId="3A97331F" w14:textId="77777777" w:rsidTr="00163935">
        <w:tc>
          <w:tcPr>
            <w:tcW w:w="1555" w:type="dxa"/>
          </w:tcPr>
          <w:p w14:paraId="7552610D" w14:textId="64F5D77B" w:rsidR="00D6367A" w:rsidRDefault="00D6367A" w:rsidP="00D6367A">
            <w:pPr>
              <w:pStyle w:val="0Maintext"/>
              <w:spacing w:after="0" w:afterAutospacing="0"/>
              <w:ind w:firstLine="0"/>
            </w:pPr>
            <w:r w:rsidRPr="00E400B0">
              <w:t>DCM</w:t>
            </w:r>
          </w:p>
        </w:tc>
        <w:tc>
          <w:tcPr>
            <w:tcW w:w="1555" w:type="dxa"/>
          </w:tcPr>
          <w:p w14:paraId="74622FC6" w14:textId="4658822B" w:rsidR="00D6367A" w:rsidRDefault="00D6367A" w:rsidP="00D6367A">
            <w:pPr>
              <w:pStyle w:val="0Maintext"/>
              <w:spacing w:after="0" w:afterAutospacing="0"/>
              <w:ind w:firstLine="0"/>
            </w:pPr>
            <w:r w:rsidRPr="00E400B0">
              <w:t>1</w:t>
            </w:r>
          </w:p>
        </w:tc>
        <w:tc>
          <w:tcPr>
            <w:tcW w:w="6666" w:type="dxa"/>
          </w:tcPr>
          <w:p w14:paraId="75CFA91A" w14:textId="4C868875" w:rsidR="00D6367A" w:rsidRDefault="00D6367A" w:rsidP="00D6367A">
            <w:pPr>
              <w:pStyle w:val="0Maintext"/>
              <w:spacing w:after="0" w:afterAutospacing="0"/>
              <w:ind w:firstLine="0"/>
            </w:pPr>
            <w:r w:rsidRPr="00E400B0">
              <w:t>In our view, SL-UE is a kind of supervising device rather than supervised device since each UE decides its own TX resource and indicates it so that other UEs do not use it. Thus we slightly prefer Option 1.</w:t>
            </w:r>
          </w:p>
        </w:tc>
      </w:tr>
      <w:tr w:rsidR="00B91A1D" w14:paraId="4A5DFDF0" w14:textId="77777777" w:rsidTr="00163935">
        <w:tc>
          <w:tcPr>
            <w:tcW w:w="1555" w:type="dxa"/>
          </w:tcPr>
          <w:p w14:paraId="6DAA82EC" w14:textId="6F3C01CB" w:rsidR="00B91A1D" w:rsidRDefault="00B91A1D" w:rsidP="00B91A1D">
            <w:pPr>
              <w:pStyle w:val="0Maintext"/>
              <w:spacing w:after="0" w:afterAutospacing="0"/>
              <w:ind w:firstLine="0"/>
            </w:pPr>
            <w:r>
              <w:rPr>
                <w:rFonts w:eastAsiaTheme="minorEastAsia" w:hint="eastAsia"/>
                <w:lang w:eastAsia="zh-CN"/>
              </w:rPr>
              <w:t>C</w:t>
            </w:r>
            <w:r>
              <w:rPr>
                <w:rFonts w:eastAsiaTheme="minorEastAsia"/>
                <w:lang w:eastAsia="zh-CN"/>
              </w:rPr>
              <w:t>MCC</w:t>
            </w:r>
          </w:p>
        </w:tc>
        <w:tc>
          <w:tcPr>
            <w:tcW w:w="1555" w:type="dxa"/>
          </w:tcPr>
          <w:p w14:paraId="416D7A0A" w14:textId="6C1DAAD3" w:rsidR="00B91A1D" w:rsidRDefault="00B91A1D" w:rsidP="00B91A1D">
            <w:pPr>
              <w:pStyle w:val="0Maintext"/>
              <w:spacing w:after="0" w:afterAutospacing="0"/>
              <w:ind w:firstLine="0"/>
            </w:pPr>
            <w:r>
              <w:rPr>
                <w:rFonts w:eastAsiaTheme="minorEastAsia" w:hint="eastAsia"/>
                <w:lang w:eastAsia="zh-CN"/>
              </w:rPr>
              <w:t>O</w:t>
            </w:r>
            <w:r>
              <w:rPr>
                <w:rFonts w:eastAsiaTheme="minorEastAsia"/>
                <w:lang w:eastAsia="zh-CN"/>
              </w:rPr>
              <w:t>ption 2</w:t>
            </w:r>
          </w:p>
        </w:tc>
        <w:tc>
          <w:tcPr>
            <w:tcW w:w="6666" w:type="dxa"/>
          </w:tcPr>
          <w:p w14:paraId="1FEFB776" w14:textId="492F5803" w:rsidR="00B91A1D" w:rsidRDefault="00B91A1D" w:rsidP="00B91A1D">
            <w:pPr>
              <w:pStyle w:val="0Maintext"/>
              <w:spacing w:after="0" w:afterAutospacing="0"/>
              <w:ind w:firstLine="0"/>
            </w:pPr>
            <w:r>
              <w:t xml:space="preserve"> More channel access opportunity can be provided by option 2 and maybe it is beneficial to mitigate the inter-UE blocking issue.</w:t>
            </w:r>
          </w:p>
        </w:tc>
      </w:tr>
      <w:tr w:rsidR="009A6BDC" w14:paraId="3747F62B" w14:textId="77777777" w:rsidTr="00163935">
        <w:tc>
          <w:tcPr>
            <w:tcW w:w="1555" w:type="dxa"/>
          </w:tcPr>
          <w:p w14:paraId="0DB7F66D" w14:textId="2578A629" w:rsidR="009A6BDC" w:rsidRDefault="009A6BDC" w:rsidP="009A6BDC">
            <w:pPr>
              <w:pStyle w:val="0Maintext"/>
              <w:spacing w:after="0" w:afterAutospacing="0"/>
              <w:ind w:firstLine="0"/>
            </w:pPr>
            <w:r>
              <w:rPr>
                <w:rFonts w:eastAsiaTheme="minorEastAsia" w:hint="eastAsia"/>
                <w:lang w:eastAsia="zh-CN"/>
              </w:rPr>
              <w:t>v</w:t>
            </w:r>
            <w:r>
              <w:rPr>
                <w:rFonts w:eastAsiaTheme="minorEastAsia"/>
                <w:lang w:eastAsia="zh-CN"/>
              </w:rPr>
              <w:t>ivo</w:t>
            </w:r>
          </w:p>
        </w:tc>
        <w:tc>
          <w:tcPr>
            <w:tcW w:w="1555" w:type="dxa"/>
          </w:tcPr>
          <w:p w14:paraId="65756413" w14:textId="208B3CC7" w:rsidR="009A6BDC" w:rsidRDefault="009A6BDC" w:rsidP="009A6BDC">
            <w:pPr>
              <w:pStyle w:val="0Maintext"/>
              <w:spacing w:after="0" w:afterAutospacing="0"/>
              <w:ind w:firstLine="0"/>
            </w:pPr>
            <w:r>
              <w:rPr>
                <w:rFonts w:eastAsiaTheme="minorEastAsia"/>
                <w:lang w:eastAsia="zh-CN"/>
              </w:rPr>
              <w:t xml:space="preserve">Either </w:t>
            </w:r>
          </w:p>
        </w:tc>
        <w:tc>
          <w:tcPr>
            <w:tcW w:w="6666" w:type="dxa"/>
          </w:tcPr>
          <w:p w14:paraId="638D1ABF" w14:textId="18A75585" w:rsidR="009A6BDC" w:rsidRDefault="009A6BDC" w:rsidP="009A6BDC">
            <w:pPr>
              <w:pStyle w:val="0Maintext"/>
              <w:spacing w:after="0" w:afterAutospacing="0"/>
              <w:ind w:firstLine="0"/>
            </w:pPr>
            <w:r>
              <w:t xml:space="preserve">   </w:t>
            </w:r>
          </w:p>
        </w:tc>
      </w:tr>
      <w:tr w:rsidR="00C55F84" w14:paraId="061262D8" w14:textId="77777777" w:rsidTr="00163935">
        <w:tc>
          <w:tcPr>
            <w:tcW w:w="1555" w:type="dxa"/>
          </w:tcPr>
          <w:p w14:paraId="6F4BCC88" w14:textId="2FBAA292" w:rsidR="00C55F84" w:rsidRDefault="00C55F84" w:rsidP="009A6BDC">
            <w:pPr>
              <w:pStyle w:val="0Maintext"/>
              <w:spacing w:after="0" w:afterAutospacing="0"/>
              <w:ind w:firstLine="0"/>
              <w:rPr>
                <w:rFonts w:eastAsiaTheme="minorEastAsia"/>
                <w:lang w:eastAsia="zh-CN"/>
              </w:rPr>
            </w:pPr>
            <w:r>
              <w:rPr>
                <w:rFonts w:eastAsiaTheme="minorEastAsia" w:hint="eastAsia"/>
                <w:lang w:eastAsia="zh-CN"/>
              </w:rPr>
              <w:t>Sharp</w:t>
            </w:r>
          </w:p>
        </w:tc>
        <w:tc>
          <w:tcPr>
            <w:tcW w:w="1555" w:type="dxa"/>
          </w:tcPr>
          <w:p w14:paraId="49F27A89" w14:textId="2A38BF2B" w:rsidR="00C55F84" w:rsidRDefault="00C55F84" w:rsidP="009A6BDC">
            <w:pPr>
              <w:pStyle w:val="0Maintext"/>
              <w:spacing w:after="0" w:afterAutospacing="0"/>
              <w:ind w:firstLine="0"/>
              <w:rPr>
                <w:rFonts w:eastAsiaTheme="minorEastAsia"/>
                <w:lang w:eastAsia="zh-CN"/>
              </w:rPr>
            </w:pPr>
            <w:r>
              <w:rPr>
                <w:rFonts w:eastAsiaTheme="minorEastAsia" w:hint="eastAsia"/>
                <w:lang w:eastAsia="zh-CN"/>
              </w:rPr>
              <w:t>Option 2</w:t>
            </w:r>
          </w:p>
        </w:tc>
        <w:tc>
          <w:tcPr>
            <w:tcW w:w="6666" w:type="dxa"/>
          </w:tcPr>
          <w:p w14:paraId="7653C0A5" w14:textId="77777777" w:rsidR="00C55F84" w:rsidRDefault="00C55F84" w:rsidP="009A6BDC">
            <w:pPr>
              <w:pStyle w:val="0Maintext"/>
              <w:spacing w:after="0" w:afterAutospacing="0"/>
              <w:ind w:firstLine="0"/>
            </w:pPr>
          </w:p>
        </w:tc>
      </w:tr>
      <w:tr w:rsidR="00650E3B" w14:paraId="7F92C8E6" w14:textId="77777777" w:rsidTr="00650E3B">
        <w:tc>
          <w:tcPr>
            <w:tcW w:w="1555" w:type="dxa"/>
          </w:tcPr>
          <w:p w14:paraId="41612FE2" w14:textId="77777777" w:rsidR="00650E3B" w:rsidRPr="005B363C" w:rsidRDefault="00650E3B" w:rsidP="000F6488">
            <w:pPr>
              <w:pStyle w:val="0Maintext"/>
              <w:spacing w:after="0" w:afterAutospacing="0"/>
              <w:ind w:firstLine="0"/>
              <w:rPr>
                <w:rFonts w:eastAsiaTheme="minorEastAsia"/>
                <w:lang w:eastAsia="zh-CN"/>
              </w:rPr>
            </w:pPr>
            <w:r>
              <w:rPr>
                <w:rFonts w:eastAsiaTheme="minorEastAsia" w:hint="eastAsia"/>
                <w:lang w:eastAsia="zh-CN"/>
              </w:rPr>
              <w:t>x</w:t>
            </w:r>
            <w:r>
              <w:rPr>
                <w:rFonts w:eastAsiaTheme="minorEastAsia"/>
                <w:lang w:eastAsia="zh-CN"/>
              </w:rPr>
              <w:t>iaomi</w:t>
            </w:r>
          </w:p>
        </w:tc>
        <w:tc>
          <w:tcPr>
            <w:tcW w:w="1555" w:type="dxa"/>
          </w:tcPr>
          <w:p w14:paraId="4876DA27" w14:textId="77777777" w:rsidR="00650E3B" w:rsidRPr="005B363C" w:rsidRDefault="00650E3B" w:rsidP="000F6488">
            <w:pPr>
              <w:pStyle w:val="0Maintext"/>
              <w:spacing w:after="0" w:afterAutospacing="0"/>
              <w:ind w:firstLine="0"/>
              <w:rPr>
                <w:rFonts w:eastAsiaTheme="minorEastAsia"/>
                <w:lang w:eastAsia="zh-CN"/>
              </w:rPr>
            </w:pPr>
            <w:r>
              <w:rPr>
                <w:rFonts w:eastAsiaTheme="minorEastAsia"/>
                <w:lang w:eastAsia="zh-CN"/>
              </w:rPr>
              <w:t xml:space="preserve">Option2 </w:t>
            </w:r>
          </w:p>
        </w:tc>
        <w:tc>
          <w:tcPr>
            <w:tcW w:w="6666" w:type="dxa"/>
          </w:tcPr>
          <w:p w14:paraId="129BD6F9" w14:textId="77777777" w:rsidR="00650E3B" w:rsidRPr="00EE7E8A" w:rsidRDefault="00650E3B" w:rsidP="000F6488">
            <w:pPr>
              <w:pStyle w:val="0Maintext"/>
              <w:spacing w:after="0" w:afterAutospacing="0"/>
              <w:ind w:firstLine="0"/>
              <w:rPr>
                <w:rFonts w:eastAsiaTheme="minorEastAsia"/>
                <w:lang w:eastAsia="zh-CN"/>
              </w:rPr>
            </w:pPr>
            <w:r>
              <w:t xml:space="preserve">Technically, a sidelink UE doesn’t </w:t>
            </w:r>
            <w:r w:rsidRPr="005B363C">
              <w:t>control o</w:t>
            </w:r>
            <w:r>
              <w:t>perating parameters of other UE</w:t>
            </w:r>
            <w:r w:rsidRPr="005B363C">
              <w:t>s</w:t>
            </w:r>
            <w:r>
              <w:t xml:space="preserve">, so option2 is more </w:t>
            </w:r>
            <w:r w:rsidRPr="00EE7E8A">
              <w:rPr>
                <w:rFonts w:hint="eastAsia"/>
              </w:rPr>
              <w:t>reasonable</w:t>
            </w:r>
            <w:r>
              <w:rPr>
                <w:rFonts w:eastAsiaTheme="minorEastAsia" w:hint="eastAsia"/>
                <w:lang w:eastAsia="zh-CN"/>
              </w:rPr>
              <w:t>.</w:t>
            </w:r>
          </w:p>
        </w:tc>
      </w:tr>
      <w:tr w:rsidR="000279F7" w14:paraId="469F649C" w14:textId="77777777" w:rsidTr="000279F7">
        <w:tc>
          <w:tcPr>
            <w:tcW w:w="1555" w:type="dxa"/>
          </w:tcPr>
          <w:p w14:paraId="75BFBD33" w14:textId="77777777" w:rsidR="000279F7" w:rsidRDefault="000279F7" w:rsidP="000F6488">
            <w:pPr>
              <w:pStyle w:val="0Maintext"/>
              <w:spacing w:after="0" w:afterAutospacing="0"/>
              <w:ind w:firstLine="0"/>
              <w:rPr>
                <w:rFonts w:eastAsiaTheme="minorEastAsia"/>
                <w:lang w:eastAsia="zh-CN"/>
              </w:rPr>
            </w:pPr>
            <w:r>
              <w:rPr>
                <w:rFonts w:eastAsiaTheme="minorEastAsia" w:hint="eastAsia"/>
                <w:lang w:eastAsia="zh-CN"/>
              </w:rPr>
              <w:t>ZTE,Sanechips</w:t>
            </w:r>
          </w:p>
        </w:tc>
        <w:tc>
          <w:tcPr>
            <w:tcW w:w="1555" w:type="dxa"/>
          </w:tcPr>
          <w:p w14:paraId="57CA4B8E" w14:textId="77777777" w:rsidR="000279F7" w:rsidRDefault="000279F7" w:rsidP="000F6488">
            <w:pPr>
              <w:pStyle w:val="0Maintext"/>
              <w:spacing w:after="0" w:afterAutospacing="0"/>
              <w:ind w:firstLine="0"/>
              <w:rPr>
                <w:rFonts w:eastAsiaTheme="minorEastAsia"/>
                <w:lang w:eastAsia="zh-CN"/>
              </w:rPr>
            </w:pPr>
            <w:r>
              <w:rPr>
                <w:rFonts w:eastAsiaTheme="minorEastAsia" w:hint="eastAsia"/>
                <w:lang w:eastAsia="zh-CN"/>
              </w:rPr>
              <w:t>Option 2</w:t>
            </w:r>
          </w:p>
        </w:tc>
        <w:tc>
          <w:tcPr>
            <w:tcW w:w="6666" w:type="dxa"/>
          </w:tcPr>
          <w:p w14:paraId="06C17482" w14:textId="77777777" w:rsidR="000279F7" w:rsidRDefault="000279F7" w:rsidP="000F6488">
            <w:pPr>
              <w:pStyle w:val="0Maintext"/>
              <w:spacing w:after="0" w:afterAutospacing="0"/>
              <w:ind w:firstLine="0"/>
            </w:pPr>
          </w:p>
        </w:tc>
      </w:tr>
      <w:tr w:rsidR="000279F7" w14:paraId="235650D8" w14:textId="77777777" w:rsidTr="000279F7">
        <w:tc>
          <w:tcPr>
            <w:tcW w:w="1555" w:type="dxa"/>
          </w:tcPr>
          <w:p w14:paraId="6BE39627" w14:textId="77777777" w:rsidR="000279F7" w:rsidRDefault="000279F7" w:rsidP="000F6488">
            <w:pPr>
              <w:pStyle w:val="0Maintext"/>
              <w:spacing w:after="0" w:afterAutospacing="0"/>
              <w:ind w:firstLine="0"/>
              <w:rPr>
                <w:rFonts w:eastAsiaTheme="minorEastAsia"/>
                <w:lang w:eastAsia="zh-CN"/>
              </w:rPr>
            </w:pPr>
            <w:r>
              <w:rPr>
                <w:rFonts w:eastAsiaTheme="minorEastAsia" w:hint="eastAsia"/>
                <w:lang w:eastAsia="zh-CN"/>
              </w:rPr>
              <w:t>N</w:t>
            </w:r>
            <w:r>
              <w:rPr>
                <w:rFonts w:eastAsiaTheme="minorEastAsia"/>
                <w:lang w:eastAsia="zh-CN"/>
              </w:rPr>
              <w:t>EC</w:t>
            </w:r>
          </w:p>
        </w:tc>
        <w:tc>
          <w:tcPr>
            <w:tcW w:w="1555" w:type="dxa"/>
          </w:tcPr>
          <w:p w14:paraId="15043C13" w14:textId="77777777" w:rsidR="000279F7" w:rsidRDefault="000279F7" w:rsidP="000F6488">
            <w:pPr>
              <w:pStyle w:val="0Maintext"/>
              <w:spacing w:after="0" w:afterAutospacing="0"/>
              <w:ind w:firstLine="0"/>
              <w:rPr>
                <w:rFonts w:eastAsiaTheme="minorEastAsia"/>
                <w:lang w:eastAsia="zh-CN"/>
              </w:rPr>
            </w:pPr>
            <w:r>
              <w:rPr>
                <w:rFonts w:eastAsiaTheme="minorEastAsia"/>
                <w:lang w:eastAsia="zh-CN"/>
              </w:rPr>
              <w:t>Option 2</w:t>
            </w:r>
          </w:p>
        </w:tc>
        <w:tc>
          <w:tcPr>
            <w:tcW w:w="6666" w:type="dxa"/>
          </w:tcPr>
          <w:p w14:paraId="5E815993" w14:textId="77777777" w:rsidR="000279F7" w:rsidRDefault="000279F7" w:rsidP="000F6488">
            <w:pPr>
              <w:pStyle w:val="0Maintext"/>
              <w:spacing w:after="0" w:afterAutospacing="0"/>
              <w:ind w:firstLine="0"/>
            </w:pPr>
          </w:p>
        </w:tc>
      </w:tr>
      <w:tr w:rsidR="00E41CC5" w14:paraId="50508C50" w14:textId="77777777" w:rsidTr="000279F7">
        <w:tc>
          <w:tcPr>
            <w:tcW w:w="1555" w:type="dxa"/>
          </w:tcPr>
          <w:p w14:paraId="6E51B6AC" w14:textId="76A86F2F" w:rsidR="00E41CC5" w:rsidRDefault="00E41CC5" w:rsidP="00E41CC5">
            <w:pPr>
              <w:pStyle w:val="0Maintext"/>
              <w:spacing w:after="0" w:afterAutospacing="0"/>
              <w:ind w:firstLine="0"/>
              <w:rPr>
                <w:rFonts w:eastAsiaTheme="minorEastAsia"/>
                <w:lang w:eastAsia="zh-CN"/>
              </w:rPr>
            </w:pPr>
            <w:r>
              <w:rPr>
                <w:rFonts w:eastAsiaTheme="minorEastAsia"/>
                <w:lang w:eastAsia="zh-CN"/>
              </w:rPr>
              <w:t>Fraunhofer</w:t>
            </w:r>
          </w:p>
        </w:tc>
        <w:tc>
          <w:tcPr>
            <w:tcW w:w="1555" w:type="dxa"/>
          </w:tcPr>
          <w:p w14:paraId="4FD9C9C9" w14:textId="36BE5B94" w:rsidR="00E41CC5" w:rsidRDefault="00E41CC5" w:rsidP="00E41CC5">
            <w:pPr>
              <w:pStyle w:val="0Maintext"/>
              <w:spacing w:after="0" w:afterAutospacing="0"/>
              <w:ind w:firstLine="0"/>
              <w:rPr>
                <w:rFonts w:eastAsiaTheme="minorEastAsia"/>
                <w:lang w:eastAsia="zh-CN"/>
              </w:rPr>
            </w:pPr>
            <w:r>
              <w:rPr>
                <w:rFonts w:eastAsiaTheme="minorEastAsia"/>
                <w:lang w:eastAsia="zh-CN"/>
              </w:rPr>
              <w:t>Option 2</w:t>
            </w:r>
          </w:p>
        </w:tc>
        <w:tc>
          <w:tcPr>
            <w:tcW w:w="6666" w:type="dxa"/>
          </w:tcPr>
          <w:p w14:paraId="711F1409" w14:textId="14FBF96E" w:rsidR="00E41CC5" w:rsidRDefault="00E41CC5" w:rsidP="00E41CC5">
            <w:pPr>
              <w:pStyle w:val="0Maintext"/>
              <w:spacing w:after="0" w:afterAutospacing="0"/>
              <w:ind w:firstLine="0"/>
            </w:pPr>
          </w:p>
        </w:tc>
      </w:tr>
      <w:tr w:rsidR="00D06D8F" w14:paraId="7A96FE4E" w14:textId="77777777" w:rsidTr="000279F7">
        <w:tc>
          <w:tcPr>
            <w:tcW w:w="1555" w:type="dxa"/>
          </w:tcPr>
          <w:p w14:paraId="0DAC7A33" w14:textId="51B79E75" w:rsidR="00D06D8F" w:rsidRDefault="00D06D8F" w:rsidP="00D06D8F">
            <w:pPr>
              <w:pStyle w:val="0Maintext"/>
              <w:spacing w:after="0" w:afterAutospacing="0"/>
              <w:ind w:firstLine="0"/>
              <w:rPr>
                <w:rFonts w:eastAsiaTheme="minorEastAsia"/>
                <w:lang w:eastAsia="zh-CN"/>
              </w:rPr>
            </w:pPr>
            <w:r>
              <w:rPr>
                <w:rFonts w:eastAsiaTheme="minorEastAsia"/>
                <w:lang w:eastAsia="zh-CN"/>
              </w:rPr>
              <w:t>Intel</w:t>
            </w:r>
          </w:p>
        </w:tc>
        <w:tc>
          <w:tcPr>
            <w:tcW w:w="1555" w:type="dxa"/>
          </w:tcPr>
          <w:p w14:paraId="2CD8B76B" w14:textId="0C46DD54" w:rsidR="00D06D8F" w:rsidRDefault="00D06D8F" w:rsidP="00D06D8F">
            <w:pPr>
              <w:pStyle w:val="0Maintext"/>
              <w:spacing w:after="0" w:afterAutospacing="0"/>
              <w:ind w:firstLine="0"/>
              <w:rPr>
                <w:rFonts w:eastAsiaTheme="minorEastAsia"/>
                <w:lang w:eastAsia="zh-CN"/>
              </w:rPr>
            </w:pPr>
            <w:r>
              <w:rPr>
                <w:rFonts w:eastAsiaTheme="minorEastAsia"/>
                <w:lang w:eastAsia="zh-CN"/>
              </w:rPr>
              <w:t>Option 2</w:t>
            </w:r>
          </w:p>
        </w:tc>
        <w:tc>
          <w:tcPr>
            <w:tcW w:w="6666" w:type="dxa"/>
          </w:tcPr>
          <w:p w14:paraId="11015142" w14:textId="15A5856F" w:rsidR="00D06D8F" w:rsidRDefault="00D06D8F" w:rsidP="00D06D8F">
            <w:pPr>
              <w:pStyle w:val="0Maintext"/>
              <w:spacing w:after="0" w:afterAutospacing="0"/>
              <w:ind w:firstLine="0"/>
            </w:pPr>
            <w:r>
              <w:t>It provides a more robust mechanisms against congestion in high traffic load scenarios (i.e., finer granularity for CWS, and longer MCOT for p=2).</w:t>
            </w:r>
          </w:p>
        </w:tc>
      </w:tr>
      <w:tr w:rsidR="004744D6" w14:paraId="1CD7AA5C" w14:textId="77777777" w:rsidTr="000279F7">
        <w:tc>
          <w:tcPr>
            <w:tcW w:w="1555" w:type="dxa"/>
          </w:tcPr>
          <w:p w14:paraId="36B0C75B" w14:textId="036D1F9E" w:rsidR="004744D6" w:rsidRDefault="004744D6" w:rsidP="004744D6">
            <w:pPr>
              <w:pStyle w:val="0Maintext"/>
              <w:spacing w:after="0" w:afterAutospacing="0"/>
              <w:ind w:firstLine="0"/>
              <w:rPr>
                <w:rFonts w:eastAsiaTheme="minorEastAsia"/>
                <w:lang w:eastAsia="zh-CN"/>
              </w:rPr>
            </w:pPr>
            <w:r>
              <w:rPr>
                <w:rFonts w:eastAsiaTheme="minorEastAsia"/>
                <w:lang w:eastAsia="zh-CN"/>
              </w:rPr>
              <w:t>InterDigital</w:t>
            </w:r>
          </w:p>
        </w:tc>
        <w:tc>
          <w:tcPr>
            <w:tcW w:w="1555" w:type="dxa"/>
          </w:tcPr>
          <w:p w14:paraId="36DCD190" w14:textId="4267E33A" w:rsidR="004744D6" w:rsidRDefault="004744D6" w:rsidP="004744D6">
            <w:pPr>
              <w:pStyle w:val="0Maintext"/>
              <w:spacing w:after="0" w:afterAutospacing="0"/>
              <w:ind w:firstLine="0"/>
              <w:rPr>
                <w:rFonts w:eastAsiaTheme="minorEastAsia"/>
                <w:lang w:eastAsia="zh-CN"/>
              </w:rPr>
            </w:pPr>
            <w:r>
              <w:rPr>
                <w:rFonts w:eastAsiaTheme="minorEastAsia"/>
                <w:lang w:eastAsia="zh-CN"/>
              </w:rPr>
              <w:t>Option 2</w:t>
            </w:r>
          </w:p>
        </w:tc>
        <w:tc>
          <w:tcPr>
            <w:tcW w:w="6666" w:type="dxa"/>
          </w:tcPr>
          <w:p w14:paraId="5060638B" w14:textId="2684F10D" w:rsidR="004744D6" w:rsidRDefault="004744D6" w:rsidP="004744D6">
            <w:pPr>
              <w:pStyle w:val="0Maintext"/>
              <w:spacing w:after="0" w:afterAutospacing="0"/>
              <w:ind w:firstLine="0"/>
            </w:pPr>
            <w:r>
              <w:t xml:space="preserve">We prefer Option 2 for the same reasoning given by LGE. However, we are fine with Option 1 if needed to make progress. </w:t>
            </w:r>
          </w:p>
        </w:tc>
      </w:tr>
      <w:tr w:rsidR="00F36B29" w14:paraId="32DEC9C2" w14:textId="77777777" w:rsidTr="000279F7">
        <w:tc>
          <w:tcPr>
            <w:tcW w:w="1555" w:type="dxa"/>
          </w:tcPr>
          <w:p w14:paraId="211B96EB" w14:textId="51E3BB7C" w:rsidR="00F36B29" w:rsidRDefault="00E806CA" w:rsidP="00F36B29">
            <w:pPr>
              <w:pStyle w:val="0Maintext"/>
              <w:spacing w:after="0" w:afterAutospacing="0"/>
              <w:ind w:firstLine="0"/>
              <w:rPr>
                <w:rFonts w:eastAsiaTheme="minorEastAsia"/>
                <w:lang w:eastAsia="zh-CN"/>
              </w:rPr>
            </w:pPr>
            <w:r>
              <w:rPr>
                <w:rFonts w:eastAsiaTheme="minorEastAsia"/>
                <w:lang w:eastAsia="zh-CN"/>
              </w:rPr>
              <w:t>Qualcomm</w:t>
            </w:r>
          </w:p>
        </w:tc>
        <w:tc>
          <w:tcPr>
            <w:tcW w:w="1555" w:type="dxa"/>
          </w:tcPr>
          <w:p w14:paraId="3A79700A" w14:textId="7452E717" w:rsidR="00F36B29" w:rsidRDefault="00F36B29" w:rsidP="00F36B29">
            <w:pPr>
              <w:pStyle w:val="0Maintext"/>
              <w:spacing w:after="0" w:afterAutospacing="0"/>
              <w:ind w:firstLine="0"/>
              <w:rPr>
                <w:rFonts w:eastAsiaTheme="minorEastAsia"/>
                <w:lang w:eastAsia="zh-CN"/>
              </w:rPr>
            </w:pPr>
            <w:r>
              <w:rPr>
                <w:rFonts w:eastAsiaTheme="minorEastAsia"/>
                <w:lang w:eastAsia="zh-CN"/>
              </w:rPr>
              <w:t>Option 2 with modification</w:t>
            </w:r>
          </w:p>
        </w:tc>
        <w:tc>
          <w:tcPr>
            <w:tcW w:w="6666" w:type="dxa"/>
          </w:tcPr>
          <w:p w14:paraId="14A681BF" w14:textId="77777777" w:rsidR="00E806CA" w:rsidRDefault="00E806CA" w:rsidP="00FA73F1">
            <w:pPr>
              <w:pStyle w:val="0Maintext"/>
              <w:spacing w:after="0" w:afterAutospacing="0"/>
              <w:ind w:firstLine="0"/>
            </w:pPr>
            <w:r>
              <w:t>As we commented in the previous round, a UE in Uu link (NR-U) does not send SSB. The gNB does, and does so with p=1 and mp=1 at least when the standalone SSB is sent.</w:t>
            </w:r>
          </w:p>
          <w:p w14:paraId="52CC2DFD" w14:textId="77777777" w:rsidR="00E806CA" w:rsidRDefault="00E806CA" w:rsidP="00FA73F1">
            <w:pPr>
              <w:pStyle w:val="0Maintext"/>
              <w:spacing w:after="0" w:afterAutospacing="0"/>
              <w:ind w:firstLine="0"/>
            </w:pPr>
          </w:p>
          <w:p w14:paraId="7E0D2630" w14:textId="77777777" w:rsidR="00E806CA" w:rsidRDefault="00E806CA" w:rsidP="00FA73F1">
            <w:pPr>
              <w:pStyle w:val="0Maintext"/>
              <w:spacing w:after="0" w:afterAutospacing="0"/>
              <w:ind w:firstLine="0"/>
              <w:rPr>
                <w:lang w:val="en-US"/>
              </w:rPr>
            </w:pPr>
            <w:r w:rsidRPr="0020679C">
              <w:rPr>
                <w:lang w:val="en-US"/>
              </w:rPr>
              <w:t>In SL-U a UE can</w:t>
            </w:r>
            <w:r>
              <w:rPr>
                <w:lang w:val="en-US"/>
              </w:rPr>
              <w:t xml:space="preserve"> send S-SSB as per the sync procedure, and the case where the UE sends a standalone S-SSB is not handled well by the UL table only. </w:t>
            </w:r>
          </w:p>
          <w:p w14:paraId="597EF320" w14:textId="77777777" w:rsidR="00E806CA" w:rsidRDefault="00E806CA" w:rsidP="00FA73F1">
            <w:pPr>
              <w:pStyle w:val="0Maintext"/>
              <w:spacing w:after="0" w:afterAutospacing="0"/>
              <w:ind w:firstLine="0"/>
              <w:rPr>
                <w:lang w:val="en-US"/>
              </w:rPr>
            </w:pPr>
          </w:p>
          <w:p w14:paraId="7641FDD8" w14:textId="77777777" w:rsidR="00E806CA" w:rsidRDefault="00E806CA" w:rsidP="00FA73F1">
            <w:pPr>
              <w:pStyle w:val="0Maintext"/>
              <w:spacing w:after="0" w:afterAutospacing="0"/>
              <w:ind w:firstLine="0"/>
              <w:rPr>
                <w:lang w:val="en-US"/>
              </w:rPr>
            </w:pPr>
            <w:r>
              <w:rPr>
                <w:lang w:val="en-US"/>
              </w:rPr>
              <w:t>To respond to FL’s comment, we believe that the discussion in Topic #1 is targeting the “p” value being 1 for S-SSB, and not the related “mp”.</w:t>
            </w:r>
          </w:p>
          <w:p w14:paraId="5CB444E6" w14:textId="77777777" w:rsidR="00E806CA" w:rsidRDefault="00E806CA" w:rsidP="00FA73F1">
            <w:pPr>
              <w:pStyle w:val="0Maintext"/>
              <w:spacing w:after="0" w:afterAutospacing="0"/>
              <w:ind w:firstLine="0"/>
              <w:rPr>
                <w:lang w:val="en-US"/>
              </w:rPr>
            </w:pPr>
          </w:p>
          <w:p w14:paraId="0AC40818" w14:textId="77777777" w:rsidR="00E806CA" w:rsidRDefault="00E806CA" w:rsidP="00FA73F1">
            <w:pPr>
              <w:pStyle w:val="0Maintext"/>
              <w:spacing w:after="0" w:afterAutospacing="0"/>
              <w:ind w:firstLine="0"/>
              <w:rPr>
                <w:lang w:val="en-US"/>
              </w:rPr>
            </w:pPr>
            <w:r w:rsidRPr="008E70F8">
              <w:rPr>
                <w:b/>
                <w:bCs/>
                <w:lang w:val="en-US"/>
              </w:rPr>
              <w:t>If companies are reluctant to have a new entry added on top the UL table, we propose as a way forward to adopt the UL table, and to add a note (which may become a footnote to the SL CAPC table in spec), to clarify this important case</w:t>
            </w:r>
            <w:r>
              <w:rPr>
                <w:lang w:val="en-US"/>
              </w:rPr>
              <w:t>.</w:t>
            </w:r>
          </w:p>
          <w:p w14:paraId="1D7740B6" w14:textId="77777777" w:rsidR="00E806CA" w:rsidRDefault="00E806CA" w:rsidP="00FA73F1">
            <w:pPr>
              <w:pStyle w:val="0Maintext"/>
              <w:spacing w:after="0" w:afterAutospacing="0"/>
              <w:ind w:firstLine="0"/>
              <w:rPr>
                <w:lang w:val="en-US"/>
              </w:rPr>
            </w:pPr>
          </w:p>
          <w:p w14:paraId="02FA3E3E" w14:textId="77777777" w:rsidR="00E806CA" w:rsidRPr="002F1DFF" w:rsidRDefault="00E806CA" w:rsidP="00FA73F1">
            <w:pPr>
              <w:autoSpaceDE w:val="0"/>
              <w:autoSpaceDN w:val="0"/>
              <w:jc w:val="both"/>
              <w:rPr>
                <w:rFonts w:ascii="Calibri" w:hAnsi="Calibri" w:cs="Calibri"/>
                <w:sz w:val="22"/>
              </w:rPr>
            </w:pPr>
            <w:r w:rsidRPr="002F1DFF">
              <w:rPr>
                <w:rFonts w:ascii="Calibri" w:hAnsi="Calibri" w:cs="Calibri"/>
                <w:b/>
                <w:bCs/>
                <w:sz w:val="22"/>
                <w:highlight w:val="yellow"/>
              </w:rPr>
              <w:t>Proposal 2</w:t>
            </w:r>
            <w:r>
              <w:rPr>
                <w:rFonts w:ascii="Calibri" w:hAnsi="Calibri" w:cs="Calibri"/>
                <w:b/>
                <w:bCs/>
                <w:sz w:val="22"/>
                <w:highlight w:val="yellow"/>
              </w:rPr>
              <w:t>-1</w:t>
            </w:r>
            <w:r w:rsidRPr="002F1DFF">
              <w:rPr>
                <w:rFonts w:ascii="Calibri" w:hAnsi="Calibri" w:cs="Calibri"/>
                <w:b/>
                <w:bCs/>
                <w:sz w:val="22"/>
                <w:highlight w:val="yellow"/>
              </w:rPr>
              <w:t xml:space="preserve"> (I</w:t>
            </w:r>
            <w:r>
              <w:rPr>
                <w:rFonts w:ascii="Calibri" w:hAnsi="Calibri" w:cs="Calibri"/>
                <w:b/>
                <w:bCs/>
                <w:sz w:val="22"/>
                <w:highlight w:val="yellow"/>
              </w:rPr>
              <w:t>I</w:t>
            </w:r>
            <w:r w:rsidRPr="002F1DFF">
              <w:rPr>
                <w:rFonts w:ascii="Calibri" w:hAnsi="Calibri" w:cs="Calibri"/>
                <w:b/>
                <w:bCs/>
                <w:sz w:val="22"/>
                <w:highlight w:val="yellow"/>
              </w:rPr>
              <w:t>):</w:t>
            </w:r>
            <w:r w:rsidRPr="002F1DFF">
              <w:rPr>
                <w:rFonts w:ascii="Calibri" w:hAnsi="Calibri" w:cs="Calibri"/>
                <w:b/>
                <w:bCs/>
                <w:sz w:val="22"/>
              </w:rPr>
              <w:t xml:space="preserve"> </w:t>
            </w:r>
          </w:p>
          <w:p w14:paraId="553285DF" w14:textId="77777777" w:rsidR="00E806CA" w:rsidRDefault="00E806CA" w:rsidP="00FA73F1">
            <w:pPr>
              <w:pStyle w:val="ListParagraph"/>
              <w:numPr>
                <w:ilvl w:val="0"/>
                <w:numId w:val="18"/>
              </w:numPr>
              <w:autoSpaceDE w:val="0"/>
              <w:autoSpaceDN w:val="0"/>
              <w:ind w:leftChars="0"/>
              <w:jc w:val="both"/>
              <w:rPr>
                <w:rFonts w:ascii="Calibri" w:hAnsi="Calibri" w:cs="Calibri"/>
                <w:sz w:val="22"/>
              </w:rPr>
            </w:pPr>
            <w:r>
              <w:rPr>
                <w:rFonts w:ascii="Calibri" w:hAnsi="Calibri" w:cs="Calibri"/>
                <w:sz w:val="22"/>
              </w:rPr>
              <w:t>In Type 1 SL channel access procedure,</w:t>
            </w:r>
          </w:p>
          <w:p w14:paraId="0E46A272" w14:textId="77777777" w:rsidR="00E806CA" w:rsidRDefault="00E806CA" w:rsidP="00FA73F1">
            <w:pPr>
              <w:pStyle w:val="ListParagraph"/>
              <w:numPr>
                <w:ilvl w:val="1"/>
                <w:numId w:val="18"/>
              </w:numPr>
              <w:autoSpaceDE w:val="0"/>
              <w:autoSpaceDN w:val="0"/>
              <w:ind w:leftChars="0"/>
              <w:jc w:val="both"/>
              <w:rPr>
                <w:rFonts w:ascii="Calibri" w:hAnsi="Calibri" w:cs="Calibri"/>
                <w:sz w:val="22"/>
              </w:rPr>
            </w:pPr>
            <w:r w:rsidRPr="00CF6AD2">
              <w:rPr>
                <w:rFonts w:ascii="Calibri" w:hAnsi="Calibri" w:cs="Calibri" w:hint="eastAsia"/>
                <w:sz w:val="22"/>
                <w:lang w:val="en-AU"/>
              </w:rPr>
              <w:t>Only one CAPC table is defined, which is based on one of the followings:</w:t>
            </w:r>
          </w:p>
          <w:p w14:paraId="46D29F25" w14:textId="77777777" w:rsidR="00E806CA" w:rsidRDefault="00E806CA" w:rsidP="00FA73F1">
            <w:pPr>
              <w:pStyle w:val="ListParagraph"/>
              <w:numPr>
                <w:ilvl w:val="2"/>
                <w:numId w:val="18"/>
              </w:numPr>
              <w:autoSpaceDE w:val="0"/>
              <w:autoSpaceDN w:val="0"/>
              <w:ind w:leftChars="0"/>
              <w:jc w:val="both"/>
              <w:rPr>
                <w:rFonts w:ascii="Calibri" w:hAnsi="Calibri" w:cs="Calibri"/>
                <w:sz w:val="22"/>
              </w:rPr>
            </w:pPr>
            <w:r w:rsidRPr="00CF6AD2">
              <w:rPr>
                <w:rFonts w:ascii="Calibri" w:hAnsi="Calibri" w:cs="Calibri"/>
                <w:sz w:val="22"/>
              </w:rPr>
              <w:t>Option 1: The same DL CAPC table is used (Table 4.1.1-1 in TS37.213)</w:t>
            </w:r>
          </w:p>
          <w:p w14:paraId="19301CF8" w14:textId="77777777" w:rsidR="00E806CA" w:rsidRDefault="00E806CA" w:rsidP="00FA73F1">
            <w:pPr>
              <w:pStyle w:val="ListParagraph"/>
              <w:numPr>
                <w:ilvl w:val="2"/>
                <w:numId w:val="18"/>
              </w:numPr>
              <w:autoSpaceDE w:val="0"/>
              <w:autoSpaceDN w:val="0"/>
              <w:ind w:leftChars="0"/>
              <w:jc w:val="both"/>
              <w:rPr>
                <w:ins w:id="103" w:author="Giovanni Chisci" w:date="2022-10-13T14:28:00Z"/>
                <w:rFonts w:ascii="Calibri" w:hAnsi="Calibri" w:cs="Calibri"/>
                <w:sz w:val="22"/>
              </w:rPr>
            </w:pPr>
            <w:r w:rsidRPr="00CF6AD2">
              <w:rPr>
                <w:rFonts w:ascii="Calibri" w:hAnsi="Calibri" w:cs="Calibri"/>
                <w:sz w:val="22"/>
              </w:rPr>
              <w:t>Option 2: The same UL CAPC table is used (Table 4.2.1-1 in TS37.213)</w:t>
            </w:r>
          </w:p>
          <w:p w14:paraId="5BFC9429" w14:textId="5A9E9CC7" w:rsidR="00956573" w:rsidRPr="00956573" w:rsidRDefault="00956573" w:rsidP="00FA73F1">
            <w:pPr>
              <w:pStyle w:val="ListParagraph"/>
              <w:numPr>
                <w:ilvl w:val="3"/>
                <w:numId w:val="18"/>
              </w:numPr>
              <w:autoSpaceDE w:val="0"/>
              <w:autoSpaceDN w:val="0"/>
              <w:ind w:leftChars="0"/>
              <w:jc w:val="both"/>
              <w:rPr>
                <w:rFonts w:ascii="Calibri" w:hAnsi="Calibri" w:cs="Calibri"/>
                <w:sz w:val="22"/>
              </w:rPr>
            </w:pPr>
            <w:ins w:id="104" w:author="Giovanni Chisci" w:date="2022-10-13T14:28:00Z">
              <w:r>
                <w:rPr>
                  <w:lang w:val="en-US"/>
                </w:rPr>
                <w:t>NOTE: for the case of standalone S-SSB transmission, the value mp=1 can be used with p=1.</w:t>
              </w:r>
            </w:ins>
          </w:p>
          <w:p w14:paraId="1490DFEB" w14:textId="77777777" w:rsidR="00E806CA" w:rsidRPr="00163935" w:rsidRDefault="00E806CA" w:rsidP="00FA73F1">
            <w:pPr>
              <w:pStyle w:val="ListParagraph"/>
              <w:numPr>
                <w:ilvl w:val="2"/>
                <w:numId w:val="18"/>
              </w:numPr>
              <w:autoSpaceDE w:val="0"/>
              <w:autoSpaceDN w:val="0"/>
              <w:ind w:leftChars="0"/>
              <w:jc w:val="both"/>
              <w:rPr>
                <w:rFonts w:ascii="Calibri" w:hAnsi="Calibri" w:cs="Calibri"/>
                <w:strike/>
                <w:color w:val="FF0000"/>
                <w:sz w:val="22"/>
              </w:rPr>
            </w:pPr>
            <w:r w:rsidRPr="00163935">
              <w:rPr>
                <w:rFonts w:ascii="Calibri" w:hAnsi="Calibri" w:cs="Calibri"/>
                <w:strike/>
                <w:color w:val="FF0000"/>
                <w:sz w:val="22"/>
              </w:rPr>
              <w:t>The mapping of PQI to the 4 CAPC levels is up to RAN2</w:t>
            </w:r>
          </w:p>
          <w:p w14:paraId="5FCC1216" w14:textId="77777777" w:rsidR="00F36B29" w:rsidRDefault="00F36B29" w:rsidP="00FA73F1">
            <w:pPr>
              <w:pStyle w:val="0Maintext"/>
              <w:spacing w:after="0" w:afterAutospacing="0"/>
              <w:ind w:firstLine="0"/>
            </w:pPr>
          </w:p>
        </w:tc>
      </w:tr>
      <w:tr w:rsidR="00B878CE" w14:paraId="0FF557F6" w14:textId="77777777" w:rsidTr="000279F7">
        <w:tc>
          <w:tcPr>
            <w:tcW w:w="1555" w:type="dxa"/>
          </w:tcPr>
          <w:p w14:paraId="1DC19E0F" w14:textId="1CB59BED" w:rsidR="00B878CE" w:rsidRDefault="00B878CE" w:rsidP="00F36B29">
            <w:pPr>
              <w:pStyle w:val="0Maintext"/>
              <w:spacing w:after="0" w:afterAutospacing="0"/>
              <w:ind w:firstLine="0"/>
              <w:rPr>
                <w:rFonts w:eastAsiaTheme="minorEastAsia"/>
                <w:lang w:eastAsia="zh-CN"/>
              </w:rPr>
            </w:pPr>
            <w:r>
              <w:rPr>
                <w:rFonts w:eastAsiaTheme="minorEastAsia"/>
                <w:lang w:eastAsia="zh-CN"/>
              </w:rPr>
              <w:lastRenderedPageBreak/>
              <w:t>Apple</w:t>
            </w:r>
          </w:p>
        </w:tc>
        <w:tc>
          <w:tcPr>
            <w:tcW w:w="1555" w:type="dxa"/>
          </w:tcPr>
          <w:p w14:paraId="27D958ED" w14:textId="1833D587" w:rsidR="00B878CE" w:rsidRDefault="00B878CE" w:rsidP="00F36B29">
            <w:pPr>
              <w:pStyle w:val="0Maintext"/>
              <w:spacing w:after="0" w:afterAutospacing="0"/>
              <w:ind w:firstLine="0"/>
              <w:rPr>
                <w:rFonts w:eastAsiaTheme="minorEastAsia"/>
                <w:lang w:eastAsia="zh-CN"/>
              </w:rPr>
            </w:pPr>
            <w:r>
              <w:rPr>
                <w:rFonts w:eastAsiaTheme="minorEastAsia"/>
                <w:lang w:eastAsia="zh-CN"/>
              </w:rPr>
              <w:t>Option 2</w:t>
            </w:r>
          </w:p>
        </w:tc>
        <w:tc>
          <w:tcPr>
            <w:tcW w:w="6666" w:type="dxa"/>
          </w:tcPr>
          <w:p w14:paraId="58354DC5" w14:textId="77777777" w:rsidR="00B878CE" w:rsidRDefault="00B878CE" w:rsidP="00E806CA">
            <w:pPr>
              <w:pStyle w:val="0Maintext"/>
              <w:spacing w:after="0" w:afterAutospacing="0"/>
              <w:ind w:firstLine="0"/>
            </w:pPr>
          </w:p>
        </w:tc>
      </w:tr>
      <w:tr w:rsidR="000F6488" w14:paraId="6EAAA1B0" w14:textId="77777777" w:rsidTr="000279F7">
        <w:tc>
          <w:tcPr>
            <w:tcW w:w="1555" w:type="dxa"/>
          </w:tcPr>
          <w:p w14:paraId="5C4063E3" w14:textId="373C5DC2" w:rsidR="000F6488" w:rsidRDefault="000F6488" w:rsidP="00F36B29">
            <w:pPr>
              <w:pStyle w:val="0Maintext"/>
              <w:spacing w:after="0" w:afterAutospacing="0"/>
              <w:ind w:firstLine="0"/>
              <w:rPr>
                <w:rFonts w:eastAsiaTheme="minorEastAsia"/>
                <w:lang w:eastAsia="zh-CN"/>
              </w:rPr>
            </w:pPr>
            <w:r>
              <w:rPr>
                <w:rFonts w:eastAsiaTheme="minorEastAsia" w:hint="eastAsia"/>
                <w:lang w:eastAsia="zh-CN"/>
              </w:rPr>
              <w:t>Spreadtrum</w:t>
            </w:r>
          </w:p>
        </w:tc>
        <w:tc>
          <w:tcPr>
            <w:tcW w:w="1555" w:type="dxa"/>
          </w:tcPr>
          <w:p w14:paraId="2D44ED95" w14:textId="3E32CE47" w:rsidR="000F6488" w:rsidRDefault="000F6488" w:rsidP="00F36B29">
            <w:pPr>
              <w:pStyle w:val="0Maintext"/>
              <w:spacing w:after="0" w:afterAutospacing="0"/>
              <w:ind w:firstLine="0"/>
              <w:rPr>
                <w:rFonts w:eastAsiaTheme="minorEastAsia"/>
                <w:lang w:eastAsia="zh-CN"/>
              </w:rPr>
            </w:pPr>
            <w:r>
              <w:rPr>
                <w:rFonts w:eastAsiaTheme="minorEastAsia"/>
                <w:lang w:eastAsia="zh-CN"/>
              </w:rPr>
              <w:t>Option 2</w:t>
            </w:r>
          </w:p>
        </w:tc>
        <w:tc>
          <w:tcPr>
            <w:tcW w:w="6666" w:type="dxa"/>
          </w:tcPr>
          <w:p w14:paraId="485B391B" w14:textId="77777777" w:rsidR="000F6488" w:rsidRDefault="000F6488" w:rsidP="00E806CA">
            <w:pPr>
              <w:pStyle w:val="0Maintext"/>
              <w:spacing w:after="0" w:afterAutospacing="0"/>
              <w:ind w:firstLine="0"/>
            </w:pPr>
          </w:p>
        </w:tc>
      </w:tr>
      <w:tr w:rsidR="004B3EDD" w14:paraId="3244C6EC" w14:textId="77777777" w:rsidTr="000279F7">
        <w:tc>
          <w:tcPr>
            <w:tcW w:w="1555" w:type="dxa"/>
          </w:tcPr>
          <w:p w14:paraId="325E18FD" w14:textId="430EE247" w:rsidR="004B3EDD" w:rsidRPr="004B3EDD" w:rsidRDefault="004B3EDD" w:rsidP="00F36B29">
            <w:pPr>
              <w:pStyle w:val="0Maintext"/>
              <w:spacing w:after="0" w:afterAutospacing="0"/>
              <w:ind w:firstLine="0"/>
              <w:rPr>
                <w:rFonts w:eastAsia="MS Mincho"/>
                <w:lang w:eastAsia="ja-JP"/>
              </w:rPr>
            </w:pPr>
            <w:r>
              <w:rPr>
                <w:rFonts w:eastAsia="MS Mincho" w:hint="eastAsia"/>
                <w:lang w:eastAsia="ja-JP"/>
              </w:rPr>
              <w:t>P</w:t>
            </w:r>
            <w:r>
              <w:rPr>
                <w:rFonts w:eastAsia="MS Mincho"/>
                <w:lang w:eastAsia="ja-JP"/>
              </w:rPr>
              <w:t>anasonic</w:t>
            </w:r>
          </w:p>
        </w:tc>
        <w:tc>
          <w:tcPr>
            <w:tcW w:w="1555" w:type="dxa"/>
          </w:tcPr>
          <w:p w14:paraId="5EF17A2D" w14:textId="1139DB50" w:rsidR="004B3EDD" w:rsidRPr="004B3EDD" w:rsidRDefault="004B3EDD" w:rsidP="00F36B29">
            <w:pPr>
              <w:pStyle w:val="0Maintext"/>
              <w:spacing w:after="0" w:afterAutospacing="0"/>
              <w:ind w:firstLine="0"/>
              <w:rPr>
                <w:rFonts w:eastAsia="MS Mincho"/>
                <w:lang w:eastAsia="ja-JP"/>
              </w:rPr>
            </w:pPr>
            <w:r>
              <w:rPr>
                <w:rFonts w:eastAsia="MS Mincho" w:hint="eastAsia"/>
                <w:lang w:eastAsia="ja-JP"/>
              </w:rPr>
              <w:t>O</w:t>
            </w:r>
            <w:r>
              <w:rPr>
                <w:rFonts w:eastAsia="MS Mincho"/>
                <w:lang w:eastAsia="ja-JP"/>
              </w:rPr>
              <w:t>ption 2</w:t>
            </w:r>
          </w:p>
        </w:tc>
        <w:tc>
          <w:tcPr>
            <w:tcW w:w="6666" w:type="dxa"/>
          </w:tcPr>
          <w:p w14:paraId="70E8E923" w14:textId="77777777" w:rsidR="004B3EDD" w:rsidRDefault="004B3EDD" w:rsidP="00E806CA">
            <w:pPr>
              <w:pStyle w:val="0Maintext"/>
              <w:spacing w:after="0" w:afterAutospacing="0"/>
              <w:ind w:firstLine="0"/>
            </w:pPr>
          </w:p>
        </w:tc>
      </w:tr>
      <w:tr w:rsidR="006E0E7B" w14:paraId="4A341FBD" w14:textId="77777777" w:rsidTr="000279F7">
        <w:tc>
          <w:tcPr>
            <w:tcW w:w="1555" w:type="dxa"/>
          </w:tcPr>
          <w:p w14:paraId="42632F65" w14:textId="7EFA12C6" w:rsidR="006E0E7B" w:rsidRPr="006E0E7B" w:rsidRDefault="006E0E7B" w:rsidP="00F36B29">
            <w:pPr>
              <w:pStyle w:val="0Maintext"/>
              <w:spacing w:after="0" w:afterAutospacing="0"/>
              <w:ind w:firstLine="0"/>
              <w:rPr>
                <w:rFonts w:eastAsiaTheme="minorEastAsia"/>
                <w:lang w:eastAsia="zh-CN"/>
              </w:rPr>
            </w:pPr>
            <w:r>
              <w:rPr>
                <w:rFonts w:eastAsiaTheme="minorEastAsia" w:hint="eastAsia"/>
                <w:lang w:eastAsia="zh-CN"/>
              </w:rPr>
              <w:t>S</w:t>
            </w:r>
            <w:r>
              <w:rPr>
                <w:rFonts w:eastAsiaTheme="minorEastAsia"/>
                <w:lang w:eastAsia="zh-CN"/>
              </w:rPr>
              <w:t>amsung</w:t>
            </w:r>
          </w:p>
        </w:tc>
        <w:tc>
          <w:tcPr>
            <w:tcW w:w="1555" w:type="dxa"/>
          </w:tcPr>
          <w:p w14:paraId="721DFB99" w14:textId="0C2CE39F" w:rsidR="006E0E7B" w:rsidRPr="006E0E7B" w:rsidRDefault="006E0E7B" w:rsidP="00F36B29">
            <w:pPr>
              <w:pStyle w:val="0Maintext"/>
              <w:spacing w:after="0" w:afterAutospacing="0"/>
              <w:ind w:firstLine="0"/>
              <w:rPr>
                <w:rFonts w:eastAsiaTheme="minorEastAsia"/>
                <w:lang w:eastAsia="zh-CN"/>
              </w:rPr>
            </w:pPr>
            <w:r>
              <w:rPr>
                <w:rFonts w:eastAsiaTheme="minorEastAsia" w:hint="eastAsia"/>
                <w:lang w:eastAsia="zh-CN"/>
              </w:rPr>
              <w:t>O</w:t>
            </w:r>
            <w:r>
              <w:rPr>
                <w:rFonts w:eastAsiaTheme="minorEastAsia"/>
                <w:lang w:eastAsia="zh-CN"/>
              </w:rPr>
              <w:t>ption 2</w:t>
            </w:r>
          </w:p>
        </w:tc>
        <w:tc>
          <w:tcPr>
            <w:tcW w:w="6666" w:type="dxa"/>
          </w:tcPr>
          <w:p w14:paraId="034A087C" w14:textId="77777777" w:rsidR="006E0E7B" w:rsidRDefault="006E0E7B" w:rsidP="00E806CA">
            <w:pPr>
              <w:pStyle w:val="0Maintext"/>
              <w:spacing w:after="0" w:afterAutospacing="0"/>
              <w:ind w:firstLine="0"/>
            </w:pPr>
          </w:p>
        </w:tc>
      </w:tr>
      <w:tr w:rsidR="00EE4079" w14:paraId="6323545A" w14:textId="77777777" w:rsidTr="000279F7">
        <w:tc>
          <w:tcPr>
            <w:tcW w:w="1555" w:type="dxa"/>
          </w:tcPr>
          <w:p w14:paraId="43D1732D" w14:textId="1B1B681E" w:rsidR="00EE4079" w:rsidRDefault="00EE4079" w:rsidP="00F36B29">
            <w:pPr>
              <w:pStyle w:val="0Maintext"/>
              <w:spacing w:after="0" w:afterAutospacing="0"/>
              <w:ind w:firstLine="0"/>
              <w:rPr>
                <w:rFonts w:eastAsiaTheme="minorEastAsia"/>
                <w:lang w:eastAsia="zh-CN"/>
              </w:rPr>
            </w:pPr>
            <w:r>
              <w:rPr>
                <w:rFonts w:eastAsiaTheme="minorEastAsia"/>
                <w:lang w:eastAsia="zh-CN"/>
              </w:rPr>
              <w:t>Futurewei</w:t>
            </w:r>
          </w:p>
        </w:tc>
        <w:tc>
          <w:tcPr>
            <w:tcW w:w="1555" w:type="dxa"/>
          </w:tcPr>
          <w:p w14:paraId="553C566B" w14:textId="22230F3F" w:rsidR="00EE4079" w:rsidRDefault="00EE4079" w:rsidP="00F36B29">
            <w:pPr>
              <w:pStyle w:val="0Maintext"/>
              <w:spacing w:after="0" w:afterAutospacing="0"/>
              <w:ind w:firstLine="0"/>
              <w:rPr>
                <w:rFonts w:eastAsiaTheme="minorEastAsia"/>
                <w:lang w:eastAsia="zh-CN"/>
              </w:rPr>
            </w:pPr>
            <w:r>
              <w:rPr>
                <w:rFonts w:eastAsiaTheme="minorEastAsia"/>
                <w:lang w:eastAsia="zh-CN"/>
              </w:rPr>
              <w:t>Option 2</w:t>
            </w:r>
          </w:p>
        </w:tc>
        <w:tc>
          <w:tcPr>
            <w:tcW w:w="6666" w:type="dxa"/>
          </w:tcPr>
          <w:p w14:paraId="06CC353F" w14:textId="79F4D239" w:rsidR="00EE4079" w:rsidRDefault="00EE4079" w:rsidP="00E806CA">
            <w:pPr>
              <w:pStyle w:val="0Maintext"/>
              <w:spacing w:after="0" w:afterAutospacing="0"/>
              <w:ind w:firstLine="0"/>
            </w:pPr>
            <w:r>
              <w:t>We can live with Option 2, our first preference is to have both DL and UL used as we commented in the previous round.</w:t>
            </w:r>
          </w:p>
        </w:tc>
      </w:tr>
      <w:tr w:rsidR="00663172" w14:paraId="17F51122" w14:textId="77777777" w:rsidTr="000279F7">
        <w:tc>
          <w:tcPr>
            <w:tcW w:w="1555" w:type="dxa"/>
          </w:tcPr>
          <w:p w14:paraId="2763F375" w14:textId="6508BF94" w:rsidR="00663172" w:rsidRDefault="00663172" w:rsidP="00F36B29">
            <w:pPr>
              <w:pStyle w:val="0Maintext"/>
              <w:spacing w:after="0" w:afterAutospacing="0"/>
              <w:ind w:firstLine="0"/>
              <w:rPr>
                <w:rFonts w:eastAsiaTheme="minorEastAsia"/>
                <w:lang w:eastAsia="zh-CN"/>
              </w:rPr>
            </w:pPr>
            <w:r>
              <w:rPr>
                <w:rFonts w:eastAsiaTheme="minorEastAsia" w:hint="eastAsia"/>
                <w:lang w:eastAsia="zh-CN"/>
              </w:rPr>
              <w:t>C</w:t>
            </w:r>
            <w:r>
              <w:rPr>
                <w:rFonts w:eastAsiaTheme="minorEastAsia"/>
                <w:lang w:eastAsia="zh-CN"/>
              </w:rPr>
              <w:t>ATT/GH</w:t>
            </w:r>
          </w:p>
        </w:tc>
        <w:tc>
          <w:tcPr>
            <w:tcW w:w="1555" w:type="dxa"/>
          </w:tcPr>
          <w:p w14:paraId="407F98C9" w14:textId="035E3CA7" w:rsidR="00663172" w:rsidRDefault="00663172" w:rsidP="00F36B29">
            <w:pPr>
              <w:pStyle w:val="0Maintext"/>
              <w:spacing w:after="0" w:afterAutospacing="0"/>
              <w:ind w:firstLine="0"/>
              <w:rPr>
                <w:rFonts w:eastAsiaTheme="minorEastAsia"/>
                <w:lang w:eastAsia="zh-CN"/>
              </w:rPr>
            </w:pPr>
            <w:r>
              <w:rPr>
                <w:rFonts w:eastAsiaTheme="minorEastAsia"/>
                <w:lang w:eastAsia="zh-CN"/>
              </w:rPr>
              <w:t>Either</w:t>
            </w:r>
          </w:p>
        </w:tc>
        <w:tc>
          <w:tcPr>
            <w:tcW w:w="6666" w:type="dxa"/>
          </w:tcPr>
          <w:p w14:paraId="7A152338" w14:textId="77777777" w:rsidR="00663172" w:rsidRDefault="00663172" w:rsidP="00E806CA">
            <w:pPr>
              <w:pStyle w:val="0Maintext"/>
              <w:spacing w:after="0" w:afterAutospacing="0"/>
              <w:ind w:firstLine="0"/>
            </w:pPr>
          </w:p>
        </w:tc>
      </w:tr>
      <w:tr w:rsidR="00126C60" w14:paraId="2CEF5C08" w14:textId="77777777" w:rsidTr="00126C60">
        <w:tc>
          <w:tcPr>
            <w:tcW w:w="1555" w:type="dxa"/>
          </w:tcPr>
          <w:p w14:paraId="10DF365F" w14:textId="77777777" w:rsidR="00126C60" w:rsidRDefault="00126C60" w:rsidP="0096086B">
            <w:pPr>
              <w:pStyle w:val="0Maintext"/>
              <w:spacing w:after="0" w:afterAutospacing="0"/>
              <w:ind w:firstLine="0"/>
              <w:rPr>
                <w:rFonts w:eastAsiaTheme="minorEastAsia"/>
                <w:lang w:eastAsia="zh-CN"/>
              </w:rPr>
            </w:pPr>
            <w:r>
              <w:rPr>
                <w:rFonts w:eastAsiaTheme="minorEastAsia" w:hint="eastAsia"/>
                <w:lang w:val="en-US" w:eastAsia="zh-CN"/>
              </w:rPr>
              <w:t>Transsion</w:t>
            </w:r>
          </w:p>
        </w:tc>
        <w:tc>
          <w:tcPr>
            <w:tcW w:w="1555" w:type="dxa"/>
          </w:tcPr>
          <w:p w14:paraId="5E3582AC" w14:textId="77777777" w:rsidR="00126C60" w:rsidRDefault="00126C60" w:rsidP="0096086B">
            <w:pPr>
              <w:pStyle w:val="0Maintext"/>
              <w:spacing w:after="0" w:afterAutospacing="0"/>
              <w:ind w:firstLine="0"/>
              <w:rPr>
                <w:rFonts w:eastAsiaTheme="minorEastAsia"/>
                <w:lang w:val="en-US" w:eastAsia="zh-CN"/>
              </w:rPr>
            </w:pPr>
            <w:r>
              <w:rPr>
                <w:rFonts w:eastAsiaTheme="minorEastAsia" w:hint="eastAsia"/>
                <w:lang w:val="en-US" w:eastAsia="zh-CN"/>
              </w:rPr>
              <w:t>Either</w:t>
            </w:r>
          </w:p>
        </w:tc>
        <w:tc>
          <w:tcPr>
            <w:tcW w:w="6666" w:type="dxa"/>
          </w:tcPr>
          <w:p w14:paraId="45E2E81C" w14:textId="77777777" w:rsidR="00126C60" w:rsidRDefault="00126C60" w:rsidP="0096086B">
            <w:pPr>
              <w:pStyle w:val="0Maintext"/>
              <w:spacing w:after="0" w:afterAutospacing="0"/>
              <w:ind w:firstLine="0"/>
            </w:pPr>
          </w:p>
        </w:tc>
      </w:tr>
      <w:tr w:rsidR="00126C60" w:rsidRPr="00F71074" w14:paraId="258DFA5F" w14:textId="77777777" w:rsidTr="00126C60">
        <w:tc>
          <w:tcPr>
            <w:tcW w:w="1555" w:type="dxa"/>
          </w:tcPr>
          <w:p w14:paraId="75AA5AEC" w14:textId="77777777" w:rsidR="00126C60" w:rsidRDefault="00126C60" w:rsidP="0096086B">
            <w:pPr>
              <w:pStyle w:val="0Maintext"/>
              <w:spacing w:after="0" w:afterAutospacing="0"/>
              <w:ind w:firstLine="0"/>
            </w:pPr>
            <w:r w:rsidRPr="00DE47F8">
              <w:t>Huawei, HiSilicon</w:t>
            </w:r>
          </w:p>
        </w:tc>
        <w:tc>
          <w:tcPr>
            <w:tcW w:w="1555" w:type="dxa"/>
          </w:tcPr>
          <w:p w14:paraId="236EFC88" w14:textId="77777777" w:rsidR="00126C60" w:rsidRPr="00F71074" w:rsidRDefault="00126C60" w:rsidP="0096086B">
            <w:pPr>
              <w:pStyle w:val="0Maintext"/>
              <w:spacing w:after="0" w:afterAutospacing="0"/>
              <w:ind w:firstLine="0"/>
              <w:rPr>
                <w:rFonts w:eastAsiaTheme="minorEastAsia"/>
                <w:lang w:eastAsia="zh-CN"/>
              </w:rPr>
            </w:pPr>
            <w:r>
              <w:rPr>
                <w:rFonts w:eastAsiaTheme="minorEastAsia" w:hint="eastAsia"/>
                <w:lang w:eastAsia="zh-CN"/>
              </w:rPr>
              <w:t>O</w:t>
            </w:r>
            <w:r>
              <w:rPr>
                <w:rFonts w:eastAsiaTheme="minorEastAsia"/>
                <w:lang w:eastAsia="zh-CN"/>
              </w:rPr>
              <w:t>ption 2</w:t>
            </w:r>
          </w:p>
        </w:tc>
        <w:tc>
          <w:tcPr>
            <w:tcW w:w="6666" w:type="dxa"/>
          </w:tcPr>
          <w:p w14:paraId="73DABD5A" w14:textId="77777777" w:rsidR="00126C60" w:rsidRDefault="00126C60" w:rsidP="0096086B">
            <w:pPr>
              <w:pStyle w:val="0Maintext"/>
              <w:spacing w:after="0" w:afterAutospacing="0"/>
              <w:ind w:firstLine="0"/>
              <w:rPr>
                <w:rFonts w:eastAsiaTheme="minorEastAsia"/>
                <w:lang w:eastAsia="zh-CN"/>
              </w:rPr>
            </w:pPr>
            <w:r>
              <w:rPr>
                <w:rFonts w:eastAsiaTheme="minorEastAsia"/>
                <w:lang w:eastAsia="zh-CN"/>
              </w:rPr>
              <w:t>We are generally fine with FL’s proposal and support option 2. For the added note from QC, we do not think it is needed. How to decide the CAPC value of S-SSB is a separate issue, which there is an FFS in following agreement reached in Thursday GTW (highlighted in green).</w:t>
            </w:r>
          </w:p>
          <w:p w14:paraId="299F1EA2" w14:textId="77777777" w:rsidR="00126C60" w:rsidRDefault="00126C60" w:rsidP="0096086B">
            <w:pPr>
              <w:pStyle w:val="0Maintext"/>
              <w:spacing w:after="0" w:afterAutospacing="0"/>
              <w:ind w:firstLine="0"/>
              <w:rPr>
                <w:rFonts w:eastAsiaTheme="minorEastAsia"/>
                <w:lang w:eastAsia="zh-CN"/>
              </w:rPr>
            </w:pPr>
          </w:p>
          <w:p w14:paraId="5866E6EB" w14:textId="77777777" w:rsidR="00126C60" w:rsidRPr="00635131" w:rsidRDefault="00126C60" w:rsidP="0096086B">
            <w:pPr>
              <w:pStyle w:val="TdocHeader2"/>
              <w:rPr>
                <w:rFonts w:ascii="Times New Roman" w:hAnsi="Times New Roman"/>
                <w:bCs/>
                <w:sz w:val="20"/>
                <w:lang w:eastAsia="zh-CN"/>
              </w:rPr>
            </w:pPr>
            <w:r w:rsidRPr="00635131">
              <w:rPr>
                <w:rFonts w:ascii="Times New Roman" w:hAnsi="Times New Roman"/>
                <w:bCs/>
                <w:sz w:val="20"/>
                <w:highlight w:val="green"/>
                <w:lang w:eastAsia="zh-CN"/>
              </w:rPr>
              <w:t>Agreement</w:t>
            </w:r>
          </w:p>
          <w:p w14:paraId="7EB5BCCE" w14:textId="77777777" w:rsidR="00126C60" w:rsidRPr="00635131" w:rsidRDefault="00126C60">
            <w:pPr>
              <w:pStyle w:val="ListParagraph"/>
              <w:numPr>
                <w:ilvl w:val="0"/>
                <w:numId w:val="55"/>
              </w:numPr>
              <w:autoSpaceDE w:val="0"/>
              <w:autoSpaceDN w:val="0"/>
              <w:adjustRightInd w:val="0"/>
              <w:snapToGrid w:val="0"/>
              <w:spacing w:line="276" w:lineRule="auto"/>
              <w:ind w:leftChars="100" w:left="560"/>
              <w:jc w:val="both"/>
              <w:rPr>
                <w:rFonts w:ascii="Times New Roman" w:hAnsi="Times New Roman"/>
                <w:szCs w:val="20"/>
              </w:rPr>
            </w:pPr>
            <w:r w:rsidRPr="00635131">
              <w:rPr>
                <w:rFonts w:ascii="Times New Roman" w:hAnsi="Times New Roman"/>
                <w:szCs w:val="20"/>
              </w:rPr>
              <w:t>Type 1 SL channel access procedure is applicable to the following transmissions by a UE:</w:t>
            </w:r>
          </w:p>
          <w:p w14:paraId="1D191935" w14:textId="77777777" w:rsidR="00126C60" w:rsidRPr="00635131" w:rsidRDefault="00126C60">
            <w:pPr>
              <w:pStyle w:val="ListParagraph"/>
              <w:numPr>
                <w:ilvl w:val="1"/>
                <w:numId w:val="55"/>
              </w:numPr>
              <w:autoSpaceDE w:val="0"/>
              <w:autoSpaceDN w:val="0"/>
              <w:adjustRightInd w:val="0"/>
              <w:snapToGrid w:val="0"/>
              <w:spacing w:line="276" w:lineRule="auto"/>
              <w:ind w:leftChars="0"/>
              <w:jc w:val="both"/>
              <w:rPr>
                <w:rFonts w:ascii="Times New Roman" w:hAnsi="Times New Roman"/>
                <w:szCs w:val="20"/>
              </w:rPr>
            </w:pPr>
            <w:r w:rsidRPr="00635131">
              <w:rPr>
                <w:rFonts w:ascii="Times New Roman" w:hAnsi="Times New Roman"/>
                <w:szCs w:val="20"/>
              </w:rPr>
              <w:t>PSSCH/PSCCH transmission(s) scheduled or configured by a gNB in SL Mode 1 resource allocation.</w:t>
            </w:r>
          </w:p>
          <w:p w14:paraId="66E8CF28" w14:textId="77777777" w:rsidR="00126C60" w:rsidRPr="00635131" w:rsidRDefault="00126C60">
            <w:pPr>
              <w:pStyle w:val="ListParagraph"/>
              <w:numPr>
                <w:ilvl w:val="1"/>
                <w:numId w:val="55"/>
              </w:numPr>
              <w:autoSpaceDE w:val="0"/>
              <w:autoSpaceDN w:val="0"/>
              <w:adjustRightInd w:val="0"/>
              <w:snapToGrid w:val="0"/>
              <w:spacing w:line="276" w:lineRule="auto"/>
              <w:ind w:leftChars="0"/>
              <w:jc w:val="both"/>
              <w:rPr>
                <w:rFonts w:ascii="Times New Roman" w:hAnsi="Times New Roman"/>
                <w:szCs w:val="20"/>
              </w:rPr>
            </w:pPr>
            <w:r w:rsidRPr="00635131">
              <w:rPr>
                <w:rFonts w:ascii="Times New Roman" w:hAnsi="Times New Roman"/>
                <w:szCs w:val="20"/>
              </w:rPr>
              <w:t>PSSCH/PSCCH transmission(s) from the UE in SL Mode 2 resource allocation.</w:t>
            </w:r>
          </w:p>
          <w:p w14:paraId="0C60279F" w14:textId="77777777" w:rsidR="00126C60" w:rsidRPr="00635131" w:rsidRDefault="00126C60">
            <w:pPr>
              <w:pStyle w:val="ListParagraph"/>
              <w:numPr>
                <w:ilvl w:val="1"/>
                <w:numId w:val="55"/>
              </w:numPr>
              <w:autoSpaceDE w:val="0"/>
              <w:autoSpaceDN w:val="0"/>
              <w:adjustRightInd w:val="0"/>
              <w:snapToGrid w:val="0"/>
              <w:spacing w:line="276" w:lineRule="auto"/>
              <w:ind w:leftChars="0"/>
              <w:jc w:val="both"/>
              <w:rPr>
                <w:rFonts w:ascii="Times New Roman" w:hAnsi="Times New Roman"/>
                <w:szCs w:val="20"/>
              </w:rPr>
            </w:pPr>
            <w:r w:rsidRPr="00635131">
              <w:rPr>
                <w:rFonts w:ascii="Times New Roman" w:hAnsi="Times New Roman"/>
                <w:szCs w:val="20"/>
              </w:rPr>
              <w:t>Other SL transmissions including S-SSB and PSFCH transmissions from a UE</w:t>
            </w:r>
          </w:p>
          <w:p w14:paraId="5FDCBC6D" w14:textId="77777777" w:rsidR="00126C60" w:rsidRPr="00527A52" w:rsidRDefault="00126C60">
            <w:pPr>
              <w:pStyle w:val="ListParagraph"/>
              <w:numPr>
                <w:ilvl w:val="2"/>
                <w:numId w:val="55"/>
              </w:numPr>
              <w:autoSpaceDE w:val="0"/>
              <w:autoSpaceDN w:val="0"/>
              <w:adjustRightInd w:val="0"/>
              <w:snapToGrid w:val="0"/>
              <w:spacing w:line="276" w:lineRule="auto"/>
              <w:ind w:leftChars="0"/>
              <w:jc w:val="both"/>
              <w:rPr>
                <w:rFonts w:ascii="Times New Roman" w:hAnsi="Times New Roman"/>
                <w:szCs w:val="20"/>
                <w:highlight w:val="green"/>
              </w:rPr>
            </w:pPr>
            <w:r w:rsidRPr="00527A52">
              <w:rPr>
                <w:rFonts w:ascii="Times New Roman" w:hAnsi="Times New Roman"/>
                <w:szCs w:val="20"/>
                <w:highlight w:val="green"/>
              </w:rPr>
              <w:t>FFS: how to set CAPC for S-SSB and PSFCH</w:t>
            </w:r>
          </w:p>
          <w:p w14:paraId="32358E3F" w14:textId="77777777" w:rsidR="00126C60" w:rsidRPr="00635131" w:rsidRDefault="00126C60">
            <w:pPr>
              <w:pStyle w:val="ListParagraph"/>
              <w:numPr>
                <w:ilvl w:val="1"/>
                <w:numId w:val="55"/>
              </w:numPr>
              <w:autoSpaceDE w:val="0"/>
              <w:autoSpaceDN w:val="0"/>
              <w:adjustRightInd w:val="0"/>
              <w:snapToGrid w:val="0"/>
              <w:spacing w:line="276" w:lineRule="auto"/>
              <w:ind w:leftChars="0"/>
              <w:jc w:val="both"/>
              <w:rPr>
                <w:rFonts w:ascii="Times New Roman" w:hAnsi="Times New Roman"/>
                <w:szCs w:val="20"/>
              </w:rPr>
            </w:pPr>
            <w:r w:rsidRPr="00635131">
              <w:rPr>
                <w:rFonts w:ascii="Times New Roman" w:hAnsi="Times New Roman"/>
                <w:szCs w:val="20"/>
              </w:rPr>
              <w:t>Note: Type 1 can be used to initiate a COT</w:t>
            </w:r>
          </w:p>
          <w:p w14:paraId="4B9EC8E6" w14:textId="77777777" w:rsidR="00126C60" w:rsidRPr="00F71074" w:rsidRDefault="00126C60" w:rsidP="0096086B">
            <w:pPr>
              <w:pStyle w:val="0Maintext"/>
              <w:spacing w:after="0" w:afterAutospacing="0"/>
              <w:ind w:firstLine="0"/>
              <w:rPr>
                <w:rFonts w:eastAsiaTheme="minorEastAsia"/>
                <w:lang w:eastAsia="zh-CN"/>
              </w:rPr>
            </w:pPr>
            <w:r>
              <w:rPr>
                <w:rFonts w:eastAsiaTheme="minorEastAsia"/>
                <w:lang w:eastAsia="zh-CN"/>
              </w:rPr>
              <w:t>…</w:t>
            </w:r>
          </w:p>
        </w:tc>
      </w:tr>
      <w:tr w:rsidR="0049089E" w:rsidRPr="00F71074" w14:paraId="3696F2B9" w14:textId="77777777" w:rsidTr="0049089E">
        <w:tc>
          <w:tcPr>
            <w:tcW w:w="1555" w:type="dxa"/>
          </w:tcPr>
          <w:p w14:paraId="356D90F4" w14:textId="77777777" w:rsidR="0049089E" w:rsidRPr="00DE47F8" w:rsidRDefault="0049089E" w:rsidP="004711C5">
            <w:pPr>
              <w:pStyle w:val="0Maintext"/>
              <w:spacing w:after="0" w:afterAutospacing="0"/>
              <w:ind w:firstLine="0"/>
            </w:pPr>
            <w:r>
              <w:t>Ericsson</w:t>
            </w:r>
          </w:p>
        </w:tc>
        <w:tc>
          <w:tcPr>
            <w:tcW w:w="1555" w:type="dxa"/>
          </w:tcPr>
          <w:p w14:paraId="475EA9D8" w14:textId="77777777" w:rsidR="0049089E" w:rsidRDefault="0049089E" w:rsidP="004711C5">
            <w:pPr>
              <w:pStyle w:val="0Maintext"/>
              <w:spacing w:after="0" w:afterAutospacing="0"/>
              <w:ind w:firstLine="0"/>
              <w:rPr>
                <w:rFonts w:eastAsiaTheme="minorEastAsia"/>
                <w:lang w:eastAsia="zh-CN"/>
              </w:rPr>
            </w:pPr>
            <w:r>
              <w:rPr>
                <w:rFonts w:eastAsiaTheme="minorEastAsia"/>
                <w:lang w:eastAsia="zh-CN"/>
              </w:rPr>
              <w:t>Option 2</w:t>
            </w:r>
          </w:p>
        </w:tc>
        <w:tc>
          <w:tcPr>
            <w:tcW w:w="6666" w:type="dxa"/>
          </w:tcPr>
          <w:p w14:paraId="15A6AF12" w14:textId="77777777" w:rsidR="0049089E" w:rsidRDefault="0049089E" w:rsidP="004711C5">
            <w:pPr>
              <w:pStyle w:val="0Maintext"/>
              <w:spacing w:after="0" w:afterAutospacing="0"/>
              <w:ind w:firstLine="0"/>
              <w:rPr>
                <w:rFonts w:eastAsiaTheme="minorEastAsia"/>
                <w:lang w:eastAsia="zh-CN"/>
              </w:rPr>
            </w:pPr>
          </w:p>
        </w:tc>
      </w:tr>
      <w:tr w:rsidR="0049089E" w:rsidRPr="00F71074" w14:paraId="457F8BF8" w14:textId="77777777" w:rsidTr="0049089E">
        <w:tc>
          <w:tcPr>
            <w:tcW w:w="1555" w:type="dxa"/>
          </w:tcPr>
          <w:p w14:paraId="57EA6AFD" w14:textId="77777777" w:rsidR="0049089E" w:rsidRDefault="0049089E" w:rsidP="004711C5">
            <w:pPr>
              <w:pStyle w:val="0Maintext"/>
              <w:spacing w:after="0" w:afterAutospacing="0"/>
              <w:ind w:firstLine="0"/>
            </w:pPr>
            <w:r>
              <w:rPr>
                <w:rFonts w:eastAsiaTheme="minorEastAsia" w:hint="eastAsia"/>
                <w:lang w:val="en-US" w:eastAsia="zh-CN"/>
              </w:rPr>
              <w:t>M</w:t>
            </w:r>
            <w:r>
              <w:rPr>
                <w:rFonts w:eastAsiaTheme="minorEastAsia"/>
                <w:lang w:val="en-US" w:eastAsia="zh-CN"/>
              </w:rPr>
              <w:t>ediaTek</w:t>
            </w:r>
          </w:p>
        </w:tc>
        <w:tc>
          <w:tcPr>
            <w:tcW w:w="1555" w:type="dxa"/>
          </w:tcPr>
          <w:p w14:paraId="57174633" w14:textId="77777777" w:rsidR="0049089E" w:rsidRDefault="0049089E" w:rsidP="004711C5">
            <w:pPr>
              <w:pStyle w:val="0Maintext"/>
              <w:spacing w:after="0" w:afterAutospacing="0"/>
              <w:ind w:firstLine="0"/>
              <w:rPr>
                <w:rFonts w:eastAsiaTheme="minorEastAsia"/>
                <w:lang w:eastAsia="zh-CN"/>
              </w:rPr>
            </w:pPr>
            <w:r>
              <w:rPr>
                <w:rFonts w:eastAsiaTheme="minorEastAsia" w:hint="eastAsia"/>
                <w:lang w:val="en-US" w:eastAsia="zh-CN"/>
              </w:rPr>
              <w:t>E</w:t>
            </w:r>
            <w:r>
              <w:rPr>
                <w:rFonts w:eastAsiaTheme="minorEastAsia"/>
                <w:lang w:val="en-US" w:eastAsia="zh-CN"/>
              </w:rPr>
              <w:t>ither</w:t>
            </w:r>
          </w:p>
        </w:tc>
        <w:tc>
          <w:tcPr>
            <w:tcW w:w="6666" w:type="dxa"/>
          </w:tcPr>
          <w:p w14:paraId="32ECE7A6" w14:textId="77777777" w:rsidR="0049089E" w:rsidRDefault="0049089E" w:rsidP="004711C5">
            <w:pPr>
              <w:pStyle w:val="0Maintext"/>
              <w:spacing w:after="0" w:afterAutospacing="0"/>
              <w:ind w:firstLine="0"/>
              <w:rPr>
                <w:rFonts w:eastAsiaTheme="minorEastAsia"/>
                <w:lang w:eastAsia="zh-CN"/>
              </w:rPr>
            </w:pPr>
            <w:r>
              <w:rPr>
                <w:rFonts w:eastAsiaTheme="minorEastAsia"/>
                <w:lang w:eastAsia="zh-CN"/>
              </w:rPr>
              <w:t>We can accept down selection one of the options considering the progress. But we also want to clarify the following case: UE-A initiates a COT for a number of UEs (e.g., UE-A serves a number of UEs), while UE-B initiates a COT for only the transmission to another UE. In this scenario, we think it is nature that UE-A should be granted a prioritized channel access procedure (e.g., with DL CAPC table), and it is unfair to UE-A (and also to the served UEs by UE-A) if UE-A uses the same CAPC table as UE-B. And we believe the use cases like this should not be neglected.</w:t>
            </w:r>
          </w:p>
        </w:tc>
      </w:tr>
      <w:tr w:rsidR="004F4B69" w:rsidRPr="00F71074" w14:paraId="224EEC51" w14:textId="77777777" w:rsidTr="0049089E">
        <w:tc>
          <w:tcPr>
            <w:tcW w:w="1555" w:type="dxa"/>
          </w:tcPr>
          <w:p w14:paraId="616D517D" w14:textId="05E4752E" w:rsidR="004F4B69" w:rsidRDefault="004F4B69" w:rsidP="004711C5">
            <w:pPr>
              <w:pStyle w:val="0Maintext"/>
              <w:spacing w:after="0" w:afterAutospacing="0"/>
              <w:ind w:firstLine="0"/>
              <w:rPr>
                <w:rFonts w:eastAsiaTheme="minorEastAsia"/>
                <w:lang w:val="en-US" w:eastAsia="zh-CN"/>
              </w:rPr>
            </w:pPr>
            <w:r>
              <w:rPr>
                <w:rFonts w:eastAsiaTheme="minorEastAsia"/>
                <w:lang w:val="en-US" w:eastAsia="zh-CN"/>
              </w:rPr>
              <w:t>Qualcomm</w:t>
            </w:r>
          </w:p>
        </w:tc>
        <w:tc>
          <w:tcPr>
            <w:tcW w:w="1555" w:type="dxa"/>
          </w:tcPr>
          <w:p w14:paraId="39DC071F" w14:textId="77777777" w:rsidR="004F4B69" w:rsidRDefault="004F4B69" w:rsidP="004711C5">
            <w:pPr>
              <w:pStyle w:val="0Maintext"/>
              <w:spacing w:after="0" w:afterAutospacing="0"/>
              <w:ind w:firstLine="0"/>
              <w:rPr>
                <w:rFonts w:eastAsiaTheme="minorEastAsia"/>
                <w:lang w:val="en-US" w:eastAsia="zh-CN"/>
              </w:rPr>
            </w:pPr>
          </w:p>
        </w:tc>
        <w:tc>
          <w:tcPr>
            <w:tcW w:w="6666" w:type="dxa"/>
          </w:tcPr>
          <w:p w14:paraId="490A1185" w14:textId="0A37D457" w:rsidR="004F4B69" w:rsidRDefault="004F4B69" w:rsidP="004711C5">
            <w:pPr>
              <w:pStyle w:val="0Maintext"/>
              <w:spacing w:after="0" w:afterAutospacing="0"/>
              <w:ind w:firstLine="0"/>
              <w:rPr>
                <w:rFonts w:eastAsiaTheme="minorEastAsia"/>
                <w:lang w:eastAsia="zh-CN"/>
              </w:rPr>
            </w:pPr>
            <w:r>
              <w:rPr>
                <w:rFonts w:eastAsiaTheme="minorEastAsia"/>
                <w:lang w:eastAsia="zh-CN"/>
              </w:rPr>
              <w:t xml:space="preserve">To respond to HW/HiSi: </w:t>
            </w:r>
            <w:r>
              <w:t>Our discussion is to add a note that when p=1 is used for S-SSB , then we use mp=1 (to get some advantage for S-SSB transmission compared to data traffic with p=1 from other SL-U UEs, and be on an equal plane compared to SSB from gNB from NR-U). We are not discussing about when to use p=1 for S-SSB.</w:t>
            </w:r>
          </w:p>
        </w:tc>
      </w:tr>
    </w:tbl>
    <w:p w14:paraId="3964C1CA" w14:textId="77777777" w:rsidR="00163935" w:rsidRDefault="00163935" w:rsidP="00AC3B6D">
      <w:pPr>
        <w:autoSpaceDE w:val="0"/>
        <w:autoSpaceDN w:val="0"/>
        <w:spacing w:after="120"/>
        <w:jc w:val="both"/>
        <w:rPr>
          <w:rFonts w:ascii="Calibri" w:hAnsi="Calibri" w:cs="Calibri"/>
          <w:sz w:val="22"/>
        </w:rPr>
      </w:pPr>
    </w:p>
    <w:p w14:paraId="4584D647" w14:textId="01A206C5" w:rsidR="004B1D3C" w:rsidRDefault="004B1D3C" w:rsidP="00AC3B6D">
      <w:pPr>
        <w:autoSpaceDE w:val="0"/>
        <w:autoSpaceDN w:val="0"/>
        <w:spacing w:after="120"/>
        <w:jc w:val="both"/>
        <w:rPr>
          <w:rFonts w:ascii="Calibri" w:hAnsi="Calibri" w:cs="Calibri"/>
          <w:sz w:val="22"/>
        </w:rPr>
      </w:pPr>
    </w:p>
    <w:p w14:paraId="1D8E6D89" w14:textId="77777777" w:rsidR="00163935" w:rsidRPr="00D567B9" w:rsidRDefault="00163935" w:rsidP="00163935">
      <w:pPr>
        <w:autoSpaceDE w:val="0"/>
        <w:autoSpaceDN w:val="0"/>
        <w:spacing w:before="120" w:after="120"/>
        <w:jc w:val="both"/>
        <w:rPr>
          <w:rFonts w:ascii="Calibri" w:hAnsi="Calibri" w:cs="Calibri"/>
          <w:sz w:val="22"/>
          <w:u w:val="single"/>
        </w:rPr>
      </w:pPr>
      <w:r w:rsidRPr="00D567B9">
        <w:rPr>
          <w:rFonts w:ascii="Calibri" w:hAnsi="Calibri" w:cs="Calibri"/>
          <w:sz w:val="22"/>
          <w:u w:val="single"/>
        </w:rPr>
        <w:t xml:space="preserve">FL </w:t>
      </w:r>
      <w:r>
        <w:rPr>
          <w:rFonts w:ascii="Calibri" w:hAnsi="Calibri" w:cs="Calibri"/>
          <w:sz w:val="22"/>
          <w:u w:val="single"/>
        </w:rPr>
        <w:t>responses</w:t>
      </w:r>
      <w:r w:rsidRPr="00D567B9">
        <w:rPr>
          <w:rFonts w:ascii="Calibri" w:hAnsi="Calibri" w:cs="Calibri"/>
          <w:sz w:val="22"/>
          <w:u w:val="single"/>
        </w:rPr>
        <w:t xml:space="preserve"> based on </w:t>
      </w:r>
      <w:r>
        <w:rPr>
          <w:rFonts w:ascii="Calibri" w:hAnsi="Calibri" w:cs="Calibri"/>
          <w:sz w:val="22"/>
          <w:u w:val="single"/>
        </w:rPr>
        <w:t>Round 1 inputs on Proposal 2-2 (I)</w:t>
      </w:r>
      <w:r w:rsidRPr="00D567B9">
        <w:rPr>
          <w:rFonts w:ascii="Calibri" w:hAnsi="Calibri" w:cs="Calibri"/>
          <w:sz w:val="22"/>
          <w:u w:val="single"/>
        </w:rPr>
        <w:t>:</w:t>
      </w:r>
    </w:p>
    <w:p w14:paraId="0F1492B5" w14:textId="22390142" w:rsidR="001C4C5E" w:rsidRDefault="001C4C5E" w:rsidP="003278B9">
      <w:pPr>
        <w:pStyle w:val="ListParagraph"/>
        <w:numPr>
          <w:ilvl w:val="0"/>
          <w:numId w:val="18"/>
        </w:numPr>
        <w:autoSpaceDE w:val="0"/>
        <w:autoSpaceDN w:val="0"/>
        <w:spacing w:before="120"/>
        <w:ind w:leftChars="0"/>
        <w:jc w:val="both"/>
        <w:rPr>
          <w:rFonts w:ascii="Calibri" w:hAnsi="Calibri" w:cs="Calibri"/>
          <w:sz w:val="22"/>
        </w:rPr>
      </w:pPr>
      <w:r>
        <w:rPr>
          <w:rFonts w:ascii="Calibri" w:hAnsi="Calibri" w:cs="Calibri"/>
          <w:sz w:val="22"/>
        </w:rPr>
        <w:t>At this stage, we have only just begun our discussion regarding CW adjustment procedure/mechanism for SL HARQ-ACK feedback, which in many cases is different from the Uu operation in NR-U. Perhaps we should include all options for now</w:t>
      </w:r>
      <w:r w:rsidR="005320A9">
        <w:rPr>
          <w:rFonts w:ascii="Calibri" w:hAnsi="Calibri" w:cs="Calibri"/>
          <w:sz w:val="22"/>
        </w:rPr>
        <w:t>,</w:t>
      </w:r>
      <w:r>
        <w:rPr>
          <w:rFonts w:ascii="Calibri" w:hAnsi="Calibri" w:cs="Calibri"/>
          <w:sz w:val="22"/>
        </w:rPr>
        <w:t xml:space="preserve"> </w:t>
      </w:r>
      <w:r w:rsidR="005320A9">
        <w:rPr>
          <w:rFonts w:ascii="Calibri" w:hAnsi="Calibri" w:cs="Calibri"/>
          <w:sz w:val="22"/>
        </w:rPr>
        <w:t>conduct further studies and carry out more discussion on them before making a selection.</w:t>
      </w:r>
    </w:p>
    <w:p w14:paraId="3FEA60C0" w14:textId="736115AC" w:rsidR="00163935" w:rsidRDefault="005320A9" w:rsidP="005320A9">
      <w:pPr>
        <w:pStyle w:val="ListParagraph"/>
        <w:numPr>
          <w:ilvl w:val="0"/>
          <w:numId w:val="18"/>
        </w:numPr>
        <w:autoSpaceDE w:val="0"/>
        <w:autoSpaceDN w:val="0"/>
        <w:spacing w:before="120"/>
        <w:ind w:leftChars="0"/>
        <w:jc w:val="both"/>
        <w:rPr>
          <w:rFonts w:ascii="Calibri" w:hAnsi="Calibri" w:cs="Calibri"/>
          <w:sz w:val="22"/>
        </w:rPr>
      </w:pPr>
      <w:r>
        <w:rPr>
          <w:rFonts w:ascii="Calibri" w:hAnsi="Calibri" w:cs="Calibri"/>
          <w:sz w:val="22"/>
        </w:rPr>
        <w:t>At the same time, many have mentioned some updates are necessary on the ‘reference duration’ definition from NR-U. Let’s further study and discuss it in the future meetings.</w:t>
      </w:r>
    </w:p>
    <w:p w14:paraId="6E894FA2" w14:textId="65222F7A" w:rsidR="00355666" w:rsidRPr="005320A9" w:rsidRDefault="00355666" w:rsidP="005320A9">
      <w:pPr>
        <w:pStyle w:val="ListParagraph"/>
        <w:numPr>
          <w:ilvl w:val="0"/>
          <w:numId w:val="18"/>
        </w:numPr>
        <w:autoSpaceDE w:val="0"/>
        <w:autoSpaceDN w:val="0"/>
        <w:spacing w:before="120"/>
        <w:ind w:leftChars="0"/>
        <w:jc w:val="both"/>
        <w:rPr>
          <w:rFonts w:ascii="Calibri" w:hAnsi="Calibri" w:cs="Calibri"/>
          <w:sz w:val="22"/>
        </w:rPr>
      </w:pPr>
      <w:r>
        <w:rPr>
          <w:rFonts w:ascii="Calibri" w:hAnsi="Calibri" w:cs="Calibri"/>
          <w:sz w:val="22"/>
        </w:rPr>
        <w:lastRenderedPageBreak/>
        <w:t>It is also strongly encouraged to everyone to study each other’s inputs in this section to further understand the intention and reasons behind each listed option or why some of them are not a good choice. Then we can make a down-selection in a future meeting.</w:t>
      </w:r>
    </w:p>
    <w:p w14:paraId="60A8D6CC" w14:textId="3ADEFB18" w:rsidR="00AC3B6D" w:rsidRDefault="00AC3B6D" w:rsidP="00C67F08">
      <w:pPr>
        <w:pStyle w:val="0Maintext"/>
        <w:spacing w:after="0" w:afterAutospacing="0"/>
        <w:ind w:firstLine="0"/>
      </w:pPr>
    </w:p>
    <w:p w14:paraId="66CDEA1F" w14:textId="027A40BE" w:rsidR="004B1D3C" w:rsidRPr="002F1DFF" w:rsidRDefault="004B1D3C" w:rsidP="004B1D3C">
      <w:pPr>
        <w:autoSpaceDE w:val="0"/>
        <w:autoSpaceDN w:val="0"/>
        <w:spacing w:before="120"/>
        <w:jc w:val="both"/>
        <w:rPr>
          <w:rFonts w:ascii="Calibri" w:hAnsi="Calibri" w:cs="Calibri"/>
          <w:sz w:val="22"/>
        </w:rPr>
      </w:pPr>
      <w:r w:rsidRPr="002F1DFF">
        <w:rPr>
          <w:rFonts w:ascii="Calibri" w:hAnsi="Calibri" w:cs="Calibri"/>
          <w:b/>
          <w:bCs/>
          <w:sz w:val="22"/>
          <w:highlight w:val="yellow"/>
        </w:rPr>
        <w:t>Proposal 2</w:t>
      </w:r>
      <w:r>
        <w:rPr>
          <w:rFonts w:ascii="Calibri" w:hAnsi="Calibri" w:cs="Calibri"/>
          <w:b/>
          <w:bCs/>
          <w:sz w:val="22"/>
          <w:highlight w:val="yellow"/>
        </w:rPr>
        <w:t>-2</w:t>
      </w:r>
      <w:r w:rsidRPr="002F1DFF">
        <w:rPr>
          <w:rFonts w:ascii="Calibri" w:hAnsi="Calibri" w:cs="Calibri"/>
          <w:b/>
          <w:bCs/>
          <w:sz w:val="22"/>
          <w:highlight w:val="yellow"/>
        </w:rPr>
        <w:t xml:space="preserve"> (I</w:t>
      </w:r>
      <w:r>
        <w:rPr>
          <w:rFonts w:ascii="Calibri" w:hAnsi="Calibri" w:cs="Calibri"/>
          <w:b/>
          <w:bCs/>
          <w:sz w:val="22"/>
          <w:highlight w:val="yellow"/>
        </w:rPr>
        <w:t>I</w:t>
      </w:r>
      <w:r w:rsidRPr="002F1DFF">
        <w:rPr>
          <w:rFonts w:ascii="Calibri" w:hAnsi="Calibri" w:cs="Calibri"/>
          <w:b/>
          <w:bCs/>
          <w:sz w:val="22"/>
          <w:highlight w:val="yellow"/>
        </w:rPr>
        <w:t>):</w:t>
      </w:r>
      <w:r w:rsidRPr="002F1DFF">
        <w:rPr>
          <w:rFonts w:ascii="Calibri" w:hAnsi="Calibri" w:cs="Calibri"/>
          <w:b/>
          <w:bCs/>
          <w:sz w:val="22"/>
        </w:rPr>
        <w:t xml:space="preserve"> </w:t>
      </w:r>
    </w:p>
    <w:p w14:paraId="049B999B" w14:textId="53FFB0EB" w:rsidR="004B1D3C" w:rsidRDefault="004B1D3C" w:rsidP="004B1D3C">
      <w:pPr>
        <w:pStyle w:val="ListParagraph"/>
        <w:numPr>
          <w:ilvl w:val="0"/>
          <w:numId w:val="18"/>
        </w:numPr>
        <w:autoSpaceDE w:val="0"/>
        <w:autoSpaceDN w:val="0"/>
        <w:ind w:leftChars="0"/>
        <w:jc w:val="both"/>
        <w:rPr>
          <w:rFonts w:ascii="Calibri" w:hAnsi="Calibri" w:cs="Calibri"/>
          <w:sz w:val="22"/>
        </w:rPr>
      </w:pPr>
      <w:r>
        <w:rPr>
          <w:rFonts w:ascii="Calibri" w:hAnsi="Calibri" w:cs="Calibri"/>
          <w:sz w:val="22"/>
        </w:rPr>
        <w:t>In Type 1 SL channel access procedure,</w:t>
      </w:r>
      <w:r w:rsidR="005179EF" w:rsidRPr="005179EF">
        <w:rPr>
          <w:rFonts w:ascii="Calibri" w:hAnsi="Calibri" w:cs="Calibri"/>
          <w:color w:val="FF0000"/>
          <w:sz w:val="22"/>
        </w:rPr>
        <w:t xml:space="preserve"> </w:t>
      </w:r>
      <w:r w:rsidR="005179EF" w:rsidRPr="008B4107">
        <w:rPr>
          <w:rFonts w:ascii="Calibri" w:hAnsi="Calibri" w:cs="Calibri"/>
          <w:b/>
          <w:bCs/>
          <w:color w:val="FF0000"/>
          <w:sz w:val="24"/>
          <w:szCs w:val="28"/>
        </w:rPr>
        <w:t>further study the following</w:t>
      </w:r>
      <w:r w:rsidR="00EA768E" w:rsidRPr="008B4107">
        <w:rPr>
          <w:rFonts w:ascii="Calibri" w:hAnsi="Calibri" w:cs="Calibri"/>
          <w:b/>
          <w:bCs/>
          <w:color w:val="FF0000"/>
          <w:sz w:val="24"/>
          <w:szCs w:val="28"/>
        </w:rPr>
        <w:t xml:space="preserve"> cases and options</w:t>
      </w:r>
      <w:r w:rsidR="005179EF" w:rsidRPr="008B4107">
        <w:rPr>
          <w:rFonts w:ascii="Calibri" w:hAnsi="Calibri" w:cs="Calibri"/>
          <w:b/>
          <w:bCs/>
          <w:color w:val="FF0000"/>
          <w:sz w:val="24"/>
          <w:szCs w:val="28"/>
        </w:rPr>
        <w:t>. Other options are not precluded</w:t>
      </w:r>
      <w:r w:rsidR="005179EF">
        <w:rPr>
          <w:rFonts w:ascii="Calibri" w:hAnsi="Calibri" w:cs="Calibri"/>
          <w:color w:val="FF0000"/>
          <w:sz w:val="22"/>
        </w:rPr>
        <w:t>.</w:t>
      </w:r>
    </w:p>
    <w:p w14:paraId="606089D3" w14:textId="77777777" w:rsidR="004B1D3C" w:rsidRDefault="004B1D3C" w:rsidP="004B1D3C">
      <w:pPr>
        <w:pStyle w:val="ListParagraph"/>
        <w:numPr>
          <w:ilvl w:val="1"/>
          <w:numId w:val="18"/>
        </w:numPr>
        <w:autoSpaceDE w:val="0"/>
        <w:autoSpaceDN w:val="0"/>
        <w:ind w:leftChars="0"/>
        <w:jc w:val="both"/>
        <w:rPr>
          <w:rFonts w:ascii="Calibri" w:hAnsi="Calibri" w:cs="Calibri"/>
          <w:sz w:val="22"/>
        </w:rPr>
      </w:pPr>
      <w:r w:rsidRPr="00CF6AD2">
        <w:rPr>
          <w:rFonts w:ascii="Calibri" w:hAnsi="Calibri" w:cs="Calibri"/>
          <w:sz w:val="22"/>
        </w:rPr>
        <w:t>CW adjustment when SL-HARQ feedback is disabled in SCI:</w:t>
      </w:r>
    </w:p>
    <w:p w14:paraId="72945E88" w14:textId="27EF90A0" w:rsidR="004B1D3C" w:rsidRPr="001C4C5E" w:rsidRDefault="001C4C5E" w:rsidP="004B1D3C">
      <w:pPr>
        <w:pStyle w:val="ListParagraph"/>
        <w:numPr>
          <w:ilvl w:val="2"/>
          <w:numId w:val="18"/>
        </w:numPr>
        <w:autoSpaceDE w:val="0"/>
        <w:autoSpaceDN w:val="0"/>
        <w:ind w:leftChars="0"/>
        <w:jc w:val="both"/>
        <w:rPr>
          <w:rFonts w:ascii="Calibri" w:hAnsi="Calibri" w:cs="Calibri"/>
          <w:sz w:val="22"/>
        </w:rPr>
      </w:pPr>
      <w:r w:rsidRPr="001C4C5E">
        <w:rPr>
          <w:rFonts w:ascii="Calibri" w:hAnsi="Calibri" w:cs="Calibri"/>
          <w:color w:val="FF0000"/>
          <w:sz w:val="22"/>
          <w:lang w:val="en-AU"/>
        </w:rPr>
        <w:t xml:space="preserve">Option 1: </w:t>
      </w:r>
      <w:r w:rsidR="004B1D3C" w:rsidRPr="00CF6AD2">
        <w:rPr>
          <w:rFonts w:ascii="Calibri" w:hAnsi="Calibri" w:cs="Calibri" w:hint="eastAsia"/>
          <w:sz w:val="22"/>
          <w:lang w:val="en-AU"/>
        </w:rPr>
        <w:t xml:space="preserve">For every priority class </w:t>
      </w:r>
      <m:oMath>
        <m:r>
          <w:rPr>
            <w:rFonts w:ascii="Cambria Math" w:hAnsi="Cambria Math" w:cs="Calibri"/>
            <w:sz w:val="22"/>
          </w:rPr>
          <m:t>p∈</m:t>
        </m:r>
        <m:d>
          <m:dPr>
            <m:begChr m:val="{"/>
            <m:endChr m:val="}"/>
            <m:ctrlPr>
              <w:rPr>
                <w:rFonts w:ascii="Cambria Math" w:hAnsi="Cambria Math" w:cs="Calibri"/>
                <w:i/>
                <w:iCs/>
                <w:sz w:val="22"/>
              </w:rPr>
            </m:ctrlPr>
          </m:dPr>
          <m:e>
            <m:r>
              <w:rPr>
                <w:rFonts w:ascii="Cambria Math" w:hAnsi="Cambria Math" w:cs="Calibri"/>
                <w:sz w:val="22"/>
              </w:rPr>
              <m:t>1,2,3,4</m:t>
            </m:r>
          </m:e>
        </m:d>
      </m:oMath>
      <w:r w:rsidR="004B1D3C" w:rsidRPr="00CF6AD2">
        <w:rPr>
          <w:rFonts w:ascii="Calibri" w:hAnsi="Calibri" w:cs="Calibri" w:hint="eastAsia"/>
          <w:sz w:val="22"/>
          <w:lang w:val="en-AU"/>
        </w:rPr>
        <w:t>,</w:t>
      </w:r>
      <w:r w:rsidR="004B1D3C" w:rsidRPr="00CF6AD2">
        <w:rPr>
          <w:rFonts w:ascii="Calibri" w:hAnsi="Calibri" w:cs="Calibri"/>
          <w:i/>
          <w:iCs/>
          <w:sz w:val="22"/>
        </w:rPr>
        <w:t xml:space="preserve"> </w:t>
      </w:r>
      <w:r w:rsidR="004B1D3C">
        <w:rPr>
          <w:rFonts w:ascii="Calibri" w:hAnsi="Calibri" w:cs="Calibri"/>
          <w:sz w:val="22"/>
        </w:rPr>
        <w:t>use the latest</w:t>
      </w:r>
      <w:r w:rsidR="004B1D3C" w:rsidRPr="00CF6AD2">
        <w:rPr>
          <w:rFonts w:ascii="Calibri" w:hAnsi="Calibri" w:cs="Calibri" w:hint="eastAsia"/>
          <w:sz w:val="22"/>
        </w:rPr>
        <w:t xml:space="preserve"> </w:t>
      </w:r>
      <m:oMath>
        <m:r>
          <w:rPr>
            <w:rFonts w:ascii="Cambria Math" w:hAnsi="Cambria Math" w:cs="Calibri"/>
            <w:sz w:val="22"/>
          </w:rPr>
          <m:t>C</m:t>
        </m:r>
        <m:sSub>
          <m:sSubPr>
            <m:ctrlPr>
              <w:rPr>
                <w:rFonts w:ascii="Cambria Math" w:hAnsi="Cambria Math" w:cs="Calibri"/>
                <w:i/>
                <w:iCs/>
                <w:sz w:val="22"/>
              </w:rPr>
            </m:ctrlPr>
          </m:sSubPr>
          <m:e>
            <m:r>
              <w:rPr>
                <w:rFonts w:ascii="Cambria Math" w:hAnsi="Cambria Math" w:cs="Calibri"/>
                <w:sz w:val="22"/>
              </w:rPr>
              <m:t>W</m:t>
            </m:r>
          </m:e>
          <m:sub>
            <m:r>
              <w:rPr>
                <w:rFonts w:ascii="Cambria Math" w:hAnsi="Cambria Math" w:cs="Calibri"/>
                <w:sz w:val="22"/>
              </w:rPr>
              <m:t>p</m:t>
            </m:r>
          </m:sub>
        </m:sSub>
      </m:oMath>
      <w:r w:rsidR="004B1D3C" w:rsidRPr="00CF6AD2">
        <w:rPr>
          <w:rFonts w:ascii="Calibri" w:hAnsi="Calibri" w:cs="Calibri" w:hint="eastAsia"/>
          <w:sz w:val="22"/>
        </w:rPr>
        <w:t xml:space="preserve"> </w:t>
      </w:r>
      <w:r w:rsidR="004B1D3C">
        <w:rPr>
          <w:rFonts w:ascii="Calibri" w:hAnsi="Calibri" w:cs="Calibri"/>
          <w:sz w:val="22"/>
        </w:rPr>
        <w:t xml:space="preserve">used for any SL transmissions on the channel using Type 1 channel access procedures associated with the channel access priority class </w:t>
      </w:r>
      <m:oMath>
        <m:r>
          <w:rPr>
            <w:rFonts w:ascii="Cambria Math" w:hAnsi="Cambria Math" w:cs="Calibri"/>
            <w:sz w:val="22"/>
          </w:rPr>
          <m:t>p</m:t>
        </m:r>
      </m:oMath>
      <w:r w:rsidR="004B1D3C" w:rsidRPr="00CF6AD2">
        <w:rPr>
          <w:rFonts w:ascii="Calibri" w:hAnsi="Calibri" w:cs="Calibri" w:hint="eastAsia"/>
          <w:sz w:val="22"/>
        </w:rPr>
        <w:t>.</w:t>
      </w:r>
      <w:r w:rsidR="004B1D3C">
        <w:rPr>
          <w:rFonts w:ascii="Calibri" w:hAnsi="Calibri" w:cs="Calibri"/>
          <w:sz w:val="22"/>
        </w:rPr>
        <w:t xml:space="preserve"> </w:t>
      </w:r>
      <w:r w:rsidR="004B1D3C" w:rsidRPr="003E2F29">
        <w:rPr>
          <w:rFonts w:asciiTheme="minorHAnsi" w:hAnsiTheme="minorHAnsi" w:cstheme="minorHAnsi"/>
          <w:sz w:val="22"/>
          <w:szCs w:val="28"/>
        </w:rPr>
        <w:t xml:space="preserve">If the corresponding channel access priority class </w:t>
      </w:r>
      <m:oMath>
        <m:r>
          <w:rPr>
            <w:rFonts w:ascii="Cambria Math" w:hAnsi="Cambria Math" w:cstheme="minorHAnsi"/>
            <w:sz w:val="22"/>
            <w:szCs w:val="28"/>
          </w:rPr>
          <m:t>p</m:t>
        </m:r>
      </m:oMath>
      <w:r w:rsidR="004B1D3C" w:rsidRPr="003E2F29">
        <w:rPr>
          <w:rFonts w:asciiTheme="minorHAnsi" w:hAnsiTheme="minorHAnsi" w:cstheme="minorHAnsi"/>
          <w:sz w:val="22"/>
          <w:szCs w:val="28"/>
        </w:rPr>
        <w:t xml:space="preserve">  has not been used for any SL transmissions on the channel, </w:t>
      </w:r>
      <m:oMath>
        <m:r>
          <w:rPr>
            <w:rFonts w:ascii="Cambria Math" w:hAnsi="Cambria Math" w:cstheme="minorHAnsi"/>
            <w:sz w:val="22"/>
            <w:szCs w:val="28"/>
          </w:rPr>
          <m:t>C</m:t>
        </m:r>
        <m:sSub>
          <m:sSubPr>
            <m:ctrlPr>
              <w:rPr>
                <w:rFonts w:ascii="Cambria Math" w:hAnsi="Cambria Math" w:cstheme="minorHAnsi"/>
                <w:i/>
                <w:sz w:val="22"/>
                <w:szCs w:val="28"/>
              </w:rPr>
            </m:ctrlPr>
          </m:sSubPr>
          <m:e>
            <m:r>
              <w:rPr>
                <w:rFonts w:ascii="Cambria Math" w:hAnsi="Cambria Math" w:cstheme="minorHAnsi"/>
                <w:sz w:val="22"/>
                <w:szCs w:val="28"/>
              </w:rPr>
              <m:t>W</m:t>
            </m:r>
          </m:e>
          <m:sub>
            <m:r>
              <w:rPr>
                <w:rFonts w:ascii="Cambria Math" w:hAnsi="Cambria Math" w:cstheme="minorHAnsi"/>
                <w:sz w:val="22"/>
                <w:szCs w:val="28"/>
              </w:rPr>
              <m:t>p</m:t>
            </m:r>
          </m:sub>
        </m:sSub>
        <m:r>
          <w:rPr>
            <w:rFonts w:ascii="Cambria Math" w:hAnsi="Cambria Math" w:cstheme="minorHAnsi"/>
            <w:sz w:val="22"/>
            <w:szCs w:val="28"/>
            <w:lang w:val="en-US"/>
          </w:rPr>
          <m:t>=</m:t>
        </m:r>
        <m:r>
          <w:rPr>
            <w:rFonts w:ascii="Cambria Math" w:hAnsi="Cambria Math" w:cstheme="minorHAnsi"/>
            <w:sz w:val="22"/>
            <w:szCs w:val="28"/>
          </w:rPr>
          <m:t>C</m:t>
        </m:r>
        <m:sSub>
          <m:sSubPr>
            <m:ctrlPr>
              <w:rPr>
                <w:rFonts w:ascii="Cambria Math" w:hAnsi="Cambria Math" w:cstheme="minorHAnsi"/>
                <w:i/>
                <w:sz w:val="22"/>
                <w:szCs w:val="28"/>
              </w:rPr>
            </m:ctrlPr>
          </m:sSubPr>
          <m:e>
            <m:r>
              <w:rPr>
                <w:rFonts w:ascii="Cambria Math" w:hAnsi="Cambria Math" w:cstheme="minorHAnsi"/>
                <w:sz w:val="22"/>
                <w:szCs w:val="28"/>
              </w:rPr>
              <m:t>W</m:t>
            </m:r>
          </m:e>
          <m:sub>
            <m:func>
              <m:funcPr>
                <m:ctrlPr>
                  <w:rPr>
                    <w:rFonts w:ascii="Cambria Math" w:hAnsi="Cambria Math" w:cstheme="minorHAnsi"/>
                    <w:i/>
                    <w:sz w:val="22"/>
                    <w:szCs w:val="28"/>
                  </w:rPr>
                </m:ctrlPr>
              </m:funcPr>
              <m:fName>
                <m:r>
                  <w:rPr>
                    <w:rFonts w:ascii="Cambria Math" w:hAnsi="Cambria Math" w:cstheme="minorHAnsi"/>
                    <w:sz w:val="22"/>
                    <w:szCs w:val="28"/>
                  </w:rPr>
                  <m:t>min</m:t>
                </m:r>
                <m:r>
                  <w:rPr>
                    <w:rFonts w:ascii="Cambria Math" w:hAnsi="Cambria Math" w:cstheme="minorHAnsi"/>
                    <w:sz w:val="22"/>
                    <w:szCs w:val="28"/>
                    <w:lang w:val="en-US"/>
                  </w:rPr>
                  <m:t>,</m:t>
                </m:r>
              </m:fName>
              <m:e>
                <m:r>
                  <w:rPr>
                    <w:rFonts w:ascii="Cambria Math" w:hAnsi="Cambria Math" w:cstheme="minorHAnsi"/>
                    <w:sz w:val="22"/>
                    <w:szCs w:val="28"/>
                  </w:rPr>
                  <m:t>p</m:t>
                </m:r>
              </m:e>
            </m:func>
          </m:sub>
        </m:sSub>
      </m:oMath>
      <w:r w:rsidR="004B1D3C" w:rsidRPr="003E2F29">
        <w:rPr>
          <w:rFonts w:asciiTheme="minorHAnsi" w:hAnsiTheme="minorHAnsi" w:cstheme="minorHAnsi"/>
          <w:sz w:val="22"/>
          <w:szCs w:val="28"/>
        </w:rPr>
        <w:t xml:space="preserve"> is used.</w:t>
      </w:r>
    </w:p>
    <w:p w14:paraId="2C8C1E1F" w14:textId="17B077EA" w:rsidR="001C4C5E" w:rsidRDefault="001C4C5E" w:rsidP="004B1D3C">
      <w:pPr>
        <w:pStyle w:val="ListParagraph"/>
        <w:numPr>
          <w:ilvl w:val="2"/>
          <w:numId w:val="18"/>
        </w:numPr>
        <w:autoSpaceDE w:val="0"/>
        <w:autoSpaceDN w:val="0"/>
        <w:ind w:leftChars="0"/>
        <w:jc w:val="both"/>
        <w:rPr>
          <w:rFonts w:ascii="Calibri" w:hAnsi="Calibri" w:cs="Calibri"/>
          <w:color w:val="FF0000"/>
          <w:sz w:val="22"/>
        </w:rPr>
      </w:pPr>
      <w:r w:rsidRPr="001C4C5E">
        <w:rPr>
          <w:rFonts w:ascii="Calibri" w:hAnsi="Calibri" w:cs="Calibri"/>
          <w:color w:val="FF0000"/>
          <w:sz w:val="22"/>
          <w:lang w:val="en-AU"/>
        </w:rPr>
        <w:t>Option 2:</w:t>
      </w:r>
      <w:r w:rsidRPr="001C4C5E">
        <w:rPr>
          <w:rFonts w:ascii="Calibri" w:hAnsi="Calibri" w:cs="Calibri"/>
          <w:color w:val="FF0000"/>
          <w:sz w:val="22"/>
        </w:rPr>
        <w:t xml:space="preserve"> CW is adjusted according to number blind retransmissions of the TBs within a COT</w:t>
      </w:r>
      <w:r w:rsidR="00EA768E">
        <w:rPr>
          <w:rFonts w:ascii="Calibri" w:hAnsi="Calibri" w:cs="Calibri"/>
          <w:color w:val="FF0000"/>
          <w:sz w:val="22"/>
        </w:rPr>
        <w:t>.</w:t>
      </w:r>
    </w:p>
    <w:p w14:paraId="67F50002" w14:textId="6A803368" w:rsidR="00873ADE" w:rsidRDefault="00873ADE" w:rsidP="004B1D3C">
      <w:pPr>
        <w:pStyle w:val="ListParagraph"/>
        <w:numPr>
          <w:ilvl w:val="2"/>
          <w:numId w:val="18"/>
        </w:numPr>
        <w:autoSpaceDE w:val="0"/>
        <w:autoSpaceDN w:val="0"/>
        <w:ind w:leftChars="0"/>
        <w:jc w:val="both"/>
        <w:rPr>
          <w:rFonts w:ascii="Calibri" w:hAnsi="Calibri" w:cs="Calibri"/>
          <w:color w:val="FF0000"/>
          <w:sz w:val="22"/>
        </w:rPr>
      </w:pPr>
      <w:r>
        <w:rPr>
          <w:rFonts w:ascii="Calibri" w:hAnsi="Calibri" w:cs="Calibri"/>
          <w:color w:val="FF0000"/>
          <w:sz w:val="22"/>
        </w:rPr>
        <w:t>Option 3: CW is adjustment according to CR/CBR measurement.</w:t>
      </w:r>
    </w:p>
    <w:p w14:paraId="534103BB" w14:textId="31B02E75" w:rsidR="00CB0CCF" w:rsidRPr="001C4C5E" w:rsidRDefault="00CB0CCF" w:rsidP="004B1D3C">
      <w:pPr>
        <w:pStyle w:val="ListParagraph"/>
        <w:numPr>
          <w:ilvl w:val="2"/>
          <w:numId w:val="18"/>
        </w:numPr>
        <w:autoSpaceDE w:val="0"/>
        <w:autoSpaceDN w:val="0"/>
        <w:ind w:leftChars="0"/>
        <w:jc w:val="both"/>
        <w:rPr>
          <w:rFonts w:ascii="Calibri" w:hAnsi="Calibri" w:cs="Calibri"/>
          <w:color w:val="FF0000"/>
          <w:sz w:val="22"/>
        </w:rPr>
      </w:pPr>
      <w:r>
        <w:rPr>
          <w:rFonts w:ascii="Calibri" w:hAnsi="Calibri" w:cs="Calibri"/>
          <w:color w:val="FF0000"/>
          <w:sz w:val="22"/>
          <w:lang w:val="en-US"/>
        </w:rPr>
        <w:t xml:space="preserve">Option 4: If a </w:t>
      </w:r>
      <m:oMath>
        <m:r>
          <w:rPr>
            <w:rFonts w:ascii="Cambria Math" w:hAnsi="Cambria Math" w:cs="Calibri"/>
            <w:color w:val="FF0000"/>
            <w:sz w:val="22"/>
          </w:rPr>
          <m:t>C</m:t>
        </m:r>
        <m:sSub>
          <m:sSubPr>
            <m:ctrlPr>
              <w:rPr>
                <w:rFonts w:ascii="Cambria Math" w:hAnsi="Cambria Math" w:cs="Calibri"/>
                <w:i/>
                <w:color w:val="FF0000"/>
                <w:sz w:val="22"/>
                <w:szCs w:val="22"/>
              </w:rPr>
            </m:ctrlPr>
          </m:sSubPr>
          <m:e>
            <m:r>
              <w:rPr>
                <w:rFonts w:ascii="Cambria Math" w:hAnsi="Cambria Math" w:cs="Calibri"/>
                <w:color w:val="FF0000"/>
                <w:sz w:val="22"/>
              </w:rPr>
              <m:t>W</m:t>
            </m:r>
          </m:e>
          <m:sub>
            <m:r>
              <w:rPr>
                <w:rFonts w:ascii="Cambria Math" w:hAnsi="Cambria Math" w:cs="Calibri"/>
                <w:color w:val="FF0000"/>
                <w:sz w:val="22"/>
              </w:rPr>
              <m:t>p</m:t>
            </m:r>
          </m:sub>
        </m:sSub>
      </m:oMath>
      <w:r>
        <w:rPr>
          <w:rFonts w:ascii="Calibri" w:eastAsia="MS Mincho" w:hAnsi="Calibri" w:cs="Calibri"/>
          <w:color w:val="FF0000"/>
          <w:sz w:val="22"/>
          <w:lang w:eastAsia="ja-JP"/>
        </w:rPr>
        <w:t xml:space="preserve"> </w:t>
      </w:r>
      <w:r>
        <w:rPr>
          <w:rFonts w:ascii="Calibri" w:hAnsi="Calibri" w:cs="Calibri"/>
          <w:color w:val="FF0000"/>
          <w:sz w:val="22"/>
          <w:lang w:val="en-US"/>
        </w:rPr>
        <w:t xml:space="preserve">is consecutively used </w:t>
      </w:r>
      <m:oMath>
        <m:r>
          <w:rPr>
            <w:rFonts w:ascii="Cambria Math" w:hAnsi="Cambria Math" w:cs="Calibri"/>
            <w:color w:val="FF0000"/>
            <w:sz w:val="22"/>
          </w:rPr>
          <m:t>K</m:t>
        </m:r>
      </m:oMath>
      <w:r>
        <w:rPr>
          <w:rFonts w:ascii="Calibri" w:hAnsi="Calibri" w:cs="Calibri"/>
          <w:color w:val="FF0000"/>
          <w:sz w:val="22"/>
          <w:lang w:val="en-US"/>
        </w:rPr>
        <w:t xml:space="preserve"> times for generation of </w:t>
      </w:r>
      <m:oMath>
        <m:sSub>
          <m:sSubPr>
            <m:ctrlPr>
              <w:rPr>
                <w:rFonts w:ascii="Cambria Math" w:hAnsi="Cambria Math" w:cs="Calibri"/>
                <w:i/>
                <w:color w:val="FF0000"/>
                <w:sz w:val="22"/>
                <w:szCs w:val="22"/>
              </w:rPr>
            </m:ctrlPr>
          </m:sSubPr>
          <m:e>
            <m:r>
              <w:rPr>
                <w:rFonts w:ascii="Cambria Math" w:hAnsi="Cambria Math" w:cs="Calibri"/>
                <w:color w:val="FF0000"/>
                <w:sz w:val="22"/>
              </w:rPr>
              <m:t>N</m:t>
            </m:r>
          </m:e>
          <m:sub>
            <m:r>
              <w:rPr>
                <w:rFonts w:ascii="Cambria Math" w:hAnsi="Cambria Math" w:cs="Calibri"/>
                <w:color w:val="FF0000"/>
                <w:sz w:val="22"/>
              </w:rPr>
              <m:t>init</m:t>
            </m:r>
          </m:sub>
        </m:sSub>
      </m:oMath>
      <w:r>
        <w:rPr>
          <w:rFonts w:ascii="Calibri" w:hAnsi="Calibri" w:cs="Calibri"/>
          <w:color w:val="FF0000"/>
          <w:sz w:val="22"/>
        </w:rPr>
        <w:t xml:space="preserve">, </w:t>
      </w:r>
      <m:oMath>
        <m:r>
          <w:rPr>
            <w:rFonts w:ascii="Cambria Math" w:hAnsi="Cambria Math" w:cs="Calibri"/>
            <w:color w:val="FF0000"/>
            <w:sz w:val="22"/>
          </w:rPr>
          <m:t>C</m:t>
        </m:r>
        <m:sSub>
          <m:sSubPr>
            <m:ctrlPr>
              <w:rPr>
                <w:rFonts w:ascii="Cambria Math" w:hAnsi="Cambria Math" w:cs="Calibri"/>
                <w:i/>
                <w:color w:val="FF0000"/>
                <w:sz w:val="22"/>
                <w:szCs w:val="22"/>
              </w:rPr>
            </m:ctrlPr>
          </m:sSubPr>
          <m:e>
            <m:r>
              <w:rPr>
                <w:rFonts w:ascii="Cambria Math" w:hAnsi="Cambria Math" w:cs="Calibri"/>
                <w:color w:val="FF0000"/>
                <w:sz w:val="22"/>
              </w:rPr>
              <m:t>W</m:t>
            </m:r>
          </m:e>
          <m:sub>
            <m:r>
              <w:rPr>
                <w:rFonts w:ascii="Cambria Math" w:hAnsi="Cambria Math" w:cs="Calibri"/>
                <w:color w:val="FF0000"/>
                <w:sz w:val="22"/>
              </w:rPr>
              <m:t>p</m:t>
            </m:r>
          </m:sub>
        </m:sSub>
      </m:oMath>
      <w:r>
        <w:rPr>
          <w:rFonts w:ascii="Calibri" w:hAnsi="Calibri" w:cs="Calibri"/>
          <w:color w:val="FF0000"/>
          <w:sz w:val="22"/>
          <w:lang w:val="en-US"/>
        </w:rPr>
        <w:t xml:space="preserve"> is updated </w:t>
      </w:r>
      <w:r>
        <w:rPr>
          <w:rFonts w:ascii="Calibri" w:hAnsi="Calibri" w:cs="Calibri"/>
          <w:color w:val="FF0000"/>
          <w:sz w:val="22"/>
        </w:rPr>
        <w:t xml:space="preserve">for </w:t>
      </w:r>
      <w:r>
        <w:rPr>
          <w:rFonts w:ascii="Calibri" w:hAnsi="Calibri" w:cs="Calibri"/>
          <w:color w:val="FF0000"/>
          <w:sz w:val="22"/>
          <w:lang w:val="en-US"/>
        </w:rPr>
        <w:t xml:space="preserve">each priority class </w:t>
      </w:r>
      <m:oMath>
        <m:r>
          <w:rPr>
            <w:rFonts w:ascii="Cambria Math" w:hAnsi="Cambria Math" w:cs="Calibri"/>
            <w:color w:val="FF0000"/>
            <w:sz w:val="22"/>
          </w:rPr>
          <m:t>p∈</m:t>
        </m:r>
        <m:d>
          <m:dPr>
            <m:begChr m:val="{"/>
            <m:endChr m:val="}"/>
            <m:ctrlPr>
              <w:rPr>
                <w:rFonts w:ascii="Cambria Math" w:hAnsi="Cambria Math" w:cs="Calibri"/>
                <w:i/>
                <w:color w:val="FF0000"/>
                <w:sz w:val="22"/>
                <w:szCs w:val="22"/>
              </w:rPr>
            </m:ctrlPr>
          </m:dPr>
          <m:e>
            <m:r>
              <w:rPr>
                <w:rFonts w:ascii="Cambria Math" w:hAnsi="Cambria Math" w:cs="Calibri"/>
                <w:color w:val="FF0000"/>
                <w:sz w:val="22"/>
              </w:rPr>
              <m:t>1,2,3,4</m:t>
            </m:r>
          </m:e>
        </m:d>
      </m:oMath>
      <w:r>
        <w:rPr>
          <w:rFonts w:ascii="Calibri" w:eastAsia="MS Mincho" w:hAnsi="Calibri" w:cs="Calibri" w:hint="eastAsia"/>
          <w:color w:val="FF0000"/>
          <w:sz w:val="22"/>
          <w:szCs w:val="22"/>
          <w:lang w:eastAsia="ja-JP"/>
        </w:rPr>
        <w:t xml:space="preserve"> </w:t>
      </w:r>
      <w:r>
        <w:rPr>
          <w:rFonts w:ascii="Calibri" w:hAnsi="Calibri" w:cs="Calibri"/>
          <w:color w:val="FF0000"/>
          <w:sz w:val="22"/>
        </w:rPr>
        <w:t>to the next higher allowed value</w:t>
      </w:r>
      <w:r>
        <w:rPr>
          <w:rFonts w:ascii="Calibri" w:hAnsi="Calibri" w:cs="Calibri"/>
          <w:color w:val="FF0000"/>
          <w:sz w:val="22"/>
          <w:lang w:val="en-US"/>
        </w:rPr>
        <w:t>.</w:t>
      </w:r>
    </w:p>
    <w:p w14:paraId="40FB836A" w14:textId="77777777" w:rsidR="004B1D3C" w:rsidRDefault="004B1D3C" w:rsidP="004B1D3C">
      <w:pPr>
        <w:pStyle w:val="ListParagraph"/>
        <w:numPr>
          <w:ilvl w:val="1"/>
          <w:numId w:val="18"/>
        </w:numPr>
        <w:autoSpaceDE w:val="0"/>
        <w:autoSpaceDN w:val="0"/>
        <w:ind w:leftChars="0"/>
        <w:jc w:val="both"/>
        <w:rPr>
          <w:rFonts w:ascii="Calibri" w:hAnsi="Calibri" w:cs="Calibri"/>
          <w:sz w:val="22"/>
        </w:rPr>
      </w:pPr>
      <w:r w:rsidRPr="00CF6AD2">
        <w:rPr>
          <w:rFonts w:ascii="Calibri" w:hAnsi="Calibri" w:cs="Calibri"/>
          <w:sz w:val="22"/>
        </w:rPr>
        <w:t>CW adjustment for groupcast option 2:</w:t>
      </w:r>
    </w:p>
    <w:p w14:paraId="0BED44AA" w14:textId="08EDCE1F" w:rsidR="004B1D3C" w:rsidRDefault="00EA768E" w:rsidP="004B1D3C">
      <w:pPr>
        <w:pStyle w:val="ListParagraph"/>
        <w:numPr>
          <w:ilvl w:val="2"/>
          <w:numId w:val="18"/>
        </w:numPr>
        <w:autoSpaceDE w:val="0"/>
        <w:autoSpaceDN w:val="0"/>
        <w:ind w:leftChars="0"/>
        <w:jc w:val="both"/>
        <w:rPr>
          <w:rFonts w:ascii="Calibri" w:hAnsi="Calibri" w:cs="Calibri"/>
          <w:sz w:val="22"/>
        </w:rPr>
      </w:pPr>
      <w:r w:rsidRPr="00EA768E">
        <w:rPr>
          <w:rFonts w:ascii="Calibri" w:hAnsi="Calibri" w:cs="Calibri"/>
          <w:color w:val="FF0000"/>
          <w:sz w:val="22"/>
          <w:lang w:val="en-AU"/>
        </w:rPr>
        <w:t xml:space="preserve">Option 1: </w:t>
      </w:r>
      <w:r w:rsidR="004B1D3C" w:rsidRPr="00CF6AD2">
        <w:rPr>
          <w:rFonts w:ascii="Calibri" w:hAnsi="Calibri" w:cs="Calibri" w:hint="eastAsia"/>
          <w:sz w:val="22"/>
          <w:lang w:val="en-AU"/>
        </w:rPr>
        <w:t>When a (pre-)configurable ratio of received SL HARQ-ACK feedbacks</w:t>
      </w:r>
      <w:r w:rsidR="004B1D3C" w:rsidRPr="001C4C5E">
        <w:rPr>
          <w:rFonts w:ascii="Calibri" w:hAnsi="Calibri" w:cs="Calibri" w:hint="eastAsia"/>
          <w:strike/>
          <w:color w:val="FF0000"/>
          <w:sz w:val="22"/>
          <w:lang w:val="en-AU"/>
        </w:rPr>
        <w:t xml:space="preserve"> is </w:t>
      </w:r>
      <w:r w:rsidR="004B1D3C" w:rsidRPr="001C4C5E">
        <w:rPr>
          <w:rFonts w:ascii="Calibri" w:hAnsi="Calibri" w:cs="Calibri" w:hint="eastAsia"/>
          <w:strike/>
          <w:color w:val="FF0000"/>
          <w:sz w:val="22"/>
          <w:lang w:val="en-AU"/>
        </w:rPr>
        <w:t>‘</w:t>
      </w:r>
      <w:r w:rsidR="004B1D3C" w:rsidRPr="001C4C5E">
        <w:rPr>
          <w:rFonts w:ascii="Calibri" w:hAnsi="Calibri" w:cs="Calibri" w:hint="eastAsia"/>
          <w:strike/>
          <w:color w:val="FF0000"/>
          <w:sz w:val="22"/>
          <w:lang w:val="en-AU"/>
        </w:rPr>
        <w:t>ACK</w:t>
      </w:r>
      <w:r w:rsidR="004B1D3C" w:rsidRPr="001C4C5E">
        <w:rPr>
          <w:rFonts w:ascii="Calibri" w:hAnsi="Calibri" w:cs="Calibri" w:hint="eastAsia"/>
          <w:strike/>
          <w:color w:val="FF0000"/>
          <w:sz w:val="22"/>
          <w:lang w:val="en-AU"/>
        </w:rPr>
        <w:t>’</w:t>
      </w:r>
      <w:r w:rsidR="004B1D3C" w:rsidRPr="00CF6AD2">
        <w:rPr>
          <w:rFonts w:ascii="Calibri" w:hAnsi="Calibri" w:cs="Calibri" w:hint="eastAsia"/>
          <w:sz w:val="22"/>
          <w:lang w:val="en-AU"/>
        </w:rPr>
        <w:t xml:space="preserve">, </w:t>
      </w:r>
      <m:oMath>
        <m:r>
          <w:rPr>
            <w:rFonts w:ascii="Cambria Math" w:hAnsi="Cambria Math" w:cs="Calibri"/>
            <w:sz w:val="22"/>
          </w:rPr>
          <m:t>C</m:t>
        </m:r>
        <m:sSub>
          <m:sSubPr>
            <m:ctrlPr>
              <w:rPr>
                <w:rFonts w:ascii="Cambria Math" w:hAnsi="Cambria Math" w:cs="Calibri"/>
                <w:i/>
                <w:iCs/>
                <w:sz w:val="22"/>
              </w:rPr>
            </m:ctrlPr>
          </m:sSubPr>
          <m:e>
            <m:r>
              <w:rPr>
                <w:rFonts w:ascii="Cambria Math" w:hAnsi="Cambria Math" w:cs="Calibri"/>
                <w:sz w:val="22"/>
              </w:rPr>
              <m:t>W</m:t>
            </m:r>
          </m:e>
          <m:sub>
            <m:r>
              <w:rPr>
                <w:rFonts w:ascii="Cambria Math" w:hAnsi="Cambria Math" w:cs="Calibri"/>
                <w:sz w:val="22"/>
              </w:rPr>
              <m:t>p</m:t>
            </m:r>
          </m:sub>
        </m:sSub>
      </m:oMath>
      <w:r w:rsidR="004B1D3C" w:rsidRPr="00CF6AD2">
        <w:rPr>
          <w:rFonts w:ascii="Calibri" w:hAnsi="Calibri" w:cs="Calibri" w:hint="eastAsia"/>
          <w:sz w:val="22"/>
          <w:lang w:val="en-AU"/>
        </w:rPr>
        <w:t xml:space="preserve"> is reset to </w:t>
      </w:r>
      <m:oMath>
        <m:r>
          <w:rPr>
            <w:rFonts w:ascii="Cambria Math" w:hAnsi="Cambria Math" w:cs="Calibri"/>
            <w:sz w:val="22"/>
          </w:rPr>
          <m:t>C</m:t>
        </m:r>
        <m:sSub>
          <m:sSubPr>
            <m:ctrlPr>
              <w:rPr>
                <w:rFonts w:ascii="Cambria Math" w:hAnsi="Cambria Math" w:cs="Calibri"/>
                <w:i/>
                <w:iCs/>
                <w:sz w:val="22"/>
              </w:rPr>
            </m:ctrlPr>
          </m:sSubPr>
          <m:e>
            <m:r>
              <w:rPr>
                <w:rFonts w:ascii="Cambria Math" w:hAnsi="Cambria Math" w:cs="Calibri"/>
                <w:sz w:val="22"/>
              </w:rPr>
              <m:t>W</m:t>
            </m:r>
          </m:e>
          <m:sub>
            <m:r>
              <w:rPr>
                <w:rFonts w:ascii="Cambria Math" w:hAnsi="Cambria Math" w:cs="Calibri"/>
                <w:sz w:val="22"/>
                <w:lang w:val="en-AU"/>
              </w:rPr>
              <m:t>min,</m:t>
            </m:r>
            <m:r>
              <w:rPr>
                <w:rFonts w:ascii="Cambria Math" w:hAnsi="Cambria Math" w:cs="Calibri"/>
                <w:sz w:val="22"/>
              </w:rPr>
              <m:t>p</m:t>
            </m:r>
          </m:sub>
        </m:sSub>
      </m:oMath>
      <w:r w:rsidR="004B1D3C" w:rsidRPr="00CF6AD2">
        <w:rPr>
          <w:rFonts w:ascii="Calibri" w:hAnsi="Calibri" w:cs="Calibri" w:hint="eastAsia"/>
          <w:i/>
          <w:iCs/>
          <w:sz w:val="22"/>
          <w:lang w:val="en-AU"/>
        </w:rPr>
        <w:t xml:space="preserve"> </w:t>
      </w:r>
      <w:r w:rsidR="004B1D3C" w:rsidRPr="00CF6AD2">
        <w:rPr>
          <w:rFonts w:ascii="Calibri" w:hAnsi="Calibri" w:cs="Calibri" w:hint="eastAsia"/>
          <w:sz w:val="22"/>
          <w:lang w:val="en-AU"/>
        </w:rPr>
        <w:t xml:space="preserve">for every priority class </w:t>
      </w:r>
      <m:oMath>
        <m:r>
          <w:rPr>
            <w:rFonts w:ascii="Cambria Math" w:hAnsi="Cambria Math" w:cs="Calibri"/>
            <w:sz w:val="22"/>
          </w:rPr>
          <m:t>p∈</m:t>
        </m:r>
        <m:d>
          <m:dPr>
            <m:begChr m:val="{"/>
            <m:endChr m:val="}"/>
            <m:ctrlPr>
              <w:rPr>
                <w:rFonts w:ascii="Cambria Math" w:hAnsi="Cambria Math" w:cs="Calibri"/>
                <w:i/>
                <w:iCs/>
                <w:sz w:val="22"/>
              </w:rPr>
            </m:ctrlPr>
          </m:dPr>
          <m:e>
            <m:r>
              <w:rPr>
                <w:rFonts w:ascii="Cambria Math" w:hAnsi="Cambria Math" w:cs="Calibri"/>
                <w:sz w:val="22"/>
              </w:rPr>
              <m:t>1,2,3,4</m:t>
            </m:r>
          </m:e>
        </m:d>
      </m:oMath>
      <w:r w:rsidR="004B1D3C" w:rsidRPr="00CF6AD2">
        <w:rPr>
          <w:rFonts w:ascii="Calibri" w:hAnsi="Calibri" w:cs="Calibri" w:hint="eastAsia"/>
          <w:sz w:val="22"/>
          <w:lang w:val="en-AU"/>
        </w:rPr>
        <w:t xml:space="preserve">, otherwise </w:t>
      </w:r>
      <w:r w:rsidR="004B1D3C" w:rsidRPr="00CF6AD2">
        <w:rPr>
          <w:rFonts w:ascii="Calibri" w:hAnsi="Calibri" w:cs="Calibri" w:hint="eastAsia"/>
          <w:sz w:val="22"/>
        </w:rPr>
        <w:t xml:space="preserve">increase </w:t>
      </w:r>
      <m:oMath>
        <m:r>
          <w:rPr>
            <w:rFonts w:ascii="Cambria Math" w:hAnsi="Cambria Math" w:cs="Calibri"/>
            <w:sz w:val="22"/>
          </w:rPr>
          <m:t>C</m:t>
        </m:r>
        <m:sSub>
          <m:sSubPr>
            <m:ctrlPr>
              <w:rPr>
                <w:rFonts w:ascii="Cambria Math" w:hAnsi="Cambria Math" w:cs="Calibri"/>
                <w:i/>
                <w:iCs/>
                <w:sz w:val="22"/>
              </w:rPr>
            </m:ctrlPr>
          </m:sSubPr>
          <m:e>
            <m:r>
              <w:rPr>
                <w:rFonts w:ascii="Cambria Math" w:hAnsi="Cambria Math" w:cs="Calibri"/>
                <w:sz w:val="22"/>
              </w:rPr>
              <m:t>W</m:t>
            </m:r>
          </m:e>
          <m:sub>
            <m:r>
              <w:rPr>
                <w:rFonts w:ascii="Cambria Math" w:hAnsi="Cambria Math" w:cs="Calibri"/>
                <w:sz w:val="22"/>
              </w:rPr>
              <m:t>p</m:t>
            </m:r>
          </m:sub>
        </m:sSub>
      </m:oMath>
      <w:r w:rsidR="004B1D3C" w:rsidRPr="00CF6AD2">
        <w:rPr>
          <w:rFonts w:ascii="Calibri" w:hAnsi="Calibri" w:cs="Calibri" w:hint="eastAsia"/>
          <w:sz w:val="22"/>
        </w:rPr>
        <w:t xml:space="preserve"> for every priority class </w:t>
      </w:r>
      <m:oMath>
        <m:r>
          <w:rPr>
            <w:rFonts w:ascii="Cambria Math" w:hAnsi="Cambria Math" w:cs="Calibri"/>
            <w:sz w:val="22"/>
          </w:rPr>
          <m:t>p∈</m:t>
        </m:r>
        <m:d>
          <m:dPr>
            <m:begChr m:val="{"/>
            <m:endChr m:val="}"/>
            <m:ctrlPr>
              <w:rPr>
                <w:rFonts w:ascii="Cambria Math" w:hAnsi="Cambria Math" w:cs="Calibri"/>
                <w:i/>
                <w:iCs/>
                <w:sz w:val="22"/>
              </w:rPr>
            </m:ctrlPr>
          </m:dPr>
          <m:e>
            <m:r>
              <w:rPr>
                <w:rFonts w:ascii="Cambria Math" w:hAnsi="Cambria Math" w:cs="Calibri"/>
                <w:sz w:val="22"/>
              </w:rPr>
              <m:t>1,2,3,4</m:t>
            </m:r>
          </m:e>
        </m:d>
      </m:oMath>
      <w:r w:rsidR="004B1D3C" w:rsidRPr="00CF6AD2">
        <w:rPr>
          <w:rFonts w:ascii="Calibri" w:hAnsi="Calibri" w:cs="Calibri" w:hint="eastAsia"/>
          <w:sz w:val="22"/>
        </w:rPr>
        <w:t xml:space="preserve"> to the next higher allowed value.</w:t>
      </w:r>
    </w:p>
    <w:p w14:paraId="2F24625D" w14:textId="45482AF1" w:rsidR="003278B9" w:rsidRDefault="003278B9" w:rsidP="003278B9">
      <w:pPr>
        <w:pStyle w:val="ListParagraph"/>
        <w:numPr>
          <w:ilvl w:val="3"/>
          <w:numId w:val="18"/>
        </w:numPr>
        <w:autoSpaceDE w:val="0"/>
        <w:autoSpaceDN w:val="0"/>
        <w:ind w:leftChars="0"/>
        <w:jc w:val="both"/>
        <w:rPr>
          <w:rFonts w:ascii="Calibri" w:hAnsi="Calibri" w:cs="Calibri"/>
          <w:color w:val="FF0000"/>
          <w:sz w:val="22"/>
        </w:rPr>
      </w:pPr>
      <w:r w:rsidRPr="001C4C5E">
        <w:rPr>
          <w:rFonts w:ascii="Calibri" w:hAnsi="Calibri" w:cs="Calibri"/>
          <w:color w:val="FF0000"/>
          <w:sz w:val="22"/>
        </w:rPr>
        <w:t>FFS: whether the ratio of the received SL HARQ-ACK feedbacks is ‘ACK’, ‘NACK’ or ‘ACK+NACK’</w:t>
      </w:r>
    </w:p>
    <w:p w14:paraId="7BCDF181" w14:textId="7E8C0CF6" w:rsidR="00873ADE" w:rsidRDefault="00873ADE" w:rsidP="003278B9">
      <w:pPr>
        <w:pStyle w:val="ListParagraph"/>
        <w:numPr>
          <w:ilvl w:val="3"/>
          <w:numId w:val="18"/>
        </w:numPr>
        <w:autoSpaceDE w:val="0"/>
        <w:autoSpaceDN w:val="0"/>
        <w:ind w:leftChars="0"/>
        <w:jc w:val="both"/>
        <w:rPr>
          <w:rFonts w:ascii="Calibri" w:hAnsi="Calibri" w:cs="Calibri"/>
          <w:color w:val="FF0000"/>
          <w:sz w:val="22"/>
        </w:rPr>
      </w:pPr>
      <w:r>
        <w:rPr>
          <w:rFonts w:ascii="Calibri" w:hAnsi="Calibri" w:cs="Calibri"/>
          <w:color w:val="FF0000"/>
          <w:sz w:val="22"/>
        </w:rPr>
        <w:t>FFS: how to calculate the ratio</w:t>
      </w:r>
    </w:p>
    <w:p w14:paraId="7CA4303F" w14:textId="102099D9" w:rsidR="008B4107" w:rsidRDefault="008B4107" w:rsidP="003278B9">
      <w:pPr>
        <w:pStyle w:val="ListParagraph"/>
        <w:numPr>
          <w:ilvl w:val="3"/>
          <w:numId w:val="18"/>
        </w:numPr>
        <w:autoSpaceDE w:val="0"/>
        <w:autoSpaceDN w:val="0"/>
        <w:ind w:leftChars="0"/>
        <w:jc w:val="both"/>
        <w:rPr>
          <w:rFonts w:ascii="Calibri" w:hAnsi="Calibri" w:cs="Calibri"/>
          <w:color w:val="FF0000"/>
          <w:sz w:val="22"/>
        </w:rPr>
      </w:pPr>
      <w:r>
        <w:rPr>
          <w:rFonts w:ascii="Calibri" w:hAnsi="Calibri" w:cs="Calibri"/>
          <w:color w:val="FF0000"/>
          <w:sz w:val="22"/>
        </w:rPr>
        <w:t>FFS: the (pre-)configuration ratio</w:t>
      </w:r>
      <w:r w:rsidR="006B6BD0">
        <w:rPr>
          <w:rFonts w:ascii="Calibri" w:hAnsi="Calibri" w:cs="Calibri"/>
          <w:color w:val="FF0000"/>
          <w:sz w:val="22"/>
        </w:rPr>
        <w:t xml:space="preserve"> values</w:t>
      </w:r>
    </w:p>
    <w:p w14:paraId="4C3E38B5" w14:textId="538DBBC6" w:rsidR="00EA768E" w:rsidRPr="001C4C5E" w:rsidRDefault="00EA768E" w:rsidP="00EA768E">
      <w:pPr>
        <w:pStyle w:val="ListParagraph"/>
        <w:numPr>
          <w:ilvl w:val="2"/>
          <w:numId w:val="18"/>
        </w:numPr>
        <w:autoSpaceDE w:val="0"/>
        <w:autoSpaceDN w:val="0"/>
        <w:ind w:leftChars="0"/>
        <w:jc w:val="both"/>
        <w:rPr>
          <w:rFonts w:ascii="Calibri" w:hAnsi="Calibri" w:cs="Calibri"/>
          <w:color w:val="FF0000"/>
          <w:sz w:val="22"/>
        </w:rPr>
      </w:pPr>
      <w:r>
        <w:rPr>
          <w:rFonts w:ascii="Calibri" w:hAnsi="Calibri" w:cs="Calibri"/>
          <w:color w:val="FF0000"/>
          <w:sz w:val="22"/>
        </w:rPr>
        <w:t xml:space="preserve">Option 2: If at least a ‘ACK’ is received, </w:t>
      </w:r>
      <m:oMath>
        <m:r>
          <w:rPr>
            <w:rFonts w:ascii="Cambria Math" w:hAnsi="Cambria Math" w:cs="Calibri"/>
            <w:color w:val="FF0000"/>
            <w:sz w:val="22"/>
          </w:rPr>
          <m:t>C</m:t>
        </m:r>
        <m:sSub>
          <m:sSubPr>
            <m:ctrlPr>
              <w:rPr>
                <w:rFonts w:ascii="Cambria Math" w:hAnsi="Cambria Math" w:cs="Calibri"/>
                <w:color w:val="FF0000"/>
                <w:sz w:val="22"/>
              </w:rPr>
            </m:ctrlPr>
          </m:sSubPr>
          <m:e>
            <m:r>
              <w:rPr>
                <w:rFonts w:ascii="Cambria Math" w:hAnsi="Cambria Math" w:cs="Calibri"/>
                <w:color w:val="FF0000"/>
                <w:sz w:val="22"/>
              </w:rPr>
              <m:t>W</m:t>
            </m:r>
          </m:e>
          <m:sub>
            <m:r>
              <w:rPr>
                <w:rFonts w:ascii="Cambria Math" w:hAnsi="Cambria Math" w:cs="Calibri"/>
                <w:color w:val="FF0000"/>
                <w:sz w:val="22"/>
              </w:rPr>
              <m:t>p</m:t>
            </m:r>
          </m:sub>
        </m:sSub>
        <m:r>
          <m:rPr>
            <m:sty m:val="p"/>
          </m:rPr>
          <w:rPr>
            <w:rFonts w:ascii="Cambria Math" w:hAnsi="Cambria Math" w:cs="Calibri"/>
            <w:color w:val="FF0000"/>
            <w:sz w:val="22"/>
          </w:rPr>
          <m:t>=</m:t>
        </m:r>
        <m:r>
          <w:rPr>
            <w:rFonts w:ascii="Cambria Math" w:hAnsi="Cambria Math" w:cs="Calibri"/>
            <w:color w:val="FF0000"/>
            <w:sz w:val="22"/>
          </w:rPr>
          <m:t>C</m:t>
        </m:r>
        <m:sSub>
          <m:sSubPr>
            <m:ctrlPr>
              <w:rPr>
                <w:rFonts w:ascii="Cambria Math" w:hAnsi="Cambria Math" w:cs="Calibri"/>
                <w:color w:val="FF0000"/>
                <w:sz w:val="22"/>
              </w:rPr>
            </m:ctrlPr>
          </m:sSubPr>
          <m:e>
            <m:r>
              <w:rPr>
                <w:rFonts w:ascii="Cambria Math" w:hAnsi="Cambria Math" w:cs="Calibri"/>
                <w:color w:val="FF0000"/>
                <w:sz w:val="22"/>
              </w:rPr>
              <m:t>W</m:t>
            </m:r>
          </m:e>
          <m:sub>
            <m:func>
              <m:funcPr>
                <m:ctrlPr>
                  <w:rPr>
                    <w:rFonts w:ascii="Cambria Math" w:hAnsi="Cambria Math" w:cs="Calibri"/>
                    <w:color w:val="FF0000"/>
                    <w:sz w:val="22"/>
                  </w:rPr>
                </m:ctrlPr>
              </m:funcPr>
              <m:fName>
                <m:r>
                  <w:rPr>
                    <w:rFonts w:ascii="Cambria Math" w:hAnsi="Cambria Math" w:cs="Calibri"/>
                    <w:color w:val="FF0000"/>
                    <w:sz w:val="22"/>
                  </w:rPr>
                  <m:t>min</m:t>
                </m:r>
                <m:r>
                  <m:rPr>
                    <m:sty m:val="p"/>
                  </m:rPr>
                  <w:rPr>
                    <w:rFonts w:ascii="Cambria Math" w:hAnsi="Cambria Math" w:cs="Calibri"/>
                    <w:color w:val="FF0000"/>
                    <w:sz w:val="22"/>
                  </w:rPr>
                  <m:t>,</m:t>
                </m:r>
              </m:fName>
              <m:e>
                <m:r>
                  <w:rPr>
                    <w:rFonts w:ascii="Cambria Math" w:hAnsi="Cambria Math" w:cs="Calibri"/>
                    <w:color w:val="FF0000"/>
                    <w:sz w:val="22"/>
                  </w:rPr>
                  <m:t>p</m:t>
                </m:r>
              </m:e>
            </m:func>
          </m:sub>
        </m:sSub>
      </m:oMath>
      <w:r>
        <w:rPr>
          <w:rFonts w:ascii="Calibri" w:hAnsi="Calibri" w:cs="Calibri"/>
          <w:color w:val="FF0000"/>
          <w:sz w:val="22"/>
        </w:rPr>
        <w:t xml:space="preserve">; otherwise </w:t>
      </w:r>
      <m:oMath>
        <m:r>
          <w:rPr>
            <w:rFonts w:ascii="Cambria Math" w:hAnsi="Cambria Math" w:cs="Calibri"/>
            <w:color w:val="FF0000"/>
            <w:sz w:val="22"/>
          </w:rPr>
          <m:t>C</m:t>
        </m:r>
        <m:sSub>
          <m:sSubPr>
            <m:ctrlPr>
              <w:rPr>
                <w:rFonts w:ascii="Cambria Math" w:hAnsi="Cambria Math" w:cs="Calibri"/>
                <w:color w:val="FF0000"/>
                <w:sz w:val="22"/>
              </w:rPr>
            </m:ctrlPr>
          </m:sSubPr>
          <m:e>
            <m:r>
              <w:rPr>
                <w:rFonts w:ascii="Cambria Math" w:hAnsi="Cambria Math" w:cs="Calibri"/>
                <w:color w:val="FF0000"/>
                <w:sz w:val="22"/>
              </w:rPr>
              <m:t>W</m:t>
            </m:r>
          </m:e>
          <m:sub>
            <m:r>
              <w:rPr>
                <w:rFonts w:ascii="Cambria Math" w:hAnsi="Cambria Math" w:cs="Calibri"/>
                <w:color w:val="FF0000"/>
                <w:sz w:val="22"/>
              </w:rPr>
              <m:t>p</m:t>
            </m:r>
          </m:sub>
        </m:sSub>
        <m:r>
          <m:rPr>
            <m:sty m:val="p"/>
          </m:rPr>
          <w:rPr>
            <w:rFonts w:ascii="Cambria Math" w:hAnsi="Cambria Math" w:cs="Calibri"/>
            <w:color w:val="FF0000"/>
            <w:sz w:val="22"/>
          </w:rPr>
          <m:t> </m:t>
        </m:r>
      </m:oMath>
      <w:r>
        <w:rPr>
          <w:rFonts w:ascii="Calibri" w:hAnsi="Calibri" w:cs="Calibri"/>
          <w:color w:val="FF0000"/>
          <w:sz w:val="22"/>
        </w:rPr>
        <w:t>is increased.</w:t>
      </w:r>
    </w:p>
    <w:p w14:paraId="286FE85A" w14:textId="6ACD0A43" w:rsidR="004B1D3C" w:rsidRPr="00CF6AD2" w:rsidRDefault="004B1D3C" w:rsidP="004B1D3C">
      <w:pPr>
        <w:pStyle w:val="ListParagraph"/>
        <w:numPr>
          <w:ilvl w:val="1"/>
          <w:numId w:val="18"/>
        </w:numPr>
        <w:autoSpaceDE w:val="0"/>
        <w:autoSpaceDN w:val="0"/>
        <w:ind w:leftChars="0"/>
        <w:jc w:val="both"/>
        <w:rPr>
          <w:rFonts w:ascii="Calibri" w:hAnsi="Calibri" w:cs="Calibri"/>
          <w:sz w:val="22"/>
        </w:rPr>
      </w:pPr>
      <w:r w:rsidRPr="00CF6AD2">
        <w:rPr>
          <w:rFonts w:ascii="Calibri" w:hAnsi="Calibri" w:cs="Calibri" w:hint="eastAsia"/>
          <w:sz w:val="22"/>
          <w:lang w:val="en-AU"/>
        </w:rPr>
        <w:t>For groupcast option 1 (NACK-only)</w:t>
      </w:r>
      <w:r>
        <w:rPr>
          <w:rFonts w:ascii="Calibri" w:hAnsi="Calibri" w:cs="Calibri"/>
          <w:sz w:val="22"/>
          <w:lang w:val="en-AU"/>
        </w:rPr>
        <w:t>: (</w:t>
      </w:r>
      <w:r w:rsidR="00F06DCB" w:rsidRPr="00F06DCB">
        <w:rPr>
          <w:rFonts w:ascii="Calibri" w:hAnsi="Calibri" w:cs="Calibri"/>
          <w:color w:val="FF0000"/>
          <w:sz w:val="22"/>
          <w:lang w:val="en-AU"/>
        </w:rPr>
        <w:t>if supported</w:t>
      </w:r>
      <w:r>
        <w:rPr>
          <w:rFonts w:ascii="Calibri" w:hAnsi="Calibri" w:cs="Calibri"/>
          <w:sz w:val="22"/>
          <w:lang w:val="en-AU"/>
        </w:rPr>
        <w:t>)</w:t>
      </w:r>
    </w:p>
    <w:p w14:paraId="6831A02E" w14:textId="77777777" w:rsidR="004B1D3C" w:rsidRDefault="004B1D3C" w:rsidP="004B1D3C">
      <w:pPr>
        <w:pStyle w:val="ListParagraph"/>
        <w:numPr>
          <w:ilvl w:val="2"/>
          <w:numId w:val="18"/>
        </w:numPr>
        <w:autoSpaceDE w:val="0"/>
        <w:autoSpaceDN w:val="0"/>
        <w:ind w:leftChars="0"/>
        <w:jc w:val="both"/>
        <w:rPr>
          <w:rFonts w:ascii="Calibri" w:hAnsi="Calibri" w:cs="Calibri"/>
          <w:sz w:val="22"/>
        </w:rPr>
      </w:pPr>
      <w:r w:rsidRPr="00CF6AD2">
        <w:rPr>
          <w:rFonts w:ascii="Calibri" w:hAnsi="Calibri" w:cs="Calibri" w:hint="eastAsia"/>
          <w:sz w:val="22"/>
          <w:lang w:val="en-AU"/>
        </w:rPr>
        <w:t xml:space="preserve">Option 1: For every priority class </w:t>
      </w:r>
      <m:oMath>
        <m:r>
          <w:rPr>
            <w:rFonts w:ascii="Cambria Math" w:hAnsi="Cambria Math" w:cs="Calibri"/>
            <w:sz w:val="22"/>
          </w:rPr>
          <m:t>p∈</m:t>
        </m:r>
        <m:d>
          <m:dPr>
            <m:begChr m:val="{"/>
            <m:endChr m:val="}"/>
            <m:ctrlPr>
              <w:rPr>
                <w:rFonts w:ascii="Cambria Math" w:hAnsi="Cambria Math" w:cs="Calibri"/>
                <w:i/>
                <w:iCs/>
                <w:sz w:val="22"/>
              </w:rPr>
            </m:ctrlPr>
          </m:dPr>
          <m:e>
            <m:r>
              <w:rPr>
                <w:rFonts w:ascii="Cambria Math" w:hAnsi="Cambria Math" w:cs="Calibri"/>
                <w:sz w:val="22"/>
              </w:rPr>
              <m:t>1,2,3,4</m:t>
            </m:r>
          </m:e>
        </m:d>
      </m:oMath>
      <w:r w:rsidRPr="00CF6AD2">
        <w:rPr>
          <w:rFonts w:ascii="Calibri" w:hAnsi="Calibri" w:cs="Calibri" w:hint="eastAsia"/>
          <w:sz w:val="22"/>
          <w:lang w:val="en-AU"/>
        </w:rPr>
        <w:t>,</w:t>
      </w:r>
      <w:r w:rsidRPr="00CF6AD2">
        <w:rPr>
          <w:rFonts w:ascii="Calibri" w:hAnsi="Calibri" w:cs="Calibri"/>
          <w:i/>
          <w:iCs/>
          <w:sz w:val="22"/>
        </w:rPr>
        <w:t xml:space="preserve"> </w:t>
      </w:r>
      <w:r>
        <w:rPr>
          <w:rFonts w:ascii="Calibri" w:hAnsi="Calibri" w:cs="Calibri"/>
          <w:sz w:val="22"/>
        </w:rPr>
        <w:t>use the latest</w:t>
      </w:r>
      <w:r w:rsidRPr="00CF6AD2">
        <w:rPr>
          <w:rFonts w:ascii="Calibri" w:hAnsi="Calibri" w:cs="Calibri" w:hint="eastAsia"/>
          <w:sz w:val="22"/>
        </w:rPr>
        <w:t xml:space="preserve"> </w:t>
      </w:r>
      <m:oMath>
        <m:r>
          <w:rPr>
            <w:rFonts w:ascii="Cambria Math" w:hAnsi="Cambria Math" w:cs="Calibri"/>
            <w:sz w:val="22"/>
          </w:rPr>
          <m:t>C</m:t>
        </m:r>
        <m:sSub>
          <m:sSubPr>
            <m:ctrlPr>
              <w:rPr>
                <w:rFonts w:ascii="Cambria Math" w:hAnsi="Cambria Math" w:cs="Calibri"/>
                <w:i/>
                <w:iCs/>
                <w:sz w:val="22"/>
              </w:rPr>
            </m:ctrlPr>
          </m:sSubPr>
          <m:e>
            <m:r>
              <w:rPr>
                <w:rFonts w:ascii="Cambria Math" w:hAnsi="Cambria Math" w:cs="Calibri"/>
                <w:sz w:val="22"/>
              </w:rPr>
              <m:t>W</m:t>
            </m:r>
          </m:e>
          <m:sub>
            <m:r>
              <w:rPr>
                <w:rFonts w:ascii="Cambria Math" w:hAnsi="Cambria Math" w:cs="Calibri"/>
                <w:sz w:val="22"/>
              </w:rPr>
              <m:t>p</m:t>
            </m:r>
          </m:sub>
        </m:sSub>
      </m:oMath>
      <w:r w:rsidRPr="00CF6AD2">
        <w:rPr>
          <w:rFonts w:ascii="Calibri" w:hAnsi="Calibri" w:cs="Calibri" w:hint="eastAsia"/>
          <w:sz w:val="22"/>
        </w:rPr>
        <w:t xml:space="preserve"> </w:t>
      </w:r>
      <w:r>
        <w:rPr>
          <w:rFonts w:ascii="Calibri" w:hAnsi="Calibri" w:cs="Calibri"/>
          <w:sz w:val="22"/>
        </w:rPr>
        <w:t xml:space="preserve">used for any SL transmissions on the channel using Type 1 channel access procedures associated with the channel access priority class </w:t>
      </w:r>
      <m:oMath>
        <m:r>
          <w:rPr>
            <w:rFonts w:ascii="Cambria Math" w:hAnsi="Cambria Math" w:cs="Calibri"/>
            <w:sz w:val="22"/>
          </w:rPr>
          <m:t>p</m:t>
        </m:r>
      </m:oMath>
      <w:r w:rsidRPr="00CF6AD2">
        <w:rPr>
          <w:rFonts w:ascii="Calibri" w:hAnsi="Calibri" w:cs="Calibri" w:hint="eastAsia"/>
          <w:sz w:val="22"/>
        </w:rPr>
        <w:t>.</w:t>
      </w:r>
      <w:r>
        <w:rPr>
          <w:rFonts w:ascii="Calibri" w:hAnsi="Calibri" w:cs="Calibri"/>
          <w:sz w:val="22"/>
        </w:rPr>
        <w:t xml:space="preserve"> </w:t>
      </w:r>
      <w:r w:rsidRPr="003E2F29">
        <w:rPr>
          <w:rFonts w:asciiTheme="minorHAnsi" w:hAnsiTheme="minorHAnsi" w:cstheme="minorHAnsi"/>
          <w:sz w:val="22"/>
          <w:szCs w:val="28"/>
        </w:rPr>
        <w:t xml:space="preserve">If the corresponding channel access priority class </w:t>
      </w:r>
      <m:oMath>
        <m:r>
          <w:rPr>
            <w:rFonts w:ascii="Cambria Math" w:hAnsi="Cambria Math" w:cstheme="minorHAnsi"/>
            <w:sz w:val="22"/>
            <w:szCs w:val="28"/>
          </w:rPr>
          <m:t>p</m:t>
        </m:r>
      </m:oMath>
      <w:r w:rsidRPr="003E2F29">
        <w:rPr>
          <w:rFonts w:asciiTheme="minorHAnsi" w:hAnsiTheme="minorHAnsi" w:cstheme="minorHAnsi"/>
          <w:sz w:val="22"/>
          <w:szCs w:val="28"/>
        </w:rPr>
        <w:t xml:space="preserve">  has not been used for any SL transmissions on the channel, </w:t>
      </w:r>
      <m:oMath>
        <m:r>
          <w:rPr>
            <w:rFonts w:ascii="Cambria Math" w:hAnsi="Cambria Math" w:cstheme="minorHAnsi"/>
            <w:sz w:val="22"/>
            <w:szCs w:val="28"/>
          </w:rPr>
          <m:t>C</m:t>
        </m:r>
        <m:sSub>
          <m:sSubPr>
            <m:ctrlPr>
              <w:rPr>
                <w:rFonts w:ascii="Cambria Math" w:hAnsi="Cambria Math" w:cstheme="minorHAnsi"/>
                <w:i/>
                <w:sz w:val="22"/>
                <w:szCs w:val="28"/>
              </w:rPr>
            </m:ctrlPr>
          </m:sSubPr>
          <m:e>
            <m:r>
              <w:rPr>
                <w:rFonts w:ascii="Cambria Math" w:hAnsi="Cambria Math" w:cstheme="minorHAnsi"/>
                <w:sz w:val="22"/>
                <w:szCs w:val="28"/>
              </w:rPr>
              <m:t>W</m:t>
            </m:r>
          </m:e>
          <m:sub>
            <m:r>
              <w:rPr>
                <w:rFonts w:ascii="Cambria Math" w:hAnsi="Cambria Math" w:cstheme="minorHAnsi"/>
                <w:sz w:val="22"/>
                <w:szCs w:val="28"/>
              </w:rPr>
              <m:t>p</m:t>
            </m:r>
          </m:sub>
        </m:sSub>
        <m:r>
          <w:rPr>
            <w:rFonts w:ascii="Cambria Math" w:hAnsi="Cambria Math" w:cstheme="minorHAnsi"/>
            <w:sz w:val="22"/>
            <w:szCs w:val="28"/>
            <w:lang w:val="en-US"/>
          </w:rPr>
          <m:t>=</m:t>
        </m:r>
        <m:r>
          <w:rPr>
            <w:rFonts w:ascii="Cambria Math" w:hAnsi="Cambria Math" w:cstheme="minorHAnsi"/>
            <w:sz w:val="22"/>
            <w:szCs w:val="28"/>
          </w:rPr>
          <m:t>C</m:t>
        </m:r>
        <m:sSub>
          <m:sSubPr>
            <m:ctrlPr>
              <w:rPr>
                <w:rFonts w:ascii="Cambria Math" w:hAnsi="Cambria Math" w:cstheme="minorHAnsi"/>
                <w:i/>
                <w:sz w:val="22"/>
                <w:szCs w:val="28"/>
              </w:rPr>
            </m:ctrlPr>
          </m:sSubPr>
          <m:e>
            <m:r>
              <w:rPr>
                <w:rFonts w:ascii="Cambria Math" w:hAnsi="Cambria Math" w:cstheme="minorHAnsi"/>
                <w:sz w:val="22"/>
                <w:szCs w:val="28"/>
              </w:rPr>
              <m:t>W</m:t>
            </m:r>
          </m:e>
          <m:sub>
            <m:func>
              <m:funcPr>
                <m:ctrlPr>
                  <w:rPr>
                    <w:rFonts w:ascii="Cambria Math" w:hAnsi="Cambria Math" w:cstheme="minorHAnsi"/>
                    <w:i/>
                    <w:sz w:val="22"/>
                    <w:szCs w:val="28"/>
                  </w:rPr>
                </m:ctrlPr>
              </m:funcPr>
              <m:fName>
                <m:r>
                  <w:rPr>
                    <w:rFonts w:ascii="Cambria Math" w:hAnsi="Cambria Math" w:cstheme="minorHAnsi"/>
                    <w:sz w:val="22"/>
                    <w:szCs w:val="28"/>
                  </w:rPr>
                  <m:t>min</m:t>
                </m:r>
                <m:r>
                  <w:rPr>
                    <w:rFonts w:ascii="Cambria Math" w:hAnsi="Cambria Math" w:cstheme="minorHAnsi"/>
                    <w:sz w:val="22"/>
                    <w:szCs w:val="28"/>
                    <w:lang w:val="en-US"/>
                  </w:rPr>
                  <m:t>,</m:t>
                </m:r>
              </m:fName>
              <m:e>
                <m:r>
                  <w:rPr>
                    <w:rFonts w:ascii="Cambria Math" w:hAnsi="Cambria Math" w:cstheme="minorHAnsi"/>
                    <w:sz w:val="22"/>
                    <w:szCs w:val="28"/>
                  </w:rPr>
                  <m:t>p</m:t>
                </m:r>
              </m:e>
            </m:func>
          </m:sub>
        </m:sSub>
      </m:oMath>
      <w:r w:rsidRPr="003E2F29">
        <w:rPr>
          <w:rFonts w:asciiTheme="minorHAnsi" w:hAnsiTheme="minorHAnsi" w:cstheme="minorHAnsi"/>
          <w:sz w:val="22"/>
          <w:szCs w:val="28"/>
        </w:rPr>
        <w:t xml:space="preserve"> is used.</w:t>
      </w:r>
    </w:p>
    <w:p w14:paraId="21463C3D" w14:textId="77777777" w:rsidR="006B6BD0" w:rsidRPr="006B6BD0" w:rsidRDefault="004B1D3C" w:rsidP="004B1D3C">
      <w:pPr>
        <w:pStyle w:val="ListParagraph"/>
        <w:numPr>
          <w:ilvl w:val="2"/>
          <w:numId w:val="18"/>
        </w:numPr>
        <w:autoSpaceDE w:val="0"/>
        <w:autoSpaceDN w:val="0"/>
        <w:ind w:leftChars="0"/>
        <w:jc w:val="both"/>
        <w:rPr>
          <w:rFonts w:ascii="Calibri" w:hAnsi="Calibri" w:cs="Calibri"/>
          <w:color w:val="FF0000"/>
          <w:sz w:val="22"/>
        </w:rPr>
      </w:pPr>
      <w:r w:rsidRPr="006B6BD0">
        <w:rPr>
          <w:rFonts w:ascii="Calibri" w:hAnsi="Calibri" w:cs="Calibri" w:hint="eastAsia"/>
          <w:color w:val="FF0000"/>
          <w:sz w:val="22"/>
          <w:lang w:val="en-AU"/>
        </w:rPr>
        <w:t xml:space="preserve">Option 2: </w:t>
      </w:r>
    </w:p>
    <w:p w14:paraId="1628F5EC" w14:textId="70D97A14" w:rsidR="006B6BD0" w:rsidRPr="006B6BD0" w:rsidRDefault="004B1D3C" w:rsidP="006B6BD0">
      <w:pPr>
        <w:pStyle w:val="ListParagraph"/>
        <w:numPr>
          <w:ilvl w:val="3"/>
          <w:numId w:val="18"/>
        </w:numPr>
        <w:autoSpaceDE w:val="0"/>
        <w:autoSpaceDN w:val="0"/>
        <w:ind w:leftChars="0"/>
        <w:jc w:val="both"/>
        <w:rPr>
          <w:rFonts w:ascii="Calibri" w:hAnsi="Calibri" w:cs="Calibri"/>
          <w:color w:val="FF0000"/>
          <w:sz w:val="22"/>
        </w:rPr>
      </w:pPr>
      <w:r w:rsidRPr="006B6BD0">
        <w:rPr>
          <w:rFonts w:ascii="Calibri" w:hAnsi="Calibri" w:cs="Calibri" w:hint="eastAsia"/>
          <w:color w:val="FF0000"/>
          <w:sz w:val="22"/>
          <w:lang w:val="en-AU"/>
        </w:rPr>
        <w:t xml:space="preserve">If </w:t>
      </w:r>
      <w:r w:rsidRPr="006B6BD0">
        <w:rPr>
          <w:rFonts w:ascii="Calibri" w:hAnsi="Calibri" w:cs="Calibri"/>
          <w:color w:val="FF0000"/>
          <w:sz w:val="22"/>
          <w:lang w:val="en-AU"/>
        </w:rPr>
        <w:t>‘</w:t>
      </w:r>
      <w:r w:rsidRPr="006B6BD0">
        <w:rPr>
          <w:rFonts w:ascii="Calibri" w:hAnsi="Calibri" w:cs="Calibri" w:hint="eastAsia"/>
          <w:color w:val="FF0000"/>
          <w:sz w:val="22"/>
          <w:lang w:val="en-AU"/>
        </w:rPr>
        <w:t>NACK</w:t>
      </w:r>
      <w:r w:rsidRPr="006B6BD0">
        <w:rPr>
          <w:rFonts w:ascii="Calibri" w:hAnsi="Calibri" w:cs="Calibri"/>
          <w:color w:val="FF0000"/>
          <w:sz w:val="22"/>
          <w:lang w:val="en-AU"/>
        </w:rPr>
        <w:t>’</w:t>
      </w:r>
      <w:r w:rsidRPr="006B6BD0">
        <w:rPr>
          <w:rFonts w:ascii="Calibri" w:hAnsi="Calibri" w:cs="Calibri" w:hint="eastAsia"/>
          <w:color w:val="FF0000"/>
          <w:sz w:val="22"/>
          <w:lang w:val="en-AU"/>
        </w:rPr>
        <w:t xml:space="preserve"> is received, </w:t>
      </w:r>
      <w:r w:rsidRPr="006B6BD0">
        <w:rPr>
          <w:rFonts w:ascii="Calibri" w:hAnsi="Calibri" w:cs="Calibri" w:hint="eastAsia"/>
          <w:color w:val="FF0000"/>
          <w:sz w:val="22"/>
        </w:rPr>
        <w:t xml:space="preserve">increase </w:t>
      </w:r>
      <m:oMath>
        <m:r>
          <w:rPr>
            <w:rFonts w:ascii="Cambria Math" w:hAnsi="Cambria Math" w:cs="Calibri"/>
            <w:color w:val="FF0000"/>
            <w:sz w:val="22"/>
          </w:rPr>
          <m:t>C</m:t>
        </m:r>
        <m:sSub>
          <m:sSubPr>
            <m:ctrlPr>
              <w:rPr>
                <w:rFonts w:ascii="Cambria Math" w:hAnsi="Cambria Math" w:cs="Calibri"/>
                <w:i/>
                <w:iCs/>
                <w:color w:val="FF0000"/>
                <w:sz w:val="22"/>
              </w:rPr>
            </m:ctrlPr>
          </m:sSubPr>
          <m:e>
            <m:r>
              <w:rPr>
                <w:rFonts w:ascii="Cambria Math" w:hAnsi="Cambria Math" w:cs="Calibri"/>
                <w:color w:val="FF0000"/>
                <w:sz w:val="22"/>
              </w:rPr>
              <m:t>W</m:t>
            </m:r>
          </m:e>
          <m:sub>
            <m:r>
              <w:rPr>
                <w:rFonts w:ascii="Cambria Math" w:hAnsi="Cambria Math" w:cs="Calibri"/>
                <w:color w:val="FF0000"/>
                <w:sz w:val="22"/>
              </w:rPr>
              <m:t>p</m:t>
            </m:r>
          </m:sub>
        </m:sSub>
      </m:oMath>
      <w:r w:rsidRPr="006B6BD0">
        <w:rPr>
          <w:rFonts w:ascii="Calibri" w:hAnsi="Calibri" w:cs="Calibri" w:hint="eastAsia"/>
          <w:color w:val="FF0000"/>
          <w:sz w:val="22"/>
        </w:rPr>
        <w:t xml:space="preserve"> for every priority class </w:t>
      </w:r>
      <m:oMath>
        <m:r>
          <w:rPr>
            <w:rFonts w:ascii="Cambria Math" w:hAnsi="Cambria Math" w:cs="Calibri"/>
            <w:color w:val="FF0000"/>
            <w:sz w:val="22"/>
          </w:rPr>
          <m:t>p∈</m:t>
        </m:r>
        <m:d>
          <m:dPr>
            <m:begChr m:val="{"/>
            <m:endChr m:val="}"/>
            <m:ctrlPr>
              <w:rPr>
                <w:rFonts w:ascii="Cambria Math" w:hAnsi="Cambria Math" w:cs="Calibri"/>
                <w:i/>
                <w:iCs/>
                <w:color w:val="FF0000"/>
                <w:sz w:val="22"/>
              </w:rPr>
            </m:ctrlPr>
          </m:dPr>
          <m:e>
            <m:r>
              <w:rPr>
                <w:rFonts w:ascii="Cambria Math" w:hAnsi="Cambria Math" w:cs="Calibri"/>
                <w:color w:val="FF0000"/>
                <w:sz w:val="22"/>
              </w:rPr>
              <m:t>1,2,3,4</m:t>
            </m:r>
          </m:e>
        </m:d>
      </m:oMath>
      <w:r w:rsidRPr="006B6BD0">
        <w:rPr>
          <w:rFonts w:ascii="Calibri" w:hAnsi="Calibri" w:cs="Calibri" w:hint="eastAsia"/>
          <w:color w:val="FF0000"/>
          <w:sz w:val="22"/>
        </w:rPr>
        <w:t xml:space="preserve"> to the next higher allowed value.</w:t>
      </w:r>
    </w:p>
    <w:p w14:paraId="07D9DABE" w14:textId="77777777" w:rsidR="006B6BD0" w:rsidRPr="006B6BD0" w:rsidRDefault="004B1D3C" w:rsidP="006B6BD0">
      <w:pPr>
        <w:pStyle w:val="ListParagraph"/>
        <w:numPr>
          <w:ilvl w:val="3"/>
          <w:numId w:val="18"/>
        </w:numPr>
        <w:autoSpaceDE w:val="0"/>
        <w:autoSpaceDN w:val="0"/>
        <w:ind w:leftChars="0"/>
        <w:jc w:val="both"/>
        <w:rPr>
          <w:rFonts w:ascii="Calibri" w:hAnsi="Calibri" w:cs="Calibri"/>
          <w:color w:val="FF0000"/>
          <w:sz w:val="22"/>
        </w:rPr>
      </w:pPr>
      <w:r w:rsidRPr="006B6BD0">
        <w:rPr>
          <w:rFonts w:ascii="Calibri" w:hAnsi="Calibri" w:cs="Calibri"/>
          <w:color w:val="FF0000"/>
          <w:sz w:val="22"/>
        </w:rPr>
        <w:t xml:space="preserve">When no ‘NACK’ is received, </w:t>
      </w:r>
    </w:p>
    <w:p w14:paraId="52DAFC98" w14:textId="174CE740" w:rsidR="004B1D3C" w:rsidRPr="006B6BD0" w:rsidRDefault="006B6BD0" w:rsidP="006B6BD0">
      <w:pPr>
        <w:pStyle w:val="ListParagraph"/>
        <w:numPr>
          <w:ilvl w:val="4"/>
          <w:numId w:val="18"/>
        </w:numPr>
        <w:autoSpaceDE w:val="0"/>
        <w:autoSpaceDN w:val="0"/>
        <w:ind w:leftChars="0"/>
        <w:jc w:val="both"/>
        <w:rPr>
          <w:rFonts w:ascii="Calibri" w:hAnsi="Calibri" w:cs="Calibri"/>
          <w:color w:val="FF0000"/>
          <w:sz w:val="22"/>
        </w:rPr>
      </w:pPr>
      <w:r w:rsidRPr="006B6BD0">
        <w:rPr>
          <w:rFonts w:ascii="Calibri" w:hAnsi="Calibri" w:cs="Calibri"/>
          <w:color w:val="FF0000"/>
          <w:sz w:val="22"/>
        </w:rPr>
        <w:t xml:space="preserve">Option </w:t>
      </w:r>
      <w:r w:rsidR="00794474">
        <w:rPr>
          <w:rFonts w:ascii="Calibri" w:hAnsi="Calibri" w:cs="Calibri"/>
          <w:color w:val="FF0000"/>
          <w:sz w:val="22"/>
        </w:rPr>
        <w:t>A</w:t>
      </w:r>
      <w:r w:rsidRPr="006B6BD0">
        <w:rPr>
          <w:rFonts w:ascii="Calibri" w:hAnsi="Calibri" w:cs="Calibri"/>
          <w:color w:val="FF0000"/>
          <w:sz w:val="22"/>
        </w:rPr>
        <w:t xml:space="preserve">: </w:t>
      </w:r>
      <m:oMath>
        <m:r>
          <w:rPr>
            <w:rFonts w:ascii="Cambria Math" w:hAnsi="Cambria Math" w:cs="Calibri"/>
            <w:color w:val="FF0000"/>
            <w:sz w:val="22"/>
          </w:rPr>
          <m:t>C</m:t>
        </m:r>
        <m:sSub>
          <m:sSubPr>
            <m:ctrlPr>
              <w:rPr>
                <w:rFonts w:ascii="Cambria Math" w:hAnsi="Cambria Math" w:cs="Calibri"/>
                <w:i/>
                <w:iCs/>
                <w:color w:val="FF0000"/>
                <w:sz w:val="22"/>
              </w:rPr>
            </m:ctrlPr>
          </m:sSubPr>
          <m:e>
            <m:r>
              <w:rPr>
                <w:rFonts w:ascii="Cambria Math" w:hAnsi="Cambria Math" w:cs="Calibri"/>
                <w:color w:val="FF0000"/>
                <w:sz w:val="22"/>
              </w:rPr>
              <m:t>W</m:t>
            </m:r>
          </m:e>
          <m:sub>
            <m:r>
              <w:rPr>
                <w:rFonts w:ascii="Cambria Math" w:hAnsi="Cambria Math" w:cs="Calibri"/>
                <w:color w:val="FF0000"/>
                <w:sz w:val="22"/>
              </w:rPr>
              <m:t>p</m:t>
            </m:r>
          </m:sub>
        </m:sSub>
      </m:oMath>
      <w:r w:rsidR="004B1D3C" w:rsidRPr="006B6BD0">
        <w:rPr>
          <w:rFonts w:asciiTheme="minorHAnsi" w:hAnsiTheme="minorHAnsi" w:cstheme="minorHAnsi"/>
          <w:color w:val="FF0000"/>
          <w:sz w:val="22"/>
          <w:szCs w:val="28"/>
        </w:rPr>
        <w:t xml:space="preserve"> is reset to </w:t>
      </w:r>
      <m:oMath>
        <m:r>
          <w:rPr>
            <w:rFonts w:ascii="Cambria Math" w:hAnsi="Cambria Math"/>
            <w:color w:val="FF0000"/>
          </w:rPr>
          <m:t>C</m:t>
        </m:r>
        <m:sSub>
          <m:sSubPr>
            <m:ctrlPr>
              <w:rPr>
                <w:rFonts w:ascii="Cambria Math" w:hAnsi="Cambria Math"/>
                <w:i/>
                <w:color w:val="FF0000"/>
              </w:rPr>
            </m:ctrlPr>
          </m:sSubPr>
          <m:e>
            <m:r>
              <w:rPr>
                <w:rFonts w:ascii="Cambria Math" w:hAnsi="Cambria Math"/>
                <w:color w:val="FF0000"/>
              </w:rPr>
              <m:t>W</m:t>
            </m:r>
          </m:e>
          <m:sub>
            <m:func>
              <m:funcPr>
                <m:ctrlPr>
                  <w:rPr>
                    <w:rFonts w:ascii="Cambria Math" w:hAnsi="Cambria Math"/>
                    <w:i/>
                    <w:color w:val="FF0000"/>
                  </w:rPr>
                </m:ctrlPr>
              </m:funcPr>
              <m:fName>
                <m:r>
                  <w:rPr>
                    <w:rFonts w:ascii="Cambria Math" w:hAnsi="Cambria Math"/>
                    <w:color w:val="FF0000"/>
                  </w:rPr>
                  <m:t>min</m:t>
                </m:r>
                <m:r>
                  <w:rPr>
                    <w:rFonts w:ascii="Cambria Math" w:hAnsi="Cambria Math"/>
                    <w:color w:val="FF0000"/>
                    <w:lang w:val="en-US"/>
                  </w:rPr>
                  <m:t>,</m:t>
                </m:r>
              </m:fName>
              <m:e>
                <m:r>
                  <w:rPr>
                    <w:rFonts w:ascii="Cambria Math" w:hAnsi="Cambria Math"/>
                    <w:color w:val="FF0000"/>
                  </w:rPr>
                  <m:t>p</m:t>
                </m:r>
              </m:e>
            </m:func>
          </m:sub>
        </m:sSub>
      </m:oMath>
      <w:r w:rsidR="004B1D3C" w:rsidRPr="006B6BD0">
        <w:rPr>
          <w:rFonts w:asciiTheme="minorHAnsi" w:hAnsiTheme="minorHAnsi" w:cstheme="minorHAnsi"/>
          <w:color w:val="FF0000"/>
        </w:rPr>
        <w:t xml:space="preserve"> </w:t>
      </w:r>
      <w:r w:rsidR="004B1D3C" w:rsidRPr="006B6BD0">
        <w:rPr>
          <w:rFonts w:asciiTheme="minorHAnsi" w:hAnsiTheme="minorHAnsi" w:cstheme="minorHAnsi"/>
          <w:color w:val="FF0000"/>
          <w:sz w:val="22"/>
          <w:szCs w:val="22"/>
          <w:lang w:val="en-US"/>
        </w:rPr>
        <w:t xml:space="preserve">for every priority class </w:t>
      </w:r>
      <m:oMath>
        <m:r>
          <w:rPr>
            <w:rFonts w:ascii="Cambria Math" w:hAnsi="Cambria Math" w:cstheme="minorHAnsi"/>
            <w:color w:val="FF0000"/>
            <w:sz w:val="22"/>
            <w:szCs w:val="22"/>
          </w:rPr>
          <m:t>p∈</m:t>
        </m:r>
        <m:d>
          <m:dPr>
            <m:begChr m:val="{"/>
            <m:endChr m:val="}"/>
            <m:ctrlPr>
              <w:rPr>
                <w:rFonts w:ascii="Cambria Math" w:hAnsi="Cambria Math" w:cstheme="minorHAnsi"/>
                <w:i/>
                <w:color w:val="FF0000"/>
                <w:sz w:val="22"/>
                <w:szCs w:val="22"/>
              </w:rPr>
            </m:ctrlPr>
          </m:dPr>
          <m:e>
            <m:r>
              <w:rPr>
                <w:rFonts w:ascii="Cambria Math" w:hAnsi="Cambria Math" w:cstheme="minorHAnsi"/>
                <w:color w:val="FF0000"/>
                <w:sz w:val="22"/>
                <w:szCs w:val="22"/>
              </w:rPr>
              <m:t>1,2,3,4</m:t>
            </m:r>
          </m:e>
        </m:d>
      </m:oMath>
      <w:r w:rsidRPr="006B6BD0">
        <w:rPr>
          <w:rFonts w:ascii="Calibri" w:hAnsi="Calibri" w:cs="Calibri"/>
          <w:color w:val="FF0000"/>
          <w:sz w:val="22"/>
        </w:rPr>
        <w:t>.</w:t>
      </w:r>
    </w:p>
    <w:p w14:paraId="6DB086B9" w14:textId="2E7737BB" w:rsidR="006B6BD0" w:rsidRPr="006B6BD0" w:rsidRDefault="006B6BD0" w:rsidP="006B6BD0">
      <w:pPr>
        <w:pStyle w:val="ListParagraph"/>
        <w:numPr>
          <w:ilvl w:val="4"/>
          <w:numId w:val="18"/>
        </w:numPr>
        <w:autoSpaceDE w:val="0"/>
        <w:autoSpaceDN w:val="0"/>
        <w:ind w:leftChars="0"/>
        <w:jc w:val="both"/>
        <w:rPr>
          <w:rFonts w:ascii="Calibri" w:hAnsi="Calibri" w:cs="Calibri"/>
          <w:color w:val="FF0000"/>
          <w:sz w:val="22"/>
        </w:rPr>
      </w:pPr>
      <w:r w:rsidRPr="006B6BD0">
        <w:rPr>
          <w:rFonts w:ascii="Calibri" w:hAnsi="Calibri" w:cs="Calibri"/>
          <w:color w:val="FF0000"/>
          <w:sz w:val="22"/>
        </w:rPr>
        <w:t xml:space="preserve">Option </w:t>
      </w:r>
      <w:r w:rsidR="00794474">
        <w:rPr>
          <w:rFonts w:ascii="Calibri" w:hAnsi="Calibri" w:cs="Calibri"/>
          <w:color w:val="FF0000"/>
          <w:sz w:val="22"/>
        </w:rPr>
        <w:t>B</w:t>
      </w:r>
      <w:r w:rsidRPr="006B6BD0">
        <w:rPr>
          <w:rFonts w:ascii="Calibri" w:hAnsi="Calibri" w:cs="Calibri"/>
          <w:color w:val="FF0000"/>
          <w:sz w:val="22"/>
        </w:rPr>
        <w:t xml:space="preserve">: </w:t>
      </w:r>
      <w:r w:rsidRPr="006B6BD0">
        <w:rPr>
          <w:rFonts w:ascii="Calibri" w:hAnsi="Calibri" w:cs="Calibri" w:hint="eastAsia"/>
          <w:color w:val="FF0000"/>
          <w:sz w:val="22"/>
          <w:lang w:val="en-AU"/>
        </w:rPr>
        <w:t xml:space="preserve">For every priority class </w:t>
      </w:r>
      <m:oMath>
        <m:r>
          <w:rPr>
            <w:rFonts w:ascii="Cambria Math" w:hAnsi="Cambria Math" w:cs="Calibri"/>
            <w:color w:val="FF0000"/>
            <w:sz w:val="22"/>
          </w:rPr>
          <m:t>p∈</m:t>
        </m:r>
        <m:d>
          <m:dPr>
            <m:begChr m:val="{"/>
            <m:endChr m:val="}"/>
            <m:ctrlPr>
              <w:rPr>
                <w:rFonts w:ascii="Cambria Math" w:hAnsi="Cambria Math" w:cs="Calibri"/>
                <w:i/>
                <w:iCs/>
                <w:color w:val="FF0000"/>
                <w:sz w:val="22"/>
              </w:rPr>
            </m:ctrlPr>
          </m:dPr>
          <m:e>
            <m:r>
              <w:rPr>
                <w:rFonts w:ascii="Cambria Math" w:hAnsi="Cambria Math" w:cs="Calibri"/>
                <w:color w:val="FF0000"/>
                <w:sz w:val="22"/>
              </w:rPr>
              <m:t>1,2,3,4</m:t>
            </m:r>
          </m:e>
        </m:d>
      </m:oMath>
      <w:r w:rsidRPr="006B6BD0">
        <w:rPr>
          <w:rFonts w:ascii="Calibri" w:hAnsi="Calibri" w:cs="Calibri" w:hint="eastAsia"/>
          <w:color w:val="FF0000"/>
          <w:sz w:val="22"/>
          <w:lang w:val="en-AU"/>
        </w:rPr>
        <w:t>,</w:t>
      </w:r>
      <w:r w:rsidRPr="006B6BD0">
        <w:rPr>
          <w:rFonts w:ascii="Calibri" w:hAnsi="Calibri" w:cs="Calibri"/>
          <w:i/>
          <w:iCs/>
          <w:color w:val="FF0000"/>
          <w:sz w:val="22"/>
        </w:rPr>
        <w:t xml:space="preserve"> </w:t>
      </w:r>
      <w:r w:rsidRPr="006B6BD0">
        <w:rPr>
          <w:rFonts w:ascii="Calibri" w:hAnsi="Calibri" w:cs="Calibri"/>
          <w:color w:val="FF0000"/>
          <w:sz w:val="22"/>
        </w:rPr>
        <w:t>use the latest</w:t>
      </w:r>
      <w:r w:rsidRPr="006B6BD0">
        <w:rPr>
          <w:rFonts w:ascii="Calibri" w:hAnsi="Calibri" w:cs="Calibri" w:hint="eastAsia"/>
          <w:color w:val="FF0000"/>
          <w:sz w:val="22"/>
        </w:rPr>
        <w:t xml:space="preserve"> </w:t>
      </w:r>
      <m:oMath>
        <m:r>
          <w:rPr>
            <w:rFonts w:ascii="Cambria Math" w:hAnsi="Cambria Math" w:cs="Calibri"/>
            <w:color w:val="FF0000"/>
            <w:sz w:val="22"/>
          </w:rPr>
          <m:t>C</m:t>
        </m:r>
        <m:sSub>
          <m:sSubPr>
            <m:ctrlPr>
              <w:rPr>
                <w:rFonts w:ascii="Cambria Math" w:hAnsi="Cambria Math" w:cs="Calibri"/>
                <w:i/>
                <w:iCs/>
                <w:color w:val="FF0000"/>
                <w:sz w:val="22"/>
              </w:rPr>
            </m:ctrlPr>
          </m:sSubPr>
          <m:e>
            <m:r>
              <w:rPr>
                <w:rFonts w:ascii="Cambria Math" w:hAnsi="Cambria Math" w:cs="Calibri"/>
                <w:color w:val="FF0000"/>
                <w:sz w:val="22"/>
              </w:rPr>
              <m:t>W</m:t>
            </m:r>
          </m:e>
          <m:sub>
            <m:r>
              <w:rPr>
                <w:rFonts w:ascii="Cambria Math" w:hAnsi="Cambria Math" w:cs="Calibri"/>
                <w:color w:val="FF0000"/>
                <w:sz w:val="22"/>
              </w:rPr>
              <m:t>p</m:t>
            </m:r>
          </m:sub>
        </m:sSub>
      </m:oMath>
      <w:r w:rsidRPr="006B6BD0">
        <w:rPr>
          <w:rFonts w:ascii="Calibri" w:hAnsi="Calibri" w:cs="Calibri" w:hint="eastAsia"/>
          <w:color w:val="FF0000"/>
          <w:sz w:val="22"/>
        </w:rPr>
        <w:t xml:space="preserve"> </w:t>
      </w:r>
      <w:r w:rsidRPr="006B6BD0">
        <w:rPr>
          <w:rFonts w:ascii="Calibri" w:hAnsi="Calibri" w:cs="Calibri"/>
          <w:color w:val="FF0000"/>
          <w:sz w:val="22"/>
        </w:rPr>
        <w:t xml:space="preserve">used for any SL transmissions on the channel using Type 1 channel access procedures associated with the channel access priority class </w:t>
      </w:r>
      <m:oMath>
        <m:r>
          <w:rPr>
            <w:rFonts w:ascii="Cambria Math" w:hAnsi="Cambria Math" w:cs="Calibri"/>
            <w:color w:val="FF0000"/>
            <w:sz w:val="22"/>
          </w:rPr>
          <m:t>p</m:t>
        </m:r>
      </m:oMath>
      <w:r w:rsidRPr="00794474">
        <w:rPr>
          <w:rFonts w:ascii="Calibri" w:hAnsi="Calibri" w:cs="Calibri" w:hint="eastAsia"/>
          <w:color w:val="FF0000"/>
          <w:sz w:val="22"/>
        </w:rPr>
        <w:t>.</w:t>
      </w:r>
      <w:r w:rsidR="00794474" w:rsidRPr="00794474">
        <w:rPr>
          <w:rFonts w:asciiTheme="minorHAnsi" w:hAnsiTheme="minorHAnsi" w:cstheme="minorHAnsi"/>
          <w:color w:val="FF0000"/>
          <w:sz w:val="22"/>
          <w:szCs w:val="28"/>
        </w:rPr>
        <w:t xml:space="preserve"> If the corresponding channel access priority class </w:t>
      </w:r>
      <m:oMath>
        <m:r>
          <w:rPr>
            <w:rFonts w:ascii="Cambria Math" w:hAnsi="Cambria Math" w:cstheme="minorHAnsi"/>
            <w:color w:val="FF0000"/>
            <w:sz w:val="22"/>
            <w:szCs w:val="28"/>
          </w:rPr>
          <m:t>p</m:t>
        </m:r>
      </m:oMath>
      <w:r w:rsidR="00794474" w:rsidRPr="00794474">
        <w:rPr>
          <w:rFonts w:asciiTheme="minorHAnsi" w:hAnsiTheme="minorHAnsi" w:cstheme="minorHAnsi"/>
          <w:color w:val="FF0000"/>
          <w:sz w:val="22"/>
          <w:szCs w:val="28"/>
        </w:rPr>
        <w:t xml:space="preserve">  has not been used for any SL transmissions on the channel, </w:t>
      </w:r>
      <m:oMath>
        <m:r>
          <w:rPr>
            <w:rFonts w:ascii="Cambria Math" w:hAnsi="Cambria Math" w:cstheme="minorHAnsi"/>
            <w:color w:val="FF0000"/>
            <w:sz w:val="22"/>
            <w:szCs w:val="28"/>
          </w:rPr>
          <m:t>C</m:t>
        </m:r>
        <m:sSub>
          <m:sSubPr>
            <m:ctrlPr>
              <w:rPr>
                <w:rFonts w:ascii="Cambria Math" w:hAnsi="Cambria Math" w:cstheme="minorHAnsi"/>
                <w:i/>
                <w:color w:val="FF0000"/>
                <w:sz w:val="22"/>
                <w:szCs w:val="28"/>
              </w:rPr>
            </m:ctrlPr>
          </m:sSubPr>
          <m:e>
            <m:r>
              <w:rPr>
                <w:rFonts w:ascii="Cambria Math" w:hAnsi="Cambria Math" w:cstheme="minorHAnsi"/>
                <w:color w:val="FF0000"/>
                <w:sz w:val="22"/>
                <w:szCs w:val="28"/>
              </w:rPr>
              <m:t>W</m:t>
            </m:r>
          </m:e>
          <m:sub>
            <m:r>
              <w:rPr>
                <w:rFonts w:ascii="Cambria Math" w:hAnsi="Cambria Math" w:cstheme="minorHAnsi"/>
                <w:color w:val="FF0000"/>
                <w:sz w:val="22"/>
                <w:szCs w:val="28"/>
              </w:rPr>
              <m:t>p</m:t>
            </m:r>
          </m:sub>
        </m:sSub>
        <m:r>
          <w:rPr>
            <w:rFonts w:ascii="Cambria Math" w:hAnsi="Cambria Math" w:cstheme="minorHAnsi"/>
            <w:color w:val="FF0000"/>
            <w:sz w:val="22"/>
            <w:szCs w:val="28"/>
            <w:lang w:val="en-US"/>
          </w:rPr>
          <m:t>=</m:t>
        </m:r>
        <m:r>
          <w:rPr>
            <w:rFonts w:ascii="Cambria Math" w:hAnsi="Cambria Math" w:cstheme="minorHAnsi"/>
            <w:color w:val="FF0000"/>
            <w:sz w:val="22"/>
            <w:szCs w:val="28"/>
          </w:rPr>
          <m:t>C</m:t>
        </m:r>
        <m:sSub>
          <m:sSubPr>
            <m:ctrlPr>
              <w:rPr>
                <w:rFonts w:ascii="Cambria Math" w:hAnsi="Cambria Math" w:cstheme="minorHAnsi"/>
                <w:i/>
                <w:color w:val="FF0000"/>
                <w:sz w:val="22"/>
                <w:szCs w:val="28"/>
              </w:rPr>
            </m:ctrlPr>
          </m:sSubPr>
          <m:e>
            <m:r>
              <w:rPr>
                <w:rFonts w:ascii="Cambria Math" w:hAnsi="Cambria Math" w:cstheme="minorHAnsi"/>
                <w:color w:val="FF0000"/>
                <w:sz w:val="22"/>
                <w:szCs w:val="28"/>
              </w:rPr>
              <m:t>W</m:t>
            </m:r>
          </m:e>
          <m:sub>
            <m:func>
              <m:funcPr>
                <m:ctrlPr>
                  <w:rPr>
                    <w:rFonts w:ascii="Cambria Math" w:hAnsi="Cambria Math" w:cstheme="minorHAnsi"/>
                    <w:i/>
                    <w:color w:val="FF0000"/>
                    <w:sz w:val="22"/>
                    <w:szCs w:val="28"/>
                  </w:rPr>
                </m:ctrlPr>
              </m:funcPr>
              <m:fName>
                <m:r>
                  <w:rPr>
                    <w:rFonts w:ascii="Cambria Math" w:hAnsi="Cambria Math" w:cstheme="minorHAnsi"/>
                    <w:color w:val="FF0000"/>
                    <w:sz w:val="22"/>
                    <w:szCs w:val="28"/>
                  </w:rPr>
                  <m:t>min</m:t>
                </m:r>
                <m:r>
                  <w:rPr>
                    <w:rFonts w:ascii="Cambria Math" w:hAnsi="Cambria Math" w:cstheme="minorHAnsi"/>
                    <w:color w:val="FF0000"/>
                    <w:sz w:val="22"/>
                    <w:szCs w:val="28"/>
                    <w:lang w:val="en-US"/>
                  </w:rPr>
                  <m:t>,</m:t>
                </m:r>
              </m:fName>
              <m:e>
                <m:r>
                  <w:rPr>
                    <w:rFonts w:ascii="Cambria Math" w:hAnsi="Cambria Math" w:cstheme="minorHAnsi"/>
                    <w:color w:val="FF0000"/>
                    <w:sz w:val="22"/>
                    <w:szCs w:val="28"/>
                  </w:rPr>
                  <m:t>p</m:t>
                </m:r>
              </m:e>
            </m:func>
          </m:sub>
        </m:sSub>
      </m:oMath>
      <w:r w:rsidR="00794474" w:rsidRPr="00794474">
        <w:rPr>
          <w:rFonts w:asciiTheme="minorHAnsi" w:hAnsiTheme="minorHAnsi" w:cstheme="minorHAnsi"/>
          <w:color w:val="FF0000"/>
          <w:sz w:val="22"/>
          <w:szCs w:val="28"/>
        </w:rPr>
        <w:t xml:space="preserve"> is used.</w:t>
      </w:r>
    </w:p>
    <w:p w14:paraId="1667C43B" w14:textId="2CA158D6" w:rsidR="005179EF" w:rsidRDefault="003278B9" w:rsidP="005179EF">
      <w:pPr>
        <w:pStyle w:val="ListParagraph"/>
        <w:numPr>
          <w:ilvl w:val="2"/>
          <w:numId w:val="18"/>
        </w:numPr>
        <w:autoSpaceDE w:val="0"/>
        <w:autoSpaceDN w:val="0"/>
        <w:ind w:leftChars="0"/>
        <w:jc w:val="both"/>
        <w:rPr>
          <w:rFonts w:ascii="Calibri" w:hAnsi="Calibri" w:cs="Calibri"/>
          <w:color w:val="FF0000"/>
          <w:sz w:val="22"/>
        </w:rPr>
      </w:pPr>
      <w:r w:rsidRPr="005179EF">
        <w:rPr>
          <w:rFonts w:asciiTheme="minorHAnsi" w:eastAsia="SimSun" w:hAnsiTheme="minorHAnsi" w:cstheme="minorHAnsi"/>
          <w:color w:val="FF0000"/>
          <w:sz w:val="22"/>
          <w:szCs w:val="22"/>
          <w:lang w:val="en-US"/>
        </w:rPr>
        <w:t xml:space="preserve">Option 3: An ACK-only procedure is used instead of a NACK-only procedure. In this case, </w:t>
      </w:r>
      <w:r w:rsidRPr="005179EF">
        <w:rPr>
          <w:rFonts w:ascii="Calibri" w:hAnsi="Calibri" w:cs="Calibri"/>
          <w:color w:val="FF0000"/>
          <w:sz w:val="22"/>
        </w:rPr>
        <w:t xml:space="preserve">if at least a ‘ACK’ is received then </w:t>
      </w:r>
      <m:oMath>
        <m:r>
          <w:rPr>
            <w:rFonts w:ascii="Cambria Math" w:hAnsi="Cambria Math" w:cs="Calibri"/>
            <w:color w:val="FF0000"/>
            <w:sz w:val="22"/>
          </w:rPr>
          <m:t>C</m:t>
        </m:r>
        <m:sSub>
          <m:sSubPr>
            <m:ctrlPr>
              <w:rPr>
                <w:rFonts w:ascii="Cambria Math" w:hAnsi="Cambria Math" w:cs="Calibri"/>
                <w:color w:val="FF0000"/>
                <w:sz w:val="22"/>
              </w:rPr>
            </m:ctrlPr>
          </m:sSubPr>
          <m:e>
            <m:r>
              <w:rPr>
                <w:rFonts w:ascii="Cambria Math" w:hAnsi="Cambria Math" w:cs="Calibri"/>
                <w:color w:val="FF0000"/>
                <w:sz w:val="22"/>
              </w:rPr>
              <m:t>W</m:t>
            </m:r>
          </m:e>
          <m:sub>
            <m:r>
              <w:rPr>
                <w:rFonts w:ascii="Cambria Math" w:hAnsi="Cambria Math" w:cs="Calibri"/>
                <w:color w:val="FF0000"/>
                <w:sz w:val="22"/>
              </w:rPr>
              <m:t>p</m:t>
            </m:r>
          </m:sub>
        </m:sSub>
        <m:r>
          <m:rPr>
            <m:sty m:val="p"/>
          </m:rPr>
          <w:rPr>
            <w:rFonts w:ascii="Cambria Math" w:hAnsi="Cambria Math" w:cs="Calibri"/>
            <w:color w:val="FF0000"/>
            <w:sz w:val="22"/>
          </w:rPr>
          <m:t>=</m:t>
        </m:r>
        <m:r>
          <w:rPr>
            <w:rFonts w:ascii="Cambria Math" w:hAnsi="Cambria Math" w:cs="Calibri"/>
            <w:color w:val="FF0000"/>
            <w:sz w:val="22"/>
          </w:rPr>
          <m:t>C</m:t>
        </m:r>
        <m:sSub>
          <m:sSubPr>
            <m:ctrlPr>
              <w:rPr>
                <w:rFonts w:ascii="Cambria Math" w:hAnsi="Cambria Math" w:cs="Calibri"/>
                <w:color w:val="FF0000"/>
                <w:sz w:val="22"/>
              </w:rPr>
            </m:ctrlPr>
          </m:sSubPr>
          <m:e>
            <m:r>
              <w:rPr>
                <w:rFonts w:ascii="Cambria Math" w:hAnsi="Cambria Math" w:cs="Calibri"/>
                <w:color w:val="FF0000"/>
                <w:sz w:val="22"/>
              </w:rPr>
              <m:t>W</m:t>
            </m:r>
          </m:e>
          <m:sub>
            <m:func>
              <m:funcPr>
                <m:ctrlPr>
                  <w:rPr>
                    <w:rFonts w:ascii="Cambria Math" w:hAnsi="Cambria Math" w:cs="Calibri"/>
                    <w:color w:val="FF0000"/>
                    <w:sz w:val="22"/>
                  </w:rPr>
                </m:ctrlPr>
              </m:funcPr>
              <m:fName>
                <m:r>
                  <w:rPr>
                    <w:rFonts w:ascii="Cambria Math" w:hAnsi="Cambria Math" w:cs="Calibri"/>
                    <w:color w:val="FF0000"/>
                    <w:sz w:val="22"/>
                  </w:rPr>
                  <m:t>min</m:t>
                </m:r>
                <m:r>
                  <m:rPr>
                    <m:sty m:val="p"/>
                  </m:rPr>
                  <w:rPr>
                    <w:rFonts w:ascii="Cambria Math" w:hAnsi="Cambria Math" w:cs="Calibri"/>
                    <w:color w:val="FF0000"/>
                    <w:sz w:val="22"/>
                  </w:rPr>
                  <m:t>,</m:t>
                </m:r>
              </m:fName>
              <m:e>
                <m:r>
                  <w:rPr>
                    <w:rFonts w:ascii="Cambria Math" w:hAnsi="Cambria Math" w:cs="Calibri"/>
                    <w:color w:val="FF0000"/>
                    <w:sz w:val="22"/>
                  </w:rPr>
                  <m:t>p</m:t>
                </m:r>
              </m:e>
            </m:func>
          </m:sub>
        </m:sSub>
      </m:oMath>
      <w:r w:rsidRPr="005179EF">
        <w:rPr>
          <w:rFonts w:ascii="Calibri" w:hAnsi="Calibri" w:cs="Calibri"/>
          <w:color w:val="FF0000"/>
          <w:sz w:val="22"/>
        </w:rPr>
        <w:t xml:space="preserve">, otherwise </w:t>
      </w:r>
      <m:oMath>
        <m:r>
          <w:rPr>
            <w:rFonts w:ascii="Cambria Math" w:hAnsi="Cambria Math" w:cs="Calibri"/>
            <w:color w:val="FF0000"/>
            <w:sz w:val="22"/>
          </w:rPr>
          <m:t>C</m:t>
        </m:r>
        <m:sSub>
          <m:sSubPr>
            <m:ctrlPr>
              <w:rPr>
                <w:rFonts w:ascii="Cambria Math" w:hAnsi="Cambria Math" w:cs="Calibri"/>
                <w:color w:val="FF0000"/>
                <w:sz w:val="22"/>
              </w:rPr>
            </m:ctrlPr>
          </m:sSubPr>
          <m:e>
            <m:r>
              <w:rPr>
                <w:rFonts w:ascii="Cambria Math" w:hAnsi="Cambria Math" w:cs="Calibri"/>
                <w:color w:val="FF0000"/>
                <w:sz w:val="22"/>
              </w:rPr>
              <m:t>W</m:t>
            </m:r>
          </m:e>
          <m:sub>
            <m:r>
              <w:rPr>
                <w:rFonts w:ascii="Cambria Math" w:hAnsi="Cambria Math" w:cs="Calibri"/>
                <w:color w:val="FF0000"/>
                <w:sz w:val="22"/>
              </w:rPr>
              <m:t>p</m:t>
            </m:r>
          </m:sub>
        </m:sSub>
        <m:r>
          <m:rPr>
            <m:sty m:val="p"/>
          </m:rPr>
          <w:rPr>
            <w:rFonts w:ascii="Cambria Math" w:hAnsi="Cambria Math" w:cs="Calibri"/>
            <w:color w:val="FF0000"/>
            <w:sz w:val="22"/>
          </w:rPr>
          <m:t> </m:t>
        </m:r>
      </m:oMath>
      <w:r w:rsidRPr="005179EF">
        <w:rPr>
          <w:rFonts w:ascii="Calibri" w:hAnsi="Calibri" w:cs="Calibri"/>
          <w:color w:val="FF0000"/>
          <w:sz w:val="22"/>
        </w:rPr>
        <w:t>is increased</w:t>
      </w:r>
    </w:p>
    <w:p w14:paraId="44D9C41D" w14:textId="48FBB722" w:rsidR="00873ADE" w:rsidRPr="005179EF" w:rsidRDefault="00873ADE" w:rsidP="005179EF">
      <w:pPr>
        <w:pStyle w:val="ListParagraph"/>
        <w:numPr>
          <w:ilvl w:val="2"/>
          <w:numId w:val="18"/>
        </w:numPr>
        <w:autoSpaceDE w:val="0"/>
        <w:autoSpaceDN w:val="0"/>
        <w:ind w:leftChars="0"/>
        <w:jc w:val="both"/>
        <w:rPr>
          <w:rFonts w:ascii="Calibri" w:hAnsi="Calibri" w:cs="Calibri"/>
          <w:color w:val="FF0000"/>
          <w:sz w:val="22"/>
        </w:rPr>
      </w:pPr>
      <w:r>
        <w:rPr>
          <w:rFonts w:ascii="Calibri" w:hAnsi="Calibri" w:cs="Calibri"/>
          <w:color w:val="FF0000"/>
          <w:sz w:val="22"/>
        </w:rPr>
        <w:t>Option 4: CW is adjustment according to CR/CBR measurement.</w:t>
      </w:r>
    </w:p>
    <w:p w14:paraId="41EE9227" w14:textId="026F06BD" w:rsidR="005179EF" w:rsidRPr="005179EF" w:rsidRDefault="005179EF" w:rsidP="004B1D3C">
      <w:pPr>
        <w:pStyle w:val="ListParagraph"/>
        <w:numPr>
          <w:ilvl w:val="1"/>
          <w:numId w:val="18"/>
        </w:numPr>
        <w:autoSpaceDE w:val="0"/>
        <w:autoSpaceDN w:val="0"/>
        <w:ind w:leftChars="0"/>
        <w:jc w:val="both"/>
        <w:rPr>
          <w:rFonts w:ascii="Calibri" w:hAnsi="Calibri" w:cs="Calibri"/>
          <w:color w:val="FF0000"/>
          <w:sz w:val="22"/>
        </w:rPr>
      </w:pPr>
      <w:r w:rsidRPr="005179EF">
        <w:rPr>
          <w:rFonts w:ascii="Calibri" w:hAnsi="Calibri" w:cs="Calibri"/>
          <w:color w:val="FF0000"/>
          <w:sz w:val="22"/>
        </w:rPr>
        <w:t>CW adjustment for unicast:</w:t>
      </w:r>
    </w:p>
    <w:p w14:paraId="78623DF3" w14:textId="281D2A24" w:rsidR="005179EF" w:rsidRDefault="00EA768E" w:rsidP="005179EF">
      <w:pPr>
        <w:pStyle w:val="ListParagraph"/>
        <w:numPr>
          <w:ilvl w:val="2"/>
          <w:numId w:val="18"/>
        </w:numPr>
        <w:autoSpaceDE w:val="0"/>
        <w:autoSpaceDN w:val="0"/>
        <w:ind w:leftChars="0"/>
        <w:jc w:val="both"/>
        <w:rPr>
          <w:rFonts w:ascii="Calibri" w:hAnsi="Calibri" w:cs="Calibri"/>
          <w:color w:val="FF0000"/>
          <w:sz w:val="22"/>
        </w:rPr>
      </w:pPr>
      <w:r>
        <w:rPr>
          <w:rFonts w:ascii="Calibri" w:hAnsi="Calibri" w:cs="Calibri"/>
          <w:color w:val="FF0000"/>
          <w:sz w:val="22"/>
          <w:lang w:val="en-AU"/>
        </w:rPr>
        <w:lastRenderedPageBreak/>
        <w:t xml:space="preserve">Option 1: </w:t>
      </w:r>
      <w:r w:rsidR="005179EF" w:rsidRPr="005179EF">
        <w:rPr>
          <w:rFonts w:ascii="Calibri" w:hAnsi="Calibri" w:cs="Calibri" w:hint="eastAsia"/>
          <w:color w:val="FF0000"/>
          <w:sz w:val="22"/>
          <w:lang w:val="en-AU"/>
        </w:rPr>
        <w:t>When a</w:t>
      </w:r>
      <w:r w:rsidR="005179EF" w:rsidRPr="005179EF">
        <w:rPr>
          <w:rFonts w:ascii="Calibri" w:hAnsi="Calibri" w:cs="Calibri"/>
          <w:color w:val="FF0000"/>
          <w:sz w:val="22"/>
          <w:lang w:val="en-AU"/>
        </w:rPr>
        <w:t>t least one</w:t>
      </w:r>
      <w:r w:rsidR="005179EF" w:rsidRPr="005179EF">
        <w:rPr>
          <w:rFonts w:ascii="Calibri" w:hAnsi="Calibri" w:cs="Calibri" w:hint="eastAsia"/>
          <w:color w:val="FF0000"/>
          <w:sz w:val="22"/>
          <w:lang w:val="en-AU"/>
        </w:rPr>
        <w:t xml:space="preserve"> SL HARQ-ACK </w:t>
      </w:r>
      <w:r w:rsidR="005179EF" w:rsidRPr="005179EF">
        <w:rPr>
          <w:rFonts w:ascii="Calibri" w:hAnsi="Calibri" w:cs="Calibri"/>
          <w:color w:val="FF0000"/>
          <w:sz w:val="22"/>
          <w:lang w:val="en-AU"/>
        </w:rPr>
        <w:t>is received</w:t>
      </w:r>
      <w:r w:rsidR="005179EF" w:rsidRPr="005179EF">
        <w:rPr>
          <w:rFonts w:ascii="Calibri" w:hAnsi="Calibri" w:cs="Calibri" w:hint="eastAsia"/>
          <w:color w:val="FF0000"/>
          <w:sz w:val="22"/>
          <w:lang w:val="en-AU"/>
        </w:rPr>
        <w:t xml:space="preserve">, </w:t>
      </w:r>
      <m:oMath>
        <m:r>
          <w:rPr>
            <w:rFonts w:ascii="Cambria Math" w:hAnsi="Cambria Math" w:cs="Calibri"/>
            <w:color w:val="FF0000"/>
            <w:sz w:val="22"/>
          </w:rPr>
          <m:t>C</m:t>
        </m:r>
        <m:sSub>
          <m:sSubPr>
            <m:ctrlPr>
              <w:rPr>
                <w:rFonts w:ascii="Cambria Math" w:hAnsi="Cambria Math" w:cs="Calibri"/>
                <w:i/>
                <w:iCs/>
                <w:color w:val="FF0000"/>
                <w:sz w:val="22"/>
              </w:rPr>
            </m:ctrlPr>
          </m:sSubPr>
          <m:e>
            <m:r>
              <w:rPr>
                <w:rFonts w:ascii="Cambria Math" w:hAnsi="Cambria Math" w:cs="Calibri"/>
                <w:color w:val="FF0000"/>
                <w:sz w:val="22"/>
              </w:rPr>
              <m:t>W</m:t>
            </m:r>
          </m:e>
          <m:sub>
            <m:r>
              <w:rPr>
                <w:rFonts w:ascii="Cambria Math" w:hAnsi="Cambria Math" w:cs="Calibri"/>
                <w:color w:val="FF0000"/>
                <w:sz w:val="22"/>
              </w:rPr>
              <m:t>p</m:t>
            </m:r>
          </m:sub>
        </m:sSub>
      </m:oMath>
      <w:r w:rsidR="005179EF" w:rsidRPr="005179EF">
        <w:rPr>
          <w:rFonts w:ascii="Calibri" w:hAnsi="Calibri" w:cs="Calibri" w:hint="eastAsia"/>
          <w:color w:val="FF0000"/>
          <w:sz w:val="22"/>
          <w:lang w:val="en-AU"/>
        </w:rPr>
        <w:t xml:space="preserve"> is reset to </w:t>
      </w:r>
      <m:oMath>
        <m:r>
          <w:rPr>
            <w:rFonts w:ascii="Cambria Math" w:hAnsi="Cambria Math" w:cs="Calibri"/>
            <w:color w:val="FF0000"/>
            <w:sz w:val="22"/>
          </w:rPr>
          <m:t>C</m:t>
        </m:r>
        <m:sSub>
          <m:sSubPr>
            <m:ctrlPr>
              <w:rPr>
                <w:rFonts w:ascii="Cambria Math" w:hAnsi="Cambria Math" w:cs="Calibri"/>
                <w:i/>
                <w:iCs/>
                <w:color w:val="FF0000"/>
                <w:sz w:val="22"/>
              </w:rPr>
            </m:ctrlPr>
          </m:sSubPr>
          <m:e>
            <m:r>
              <w:rPr>
                <w:rFonts w:ascii="Cambria Math" w:hAnsi="Cambria Math" w:cs="Calibri"/>
                <w:color w:val="FF0000"/>
                <w:sz w:val="22"/>
              </w:rPr>
              <m:t>W</m:t>
            </m:r>
          </m:e>
          <m:sub>
            <m:r>
              <w:rPr>
                <w:rFonts w:ascii="Cambria Math" w:hAnsi="Cambria Math" w:cs="Calibri"/>
                <w:color w:val="FF0000"/>
                <w:sz w:val="22"/>
                <w:lang w:val="en-AU"/>
              </w:rPr>
              <m:t>min,</m:t>
            </m:r>
            <m:r>
              <w:rPr>
                <w:rFonts w:ascii="Cambria Math" w:hAnsi="Cambria Math" w:cs="Calibri"/>
                <w:color w:val="FF0000"/>
                <w:sz w:val="22"/>
              </w:rPr>
              <m:t>p</m:t>
            </m:r>
          </m:sub>
        </m:sSub>
      </m:oMath>
      <w:r w:rsidR="005179EF" w:rsidRPr="005179EF">
        <w:rPr>
          <w:rFonts w:ascii="Calibri" w:hAnsi="Calibri" w:cs="Calibri" w:hint="eastAsia"/>
          <w:i/>
          <w:iCs/>
          <w:color w:val="FF0000"/>
          <w:sz w:val="22"/>
          <w:lang w:val="en-AU"/>
        </w:rPr>
        <w:t xml:space="preserve"> </w:t>
      </w:r>
      <w:r w:rsidR="005179EF" w:rsidRPr="005179EF">
        <w:rPr>
          <w:rFonts w:ascii="Calibri" w:hAnsi="Calibri" w:cs="Calibri" w:hint="eastAsia"/>
          <w:color w:val="FF0000"/>
          <w:sz w:val="22"/>
          <w:lang w:val="en-AU"/>
        </w:rPr>
        <w:t xml:space="preserve">for every priority class </w:t>
      </w:r>
      <m:oMath>
        <m:r>
          <w:rPr>
            <w:rFonts w:ascii="Cambria Math" w:hAnsi="Cambria Math" w:cs="Calibri"/>
            <w:color w:val="FF0000"/>
            <w:sz w:val="22"/>
          </w:rPr>
          <m:t>p∈</m:t>
        </m:r>
        <m:d>
          <m:dPr>
            <m:begChr m:val="{"/>
            <m:endChr m:val="}"/>
            <m:ctrlPr>
              <w:rPr>
                <w:rFonts w:ascii="Cambria Math" w:hAnsi="Cambria Math" w:cs="Calibri"/>
                <w:i/>
                <w:iCs/>
                <w:color w:val="FF0000"/>
                <w:sz w:val="22"/>
              </w:rPr>
            </m:ctrlPr>
          </m:dPr>
          <m:e>
            <m:r>
              <w:rPr>
                <w:rFonts w:ascii="Cambria Math" w:hAnsi="Cambria Math" w:cs="Calibri"/>
                <w:color w:val="FF0000"/>
                <w:sz w:val="22"/>
              </w:rPr>
              <m:t>1,2,3,4</m:t>
            </m:r>
          </m:e>
        </m:d>
      </m:oMath>
      <w:r w:rsidR="005179EF" w:rsidRPr="005179EF">
        <w:rPr>
          <w:rFonts w:ascii="Calibri" w:hAnsi="Calibri" w:cs="Calibri" w:hint="eastAsia"/>
          <w:color w:val="FF0000"/>
          <w:sz w:val="22"/>
          <w:lang w:val="en-AU"/>
        </w:rPr>
        <w:t xml:space="preserve">, otherwise </w:t>
      </w:r>
      <w:r w:rsidR="005179EF" w:rsidRPr="005179EF">
        <w:rPr>
          <w:rFonts w:ascii="Calibri" w:hAnsi="Calibri" w:cs="Calibri" w:hint="eastAsia"/>
          <w:color w:val="FF0000"/>
          <w:sz w:val="22"/>
        </w:rPr>
        <w:t xml:space="preserve">increase </w:t>
      </w:r>
      <m:oMath>
        <m:r>
          <w:rPr>
            <w:rFonts w:ascii="Cambria Math" w:hAnsi="Cambria Math" w:cs="Calibri"/>
            <w:color w:val="FF0000"/>
            <w:sz w:val="22"/>
          </w:rPr>
          <m:t>C</m:t>
        </m:r>
        <m:sSub>
          <m:sSubPr>
            <m:ctrlPr>
              <w:rPr>
                <w:rFonts w:ascii="Cambria Math" w:hAnsi="Cambria Math" w:cs="Calibri"/>
                <w:i/>
                <w:iCs/>
                <w:color w:val="FF0000"/>
                <w:sz w:val="22"/>
              </w:rPr>
            </m:ctrlPr>
          </m:sSubPr>
          <m:e>
            <m:r>
              <w:rPr>
                <w:rFonts w:ascii="Cambria Math" w:hAnsi="Cambria Math" w:cs="Calibri"/>
                <w:color w:val="FF0000"/>
                <w:sz w:val="22"/>
              </w:rPr>
              <m:t>W</m:t>
            </m:r>
          </m:e>
          <m:sub>
            <m:r>
              <w:rPr>
                <w:rFonts w:ascii="Cambria Math" w:hAnsi="Cambria Math" w:cs="Calibri"/>
                <w:color w:val="FF0000"/>
                <w:sz w:val="22"/>
              </w:rPr>
              <m:t>p</m:t>
            </m:r>
          </m:sub>
        </m:sSub>
      </m:oMath>
      <w:r w:rsidR="005179EF" w:rsidRPr="005179EF">
        <w:rPr>
          <w:rFonts w:ascii="Calibri" w:hAnsi="Calibri" w:cs="Calibri" w:hint="eastAsia"/>
          <w:color w:val="FF0000"/>
          <w:sz w:val="22"/>
        </w:rPr>
        <w:t xml:space="preserve"> for every priority class </w:t>
      </w:r>
      <m:oMath>
        <m:r>
          <w:rPr>
            <w:rFonts w:ascii="Cambria Math" w:hAnsi="Cambria Math" w:cs="Calibri"/>
            <w:color w:val="FF0000"/>
            <w:sz w:val="22"/>
          </w:rPr>
          <m:t>p∈</m:t>
        </m:r>
        <m:d>
          <m:dPr>
            <m:begChr m:val="{"/>
            <m:endChr m:val="}"/>
            <m:ctrlPr>
              <w:rPr>
                <w:rFonts w:ascii="Cambria Math" w:hAnsi="Cambria Math" w:cs="Calibri"/>
                <w:i/>
                <w:iCs/>
                <w:color w:val="FF0000"/>
                <w:sz w:val="22"/>
              </w:rPr>
            </m:ctrlPr>
          </m:dPr>
          <m:e>
            <m:r>
              <w:rPr>
                <w:rFonts w:ascii="Cambria Math" w:hAnsi="Cambria Math" w:cs="Calibri"/>
                <w:color w:val="FF0000"/>
                <w:sz w:val="22"/>
              </w:rPr>
              <m:t>1,2,3,4</m:t>
            </m:r>
          </m:e>
        </m:d>
      </m:oMath>
      <w:r w:rsidR="005179EF" w:rsidRPr="005179EF">
        <w:rPr>
          <w:rFonts w:ascii="Calibri" w:hAnsi="Calibri" w:cs="Calibri" w:hint="eastAsia"/>
          <w:color w:val="FF0000"/>
          <w:sz w:val="22"/>
        </w:rPr>
        <w:t xml:space="preserve"> to the next higher allowed value</w:t>
      </w:r>
      <w:r w:rsidR="00873ADE">
        <w:rPr>
          <w:rFonts w:ascii="Calibri" w:hAnsi="Calibri" w:cs="Calibri"/>
          <w:color w:val="FF0000"/>
          <w:sz w:val="22"/>
        </w:rPr>
        <w:t>.</w:t>
      </w:r>
    </w:p>
    <w:p w14:paraId="70A98FA6" w14:textId="51E3DF31" w:rsidR="00EA768E" w:rsidRPr="00873ADE" w:rsidRDefault="00EA768E" w:rsidP="005179EF">
      <w:pPr>
        <w:pStyle w:val="ListParagraph"/>
        <w:numPr>
          <w:ilvl w:val="2"/>
          <w:numId w:val="18"/>
        </w:numPr>
        <w:autoSpaceDE w:val="0"/>
        <w:autoSpaceDN w:val="0"/>
        <w:ind w:leftChars="0"/>
        <w:jc w:val="both"/>
        <w:rPr>
          <w:rFonts w:ascii="Calibri" w:hAnsi="Calibri" w:cs="Calibri"/>
          <w:color w:val="FF0000"/>
          <w:sz w:val="22"/>
          <w:szCs w:val="22"/>
        </w:rPr>
      </w:pPr>
      <w:r w:rsidRPr="00EA768E">
        <w:rPr>
          <w:rFonts w:ascii="Calibri" w:hAnsi="Calibri" w:cs="Calibri"/>
          <w:color w:val="FF0000"/>
          <w:sz w:val="22"/>
          <w:szCs w:val="22"/>
        </w:rPr>
        <w:t xml:space="preserve">Option 2: </w:t>
      </w:r>
      <w:r w:rsidRPr="00EA768E">
        <w:rPr>
          <w:rFonts w:asciiTheme="minorHAnsi" w:hAnsiTheme="minorHAnsi" w:cstheme="minorHAnsi"/>
          <w:color w:val="FF0000"/>
          <w:sz w:val="22"/>
          <w:szCs w:val="22"/>
        </w:rPr>
        <w:t xml:space="preserve">If a UE may receive feedback information for unicast PSSCH with HARQ-ACK feedback enabled occurring within the SL reference burst </w:t>
      </w:r>
      <m:oMath>
        <m:r>
          <w:rPr>
            <w:rFonts w:ascii="Cambria Math" w:hAnsi="Cambria Math" w:cstheme="minorHAnsi"/>
            <w:color w:val="FF0000"/>
            <w:sz w:val="22"/>
            <w:szCs w:val="22"/>
          </w:rPr>
          <m:t>C</m:t>
        </m:r>
        <m:sSub>
          <m:sSubPr>
            <m:ctrlPr>
              <w:rPr>
                <w:rFonts w:ascii="Cambria Math" w:hAnsi="Cambria Math" w:cstheme="minorHAnsi"/>
                <w:i/>
                <w:iCs/>
                <w:color w:val="FF0000"/>
                <w:sz w:val="22"/>
                <w:szCs w:val="22"/>
              </w:rPr>
            </m:ctrlPr>
          </m:sSubPr>
          <m:e>
            <m:r>
              <w:rPr>
                <w:rFonts w:ascii="Cambria Math" w:hAnsi="Cambria Math" w:cstheme="minorHAnsi"/>
                <w:color w:val="FF0000"/>
                <w:sz w:val="22"/>
                <w:szCs w:val="22"/>
              </w:rPr>
              <m:t>W</m:t>
            </m:r>
          </m:e>
          <m:sub>
            <m:r>
              <w:rPr>
                <w:rFonts w:ascii="Cambria Math" w:hAnsi="Cambria Math" w:cstheme="minorHAnsi"/>
                <w:color w:val="FF0000"/>
                <w:sz w:val="22"/>
                <w:szCs w:val="22"/>
              </w:rPr>
              <m:t>p</m:t>
            </m:r>
          </m:sub>
        </m:sSub>
        <m:r>
          <m:rPr>
            <m:sty m:val="p"/>
          </m:rPr>
          <w:rPr>
            <w:rFonts w:ascii="Cambria Math" w:hAnsi="Cambria Math" w:cstheme="minorHAnsi"/>
            <w:color w:val="FF0000"/>
            <w:sz w:val="22"/>
            <w:szCs w:val="22"/>
          </w:rPr>
          <m:t>=</m:t>
        </m:r>
        <m:r>
          <w:rPr>
            <w:rFonts w:ascii="Cambria Math" w:hAnsi="Cambria Math" w:cstheme="minorHAnsi"/>
            <w:color w:val="FF0000"/>
            <w:sz w:val="22"/>
            <w:szCs w:val="22"/>
          </w:rPr>
          <m:t>C</m:t>
        </m:r>
        <m:sSub>
          <m:sSubPr>
            <m:ctrlPr>
              <w:rPr>
                <w:rFonts w:ascii="Cambria Math" w:hAnsi="Cambria Math" w:cstheme="minorHAnsi"/>
                <w:i/>
                <w:iCs/>
                <w:color w:val="FF0000"/>
                <w:sz w:val="22"/>
                <w:szCs w:val="22"/>
              </w:rPr>
            </m:ctrlPr>
          </m:sSubPr>
          <m:e>
            <m:r>
              <w:rPr>
                <w:rFonts w:ascii="Cambria Math" w:hAnsi="Cambria Math" w:cstheme="minorHAnsi"/>
                <w:color w:val="FF0000"/>
                <w:sz w:val="22"/>
                <w:szCs w:val="22"/>
              </w:rPr>
              <m:t>W</m:t>
            </m:r>
          </m:e>
          <m:sub>
            <m:func>
              <m:funcPr>
                <m:ctrlPr>
                  <w:rPr>
                    <w:rFonts w:ascii="Cambria Math" w:hAnsi="Cambria Math" w:cstheme="minorHAnsi"/>
                    <w:i/>
                    <w:iCs/>
                    <w:color w:val="FF0000"/>
                    <w:sz w:val="22"/>
                    <w:szCs w:val="22"/>
                  </w:rPr>
                </m:ctrlPr>
              </m:funcPr>
              <m:fName>
                <m:r>
                  <w:rPr>
                    <w:rFonts w:ascii="Cambria Math" w:hAnsi="Cambria Math" w:cstheme="minorHAnsi"/>
                    <w:color w:val="FF0000"/>
                    <w:sz w:val="22"/>
                    <w:szCs w:val="22"/>
                  </w:rPr>
                  <m:t>min</m:t>
                </m:r>
                <m:r>
                  <m:rPr>
                    <m:sty m:val="p"/>
                  </m:rPr>
                  <w:rPr>
                    <w:rFonts w:ascii="Cambria Math" w:hAnsi="Cambria Math" w:cstheme="minorHAnsi"/>
                    <w:color w:val="FF0000"/>
                    <w:sz w:val="22"/>
                    <w:szCs w:val="22"/>
                  </w:rPr>
                  <m:t>,</m:t>
                </m:r>
              </m:fName>
              <m:e>
                <m:r>
                  <w:rPr>
                    <w:rFonts w:ascii="Cambria Math" w:hAnsi="Cambria Math" w:cstheme="minorHAnsi"/>
                    <w:color w:val="FF0000"/>
                    <w:sz w:val="22"/>
                    <w:szCs w:val="22"/>
                  </w:rPr>
                  <m:t>p</m:t>
                </m:r>
              </m:e>
            </m:func>
          </m:sub>
        </m:sSub>
      </m:oMath>
      <w:r w:rsidRPr="00EA768E">
        <w:rPr>
          <w:rFonts w:asciiTheme="minorHAnsi" w:hAnsiTheme="minorHAnsi" w:cstheme="minorHAnsi"/>
          <w:color w:val="FF0000"/>
          <w:sz w:val="22"/>
          <w:szCs w:val="22"/>
        </w:rPr>
        <w:t xml:space="preserve"> if at least a ‘ACK’ is received, otherwise </w:t>
      </w:r>
      <m:oMath>
        <m:r>
          <w:rPr>
            <w:rFonts w:ascii="Cambria Math" w:hAnsi="Cambria Math" w:cstheme="minorHAnsi"/>
            <w:color w:val="FF0000"/>
            <w:sz w:val="22"/>
            <w:szCs w:val="22"/>
          </w:rPr>
          <m:t>C</m:t>
        </m:r>
        <m:sSub>
          <m:sSubPr>
            <m:ctrlPr>
              <w:rPr>
                <w:rFonts w:ascii="Cambria Math" w:hAnsi="Cambria Math" w:cstheme="minorHAnsi"/>
                <w:i/>
                <w:iCs/>
                <w:color w:val="FF0000"/>
                <w:sz w:val="22"/>
                <w:szCs w:val="22"/>
              </w:rPr>
            </m:ctrlPr>
          </m:sSubPr>
          <m:e>
            <m:r>
              <w:rPr>
                <w:rFonts w:ascii="Cambria Math" w:hAnsi="Cambria Math" w:cstheme="minorHAnsi"/>
                <w:color w:val="FF0000"/>
                <w:sz w:val="22"/>
                <w:szCs w:val="22"/>
              </w:rPr>
              <m:t>W</m:t>
            </m:r>
          </m:e>
          <m:sub>
            <m:r>
              <w:rPr>
                <w:rFonts w:ascii="Cambria Math" w:hAnsi="Cambria Math" w:cstheme="minorHAnsi"/>
                <w:color w:val="FF0000"/>
                <w:sz w:val="22"/>
                <w:szCs w:val="22"/>
              </w:rPr>
              <m:t>p</m:t>
            </m:r>
          </m:sub>
        </m:sSub>
        <m:r>
          <w:rPr>
            <w:rFonts w:ascii="Cambria Math" w:hAnsi="Cambria Math" w:cstheme="minorHAnsi"/>
            <w:color w:val="FF0000"/>
            <w:sz w:val="22"/>
            <w:szCs w:val="22"/>
          </w:rPr>
          <m:t> </m:t>
        </m:r>
      </m:oMath>
      <w:r w:rsidRPr="00EA768E">
        <w:rPr>
          <w:rFonts w:asciiTheme="minorHAnsi" w:hAnsiTheme="minorHAnsi" w:cstheme="minorHAnsi"/>
          <w:color w:val="FF0000"/>
          <w:sz w:val="22"/>
          <w:szCs w:val="22"/>
        </w:rPr>
        <w:t>is increased.</w:t>
      </w:r>
    </w:p>
    <w:p w14:paraId="2DF6432D" w14:textId="3CB9346E" w:rsidR="00873ADE" w:rsidRPr="00EA768E" w:rsidRDefault="00873ADE" w:rsidP="005179EF">
      <w:pPr>
        <w:pStyle w:val="ListParagraph"/>
        <w:numPr>
          <w:ilvl w:val="2"/>
          <w:numId w:val="18"/>
        </w:numPr>
        <w:autoSpaceDE w:val="0"/>
        <w:autoSpaceDN w:val="0"/>
        <w:ind w:leftChars="0"/>
        <w:jc w:val="both"/>
        <w:rPr>
          <w:rFonts w:ascii="Calibri" w:hAnsi="Calibri" w:cs="Calibri"/>
          <w:color w:val="FF0000"/>
          <w:sz w:val="22"/>
          <w:szCs w:val="22"/>
        </w:rPr>
      </w:pPr>
      <w:r>
        <w:rPr>
          <w:rFonts w:ascii="Calibri" w:hAnsi="Calibri" w:cs="Calibri"/>
          <w:color w:val="FF0000"/>
          <w:sz w:val="22"/>
        </w:rPr>
        <w:t>Option 3: CW is adjustment according to CR/CBR measurement.</w:t>
      </w:r>
    </w:p>
    <w:p w14:paraId="36194509" w14:textId="3528AEA7" w:rsidR="004B1D3C" w:rsidRDefault="004B1D3C" w:rsidP="004B1D3C">
      <w:pPr>
        <w:pStyle w:val="ListParagraph"/>
        <w:numPr>
          <w:ilvl w:val="1"/>
          <w:numId w:val="18"/>
        </w:numPr>
        <w:autoSpaceDE w:val="0"/>
        <w:autoSpaceDN w:val="0"/>
        <w:ind w:leftChars="0"/>
        <w:jc w:val="both"/>
        <w:rPr>
          <w:rFonts w:ascii="Calibri" w:hAnsi="Calibri" w:cs="Calibri"/>
          <w:sz w:val="22"/>
        </w:rPr>
      </w:pPr>
      <w:r w:rsidRPr="00CF6AD2">
        <w:rPr>
          <w:rFonts w:ascii="Calibri" w:hAnsi="Calibri" w:cs="Calibri" w:hint="eastAsia"/>
          <w:sz w:val="22"/>
        </w:rPr>
        <w:t xml:space="preserve">FFS the case when UE is operating </w:t>
      </w:r>
      <w:r>
        <w:rPr>
          <w:rFonts w:ascii="Calibri" w:hAnsi="Calibri" w:cs="Calibri"/>
          <w:sz w:val="22"/>
        </w:rPr>
        <w:t>with</w:t>
      </w:r>
      <w:r w:rsidRPr="00CF6AD2">
        <w:rPr>
          <w:rFonts w:ascii="Calibri" w:hAnsi="Calibri" w:cs="Calibri" w:hint="eastAsia"/>
          <w:sz w:val="22"/>
        </w:rPr>
        <w:t xml:space="preserve"> different SL-HARQ feedback schemes (e.g., UE has concurrent broadcast transmission + unicast with SL-HARQ enabled, or GC option 1 + GC option 2, etc)</w:t>
      </w:r>
      <w:r w:rsidR="00873ADE">
        <w:rPr>
          <w:rFonts w:ascii="Calibri" w:hAnsi="Calibri" w:cs="Calibri"/>
          <w:sz w:val="22"/>
        </w:rPr>
        <w:t>.</w:t>
      </w:r>
    </w:p>
    <w:p w14:paraId="58094402" w14:textId="74C109C9" w:rsidR="001C4C5E" w:rsidRDefault="001C4C5E" w:rsidP="004B1D3C">
      <w:pPr>
        <w:pStyle w:val="ListParagraph"/>
        <w:numPr>
          <w:ilvl w:val="1"/>
          <w:numId w:val="18"/>
        </w:numPr>
        <w:autoSpaceDE w:val="0"/>
        <w:autoSpaceDN w:val="0"/>
        <w:ind w:leftChars="0"/>
        <w:jc w:val="both"/>
        <w:rPr>
          <w:rFonts w:ascii="Calibri" w:hAnsi="Calibri" w:cs="Calibri"/>
          <w:sz w:val="22"/>
        </w:rPr>
      </w:pPr>
      <w:r>
        <w:rPr>
          <w:rFonts w:ascii="Calibri" w:hAnsi="Calibri" w:cs="Calibri"/>
          <w:sz w:val="22"/>
        </w:rPr>
        <w:t xml:space="preserve">FFS the definition of </w:t>
      </w:r>
      <w:r w:rsidR="00EA768E">
        <w:rPr>
          <w:rFonts w:ascii="Calibri" w:hAnsi="Calibri" w:cs="Calibri"/>
          <w:sz w:val="22"/>
        </w:rPr>
        <w:t xml:space="preserve">a </w:t>
      </w:r>
      <w:r>
        <w:rPr>
          <w:rFonts w:ascii="Calibri" w:hAnsi="Calibri" w:cs="Calibri"/>
          <w:sz w:val="22"/>
        </w:rPr>
        <w:t>“reference duration”</w:t>
      </w:r>
      <w:r w:rsidR="00EA768E">
        <w:rPr>
          <w:rFonts w:ascii="Calibri" w:hAnsi="Calibri" w:cs="Calibri"/>
          <w:sz w:val="22"/>
        </w:rPr>
        <w:t xml:space="preserve"> or a “reference burst”</w:t>
      </w:r>
      <w:r>
        <w:rPr>
          <w:rFonts w:ascii="Calibri" w:hAnsi="Calibri" w:cs="Calibri"/>
          <w:sz w:val="22"/>
        </w:rPr>
        <w:t xml:space="preserve"> in SL</w:t>
      </w:r>
      <w:r w:rsidR="00873ADE">
        <w:rPr>
          <w:rFonts w:ascii="Calibri" w:hAnsi="Calibri" w:cs="Calibri"/>
          <w:sz w:val="22"/>
        </w:rPr>
        <w:t>.</w:t>
      </w:r>
    </w:p>
    <w:p w14:paraId="1753A109" w14:textId="770CA160" w:rsidR="004B1D3C" w:rsidRDefault="004B1D3C" w:rsidP="00C67F08">
      <w:pPr>
        <w:pStyle w:val="0Maintext"/>
        <w:spacing w:after="0" w:afterAutospacing="0"/>
        <w:ind w:firstLine="0"/>
      </w:pPr>
    </w:p>
    <w:p w14:paraId="3A97D97C" w14:textId="6E7F3C64" w:rsidR="009042CD" w:rsidRDefault="009042CD" w:rsidP="00C67F08">
      <w:pPr>
        <w:pStyle w:val="0Maintext"/>
        <w:spacing w:after="0" w:afterAutospacing="0"/>
        <w:ind w:firstLine="0"/>
      </w:pPr>
    </w:p>
    <w:tbl>
      <w:tblPr>
        <w:tblStyle w:val="TableGrid"/>
        <w:tblW w:w="9634" w:type="dxa"/>
        <w:tblLayout w:type="fixed"/>
        <w:tblLook w:val="04A0" w:firstRow="1" w:lastRow="0" w:firstColumn="1" w:lastColumn="0" w:noHBand="0" w:noVBand="1"/>
      </w:tblPr>
      <w:tblGrid>
        <w:gridCol w:w="1555"/>
        <w:gridCol w:w="8079"/>
      </w:tblGrid>
      <w:tr w:rsidR="009042CD" w14:paraId="24F8FFEC" w14:textId="77777777" w:rsidTr="009042CD">
        <w:tc>
          <w:tcPr>
            <w:tcW w:w="1555" w:type="dxa"/>
          </w:tcPr>
          <w:p w14:paraId="0EBB1431" w14:textId="77777777" w:rsidR="009042CD" w:rsidRDefault="009042CD" w:rsidP="006B2419">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8079" w:type="dxa"/>
          </w:tcPr>
          <w:p w14:paraId="0623C2E8" w14:textId="77777777" w:rsidR="009042CD" w:rsidRDefault="009042CD" w:rsidP="006B2419">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9042CD" w14:paraId="26DB7C90" w14:textId="77777777" w:rsidTr="009042CD">
        <w:tc>
          <w:tcPr>
            <w:tcW w:w="1555" w:type="dxa"/>
          </w:tcPr>
          <w:p w14:paraId="7F7EB8B4" w14:textId="27F4ADBA" w:rsidR="009042CD" w:rsidRDefault="00961C87" w:rsidP="006B2419">
            <w:pPr>
              <w:pStyle w:val="0Maintext"/>
              <w:spacing w:after="0" w:afterAutospacing="0"/>
              <w:ind w:firstLine="0"/>
              <w:rPr>
                <w:lang w:eastAsia="ko-KR"/>
              </w:rPr>
            </w:pPr>
            <w:r>
              <w:rPr>
                <w:rFonts w:hint="eastAsia"/>
                <w:lang w:eastAsia="ko-KR"/>
              </w:rPr>
              <w:t>LGE</w:t>
            </w:r>
          </w:p>
        </w:tc>
        <w:tc>
          <w:tcPr>
            <w:tcW w:w="8079" w:type="dxa"/>
          </w:tcPr>
          <w:p w14:paraId="32A09B04" w14:textId="77777777" w:rsidR="009042CD" w:rsidRDefault="00961C87" w:rsidP="00961C87">
            <w:pPr>
              <w:pStyle w:val="0Maintext"/>
              <w:spacing w:after="0" w:afterAutospacing="0"/>
              <w:ind w:firstLine="0"/>
            </w:pPr>
            <w:r>
              <w:t xml:space="preserve">For PSCCH/PSSCH with SL HARQ-ACK feedback disabled, we support option 1 only. Even in NR-U there is PDSCH without HARQ-ACK feedback such as system information or RAR or UL grant and so on. Moreover, NR-U also has RSRP/RSSI measurement/reports. However, they don’t use it for CWS adjustment. Other options are not preferable considering the fairness. </w:t>
            </w:r>
          </w:p>
          <w:p w14:paraId="6223109F" w14:textId="77777777" w:rsidR="00961C87" w:rsidRDefault="00961C87" w:rsidP="00961C87">
            <w:pPr>
              <w:pStyle w:val="0Maintext"/>
              <w:spacing w:after="0" w:afterAutospacing="0"/>
              <w:ind w:firstLine="0"/>
            </w:pPr>
          </w:p>
          <w:p w14:paraId="583CA006" w14:textId="6EF043E6" w:rsidR="00961C87" w:rsidRDefault="00961C87" w:rsidP="00961C87">
            <w:pPr>
              <w:pStyle w:val="0Maintext"/>
              <w:spacing w:after="0" w:afterAutospacing="0"/>
              <w:ind w:firstLine="0"/>
            </w:pPr>
            <w:r>
              <w:t xml:space="preserve">Even in NR-U, it is possible that the PDCCH is confined within PDSCH resources, but they still use ACK feedback only for CWS adjustment. </w:t>
            </w:r>
          </w:p>
          <w:p w14:paraId="28D3FC1E" w14:textId="77777777" w:rsidR="00961C87" w:rsidRDefault="00961C87" w:rsidP="00961C87">
            <w:pPr>
              <w:pStyle w:val="0Maintext"/>
              <w:spacing w:after="0" w:afterAutospacing="0"/>
              <w:ind w:firstLine="0"/>
            </w:pPr>
          </w:p>
          <w:p w14:paraId="5626BADC" w14:textId="5B167BC7" w:rsidR="00961C87" w:rsidRDefault="00961C87" w:rsidP="00961C87">
            <w:pPr>
              <w:pStyle w:val="0Maintext"/>
              <w:spacing w:after="0" w:afterAutospacing="0"/>
              <w:ind w:firstLine="0"/>
            </w:pPr>
            <w:r>
              <w:t xml:space="preserve">For groupcast NACK-only feedback, in Option 3, we still need to have NACK feedback for HARQ procedure since ACK-only feedback is not helpful to decide whether or not to transmit retransmission(s). For consistency, we are open to add NACK feedback reset the CW size as in other SL HARQ-ACK types. </w:t>
            </w:r>
          </w:p>
        </w:tc>
      </w:tr>
      <w:tr w:rsidR="00D6367A" w14:paraId="7F22D0AF" w14:textId="77777777" w:rsidTr="00D6367A">
        <w:tc>
          <w:tcPr>
            <w:tcW w:w="1555" w:type="dxa"/>
          </w:tcPr>
          <w:p w14:paraId="38CDAAA3" w14:textId="77777777" w:rsidR="00D6367A" w:rsidRPr="00F35D7F" w:rsidRDefault="00D6367A" w:rsidP="000F6488">
            <w:pPr>
              <w:pStyle w:val="0Maintext"/>
              <w:spacing w:after="0" w:afterAutospacing="0"/>
              <w:ind w:firstLine="0"/>
              <w:rPr>
                <w:rFonts w:eastAsia="MS Mincho"/>
                <w:lang w:eastAsia="ja-JP"/>
              </w:rPr>
            </w:pPr>
            <w:r>
              <w:rPr>
                <w:rFonts w:eastAsia="MS Mincho" w:hint="eastAsia"/>
                <w:lang w:eastAsia="ja-JP"/>
              </w:rPr>
              <w:t>D</w:t>
            </w:r>
            <w:r>
              <w:rPr>
                <w:rFonts w:eastAsia="MS Mincho"/>
                <w:lang w:eastAsia="ja-JP"/>
              </w:rPr>
              <w:t>CM</w:t>
            </w:r>
          </w:p>
        </w:tc>
        <w:tc>
          <w:tcPr>
            <w:tcW w:w="8079" w:type="dxa"/>
          </w:tcPr>
          <w:p w14:paraId="4517EE61" w14:textId="77777777" w:rsidR="00D6367A" w:rsidRDefault="00D6367A" w:rsidP="000F6488">
            <w:pPr>
              <w:pStyle w:val="0Maintext"/>
              <w:spacing w:after="0" w:afterAutospacing="0"/>
              <w:ind w:firstLine="0"/>
              <w:rPr>
                <w:rFonts w:eastAsia="MS Mincho"/>
                <w:lang w:eastAsia="ja-JP"/>
              </w:rPr>
            </w:pPr>
            <w:r>
              <w:rPr>
                <w:rFonts w:eastAsia="MS Mincho" w:hint="eastAsia"/>
                <w:lang w:eastAsia="ja-JP"/>
              </w:rPr>
              <w:t>W</w:t>
            </w:r>
            <w:r>
              <w:rPr>
                <w:rFonts w:eastAsia="MS Mincho"/>
                <w:lang w:eastAsia="ja-JP"/>
              </w:rPr>
              <w:t>e do not think CR/CBR measurement-based adjustment is necessary since there is no such mechanism in Uu.</w:t>
            </w:r>
          </w:p>
          <w:p w14:paraId="4220DDCC" w14:textId="77777777" w:rsidR="00D6367A" w:rsidRDefault="00D6367A" w:rsidP="000F6488">
            <w:pPr>
              <w:pStyle w:val="0Maintext"/>
              <w:spacing w:after="0" w:afterAutospacing="0"/>
              <w:ind w:firstLine="0"/>
              <w:rPr>
                <w:rFonts w:eastAsia="MS Mincho"/>
                <w:lang w:eastAsia="ja-JP"/>
              </w:rPr>
            </w:pPr>
            <w:r>
              <w:rPr>
                <w:rFonts w:eastAsia="MS Mincho"/>
                <w:lang w:eastAsia="ja-JP"/>
              </w:rPr>
              <w:t>For groupcast option 2, we understand the intention of option 1, but the sentence is incomplete. Probably, ‘when’ should be updated to ‘based on’.</w:t>
            </w:r>
          </w:p>
          <w:p w14:paraId="01E9BDCB" w14:textId="77777777" w:rsidR="00D6367A" w:rsidRPr="00F35D7F" w:rsidRDefault="00D6367A" w:rsidP="000F6488">
            <w:pPr>
              <w:pStyle w:val="0Maintext"/>
              <w:spacing w:after="0" w:afterAutospacing="0"/>
              <w:ind w:firstLine="0"/>
              <w:rPr>
                <w:rFonts w:eastAsia="MS Mincho"/>
                <w:lang w:eastAsia="ja-JP"/>
              </w:rPr>
            </w:pPr>
            <w:r>
              <w:rPr>
                <w:rFonts w:eastAsia="MS Mincho"/>
                <w:lang w:eastAsia="ja-JP"/>
              </w:rPr>
              <w:t>For groupcast option 1, option 3 is invalid as commented by LGE. PSFCH-RX UE cannot decide whether retransmission should be performed or not.</w:t>
            </w:r>
          </w:p>
        </w:tc>
      </w:tr>
      <w:tr w:rsidR="009A6BDC" w14:paraId="526AAD09" w14:textId="77777777" w:rsidTr="009042CD">
        <w:tc>
          <w:tcPr>
            <w:tcW w:w="1555" w:type="dxa"/>
          </w:tcPr>
          <w:p w14:paraId="4D4676B4" w14:textId="07B67786" w:rsidR="009A6BDC" w:rsidRPr="00D6367A" w:rsidRDefault="00D01D0D" w:rsidP="009A6BDC">
            <w:pPr>
              <w:pStyle w:val="0Maintext"/>
              <w:spacing w:after="0" w:afterAutospacing="0"/>
              <w:ind w:firstLine="0"/>
            </w:pPr>
            <w:r w:rsidRPr="001839A9">
              <w:rPr>
                <w:rFonts w:ascii="Calibri" w:hAnsi="Calibri" w:cs="Calibri"/>
                <w:sz w:val="22"/>
              </w:rPr>
              <w:t>V</w:t>
            </w:r>
            <w:r w:rsidR="009A6BDC" w:rsidRPr="001839A9">
              <w:rPr>
                <w:rFonts w:ascii="Calibri" w:hAnsi="Calibri" w:cs="Calibri"/>
                <w:sz w:val="22"/>
              </w:rPr>
              <w:t>ivo</w:t>
            </w:r>
          </w:p>
        </w:tc>
        <w:tc>
          <w:tcPr>
            <w:tcW w:w="8079" w:type="dxa"/>
          </w:tcPr>
          <w:p w14:paraId="20493480" w14:textId="77777777" w:rsidR="009A6BDC" w:rsidRPr="00FB1DE6" w:rsidRDefault="009A6BDC" w:rsidP="009A6BDC">
            <w:pPr>
              <w:pStyle w:val="0Maintext"/>
              <w:spacing w:after="0" w:afterAutospacing="0"/>
              <w:ind w:firstLine="0"/>
              <w:rPr>
                <w:rFonts w:ascii="Calibri" w:hAnsi="Calibri" w:cs="Calibri"/>
                <w:sz w:val="22"/>
              </w:rPr>
            </w:pPr>
            <w:r>
              <w:rPr>
                <w:rFonts w:ascii="Calibri" w:hAnsi="Calibri" w:cs="Calibri"/>
                <w:sz w:val="22"/>
              </w:rPr>
              <w:t>R</w:t>
            </w:r>
            <w:r w:rsidRPr="001839A9">
              <w:rPr>
                <w:rFonts w:ascii="Calibri" w:hAnsi="Calibri" w:cs="Calibri" w:hint="eastAsia"/>
                <w:sz w:val="22"/>
              </w:rPr>
              <w:t>egarding</w:t>
            </w:r>
            <w:r>
              <w:rPr>
                <w:rFonts w:ascii="Calibri" w:hAnsi="Calibri" w:cs="Calibri"/>
                <w:sz w:val="22"/>
              </w:rPr>
              <w:t xml:space="preserve"> </w:t>
            </w:r>
            <w:r w:rsidRPr="001839A9">
              <w:rPr>
                <w:rFonts w:ascii="Calibri" w:hAnsi="Calibri" w:cs="Calibri" w:hint="eastAsia"/>
                <w:sz w:val="22"/>
              </w:rPr>
              <w:t>the</w:t>
            </w:r>
            <w:r>
              <w:rPr>
                <w:rFonts w:ascii="Calibri" w:hAnsi="Calibri" w:cs="Calibri"/>
                <w:sz w:val="22"/>
              </w:rPr>
              <w:t xml:space="preserve"> </w:t>
            </w:r>
            <w:r w:rsidRPr="00CF6AD2">
              <w:rPr>
                <w:rFonts w:ascii="Calibri" w:hAnsi="Calibri" w:cs="Calibri"/>
                <w:sz w:val="22"/>
              </w:rPr>
              <w:t>CW adjustment for groupcast option 2</w:t>
            </w:r>
            <w:r>
              <w:rPr>
                <w:rFonts w:ascii="Calibri" w:hAnsi="Calibri" w:cs="Calibri"/>
                <w:sz w:val="22"/>
              </w:rPr>
              <w:t>, t</w:t>
            </w:r>
            <w:r w:rsidRPr="00FB1DE6">
              <w:rPr>
                <w:rFonts w:ascii="Calibri" w:hAnsi="Calibri" w:cs="Calibri"/>
                <w:sz w:val="22"/>
              </w:rPr>
              <w:t xml:space="preserve">he description on option 1 </w:t>
            </w:r>
            <w:r>
              <w:rPr>
                <w:rFonts w:ascii="Calibri" w:hAnsi="Calibri" w:cs="Calibri"/>
                <w:sz w:val="22"/>
              </w:rPr>
              <w:t>seems unclear, we suggest to complete the sentence, e.g.,</w:t>
            </w:r>
          </w:p>
          <w:p w14:paraId="336FC980" w14:textId="77777777" w:rsidR="009A6BDC" w:rsidRDefault="009A6BDC" w:rsidP="009A6BDC">
            <w:pPr>
              <w:pStyle w:val="0Maintext"/>
              <w:spacing w:after="0" w:afterAutospacing="0"/>
              <w:ind w:firstLine="0"/>
              <w:rPr>
                <w:rFonts w:asciiTheme="minorEastAsia" w:eastAsiaTheme="minorEastAsia" w:hAnsiTheme="minorEastAsia" w:cs="Calibri"/>
                <w:sz w:val="22"/>
                <w:lang w:eastAsia="zh-CN"/>
              </w:rPr>
            </w:pPr>
            <w:r>
              <w:rPr>
                <w:rFonts w:ascii="Calibri" w:hAnsi="Calibri" w:cs="Calibri"/>
                <w:color w:val="FF0000"/>
                <w:sz w:val="22"/>
              </w:rPr>
              <w:t xml:space="preserve">If the ratio of a given </w:t>
            </w:r>
            <w:r w:rsidRPr="00FB1DE6">
              <w:rPr>
                <w:rFonts w:ascii="Calibri" w:hAnsi="Calibri" w:cs="Calibri" w:hint="eastAsia"/>
                <w:color w:val="FF0000"/>
                <w:sz w:val="22"/>
              </w:rPr>
              <w:t>status</w:t>
            </w:r>
            <w:r>
              <w:rPr>
                <w:rFonts w:ascii="Calibri" w:hAnsi="Calibri" w:cs="Calibri"/>
                <w:color w:val="FF0000"/>
                <w:sz w:val="22"/>
              </w:rPr>
              <w:t xml:space="preserve"> </w:t>
            </w:r>
            <w:r w:rsidRPr="00FB1DE6">
              <w:rPr>
                <w:rFonts w:ascii="Calibri" w:hAnsi="Calibri" w:cs="Calibri" w:hint="eastAsia"/>
                <w:color w:val="FF0000"/>
                <w:sz w:val="22"/>
              </w:rPr>
              <w:t>of</w:t>
            </w:r>
            <w:r>
              <w:rPr>
                <w:rFonts w:ascii="Calibri" w:hAnsi="Calibri" w:cs="Calibri"/>
                <w:color w:val="FF0000"/>
                <w:sz w:val="22"/>
              </w:rPr>
              <w:t xml:space="preserve"> the HARQ-ACK </w:t>
            </w:r>
            <w:r w:rsidRPr="00FB1DE6">
              <w:rPr>
                <w:rFonts w:ascii="Calibri" w:hAnsi="Calibri" w:cs="Calibri" w:hint="eastAsia"/>
                <w:color w:val="FF0000"/>
                <w:sz w:val="22"/>
              </w:rPr>
              <w:t>feedback</w:t>
            </w:r>
            <w:r>
              <w:rPr>
                <w:rFonts w:ascii="Calibri" w:hAnsi="Calibri" w:cs="Calibri"/>
                <w:color w:val="FF0000"/>
                <w:sz w:val="22"/>
              </w:rPr>
              <w:t xml:space="preserve"> </w:t>
            </w:r>
            <w:r w:rsidRPr="00FB1DE6">
              <w:rPr>
                <w:rFonts w:ascii="Calibri" w:hAnsi="Calibri" w:cs="Calibri" w:hint="eastAsia"/>
                <w:color w:val="FF0000"/>
                <w:sz w:val="22"/>
              </w:rPr>
              <w:t>is</w:t>
            </w:r>
            <w:r w:rsidRPr="00FB1DE6">
              <w:rPr>
                <w:rFonts w:ascii="Calibri" w:hAnsi="Calibri" w:cs="Calibri"/>
                <w:color w:val="FF0000"/>
                <w:sz w:val="22"/>
              </w:rPr>
              <w:t xml:space="preserve"> larger than </w:t>
            </w:r>
            <w:r w:rsidRPr="00FB1DE6">
              <w:rPr>
                <w:rFonts w:ascii="Calibri" w:hAnsi="Calibri" w:cs="Calibri" w:hint="eastAsia"/>
                <w:strike/>
                <w:color w:val="FF0000"/>
                <w:sz w:val="22"/>
              </w:rPr>
              <w:t>When</w:t>
            </w:r>
            <w:r w:rsidRPr="00FB1DE6">
              <w:rPr>
                <w:rFonts w:ascii="Calibri" w:hAnsi="Calibri" w:cs="Calibri" w:hint="eastAsia"/>
                <w:color w:val="FF0000"/>
                <w:sz w:val="22"/>
              </w:rPr>
              <w:t xml:space="preserve"> </w:t>
            </w:r>
            <w:r w:rsidRPr="00FB1DE6">
              <w:rPr>
                <w:rFonts w:ascii="Calibri" w:hAnsi="Calibri" w:cs="Calibri" w:hint="eastAsia"/>
                <w:sz w:val="22"/>
              </w:rPr>
              <w:t xml:space="preserve">a (pre-)configurable ratio </w:t>
            </w:r>
            <w:r w:rsidRPr="00FB1DE6">
              <w:rPr>
                <w:rFonts w:ascii="Calibri" w:hAnsi="Calibri" w:cs="Calibri" w:hint="eastAsia"/>
                <w:strike/>
                <w:color w:val="FF0000"/>
                <w:sz w:val="22"/>
              </w:rPr>
              <w:t>of received SL HARQ-ACK feedbacks</w:t>
            </w:r>
            <w:r w:rsidRPr="00FB1DE6">
              <w:rPr>
                <w:rFonts w:ascii="Calibri" w:hAnsi="Calibri" w:cs="Calibri"/>
                <w:strike/>
                <w:color w:val="FF0000"/>
                <w:sz w:val="22"/>
              </w:rPr>
              <w:t>,</w:t>
            </w:r>
            <w:r w:rsidRPr="00FB1DE6">
              <w:rPr>
                <w:rFonts w:ascii="Calibri" w:hAnsi="Calibri" w:cs="Calibri"/>
                <w:sz w:val="22"/>
              </w:rPr>
              <w:t xml:space="preserve"> </w:t>
            </w:r>
            <w:r w:rsidRPr="00FB1DE6">
              <w:rPr>
                <w:rFonts w:ascii="Calibri" w:hAnsi="Calibri" w:cs="Calibri" w:hint="eastAsia"/>
                <w:sz w:val="22"/>
              </w:rPr>
              <w:t xml:space="preserve"> </w:t>
            </w:r>
            <m:oMath>
              <m:r>
                <w:rPr>
                  <w:rFonts w:ascii="Cambria Math" w:hAnsi="Cambria Math" w:cs="Calibri"/>
                  <w:sz w:val="22"/>
                </w:rPr>
                <m:t>C</m:t>
              </m:r>
              <m:sSub>
                <m:sSubPr>
                  <m:ctrlPr>
                    <w:rPr>
                      <w:rFonts w:ascii="Cambria Math" w:hAnsi="Cambria Math" w:cs="Calibri"/>
                      <w:sz w:val="22"/>
                    </w:rPr>
                  </m:ctrlPr>
                </m:sSubPr>
                <m:e>
                  <m:r>
                    <w:rPr>
                      <w:rFonts w:ascii="Cambria Math" w:hAnsi="Cambria Math" w:cs="Calibri"/>
                      <w:sz w:val="22"/>
                    </w:rPr>
                    <m:t>W</m:t>
                  </m:r>
                </m:e>
                <m:sub>
                  <m:r>
                    <w:rPr>
                      <w:rFonts w:ascii="Cambria Math" w:hAnsi="Cambria Math" w:cs="Calibri"/>
                      <w:sz w:val="22"/>
                    </w:rPr>
                    <m:t>p</m:t>
                  </m:r>
                </m:sub>
              </m:sSub>
            </m:oMath>
            <w:r w:rsidRPr="00FB1DE6">
              <w:rPr>
                <w:rFonts w:ascii="Calibri" w:hAnsi="Calibri" w:cs="Calibri" w:hint="eastAsia"/>
                <w:sz w:val="22"/>
              </w:rPr>
              <w:t xml:space="preserve"> is reset to </w:t>
            </w:r>
            <m:oMath>
              <m:r>
                <w:rPr>
                  <w:rFonts w:ascii="Cambria Math" w:hAnsi="Cambria Math" w:cs="Calibri"/>
                  <w:sz w:val="22"/>
                </w:rPr>
                <m:t>C</m:t>
              </m:r>
              <m:sSub>
                <m:sSubPr>
                  <m:ctrlPr>
                    <w:rPr>
                      <w:rFonts w:ascii="Cambria Math" w:hAnsi="Cambria Math" w:cs="Calibri"/>
                      <w:sz w:val="22"/>
                    </w:rPr>
                  </m:ctrlPr>
                </m:sSubPr>
                <m:e>
                  <m:r>
                    <w:rPr>
                      <w:rFonts w:ascii="Cambria Math" w:hAnsi="Cambria Math" w:cs="Calibri"/>
                      <w:sz w:val="22"/>
                    </w:rPr>
                    <m:t>W</m:t>
                  </m:r>
                </m:e>
                <m:sub>
                  <m:r>
                    <w:rPr>
                      <w:rFonts w:ascii="Cambria Math" w:hAnsi="Cambria Math" w:cs="Calibri"/>
                      <w:sz w:val="22"/>
                    </w:rPr>
                    <m:t>min</m:t>
                  </m:r>
                  <m:r>
                    <m:rPr>
                      <m:sty m:val="p"/>
                    </m:rPr>
                    <w:rPr>
                      <w:rFonts w:ascii="Cambria Math" w:hAnsi="Cambria Math" w:cs="Calibri"/>
                      <w:sz w:val="22"/>
                    </w:rPr>
                    <m:t>,</m:t>
                  </m:r>
                  <m:r>
                    <w:rPr>
                      <w:rFonts w:ascii="Cambria Math" w:hAnsi="Cambria Math" w:cs="Calibri"/>
                      <w:sz w:val="22"/>
                    </w:rPr>
                    <m:t>p</m:t>
                  </m:r>
                </m:sub>
              </m:sSub>
            </m:oMath>
            <w:r w:rsidRPr="00FB1DE6">
              <w:rPr>
                <w:rFonts w:ascii="Calibri" w:hAnsi="Calibri" w:cs="Calibri" w:hint="eastAsia"/>
                <w:sz w:val="22"/>
              </w:rPr>
              <w:t xml:space="preserve"> for every priority class </w:t>
            </w:r>
            <m:oMath>
              <m:r>
                <w:rPr>
                  <w:rFonts w:ascii="Cambria Math" w:hAnsi="Cambria Math" w:cs="Calibri"/>
                  <w:sz w:val="22"/>
                </w:rPr>
                <m:t>p</m:t>
              </m:r>
              <m:r>
                <m:rPr>
                  <m:sty m:val="p"/>
                </m:rPr>
                <w:rPr>
                  <w:rFonts w:ascii="Cambria Math" w:hAnsi="Cambria Math" w:cs="Calibri"/>
                  <w:sz w:val="22"/>
                </w:rPr>
                <m:t>∈</m:t>
              </m:r>
              <m:d>
                <m:dPr>
                  <m:begChr m:val="{"/>
                  <m:endChr m:val="}"/>
                  <m:ctrlPr>
                    <w:rPr>
                      <w:rFonts w:ascii="Cambria Math" w:hAnsi="Cambria Math" w:cs="Calibri"/>
                      <w:sz w:val="22"/>
                    </w:rPr>
                  </m:ctrlPr>
                </m:dPr>
                <m:e>
                  <m:r>
                    <m:rPr>
                      <m:sty m:val="p"/>
                    </m:rPr>
                    <w:rPr>
                      <w:rFonts w:ascii="Cambria Math" w:hAnsi="Cambria Math" w:cs="Calibri"/>
                      <w:sz w:val="22"/>
                    </w:rPr>
                    <m:t>1,2,3,4</m:t>
                  </m:r>
                </m:e>
              </m:d>
            </m:oMath>
            <w:r w:rsidRPr="00FB1DE6">
              <w:rPr>
                <w:rFonts w:ascii="Calibri" w:hAnsi="Calibri" w:cs="Calibri" w:hint="eastAsia"/>
                <w:sz w:val="22"/>
              </w:rPr>
              <w:t>, otherwise</w:t>
            </w:r>
            <w:r>
              <w:rPr>
                <w:rFonts w:asciiTheme="minorEastAsia" w:eastAsiaTheme="minorEastAsia" w:hAnsiTheme="minorEastAsia" w:cs="Calibri" w:hint="eastAsia"/>
                <w:sz w:val="22"/>
                <w:lang w:eastAsia="zh-CN"/>
              </w:rPr>
              <w:t>.</w:t>
            </w:r>
            <w:r>
              <w:rPr>
                <w:rFonts w:asciiTheme="minorEastAsia" w:eastAsiaTheme="minorEastAsia" w:hAnsiTheme="minorEastAsia" w:cs="Calibri"/>
                <w:sz w:val="22"/>
                <w:lang w:eastAsia="zh-CN"/>
              </w:rPr>
              <w:t>.</w:t>
            </w:r>
          </w:p>
          <w:p w14:paraId="6291F369" w14:textId="77777777" w:rsidR="009A6BDC" w:rsidRDefault="009A6BDC" w:rsidP="009A6BDC">
            <w:pPr>
              <w:pStyle w:val="0Maintext"/>
              <w:spacing w:after="0" w:afterAutospacing="0"/>
              <w:ind w:firstLine="0"/>
              <w:rPr>
                <w:rFonts w:eastAsiaTheme="minorEastAsia"/>
                <w:lang w:eastAsia="zh-CN"/>
              </w:rPr>
            </w:pPr>
          </w:p>
          <w:p w14:paraId="14340107" w14:textId="5E2F0535" w:rsidR="009A6BDC" w:rsidRDefault="009A6BDC" w:rsidP="009A6BDC">
            <w:pPr>
              <w:pStyle w:val="0Maintext"/>
              <w:spacing w:after="0" w:afterAutospacing="0"/>
              <w:ind w:firstLine="0"/>
              <w:rPr>
                <w:rFonts w:ascii="Calibri" w:hAnsi="Calibri" w:cs="Calibri"/>
                <w:sz w:val="22"/>
              </w:rPr>
            </w:pPr>
            <w:r>
              <w:rPr>
                <w:rFonts w:ascii="Calibri" w:hAnsi="Calibri" w:cs="Calibri"/>
                <w:sz w:val="22"/>
              </w:rPr>
              <w:t>R</w:t>
            </w:r>
            <w:r w:rsidRPr="001839A9">
              <w:rPr>
                <w:rFonts w:ascii="Calibri" w:hAnsi="Calibri" w:cs="Calibri" w:hint="eastAsia"/>
                <w:sz w:val="22"/>
              </w:rPr>
              <w:t>egarding</w:t>
            </w:r>
            <w:r>
              <w:rPr>
                <w:rFonts w:ascii="Calibri" w:hAnsi="Calibri" w:cs="Calibri"/>
                <w:sz w:val="22"/>
              </w:rPr>
              <w:t xml:space="preserve"> </w:t>
            </w:r>
            <w:r w:rsidRPr="001839A9">
              <w:rPr>
                <w:rFonts w:ascii="Calibri" w:hAnsi="Calibri" w:cs="Calibri" w:hint="eastAsia"/>
                <w:sz w:val="22"/>
              </w:rPr>
              <w:t>the</w:t>
            </w:r>
            <w:r>
              <w:rPr>
                <w:rFonts w:ascii="Calibri" w:hAnsi="Calibri" w:cs="Calibri"/>
                <w:sz w:val="22"/>
              </w:rPr>
              <w:t xml:space="preserve"> </w:t>
            </w:r>
            <w:r w:rsidRPr="00CF6AD2">
              <w:rPr>
                <w:rFonts w:ascii="Calibri" w:hAnsi="Calibri" w:cs="Calibri"/>
                <w:sz w:val="22"/>
              </w:rPr>
              <w:t xml:space="preserve">CW adjustment for </w:t>
            </w:r>
            <w:r>
              <w:rPr>
                <w:rFonts w:ascii="Calibri" w:hAnsi="Calibri" w:cs="Calibri"/>
                <w:sz w:val="22"/>
              </w:rPr>
              <w:t>uni</w:t>
            </w:r>
            <w:r w:rsidRPr="00CF6AD2">
              <w:rPr>
                <w:rFonts w:ascii="Calibri" w:hAnsi="Calibri" w:cs="Calibri"/>
                <w:sz w:val="22"/>
              </w:rPr>
              <w:t>cast</w:t>
            </w:r>
            <w:r>
              <w:rPr>
                <w:rFonts w:ascii="Calibri" w:hAnsi="Calibri" w:cs="Calibri"/>
                <w:sz w:val="22"/>
              </w:rPr>
              <w:t xml:space="preserve">, we see option 2 mentions the reference burst, in our understanding, for all the cast type, the CWp is adjusted based on HARQ feedback in the reference burst. We can either remove the option 2 for unicast case, or we add description of reference burst for all the cast types. </w:t>
            </w:r>
            <w:r w:rsidR="00D01D0D">
              <w:rPr>
                <w:rFonts w:ascii="Calibri" w:hAnsi="Calibri" w:cs="Calibri"/>
                <w:sz w:val="22"/>
              </w:rPr>
              <w:t>S</w:t>
            </w:r>
            <w:r>
              <w:rPr>
                <w:rFonts w:ascii="Calibri" w:hAnsi="Calibri" w:cs="Calibri"/>
                <w:sz w:val="22"/>
              </w:rPr>
              <w:t>ince we have FFS on the reference burst, our preference is to remove the option 2 for unicast.</w:t>
            </w:r>
          </w:p>
          <w:p w14:paraId="2A182304" w14:textId="77777777" w:rsidR="009A6BDC" w:rsidRDefault="009A6BDC" w:rsidP="009A6BDC">
            <w:pPr>
              <w:pStyle w:val="0Maintext"/>
              <w:spacing w:after="0" w:afterAutospacing="0"/>
              <w:ind w:firstLine="0"/>
              <w:rPr>
                <w:rFonts w:eastAsiaTheme="minorEastAsia"/>
                <w:lang w:eastAsia="zh-CN"/>
              </w:rPr>
            </w:pPr>
          </w:p>
          <w:p w14:paraId="1FCB3987" w14:textId="7B041024" w:rsidR="009A6BDC" w:rsidRDefault="009A6BDC" w:rsidP="009A6BDC">
            <w:pPr>
              <w:pStyle w:val="0Maintext"/>
              <w:spacing w:after="0" w:afterAutospacing="0"/>
              <w:ind w:firstLine="0"/>
            </w:pPr>
            <w:r w:rsidRPr="003B4E37">
              <w:rPr>
                <w:rFonts w:ascii="Calibri" w:hAnsi="Calibri" w:cs="Calibri"/>
                <w:sz w:val="22"/>
              </w:rPr>
              <w:t>Regarding the CBR/CR based solution, we wonder whether CBR/CR for congestion control is still supported for SLU or not.  Related discussion should be performed before discussing such solution.</w:t>
            </w:r>
          </w:p>
        </w:tc>
      </w:tr>
      <w:tr w:rsidR="00C55F84" w14:paraId="46192924" w14:textId="77777777" w:rsidTr="009042CD">
        <w:tc>
          <w:tcPr>
            <w:tcW w:w="1555" w:type="dxa"/>
          </w:tcPr>
          <w:p w14:paraId="617D0690" w14:textId="5A98246D" w:rsidR="00C55F84" w:rsidRDefault="00C55F84" w:rsidP="006B2419">
            <w:pPr>
              <w:pStyle w:val="0Maintext"/>
              <w:spacing w:after="0" w:afterAutospacing="0"/>
              <w:ind w:firstLine="0"/>
            </w:pPr>
            <w:r>
              <w:rPr>
                <w:rFonts w:eastAsiaTheme="minorEastAsia" w:hint="eastAsia"/>
                <w:lang w:eastAsia="zh-CN"/>
              </w:rPr>
              <w:t>Sharp</w:t>
            </w:r>
          </w:p>
        </w:tc>
        <w:tc>
          <w:tcPr>
            <w:tcW w:w="8079" w:type="dxa"/>
          </w:tcPr>
          <w:p w14:paraId="677D1EF2" w14:textId="4443B83F" w:rsidR="00C55F84" w:rsidRDefault="00C55F84" w:rsidP="006B2419">
            <w:pPr>
              <w:pStyle w:val="0Maintext"/>
              <w:spacing w:after="0" w:afterAutospacing="0"/>
              <w:ind w:firstLine="0"/>
            </w:pPr>
            <w:r>
              <w:rPr>
                <w:rFonts w:eastAsiaTheme="minorEastAsia" w:hint="eastAsia"/>
                <w:lang w:eastAsia="zh-CN"/>
              </w:rPr>
              <w:t>We support the FL proposal to list all options on the table.</w:t>
            </w:r>
          </w:p>
        </w:tc>
      </w:tr>
      <w:tr w:rsidR="001E5BBA" w14:paraId="4766D365" w14:textId="77777777" w:rsidTr="009042CD">
        <w:tc>
          <w:tcPr>
            <w:tcW w:w="1555" w:type="dxa"/>
          </w:tcPr>
          <w:p w14:paraId="4E4C3440" w14:textId="3573D360" w:rsidR="001E5BBA" w:rsidRDefault="001E5BBA" w:rsidP="001E5BBA">
            <w:pPr>
              <w:pStyle w:val="0Maintext"/>
              <w:spacing w:after="0" w:afterAutospacing="0"/>
              <w:ind w:firstLine="0"/>
            </w:pPr>
            <w:r>
              <w:lastRenderedPageBreak/>
              <w:t>Lenovo</w:t>
            </w:r>
          </w:p>
        </w:tc>
        <w:tc>
          <w:tcPr>
            <w:tcW w:w="8079" w:type="dxa"/>
          </w:tcPr>
          <w:p w14:paraId="3780D94D" w14:textId="77777777" w:rsidR="001E5BBA" w:rsidRDefault="001E5BBA" w:rsidP="001E5BBA">
            <w:pPr>
              <w:pStyle w:val="0Maintext"/>
              <w:spacing w:after="0" w:afterAutospacing="0"/>
              <w:ind w:firstLine="0"/>
            </w:pPr>
            <w:r>
              <w:t xml:space="preserve">The proposal seems to be a good intermediate step for future discussion. We suggest to add another top-level bullet (i.e. applicable to all cases) based on corresponding NR-U CWS rule (cf. 37.213 </w:t>
            </w:r>
            <w:r>
              <w:rPr>
                <w:rFonts w:eastAsiaTheme="minorEastAsia"/>
                <w:lang w:eastAsia="zh-CN"/>
              </w:rPr>
              <w:t>clause 4.2.2.3)</w:t>
            </w:r>
            <w:r>
              <w:t>:</w:t>
            </w:r>
          </w:p>
          <w:p w14:paraId="651D2720" w14:textId="77777777" w:rsidR="001E5BBA" w:rsidRDefault="001E5BBA" w:rsidP="001E5BBA">
            <w:pPr>
              <w:pStyle w:val="0Maintext"/>
              <w:spacing w:after="0" w:afterAutospacing="0"/>
              <w:ind w:firstLine="0"/>
              <w:rPr>
                <w:rFonts w:eastAsiaTheme="minorEastAsia"/>
                <w:lang w:eastAsia="zh-CN"/>
              </w:rPr>
            </w:pPr>
          </w:p>
          <w:p w14:paraId="63898EC0" w14:textId="77777777" w:rsidR="001E5BBA" w:rsidRDefault="001E5BBA">
            <w:pPr>
              <w:pStyle w:val="B1"/>
              <w:numPr>
                <w:ilvl w:val="0"/>
                <w:numId w:val="53"/>
              </w:numPr>
            </w:pPr>
            <w:r w:rsidRPr="00ED3A03">
              <w:t xml:space="preserve">If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max,</m:t>
                      </m:r>
                    </m:fName>
                    <m:e>
                      <m:r>
                        <w:rPr>
                          <w:rFonts w:ascii="Cambria Math" w:hAnsi="Cambria Math"/>
                        </w:rPr>
                        <m:t>p</m:t>
                      </m:r>
                    </m:e>
                  </m:func>
                </m:sub>
              </m:sSub>
            </m:oMath>
            <w:r w:rsidRPr="00ED3A03">
              <w:t xml:space="preserve">, the next higher allowed value for adjusting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ED3A03">
              <w:t xml:space="preserve"> is </w:t>
            </w:r>
            <m:oMath>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max,</m:t>
                      </m:r>
                    </m:fName>
                    <m:e>
                      <m:r>
                        <w:rPr>
                          <w:rFonts w:ascii="Cambria Math" w:hAnsi="Cambria Math"/>
                        </w:rPr>
                        <m:t>p</m:t>
                      </m:r>
                    </m:e>
                  </m:func>
                </m:sub>
              </m:sSub>
            </m:oMath>
            <w:r w:rsidRPr="00ED3A03">
              <w:t>.</w:t>
            </w:r>
          </w:p>
          <w:p w14:paraId="516C6B8D" w14:textId="2F54CEAD" w:rsidR="001E5BBA" w:rsidRDefault="001E5BBA">
            <w:pPr>
              <w:pStyle w:val="B1"/>
              <w:numPr>
                <w:ilvl w:val="0"/>
                <w:numId w:val="53"/>
              </w:numPr>
            </w:pPr>
            <w:r w:rsidRPr="001E5BBA">
              <w:rPr>
                <w:lang w:val="en-US"/>
              </w:rPr>
              <w:t xml:space="preserve">If the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max,</m:t>
                      </m:r>
                    </m:fName>
                    <m:e>
                      <m:r>
                        <w:rPr>
                          <w:rFonts w:ascii="Cambria Math" w:hAnsi="Cambria Math"/>
                        </w:rPr>
                        <m:t>p</m:t>
                      </m:r>
                    </m:e>
                  </m:func>
                </m:sub>
              </m:sSub>
            </m:oMath>
            <w:r w:rsidRPr="001E5BBA">
              <w:rPr>
                <w:lang w:val="en-US"/>
              </w:rPr>
              <w:t xml:space="preserve"> is consecutively used </w:t>
            </w:r>
            <m:oMath>
              <m:r>
                <w:rPr>
                  <w:rFonts w:ascii="Cambria Math" w:hAnsi="Cambria Math"/>
                </w:rPr>
                <m:t>K</m:t>
              </m:r>
            </m:oMath>
            <w:r w:rsidRPr="001E5BBA">
              <w:rPr>
                <w:lang w:val="en-US"/>
              </w:rPr>
              <w:t xml:space="preserve"> times for generation of </w:t>
            </w:r>
            <m:oMath>
              <m:sSub>
                <m:sSubPr>
                  <m:ctrlPr>
                    <w:rPr>
                      <w:rFonts w:ascii="Cambria Math" w:hAnsi="Cambria Math"/>
                      <w:i/>
                    </w:rPr>
                  </m:ctrlPr>
                </m:sSubPr>
                <m:e>
                  <m:r>
                    <w:rPr>
                      <w:rFonts w:ascii="Cambria Math" w:hAnsi="Cambria Math"/>
                    </w:rPr>
                    <m:t>N</m:t>
                  </m:r>
                </m:e>
                <m:sub>
                  <m:r>
                    <w:rPr>
                      <w:rFonts w:ascii="Cambria Math" w:hAnsi="Cambria Math"/>
                    </w:rPr>
                    <m:t>init</m:t>
                  </m:r>
                </m:sub>
              </m:sSub>
            </m:oMath>
            <w:r w:rsidRPr="00ED3A03">
              <w:t xml:space="preserv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1E5BBA">
              <w:rPr>
                <w:lang w:val="en-US"/>
              </w:rPr>
              <w:t xml:space="preserve"> is reset to </w:t>
            </w:r>
            <m:oMath>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min,</m:t>
                      </m:r>
                    </m:fName>
                    <m:e>
                      <m:r>
                        <w:rPr>
                          <w:rFonts w:ascii="Cambria Math" w:hAnsi="Cambria Math"/>
                        </w:rPr>
                        <m:t>p</m:t>
                      </m:r>
                    </m:e>
                  </m:func>
                </m:sub>
              </m:sSub>
            </m:oMath>
            <w:r w:rsidRPr="00ED3A03">
              <w:t xml:space="preserve"> only for that priority class </w:t>
            </w:r>
            <m:oMath>
              <m:r>
                <w:rPr>
                  <w:rFonts w:ascii="Cambria Math" w:hAnsi="Cambria Math"/>
                </w:rPr>
                <m:t>p</m:t>
              </m:r>
            </m:oMath>
            <w:r w:rsidRPr="00ED3A03">
              <w:t xml:space="preserve"> for which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max,</m:t>
                      </m:r>
                    </m:fName>
                    <m:e>
                      <m:r>
                        <w:rPr>
                          <w:rFonts w:ascii="Cambria Math" w:hAnsi="Cambria Math"/>
                        </w:rPr>
                        <m:t>p</m:t>
                      </m:r>
                    </m:e>
                  </m:func>
                </m:sub>
              </m:sSub>
            </m:oMath>
            <w:r w:rsidRPr="001E5BBA">
              <w:rPr>
                <w:lang w:val="en-US"/>
              </w:rPr>
              <w:t xml:space="preserve"> is consecutively used </w:t>
            </w:r>
            <m:oMath>
              <m:r>
                <w:rPr>
                  <w:rFonts w:ascii="Cambria Math" w:hAnsi="Cambria Math"/>
                </w:rPr>
                <m:t>K</m:t>
              </m:r>
            </m:oMath>
            <w:r w:rsidRPr="001E5BBA">
              <w:rPr>
                <w:lang w:val="en-US"/>
              </w:rPr>
              <w:t xml:space="preserve"> times for generation of </w:t>
            </w:r>
            <m:oMath>
              <m:sSub>
                <m:sSubPr>
                  <m:ctrlPr>
                    <w:rPr>
                      <w:rFonts w:ascii="Cambria Math" w:hAnsi="Cambria Math"/>
                      <w:i/>
                    </w:rPr>
                  </m:ctrlPr>
                </m:sSubPr>
                <m:e>
                  <m:r>
                    <w:rPr>
                      <w:rFonts w:ascii="Cambria Math" w:hAnsi="Cambria Math"/>
                    </w:rPr>
                    <m:t>N</m:t>
                  </m:r>
                </m:e>
                <m:sub>
                  <m:r>
                    <w:rPr>
                      <w:rFonts w:ascii="Cambria Math" w:hAnsi="Cambria Math"/>
                    </w:rPr>
                    <m:t>init</m:t>
                  </m:r>
                </m:sub>
              </m:sSub>
            </m:oMath>
            <w:r w:rsidRPr="00ED3A03">
              <w:t xml:space="preserve">. </w:t>
            </w:r>
            <m:oMath>
              <m:r>
                <w:rPr>
                  <w:rFonts w:ascii="Cambria Math" w:hAnsi="Cambria Math"/>
                </w:rPr>
                <m:t>K</m:t>
              </m:r>
            </m:oMath>
            <w:r w:rsidRPr="001E5BBA">
              <w:rPr>
                <w:lang w:val="en-US"/>
              </w:rPr>
              <w:t xml:space="preserve"> is selected by UE from the set of values {1, 2, …,8} for each priority class</w:t>
            </w:r>
            <w:r w:rsidRPr="00ED3A03">
              <w:t xml:space="preserve"> </w:t>
            </w:r>
            <m:oMath>
              <m:r>
                <w:rPr>
                  <w:rFonts w:ascii="Cambria Math" w:hAnsi="Cambria Math"/>
                </w:rPr>
                <m:t>p∈</m:t>
              </m:r>
              <m:d>
                <m:dPr>
                  <m:begChr m:val="{"/>
                  <m:endChr m:val="}"/>
                  <m:ctrlPr>
                    <w:rPr>
                      <w:rFonts w:ascii="Cambria Math" w:hAnsi="Cambria Math"/>
                      <w:i/>
                    </w:rPr>
                  </m:ctrlPr>
                </m:dPr>
                <m:e>
                  <m:r>
                    <w:rPr>
                      <w:rFonts w:ascii="Cambria Math" w:hAnsi="Cambria Math"/>
                    </w:rPr>
                    <m:t>1,2,3,4</m:t>
                  </m:r>
                </m:e>
              </m:d>
            </m:oMath>
            <w:r w:rsidRPr="001E5BBA">
              <w:rPr>
                <w:lang w:val="en-US"/>
              </w:rPr>
              <w:t>.</w:t>
            </w:r>
          </w:p>
        </w:tc>
      </w:tr>
      <w:tr w:rsidR="00650E3B" w14:paraId="491DE5EC" w14:textId="77777777" w:rsidTr="009042CD">
        <w:tc>
          <w:tcPr>
            <w:tcW w:w="1555" w:type="dxa"/>
          </w:tcPr>
          <w:p w14:paraId="4EC894FE" w14:textId="6BDD9C14" w:rsidR="00650E3B" w:rsidRDefault="00D01D0D" w:rsidP="00650E3B">
            <w:pPr>
              <w:pStyle w:val="0Maintext"/>
              <w:spacing w:after="0" w:afterAutospacing="0"/>
              <w:ind w:firstLine="0"/>
            </w:pPr>
            <w:r>
              <w:rPr>
                <w:rFonts w:eastAsiaTheme="minorEastAsia"/>
                <w:lang w:eastAsia="zh-CN"/>
              </w:rPr>
              <w:t>X</w:t>
            </w:r>
            <w:r w:rsidR="00650E3B">
              <w:rPr>
                <w:rFonts w:eastAsiaTheme="minorEastAsia"/>
                <w:lang w:eastAsia="zh-CN"/>
              </w:rPr>
              <w:t>iaomi</w:t>
            </w:r>
          </w:p>
        </w:tc>
        <w:tc>
          <w:tcPr>
            <w:tcW w:w="8079" w:type="dxa"/>
          </w:tcPr>
          <w:p w14:paraId="6B341BDD" w14:textId="0C36C3F6" w:rsidR="00650E3B" w:rsidRDefault="00650E3B" w:rsidP="00650E3B">
            <w:pPr>
              <w:pStyle w:val="0Maintext"/>
              <w:spacing w:after="0" w:afterAutospacing="0"/>
              <w:ind w:firstLine="0"/>
            </w:pPr>
            <w:r>
              <w:t xml:space="preserve"> We follow the majority view.</w:t>
            </w:r>
          </w:p>
        </w:tc>
      </w:tr>
      <w:tr w:rsidR="000279F7" w14:paraId="1EA7A911" w14:textId="77777777" w:rsidTr="000279F7">
        <w:tc>
          <w:tcPr>
            <w:tcW w:w="1555" w:type="dxa"/>
          </w:tcPr>
          <w:p w14:paraId="69643D16" w14:textId="77777777" w:rsidR="000279F7" w:rsidRPr="007969EF" w:rsidRDefault="000279F7" w:rsidP="000F6488">
            <w:pPr>
              <w:pStyle w:val="0Maintext"/>
              <w:spacing w:after="0" w:afterAutospacing="0"/>
              <w:ind w:firstLine="0"/>
              <w:rPr>
                <w:rFonts w:eastAsiaTheme="minorEastAsia"/>
                <w:lang w:eastAsia="zh-CN"/>
              </w:rPr>
            </w:pPr>
            <w:r>
              <w:rPr>
                <w:rFonts w:eastAsiaTheme="minorEastAsia" w:hint="eastAsia"/>
                <w:lang w:eastAsia="zh-CN"/>
              </w:rPr>
              <w:t>ZTE,Sanechips</w:t>
            </w:r>
          </w:p>
        </w:tc>
        <w:tc>
          <w:tcPr>
            <w:tcW w:w="8079" w:type="dxa"/>
          </w:tcPr>
          <w:p w14:paraId="45886BD4" w14:textId="77777777" w:rsidR="000279F7" w:rsidRDefault="000279F7" w:rsidP="000F6488">
            <w:pPr>
              <w:pStyle w:val="0Maintext"/>
              <w:spacing w:after="0" w:afterAutospacing="0"/>
              <w:ind w:firstLine="0"/>
              <w:rPr>
                <w:rFonts w:eastAsiaTheme="minorEastAsia"/>
                <w:lang w:eastAsia="zh-CN"/>
              </w:rPr>
            </w:pPr>
            <w:r>
              <w:rPr>
                <w:rFonts w:eastAsiaTheme="minorEastAsia" w:hint="eastAsia"/>
                <w:lang w:eastAsia="zh-CN"/>
              </w:rPr>
              <w:t>Similar view as LGE that ACK only does not bring additional gain compared with NACK only. The common ACK approach proposed by us in the first round should be replacing this one or taken as another option.</w:t>
            </w:r>
          </w:p>
          <w:p w14:paraId="1D9D8101" w14:textId="77777777" w:rsidR="000279F7" w:rsidRDefault="000279F7" w:rsidP="000F6488">
            <w:pPr>
              <w:pStyle w:val="0Maintext"/>
              <w:spacing w:after="0" w:afterAutospacing="0"/>
              <w:ind w:firstLine="0"/>
              <w:rPr>
                <w:rFonts w:eastAsiaTheme="minorEastAsia"/>
                <w:lang w:eastAsia="zh-CN"/>
              </w:rPr>
            </w:pPr>
            <w:r>
              <w:rPr>
                <w:rFonts w:eastAsiaTheme="minorEastAsia" w:hint="eastAsia"/>
                <w:lang w:eastAsia="zh-CN"/>
              </w:rPr>
              <w:t>Regarding the change to GC option 1, we think the concept of ratio being the received ACK is more meaning and can be supported. We can FFS NACK or ACK+NACK cases.</w:t>
            </w:r>
          </w:p>
          <w:p w14:paraId="3E6AC6CD" w14:textId="77777777" w:rsidR="000279F7" w:rsidRDefault="000279F7" w:rsidP="000F6488">
            <w:pPr>
              <w:pStyle w:val="ListParagraph"/>
              <w:numPr>
                <w:ilvl w:val="2"/>
                <w:numId w:val="18"/>
              </w:numPr>
              <w:autoSpaceDE w:val="0"/>
              <w:autoSpaceDN w:val="0"/>
              <w:ind w:leftChars="0"/>
              <w:jc w:val="both"/>
              <w:rPr>
                <w:rFonts w:ascii="Calibri" w:hAnsi="Calibri" w:cs="Calibri"/>
                <w:sz w:val="22"/>
              </w:rPr>
            </w:pPr>
            <w:r w:rsidRPr="00EA768E">
              <w:rPr>
                <w:rFonts w:ascii="Calibri" w:hAnsi="Calibri" w:cs="Calibri"/>
                <w:color w:val="FF0000"/>
                <w:sz w:val="22"/>
                <w:lang w:val="en-AU"/>
              </w:rPr>
              <w:t xml:space="preserve">Option 1: </w:t>
            </w:r>
            <w:r w:rsidRPr="00CF6AD2">
              <w:rPr>
                <w:rFonts w:ascii="Calibri" w:hAnsi="Calibri" w:cs="Calibri" w:hint="eastAsia"/>
                <w:sz w:val="22"/>
                <w:lang w:val="en-AU"/>
              </w:rPr>
              <w:t>When a (pre-)configurable ratio of received SL HARQ-ACK feedbacks</w:t>
            </w:r>
            <w:r w:rsidRPr="001C4C5E">
              <w:rPr>
                <w:rFonts w:ascii="Calibri" w:hAnsi="Calibri" w:cs="Calibri" w:hint="eastAsia"/>
                <w:strike/>
                <w:color w:val="FF0000"/>
                <w:sz w:val="22"/>
                <w:lang w:val="en-AU"/>
              </w:rPr>
              <w:t xml:space="preserve"> is </w:t>
            </w:r>
            <w:r w:rsidRPr="001C4C5E">
              <w:rPr>
                <w:rFonts w:ascii="Calibri" w:hAnsi="Calibri" w:cs="Calibri" w:hint="eastAsia"/>
                <w:strike/>
                <w:color w:val="FF0000"/>
                <w:sz w:val="22"/>
                <w:lang w:val="en-AU"/>
              </w:rPr>
              <w:t>‘</w:t>
            </w:r>
            <w:r w:rsidRPr="001C4C5E">
              <w:rPr>
                <w:rFonts w:ascii="Calibri" w:hAnsi="Calibri" w:cs="Calibri" w:hint="eastAsia"/>
                <w:strike/>
                <w:color w:val="FF0000"/>
                <w:sz w:val="22"/>
                <w:lang w:val="en-AU"/>
              </w:rPr>
              <w:t>ACK</w:t>
            </w:r>
            <w:r w:rsidRPr="001C4C5E">
              <w:rPr>
                <w:rFonts w:ascii="Calibri" w:hAnsi="Calibri" w:cs="Calibri" w:hint="eastAsia"/>
                <w:strike/>
                <w:color w:val="FF0000"/>
                <w:sz w:val="22"/>
                <w:lang w:val="en-AU"/>
              </w:rPr>
              <w:t>’</w:t>
            </w:r>
            <w:r w:rsidRPr="00CF6AD2">
              <w:rPr>
                <w:rFonts w:ascii="Calibri" w:hAnsi="Calibri" w:cs="Calibri" w:hint="eastAsia"/>
                <w:sz w:val="22"/>
                <w:lang w:val="en-AU"/>
              </w:rPr>
              <w:t xml:space="preserve">, </w:t>
            </w:r>
            <m:oMath>
              <m:r>
                <w:rPr>
                  <w:rFonts w:ascii="Cambria Math" w:hAnsi="Cambria Math" w:cs="Calibri"/>
                  <w:sz w:val="22"/>
                </w:rPr>
                <m:t>C</m:t>
              </m:r>
              <m:sSub>
                <m:sSubPr>
                  <m:ctrlPr>
                    <w:rPr>
                      <w:rFonts w:ascii="Cambria Math" w:hAnsi="Cambria Math" w:cs="Calibri"/>
                      <w:i/>
                      <w:iCs/>
                      <w:sz w:val="22"/>
                    </w:rPr>
                  </m:ctrlPr>
                </m:sSubPr>
                <m:e>
                  <m:r>
                    <w:rPr>
                      <w:rFonts w:ascii="Cambria Math" w:hAnsi="Cambria Math" w:cs="Calibri"/>
                      <w:sz w:val="22"/>
                    </w:rPr>
                    <m:t>W</m:t>
                  </m:r>
                </m:e>
                <m:sub>
                  <m:r>
                    <w:rPr>
                      <w:rFonts w:ascii="Cambria Math" w:hAnsi="Cambria Math" w:cs="Calibri"/>
                      <w:sz w:val="22"/>
                    </w:rPr>
                    <m:t>p</m:t>
                  </m:r>
                </m:sub>
              </m:sSub>
            </m:oMath>
            <w:r w:rsidRPr="00CF6AD2">
              <w:rPr>
                <w:rFonts w:ascii="Calibri" w:hAnsi="Calibri" w:cs="Calibri" w:hint="eastAsia"/>
                <w:sz w:val="22"/>
                <w:lang w:val="en-AU"/>
              </w:rPr>
              <w:t xml:space="preserve"> is reset to </w:t>
            </w:r>
            <m:oMath>
              <m:r>
                <w:rPr>
                  <w:rFonts w:ascii="Cambria Math" w:hAnsi="Cambria Math" w:cs="Calibri"/>
                  <w:sz w:val="22"/>
                </w:rPr>
                <m:t>C</m:t>
              </m:r>
              <m:sSub>
                <m:sSubPr>
                  <m:ctrlPr>
                    <w:rPr>
                      <w:rFonts w:ascii="Cambria Math" w:hAnsi="Cambria Math" w:cs="Calibri"/>
                      <w:i/>
                      <w:iCs/>
                      <w:sz w:val="22"/>
                    </w:rPr>
                  </m:ctrlPr>
                </m:sSubPr>
                <m:e>
                  <m:r>
                    <w:rPr>
                      <w:rFonts w:ascii="Cambria Math" w:hAnsi="Cambria Math" w:cs="Calibri"/>
                      <w:sz w:val="22"/>
                    </w:rPr>
                    <m:t>W</m:t>
                  </m:r>
                </m:e>
                <m:sub>
                  <m:r>
                    <w:rPr>
                      <w:rFonts w:ascii="Cambria Math" w:hAnsi="Cambria Math" w:cs="Calibri"/>
                      <w:sz w:val="22"/>
                      <w:lang w:val="en-AU"/>
                    </w:rPr>
                    <m:t>min,</m:t>
                  </m:r>
                  <m:r>
                    <w:rPr>
                      <w:rFonts w:ascii="Cambria Math" w:hAnsi="Cambria Math" w:cs="Calibri"/>
                      <w:sz w:val="22"/>
                    </w:rPr>
                    <m:t>p</m:t>
                  </m:r>
                </m:sub>
              </m:sSub>
            </m:oMath>
            <w:r w:rsidRPr="00CF6AD2">
              <w:rPr>
                <w:rFonts w:ascii="Calibri" w:hAnsi="Calibri" w:cs="Calibri" w:hint="eastAsia"/>
                <w:i/>
                <w:iCs/>
                <w:sz w:val="22"/>
                <w:lang w:val="en-AU"/>
              </w:rPr>
              <w:t xml:space="preserve"> </w:t>
            </w:r>
            <w:r w:rsidRPr="00CF6AD2">
              <w:rPr>
                <w:rFonts w:ascii="Calibri" w:hAnsi="Calibri" w:cs="Calibri" w:hint="eastAsia"/>
                <w:sz w:val="22"/>
                <w:lang w:val="en-AU"/>
              </w:rPr>
              <w:t xml:space="preserve">for every priority class </w:t>
            </w:r>
            <m:oMath>
              <m:r>
                <w:rPr>
                  <w:rFonts w:ascii="Cambria Math" w:hAnsi="Cambria Math" w:cs="Calibri"/>
                  <w:sz w:val="22"/>
                </w:rPr>
                <m:t>p∈</m:t>
              </m:r>
              <m:d>
                <m:dPr>
                  <m:begChr m:val="{"/>
                  <m:endChr m:val="}"/>
                  <m:ctrlPr>
                    <w:rPr>
                      <w:rFonts w:ascii="Cambria Math" w:hAnsi="Cambria Math" w:cs="Calibri"/>
                      <w:i/>
                      <w:iCs/>
                      <w:sz w:val="22"/>
                    </w:rPr>
                  </m:ctrlPr>
                </m:dPr>
                <m:e>
                  <m:r>
                    <w:rPr>
                      <w:rFonts w:ascii="Cambria Math" w:hAnsi="Cambria Math" w:cs="Calibri"/>
                      <w:sz w:val="22"/>
                    </w:rPr>
                    <m:t>1,2,3,4</m:t>
                  </m:r>
                </m:e>
              </m:d>
            </m:oMath>
            <w:r w:rsidRPr="00CF6AD2">
              <w:rPr>
                <w:rFonts w:ascii="Calibri" w:hAnsi="Calibri" w:cs="Calibri" w:hint="eastAsia"/>
                <w:sz w:val="22"/>
                <w:lang w:val="en-AU"/>
              </w:rPr>
              <w:t xml:space="preserve">, otherwise </w:t>
            </w:r>
            <w:r w:rsidRPr="00CF6AD2">
              <w:rPr>
                <w:rFonts w:ascii="Calibri" w:hAnsi="Calibri" w:cs="Calibri" w:hint="eastAsia"/>
                <w:sz w:val="22"/>
              </w:rPr>
              <w:t xml:space="preserve">increase </w:t>
            </w:r>
            <m:oMath>
              <m:r>
                <w:rPr>
                  <w:rFonts w:ascii="Cambria Math" w:hAnsi="Cambria Math" w:cs="Calibri"/>
                  <w:sz w:val="22"/>
                </w:rPr>
                <m:t>C</m:t>
              </m:r>
              <m:sSub>
                <m:sSubPr>
                  <m:ctrlPr>
                    <w:rPr>
                      <w:rFonts w:ascii="Cambria Math" w:hAnsi="Cambria Math" w:cs="Calibri"/>
                      <w:i/>
                      <w:iCs/>
                      <w:sz w:val="22"/>
                    </w:rPr>
                  </m:ctrlPr>
                </m:sSubPr>
                <m:e>
                  <m:r>
                    <w:rPr>
                      <w:rFonts w:ascii="Cambria Math" w:hAnsi="Cambria Math" w:cs="Calibri"/>
                      <w:sz w:val="22"/>
                    </w:rPr>
                    <m:t>W</m:t>
                  </m:r>
                </m:e>
                <m:sub>
                  <m:r>
                    <w:rPr>
                      <w:rFonts w:ascii="Cambria Math" w:hAnsi="Cambria Math" w:cs="Calibri"/>
                      <w:sz w:val="22"/>
                    </w:rPr>
                    <m:t>p</m:t>
                  </m:r>
                </m:sub>
              </m:sSub>
            </m:oMath>
            <w:r w:rsidRPr="00CF6AD2">
              <w:rPr>
                <w:rFonts w:ascii="Calibri" w:hAnsi="Calibri" w:cs="Calibri" w:hint="eastAsia"/>
                <w:sz w:val="22"/>
              </w:rPr>
              <w:t xml:space="preserve"> for every priority class </w:t>
            </w:r>
            <m:oMath>
              <m:r>
                <w:rPr>
                  <w:rFonts w:ascii="Cambria Math" w:hAnsi="Cambria Math" w:cs="Calibri"/>
                  <w:sz w:val="22"/>
                </w:rPr>
                <m:t>p∈</m:t>
              </m:r>
              <m:d>
                <m:dPr>
                  <m:begChr m:val="{"/>
                  <m:endChr m:val="}"/>
                  <m:ctrlPr>
                    <w:rPr>
                      <w:rFonts w:ascii="Cambria Math" w:hAnsi="Cambria Math" w:cs="Calibri"/>
                      <w:i/>
                      <w:iCs/>
                      <w:sz w:val="22"/>
                    </w:rPr>
                  </m:ctrlPr>
                </m:dPr>
                <m:e>
                  <m:r>
                    <w:rPr>
                      <w:rFonts w:ascii="Cambria Math" w:hAnsi="Cambria Math" w:cs="Calibri"/>
                      <w:sz w:val="22"/>
                    </w:rPr>
                    <m:t>1,2,3,4</m:t>
                  </m:r>
                </m:e>
              </m:d>
            </m:oMath>
            <w:r w:rsidRPr="00CF6AD2">
              <w:rPr>
                <w:rFonts w:ascii="Calibri" w:hAnsi="Calibri" w:cs="Calibri" w:hint="eastAsia"/>
                <w:sz w:val="22"/>
              </w:rPr>
              <w:t xml:space="preserve"> to the next higher allowed value.</w:t>
            </w:r>
          </w:p>
          <w:p w14:paraId="21596C3C" w14:textId="77777777" w:rsidR="000279F7" w:rsidRDefault="000279F7" w:rsidP="000F6488">
            <w:pPr>
              <w:pStyle w:val="ListParagraph"/>
              <w:numPr>
                <w:ilvl w:val="3"/>
                <w:numId w:val="18"/>
              </w:numPr>
              <w:autoSpaceDE w:val="0"/>
              <w:autoSpaceDN w:val="0"/>
              <w:ind w:leftChars="0"/>
              <w:jc w:val="both"/>
              <w:rPr>
                <w:rFonts w:ascii="Calibri" w:hAnsi="Calibri" w:cs="Calibri"/>
                <w:color w:val="FF0000"/>
                <w:sz w:val="22"/>
              </w:rPr>
            </w:pPr>
            <w:r w:rsidRPr="001C4C5E">
              <w:rPr>
                <w:rFonts w:ascii="Calibri" w:hAnsi="Calibri" w:cs="Calibri"/>
                <w:color w:val="FF0000"/>
                <w:sz w:val="22"/>
              </w:rPr>
              <w:t>FFS: whether the ratio of the received SL HARQ-ACK feedbacks is ‘ACK’, ‘NACK’ or ‘ACK+NACK’</w:t>
            </w:r>
          </w:p>
          <w:p w14:paraId="7E99F164" w14:textId="77777777" w:rsidR="000279F7" w:rsidRDefault="000279F7" w:rsidP="000F6488">
            <w:pPr>
              <w:pStyle w:val="ListParagraph"/>
              <w:numPr>
                <w:ilvl w:val="3"/>
                <w:numId w:val="18"/>
              </w:numPr>
              <w:autoSpaceDE w:val="0"/>
              <w:autoSpaceDN w:val="0"/>
              <w:ind w:leftChars="0"/>
              <w:jc w:val="both"/>
              <w:rPr>
                <w:rFonts w:ascii="Calibri" w:hAnsi="Calibri" w:cs="Calibri"/>
                <w:color w:val="FF0000"/>
                <w:sz w:val="22"/>
              </w:rPr>
            </w:pPr>
            <w:r>
              <w:rPr>
                <w:rFonts w:ascii="Calibri" w:hAnsi="Calibri" w:cs="Calibri"/>
                <w:color w:val="FF0000"/>
                <w:sz w:val="22"/>
              </w:rPr>
              <w:t>FFS: how to calculate the ratio</w:t>
            </w:r>
          </w:p>
          <w:p w14:paraId="773746E5" w14:textId="464D8F10" w:rsidR="000279F7" w:rsidRPr="000279F7" w:rsidRDefault="000279F7" w:rsidP="000279F7">
            <w:pPr>
              <w:pStyle w:val="ListParagraph"/>
              <w:numPr>
                <w:ilvl w:val="3"/>
                <w:numId w:val="18"/>
              </w:numPr>
              <w:autoSpaceDE w:val="0"/>
              <w:autoSpaceDN w:val="0"/>
              <w:ind w:leftChars="0"/>
              <w:jc w:val="both"/>
              <w:rPr>
                <w:rFonts w:ascii="Calibri" w:hAnsi="Calibri" w:cs="Calibri"/>
                <w:color w:val="FF0000"/>
                <w:sz w:val="22"/>
              </w:rPr>
            </w:pPr>
            <w:r>
              <w:rPr>
                <w:rFonts w:ascii="Calibri" w:hAnsi="Calibri" w:cs="Calibri"/>
                <w:color w:val="FF0000"/>
                <w:sz w:val="22"/>
              </w:rPr>
              <w:t>FFS: the (pre-)configuration ratio values</w:t>
            </w:r>
          </w:p>
        </w:tc>
      </w:tr>
      <w:tr w:rsidR="00E41CC5" w14:paraId="06064128" w14:textId="77777777" w:rsidTr="000279F7">
        <w:tc>
          <w:tcPr>
            <w:tcW w:w="1555" w:type="dxa"/>
          </w:tcPr>
          <w:p w14:paraId="4C56CF79" w14:textId="7B054F28" w:rsidR="00E41CC5" w:rsidRDefault="00E41CC5" w:rsidP="00E41CC5">
            <w:pPr>
              <w:pStyle w:val="0Maintext"/>
              <w:spacing w:after="0" w:afterAutospacing="0"/>
              <w:ind w:firstLine="0"/>
              <w:rPr>
                <w:rFonts w:eastAsiaTheme="minorEastAsia"/>
                <w:lang w:eastAsia="zh-CN"/>
              </w:rPr>
            </w:pPr>
            <w:r>
              <w:rPr>
                <w:rFonts w:eastAsiaTheme="minorEastAsia"/>
                <w:lang w:eastAsia="zh-CN"/>
              </w:rPr>
              <w:t>Fraunhofer</w:t>
            </w:r>
          </w:p>
        </w:tc>
        <w:tc>
          <w:tcPr>
            <w:tcW w:w="8079" w:type="dxa"/>
          </w:tcPr>
          <w:p w14:paraId="39622A87" w14:textId="6A479C9F" w:rsidR="00E41CC5" w:rsidRDefault="00E41CC5" w:rsidP="00E41CC5">
            <w:pPr>
              <w:pStyle w:val="0Maintext"/>
              <w:spacing w:after="0" w:afterAutospacing="0"/>
              <w:ind w:firstLine="0"/>
              <w:rPr>
                <w:rFonts w:eastAsiaTheme="minorEastAsia"/>
                <w:lang w:eastAsia="zh-CN"/>
              </w:rPr>
            </w:pPr>
            <w:r>
              <w:rPr>
                <w:rFonts w:eastAsiaTheme="minorEastAsia"/>
                <w:lang w:eastAsia="zh-CN"/>
              </w:rPr>
              <w:t>We are fine with including all the possible options to be further studied, with possible down-selection in the next meeting.</w:t>
            </w:r>
          </w:p>
        </w:tc>
      </w:tr>
      <w:tr w:rsidR="005A0613" w14:paraId="4089624A" w14:textId="77777777" w:rsidTr="005A0613">
        <w:tc>
          <w:tcPr>
            <w:tcW w:w="1555" w:type="dxa"/>
          </w:tcPr>
          <w:p w14:paraId="0C171E2C" w14:textId="77777777" w:rsidR="005A0613" w:rsidRPr="00D6367A" w:rsidRDefault="005A0613" w:rsidP="000F6488">
            <w:pPr>
              <w:pStyle w:val="0Maintext"/>
              <w:spacing w:after="0" w:afterAutospacing="0"/>
              <w:ind w:firstLine="0"/>
            </w:pPr>
            <w:r>
              <w:rPr>
                <w:rFonts w:eastAsiaTheme="minorEastAsia"/>
                <w:lang w:eastAsia="zh-CN"/>
              </w:rPr>
              <w:t>Nokia, NSB</w:t>
            </w:r>
          </w:p>
        </w:tc>
        <w:tc>
          <w:tcPr>
            <w:tcW w:w="8079" w:type="dxa"/>
          </w:tcPr>
          <w:p w14:paraId="6DED37FA" w14:textId="77777777" w:rsidR="005A0613" w:rsidRDefault="005A0613" w:rsidP="000F6488">
            <w:pPr>
              <w:pStyle w:val="0Maintext"/>
              <w:spacing w:after="0" w:afterAutospacing="0"/>
              <w:ind w:firstLine="0"/>
            </w:pPr>
            <w:r>
              <w:t>We are ok with proposal.</w:t>
            </w:r>
          </w:p>
        </w:tc>
      </w:tr>
      <w:tr w:rsidR="00146F71" w14:paraId="778E2FA6" w14:textId="77777777" w:rsidTr="005A0613">
        <w:tc>
          <w:tcPr>
            <w:tcW w:w="1555" w:type="dxa"/>
          </w:tcPr>
          <w:p w14:paraId="72D92101" w14:textId="3BAA5541" w:rsidR="00146F71" w:rsidRDefault="009A70FD" w:rsidP="000F6488">
            <w:pPr>
              <w:pStyle w:val="0Maintext"/>
              <w:spacing w:after="0" w:afterAutospacing="0"/>
              <w:ind w:firstLine="0"/>
              <w:rPr>
                <w:rFonts w:eastAsiaTheme="minorEastAsia"/>
                <w:lang w:eastAsia="zh-CN"/>
              </w:rPr>
            </w:pPr>
            <w:r>
              <w:rPr>
                <w:rFonts w:eastAsiaTheme="minorEastAsia"/>
                <w:lang w:eastAsia="zh-CN"/>
              </w:rPr>
              <w:t>Qualcomm</w:t>
            </w:r>
          </w:p>
        </w:tc>
        <w:tc>
          <w:tcPr>
            <w:tcW w:w="8079" w:type="dxa"/>
          </w:tcPr>
          <w:p w14:paraId="0ED409F2" w14:textId="042BA59F" w:rsidR="00146F71" w:rsidRDefault="009A70FD" w:rsidP="000F6488">
            <w:pPr>
              <w:pStyle w:val="0Maintext"/>
              <w:spacing w:after="0" w:afterAutospacing="0"/>
              <w:ind w:firstLine="0"/>
            </w:pPr>
            <w:r>
              <w:rPr>
                <w:rFonts w:eastAsiaTheme="minorEastAsia"/>
                <w:lang w:eastAsia="zh-CN"/>
              </w:rPr>
              <w:t>Support this version for possible down-selection in next meeting</w:t>
            </w:r>
          </w:p>
        </w:tc>
      </w:tr>
      <w:tr w:rsidR="000F6488" w14:paraId="2F3B10C4" w14:textId="77777777" w:rsidTr="005A0613">
        <w:tc>
          <w:tcPr>
            <w:tcW w:w="1555" w:type="dxa"/>
          </w:tcPr>
          <w:p w14:paraId="405CEAB8" w14:textId="60C82B76" w:rsidR="000F6488" w:rsidRDefault="000F6488" w:rsidP="000F6488">
            <w:pPr>
              <w:pStyle w:val="0Maintext"/>
              <w:spacing w:after="0" w:afterAutospacing="0"/>
              <w:ind w:firstLine="0"/>
              <w:rPr>
                <w:rFonts w:eastAsiaTheme="minorEastAsia"/>
                <w:lang w:eastAsia="zh-CN"/>
              </w:rPr>
            </w:pPr>
            <w:r>
              <w:rPr>
                <w:rFonts w:eastAsiaTheme="minorEastAsia" w:hint="eastAsia"/>
                <w:lang w:eastAsia="zh-CN"/>
              </w:rPr>
              <w:t>S</w:t>
            </w:r>
            <w:r>
              <w:rPr>
                <w:rFonts w:eastAsiaTheme="minorEastAsia"/>
                <w:lang w:eastAsia="zh-CN"/>
              </w:rPr>
              <w:t>preadtrum</w:t>
            </w:r>
          </w:p>
        </w:tc>
        <w:tc>
          <w:tcPr>
            <w:tcW w:w="8079" w:type="dxa"/>
          </w:tcPr>
          <w:p w14:paraId="47A565B1" w14:textId="627DA586" w:rsidR="000F6488" w:rsidRDefault="000F6488" w:rsidP="000F6488">
            <w:pPr>
              <w:pStyle w:val="0Maintext"/>
              <w:spacing w:after="0" w:afterAutospacing="0"/>
              <w:ind w:firstLine="0"/>
              <w:rPr>
                <w:rFonts w:eastAsiaTheme="minorEastAsia"/>
                <w:lang w:eastAsia="zh-CN"/>
              </w:rPr>
            </w:pPr>
            <w:r>
              <w:rPr>
                <w:rFonts w:eastAsiaTheme="minorEastAsia" w:hint="eastAsia"/>
                <w:lang w:eastAsia="zh-CN"/>
              </w:rPr>
              <w:t>W</w:t>
            </w:r>
            <w:r>
              <w:rPr>
                <w:rFonts w:eastAsiaTheme="minorEastAsia"/>
                <w:lang w:eastAsia="zh-CN"/>
              </w:rPr>
              <w:t>e are fine with the proposal.</w:t>
            </w:r>
          </w:p>
        </w:tc>
      </w:tr>
      <w:tr w:rsidR="004B3EDD" w14:paraId="2FF9CBB1" w14:textId="77777777" w:rsidTr="005A0613">
        <w:tc>
          <w:tcPr>
            <w:tcW w:w="1555" w:type="dxa"/>
          </w:tcPr>
          <w:p w14:paraId="231F2813" w14:textId="307A37E7" w:rsidR="004B3EDD" w:rsidRPr="004B3EDD" w:rsidRDefault="004B3EDD" w:rsidP="000F6488">
            <w:pPr>
              <w:pStyle w:val="0Maintext"/>
              <w:spacing w:after="0" w:afterAutospacing="0"/>
              <w:ind w:firstLine="0"/>
              <w:rPr>
                <w:rFonts w:eastAsia="MS Mincho"/>
                <w:lang w:eastAsia="ja-JP"/>
              </w:rPr>
            </w:pPr>
            <w:r>
              <w:rPr>
                <w:rFonts w:eastAsia="MS Mincho" w:hint="eastAsia"/>
                <w:lang w:eastAsia="ja-JP"/>
              </w:rPr>
              <w:t>P</w:t>
            </w:r>
            <w:r>
              <w:rPr>
                <w:rFonts w:eastAsia="MS Mincho"/>
                <w:lang w:eastAsia="ja-JP"/>
              </w:rPr>
              <w:t>anasonic</w:t>
            </w:r>
          </w:p>
        </w:tc>
        <w:tc>
          <w:tcPr>
            <w:tcW w:w="8079" w:type="dxa"/>
          </w:tcPr>
          <w:p w14:paraId="7D5138B7" w14:textId="62D13B00" w:rsidR="004B3EDD" w:rsidRDefault="004B3EDD" w:rsidP="000F6488">
            <w:pPr>
              <w:pStyle w:val="0Maintext"/>
              <w:spacing w:after="0" w:afterAutospacing="0"/>
              <w:ind w:firstLine="0"/>
              <w:rPr>
                <w:rFonts w:eastAsiaTheme="minorEastAsia"/>
                <w:lang w:eastAsia="zh-CN"/>
              </w:rPr>
            </w:pPr>
            <w:r w:rsidRPr="004B3EDD">
              <w:rPr>
                <w:rFonts w:eastAsiaTheme="minorEastAsia"/>
                <w:lang w:eastAsia="zh-CN"/>
              </w:rPr>
              <w:t>We support the proposal to list all options. In our view, at least ACK-only in g</w:t>
            </w:r>
            <w:r>
              <w:rPr>
                <w:rFonts w:eastAsiaTheme="minorEastAsia"/>
                <w:lang w:eastAsia="zh-CN"/>
              </w:rPr>
              <w:t>roup</w:t>
            </w:r>
            <w:r w:rsidRPr="004B3EDD">
              <w:rPr>
                <w:rFonts w:eastAsiaTheme="minorEastAsia"/>
                <w:lang w:eastAsia="zh-CN"/>
              </w:rPr>
              <w:t>cast option 1 is not suitable since UE cannot decide whether or not to transmit retransmission(s).</w:t>
            </w:r>
          </w:p>
        </w:tc>
      </w:tr>
      <w:tr w:rsidR="006E0E7B" w14:paraId="2BC5ECF5" w14:textId="77777777" w:rsidTr="005A0613">
        <w:tc>
          <w:tcPr>
            <w:tcW w:w="1555" w:type="dxa"/>
          </w:tcPr>
          <w:p w14:paraId="704CC8A6" w14:textId="451CA33F" w:rsidR="006E0E7B" w:rsidRPr="006E0E7B" w:rsidRDefault="006E0E7B" w:rsidP="006E0E7B">
            <w:pPr>
              <w:pStyle w:val="0Maintext"/>
              <w:spacing w:after="0" w:afterAutospacing="0"/>
              <w:ind w:firstLine="0"/>
              <w:rPr>
                <w:rFonts w:eastAsiaTheme="minorEastAsia"/>
                <w:lang w:eastAsia="zh-CN"/>
              </w:rPr>
            </w:pPr>
            <w:r>
              <w:rPr>
                <w:rFonts w:eastAsiaTheme="minorEastAsia" w:hint="eastAsia"/>
                <w:lang w:eastAsia="zh-CN"/>
              </w:rPr>
              <w:t>S</w:t>
            </w:r>
            <w:r>
              <w:rPr>
                <w:rFonts w:eastAsiaTheme="minorEastAsia"/>
                <w:lang w:eastAsia="zh-CN"/>
              </w:rPr>
              <w:t>amsung</w:t>
            </w:r>
          </w:p>
        </w:tc>
        <w:tc>
          <w:tcPr>
            <w:tcW w:w="8079" w:type="dxa"/>
          </w:tcPr>
          <w:p w14:paraId="7F0B0DF3" w14:textId="77777777" w:rsidR="006E0E7B" w:rsidRDefault="006E0E7B" w:rsidP="006E0E7B">
            <w:pPr>
              <w:pStyle w:val="0Maintext"/>
              <w:spacing w:after="0" w:afterAutospacing="0"/>
              <w:ind w:firstLine="0"/>
            </w:pPr>
            <w:r>
              <w:t>For option 3 of GC option 1 case, the ACK-only method may help miss detection of NACK due to LBT failure, however it impacts legacy principle of TX UE determining whether to trigger a retransmission. We think this option doesn’t make sense.</w:t>
            </w:r>
          </w:p>
          <w:p w14:paraId="66230C7A" w14:textId="77777777" w:rsidR="006E0E7B" w:rsidRDefault="006E0E7B" w:rsidP="006E0E7B">
            <w:pPr>
              <w:pStyle w:val="0Maintext"/>
              <w:spacing w:after="0" w:afterAutospacing="0"/>
              <w:ind w:firstLine="0"/>
            </w:pPr>
            <w:r>
              <w:t xml:space="preserve">For UC case, we think legacy principle in NR-U is good enough to solve CW adjustment issue, so option 1 is not needed. </w:t>
            </w:r>
          </w:p>
          <w:p w14:paraId="4CBA8D27" w14:textId="69A27F0E" w:rsidR="006E0E7B" w:rsidRPr="004B3EDD" w:rsidRDefault="006E0E7B" w:rsidP="006E0E7B">
            <w:pPr>
              <w:pStyle w:val="0Maintext"/>
              <w:spacing w:after="0" w:afterAutospacing="0"/>
              <w:ind w:firstLine="0"/>
              <w:rPr>
                <w:rFonts w:eastAsiaTheme="minorEastAsia"/>
                <w:lang w:eastAsia="zh-CN"/>
              </w:rPr>
            </w:pPr>
            <w:r>
              <w:t>We are generally fine with other bullets.</w:t>
            </w:r>
          </w:p>
        </w:tc>
      </w:tr>
      <w:tr w:rsidR="00EE4079" w14:paraId="27FD5052" w14:textId="77777777" w:rsidTr="005A0613">
        <w:tc>
          <w:tcPr>
            <w:tcW w:w="1555" w:type="dxa"/>
          </w:tcPr>
          <w:p w14:paraId="7B1451A6" w14:textId="71C3178B" w:rsidR="00EE4079" w:rsidRDefault="00EE4079" w:rsidP="006E0E7B">
            <w:pPr>
              <w:pStyle w:val="0Maintext"/>
              <w:spacing w:after="0" w:afterAutospacing="0"/>
              <w:ind w:firstLine="0"/>
              <w:rPr>
                <w:rFonts w:eastAsiaTheme="minorEastAsia"/>
                <w:lang w:eastAsia="zh-CN"/>
              </w:rPr>
            </w:pPr>
            <w:r>
              <w:rPr>
                <w:rFonts w:eastAsiaTheme="minorEastAsia"/>
                <w:lang w:eastAsia="zh-CN"/>
              </w:rPr>
              <w:t>Futurewei</w:t>
            </w:r>
          </w:p>
        </w:tc>
        <w:tc>
          <w:tcPr>
            <w:tcW w:w="8079" w:type="dxa"/>
          </w:tcPr>
          <w:p w14:paraId="558D4783" w14:textId="40783443" w:rsidR="00EE4079" w:rsidRDefault="00EE4079" w:rsidP="006E0E7B">
            <w:pPr>
              <w:pStyle w:val="0Maintext"/>
              <w:spacing w:after="0" w:afterAutospacing="0"/>
              <w:ind w:firstLine="0"/>
            </w:pPr>
            <w:r>
              <w:t>We are generally fine with the proposal</w:t>
            </w:r>
          </w:p>
        </w:tc>
      </w:tr>
      <w:tr w:rsidR="00663172" w14:paraId="7637D2D1" w14:textId="77777777" w:rsidTr="005A0613">
        <w:tc>
          <w:tcPr>
            <w:tcW w:w="1555" w:type="dxa"/>
          </w:tcPr>
          <w:p w14:paraId="01EE69EB" w14:textId="27330A11" w:rsidR="00663172" w:rsidRDefault="00663172" w:rsidP="00663172">
            <w:pPr>
              <w:pStyle w:val="0Maintext"/>
              <w:spacing w:after="0" w:afterAutospacing="0"/>
              <w:ind w:firstLine="0"/>
              <w:rPr>
                <w:rFonts w:eastAsiaTheme="minorEastAsia"/>
                <w:lang w:eastAsia="zh-CN"/>
              </w:rPr>
            </w:pPr>
            <w:r>
              <w:rPr>
                <w:rFonts w:eastAsiaTheme="minorEastAsia" w:hint="eastAsia"/>
                <w:lang w:eastAsia="zh-CN"/>
              </w:rPr>
              <w:t>C</w:t>
            </w:r>
            <w:r>
              <w:rPr>
                <w:rFonts w:eastAsiaTheme="minorEastAsia"/>
                <w:lang w:eastAsia="zh-CN"/>
              </w:rPr>
              <w:t>ATT/GH</w:t>
            </w:r>
          </w:p>
        </w:tc>
        <w:tc>
          <w:tcPr>
            <w:tcW w:w="8079" w:type="dxa"/>
          </w:tcPr>
          <w:p w14:paraId="6C15F1FC" w14:textId="77777777" w:rsidR="00663172" w:rsidRDefault="00663172" w:rsidP="00663172">
            <w:pPr>
              <w:pStyle w:val="0Maintext"/>
              <w:spacing w:after="0" w:afterAutospacing="0"/>
              <w:ind w:firstLine="0"/>
              <w:rPr>
                <w:rFonts w:eastAsiaTheme="minorEastAsia"/>
                <w:lang w:eastAsia="zh-CN"/>
              </w:rPr>
            </w:pPr>
            <w:r>
              <w:rPr>
                <w:rFonts w:eastAsiaTheme="minorEastAsia" w:hint="eastAsia"/>
                <w:lang w:eastAsia="zh-CN"/>
              </w:rPr>
              <w:t>F</w:t>
            </w:r>
            <w:r>
              <w:rPr>
                <w:rFonts w:eastAsiaTheme="minorEastAsia"/>
                <w:lang w:eastAsia="zh-CN"/>
              </w:rPr>
              <w:t xml:space="preserve">or SL HARQ </w:t>
            </w:r>
            <w:r w:rsidRPr="00EF6E4A">
              <w:rPr>
                <w:rFonts w:eastAsiaTheme="minorEastAsia"/>
                <w:lang w:eastAsia="zh-CN"/>
              </w:rPr>
              <w:t>feedback disabled</w:t>
            </w:r>
            <w:r>
              <w:rPr>
                <w:rFonts w:eastAsiaTheme="minorEastAsia"/>
                <w:lang w:eastAsia="zh-CN"/>
              </w:rPr>
              <w:t xml:space="preserve"> case and groupcast option 2, we are fine to further study these options.</w:t>
            </w:r>
          </w:p>
          <w:p w14:paraId="20F13926" w14:textId="77777777" w:rsidR="00663172" w:rsidRDefault="00663172" w:rsidP="00663172">
            <w:pPr>
              <w:pStyle w:val="0Maintext"/>
              <w:spacing w:after="0" w:afterAutospacing="0"/>
              <w:ind w:firstLine="0"/>
              <w:rPr>
                <w:rFonts w:eastAsiaTheme="minorEastAsia"/>
                <w:lang w:eastAsia="zh-CN"/>
              </w:rPr>
            </w:pPr>
            <w:r>
              <w:rPr>
                <w:rFonts w:eastAsiaTheme="minorEastAsia"/>
                <w:lang w:eastAsia="zh-CN"/>
              </w:rPr>
              <w:t>For groupcast option 1, there is not a proposal discussion whether groupcast option 1 is supported or not, just put (if supported) in this sub-bullet seems improper. We propose the following modification:</w:t>
            </w:r>
          </w:p>
          <w:p w14:paraId="612A3028" w14:textId="77777777" w:rsidR="00663172" w:rsidRPr="00EF6E4A" w:rsidRDefault="00663172" w:rsidP="00663172">
            <w:pPr>
              <w:pStyle w:val="ListParagraph"/>
              <w:numPr>
                <w:ilvl w:val="1"/>
                <w:numId w:val="18"/>
              </w:numPr>
              <w:autoSpaceDE w:val="0"/>
              <w:autoSpaceDN w:val="0"/>
              <w:ind w:leftChars="0"/>
              <w:jc w:val="both"/>
              <w:rPr>
                <w:rFonts w:ascii="Calibri" w:hAnsi="Calibri" w:cs="Calibri"/>
                <w:sz w:val="22"/>
              </w:rPr>
            </w:pPr>
            <w:r w:rsidRPr="00EF6E4A">
              <w:rPr>
                <w:rFonts w:ascii="Calibri" w:eastAsiaTheme="minorEastAsia" w:hAnsi="Calibri" w:cs="Calibri"/>
                <w:color w:val="00B0F0"/>
                <w:sz w:val="22"/>
                <w:lang w:eastAsia="zh-CN"/>
              </w:rPr>
              <w:t>FFS whether</w:t>
            </w:r>
            <w:r>
              <w:rPr>
                <w:rFonts w:ascii="Calibri" w:eastAsiaTheme="minorEastAsia" w:hAnsi="Calibri" w:cs="Calibri"/>
                <w:sz w:val="22"/>
                <w:lang w:eastAsia="zh-CN"/>
              </w:rPr>
              <w:t xml:space="preserve"> </w:t>
            </w:r>
            <w:r w:rsidRPr="00CF6AD2">
              <w:rPr>
                <w:rFonts w:ascii="Calibri" w:hAnsi="Calibri" w:cs="Calibri" w:hint="eastAsia"/>
                <w:sz w:val="22"/>
                <w:lang w:val="en-AU"/>
              </w:rPr>
              <w:t>groupcast option 1 (NACK-only)</w:t>
            </w:r>
            <w:r>
              <w:rPr>
                <w:rFonts w:ascii="Calibri" w:hAnsi="Calibri" w:cs="Calibri"/>
                <w:sz w:val="22"/>
                <w:lang w:val="en-AU"/>
              </w:rPr>
              <w:t xml:space="preserve"> </w:t>
            </w:r>
            <w:r w:rsidRPr="00EF6E4A">
              <w:rPr>
                <w:rFonts w:ascii="Calibri" w:hAnsi="Calibri" w:cs="Calibri"/>
                <w:color w:val="00B0F0"/>
                <w:sz w:val="22"/>
                <w:lang w:val="en-AU"/>
              </w:rPr>
              <w:t>can be supported for sidelink on unlicensed spectrum</w:t>
            </w:r>
            <w:r>
              <w:rPr>
                <w:rFonts w:ascii="Calibri" w:hAnsi="Calibri" w:cs="Calibri"/>
                <w:sz w:val="22"/>
                <w:lang w:val="en-AU"/>
              </w:rPr>
              <w:t>.</w:t>
            </w:r>
          </w:p>
          <w:p w14:paraId="2A866811" w14:textId="77777777" w:rsidR="00663172" w:rsidRPr="00CF6AD2" w:rsidRDefault="00663172" w:rsidP="00663172">
            <w:pPr>
              <w:pStyle w:val="ListParagraph"/>
              <w:numPr>
                <w:ilvl w:val="2"/>
                <w:numId w:val="18"/>
              </w:numPr>
              <w:autoSpaceDE w:val="0"/>
              <w:autoSpaceDN w:val="0"/>
              <w:ind w:leftChars="0"/>
              <w:jc w:val="both"/>
              <w:rPr>
                <w:rFonts w:ascii="Calibri" w:hAnsi="Calibri" w:cs="Calibri"/>
                <w:sz w:val="22"/>
              </w:rPr>
            </w:pPr>
            <w:r w:rsidRPr="00F06DCB">
              <w:rPr>
                <w:rFonts w:ascii="Calibri" w:hAnsi="Calibri" w:cs="Calibri"/>
                <w:color w:val="FF0000"/>
                <w:sz w:val="22"/>
                <w:lang w:val="en-AU"/>
              </w:rPr>
              <w:t>if supported</w:t>
            </w:r>
            <w:r>
              <w:rPr>
                <w:rFonts w:ascii="Calibri" w:hAnsi="Calibri" w:cs="Calibri"/>
                <w:sz w:val="22"/>
                <w:lang w:val="en-AU"/>
              </w:rPr>
              <w:t xml:space="preserve">, </w:t>
            </w:r>
            <w:r w:rsidRPr="00EF6E4A">
              <w:rPr>
                <w:rFonts w:ascii="Calibri" w:hAnsi="Calibri" w:cs="Calibri"/>
                <w:color w:val="00B0F0"/>
                <w:sz w:val="22"/>
                <w:lang w:val="en-AU"/>
              </w:rPr>
              <w:t>further study the following cases and options</w:t>
            </w:r>
          </w:p>
          <w:p w14:paraId="32620A74" w14:textId="5C715884" w:rsidR="00663172" w:rsidRPr="00663172" w:rsidRDefault="00663172" w:rsidP="00663172">
            <w:pPr>
              <w:pStyle w:val="ListParagraph"/>
              <w:numPr>
                <w:ilvl w:val="2"/>
                <w:numId w:val="18"/>
              </w:numPr>
              <w:autoSpaceDE w:val="0"/>
              <w:autoSpaceDN w:val="0"/>
              <w:ind w:leftChars="0"/>
              <w:jc w:val="both"/>
              <w:rPr>
                <w:rFonts w:ascii="Calibri" w:hAnsi="Calibri" w:cs="Calibri"/>
                <w:sz w:val="22"/>
              </w:rPr>
            </w:pPr>
            <w:r w:rsidRPr="00CF6AD2">
              <w:rPr>
                <w:rFonts w:ascii="Calibri" w:hAnsi="Calibri" w:cs="Calibri" w:hint="eastAsia"/>
                <w:sz w:val="22"/>
                <w:lang w:val="en-AU"/>
              </w:rPr>
              <w:t xml:space="preserve">Option 1: For every priority class </w:t>
            </w:r>
            <m:oMath>
              <m:r>
                <w:rPr>
                  <w:rFonts w:ascii="Cambria Math" w:hAnsi="Cambria Math" w:cs="Calibri"/>
                  <w:sz w:val="22"/>
                </w:rPr>
                <m:t>p∈</m:t>
              </m:r>
              <m:d>
                <m:dPr>
                  <m:begChr m:val="{"/>
                  <m:endChr m:val="}"/>
                  <m:ctrlPr>
                    <w:rPr>
                      <w:rFonts w:ascii="Cambria Math" w:hAnsi="Cambria Math" w:cs="Calibri"/>
                      <w:i/>
                      <w:iCs/>
                      <w:sz w:val="22"/>
                    </w:rPr>
                  </m:ctrlPr>
                </m:dPr>
                <m:e>
                  <m:r>
                    <w:rPr>
                      <w:rFonts w:ascii="Cambria Math" w:hAnsi="Cambria Math" w:cs="Calibri"/>
                      <w:sz w:val="22"/>
                    </w:rPr>
                    <m:t>1,2,3,4</m:t>
                  </m:r>
                </m:e>
              </m:d>
            </m:oMath>
            <w:r w:rsidRPr="00CF6AD2">
              <w:rPr>
                <w:rFonts w:ascii="Calibri" w:hAnsi="Calibri" w:cs="Calibri" w:hint="eastAsia"/>
                <w:sz w:val="22"/>
                <w:lang w:val="en-AU"/>
              </w:rPr>
              <w:t>,</w:t>
            </w:r>
            <w:r w:rsidRPr="00CF6AD2">
              <w:rPr>
                <w:rFonts w:ascii="Calibri" w:hAnsi="Calibri" w:cs="Calibri"/>
                <w:i/>
                <w:iCs/>
                <w:sz w:val="22"/>
              </w:rPr>
              <w:t xml:space="preserve"> </w:t>
            </w:r>
            <w:r>
              <w:rPr>
                <w:rFonts w:ascii="Calibri" w:hAnsi="Calibri" w:cs="Calibri"/>
                <w:sz w:val="22"/>
              </w:rPr>
              <w:t>use the latest</w:t>
            </w:r>
            <w:r w:rsidRPr="00CF6AD2">
              <w:rPr>
                <w:rFonts w:ascii="Calibri" w:hAnsi="Calibri" w:cs="Calibri" w:hint="eastAsia"/>
                <w:sz w:val="22"/>
              </w:rPr>
              <w:t xml:space="preserve"> </w:t>
            </w:r>
            <m:oMath>
              <m:r>
                <w:rPr>
                  <w:rFonts w:ascii="Cambria Math" w:hAnsi="Cambria Math" w:cs="Calibri"/>
                  <w:sz w:val="22"/>
                </w:rPr>
                <m:t>C</m:t>
              </m:r>
              <m:sSub>
                <m:sSubPr>
                  <m:ctrlPr>
                    <w:rPr>
                      <w:rFonts w:ascii="Cambria Math" w:hAnsi="Cambria Math" w:cs="Calibri"/>
                      <w:i/>
                      <w:iCs/>
                      <w:sz w:val="22"/>
                    </w:rPr>
                  </m:ctrlPr>
                </m:sSubPr>
                <m:e>
                  <m:r>
                    <w:rPr>
                      <w:rFonts w:ascii="Cambria Math" w:hAnsi="Cambria Math" w:cs="Calibri"/>
                      <w:sz w:val="22"/>
                    </w:rPr>
                    <m:t>W</m:t>
                  </m:r>
                </m:e>
                <m:sub>
                  <m:r>
                    <w:rPr>
                      <w:rFonts w:ascii="Cambria Math" w:hAnsi="Cambria Math" w:cs="Calibri"/>
                      <w:sz w:val="22"/>
                    </w:rPr>
                    <m:t>p</m:t>
                  </m:r>
                </m:sub>
              </m:sSub>
            </m:oMath>
            <w:r w:rsidRPr="00CF6AD2">
              <w:rPr>
                <w:rFonts w:ascii="Calibri" w:hAnsi="Calibri" w:cs="Calibri" w:hint="eastAsia"/>
                <w:sz w:val="22"/>
              </w:rPr>
              <w:t xml:space="preserve"> </w:t>
            </w:r>
            <w:r>
              <w:rPr>
                <w:rFonts w:ascii="Calibri" w:hAnsi="Calibri" w:cs="Calibri"/>
                <w:sz w:val="22"/>
              </w:rPr>
              <w:t xml:space="preserve">used for any SL transmissions on the channel using Type 1 channel access procedures associated with the channel access priority class </w:t>
            </w:r>
            <m:oMath>
              <m:r>
                <w:rPr>
                  <w:rFonts w:ascii="Cambria Math" w:hAnsi="Cambria Math" w:cs="Calibri"/>
                  <w:sz w:val="22"/>
                </w:rPr>
                <m:t>p</m:t>
              </m:r>
            </m:oMath>
            <w:r w:rsidRPr="00CF6AD2">
              <w:rPr>
                <w:rFonts w:ascii="Calibri" w:hAnsi="Calibri" w:cs="Calibri" w:hint="eastAsia"/>
                <w:sz w:val="22"/>
              </w:rPr>
              <w:t>.</w:t>
            </w:r>
            <w:r>
              <w:rPr>
                <w:rFonts w:ascii="Calibri" w:hAnsi="Calibri" w:cs="Calibri"/>
                <w:sz w:val="22"/>
              </w:rPr>
              <w:t xml:space="preserve"> </w:t>
            </w:r>
            <w:r w:rsidRPr="003E2F29">
              <w:rPr>
                <w:rFonts w:asciiTheme="minorHAnsi" w:hAnsiTheme="minorHAnsi" w:cstheme="minorHAnsi"/>
                <w:sz w:val="22"/>
                <w:szCs w:val="28"/>
              </w:rPr>
              <w:t xml:space="preserve">If the corresponding channel access priority class </w:t>
            </w:r>
            <m:oMath>
              <m:r>
                <w:rPr>
                  <w:rFonts w:ascii="Cambria Math" w:hAnsi="Cambria Math" w:cstheme="minorHAnsi"/>
                  <w:sz w:val="22"/>
                  <w:szCs w:val="28"/>
                </w:rPr>
                <m:t>p</m:t>
              </m:r>
            </m:oMath>
            <w:r w:rsidRPr="003E2F29">
              <w:rPr>
                <w:rFonts w:asciiTheme="minorHAnsi" w:hAnsiTheme="minorHAnsi" w:cstheme="minorHAnsi"/>
                <w:sz w:val="22"/>
                <w:szCs w:val="28"/>
              </w:rPr>
              <w:t xml:space="preserve">  has not been used for any SL transmissions on the channel, </w:t>
            </w:r>
            <m:oMath>
              <m:r>
                <w:rPr>
                  <w:rFonts w:ascii="Cambria Math" w:hAnsi="Cambria Math" w:cstheme="minorHAnsi"/>
                  <w:sz w:val="22"/>
                  <w:szCs w:val="28"/>
                </w:rPr>
                <m:t>C</m:t>
              </m:r>
              <m:sSub>
                <m:sSubPr>
                  <m:ctrlPr>
                    <w:rPr>
                      <w:rFonts w:ascii="Cambria Math" w:hAnsi="Cambria Math" w:cstheme="minorHAnsi"/>
                      <w:i/>
                      <w:sz w:val="22"/>
                      <w:szCs w:val="28"/>
                    </w:rPr>
                  </m:ctrlPr>
                </m:sSubPr>
                <m:e>
                  <m:r>
                    <w:rPr>
                      <w:rFonts w:ascii="Cambria Math" w:hAnsi="Cambria Math" w:cstheme="minorHAnsi"/>
                      <w:sz w:val="22"/>
                      <w:szCs w:val="28"/>
                    </w:rPr>
                    <m:t>W</m:t>
                  </m:r>
                </m:e>
                <m:sub>
                  <m:r>
                    <w:rPr>
                      <w:rFonts w:ascii="Cambria Math" w:hAnsi="Cambria Math" w:cstheme="minorHAnsi"/>
                      <w:sz w:val="22"/>
                      <w:szCs w:val="28"/>
                    </w:rPr>
                    <m:t>p</m:t>
                  </m:r>
                </m:sub>
              </m:sSub>
              <m:r>
                <w:rPr>
                  <w:rFonts w:ascii="Cambria Math" w:hAnsi="Cambria Math" w:cstheme="minorHAnsi"/>
                  <w:sz w:val="22"/>
                  <w:szCs w:val="28"/>
                  <w:lang w:val="en-US"/>
                </w:rPr>
                <m:t>=</m:t>
              </m:r>
              <m:r>
                <w:rPr>
                  <w:rFonts w:ascii="Cambria Math" w:hAnsi="Cambria Math" w:cstheme="minorHAnsi"/>
                  <w:sz w:val="22"/>
                  <w:szCs w:val="28"/>
                </w:rPr>
                <m:t>C</m:t>
              </m:r>
              <m:sSub>
                <m:sSubPr>
                  <m:ctrlPr>
                    <w:rPr>
                      <w:rFonts w:ascii="Cambria Math" w:hAnsi="Cambria Math" w:cstheme="minorHAnsi"/>
                      <w:i/>
                      <w:sz w:val="22"/>
                      <w:szCs w:val="28"/>
                    </w:rPr>
                  </m:ctrlPr>
                </m:sSubPr>
                <m:e>
                  <m:r>
                    <w:rPr>
                      <w:rFonts w:ascii="Cambria Math" w:hAnsi="Cambria Math" w:cstheme="minorHAnsi"/>
                      <w:sz w:val="22"/>
                      <w:szCs w:val="28"/>
                    </w:rPr>
                    <m:t>W</m:t>
                  </m:r>
                </m:e>
                <m:sub>
                  <m:func>
                    <m:funcPr>
                      <m:ctrlPr>
                        <w:rPr>
                          <w:rFonts w:ascii="Cambria Math" w:hAnsi="Cambria Math" w:cstheme="minorHAnsi"/>
                          <w:i/>
                          <w:sz w:val="22"/>
                          <w:szCs w:val="28"/>
                        </w:rPr>
                      </m:ctrlPr>
                    </m:funcPr>
                    <m:fName>
                      <m:r>
                        <w:rPr>
                          <w:rFonts w:ascii="Cambria Math" w:hAnsi="Cambria Math" w:cstheme="minorHAnsi"/>
                          <w:sz w:val="22"/>
                          <w:szCs w:val="28"/>
                        </w:rPr>
                        <m:t>min</m:t>
                      </m:r>
                      <m:r>
                        <w:rPr>
                          <w:rFonts w:ascii="Cambria Math" w:hAnsi="Cambria Math" w:cstheme="minorHAnsi"/>
                          <w:sz w:val="22"/>
                          <w:szCs w:val="28"/>
                          <w:lang w:val="en-US"/>
                        </w:rPr>
                        <m:t>,</m:t>
                      </m:r>
                    </m:fName>
                    <m:e>
                      <m:r>
                        <w:rPr>
                          <w:rFonts w:ascii="Cambria Math" w:hAnsi="Cambria Math" w:cstheme="minorHAnsi"/>
                          <w:sz w:val="22"/>
                          <w:szCs w:val="28"/>
                        </w:rPr>
                        <m:t>p</m:t>
                      </m:r>
                    </m:e>
                  </m:func>
                </m:sub>
              </m:sSub>
            </m:oMath>
            <w:r w:rsidRPr="003E2F29">
              <w:rPr>
                <w:rFonts w:asciiTheme="minorHAnsi" w:hAnsiTheme="minorHAnsi" w:cstheme="minorHAnsi"/>
                <w:sz w:val="22"/>
                <w:szCs w:val="28"/>
              </w:rPr>
              <w:t xml:space="preserve"> is used</w:t>
            </w:r>
            <w:r>
              <w:rPr>
                <w:rFonts w:asciiTheme="minorHAnsi" w:hAnsiTheme="minorHAnsi" w:cstheme="minorHAnsi"/>
                <w:sz w:val="22"/>
                <w:szCs w:val="28"/>
              </w:rPr>
              <w:t>.</w:t>
            </w:r>
          </w:p>
        </w:tc>
      </w:tr>
      <w:tr w:rsidR="00126C60" w14:paraId="07261504" w14:textId="77777777" w:rsidTr="00126C60">
        <w:tc>
          <w:tcPr>
            <w:tcW w:w="1555" w:type="dxa"/>
          </w:tcPr>
          <w:p w14:paraId="4A6D0F87" w14:textId="77777777" w:rsidR="00126C60" w:rsidRDefault="00126C60" w:rsidP="0096086B">
            <w:pPr>
              <w:pStyle w:val="0Maintext"/>
              <w:spacing w:after="0" w:afterAutospacing="0"/>
              <w:ind w:firstLine="0"/>
              <w:rPr>
                <w:rFonts w:eastAsiaTheme="minorEastAsia"/>
                <w:lang w:eastAsia="zh-CN"/>
              </w:rPr>
            </w:pPr>
            <w:r>
              <w:rPr>
                <w:rFonts w:eastAsiaTheme="minorEastAsia" w:hint="eastAsia"/>
                <w:lang w:val="en-US" w:eastAsia="zh-CN"/>
              </w:rPr>
              <w:lastRenderedPageBreak/>
              <w:t>Transsion</w:t>
            </w:r>
          </w:p>
        </w:tc>
        <w:tc>
          <w:tcPr>
            <w:tcW w:w="8079" w:type="dxa"/>
          </w:tcPr>
          <w:p w14:paraId="54F99DC3" w14:textId="77777777" w:rsidR="00126C60" w:rsidRDefault="00126C60" w:rsidP="0096086B">
            <w:pPr>
              <w:pStyle w:val="0Maintext"/>
              <w:spacing w:after="0" w:afterAutospacing="0"/>
              <w:ind w:firstLine="0"/>
              <w:rPr>
                <w:rFonts w:ascii="Calibri" w:hAnsi="Calibri" w:cs="Calibri"/>
                <w:sz w:val="22"/>
                <w:lang w:val="en-AU"/>
              </w:rPr>
            </w:pPr>
            <w:r>
              <w:rPr>
                <w:rFonts w:eastAsiaTheme="minorEastAsia" w:hint="eastAsia"/>
                <w:lang w:val="en-US" w:eastAsia="zh-CN"/>
              </w:rPr>
              <w:t>We are fine with the proposal.</w:t>
            </w:r>
          </w:p>
        </w:tc>
      </w:tr>
      <w:tr w:rsidR="00126C60" w:rsidRPr="00FA2678" w14:paraId="11FA7616" w14:textId="77777777" w:rsidTr="00126C60">
        <w:tc>
          <w:tcPr>
            <w:tcW w:w="1555" w:type="dxa"/>
          </w:tcPr>
          <w:p w14:paraId="5B00DF64" w14:textId="77777777" w:rsidR="00126C60" w:rsidRDefault="00126C60" w:rsidP="0096086B">
            <w:pPr>
              <w:pStyle w:val="0Maintext"/>
              <w:spacing w:after="0" w:afterAutospacing="0"/>
              <w:ind w:firstLine="0"/>
            </w:pPr>
            <w:r w:rsidRPr="00DE47F8">
              <w:t>Huawei, HiSilicon</w:t>
            </w:r>
          </w:p>
        </w:tc>
        <w:tc>
          <w:tcPr>
            <w:tcW w:w="8079" w:type="dxa"/>
          </w:tcPr>
          <w:p w14:paraId="4B86EE39" w14:textId="77777777" w:rsidR="00126C60" w:rsidRDefault="00126C60" w:rsidP="0096086B">
            <w:pPr>
              <w:pStyle w:val="0Maintext"/>
              <w:spacing w:after="0" w:afterAutospacing="0"/>
              <w:ind w:firstLine="0"/>
              <w:rPr>
                <w:rFonts w:eastAsiaTheme="minorEastAsia"/>
                <w:lang w:eastAsia="zh-CN"/>
              </w:rPr>
            </w:pPr>
            <w:r>
              <w:rPr>
                <w:rFonts w:eastAsiaTheme="minorEastAsia"/>
                <w:lang w:eastAsia="zh-CN"/>
              </w:rPr>
              <w:t>We are generally fine with FL’s proposal, but have several concerns on different cases.</w:t>
            </w:r>
          </w:p>
          <w:p w14:paraId="126DD3F5" w14:textId="77777777" w:rsidR="00126C60" w:rsidRDefault="00126C60" w:rsidP="0096086B">
            <w:pPr>
              <w:pStyle w:val="0Maintext"/>
              <w:spacing w:after="0" w:afterAutospacing="0"/>
              <w:ind w:firstLine="0"/>
              <w:rPr>
                <w:rFonts w:eastAsiaTheme="minorEastAsia"/>
                <w:lang w:eastAsia="zh-CN"/>
              </w:rPr>
            </w:pPr>
          </w:p>
          <w:p w14:paraId="1A6909EA" w14:textId="77777777" w:rsidR="00126C60" w:rsidRDefault="00126C60" w:rsidP="0096086B">
            <w:pPr>
              <w:pStyle w:val="0Maintext"/>
              <w:spacing w:after="0" w:afterAutospacing="0"/>
              <w:ind w:firstLine="0"/>
              <w:rPr>
                <w:rFonts w:eastAsiaTheme="minorEastAsia"/>
                <w:lang w:eastAsia="zh-CN"/>
              </w:rPr>
            </w:pPr>
            <w:r>
              <w:rPr>
                <w:rFonts w:eastAsiaTheme="minorEastAsia"/>
                <w:lang w:eastAsia="zh-CN"/>
              </w:rPr>
              <w:t>On groupcast option 2, “ACK+NACK” and “NACK” are considered for adjusting the contention window, but we think they may introduce some inaccuracy. The design of NR-U is based on “ACK” and “NACK+DTX”. When UE receives “ACK” for transmission(s) within reference duration, CW keeps unchanged. Otherwise, when “NACK” and/or “DTX” are received/detected, the CW will be adjusted to the next level. So, adjusting based on “</w:t>
            </w:r>
            <w:r>
              <w:rPr>
                <w:rFonts w:eastAsiaTheme="minorEastAsia" w:hint="eastAsia"/>
                <w:lang w:eastAsia="zh-CN"/>
              </w:rPr>
              <w:t>ACK+N</w:t>
            </w:r>
            <w:r>
              <w:rPr>
                <w:rFonts w:eastAsiaTheme="minorEastAsia"/>
                <w:lang w:eastAsia="zh-CN"/>
              </w:rPr>
              <w:t>A</w:t>
            </w:r>
            <w:r>
              <w:rPr>
                <w:rFonts w:eastAsiaTheme="minorEastAsia" w:hint="eastAsia"/>
                <w:lang w:eastAsia="zh-CN"/>
              </w:rPr>
              <w:t>CK</w:t>
            </w:r>
            <w:r>
              <w:rPr>
                <w:rFonts w:eastAsiaTheme="minorEastAsia"/>
                <w:lang w:eastAsia="zh-CN"/>
              </w:rPr>
              <w:t>”, UE will not change CW size when NACK is received, and based on “NACK”,  UE will not change size when nothing is received (i.e. “DTX”). Thus, it</w:t>
            </w:r>
            <w:r w:rsidRPr="007B7D73">
              <w:rPr>
                <w:rFonts w:eastAsiaTheme="minorEastAsia"/>
                <w:lang w:eastAsia="zh-CN"/>
              </w:rPr>
              <w:t xml:space="preserve"> may cause less channel access opportunities for UE.</w:t>
            </w:r>
          </w:p>
          <w:p w14:paraId="4AAE1A6B" w14:textId="77777777" w:rsidR="00126C60" w:rsidRDefault="00126C60" w:rsidP="0096086B">
            <w:pPr>
              <w:pStyle w:val="0Maintext"/>
              <w:spacing w:after="0" w:afterAutospacing="0"/>
              <w:ind w:firstLine="0"/>
              <w:rPr>
                <w:rFonts w:eastAsiaTheme="minorEastAsia"/>
                <w:lang w:eastAsia="zh-CN"/>
              </w:rPr>
            </w:pPr>
          </w:p>
          <w:p w14:paraId="14384E7E" w14:textId="77777777" w:rsidR="00126C60" w:rsidRDefault="00126C60" w:rsidP="0096086B">
            <w:pPr>
              <w:pStyle w:val="0Maintext"/>
              <w:spacing w:after="0" w:afterAutospacing="0"/>
              <w:ind w:firstLine="0"/>
              <w:rPr>
                <w:rFonts w:eastAsiaTheme="minorEastAsia"/>
                <w:lang w:eastAsia="zh-CN"/>
              </w:rPr>
            </w:pPr>
            <w:r>
              <w:rPr>
                <w:rFonts w:eastAsiaTheme="minorEastAsia"/>
                <w:lang w:eastAsia="zh-CN"/>
              </w:rPr>
              <w:t>Similar issue also happens for groupcast option 1, if UE only change the CW size based on received NACK. The CW adjustment based on “DTX” will be overlook and make UE have less chances for accessing channel.</w:t>
            </w:r>
          </w:p>
          <w:p w14:paraId="4F280686" w14:textId="77777777" w:rsidR="00126C60" w:rsidRDefault="00126C60" w:rsidP="0096086B">
            <w:pPr>
              <w:pStyle w:val="0Maintext"/>
              <w:spacing w:after="0" w:afterAutospacing="0"/>
              <w:ind w:firstLine="0"/>
              <w:rPr>
                <w:rFonts w:eastAsiaTheme="minorEastAsia"/>
                <w:lang w:eastAsia="zh-CN"/>
              </w:rPr>
            </w:pPr>
          </w:p>
          <w:p w14:paraId="05B91254" w14:textId="6AF09C90" w:rsidR="00126C60" w:rsidRDefault="00126C60" w:rsidP="0096086B">
            <w:pPr>
              <w:pStyle w:val="0Maintext"/>
              <w:spacing w:after="0" w:afterAutospacing="0"/>
              <w:ind w:firstLine="0"/>
              <w:rPr>
                <w:rFonts w:eastAsiaTheme="minorEastAsia"/>
                <w:lang w:eastAsia="zh-CN"/>
              </w:rPr>
            </w:pPr>
            <w:r>
              <w:rPr>
                <w:rFonts w:eastAsiaTheme="minorEastAsia"/>
                <w:lang w:eastAsia="zh-CN"/>
              </w:rPr>
              <w:t xml:space="preserve">For unicast case, we prefer to reuse NR-U design, which straightforward and reliable. For the option 2 of this branch, “reference burst” should be corrected as “reference duration”, where </w:t>
            </w:r>
            <w:r>
              <w:rPr>
                <w:rFonts w:eastAsiaTheme="minorEastAsia" w:hint="eastAsia"/>
                <w:lang w:eastAsia="zh-CN"/>
              </w:rPr>
              <w:t>th</w:t>
            </w:r>
            <w:r>
              <w:rPr>
                <w:rFonts w:eastAsiaTheme="minorEastAsia"/>
                <w:lang w:eastAsia="zh-CN"/>
              </w:rPr>
              <w:t xml:space="preserve">ere </w:t>
            </w:r>
            <w:r w:rsidRPr="00FA2678">
              <w:rPr>
                <w:rFonts w:eastAsiaTheme="minorEastAsia"/>
                <w:lang w:eastAsia="zh-CN"/>
              </w:rPr>
              <w:t>is no “reference burst” specified in TS37.213</w:t>
            </w:r>
            <w:r>
              <w:rPr>
                <w:rFonts w:eastAsiaTheme="minorEastAsia"/>
                <w:lang w:eastAsia="zh-CN"/>
              </w:rPr>
              <w:t>.</w:t>
            </w:r>
          </w:p>
          <w:p w14:paraId="2800DDA9" w14:textId="77777777" w:rsidR="00126C60" w:rsidRPr="005179EF" w:rsidRDefault="00126C60" w:rsidP="00126C60">
            <w:pPr>
              <w:pStyle w:val="ListParagraph"/>
              <w:numPr>
                <w:ilvl w:val="1"/>
                <w:numId w:val="18"/>
              </w:numPr>
              <w:autoSpaceDE w:val="0"/>
              <w:autoSpaceDN w:val="0"/>
              <w:ind w:leftChars="0"/>
              <w:jc w:val="both"/>
              <w:rPr>
                <w:rFonts w:ascii="Calibri" w:hAnsi="Calibri" w:cs="Calibri"/>
                <w:color w:val="FF0000"/>
                <w:sz w:val="22"/>
              </w:rPr>
            </w:pPr>
            <w:r w:rsidRPr="005179EF">
              <w:rPr>
                <w:rFonts w:ascii="Calibri" w:hAnsi="Calibri" w:cs="Calibri"/>
                <w:color w:val="FF0000"/>
                <w:sz w:val="22"/>
              </w:rPr>
              <w:t>CW adjustment for unicast:</w:t>
            </w:r>
          </w:p>
          <w:p w14:paraId="44445843" w14:textId="77777777" w:rsidR="00126C60" w:rsidRDefault="00126C60" w:rsidP="00126C60">
            <w:pPr>
              <w:pStyle w:val="ListParagraph"/>
              <w:numPr>
                <w:ilvl w:val="2"/>
                <w:numId w:val="18"/>
              </w:numPr>
              <w:autoSpaceDE w:val="0"/>
              <w:autoSpaceDN w:val="0"/>
              <w:ind w:leftChars="0"/>
              <w:jc w:val="both"/>
              <w:rPr>
                <w:rFonts w:ascii="Calibri" w:hAnsi="Calibri" w:cs="Calibri"/>
                <w:color w:val="FF0000"/>
                <w:sz w:val="22"/>
              </w:rPr>
            </w:pPr>
            <w:r>
              <w:rPr>
                <w:rFonts w:ascii="Calibri" w:hAnsi="Calibri" w:cs="Calibri"/>
                <w:color w:val="FF0000"/>
                <w:sz w:val="22"/>
                <w:lang w:val="en-AU"/>
              </w:rPr>
              <w:t xml:space="preserve">Option 1: </w:t>
            </w:r>
            <w:r w:rsidRPr="005179EF">
              <w:rPr>
                <w:rFonts w:ascii="Calibri" w:hAnsi="Calibri" w:cs="Calibri" w:hint="eastAsia"/>
                <w:color w:val="FF0000"/>
                <w:sz w:val="22"/>
                <w:lang w:val="en-AU"/>
              </w:rPr>
              <w:t>When a</w:t>
            </w:r>
            <w:r w:rsidRPr="005179EF">
              <w:rPr>
                <w:rFonts w:ascii="Calibri" w:hAnsi="Calibri" w:cs="Calibri"/>
                <w:color w:val="FF0000"/>
                <w:sz w:val="22"/>
                <w:lang w:val="en-AU"/>
              </w:rPr>
              <w:t>t least one</w:t>
            </w:r>
            <w:r w:rsidRPr="005179EF">
              <w:rPr>
                <w:rFonts w:ascii="Calibri" w:hAnsi="Calibri" w:cs="Calibri" w:hint="eastAsia"/>
                <w:color w:val="FF0000"/>
                <w:sz w:val="22"/>
                <w:lang w:val="en-AU"/>
              </w:rPr>
              <w:t xml:space="preserve"> SL HARQ-ACK </w:t>
            </w:r>
            <w:r w:rsidRPr="005179EF">
              <w:rPr>
                <w:rFonts w:ascii="Calibri" w:hAnsi="Calibri" w:cs="Calibri"/>
                <w:color w:val="FF0000"/>
                <w:sz w:val="22"/>
                <w:lang w:val="en-AU"/>
              </w:rPr>
              <w:t>is received</w:t>
            </w:r>
            <w:r w:rsidRPr="005179EF">
              <w:rPr>
                <w:rFonts w:ascii="Calibri" w:hAnsi="Calibri" w:cs="Calibri" w:hint="eastAsia"/>
                <w:color w:val="FF0000"/>
                <w:sz w:val="22"/>
                <w:lang w:val="en-AU"/>
              </w:rPr>
              <w:t xml:space="preserve">, </w:t>
            </w:r>
            <m:oMath>
              <m:r>
                <w:rPr>
                  <w:rFonts w:ascii="Cambria Math" w:hAnsi="Cambria Math" w:cs="Calibri"/>
                  <w:color w:val="FF0000"/>
                  <w:sz w:val="22"/>
                </w:rPr>
                <m:t>C</m:t>
              </m:r>
              <m:sSub>
                <m:sSubPr>
                  <m:ctrlPr>
                    <w:rPr>
                      <w:rFonts w:ascii="Cambria Math" w:hAnsi="Cambria Math" w:cs="Calibri"/>
                      <w:i/>
                      <w:iCs/>
                      <w:color w:val="FF0000"/>
                      <w:sz w:val="22"/>
                    </w:rPr>
                  </m:ctrlPr>
                </m:sSubPr>
                <m:e>
                  <m:r>
                    <w:rPr>
                      <w:rFonts w:ascii="Cambria Math" w:hAnsi="Cambria Math" w:cs="Calibri"/>
                      <w:color w:val="FF0000"/>
                      <w:sz w:val="22"/>
                    </w:rPr>
                    <m:t>W</m:t>
                  </m:r>
                </m:e>
                <m:sub>
                  <m:r>
                    <w:rPr>
                      <w:rFonts w:ascii="Cambria Math" w:hAnsi="Cambria Math" w:cs="Calibri"/>
                      <w:color w:val="FF0000"/>
                      <w:sz w:val="22"/>
                    </w:rPr>
                    <m:t>p</m:t>
                  </m:r>
                </m:sub>
              </m:sSub>
            </m:oMath>
            <w:r w:rsidRPr="005179EF">
              <w:rPr>
                <w:rFonts w:ascii="Calibri" w:hAnsi="Calibri" w:cs="Calibri" w:hint="eastAsia"/>
                <w:color w:val="FF0000"/>
                <w:sz w:val="22"/>
                <w:lang w:val="en-AU"/>
              </w:rPr>
              <w:t xml:space="preserve"> is reset to </w:t>
            </w:r>
            <m:oMath>
              <m:r>
                <w:rPr>
                  <w:rFonts w:ascii="Cambria Math" w:hAnsi="Cambria Math" w:cs="Calibri"/>
                  <w:color w:val="FF0000"/>
                  <w:sz w:val="22"/>
                </w:rPr>
                <m:t>C</m:t>
              </m:r>
              <m:sSub>
                <m:sSubPr>
                  <m:ctrlPr>
                    <w:rPr>
                      <w:rFonts w:ascii="Cambria Math" w:hAnsi="Cambria Math" w:cs="Calibri"/>
                      <w:i/>
                      <w:iCs/>
                      <w:color w:val="FF0000"/>
                      <w:sz w:val="22"/>
                    </w:rPr>
                  </m:ctrlPr>
                </m:sSubPr>
                <m:e>
                  <m:r>
                    <w:rPr>
                      <w:rFonts w:ascii="Cambria Math" w:hAnsi="Cambria Math" w:cs="Calibri"/>
                      <w:color w:val="FF0000"/>
                      <w:sz w:val="22"/>
                    </w:rPr>
                    <m:t>W</m:t>
                  </m:r>
                </m:e>
                <m:sub>
                  <m:r>
                    <w:rPr>
                      <w:rFonts w:ascii="Cambria Math" w:hAnsi="Cambria Math" w:cs="Calibri"/>
                      <w:color w:val="FF0000"/>
                      <w:sz w:val="22"/>
                      <w:lang w:val="en-AU"/>
                    </w:rPr>
                    <m:t>min,</m:t>
                  </m:r>
                  <m:r>
                    <w:rPr>
                      <w:rFonts w:ascii="Cambria Math" w:hAnsi="Cambria Math" w:cs="Calibri"/>
                      <w:color w:val="FF0000"/>
                      <w:sz w:val="22"/>
                    </w:rPr>
                    <m:t>p</m:t>
                  </m:r>
                </m:sub>
              </m:sSub>
            </m:oMath>
            <w:r w:rsidRPr="005179EF">
              <w:rPr>
                <w:rFonts w:ascii="Calibri" w:hAnsi="Calibri" w:cs="Calibri" w:hint="eastAsia"/>
                <w:i/>
                <w:iCs/>
                <w:color w:val="FF0000"/>
                <w:sz w:val="22"/>
                <w:lang w:val="en-AU"/>
              </w:rPr>
              <w:t xml:space="preserve"> </w:t>
            </w:r>
            <w:r w:rsidRPr="005179EF">
              <w:rPr>
                <w:rFonts w:ascii="Calibri" w:hAnsi="Calibri" w:cs="Calibri" w:hint="eastAsia"/>
                <w:color w:val="FF0000"/>
                <w:sz w:val="22"/>
                <w:lang w:val="en-AU"/>
              </w:rPr>
              <w:t xml:space="preserve">for every priority class </w:t>
            </w:r>
            <m:oMath>
              <m:r>
                <w:rPr>
                  <w:rFonts w:ascii="Cambria Math" w:hAnsi="Cambria Math" w:cs="Calibri"/>
                  <w:color w:val="FF0000"/>
                  <w:sz w:val="22"/>
                </w:rPr>
                <m:t>p∈</m:t>
              </m:r>
              <m:d>
                <m:dPr>
                  <m:begChr m:val="{"/>
                  <m:endChr m:val="}"/>
                  <m:ctrlPr>
                    <w:rPr>
                      <w:rFonts w:ascii="Cambria Math" w:hAnsi="Cambria Math" w:cs="Calibri"/>
                      <w:i/>
                      <w:iCs/>
                      <w:color w:val="FF0000"/>
                      <w:sz w:val="22"/>
                    </w:rPr>
                  </m:ctrlPr>
                </m:dPr>
                <m:e>
                  <m:r>
                    <w:rPr>
                      <w:rFonts w:ascii="Cambria Math" w:hAnsi="Cambria Math" w:cs="Calibri"/>
                      <w:color w:val="FF0000"/>
                      <w:sz w:val="22"/>
                    </w:rPr>
                    <m:t>1,2,3,4</m:t>
                  </m:r>
                </m:e>
              </m:d>
            </m:oMath>
            <w:r w:rsidRPr="005179EF">
              <w:rPr>
                <w:rFonts w:ascii="Calibri" w:hAnsi="Calibri" w:cs="Calibri" w:hint="eastAsia"/>
                <w:color w:val="FF0000"/>
                <w:sz w:val="22"/>
                <w:lang w:val="en-AU"/>
              </w:rPr>
              <w:t xml:space="preserve">, otherwise </w:t>
            </w:r>
            <w:r w:rsidRPr="005179EF">
              <w:rPr>
                <w:rFonts w:ascii="Calibri" w:hAnsi="Calibri" w:cs="Calibri" w:hint="eastAsia"/>
                <w:color w:val="FF0000"/>
                <w:sz w:val="22"/>
              </w:rPr>
              <w:t xml:space="preserve">increase </w:t>
            </w:r>
            <m:oMath>
              <m:r>
                <w:rPr>
                  <w:rFonts w:ascii="Cambria Math" w:hAnsi="Cambria Math" w:cs="Calibri"/>
                  <w:color w:val="FF0000"/>
                  <w:sz w:val="22"/>
                </w:rPr>
                <m:t>C</m:t>
              </m:r>
              <m:sSub>
                <m:sSubPr>
                  <m:ctrlPr>
                    <w:rPr>
                      <w:rFonts w:ascii="Cambria Math" w:hAnsi="Cambria Math" w:cs="Calibri"/>
                      <w:i/>
                      <w:iCs/>
                      <w:color w:val="FF0000"/>
                      <w:sz w:val="22"/>
                    </w:rPr>
                  </m:ctrlPr>
                </m:sSubPr>
                <m:e>
                  <m:r>
                    <w:rPr>
                      <w:rFonts w:ascii="Cambria Math" w:hAnsi="Cambria Math" w:cs="Calibri"/>
                      <w:color w:val="FF0000"/>
                      <w:sz w:val="22"/>
                    </w:rPr>
                    <m:t>W</m:t>
                  </m:r>
                </m:e>
                <m:sub>
                  <m:r>
                    <w:rPr>
                      <w:rFonts w:ascii="Cambria Math" w:hAnsi="Cambria Math" w:cs="Calibri"/>
                      <w:color w:val="FF0000"/>
                      <w:sz w:val="22"/>
                    </w:rPr>
                    <m:t>p</m:t>
                  </m:r>
                </m:sub>
              </m:sSub>
            </m:oMath>
            <w:r w:rsidRPr="005179EF">
              <w:rPr>
                <w:rFonts w:ascii="Calibri" w:hAnsi="Calibri" w:cs="Calibri" w:hint="eastAsia"/>
                <w:color w:val="FF0000"/>
                <w:sz w:val="22"/>
              </w:rPr>
              <w:t xml:space="preserve"> for every priority class </w:t>
            </w:r>
            <m:oMath>
              <m:r>
                <w:rPr>
                  <w:rFonts w:ascii="Cambria Math" w:hAnsi="Cambria Math" w:cs="Calibri"/>
                  <w:color w:val="FF0000"/>
                  <w:sz w:val="22"/>
                </w:rPr>
                <m:t>p∈</m:t>
              </m:r>
              <m:d>
                <m:dPr>
                  <m:begChr m:val="{"/>
                  <m:endChr m:val="}"/>
                  <m:ctrlPr>
                    <w:rPr>
                      <w:rFonts w:ascii="Cambria Math" w:hAnsi="Cambria Math" w:cs="Calibri"/>
                      <w:i/>
                      <w:iCs/>
                      <w:color w:val="FF0000"/>
                      <w:sz w:val="22"/>
                    </w:rPr>
                  </m:ctrlPr>
                </m:dPr>
                <m:e>
                  <m:r>
                    <w:rPr>
                      <w:rFonts w:ascii="Cambria Math" w:hAnsi="Cambria Math" w:cs="Calibri"/>
                      <w:color w:val="FF0000"/>
                      <w:sz w:val="22"/>
                    </w:rPr>
                    <m:t>1,2,3,4</m:t>
                  </m:r>
                </m:e>
              </m:d>
            </m:oMath>
            <w:r w:rsidRPr="005179EF">
              <w:rPr>
                <w:rFonts w:ascii="Calibri" w:hAnsi="Calibri" w:cs="Calibri" w:hint="eastAsia"/>
                <w:color w:val="FF0000"/>
                <w:sz w:val="22"/>
              </w:rPr>
              <w:t xml:space="preserve"> to the next higher allowed value</w:t>
            </w:r>
            <w:r>
              <w:rPr>
                <w:rFonts w:ascii="Calibri" w:hAnsi="Calibri" w:cs="Calibri"/>
                <w:color w:val="FF0000"/>
                <w:sz w:val="22"/>
              </w:rPr>
              <w:t>.</w:t>
            </w:r>
          </w:p>
          <w:p w14:paraId="0CFAE134" w14:textId="77777777" w:rsidR="00126C60" w:rsidRPr="00873ADE" w:rsidRDefault="00126C60" w:rsidP="00126C60">
            <w:pPr>
              <w:pStyle w:val="ListParagraph"/>
              <w:numPr>
                <w:ilvl w:val="2"/>
                <w:numId w:val="18"/>
              </w:numPr>
              <w:autoSpaceDE w:val="0"/>
              <w:autoSpaceDN w:val="0"/>
              <w:ind w:leftChars="0"/>
              <w:jc w:val="both"/>
              <w:rPr>
                <w:rFonts w:ascii="Calibri" w:hAnsi="Calibri" w:cs="Calibri"/>
                <w:color w:val="FF0000"/>
                <w:sz w:val="22"/>
                <w:szCs w:val="22"/>
              </w:rPr>
            </w:pPr>
            <w:r w:rsidRPr="00EA768E">
              <w:rPr>
                <w:rFonts w:ascii="Calibri" w:hAnsi="Calibri" w:cs="Calibri"/>
                <w:color w:val="FF0000"/>
                <w:sz w:val="22"/>
                <w:szCs w:val="22"/>
              </w:rPr>
              <w:t xml:space="preserve">Option 2: </w:t>
            </w:r>
            <w:r w:rsidRPr="00EA768E">
              <w:rPr>
                <w:rFonts w:asciiTheme="minorHAnsi" w:hAnsiTheme="minorHAnsi" w:cstheme="minorHAnsi"/>
                <w:color w:val="FF0000"/>
                <w:sz w:val="22"/>
                <w:szCs w:val="22"/>
              </w:rPr>
              <w:t xml:space="preserve">If a UE may receive feedback information for unicast PSSCH with HARQ-ACK feedback enabled occurring within the SL reference </w:t>
            </w:r>
            <w:r w:rsidRPr="007B7D73">
              <w:rPr>
                <w:rFonts w:asciiTheme="minorHAnsi" w:hAnsiTheme="minorHAnsi" w:cstheme="minorHAnsi"/>
                <w:strike/>
                <w:color w:val="00B050"/>
                <w:sz w:val="22"/>
                <w:szCs w:val="22"/>
              </w:rPr>
              <w:t xml:space="preserve">burst </w:t>
            </w:r>
            <w:r w:rsidRPr="007B7D73">
              <w:rPr>
                <w:rFonts w:asciiTheme="minorHAnsi" w:hAnsiTheme="minorHAnsi" w:cstheme="minorHAnsi"/>
                <w:color w:val="00B050"/>
                <w:sz w:val="22"/>
                <w:szCs w:val="22"/>
              </w:rPr>
              <w:t xml:space="preserve">duration </w:t>
            </w:r>
            <m:oMath>
              <m:r>
                <w:rPr>
                  <w:rFonts w:ascii="Cambria Math" w:hAnsi="Cambria Math" w:cstheme="minorHAnsi"/>
                  <w:color w:val="FF0000"/>
                  <w:sz w:val="22"/>
                  <w:szCs w:val="22"/>
                </w:rPr>
                <m:t>C</m:t>
              </m:r>
              <m:sSub>
                <m:sSubPr>
                  <m:ctrlPr>
                    <w:rPr>
                      <w:rFonts w:ascii="Cambria Math" w:hAnsi="Cambria Math" w:cstheme="minorHAnsi"/>
                      <w:i/>
                      <w:iCs/>
                      <w:color w:val="FF0000"/>
                      <w:sz w:val="22"/>
                      <w:szCs w:val="22"/>
                    </w:rPr>
                  </m:ctrlPr>
                </m:sSubPr>
                <m:e>
                  <m:r>
                    <w:rPr>
                      <w:rFonts w:ascii="Cambria Math" w:hAnsi="Cambria Math" w:cstheme="minorHAnsi"/>
                      <w:color w:val="FF0000"/>
                      <w:sz w:val="22"/>
                      <w:szCs w:val="22"/>
                    </w:rPr>
                    <m:t>W</m:t>
                  </m:r>
                </m:e>
                <m:sub>
                  <m:r>
                    <w:rPr>
                      <w:rFonts w:ascii="Cambria Math" w:hAnsi="Cambria Math" w:cstheme="minorHAnsi"/>
                      <w:color w:val="FF0000"/>
                      <w:sz w:val="22"/>
                      <w:szCs w:val="22"/>
                    </w:rPr>
                    <m:t>p</m:t>
                  </m:r>
                </m:sub>
              </m:sSub>
              <m:r>
                <m:rPr>
                  <m:sty m:val="p"/>
                </m:rPr>
                <w:rPr>
                  <w:rFonts w:ascii="Cambria Math" w:hAnsi="Cambria Math" w:cstheme="minorHAnsi"/>
                  <w:color w:val="FF0000"/>
                  <w:sz w:val="22"/>
                  <w:szCs w:val="22"/>
                </w:rPr>
                <m:t>=</m:t>
              </m:r>
              <m:r>
                <w:rPr>
                  <w:rFonts w:ascii="Cambria Math" w:hAnsi="Cambria Math" w:cstheme="minorHAnsi"/>
                  <w:color w:val="FF0000"/>
                  <w:sz w:val="22"/>
                  <w:szCs w:val="22"/>
                </w:rPr>
                <m:t>C</m:t>
              </m:r>
              <m:sSub>
                <m:sSubPr>
                  <m:ctrlPr>
                    <w:rPr>
                      <w:rFonts w:ascii="Cambria Math" w:hAnsi="Cambria Math" w:cstheme="minorHAnsi"/>
                      <w:i/>
                      <w:iCs/>
                      <w:color w:val="FF0000"/>
                      <w:sz w:val="22"/>
                      <w:szCs w:val="22"/>
                    </w:rPr>
                  </m:ctrlPr>
                </m:sSubPr>
                <m:e>
                  <m:r>
                    <w:rPr>
                      <w:rFonts w:ascii="Cambria Math" w:hAnsi="Cambria Math" w:cstheme="minorHAnsi"/>
                      <w:color w:val="FF0000"/>
                      <w:sz w:val="22"/>
                      <w:szCs w:val="22"/>
                    </w:rPr>
                    <m:t>W</m:t>
                  </m:r>
                </m:e>
                <m:sub>
                  <m:func>
                    <m:funcPr>
                      <m:ctrlPr>
                        <w:rPr>
                          <w:rFonts w:ascii="Cambria Math" w:hAnsi="Cambria Math" w:cstheme="minorHAnsi"/>
                          <w:i/>
                          <w:iCs/>
                          <w:color w:val="FF0000"/>
                          <w:sz w:val="22"/>
                          <w:szCs w:val="22"/>
                        </w:rPr>
                      </m:ctrlPr>
                    </m:funcPr>
                    <m:fName>
                      <m:r>
                        <w:rPr>
                          <w:rFonts w:ascii="Cambria Math" w:hAnsi="Cambria Math" w:cstheme="minorHAnsi"/>
                          <w:color w:val="FF0000"/>
                          <w:sz w:val="22"/>
                          <w:szCs w:val="22"/>
                        </w:rPr>
                        <m:t>min</m:t>
                      </m:r>
                      <m:r>
                        <m:rPr>
                          <m:sty m:val="p"/>
                        </m:rPr>
                        <w:rPr>
                          <w:rFonts w:ascii="Cambria Math" w:hAnsi="Cambria Math" w:cstheme="minorHAnsi"/>
                          <w:color w:val="FF0000"/>
                          <w:sz w:val="22"/>
                          <w:szCs w:val="22"/>
                        </w:rPr>
                        <m:t>,</m:t>
                      </m:r>
                    </m:fName>
                    <m:e>
                      <m:r>
                        <w:rPr>
                          <w:rFonts w:ascii="Cambria Math" w:hAnsi="Cambria Math" w:cstheme="minorHAnsi"/>
                          <w:color w:val="FF0000"/>
                          <w:sz w:val="22"/>
                          <w:szCs w:val="22"/>
                        </w:rPr>
                        <m:t>p</m:t>
                      </m:r>
                    </m:e>
                  </m:func>
                </m:sub>
              </m:sSub>
            </m:oMath>
            <w:r w:rsidRPr="00EA768E">
              <w:rPr>
                <w:rFonts w:asciiTheme="minorHAnsi" w:hAnsiTheme="minorHAnsi" w:cstheme="minorHAnsi"/>
                <w:color w:val="FF0000"/>
                <w:sz w:val="22"/>
                <w:szCs w:val="22"/>
              </w:rPr>
              <w:t xml:space="preserve"> if at least a ‘ACK’ is received, otherwise </w:t>
            </w:r>
            <m:oMath>
              <m:r>
                <w:rPr>
                  <w:rFonts w:ascii="Cambria Math" w:hAnsi="Cambria Math" w:cstheme="minorHAnsi"/>
                  <w:color w:val="FF0000"/>
                  <w:sz w:val="22"/>
                  <w:szCs w:val="22"/>
                </w:rPr>
                <m:t>C</m:t>
              </m:r>
              <m:sSub>
                <m:sSubPr>
                  <m:ctrlPr>
                    <w:rPr>
                      <w:rFonts w:ascii="Cambria Math" w:hAnsi="Cambria Math" w:cstheme="minorHAnsi"/>
                      <w:i/>
                      <w:iCs/>
                      <w:color w:val="FF0000"/>
                      <w:sz w:val="22"/>
                      <w:szCs w:val="22"/>
                    </w:rPr>
                  </m:ctrlPr>
                </m:sSubPr>
                <m:e>
                  <m:r>
                    <w:rPr>
                      <w:rFonts w:ascii="Cambria Math" w:hAnsi="Cambria Math" w:cstheme="minorHAnsi"/>
                      <w:color w:val="FF0000"/>
                      <w:sz w:val="22"/>
                      <w:szCs w:val="22"/>
                    </w:rPr>
                    <m:t>W</m:t>
                  </m:r>
                </m:e>
                <m:sub>
                  <m:r>
                    <w:rPr>
                      <w:rFonts w:ascii="Cambria Math" w:hAnsi="Cambria Math" w:cstheme="minorHAnsi"/>
                      <w:color w:val="FF0000"/>
                      <w:sz w:val="22"/>
                      <w:szCs w:val="22"/>
                    </w:rPr>
                    <m:t>p</m:t>
                  </m:r>
                </m:sub>
              </m:sSub>
              <m:r>
                <w:rPr>
                  <w:rFonts w:ascii="Cambria Math" w:hAnsi="Cambria Math" w:cstheme="minorHAnsi"/>
                  <w:color w:val="FF0000"/>
                  <w:sz w:val="22"/>
                  <w:szCs w:val="22"/>
                </w:rPr>
                <m:t> </m:t>
              </m:r>
            </m:oMath>
            <w:r w:rsidRPr="00EA768E">
              <w:rPr>
                <w:rFonts w:asciiTheme="minorHAnsi" w:hAnsiTheme="minorHAnsi" w:cstheme="minorHAnsi"/>
                <w:color w:val="FF0000"/>
                <w:sz w:val="22"/>
                <w:szCs w:val="22"/>
              </w:rPr>
              <w:t>is increased.</w:t>
            </w:r>
          </w:p>
          <w:p w14:paraId="441919AA" w14:textId="4B87FF59" w:rsidR="00126C60" w:rsidRPr="00126C60" w:rsidRDefault="00126C60" w:rsidP="00126C60">
            <w:pPr>
              <w:pStyle w:val="ListParagraph"/>
              <w:numPr>
                <w:ilvl w:val="2"/>
                <w:numId w:val="18"/>
              </w:numPr>
              <w:autoSpaceDE w:val="0"/>
              <w:autoSpaceDN w:val="0"/>
              <w:ind w:leftChars="0"/>
              <w:jc w:val="both"/>
              <w:rPr>
                <w:rFonts w:ascii="Calibri" w:hAnsi="Calibri" w:cs="Calibri"/>
                <w:color w:val="FF0000"/>
                <w:sz w:val="22"/>
                <w:szCs w:val="22"/>
              </w:rPr>
            </w:pPr>
            <w:r>
              <w:rPr>
                <w:rFonts w:ascii="Calibri" w:hAnsi="Calibri" w:cs="Calibri"/>
                <w:color w:val="FF0000"/>
                <w:sz w:val="22"/>
              </w:rPr>
              <w:t>Option 3: CW is adjustment according to CR/CBR measurement.</w:t>
            </w:r>
          </w:p>
        </w:tc>
      </w:tr>
      <w:tr w:rsidR="00126C60" w:rsidRPr="00FA2678" w14:paraId="058C3317" w14:textId="77777777" w:rsidTr="00126C60">
        <w:tc>
          <w:tcPr>
            <w:tcW w:w="1555" w:type="dxa"/>
          </w:tcPr>
          <w:p w14:paraId="5090EFF9" w14:textId="77777777" w:rsidR="00126C60" w:rsidRPr="006B331E" w:rsidRDefault="00126C60" w:rsidP="0096086B">
            <w:pPr>
              <w:pStyle w:val="0Maintext"/>
              <w:spacing w:after="0" w:afterAutospacing="0"/>
              <w:ind w:firstLine="0"/>
            </w:pPr>
            <w:r>
              <w:rPr>
                <w:rFonts w:hint="eastAsia"/>
                <w:lang w:eastAsia="ko-KR"/>
              </w:rPr>
              <w:t>ETRI</w:t>
            </w:r>
          </w:p>
        </w:tc>
        <w:tc>
          <w:tcPr>
            <w:tcW w:w="8079" w:type="dxa"/>
          </w:tcPr>
          <w:p w14:paraId="63531652" w14:textId="77777777" w:rsidR="00126C60" w:rsidRDefault="00126C60" w:rsidP="0096086B">
            <w:pPr>
              <w:pStyle w:val="0Maintext"/>
              <w:spacing w:after="0" w:afterAutospacing="0"/>
              <w:ind w:firstLine="0"/>
              <w:rPr>
                <w:rFonts w:eastAsiaTheme="minorEastAsia"/>
                <w:lang w:eastAsia="zh-CN"/>
              </w:rPr>
            </w:pPr>
            <w:r w:rsidRPr="006B331E">
              <w:rPr>
                <w:rFonts w:eastAsiaTheme="minorEastAsia" w:hint="eastAsia"/>
                <w:lang w:val="en-US" w:eastAsia="zh-CN"/>
              </w:rPr>
              <w:t>We</w:t>
            </w:r>
            <w:r w:rsidRPr="006B331E">
              <w:rPr>
                <w:rFonts w:eastAsiaTheme="minorEastAsia"/>
                <w:lang w:val="en-US" w:eastAsia="zh-CN"/>
              </w:rPr>
              <w:t xml:space="preserve"> </w:t>
            </w:r>
            <w:r w:rsidRPr="006B331E">
              <w:rPr>
                <w:rFonts w:eastAsiaTheme="minorEastAsia" w:hint="eastAsia"/>
                <w:lang w:val="en-US" w:eastAsia="zh-CN"/>
              </w:rPr>
              <w:t>are</w:t>
            </w:r>
            <w:r w:rsidRPr="006B331E">
              <w:rPr>
                <w:rFonts w:eastAsiaTheme="minorEastAsia"/>
                <w:lang w:val="en-US" w:eastAsia="zh-CN"/>
              </w:rPr>
              <w:t xml:space="preserve"> </w:t>
            </w:r>
            <w:r w:rsidRPr="006B331E">
              <w:rPr>
                <w:rFonts w:eastAsiaTheme="minorEastAsia" w:hint="eastAsia"/>
                <w:lang w:val="en-US" w:eastAsia="zh-CN"/>
              </w:rPr>
              <w:t>fine</w:t>
            </w:r>
            <w:r w:rsidRPr="006B331E">
              <w:rPr>
                <w:rFonts w:eastAsiaTheme="minorEastAsia"/>
                <w:lang w:val="en-US" w:eastAsia="zh-CN"/>
              </w:rPr>
              <w:t xml:space="preserve"> </w:t>
            </w:r>
            <w:r w:rsidRPr="006B331E">
              <w:rPr>
                <w:rFonts w:eastAsiaTheme="minorEastAsia" w:hint="eastAsia"/>
                <w:lang w:val="en-US" w:eastAsia="zh-CN"/>
              </w:rPr>
              <w:t>with</w:t>
            </w:r>
            <w:r w:rsidRPr="006B331E">
              <w:rPr>
                <w:rFonts w:eastAsiaTheme="minorEastAsia"/>
                <w:lang w:val="en-US" w:eastAsia="zh-CN"/>
              </w:rPr>
              <w:t xml:space="preserve"> </w:t>
            </w:r>
            <w:r w:rsidRPr="006B331E">
              <w:rPr>
                <w:rFonts w:eastAsiaTheme="minorEastAsia" w:hint="eastAsia"/>
                <w:lang w:val="en-US" w:eastAsia="zh-CN"/>
              </w:rPr>
              <w:t>the</w:t>
            </w:r>
            <w:r w:rsidRPr="006B331E">
              <w:rPr>
                <w:rFonts w:eastAsiaTheme="minorEastAsia"/>
                <w:lang w:val="en-US" w:eastAsia="zh-CN"/>
              </w:rPr>
              <w:t xml:space="preserve"> </w:t>
            </w:r>
            <w:r w:rsidRPr="006B331E">
              <w:rPr>
                <w:rFonts w:eastAsiaTheme="minorEastAsia" w:hint="eastAsia"/>
                <w:lang w:val="en-US" w:eastAsia="zh-CN"/>
              </w:rPr>
              <w:t>proposal.</w:t>
            </w:r>
          </w:p>
        </w:tc>
      </w:tr>
      <w:tr w:rsidR="0049089E" w:rsidRPr="00FA2678" w14:paraId="27C3609B" w14:textId="77777777" w:rsidTr="0049089E">
        <w:tc>
          <w:tcPr>
            <w:tcW w:w="1555" w:type="dxa"/>
          </w:tcPr>
          <w:p w14:paraId="363BF914" w14:textId="77777777" w:rsidR="0049089E" w:rsidRDefault="0049089E" w:rsidP="004711C5">
            <w:pPr>
              <w:pStyle w:val="0Maintext"/>
              <w:spacing w:after="0" w:afterAutospacing="0"/>
              <w:ind w:firstLine="0"/>
              <w:rPr>
                <w:lang w:eastAsia="ko-KR"/>
              </w:rPr>
            </w:pPr>
            <w:r>
              <w:rPr>
                <w:rFonts w:eastAsiaTheme="minorEastAsia"/>
                <w:lang w:eastAsia="zh-CN"/>
              </w:rPr>
              <w:t>Ericsson</w:t>
            </w:r>
          </w:p>
        </w:tc>
        <w:tc>
          <w:tcPr>
            <w:tcW w:w="8079" w:type="dxa"/>
          </w:tcPr>
          <w:p w14:paraId="35CF51A1" w14:textId="77777777" w:rsidR="0049089E" w:rsidRDefault="0049089E" w:rsidP="004711C5">
            <w:pPr>
              <w:pStyle w:val="0Maintext"/>
              <w:spacing w:after="0" w:afterAutospacing="0"/>
              <w:ind w:firstLine="0"/>
              <w:rPr>
                <w:rFonts w:eastAsiaTheme="minorEastAsia"/>
                <w:lang w:eastAsia="zh-CN"/>
              </w:rPr>
            </w:pPr>
            <w:r>
              <w:rPr>
                <w:rFonts w:eastAsiaTheme="minorEastAsia"/>
                <w:lang w:eastAsia="zh-CN"/>
              </w:rPr>
              <w:t xml:space="preserve">We can be OK at this point in time to keep all the options on the table (and even new ones). </w:t>
            </w:r>
          </w:p>
          <w:p w14:paraId="6D7B4D66" w14:textId="77777777" w:rsidR="0049089E" w:rsidRDefault="0049089E" w:rsidP="004711C5">
            <w:pPr>
              <w:pStyle w:val="0Maintext"/>
              <w:spacing w:after="0" w:afterAutospacing="0"/>
              <w:ind w:firstLine="0"/>
              <w:rPr>
                <w:rFonts w:eastAsiaTheme="minorEastAsia"/>
                <w:lang w:eastAsia="zh-CN"/>
              </w:rPr>
            </w:pPr>
          </w:p>
          <w:p w14:paraId="2E553FF0" w14:textId="77777777" w:rsidR="0049089E" w:rsidRDefault="0049089E" w:rsidP="004711C5">
            <w:pPr>
              <w:pStyle w:val="0Maintext"/>
              <w:spacing w:after="0" w:afterAutospacing="0"/>
              <w:ind w:firstLine="0"/>
              <w:rPr>
                <w:rFonts w:eastAsiaTheme="minorEastAsia"/>
                <w:lang w:eastAsia="zh-CN"/>
              </w:rPr>
            </w:pPr>
            <w:r>
              <w:rPr>
                <w:rFonts w:eastAsiaTheme="minorEastAsia"/>
                <w:lang w:eastAsia="zh-CN"/>
              </w:rPr>
              <w:t>However, there are some parts of the proposals that in our view should not be consider, such as the following:</w:t>
            </w:r>
          </w:p>
          <w:p w14:paraId="178293A9" w14:textId="77777777" w:rsidR="0049089E" w:rsidRDefault="0049089E" w:rsidP="004711C5">
            <w:pPr>
              <w:pStyle w:val="0Maintext"/>
              <w:spacing w:after="0" w:afterAutospacing="0"/>
              <w:ind w:firstLine="0"/>
              <w:rPr>
                <w:rFonts w:eastAsiaTheme="minorEastAsia"/>
                <w:lang w:eastAsia="zh-CN"/>
              </w:rPr>
            </w:pPr>
          </w:p>
          <w:p w14:paraId="07677A16" w14:textId="77777777" w:rsidR="0049089E" w:rsidRPr="006B331E" w:rsidRDefault="0049089E" w:rsidP="004711C5">
            <w:pPr>
              <w:pStyle w:val="0Maintext"/>
              <w:spacing w:after="0" w:afterAutospacing="0"/>
              <w:ind w:firstLine="0"/>
              <w:rPr>
                <w:rFonts w:eastAsiaTheme="minorEastAsia"/>
                <w:lang w:val="en-US" w:eastAsia="zh-CN"/>
              </w:rPr>
            </w:pPr>
            <w:r>
              <w:rPr>
                <w:rFonts w:eastAsiaTheme="minorEastAsia"/>
                <w:lang w:eastAsia="zh-CN"/>
              </w:rPr>
              <w:t>For NACK-only (GC-1): we should not support Option 2, i.e., to reset the CW even if no HARQ is received. In our view, this does not work with the current regulation.</w:t>
            </w:r>
          </w:p>
        </w:tc>
      </w:tr>
      <w:tr w:rsidR="0049089E" w:rsidRPr="00FA2678" w14:paraId="14C2DBE8" w14:textId="77777777" w:rsidTr="0049089E">
        <w:tc>
          <w:tcPr>
            <w:tcW w:w="1555" w:type="dxa"/>
          </w:tcPr>
          <w:p w14:paraId="0D5DE025" w14:textId="77777777" w:rsidR="0049089E" w:rsidRDefault="0049089E" w:rsidP="004711C5">
            <w:pPr>
              <w:pStyle w:val="0Maintext"/>
              <w:spacing w:after="0" w:afterAutospacing="0"/>
              <w:ind w:firstLine="0"/>
              <w:rPr>
                <w:rFonts w:eastAsiaTheme="minorEastAsia"/>
                <w:lang w:eastAsia="zh-CN"/>
              </w:rPr>
            </w:pPr>
            <w:r>
              <w:rPr>
                <w:rFonts w:eastAsiaTheme="minorEastAsia" w:hint="eastAsia"/>
                <w:lang w:val="en-US" w:eastAsia="zh-CN"/>
              </w:rPr>
              <w:t>M</w:t>
            </w:r>
            <w:r>
              <w:rPr>
                <w:rFonts w:eastAsiaTheme="minorEastAsia"/>
                <w:lang w:val="en-US" w:eastAsia="zh-CN"/>
              </w:rPr>
              <w:t>ediaTek</w:t>
            </w:r>
          </w:p>
        </w:tc>
        <w:tc>
          <w:tcPr>
            <w:tcW w:w="8079" w:type="dxa"/>
          </w:tcPr>
          <w:p w14:paraId="656CAA01" w14:textId="77777777" w:rsidR="0049089E" w:rsidRDefault="0049089E" w:rsidP="004711C5">
            <w:pPr>
              <w:pStyle w:val="0Maintext"/>
              <w:spacing w:after="0" w:afterAutospacing="0"/>
              <w:ind w:firstLine="0"/>
              <w:rPr>
                <w:rFonts w:eastAsiaTheme="minorEastAsia"/>
                <w:lang w:eastAsia="zh-CN"/>
              </w:rPr>
            </w:pPr>
            <w:r>
              <w:rPr>
                <w:rFonts w:eastAsiaTheme="minorEastAsia" w:hint="eastAsia"/>
                <w:lang w:val="en-US" w:eastAsia="zh-CN"/>
              </w:rPr>
              <w:t>W</w:t>
            </w:r>
            <w:r>
              <w:rPr>
                <w:rFonts w:eastAsiaTheme="minorEastAsia"/>
                <w:lang w:val="en-US" w:eastAsia="zh-CN"/>
              </w:rPr>
              <w:t>e are generally fine with the proposal.</w:t>
            </w:r>
          </w:p>
        </w:tc>
      </w:tr>
      <w:tr w:rsidR="004F4B69" w:rsidRPr="00FA2678" w14:paraId="1D0017B6" w14:textId="77777777" w:rsidTr="0049089E">
        <w:tc>
          <w:tcPr>
            <w:tcW w:w="1555" w:type="dxa"/>
          </w:tcPr>
          <w:p w14:paraId="543144B5" w14:textId="1EBD09E6" w:rsidR="004F4B69" w:rsidRDefault="004F4B69" w:rsidP="004711C5">
            <w:pPr>
              <w:pStyle w:val="0Maintext"/>
              <w:spacing w:after="0" w:afterAutospacing="0"/>
              <w:ind w:firstLine="0"/>
              <w:rPr>
                <w:rFonts w:eastAsiaTheme="minorEastAsia"/>
                <w:lang w:val="en-US" w:eastAsia="zh-CN"/>
              </w:rPr>
            </w:pPr>
            <w:r>
              <w:rPr>
                <w:rFonts w:eastAsiaTheme="minorEastAsia"/>
                <w:lang w:val="en-US" w:eastAsia="zh-CN"/>
              </w:rPr>
              <w:t>Qualcomm</w:t>
            </w:r>
          </w:p>
        </w:tc>
        <w:tc>
          <w:tcPr>
            <w:tcW w:w="8079" w:type="dxa"/>
          </w:tcPr>
          <w:p w14:paraId="55FCB319" w14:textId="77777777" w:rsidR="004F4B69" w:rsidRDefault="004F4B69" w:rsidP="004711C5">
            <w:pPr>
              <w:pStyle w:val="0Maintext"/>
              <w:spacing w:after="0" w:afterAutospacing="0"/>
              <w:ind w:firstLine="0"/>
              <w:rPr>
                <w:rFonts w:eastAsiaTheme="minorEastAsia"/>
                <w:lang w:val="en-US" w:eastAsia="zh-CN"/>
              </w:rPr>
            </w:pPr>
            <w:r>
              <w:rPr>
                <w:rFonts w:eastAsiaTheme="minorEastAsia"/>
                <w:lang w:val="en-US" w:eastAsia="zh-CN"/>
              </w:rPr>
              <w:t>Would like to ask a clarification to the FL:</w:t>
            </w:r>
          </w:p>
          <w:p w14:paraId="40E61B2B" w14:textId="5BF90D19" w:rsidR="004F4B69" w:rsidRDefault="004F4B69" w:rsidP="004711C5">
            <w:pPr>
              <w:pStyle w:val="0Maintext"/>
              <w:spacing w:after="0" w:afterAutospacing="0"/>
              <w:ind w:firstLine="0"/>
              <w:rPr>
                <w:rFonts w:eastAsiaTheme="minorEastAsia"/>
                <w:lang w:val="en-US" w:eastAsia="zh-CN"/>
              </w:rPr>
            </w:pPr>
            <w:r>
              <w:rPr>
                <w:rFonts w:eastAsiaTheme="minorEastAsia"/>
                <w:lang w:val="en-US" w:eastAsia="zh-CN"/>
              </w:rPr>
              <w:t>What is the intent the following recurring sentence in the proposal? We are not clear on whether this is coming from NR-U or is a new proposal.</w:t>
            </w:r>
          </w:p>
          <w:p w14:paraId="0125AA3A" w14:textId="60373481" w:rsidR="004F4B69" w:rsidRDefault="004F4B69" w:rsidP="004711C5">
            <w:pPr>
              <w:pStyle w:val="0Maintext"/>
              <w:spacing w:after="0" w:afterAutospacing="0"/>
              <w:ind w:firstLine="0"/>
              <w:rPr>
                <w:rFonts w:eastAsiaTheme="minorEastAsia"/>
                <w:lang w:val="en-US" w:eastAsia="zh-CN"/>
              </w:rPr>
            </w:pPr>
            <w:r>
              <w:rPr>
                <w:rFonts w:eastAsiaTheme="minorEastAsia"/>
                <w:lang w:val="en-US" w:eastAsia="zh-CN"/>
              </w:rPr>
              <w:t xml:space="preserve"> </w:t>
            </w:r>
            <w:r w:rsidRPr="004F4B69">
              <w:rPr>
                <w:rFonts w:eastAsiaTheme="minorEastAsia"/>
                <w:highlight w:val="yellow"/>
                <w:lang w:val="en-US" w:eastAsia="zh-CN"/>
              </w:rPr>
              <w:t>“</w:t>
            </w:r>
            <w:r w:rsidRPr="004F4B69">
              <w:rPr>
                <w:rFonts w:asciiTheme="minorHAnsi" w:hAnsiTheme="minorHAnsi" w:cstheme="minorHAnsi"/>
                <w:i/>
                <w:iCs/>
                <w:sz w:val="22"/>
                <w:szCs w:val="28"/>
                <w:highlight w:val="yellow"/>
              </w:rPr>
              <w:t xml:space="preserve">If the corresponding channel access priority class </w:t>
            </w:r>
            <m:oMath>
              <m:r>
                <w:rPr>
                  <w:rFonts w:ascii="Cambria Math" w:hAnsi="Cambria Math" w:cstheme="minorHAnsi"/>
                  <w:sz w:val="22"/>
                  <w:szCs w:val="28"/>
                  <w:highlight w:val="yellow"/>
                </w:rPr>
                <m:t>p</m:t>
              </m:r>
            </m:oMath>
            <w:r w:rsidRPr="004F4B69">
              <w:rPr>
                <w:rFonts w:asciiTheme="minorHAnsi" w:hAnsiTheme="minorHAnsi" w:cstheme="minorHAnsi"/>
                <w:i/>
                <w:iCs/>
                <w:sz w:val="22"/>
                <w:szCs w:val="28"/>
                <w:highlight w:val="yellow"/>
              </w:rPr>
              <w:t xml:space="preserve">  has not been used for any SL transmissions on the channel, </w:t>
            </w:r>
            <m:oMath>
              <m:r>
                <w:rPr>
                  <w:rFonts w:ascii="Cambria Math" w:hAnsi="Cambria Math" w:cstheme="minorHAnsi"/>
                  <w:sz w:val="22"/>
                  <w:szCs w:val="28"/>
                  <w:highlight w:val="yellow"/>
                </w:rPr>
                <m:t>C</m:t>
              </m:r>
              <m:sSub>
                <m:sSubPr>
                  <m:ctrlPr>
                    <w:rPr>
                      <w:rFonts w:ascii="Cambria Math" w:hAnsi="Cambria Math" w:cstheme="minorHAnsi"/>
                      <w:i/>
                      <w:iCs/>
                      <w:sz w:val="22"/>
                      <w:szCs w:val="28"/>
                      <w:highlight w:val="yellow"/>
                    </w:rPr>
                  </m:ctrlPr>
                </m:sSubPr>
                <m:e>
                  <m:r>
                    <w:rPr>
                      <w:rFonts w:ascii="Cambria Math" w:hAnsi="Cambria Math" w:cstheme="minorHAnsi"/>
                      <w:sz w:val="22"/>
                      <w:szCs w:val="28"/>
                      <w:highlight w:val="yellow"/>
                    </w:rPr>
                    <m:t>W</m:t>
                  </m:r>
                </m:e>
                <m:sub>
                  <m:r>
                    <w:rPr>
                      <w:rFonts w:ascii="Cambria Math" w:hAnsi="Cambria Math" w:cstheme="minorHAnsi"/>
                      <w:sz w:val="22"/>
                      <w:szCs w:val="28"/>
                      <w:highlight w:val="yellow"/>
                    </w:rPr>
                    <m:t>p</m:t>
                  </m:r>
                </m:sub>
              </m:sSub>
              <m:r>
                <w:rPr>
                  <w:rFonts w:ascii="Cambria Math" w:hAnsi="Cambria Math" w:cstheme="minorHAnsi"/>
                  <w:sz w:val="22"/>
                  <w:szCs w:val="28"/>
                  <w:highlight w:val="yellow"/>
                  <w:lang w:val="en-US"/>
                </w:rPr>
                <m:t>=</m:t>
              </m:r>
              <m:r>
                <w:rPr>
                  <w:rFonts w:ascii="Cambria Math" w:hAnsi="Cambria Math" w:cstheme="minorHAnsi"/>
                  <w:sz w:val="22"/>
                  <w:szCs w:val="28"/>
                  <w:highlight w:val="yellow"/>
                </w:rPr>
                <m:t>C</m:t>
              </m:r>
              <m:sSub>
                <m:sSubPr>
                  <m:ctrlPr>
                    <w:rPr>
                      <w:rFonts w:ascii="Cambria Math" w:hAnsi="Cambria Math" w:cstheme="minorHAnsi"/>
                      <w:i/>
                      <w:iCs/>
                      <w:sz w:val="22"/>
                      <w:szCs w:val="28"/>
                      <w:highlight w:val="yellow"/>
                    </w:rPr>
                  </m:ctrlPr>
                </m:sSubPr>
                <m:e>
                  <m:r>
                    <w:rPr>
                      <w:rFonts w:ascii="Cambria Math" w:hAnsi="Cambria Math" w:cstheme="minorHAnsi"/>
                      <w:sz w:val="22"/>
                      <w:szCs w:val="28"/>
                      <w:highlight w:val="yellow"/>
                    </w:rPr>
                    <m:t>W</m:t>
                  </m:r>
                </m:e>
                <m:sub>
                  <m:func>
                    <m:funcPr>
                      <m:ctrlPr>
                        <w:rPr>
                          <w:rFonts w:ascii="Cambria Math" w:hAnsi="Cambria Math" w:cstheme="minorHAnsi"/>
                          <w:i/>
                          <w:iCs/>
                          <w:sz w:val="22"/>
                          <w:szCs w:val="28"/>
                          <w:highlight w:val="yellow"/>
                        </w:rPr>
                      </m:ctrlPr>
                    </m:funcPr>
                    <m:fName>
                      <m:r>
                        <w:rPr>
                          <w:rFonts w:ascii="Cambria Math" w:hAnsi="Cambria Math" w:cstheme="minorHAnsi"/>
                          <w:sz w:val="22"/>
                          <w:szCs w:val="28"/>
                          <w:highlight w:val="yellow"/>
                        </w:rPr>
                        <m:t>min</m:t>
                      </m:r>
                      <m:r>
                        <w:rPr>
                          <w:rFonts w:ascii="Cambria Math" w:hAnsi="Cambria Math" w:cstheme="minorHAnsi"/>
                          <w:sz w:val="22"/>
                          <w:szCs w:val="28"/>
                          <w:highlight w:val="yellow"/>
                          <w:lang w:val="en-US"/>
                        </w:rPr>
                        <m:t>,</m:t>
                      </m:r>
                    </m:fName>
                    <m:e>
                      <m:r>
                        <w:rPr>
                          <w:rFonts w:ascii="Cambria Math" w:hAnsi="Cambria Math" w:cstheme="minorHAnsi"/>
                          <w:sz w:val="22"/>
                          <w:szCs w:val="28"/>
                          <w:highlight w:val="yellow"/>
                        </w:rPr>
                        <m:t>p</m:t>
                      </m:r>
                    </m:e>
                  </m:func>
                </m:sub>
              </m:sSub>
            </m:oMath>
            <w:r w:rsidRPr="004F4B69">
              <w:rPr>
                <w:rFonts w:asciiTheme="minorHAnsi" w:hAnsiTheme="minorHAnsi" w:cstheme="minorHAnsi"/>
                <w:i/>
                <w:iCs/>
                <w:sz w:val="22"/>
                <w:szCs w:val="28"/>
                <w:highlight w:val="yellow"/>
              </w:rPr>
              <w:t xml:space="preserve"> is used</w:t>
            </w:r>
            <w:r w:rsidRPr="004F4B69">
              <w:rPr>
                <w:rFonts w:asciiTheme="minorHAnsi" w:hAnsiTheme="minorHAnsi" w:cstheme="minorHAnsi"/>
                <w:sz w:val="22"/>
                <w:szCs w:val="28"/>
                <w:highlight w:val="yellow"/>
              </w:rPr>
              <w:t>.</w:t>
            </w:r>
            <w:r w:rsidRPr="004F4B69">
              <w:rPr>
                <w:rFonts w:eastAsiaTheme="minorEastAsia"/>
                <w:highlight w:val="yellow"/>
                <w:lang w:val="en-US" w:eastAsia="zh-CN"/>
              </w:rPr>
              <w:t>”</w:t>
            </w:r>
          </w:p>
        </w:tc>
      </w:tr>
    </w:tbl>
    <w:p w14:paraId="223CBA12" w14:textId="77777777" w:rsidR="009042CD" w:rsidRDefault="009042CD" w:rsidP="00C67F08">
      <w:pPr>
        <w:pStyle w:val="0Maintext"/>
        <w:spacing w:after="0" w:afterAutospacing="0"/>
        <w:ind w:firstLine="0"/>
      </w:pPr>
    </w:p>
    <w:p w14:paraId="358913EB" w14:textId="77777777" w:rsidR="004B1D3C" w:rsidRDefault="004B1D3C" w:rsidP="00C67F08">
      <w:pPr>
        <w:pStyle w:val="0Maintext"/>
        <w:spacing w:after="0" w:afterAutospacing="0"/>
        <w:ind w:firstLine="0"/>
      </w:pPr>
    </w:p>
    <w:p w14:paraId="04964990" w14:textId="77777777" w:rsidR="00E150BA" w:rsidRDefault="00E150BA">
      <w:pPr>
        <w:rPr>
          <w:rFonts w:ascii="Arial" w:hAnsi="Arial"/>
          <w:b/>
          <w:bCs/>
          <w:i/>
          <w:iCs/>
          <w:color w:val="000000" w:themeColor="text1"/>
          <w:sz w:val="24"/>
          <w:szCs w:val="28"/>
          <w:lang w:eastAsia="x-none"/>
        </w:rPr>
      </w:pPr>
      <w:r>
        <w:rPr>
          <w:color w:val="000000" w:themeColor="text1"/>
        </w:rPr>
        <w:br w:type="page"/>
      </w:r>
    </w:p>
    <w:p w14:paraId="42EC71B3" w14:textId="654AE093" w:rsidR="00840D46" w:rsidRPr="00255139" w:rsidRDefault="005379E4" w:rsidP="00CF5D09">
      <w:pPr>
        <w:pStyle w:val="Heading2"/>
        <w:rPr>
          <w:color w:val="000000" w:themeColor="text1"/>
        </w:rPr>
      </w:pPr>
      <w:r w:rsidRPr="00255139">
        <w:rPr>
          <w:color w:val="000000" w:themeColor="text1"/>
        </w:rPr>
        <w:lastRenderedPageBreak/>
        <w:t>[</w:t>
      </w:r>
      <w:r w:rsidR="00FE3327" w:rsidRPr="00255139">
        <w:rPr>
          <w:color w:val="000000" w:themeColor="text1"/>
        </w:rPr>
        <w:t>ACTIVE</w:t>
      </w:r>
      <w:r w:rsidRPr="00255139">
        <w:rPr>
          <w:color w:val="000000" w:themeColor="text1"/>
        </w:rPr>
        <w:t xml:space="preserve">] </w:t>
      </w:r>
      <w:r w:rsidR="00840D46" w:rsidRPr="00255139">
        <w:rPr>
          <w:color w:val="000000" w:themeColor="text1"/>
        </w:rPr>
        <w:t xml:space="preserve">Topic #3: </w:t>
      </w:r>
      <w:r w:rsidR="009D5937" w:rsidRPr="00255139">
        <w:rPr>
          <w:color w:val="000000" w:themeColor="text1"/>
        </w:rPr>
        <w:t>Channel access for S-SSB and PSFCH</w:t>
      </w:r>
    </w:p>
    <w:p w14:paraId="76854EE4" w14:textId="77777777" w:rsidR="00840D46" w:rsidRDefault="00840D46" w:rsidP="00840D46">
      <w:pPr>
        <w:autoSpaceDE w:val="0"/>
        <w:autoSpaceDN w:val="0"/>
        <w:jc w:val="both"/>
        <w:rPr>
          <w:rFonts w:ascii="Calibri" w:hAnsi="Calibri" w:cs="Calibri"/>
          <w:color w:val="000000" w:themeColor="text1"/>
          <w:sz w:val="22"/>
        </w:rPr>
      </w:pPr>
      <w:r w:rsidRPr="00F11BA6">
        <w:rPr>
          <w:rFonts w:ascii="Calibri" w:hAnsi="Calibri" w:cs="Calibri"/>
          <w:b/>
          <w:bCs/>
          <w:color w:val="000000" w:themeColor="text1"/>
          <w:sz w:val="22"/>
          <w:u w:val="single"/>
        </w:rPr>
        <w:t>Background</w:t>
      </w:r>
      <w:r w:rsidRPr="00F11BA6">
        <w:rPr>
          <w:rFonts w:ascii="Calibri" w:hAnsi="Calibri" w:cs="Calibri"/>
          <w:color w:val="000000" w:themeColor="text1"/>
          <w:sz w:val="22"/>
        </w:rPr>
        <w:t xml:space="preserve">: </w:t>
      </w:r>
    </w:p>
    <w:p w14:paraId="09DA6795" w14:textId="568CA7A6" w:rsidR="00710810" w:rsidRPr="00710810" w:rsidRDefault="00710810" w:rsidP="00710810">
      <w:pPr>
        <w:autoSpaceDE w:val="0"/>
        <w:autoSpaceDN w:val="0"/>
        <w:spacing w:after="120"/>
        <w:jc w:val="both"/>
        <w:rPr>
          <w:rFonts w:ascii="Calibri" w:hAnsi="Calibri" w:cs="Calibri"/>
          <w:color w:val="000000" w:themeColor="text1"/>
          <w:sz w:val="22"/>
        </w:rPr>
      </w:pPr>
      <w:r w:rsidRPr="00710810">
        <w:rPr>
          <w:rFonts w:ascii="Calibri" w:hAnsi="Calibri" w:cs="Calibri"/>
          <w:color w:val="000000" w:themeColor="text1"/>
          <w:sz w:val="22"/>
        </w:rPr>
        <w:t>In the RAN1#109-e meeting, the short control signalling transmission (SCSt) mechanism was first time discussed for SL-U. According to European regulation (ETSI EN 301 893), the SCSt, which does not require a UE to perform a CCA procedure to detect transmission in a shared carrier, is allowed to be performed by a device when the SCSt complies with a duty cycle and total duration requirements within an observation period of 50ms. A summary of the regulation for SCSt is copied below.</w:t>
      </w:r>
    </w:p>
    <w:tbl>
      <w:tblPr>
        <w:tblStyle w:val="TableGrid"/>
        <w:tblW w:w="0" w:type="auto"/>
        <w:tblLook w:val="04A0" w:firstRow="1" w:lastRow="0" w:firstColumn="1" w:lastColumn="0" w:noHBand="0" w:noVBand="1"/>
      </w:tblPr>
      <w:tblGrid>
        <w:gridCol w:w="9631"/>
      </w:tblGrid>
      <w:tr w:rsidR="00710810" w14:paraId="3237A838" w14:textId="77777777" w:rsidTr="006B2419">
        <w:tc>
          <w:tcPr>
            <w:tcW w:w="9631" w:type="dxa"/>
          </w:tcPr>
          <w:p w14:paraId="5FEB78C6" w14:textId="77777777" w:rsidR="00CD412E" w:rsidRDefault="00CD412E" w:rsidP="00CD412E">
            <w:pPr>
              <w:pStyle w:val="ListParagraph"/>
              <w:numPr>
                <w:ilvl w:val="0"/>
                <w:numId w:val="15"/>
              </w:numPr>
              <w:spacing w:before="60"/>
              <w:ind w:leftChars="0" w:hanging="357"/>
              <w:rPr>
                <w:rFonts w:asciiTheme="minorHAnsi" w:hAnsiTheme="minorHAnsi" w:cstheme="minorHAnsi"/>
                <w:color w:val="000000" w:themeColor="text1"/>
                <w:sz w:val="22"/>
                <w:szCs w:val="28"/>
              </w:rPr>
            </w:pPr>
            <w:r>
              <w:rPr>
                <w:rFonts w:asciiTheme="minorHAnsi" w:hAnsiTheme="minorHAnsi" w:cstheme="minorHAnsi"/>
                <w:b/>
                <w:bCs/>
                <w:sz w:val="22"/>
                <w:szCs w:val="28"/>
                <w:u w:val="single"/>
              </w:rPr>
              <w:t>Short control signalling transmission (SCSt)</w:t>
            </w:r>
          </w:p>
          <w:p w14:paraId="678534C5" w14:textId="77777777" w:rsidR="00CD412E" w:rsidRDefault="00CD412E" w:rsidP="00CD412E">
            <w:pPr>
              <w:pStyle w:val="ListParagraph"/>
              <w:numPr>
                <w:ilvl w:val="1"/>
                <w:numId w:val="15"/>
              </w:numPr>
              <w:ind w:leftChars="0" w:hanging="357"/>
              <w:rPr>
                <w:rFonts w:asciiTheme="minorHAnsi" w:hAnsiTheme="minorHAnsi" w:cstheme="minorHAnsi"/>
                <w:sz w:val="22"/>
                <w:szCs w:val="28"/>
              </w:rPr>
            </w:pPr>
            <w:r>
              <w:rPr>
                <w:rFonts w:asciiTheme="minorHAnsi" w:hAnsiTheme="minorHAnsi" w:cstheme="minorHAnsi"/>
                <w:sz w:val="22"/>
                <w:szCs w:val="28"/>
              </w:rPr>
              <w:t>According to European regulation (ETSI EN 301 893), following limitations apply</w:t>
            </w:r>
          </w:p>
          <w:p w14:paraId="7C465888" w14:textId="77777777" w:rsidR="00CD412E" w:rsidRDefault="00CD412E" w:rsidP="00CD412E">
            <w:pPr>
              <w:pStyle w:val="ListParagraph"/>
              <w:numPr>
                <w:ilvl w:val="2"/>
                <w:numId w:val="15"/>
              </w:numPr>
              <w:ind w:leftChars="0" w:hanging="357"/>
              <w:rPr>
                <w:rFonts w:asciiTheme="minorHAnsi" w:hAnsiTheme="minorHAnsi" w:cstheme="minorHAnsi"/>
                <w:sz w:val="22"/>
                <w:szCs w:val="28"/>
              </w:rPr>
            </w:pPr>
            <w:r>
              <w:rPr>
                <w:rFonts w:asciiTheme="minorHAnsi" w:hAnsiTheme="minorHAnsi" w:cstheme="minorHAnsi"/>
                <w:sz w:val="22"/>
                <w:szCs w:val="28"/>
              </w:rPr>
              <w:t>within an observation period of 50 ms, the number of Short Control Signalling Transmissions by the equipment shall be equal to or less than 50; and</w:t>
            </w:r>
          </w:p>
          <w:p w14:paraId="3CFC32DA" w14:textId="47B1E503" w:rsidR="00710810" w:rsidRPr="009228AF" w:rsidRDefault="00CD412E" w:rsidP="00CD412E">
            <w:pPr>
              <w:pStyle w:val="ListParagraph"/>
              <w:numPr>
                <w:ilvl w:val="2"/>
                <w:numId w:val="15"/>
              </w:numPr>
              <w:spacing w:after="60"/>
              <w:ind w:leftChars="0"/>
              <w:rPr>
                <w:rFonts w:asciiTheme="minorHAnsi" w:hAnsiTheme="minorHAnsi" w:cstheme="minorHAnsi"/>
                <w:sz w:val="22"/>
                <w:szCs w:val="28"/>
              </w:rPr>
            </w:pPr>
            <w:r>
              <w:rPr>
                <w:rFonts w:asciiTheme="minorHAnsi" w:hAnsiTheme="minorHAnsi" w:cstheme="minorHAnsi"/>
                <w:sz w:val="22"/>
                <w:szCs w:val="28"/>
              </w:rPr>
              <w:t>the total duration of the equipment’s Short Control Signalling Transmissions shall be less than 2 500 µs within said observation period.</w:t>
            </w:r>
          </w:p>
        </w:tc>
      </w:tr>
    </w:tbl>
    <w:p w14:paraId="1C3D29B6" w14:textId="0779DAD0" w:rsidR="00710810" w:rsidRPr="00710810" w:rsidRDefault="00710810" w:rsidP="00710810">
      <w:pPr>
        <w:autoSpaceDE w:val="0"/>
        <w:autoSpaceDN w:val="0"/>
        <w:spacing w:before="120"/>
        <w:jc w:val="both"/>
        <w:rPr>
          <w:rFonts w:ascii="Calibri" w:hAnsi="Calibri" w:cs="Calibri"/>
          <w:color w:val="000000" w:themeColor="text1"/>
          <w:sz w:val="22"/>
        </w:rPr>
      </w:pPr>
      <w:r w:rsidRPr="00710810">
        <w:rPr>
          <w:rFonts w:ascii="Calibri" w:hAnsi="Calibri" w:cs="Calibri"/>
          <w:color w:val="000000" w:themeColor="text1"/>
          <w:sz w:val="22"/>
        </w:rPr>
        <w:t>The SCSt mechanism is adopted in NR-U for discovery burst transmissions (SSB) from the gNB since it satisfies the European requirement. But in NR-U as specified the UE is still required to perform a Type 2A channel access procedure to ensure the channel is idle before transmitting the discovery bust. It is understood to be more friendly to the transmissions of other RATs that coexist in the same shared spectrum.</w:t>
      </w:r>
    </w:p>
    <w:p w14:paraId="7175FBE3" w14:textId="77777777" w:rsidR="00710810" w:rsidRPr="00FE3327" w:rsidRDefault="00710810" w:rsidP="00710810">
      <w:pPr>
        <w:autoSpaceDE w:val="0"/>
        <w:autoSpaceDN w:val="0"/>
        <w:spacing w:before="120"/>
        <w:jc w:val="both"/>
        <w:rPr>
          <w:rFonts w:ascii="Calibri" w:hAnsi="Calibri" w:cs="Calibri"/>
          <w:color w:val="000000" w:themeColor="text1"/>
          <w:sz w:val="22"/>
        </w:rPr>
      </w:pPr>
      <w:r w:rsidRPr="00FE3327">
        <w:rPr>
          <w:rFonts w:ascii="Calibri" w:hAnsi="Calibri" w:cs="Calibri"/>
          <w:color w:val="000000" w:themeColor="text1"/>
          <w:sz w:val="22"/>
        </w:rPr>
        <w:t>For SL-U, the SCSt has been considered for S-SSB and PSFCH transmissions by several companies. The main benefit of supporting SCSt for these two SL transmission types is the simplification of the standardisation effort to complete the work for SL-U since it is allowed by the regulation. That is, we potentially do not need to introduce/specify additional transmission occasions, new procedures and new format(s) since these channels can be always transmitted (i.e., no LBT failure). Also, since the transmission duration for S-SSB and PSFCH is short (a few symbols, less than one slot), impact to the performance of other RATs is expected to be small.</w:t>
      </w:r>
    </w:p>
    <w:p w14:paraId="564D2C53" w14:textId="76FE8694" w:rsidR="00710810" w:rsidRPr="00FE3327" w:rsidRDefault="00710810" w:rsidP="00710810">
      <w:pPr>
        <w:autoSpaceDE w:val="0"/>
        <w:autoSpaceDN w:val="0"/>
        <w:spacing w:before="120"/>
        <w:jc w:val="both"/>
        <w:rPr>
          <w:rFonts w:ascii="Calibri" w:hAnsi="Calibri" w:cs="Calibri"/>
          <w:color w:val="000000" w:themeColor="text1"/>
          <w:sz w:val="22"/>
        </w:rPr>
      </w:pPr>
      <w:r w:rsidRPr="00FE3327">
        <w:rPr>
          <w:rFonts w:ascii="Calibri" w:hAnsi="Calibri" w:cs="Calibri"/>
          <w:color w:val="000000" w:themeColor="text1"/>
          <w:sz w:val="22"/>
        </w:rPr>
        <w:t xml:space="preserve">While there are some benefits of supporting the SCSt for S-SSB and PSFCH, others expressed their support to adopt the same transmission mechanism used in NR-U (i.e., Type 2A) for these channels or performing a full Type 1 LBT procedure when the transmission is not within an applicable COT. Subsequently, the chance of not transmitting PSFCH will be quite high since the allowable time gap from the received PSSCH to perform Type 1 LBT is very limited. </w:t>
      </w:r>
    </w:p>
    <w:p w14:paraId="1D7DD6BA" w14:textId="705F7E40" w:rsidR="00710810" w:rsidRPr="00FE3327" w:rsidRDefault="00710810" w:rsidP="00710810">
      <w:pPr>
        <w:autoSpaceDE w:val="0"/>
        <w:autoSpaceDN w:val="0"/>
        <w:spacing w:before="120"/>
        <w:jc w:val="both"/>
        <w:rPr>
          <w:rFonts w:ascii="Calibri" w:hAnsi="Calibri" w:cs="Calibri"/>
          <w:color w:val="000000" w:themeColor="text1"/>
          <w:sz w:val="22"/>
        </w:rPr>
      </w:pPr>
      <w:r w:rsidRPr="00FE3327">
        <w:rPr>
          <w:rFonts w:ascii="Calibri" w:hAnsi="Calibri" w:cs="Calibri"/>
          <w:color w:val="000000" w:themeColor="text1"/>
          <w:sz w:val="22"/>
        </w:rPr>
        <w:t xml:space="preserve">Based on the Tdoc review in this meeting, </w:t>
      </w:r>
      <w:r w:rsidR="00FE3327" w:rsidRPr="00FE3327">
        <w:rPr>
          <w:rFonts w:ascii="Calibri" w:hAnsi="Calibri" w:cs="Calibri"/>
          <w:color w:val="000000" w:themeColor="text1"/>
          <w:sz w:val="22"/>
        </w:rPr>
        <w:t>there is a clear majority that at least a LBT should be performed for both S-SSB and PSFCH. For S-SSB, there is a strong preference that Type 2A LBT for NR-U discovery burst should be followed in sidelink. For PSFCH, besides the normal Type 1 channel access and Type 2 channel access (in the presence of a shared COT), the Type 2A LBT could be also applied when there is no shared COT (just as NR-U discovery burst) as long as the duty cycle constrains are also followed.</w:t>
      </w:r>
    </w:p>
    <w:p w14:paraId="45B231EE" w14:textId="7FCA1159" w:rsidR="00244511" w:rsidRDefault="00244511" w:rsidP="00DD644D">
      <w:pPr>
        <w:autoSpaceDE w:val="0"/>
        <w:autoSpaceDN w:val="0"/>
        <w:spacing w:before="120"/>
        <w:jc w:val="both"/>
        <w:rPr>
          <w:rFonts w:ascii="Calibri" w:hAnsi="Calibri" w:cs="Calibri"/>
          <w:sz w:val="22"/>
        </w:rPr>
      </w:pPr>
    </w:p>
    <w:p w14:paraId="06088603" w14:textId="17A46ECC" w:rsidR="008F5EAB" w:rsidRPr="008F5EAB" w:rsidRDefault="00EC21DD" w:rsidP="008F5EAB">
      <w:pPr>
        <w:pStyle w:val="Heading3"/>
      </w:pPr>
      <w:r>
        <w:t>FL Proposal for round 1 discussion</w:t>
      </w:r>
    </w:p>
    <w:p w14:paraId="38BA68DE" w14:textId="77777777" w:rsidR="00AC4DEE" w:rsidRPr="00C65E36" w:rsidRDefault="00AC4DEE" w:rsidP="00FA6950">
      <w:pPr>
        <w:autoSpaceDE w:val="0"/>
        <w:autoSpaceDN w:val="0"/>
        <w:spacing w:before="120"/>
        <w:jc w:val="both"/>
        <w:rPr>
          <w:rFonts w:ascii="Calibri" w:hAnsi="Calibri" w:cs="Calibri"/>
          <w:sz w:val="22"/>
        </w:rPr>
      </w:pPr>
      <w:r w:rsidRPr="00E150BA">
        <w:rPr>
          <w:rFonts w:ascii="Calibri" w:hAnsi="Calibri" w:cs="Calibri"/>
          <w:b/>
          <w:bCs/>
          <w:sz w:val="22"/>
        </w:rPr>
        <w:t>Proposal 3 (I):</w:t>
      </w:r>
      <w:r w:rsidRPr="00C65E36">
        <w:rPr>
          <w:rFonts w:ascii="Calibri" w:hAnsi="Calibri" w:cs="Calibri"/>
          <w:b/>
          <w:bCs/>
          <w:sz w:val="22"/>
        </w:rPr>
        <w:t xml:space="preserve"> </w:t>
      </w:r>
    </w:p>
    <w:p w14:paraId="4DC1C815" w14:textId="4721BF34" w:rsidR="001D6E06" w:rsidRPr="00EC21DD" w:rsidRDefault="009D5937" w:rsidP="00732D6D">
      <w:pPr>
        <w:pStyle w:val="ListParagraph"/>
        <w:numPr>
          <w:ilvl w:val="0"/>
          <w:numId w:val="18"/>
        </w:numPr>
        <w:autoSpaceDE w:val="0"/>
        <w:autoSpaceDN w:val="0"/>
        <w:ind w:leftChars="0"/>
        <w:jc w:val="both"/>
        <w:rPr>
          <w:rFonts w:ascii="Calibri" w:hAnsi="Calibri" w:cs="Calibri"/>
          <w:sz w:val="22"/>
        </w:rPr>
      </w:pPr>
      <w:r w:rsidRPr="00732D6D">
        <w:rPr>
          <w:rFonts w:ascii="Calibri" w:hAnsi="Calibri" w:cs="Calibri" w:hint="eastAsia"/>
          <w:sz w:val="22"/>
          <w:lang w:val="en-US"/>
        </w:rPr>
        <w:t xml:space="preserve">Type 2A channel access procedure for </w:t>
      </w:r>
      <w:r w:rsidRPr="00732D6D">
        <w:rPr>
          <w:rFonts w:ascii="Calibri" w:hAnsi="Calibri" w:cs="Calibri" w:hint="eastAsia"/>
          <w:i/>
          <w:iCs/>
          <w:sz w:val="22"/>
          <w:lang w:val="en-US"/>
        </w:rPr>
        <w:t>Short Control Signaling transmissions</w:t>
      </w:r>
      <w:r w:rsidRPr="00732D6D">
        <w:rPr>
          <w:rFonts w:ascii="Calibri" w:hAnsi="Calibri" w:cs="Calibri" w:hint="eastAsia"/>
          <w:sz w:val="22"/>
          <w:lang w:val="en-US"/>
        </w:rPr>
        <w:t xml:space="preserve"> (SCSt) is applicable for S-SSB and PSFCH transmissions initiated by a UE without a shared channel occupancy, where the total SCSt duration is at most 1ms and the combined duty cycle is at most 1/20.</w:t>
      </w:r>
    </w:p>
    <w:p w14:paraId="74B104E1" w14:textId="2A7733A4" w:rsidR="00EC21DD" w:rsidRDefault="00EC21DD" w:rsidP="00EC21DD">
      <w:pPr>
        <w:autoSpaceDE w:val="0"/>
        <w:autoSpaceDN w:val="0"/>
        <w:jc w:val="both"/>
        <w:rPr>
          <w:rFonts w:ascii="Calibri" w:hAnsi="Calibri" w:cs="Calibri"/>
          <w:sz w:val="22"/>
        </w:rPr>
      </w:pPr>
    </w:p>
    <w:tbl>
      <w:tblPr>
        <w:tblStyle w:val="TableGrid"/>
        <w:tblW w:w="9631" w:type="dxa"/>
        <w:tblLayout w:type="fixed"/>
        <w:tblLook w:val="04A0" w:firstRow="1" w:lastRow="0" w:firstColumn="1" w:lastColumn="0" w:noHBand="0" w:noVBand="1"/>
      </w:tblPr>
      <w:tblGrid>
        <w:gridCol w:w="1555"/>
        <w:gridCol w:w="8076"/>
      </w:tblGrid>
      <w:tr w:rsidR="00EC21DD" w14:paraId="35FEC14E" w14:textId="77777777" w:rsidTr="006B2419">
        <w:tc>
          <w:tcPr>
            <w:tcW w:w="1555" w:type="dxa"/>
          </w:tcPr>
          <w:p w14:paraId="671F4CB6" w14:textId="77777777" w:rsidR="00EC21DD" w:rsidRDefault="00EC21DD" w:rsidP="006B2419">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8076" w:type="dxa"/>
          </w:tcPr>
          <w:p w14:paraId="36CEC8EB" w14:textId="77777777" w:rsidR="00EC21DD" w:rsidRDefault="00EC21DD" w:rsidP="006B2419">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EE4559" w14:paraId="630BADC2" w14:textId="77777777" w:rsidTr="006B2419">
        <w:tc>
          <w:tcPr>
            <w:tcW w:w="1555" w:type="dxa"/>
          </w:tcPr>
          <w:p w14:paraId="568A8D1B" w14:textId="77777777" w:rsidR="00EE4559" w:rsidRDefault="00EE4559" w:rsidP="00EE4559">
            <w:pPr>
              <w:pStyle w:val="0Maintext"/>
              <w:spacing w:after="0" w:afterAutospacing="0"/>
              <w:ind w:firstLine="0"/>
            </w:pPr>
            <w:r>
              <w:t>IDCC</w:t>
            </w:r>
          </w:p>
        </w:tc>
        <w:tc>
          <w:tcPr>
            <w:tcW w:w="8076" w:type="dxa"/>
          </w:tcPr>
          <w:p w14:paraId="1C542492" w14:textId="77777777" w:rsidR="00EE4559" w:rsidRDefault="00EE4559" w:rsidP="00EE4559">
            <w:pPr>
              <w:pStyle w:val="0Maintext"/>
              <w:spacing w:after="0" w:afterAutospacing="0"/>
              <w:ind w:firstLine="0"/>
            </w:pPr>
            <w:r>
              <w:t xml:space="preserve">We agree with the proposal. </w:t>
            </w:r>
          </w:p>
        </w:tc>
      </w:tr>
      <w:tr w:rsidR="00EE4559" w14:paraId="37EA5073" w14:textId="77777777" w:rsidTr="006B2419">
        <w:tc>
          <w:tcPr>
            <w:tcW w:w="1555" w:type="dxa"/>
          </w:tcPr>
          <w:p w14:paraId="5215D892" w14:textId="77777777" w:rsidR="00EE4559" w:rsidRDefault="00EE4559" w:rsidP="00EE4559">
            <w:pPr>
              <w:pStyle w:val="0Maintext"/>
              <w:spacing w:after="0" w:afterAutospacing="0"/>
              <w:ind w:firstLine="0"/>
            </w:pPr>
            <w:r>
              <w:t>Qualcomm</w:t>
            </w:r>
          </w:p>
        </w:tc>
        <w:tc>
          <w:tcPr>
            <w:tcW w:w="8076" w:type="dxa"/>
          </w:tcPr>
          <w:p w14:paraId="2B2244DD" w14:textId="77777777" w:rsidR="00EE4559" w:rsidRDefault="00EE4559" w:rsidP="00EE4559">
            <w:pPr>
              <w:autoSpaceDE w:val="0"/>
              <w:autoSpaceDN w:val="0"/>
              <w:jc w:val="both"/>
            </w:pPr>
            <w:r>
              <w:rPr>
                <w:rFonts w:ascii="Calibri" w:hAnsi="Calibri" w:cs="Calibri"/>
                <w:sz w:val="22"/>
              </w:rPr>
              <w:t xml:space="preserve">We do have concerns of using the same approach for S-SSB and PSFCH. Specifically </w:t>
            </w:r>
            <w:r>
              <w:t xml:space="preserve">we have concerns on the (missing) details for ensuring a ‘combined duty cycle’. </w:t>
            </w:r>
            <w:r>
              <w:rPr>
                <w:b/>
                <w:bCs/>
              </w:rPr>
              <w:t>For progressing, we could have a first agreement on S-SSB, and discuss more about jointly budgeting for S-SSB and PSFCH</w:t>
            </w:r>
            <w:r>
              <w:t xml:space="preserve">. </w:t>
            </w:r>
          </w:p>
          <w:p w14:paraId="5CB8945F" w14:textId="77777777" w:rsidR="00EE4559" w:rsidRDefault="00EE4559" w:rsidP="00EE4559">
            <w:pPr>
              <w:autoSpaceDE w:val="0"/>
              <w:autoSpaceDN w:val="0"/>
              <w:jc w:val="both"/>
            </w:pPr>
            <w:r>
              <w:rPr>
                <w:b/>
                <w:bCs/>
              </w:rPr>
              <w:t>We propose to modify the proposal as follows</w:t>
            </w:r>
            <w:r>
              <w:t>:</w:t>
            </w:r>
          </w:p>
          <w:p w14:paraId="3020E24B" w14:textId="77777777" w:rsidR="00EE4559" w:rsidRDefault="00EE4559" w:rsidP="00EE4559">
            <w:pPr>
              <w:autoSpaceDE w:val="0"/>
              <w:autoSpaceDN w:val="0"/>
              <w:jc w:val="both"/>
              <w:rPr>
                <w:rFonts w:ascii="Calibri" w:hAnsi="Calibri" w:cs="Calibri"/>
                <w:sz w:val="22"/>
              </w:rPr>
            </w:pPr>
            <w:r>
              <w:rPr>
                <w:rFonts w:ascii="Calibri" w:hAnsi="Calibri" w:cs="Calibri"/>
                <w:b/>
                <w:bCs/>
                <w:sz w:val="22"/>
                <w:highlight w:val="yellow"/>
              </w:rPr>
              <w:t>Proposal 3 (I):</w:t>
            </w:r>
            <w:r>
              <w:rPr>
                <w:rFonts w:ascii="Calibri" w:hAnsi="Calibri" w:cs="Calibri"/>
                <w:b/>
                <w:bCs/>
                <w:sz w:val="22"/>
              </w:rPr>
              <w:t xml:space="preserve"> </w:t>
            </w:r>
          </w:p>
          <w:p w14:paraId="789632A8" w14:textId="77777777" w:rsidR="00EE4559" w:rsidRDefault="00EE4559">
            <w:pPr>
              <w:pStyle w:val="ListParagraph"/>
              <w:numPr>
                <w:ilvl w:val="0"/>
                <w:numId w:val="32"/>
              </w:numPr>
              <w:autoSpaceDE w:val="0"/>
              <w:autoSpaceDN w:val="0"/>
              <w:spacing w:line="259" w:lineRule="auto"/>
              <w:ind w:leftChars="0" w:left="720" w:hanging="360"/>
              <w:jc w:val="both"/>
              <w:rPr>
                <w:rFonts w:ascii="Calibri" w:hAnsi="Calibri" w:cs="Calibri"/>
                <w:sz w:val="22"/>
              </w:rPr>
            </w:pPr>
            <w:r>
              <w:rPr>
                <w:rFonts w:ascii="Calibri" w:hAnsi="Calibri" w:cs="Calibri" w:hint="eastAsia"/>
                <w:sz w:val="22"/>
                <w:lang w:val="en-US"/>
              </w:rPr>
              <w:lastRenderedPageBreak/>
              <w:t xml:space="preserve">Type 2A channel access procedure for </w:t>
            </w:r>
            <w:r>
              <w:rPr>
                <w:rFonts w:ascii="Calibri" w:hAnsi="Calibri" w:cs="Calibri" w:hint="eastAsia"/>
                <w:i/>
                <w:iCs/>
                <w:sz w:val="22"/>
                <w:lang w:val="en-US"/>
              </w:rPr>
              <w:t>Short Control Signaling transmissions</w:t>
            </w:r>
            <w:r>
              <w:rPr>
                <w:rFonts w:ascii="Calibri" w:hAnsi="Calibri" w:cs="Calibri" w:hint="eastAsia"/>
                <w:sz w:val="22"/>
                <w:lang w:val="en-US"/>
              </w:rPr>
              <w:t xml:space="preserve"> (SCSt) is applicable for S-SSB </w:t>
            </w:r>
            <w:r>
              <w:rPr>
                <w:rFonts w:ascii="Calibri" w:hAnsi="Calibri" w:cs="Calibri" w:hint="eastAsia"/>
                <w:strike/>
                <w:color w:val="FF0000"/>
                <w:sz w:val="22"/>
                <w:lang w:val="en-US"/>
              </w:rPr>
              <w:t>and PSFCH transmissions</w:t>
            </w:r>
            <w:r>
              <w:rPr>
                <w:rFonts w:ascii="Calibri" w:hAnsi="Calibri" w:cs="Calibri" w:hint="eastAsia"/>
                <w:sz w:val="22"/>
                <w:lang w:val="en-US"/>
              </w:rPr>
              <w:t xml:space="preserve"> initiated by a UE without a shared channel occupancy, where the total SCSt duration is at most 1ms and the </w:t>
            </w:r>
            <w:r>
              <w:rPr>
                <w:rFonts w:ascii="Calibri" w:hAnsi="Calibri" w:cs="Calibri" w:hint="eastAsia"/>
                <w:strike/>
                <w:color w:val="FF0000"/>
                <w:sz w:val="22"/>
                <w:lang w:val="en-US"/>
              </w:rPr>
              <w:t>combined</w:t>
            </w:r>
            <w:r>
              <w:rPr>
                <w:rFonts w:ascii="Calibri" w:hAnsi="Calibri" w:cs="Calibri" w:hint="eastAsia"/>
                <w:sz w:val="22"/>
                <w:lang w:val="en-US"/>
              </w:rPr>
              <w:t xml:space="preserve"> duty cycle is at most 1/20.</w:t>
            </w:r>
          </w:p>
          <w:p w14:paraId="352247F3" w14:textId="77777777" w:rsidR="00EE4559" w:rsidRDefault="00EE4559">
            <w:pPr>
              <w:pStyle w:val="ListParagraph"/>
              <w:numPr>
                <w:ilvl w:val="1"/>
                <w:numId w:val="32"/>
              </w:numPr>
              <w:autoSpaceDE w:val="0"/>
              <w:autoSpaceDN w:val="0"/>
              <w:spacing w:line="259" w:lineRule="auto"/>
              <w:ind w:leftChars="0" w:left="1440" w:hanging="360"/>
              <w:jc w:val="both"/>
              <w:rPr>
                <w:rFonts w:ascii="Calibri" w:hAnsi="Calibri" w:cs="Calibri"/>
                <w:color w:val="FF0000"/>
                <w:sz w:val="22"/>
              </w:rPr>
            </w:pPr>
            <w:r>
              <w:rPr>
                <w:rFonts w:ascii="Calibri" w:hAnsi="Calibri" w:cs="Calibri"/>
                <w:color w:val="FF0000"/>
                <w:sz w:val="22"/>
                <w:lang w:val="en-US"/>
              </w:rPr>
              <w:t xml:space="preserve">FFS: </w:t>
            </w:r>
            <w:r>
              <w:rPr>
                <w:color w:val="FF0000"/>
              </w:rPr>
              <w:t>whether also PSFCH can be transmitted with Type-2A w/o shared channel occupancy</w:t>
            </w:r>
            <w:r>
              <w:rPr>
                <w:rFonts w:ascii="Calibri" w:hAnsi="Calibri" w:cs="Calibri"/>
                <w:color w:val="FF0000"/>
                <w:sz w:val="22"/>
                <w:lang w:val="en-US"/>
              </w:rPr>
              <w:t xml:space="preserve"> (with SCSt)</w:t>
            </w:r>
          </w:p>
          <w:p w14:paraId="49DCD529" w14:textId="749E8465" w:rsidR="00EE4559" w:rsidRPr="00EE4559" w:rsidRDefault="00EE4559">
            <w:pPr>
              <w:pStyle w:val="ListParagraph"/>
              <w:numPr>
                <w:ilvl w:val="2"/>
                <w:numId w:val="32"/>
              </w:numPr>
              <w:autoSpaceDE w:val="0"/>
              <w:autoSpaceDN w:val="0"/>
              <w:spacing w:line="259" w:lineRule="auto"/>
              <w:ind w:leftChars="0"/>
              <w:jc w:val="both"/>
              <w:rPr>
                <w:rFonts w:ascii="Calibri" w:hAnsi="Calibri" w:cs="Calibri"/>
                <w:color w:val="FF0000"/>
                <w:sz w:val="22"/>
              </w:rPr>
            </w:pPr>
            <w:r>
              <w:rPr>
                <w:rFonts w:ascii="Calibri" w:hAnsi="Calibri" w:cs="Calibri"/>
                <w:color w:val="FF0000"/>
                <w:sz w:val="22"/>
                <w:lang w:val="en-US"/>
              </w:rPr>
              <w:t xml:space="preserve">FFS: </w:t>
            </w:r>
            <w:r>
              <w:rPr>
                <w:color w:val="FF0000"/>
              </w:rPr>
              <w:t>how to consider limitations based on joint duty cycle or total transmission time</w:t>
            </w:r>
          </w:p>
        </w:tc>
      </w:tr>
      <w:tr w:rsidR="00EE4559" w14:paraId="5BEF5523" w14:textId="77777777" w:rsidTr="006B2419">
        <w:tc>
          <w:tcPr>
            <w:tcW w:w="1555" w:type="dxa"/>
          </w:tcPr>
          <w:p w14:paraId="331D1B5A" w14:textId="77777777" w:rsidR="00EE4559" w:rsidRDefault="00EE4559" w:rsidP="00EE4559">
            <w:pPr>
              <w:pStyle w:val="0Maintext"/>
              <w:spacing w:after="0" w:afterAutospacing="0"/>
              <w:ind w:firstLine="0"/>
            </w:pPr>
            <w:r>
              <w:lastRenderedPageBreak/>
              <w:t>Intel</w:t>
            </w:r>
          </w:p>
        </w:tc>
        <w:tc>
          <w:tcPr>
            <w:tcW w:w="8076" w:type="dxa"/>
          </w:tcPr>
          <w:p w14:paraId="1FB010E9" w14:textId="004A037E" w:rsidR="00EE4559" w:rsidRDefault="00EE4559" w:rsidP="00EE4559">
            <w:pPr>
              <w:pStyle w:val="0Maintext"/>
              <w:spacing w:after="0" w:afterAutospacing="0"/>
              <w:ind w:firstLine="0"/>
            </w:pPr>
            <w:r>
              <w:t>We are generally OK with the proposal, and to qualify both S-SSB and PSFCH as short control signalling.  However, we believe that given S-SSB is still under discussion and option 2 is still under the table, we should restrict the SCSt for S-SSB for the case when this is not multiplexed with other groupcast or unicast transmissions, following similar restrictions as in Rel.16 NR-U. With that said, the following updates should be applied to the proposal:</w:t>
            </w:r>
          </w:p>
          <w:p w14:paraId="40857BE8" w14:textId="77777777" w:rsidR="00EE4559" w:rsidRDefault="00EE4559" w:rsidP="00EE4559">
            <w:pPr>
              <w:pStyle w:val="ListParagraph"/>
              <w:numPr>
                <w:ilvl w:val="0"/>
                <w:numId w:val="18"/>
              </w:numPr>
              <w:autoSpaceDE w:val="0"/>
              <w:autoSpaceDN w:val="0"/>
              <w:spacing w:line="259" w:lineRule="auto"/>
              <w:ind w:leftChars="0"/>
              <w:jc w:val="both"/>
              <w:rPr>
                <w:rFonts w:ascii="Calibri" w:hAnsi="Calibri" w:cs="Calibri"/>
                <w:sz w:val="22"/>
              </w:rPr>
            </w:pPr>
            <w:r>
              <w:rPr>
                <w:rFonts w:ascii="Calibri" w:hAnsi="Calibri" w:cs="Calibri"/>
                <w:color w:val="FF0000"/>
                <w:sz w:val="22"/>
                <w:lang w:val="en-US"/>
              </w:rPr>
              <w:t xml:space="preserve">Both S-SSB and PSFCH are qualified as </w:t>
            </w:r>
            <w:r>
              <w:rPr>
                <w:rFonts w:ascii="Calibri" w:hAnsi="Calibri" w:cs="Calibri" w:hint="eastAsia"/>
                <w:strike/>
                <w:sz w:val="22"/>
                <w:lang w:val="en-US"/>
              </w:rPr>
              <w:t>Type 2A channel access procedure for</w:t>
            </w:r>
            <w:r>
              <w:rPr>
                <w:rFonts w:ascii="Calibri" w:hAnsi="Calibri" w:cs="Calibri" w:hint="eastAsia"/>
                <w:sz w:val="22"/>
                <w:lang w:val="en-US"/>
              </w:rPr>
              <w:t xml:space="preserve"> </w:t>
            </w:r>
            <w:r>
              <w:rPr>
                <w:rFonts w:ascii="Calibri" w:hAnsi="Calibri" w:cs="Calibri" w:hint="eastAsia"/>
                <w:i/>
                <w:iCs/>
                <w:sz w:val="22"/>
                <w:lang w:val="en-US"/>
              </w:rPr>
              <w:t>Short Control Signaling transmissions</w:t>
            </w:r>
            <w:r>
              <w:rPr>
                <w:rFonts w:ascii="Calibri" w:hAnsi="Calibri" w:cs="Calibri" w:hint="eastAsia"/>
                <w:sz w:val="22"/>
                <w:lang w:val="en-US"/>
              </w:rPr>
              <w:t xml:space="preserve"> (SCSt)</w:t>
            </w:r>
            <w:r>
              <w:rPr>
                <w:rFonts w:ascii="Calibri" w:hAnsi="Calibri" w:cs="Calibri"/>
                <w:sz w:val="22"/>
                <w:lang w:val="en-US"/>
              </w:rPr>
              <w:t xml:space="preserve">, </w:t>
            </w:r>
            <w:r>
              <w:rPr>
                <w:rFonts w:ascii="Calibri" w:hAnsi="Calibri" w:cs="Calibri"/>
                <w:color w:val="FF0000"/>
                <w:sz w:val="22"/>
                <w:lang w:val="en-US"/>
              </w:rPr>
              <w:t xml:space="preserve">and </w:t>
            </w:r>
            <w:r>
              <w:rPr>
                <w:rFonts w:ascii="Calibri" w:hAnsi="Calibri" w:cs="Calibri" w:hint="eastAsia"/>
                <w:color w:val="FF0000"/>
                <w:sz w:val="22"/>
                <w:lang w:val="en-US"/>
              </w:rPr>
              <w:t>Type 2A channel access procedure</w:t>
            </w:r>
            <w:r>
              <w:rPr>
                <w:rFonts w:ascii="Calibri" w:hAnsi="Calibri" w:cs="Calibri" w:hint="eastAsia"/>
                <w:sz w:val="22"/>
                <w:lang w:val="en-US"/>
              </w:rPr>
              <w:t xml:space="preserve"> is applicable </w:t>
            </w:r>
            <w:r>
              <w:rPr>
                <w:rFonts w:ascii="Calibri" w:hAnsi="Calibri" w:cs="Calibri"/>
                <w:sz w:val="22"/>
                <w:lang w:val="en-US"/>
              </w:rPr>
              <w:t xml:space="preserve">to both </w:t>
            </w:r>
            <w:r>
              <w:rPr>
                <w:rFonts w:ascii="Calibri" w:hAnsi="Calibri" w:cs="Calibri" w:hint="eastAsia"/>
                <w:strike/>
                <w:sz w:val="22"/>
                <w:lang w:val="en-US"/>
              </w:rPr>
              <w:t>for S-SSB and PSFCH transmissions</w:t>
            </w:r>
            <w:r>
              <w:rPr>
                <w:rFonts w:ascii="Calibri" w:hAnsi="Calibri" w:cs="Calibri" w:hint="eastAsia"/>
                <w:sz w:val="22"/>
                <w:lang w:val="en-US"/>
              </w:rPr>
              <w:t xml:space="preserve"> </w:t>
            </w:r>
            <w:r>
              <w:rPr>
                <w:rFonts w:ascii="Calibri" w:hAnsi="Calibri" w:cs="Calibri" w:hint="eastAsia"/>
                <w:strike/>
                <w:sz w:val="22"/>
                <w:lang w:val="en-US"/>
              </w:rPr>
              <w:t>initiated by</w:t>
            </w:r>
            <w:r>
              <w:rPr>
                <w:rFonts w:ascii="Calibri" w:hAnsi="Calibri" w:cs="Calibri" w:hint="eastAsia"/>
                <w:sz w:val="22"/>
                <w:lang w:val="en-US"/>
              </w:rPr>
              <w:t xml:space="preserve"> </w:t>
            </w:r>
            <w:r>
              <w:rPr>
                <w:rFonts w:ascii="Calibri" w:hAnsi="Calibri" w:cs="Calibri"/>
                <w:sz w:val="22"/>
                <w:lang w:val="en-US"/>
              </w:rPr>
              <w:t xml:space="preserve"> </w:t>
            </w:r>
            <w:r>
              <w:rPr>
                <w:rFonts w:ascii="Calibri" w:hAnsi="Calibri" w:cs="Calibri"/>
                <w:color w:val="FF0000"/>
                <w:sz w:val="22"/>
                <w:lang w:val="en-US"/>
              </w:rPr>
              <w:t>when</w:t>
            </w:r>
            <w:r>
              <w:rPr>
                <w:rFonts w:ascii="Calibri" w:hAnsi="Calibri" w:cs="Calibri"/>
                <w:sz w:val="22"/>
                <w:lang w:val="en-US"/>
              </w:rPr>
              <w:t xml:space="preserve"> </w:t>
            </w:r>
            <w:r>
              <w:rPr>
                <w:rFonts w:ascii="Calibri" w:hAnsi="Calibri" w:cs="Calibri" w:hint="eastAsia"/>
                <w:sz w:val="22"/>
                <w:lang w:val="en-US"/>
              </w:rPr>
              <w:t>a UE</w:t>
            </w:r>
            <w:r>
              <w:rPr>
                <w:rFonts w:ascii="Calibri" w:hAnsi="Calibri" w:cs="Calibri"/>
                <w:sz w:val="22"/>
                <w:lang w:val="en-US"/>
              </w:rPr>
              <w:t xml:space="preserve"> </w:t>
            </w:r>
            <w:r>
              <w:rPr>
                <w:rFonts w:ascii="Calibri" w:hAnsi="Calibri" w:cs="Calibri"/>
                <w:color w:val="FF0000"/>
                <w:sz w:val="22"/>
                <w:lang w:val="en-US"/>
              </w:rPr>
              <w:t xml:space="preserve">operates as initiating device and the transmission falls </w:t>
            </w:r>
            <w:r>
              <w:rPr>
                <w:rFonts w:ascii="Calibri" w:hAnsi="Calibri" w:cs="Calibri" w:hint="eastAsia"/>
                <w:strike/>
                <w:sz w:val="22"/>
                <w:lang w:val="en-US"/>
              </w:rPr>
              <w:t>without</w:t>
            </w:r>
            <w:r>
              <w:rPr>
                <w:rFonts w:ascii="Calibri" w:hAnsi="Calibri" w:cs="Calibri" w:hint="eastAsia"/>
                <w:sz w:val="22"/>
                <w:lang w:val="en-US"/>
              </w:rPr>
              <w:t xml:space="preserve"> </w:t>
            </w:r>
            <w:r>
              <w:rPr>
                <w:rFonts w:ascii="Calibri" w:hAnsi="Calibri" w:cs="Calibri"/>
                <w:color w:val="FF0000"/>
                <w:sz w:val="22"/>
                <w:lang w:val="en-US"/>
              </w:rPr>
              <w:t>outside</w:t>
            </w:r>
            <w:r>
              <w:rPr>
                <w:rFonts w:ascii="Calibri" w:hAnsi="Calibri" w:cs="Calibri"/>
                <w:sz w:val="22"/>
                <w:lang w:val="en-US"/>
              </w:rPr>
              <w:t xml:space="preserve"> </w:t>
            </w:r>
            <w:r>
              <w:rPr>
                <w:rFonts w:ascii="Calibri" w:hAnsi="Calibri" w:cs="Calibri" w:hint="eastAsia"/>
                <w:sz w:val="22"/>
                <w:lang w:val="en-US"/>
              </w:rPr>
              <w:t xml:space="preserve">a shared channel occupancy, </w:t>
            </w:r>
            <w:r>
              <w:rPr>
                <w:rFonts w:ascii="Calibri" w:hAnsi="Calibri" w:cs="Calibri" w:hint="eastAsia"/>
                <w:strike/>
                <w:sz w:val="22"/>
                <w:lang w:val="en-US"/>
              </w:rPr>
              <w:t xml:space="preserve">where </w:t>
            </w:r>
            <w:r>
              <w:rPr>
                <w:rFonts w:ascii="Calibri" w:hAnsi="Calibri" w:cs="Calibri" w:hint="eastAsia"/>
                <w:sz w:val="22"/>
                <w:lang w:val="en-US"/>
              </w:rPr>
              <w:t>the total SCSt duration is at most 1ms and the combined duty cycle is at most 1/20</w:t>
            </w:r>
            <w:r>
              <w:rPr>
                <w:rFonts w:ascii="Calibri" w:hAnsi="Calibri" w:cs="Calibri"/>
                <w:sz w:val="22"/>
                <w:lang w:val="en-US"/>
              </w:rPr>
              <w:t xml:space="preserve">, </w:t>
            </w:r>
            <w:r>
              <w:rPr>
                <w:rFonts w:ascii="Calibri" w:hAnsi="Calibri" w:cs="Calibri"/>
                <w:color w:val="FF0000"/>
                <w:sz w:val="22"/>
                <w:lang w:val="en-US"/>
              </w:rPr>
              <w:t>and S-SSB</w:t>
            </w:r>
            <w:r>
              <w:rPr>
                <w:rFonts w:ascii="Calibri" w:hAnsi="Calibri" w:cs="Calibri"/>
                <w:sz w:val="22"/>
                <w:lang w:val="en-US"/>
              </w:rPr>
              <w:t xml:space="preserve"> </w:t>
            </w:r>
            <w:r>
              <w:rPr>
                <w:rFonts w:ascii="Calibri" w:hAnsi="Calibri" w:cs="Calibri"/>
                <w:color w:val="FF0000"/>
                <w:sz w:val="22"/>
                <w:lang w:val="en-US"/>
              </w:rPr>
              <w:t>is not multiplexed with other signals</w:t>
            </w:r>
            <w:r>
              <w:rPr>
                <w:rFonts w:ascii="Calibri" w:hAnsi="Calibri" w:cs="Calibri" w:hint="eastAsia"/>
                <w:sz w:val="22"/>
                <w:lang w:val="en-US"/>
              </w:rPr>
              <w:t>.</w:t>
            </w:r>
          </w:p>
        </w:tc>
      </w:tr>
      <w:tr w:rsidR="00EE4559" w14:paraId="51579058" w14:textId="77777777" w:rsidTr="006B2419">
        <w:tc>
          <w:tcPr>
            <w:tcW w:w="1555" w:type="dxa"/>
          </w:tcPr>
          <w:p w14:paraId="07A20219" w14:textId="77777777" w:rsidR="00EE4559" w:rsidRDefault="00EE4559" w:rsidP="00EE4559">
            <w:pPr>
              <w:pStyle w:val="0Maintext"/>
              <w:spacing w:after="0" w:afterAutospacing="0"/>
              <w:ind w:firstLine="0"/>
            </w:pPr>
            <w:r>
              <w:t>Apple</w:t>
            </w:r>
          </w:p>
        </w:tc>
        <w:tc>
          <w:tcPr>
            <w:tcW w:w="8076" w:type="dxa"/>
          </w:tcPr>
          <w:p w14:paraId="6D373F83" w14:textId="77777777" w:rsidR="00EE4559" w:rsidRDefault="00EE4559" w:rsidP="00EE4559">
            <w:pPr>
              <w:jc w:val="both"/>
            </w:pPr>
            <w:r>
              <w:t xml:space="preserve">We do not support the proposal. </w:t>
            </w:r>
          </w:p>
          <w:p w14:paraId="7B8C7AE6" w14:textId="77777777" w:rsidR="00EE4559" w:rsidRDefault="00EE4559" w:rsidP="00EE4559">
            <w:pPr>
              <w:jc w:val="both"/>
            </w:pPr>
            <w:r>
              <w:t xml:space="preserve">The short control signaling is defined as no sensing. Copy definition below. </w:t>
            </w:r>
          </w:p>
          <w:p w14:paraId="5753C290" w14:textId="77777777" w:rsidR="00EE4559" w:rsidRDefault="00EE4559" w:rsidP="00EE4559">
            <w:pPr>
              <w:jc w:val="both"/>
            </w:pPr>
            <w:r>
              <w:rPr>
                <w:noProof/>
                <w:lang w:val="en-US" w:eastAsia="zh-CN"/>
              </w:rPr>
              <w:drawing>
                <wp:inline distT="0" distB="0" distL="0" distR="0" wp14:anchorId="429E6468" wp14:editId="517EB1C9">
                  <wp:extent cx="4991100" cy="67373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pic:cNvPicPr>
                        </pic:nvPicPr>
                        <pic:blipFill>
                          <a:blip r:embed="rId13" cstate="print"/>
                          <a:stretch>
                            <a:fillRect/>
                          </a:stretch>
                        </pic:blipFill>
                        <pic:spPr>
                          <a:xfrm>
                            <a:off x="0" y="0"/>
                            <a:ext cx="4991100" cy="673735"/>
                          </a:xfrm>
                          <a:prstGeom prst="rect">
                            <a:avLst/>
                          </a:prstGeom>
                        </pic:spPr>
                      </pic:pic>
                    </a:graphicData>
                  </a:graphic>
                </wp:inline>
              </w:drawing>
            </w:r>
          </w:p>
          <w:p w14:paraId="435BF5A4" w14:textId="77777777" w:rsidR="00EE4559" w:rsidRDefault="00EE4559" w:rsidP="00EE4559">
            <w:pPr>
              <w:jc w:val="both"/>
            </w:pPr>
            <w:r>
              <w:t xml:space="preserve">Type 2A is not short control signaling. NR-U did not use short control either. R17 FR2-2 used short control signaling, and it is defined as type 3, with a special section 4.4.5 for exempted transmission from sensing, where discovery burst applies. </w:t>
            </w:r>
          </w:p>
          <w:p w14:paraId="39EB5A90" w14:textId="77777777" w:rsidR="00EE4559" w:rsidRDefault="00EE4559" w:rsidP="00EE4559">
            <w:pPr>
              <w:jc w:val="both"/>
            </w:pPr>
          </w:p>
          <w:p w14:paraId="14FE12D1" w14:textId="77777777" w:rsidR="00EE4559" w:rsidRDefault="00EE4559" w:rsidP="00EE4559">
            <w:pPr>
              <w:jc w:val="both"/>
            </w:pPr>
            <w:r>
              <w:t xml:space="preserve">In addition, we do not support type 2A for PSFCH. For outside of COT, UE should perform type 1 CCA before transmission, same as Uu UL PUCCH and DL PDCCH.   </w:t>
            </w:r>
          </w:p>
          <w:p w14:paraId="7224A0DB" w14:textId="77777777" w:rsidR="00EE4559" w:rsidRDefault="00EE4559" w:rsidP="00EE4559">
            <w:pPr>
              <w:jc w:val="both"/>
            </w:pPr>
          </w:p>
          <w:p w14:paraId="023BF5F6" w14:textId="77777777" w:rsidR="00EE4559" w:rsidRDefault="00EE4559" w:rsidP="00EE4559">
            <w:pPr>
              <w:pStyle w:val="0Maintext"/>
              <w:spacing w:after="0" w:afterAutospacing="0"/>
              <w:ind w:firstLine="0"/>
            </w:pPr>
            <w:r>
              <w:t xml:space="preserve">Suggest to change the proposal to </w:t>
            </w:r>
            <w:r>
              <w:rPr>
                <w:rFonts w:ascii="Calibri" w:hAnsi="Calibri" w:cs="Calibri" w:hint="eastAsia"/>
                <w:sz w:val="22"/>
                <w:lang w:val="en-US"/>
              </w:rPr>
              <w:t>Type 2A channel access procedure</w:t>
            </w:r>
            <w:r>
              <w:rPr>
                <w:rFonts w:ascii="Calibri" w:hAnsi="Calibri" w:cs="Calibri"/>
                <w:sz w:val="22"/>
                <w:lang w:val="en-US"/>
              </w:rPr>
              <w:t xml:space="preserve"> </w:t>
            </w:r>
            <w:r>
              <w:rPr>
                <w:rFonts w:ascii="Calibri" w:hAnsi="Calibri" w:cs="Calibri" w:hint="eastAsia"/>
                <w:sz w:val="22"/>
                <w:lang w:val="en-US"/>
              </w:rPr>
              <w:t>is applicable for S-SSB</w:t>
            </w:r>
          </w:p>
        </w:tc>
      </w:tr>
      <w:tr w:rsidR="00EE4559" w14:paraId="621659B8" w14:textId="77777777" w:rsidTr="006B2419">
        <w:tc>
          <w:tcPr>
            <w:tcW w:w="1555" w:type="dxa"/>
          </w:tcPr>
          <w:p w14:paraId="27495FBB" w14:textId="77777777" w:rsidR="00EE4559" w:rsidRDefault="00EE4559" w:rsidP="00EE4559">
            <w:pPr>
              <w:pStyle w:val="0Maintext"/>
              <w:spacing w:after="0" w:afterAutospacing="0"/>
              <w:ind w:firstLine="0"/>
            </w:pPr>
            <w:r>
              <w:rPr>
                <w:rFonts w:eastAsiaTheme="minorEastAsia" w:hint="eastAsia"/>
                <w:lang w:eastAsia="zh-CN"/>
              </w:rPr>
              <w:t>O</w:t>
            </w:r>
            <w:r>
              <w:rPr>
                <w:rFonts w:eastAsiaTheme="minorEastAsia"/>
                <w:lang w:eastAsia="zh-CN"/>
              </w:rPr>
              <w:t>PPO</w:t>
            </w:r>
          </w:p>
        </w:tc>
        <w:tc>
          <w:tcPr>
            <w:tcW w:w="8076" w:type="dxa"/>
          </w:tcPr>
          <w:p w14:paraId="44EA58A8" w14:textId="77777777" w:rsidR="00EE4559" w:rsidRDefault="00EE4559">
            <w:pPr>
              <w:pStyle w:val="ListParagraph"/>
              <w:numPr>
                <w:ilvl w:val="2"/>
                <w:numId w:val="32"/>
              </w:numPr>
              <w:spacing w:line="259" w:lineRule="auto"/>
              <w:ind w:leftChars="0" w:left="0"/>
              <w:jc w:val="both"/>
              <w:rPr>
                <w:rFonts w:asciiTheme="minorHAnsi" w:hAnsiTheme="minorHAnsi" w:cstheme="minorHAnsi"/>
                <w:sz w:val="22"/>
                <w:szCs w:val="22"/>
              </w:rPr>
            </w:pPr>
            <w:r>
              <w:rPr>
                <w:rFonts w:asciiTheme="minorHAnsi" w:eastAsiaTheme="minorEastAsia" w:hAnsiTheme="minorHAnsi" w:cstheme="minorHAnsi"/>
                <w:sz w:val="22"/>
                <w:szCs w:val="22"/>
                <w:lang w:eastAsia="zh-CN"/>
              </w:rPr>
              <w:t>Same comment as Proposal 1. We prefer to put FFS whether Type 2 channel access procedure can be applied to NACK-only SL FB. The suggested modification is as following:</w:t>
            </w:r>
          </w:p>
          <w:p w14:paraId="6D58090F" w14:textId="77777777" w:rsidR="00EE4559" w:rsidRDefault="00EE4559">
            <w:pPr>
              <w:pStyle w:val="ListParagraph"/>
              <w:numPr>
                <w:ilvl w:val="1"/>
                <w:numId w:val="32"/>
              </w:numPr>
              <w:spacing w:line="259" w:lineRule="auto"/>
              <w:ind w:leftChars="0" w:left="0"/>
              <w:jc w:val="both"/>
              <w:rPr>
                <w:rFonts w:asciiTheme="minorHAnsi" w:hAnsiTheme="minorHAnsi" w:cstheme="minorHAnsi"/>
                <w:sz w:val="22"/>
                <w:szCs w:val="22"/>
              </w:rPr>
            </w:pPr>
          </w:p>
          <w:p w14:paraId="65607118" w14:textId="77777777" w:rsidR="00EE4559" w:rsidRDefault="00EE4559" w:rsidP="00EE4559">
            <w:pPr>
              <w:autoSpaceDE w:val="0"/>
              <w:autoSpaceDN w:val="0"/>
              <w:jc w:val="both"/>
              <w:rPr>
                <w:rFonts w:ascii="Calibri" w:hAnsi="Calibri" w:cs="Calibri"/>
                <w:sz w:val="22"/>
              </w:rPr>
            </w:pPr>
            <w:r>
              <w:rPr>
                <w:rFonts w:ascii="Calibri" w:hAnsi="Calibri" w:cs="Calibri"/>
                <w:b/>
                <w:bCs/>
                <w:sz w:val="22"/>
                <w:highlight w:val="yellow"/>
              </w:rPr>
              <w:t>Proposal 3 (I):</w:t>
            </w:r>
            <w:r>
              <w:rPr>
                <w:rFonts w:ascii="Calibri" w:hAnsi="Calibri" w:cs="Calibri"/>
                <w:b/>
                <w:bCs/>
                <w:sz w:val="22"/>
              </w:rPr>
              <w:t xml:space="preserve"> </w:t>
            </w:r>
          </w:p>
          <w:p w14:paraId="3FDF8E3E" w14:textId="77777777" w:rsidR="00EE4559" w:rsidRDefault="00EE4559" w:rsidP="00EE4559">
            <w:pPr>
              <w:pStyle w:val="ListParagraph"/>
              <w:numPr>
                <w:ilvl w:val="0"/>
                <w:numId w:val="18"/>
              </w:numPr>
              <w:autoSpaceDE w:val="0"/>
              <w:autoSpaceDN w:val="0"/>
              <w:spacing w:line="259" w:lineRule="auto"/>
              <w:ind w:leftChars="0"/>
              <w:jc w:val="both"/>
              <w:rPr>
                <w:rFonts w:ascii="Calibri" w:hAnsi="Calibri" w:cs="Calibri"/>
                <w:sz w:val="22"/>
              </w:rPr>
            </w:pPr>
            <w:r>
              <w:rPr>
                <w:rFonts w:ascii="Calibri" w:hAnsi="Calibri" w:cs="Calibri" w:hint="eastAsia"/>
                <w:sz w:val="22"/>
                <w:lang w:val="en-US"/>
              </w:rPr>
              <w:t xml:space="preserve">Type 2A channel access procedure for </w:t>
            </w:r>
            <w:r>
              <w:rPr>
                <w:rFonts w:ascii="Calibri" w:hAnsi="Calibri" w:cs="Calibri" w:hint="eastAsia"/>
                <w:i/>
                <w:iCs/>
                <w:sz w:val="22"/>
                <w:lang w:val="en-US"/>
              </w:rPr>
              <w:t>Short Control Signaling transmissions</w:t>
            </w:r>
            <w:r>
              <w:rPr>
                <w:rFonts w:ascii="Calibri" w:hAnsi="Calibri" w:cs="Calibri" w:hint="eastAsia"/>
                <w:sz w:val="22"/>
                <w:lang w:val="en-US"/>
              </w:rPr>
              <w:t xml:space="preserve"> (SCSt) is applicable for S-SSB and PSFCH transmissions initiated by a UE without a shared channel occupancy, where the total SCSt duration is at most 1ms and the combined duty cycle is at most 1/20.</w:t>
            </w:r>
          </w:p>
          <w:p w14:paraId="7E60C945" w14:textId="77777777" w:rsidR="00EE4559" w:rsidRDefault="00EE4559" w:rsidP="00EE4559">
            <w:pPr>
              <w:pStyle w:val="ListParagraph"/>
              <w:numPr>
                <w:ilvl w:val="1"/>
                <w:numId w:val="18"/>
              </w:numPr>
              <w:autoSpaceDE w:val="0"/>
              <w:autoSpaceDN w:val="0"/>
              <w:spacing w:line="259" w:lineRule="auto"/>
              <w:ind w:leftChars="0"/>
              <w:jc w:val="both"/>
              <w:rPr>
                <w:rFonts w:ascii="Calibri" w:hAnsi="Calibri" w:cs="Calibri"/>
                <w:sz w:val="22"/>
              </w:rPr>
            </w:pPr>
            <w:ins w:id="105" w:author="Kevin Lin" w:date="2022-10-10T21:36:00Z">
              <w:r>
                <w:rPr>
                  <w:rFonts w:asciiTheme="minorHAnsi" w:hAnsiTheme="minorHAnsi" w:cstheme="minorHAnsi"/>
                  <w:highlight w:val="cyan"/>
                </w:rPr>
                <w:t xml:space="preserve">FFS: whether Type 1 or Type 2 </w:t>
              </w:r>
            </w:ins>
            <w:ins w:id="106" w:author="Kevin Lin" w:date="2022-10-10T21:37:00Z">
              <w:r>
                <w:rPr>
                  <w:rFonts w:asciiTheme="minorHAnsi" w:hAnsiTheme="minorHAnsi" w:cstheme="minorHAnsi"/>
                  <w:highlight w:val="cyan"/>
                </w:rPr>
                <w:t>channel access procedures can be applied to NACK-only SL-HARQ feedback</w:t>
              </w:r>
            </w:ins>
          </w:p>
        </w:tc>
      </w:tr>
      <w:tr w:rsidR="00EE4559" w14:paraId="7FB5B3F1" w14:textId="77777777" w:rsidTr="006B2419">
        <w:tc>
          <w:tcPr>
            <w:tcW w:w="1555" w:type="dxa"/>
          </w:tcPr>
          <w:p w14:paraId="0E7CD937" w14:textId="77777777" w:rsidR="00EE4559" w:rsidRDefault="00EE4559" w:rsidP="00EE4559">
            <w:pPr>
              <w:pStyle w:val="0Maintext"/>
              <w:spacing w:after="0" w:afterAutospacing="0"/>
              <w:ind w:firstLine="0"/>
            </w:pPr>
            <w:r>
              <w:t>CableLabs</w:t>
            </w:r>
          </w:p>
        </w:tc>
        <w:tc>
          <w:tcPr>
            <w:tcW w:w="8076" w:type="dxa"/>
          </w:tcPr>
          <w:p w14:paraId="66A5BFA3" w14:textId="77777777" w:rsidR="00EE4559" w:rsidRDefault="00EE4559" w:rsidP="00EE4559">
            <w:pPr>
              <w:pStyle w:val="0Maintext"/>
              <w:spacing w:after="0" w:afterAutospacing="0"/>
              <w:ind w:firstLine="0"/>
            </w:pPr>
            <w:r>
              <w:t>Agree with Apple’s proposal.</w:t>
            </w:r>
          </w:p>
        </w:tc>
      </w:tr>
      <w:tr w:rsidR="00EE4559" w14:paraId="467D9874" w14:textId="77777777" w:rsidTr="006B2419">
        <w:tc>
          <w:tcPr>
            <w:tcW w:w="1555" w:type="dxa"/>
          </w:tcPr>
          <w:p w14:paraId="78C51BAF" w14:textId="77777777" w:rsidR="00EE4559" w:rsidRDefault="00EE4559" w:rsidP="00EE4559">
            <w:pPr>
              <w:pStyle w:val="0Maintext"/>
              <w:spacing w:after="0" w:afterAutospacing="0"/>
              <w:ind w:firstLine="0"/>
              <w:rPr>
                <w:lang w:eastAsia="ko-KR"/>
              </w:rPr>
            </w:pPr>
            <w:r>
              <w:rPr>
                <w:rFonts w:hint="eastAsia"/>
                <w:lang w:eastAsia="ko-KR"/>
              </w:rPr>
              <w:t>LGE</w:t>
            </w:r>
          </w:p>
        </w:tc>
        <w:tc>
          <w:tcPr>
            <w:tcW w:w="8076" w:type="dxa"/>
          </w:tcPr>
          <w:p w14:paraId="3CC40195" w14:textId="77777777" w:rsidR="00EE4559" w:rsidRDefault="00EE4559" w:rsidP="00EE4559">
            <w:pPr>
              <w:pStyle w:val="0Maintext"/>
              <w:spacing w:after="0" w:afterAutospacing="0"/>
              <w:ind w:firstLine="0"/>
              <w:rPr>
                <w:lang w:eastAsia="ko-KR"/>
              </w:rPr>
            </w:pPr>
            <w:r>
              <w:rPr>
                <w:rFonts w:hint="eastAsia"/>
                <w:lang w:eastAsia="ko-KR"/>
              </w:rPr>
              <w:t>We</w:t>
            </w:r>
            <w:r>
              <w:rPr>
                <w:lang w:eastAsia="ko-KR"/>
              </w:rPr>
              <w:t xml:space="preserve">’d like to focus on S-SSB transmission first. When we consider joint exemption, it would be necessary to decide how to check whether the limits are fulfilled or not, and how to handle the limits are not fulfilled. For instance, if the limits are not fulfilled, which SL channel between S-SSB or PSFCH will lose the chance to use Type 2A or to skip channel sensing first. </w:t>
            </w:r>
          </w:p>
        </w:tc>
      </w:tr>
      <w:tr w:rsidR="00EE4559" w14:paraId="474316F1" w14:textId="77777777" w:rsidTr="006B2419">
        <w:tc>
          <w:tcPr>
            <w:tcW w:w="1555" w:type="dxa"/>
          </w:tcPr>
          <w:p w14:paraId="5B4E867C" w14:textId="77777777" w:rsidR="00EE4559" w:rsidRDefault="00EE4559" w:rsidP="00EE4559">
            <w:pPr>
              <w:pStyle w:val="0Maintext"/>
              <w:spacing w:after="0" w:afterAutospacing="0"/>
              <w:ind w:firstLine="0"/>
              <w:rPr>
                <w:rFonts w:eastAsia="MS Mincho"/>
                <w:lang w:eastAsia="ja-JP"/>
              </w:rPr>
            </w:pPr>
            <w:r>
              <w:rPr>
                <w:rFonts w:eastAsia="MS Mincho" w:hint="eastAsia"/>
                <w:lang w:eastAsia="ja-JP"/>
              </w:rPr>
              <w:t>D</w:t>
            </w:r>
            <w:r>
              <w:rPr>
                <w:rFonts w:eastAsia="MS Mincho"/>
                <w:lang w:eastAsia="ja-JP"/>
              </w:rPr>
              <w:t>CM</w:t>
            </w:r>
          </w:p>
        </w:tc>
        <w:tc>
          <w:tcPr>
            <w:tcW w:w="8076" w:type="dxa"/>
          </w:tcPr>
          <w:p w14:paraId="6E8A35E9" w14:textId="77777777" w:rsidR="00EE4559" w:rsidRDefault="00EE4559" w:rsidP="00EE4559">
            <w:pPr>
              <w:pStyle w:val="0Maintext"/>
              <w:spacing w:after="0" w:afterAutospacing="0"/>
              <w:ind w:firstLine="0"/>
              <w:rPr>
                <w:rFonts w:eastAsia="MS Mincho"/>
                <w:lang w:eastAsia="ja-JP"/>
              </w:rPr>
            </w:pPr>
            <w:r>
              <w:rPr>
                <w:rFonts w:eastAsia="MS Mincho"/>
                <w:lang w:eastAsia="ja-JP"/>
              </w:rPr>
              <w:t>We are fine with this proposal at least for S-SSB. Although we are not sure for PSFCH, but we can live with it if majority support.</w:t>
            </w:r>
          </w:p>
        </w:tc>
      </w:tr>
      <w:tr w:rsidR="00EE4559" w14:paraId="6C6E366A" w14:textId="77777777" w:rsidTr="006B2419">
        <w:tc>
          <w:tcPr>
            <w:tcW w:w="1555" w:type="dxa"/>
          </w:tcPr>
          <w:p w14:paraId="73D3F995" w14:textId="77777777" w:rsidR="00EE4559" w:rsidRDefault="00EE4559" w:rsidP="00EE4559">
            <w:pPr>
              <w:pStyle w:val="0Maintext"/>
              <w:spacing w:after="0" w:afterAutospacing="0"/>
              <w:ind w:firstLine="0"/>
              <w:rPr>
                <w:rFonts w:eastAsia="MS Mincho"/>
                <w:lang w:eastAsia="ja-JP"/>
              </w:rPr>
            </w:pPr>
            <w:ins w:id="107" w:author="Broadcom_0" w:date="2022-10-10T22:32:00Z">
              <w:r>
                <w:rPr>
                  <w:rFonts w:eastAsia="MS Mincho"/>
                  <w:lang w:eastAsia="ja-JP"/>
                </w:rPr>
                <w:t>Broadcom</w:t>
              </w:r>
            </w:ins>
          </w:p>
        </w:tc>
        <w:tc>
          <w:tcPr>
            <w:tcW w:w="8076" w:type="dxa"/>
          </w:tcPr>
          <w:p w14:paraId="261AC7C2" w14:textId="77777777" w:rsidR="00EE4559" w:rsidRDefault="00EE4559" w:rsidP="00EE4559">
            <w:pPr>
              <w:pStyle w:val="0Maintext"/>
              <w:spacing w:after="0" w:afterAutospacing="0"/>
              <w:ind w:firstLine="0"/>
              <w:rPr>
                <w:rFonts w:eastAsia="MS Mincho"/>
                <w:lang w:eastAsia="ja-JP"/>
              </w:rPr>
            </w:pPr>
            <w:ins w:id="108" w:author="Broadcom_0" w:date="2022-10-10T22:32:00Z">
              <w:r>
                <w:t>Agree with Apple’s proposal.</w:t>
              </w:r>
            </w:ins>
          </w:p>
        </w:tc>
      </w:tr>
      <w:tr w:rsidR="00EE4559" w14:paraId="4BC0957D" w14:textId="77777777" w:rsidTr="006B2419">
        <w:tc>
          <w:tcPr>
            <w:tcW w:w="1555" w:type="dxa"/>
          </w:tcPr>
          <w:p w14:paraId="5B2A71A6" w14:textId="77777777" w:rsidR="00EE4559" w:rsidRDefault="00EE4559" w:rsidP="00EE4559">
            <w:pPr>
              <w:pStyle w:val="0Maintext"/>
              <w:spacing w:after="0" w:afterAutospacing="0"/>
              <w:ind w:firstLine="0"/>
              <w:rPr>
                <w:rFonts w:eastAsiaTheme="minorEastAsia"/>
                <w:lang w:eastAsia="zh-CN"/>
              </w:rPr>
            </w:pPr>
            <w:r>
              <w:rPr>
                <w:rFonts w:eastAsiaTheme="minorEastAsia" w:hint="eastAsia"/>
                <w:lang w:eastAsia="zh-CN"/>
              </w:rPr>
              <w:t>S</w:t>
            </w:r>
            <w:r>
              <w:rPr>
                <w:rFonts w:eastAsiaTheme="minorEastAsia"/>
                <w:lang w:eastAsia="zh-CN"/>
              </w:rPr>
              <w:t>preadtrum</w:t>
            </w:r>
          </w:p>
        </w:tc>
        <w:tc>
          <w:tcPr>
            <w:tcW w:w="8076" w:type="dxa"/>
          </w:tcPr>
          <w:p w14:paraId="0656D1F0" w14:textId="77777777" w:rsidR="00EE4559" w:rsidRDefault="00EE4559" w:rsidP="00EE4559">
            <w:pPr>
              <w:pStyle w:val="0Maintext"/>
              <w:spacing w:after="0" w:afterAutospacing="0"/>
              <w:ind w:firstLine="0"/>
              <w:rPr>
                <w:rFonts w:eastAsiaTheme="minorEastAsia"/>
                <w:lang w:eastAsia="zh-CN"/>
              </w:rPr>
            </w:pPr>
            <w:r>
              <w:rPr>
                <w:rFonts w:eastAsiaTheme="minorEastAsia" w:hint="eastAsia"/>
                <w:lang w:eastAsia="zh-CN"/>
              </w:rPr>
              <w:t>W</w:t>
            </w:r>
            <w:r>
              <w:rPr>
                <w:rFonts w:eastAsiaTheme="minorEastAsia"/>
                <w:lang w:eastAsia="zh-CN"/>
              </w:rPr>
              <w:t>e also think we should focus on S-SSB transmission firstly.</w:t>
            </w:r>
          </w:p>
        </w:tc>
      </w:tr>
      <w:tr w:rsidR="00EE4559" w14:paraId="60E5EC0A" w14:textId="77777777" w:rsidTr="006B2419">
        <w:tc>
          <w:tcPr>
            <w:tcW w:w="1555" w:type="dxa"/>
          </w:tcPr>
          <w:p w14:paraId="3633CA2E" w14:textId="77777777" w:rsidR="00EE4559" w:rsidRDefault="00EE4559" w:rsidP="00EE4559">
            <w:pPr>
              <w:pStyle w:val="0Maintext"/>
              <w:spacing w:after="0" w:afterAutospacing="0"/>
              <w:ind w:firstLine="0"/>
              <w:rPr>
                <w:rFonts w:eastAsiaTheme="minorEastAsia"/>
                <w:lang w:eastAsia="zh-CN"/>
              </w:rPr>
            </w:pPr>
            <w:r>
              <w:rPr>
                <w:rFonts w:eastAsia="MS Mincho" w:hint="eastAsia"/>
                <w:lang w:eastAsia="ja-JP"/>
              </w:rPr>
              <w:lastRenderedPageBreak/>
              <w:t>S</w:t>
            </w:r>
            <w:r>
              <w:rPr>
                <w:rFonts w:eastAsia="MS Mincho"/>
                <w:lang w:eastAsia="ja-JP"/>
              </w:rPr>
              <w:t>ony</w:t>
            </w:r>
          </w:p>
        </w:tc>
        <w:tc>
          <w:tcPr>
            <w:tcW w:w="8076" w:type="dxa"/>
          </w:tcPr>
          <w:p w14:paraId="7BE02485" w14:textId="77777777" w:rsidR="00EE4559" w:rsidRDefault="00EE4559" w:rsidP="00EE4559">
            <w:pPr>
              <w:pStyle w:val="0Maintext"/>
              <w:spacing w:after="0" w:afterAutospacing="0"/>
              <w:ind w:firstLine="0"/>
              <w:rPr>
                <w:rFonts w:eastAsiaTheme="minorEastAsia"/>
                <w:lang w:eastAsia="zh-CN"/>
              </w:rPr>
            </w:pPr>
            <w:r>
              <w:rPr>
                <w:rFonts w:eastAsia="MS Mincho" w:hint="eastAsia"/>
                <w:lang w:eastAsia="ja-JP"/>
              </w:rPr>
              <w:t>W</w:t>
            </w:r>
            <w:r>
              <w:rPr>
                <w:rFonts w:eastAsia="MS Mincho"/>
                <w:lang w:eastAsia="ja-JP"/>
              </w:rPr>
              <w:t>e support to focus on S-SSB transmission first.</w:t>
            </w:r>
          </w:p>
        </w:tc>
      </w:tr>
      <w:tr w:rsidR="00EE4559" w14:paraId="4D1A9D68" w14:textId="77777777" w:rsidTr="006B2419">
        <w:tc>
          <w:tcPr>
            <w:tcW w:w="1555" w:type="dxa"/>
          </w:tcPr>
          <w:p w14:paraId="6F9D20DC" w14:textId="77777777" w:rsidR="00EE4559" w:rsidRDefault="00EE4559" w:rsidP="00EE4559">
            <w:pPr>
              <w:pStyle w:val="0Maintext"/>
              <w:spacing w:after="0" w:afterAutospacing="0"/>
              <w:ind w:firstLine="0"/>
              <w:rPr>
                <w:rFonts w:eastAsiaTheme="minorEastAsia"/>
                <w:lang w:eastAsia="zh-CN"/>
              </w:rPr>
            </w:pPr>
            <w:r>
              <w:rPr>
                <w:rFonts w:eastAsiaTheme="minorEastAsia"/>
                <w:lang w:eastAsia="zh-CN"/>
              </w:rPr>
              <w:t>CMCC</w:t>
            </w:r>
          </w:p>
        </w:tc>
        <w:tc>
          <w:tcPr>
            <w:tcW w:w="8076" w:type="dxa"/>
          </w:tcPr>
          <w:p w14:paraId="7A0280F8" w14:textId="77777777" w:rsidR="00EE4559" w:rsidRDefault="00EE4559" w:rsidP="00EE4559">
            <w:pPr>
              <w:pStyle w:val="0Maintext"/>
              <w:spacing w:after="0" w:afterAutospacing="0"/>
              <w:ind w:firstLine="0"/>
              <w:rPr>
                <w:rFonts w:eastAsiaTheme="minorEastAsia"/>
                <w:lang w:eastAsia="zh-CN"/>
              </w:rPr>
            </w:pPr>
            <w:r>
              <w:rPr>
                <w:rFonts w:eastAsiaTheme="minorEastAsia" w:hint="eastAsia"/>
                <w:lang w:eastAsia="zh-CN"/>
              </w:rPr>
              <w:t>W</w:t>
            </w:r>
            <w:r>
              <w:rPr>
                <w:rFonts w:eastAsiaTheme="minorEastAsia"/>
                <w:lang w:eastAsia="zh-CN"/>
              </w:rPr>
              <w:t>e agree the proposal for S-SSB but we think for PSFCH this should be FFS.</w:t>
            </w:r>
            <w:r>
              <w:rPr>
                <w:rFonts w:eastAsiaTheme="minorEastAsia" w:hint="eastAsia"/>
                <w:lang w:eastAsia="zh-CN"/>
              </w:rPr>
              <w:t xml:space="preserve"> </w:t>
            </w:r>
            <w:r>
              <w:rPr>
                <w:rFonts w:eastAsiaTheme="minorEastAsia"/>
                <w:lang w:eastAsia="zh-CN"/>
              </w:rPr>
              <w:t xml:space="preserve">The reason is that there will be some potential enhancements on PSFCH which will be discussed in section 9.1.4.2, e.g., dynamic PSFCH, long PSFCH format and more PSFCH transmission occasion, all these enhancements will potentially make the </w:t>
            </w:r>
            <w:r>
              <w:rPr>
                <w:rFonts w:eastAsiaTheme="minorEastAsia" w:hint="eastAsia"/>
                <w:lang w:eastAsia="zh-CN"/>
              </w:rPr>
              <w:t>regulation</w:t>
            </w:r>
            <w:r>
              <w:rPr>
                <w:rFonts w:eastAsiaTheme="minorEastAsia"/>
                <w:lang w:eastAsia="zh-CN"/>
              </w:rPr>
              <w:t xml:space="preserve"> </w:t>
            </w:r>
            <w:r>
              <w:rPr>
                <w:rFonts w:eastAsiaTheme="minorEastAsia" w:hint="eastAsia"/>
                <w:lang w:eastAsia="zh-CN"/>
              </w:rPr>
              <w:t>requiremen</w:t>
            </w:r>
            <w:r>
              <w:rPr>
                <w:rFonts w:eastAsiaTheme="minorEastAsia"/>
                <w:lang w:eastAsia="zh-CN"/>
              </w:rPr>
              <w:t>s are not fulfilled.</w:t>
            </w:r>
          </w:p>
        </w:tc>
      </w:tr>
      <w:tr w:rsidR="00EE4559" w14:paraId="50627619" w14:textId="77777777" w:rsidTr="006B2419">
        <w:tc>
          <w:tcPr>
            <w:tcW w:w="1555" w:type="dxa"/>
          </w:tcPr>
          <w:p w14:paraId="11158D9A" w14:textId="77777777" w:rsidR="00EE4559" w:rsidRDefault="00EE4559" w:rsidP="00EE4559">
            <w:pPr>
              <w:pStyle w:val="0Maintext"/>
              <w:spacing w:after="0" w:afterAutospacing="0"/>
              <w:ind w:firstLine="0"/>
              <w:rPr>
                <w:rFonts w:eastAsia="MS Mincho"/>
                <w:lang w:eastAsia="ja-JP"/>
              </w:rPr>
            </w:pPr>
            <w:r>
              <w:rPr>
                <w:rFonts w:eastAsia="MS Mincho" w:hint="eastAsia"/>
                <w:lang w:eastAsia="ja-JP"/>
              </w:rPr>
              <w:t>P</w:t>
            </w:r>
            <w:r>
              <w:rPr>
                <w:rFonts w:eastAsia="MS Mincho"/>
                <w:lang w:eastAsia="ja-JP"/>
              </w:rPr>
              <w:t>anasonic</w:t>
            </w:r>
          </w:p>
        </w:tc>
        <w:tc>
          <w:tcPr>
            <w:tcW w:w="8076" w:type="dxa"/>
          </w:tcPr>
          <w:p w14:paraId="02E6193A" w14:textId="77777777" w:rsidR="00EE4559" w:rsidRDefault="00EE4559" w:rsidP="00EE4559">
            <w:pPr>
              <w:pStyle w:val="0Maintext"/>
              <w:spacing w:after="0" w:afterAutospacing="0"/>
              <w:ind w:firstLine="0"/>
              <w:rPr>
                <w:rFonts w:eastAsia="MS Mincho"/>
                <w:lang w:eastAsia="ja-JP"/>
              </w:rPr>
            </w:pPr>
            <w:r>
              <w:rPr>
                <w:rFonts w:eastAsia="MS Mincho" w:hint="eastAsia"/>
                <w:lang w:eastAsia="ja-JP"/>
              </w:rPr>
              <w:t>W</w:t>
            </w:r>
            <w:r>
              <w:rPr>
                <w:rFonts w:eastAsia="MS Mincho"/>
                <w:lang w:eastAsia="ja-JP"/>
              </w:rPr>
              <w:t>e support the proposal.</w:t>
            </w:r>
          </w:p>
        </w:tc>
      </w:tr>
      <w:tr w:rsidR="00EE4559" w14:paraId="012F0A75" w14:textId="77777777" w:rsidTr="006B2419">
        <w:tc>
          <w:tcPr>
            <w:tcW w:w="1555" w:type="dxa"/>
          </w:tcPr>
          <w:p w14:paraId="6C59877B" w14:textId="77777777" w:rsidR="00EE4559" w:rsidRDefault="00EE4559" w:rsidP="00EE4559">
            <w:pPr>
              <w:pStyle w:val="0Maintext"/>
              <w:spacing w:after="0" w:afterAutospacing="0"/>
              <w:ind w:firstLine="0"/>
            </w:pPr>
            <w:r>
              <w:t>Nokia, NSB</w:t>
            </w:r>
          </w:p>
        </w:tc>
        <w:tc>
          <w:tcPr>
            <w:tcW w:w="8076" w:type="dxa"/>
          </w:tcPr>
          <w:p w14:paraId="41AF67D4" w14:textId="77777777" w:rsidR="00EE4559" w:rsidRDefault="00EE4559" w:rsidP="00EE4559">
            <w:pPr>
              <w:pStyle w:val="0Maintext"/>
              <w:spacing w:after="0" w:afterAutospacing="0"/>
              <w:ind w:firstLine="0"/>
              <w:rPr>
                <w:rFonts w:eastAsia="MS Mincho"/>
                <w:lang w:eastAsia="ja-JP"/>
              </w:rPr>
            </w:pPr>
            <w:r>
              <w:rPr>
                <w:rFonts w:eastAsia="MS Mincho"/>
                <w:lang w:eastAsia="ja-JP"/>
              </w:rPr>
              <w:t xml:space="preserve">We agree to use Type 2A channel access for S-SSBs and possibly also for PSFCH. In case of PSFCH referring to a duty cycle may not be quite accurate, since the transmissions are not necessarily periodic. Instead, one could say that the total duration of such transmissions must not exceed 2.5 ms within an observation period of 50 ms. </w:t>
            </w:r>
          </w:p>
        </w:tc>
      </w:tr>
      <w:tr w:rsidR="00EE4559" w14:paraId="19AF1200" w14:textId="77777777" w:rsidTr="006B2419">
        <w:tc>
          <w:tcPr>
            <w:tcW w:w="1555" w:type="dxa"/>
          </w:tcPr>
          <w:p w14:paraId="04B0E733" w14:textId="7F503F38" w:rsidR="00EE4559" w:rsidRDefault="00D01D0D" w:rsidP="00EE4559">
            <w:pPr>
              <w:pStyle w:val="0Maintext"/>
              <w:spacing w:after="0" w:afterAutospacing="0"/>
              <w:ind w:firstLine="0"/>
            </w:pPr>
            <w:r>
              <w:rPr>
                <w:rFonts w:eastAsiaTheme="minorEastAsia"/>
                <w:lang w:eastAsia="zh-CN"/>
              </w:rPr>
              <w:t>V</w:t>
            </w:r>
            <w:r w:rsidR="00EE4559">
              <w:rPr>
                <w:rFonts w:eastAsiaTheme="minorEastAsia"/>
                <w:lang w:eastAsia="zh-CN"/>
              </w:rPr>
              <w:t>ivo</w:t>
            </w:r>
          </w:p>
        </w:tc>
        <w:tc>
          <w:tcPr>
            <w:tcW w:w="8076" w:type="dxa"/>
          </w:tcPr>
          <w:p w14:paraId="11A247F4" w14:textId="77777777" w:rsidR="00EE4559" w:rsidRDefault="00EE4559" w:rsidP="00EE4559">
            <w:pPr>
              <w:pStyle w:val="0Maintext"/>
              <w:spacing w:after="0" w:afterAutospacing="0"/>
              <w:ind w:firstLine="0"/>
              <w:rPr>
                <w:rFonts w:eastAsia="MS Mincho"/>
                <w:lang w:eastAsia="ja-JP"/>
              </w:rPr>
            </w:pPr>
            <w:r>
              <w:rPr>
                <w:rFonts w:eastAsiaTheme="minorEastAsia"/>
                <w:lang w:eastAsia="zh-CN"/>
              </w:rPr>
              <w:t xml:space="preserve">Support the proposal </w:t>
            </w:r>
          </w:p>
        </w:tc>
      </w:tr>
      <w:tr w:rsidR="00EE4559" w14:paraId="01108B6C" w14:textId="77777777" w:rsidTr="006B2419">
        <w:tc>
          <w:tcPr>
            <w:tcW w:w="1555" w:type="dxa"/>
          </w:tcPr>
          <w:p w14:paraId="6C52409A" w14:textId="77777777" w:rsidR="00EE4559" w:rsidRDefault="00EE4559" w:rsidP="00EE4559">
            <w:pPr>
              <w:pStyle w:val="0Maintext"/>
              <w:spacing w:after="0" w:afterAutospacing="0"/>
              <w:ind w:firstLine="0"/>
              <w:rPr>
                <w:rFonts w:eastAsiaTheme="minorEastAsia"/>
                <w:lang w:eastAsia="zh-CN"/>
              </w:rPr>
            </w:pPr>
            <w:r>
              <w:rPr>
                <w:rFonts w:hint="eastAsia"/>
                <w:lang w:eastAsia="ko-KR"/>
              </w:rPr>
              <w:t>W</w:t>
            </w:r>
            <w:r>
              <w:rPr>
                <w:lang w:eastAsia="ko-KR"/>
              </w:rPr>
              <w:t>ILUS</w:t>
            </w:r>
          </w:p>
        </w:tc>
        <w:tc>
          <w:tcPr>
            <w:tcW w:w="8076" w:type="dxa"/>
          </w:tcPr>
          <w:p w14:paraId="2A854598" w14:textId="77777777" w:rsidR="00EE4559" w:rsidRDefault="00EE4559" w:rsidP="00EE4559">
            <w:pPr>
              <w:pStyle w:val="0Maintext"/>
              <w:tabs>
                <w:tab w:val="left" w:pos="1275"/>
              </w:tabs>
              <w:spacing w:after="0" w:afterAutospacing="0"/>
              <w:ind w:firstLine="0"/>
            </w:pPr>
            <w:r>
              <w:t xml:space="preserve">At least for the case of S-SSB transmission, it should be regarded as SCSt if the condition for SCSs is met and no sensing should be applicable to S-SSB trasnmisison. </w:t>
            </w:r>
          </w:p>
          <w:p w14:paraId="55CBA89E" w14:textId="77777777" w:rsidR="00EE4559" w:rsidRDefault="00EE4559" w:rsidP="00EE4559">
            <w:pPr>
              <w:pStyle w:val="0Maintext"/>
              <w:spacing w:after="0" w:afterAutospacing="0"/>
              <w:ind w:firstLine="0"/>
              <w:rPr>
                <w:rFonts w:eastAsiaTheme="minorEastAsia"/>
                <w:lang w:eastAsia="zh-CN"/>
              </w:rPr>
            </w:pPr>
            <w:r>
              <w:rPr>
                <w:rFonts w:hint="eastAsia"/>
                <w:lang w:eastAsia="ko-KR"/>
              </w:rPr>
              <w:t>F</w:t>
            </w:r>
            <w:r>
              <w:rPr>
                <w:lang w:eastAsia="ko-KR"/>
              </w:rPr>
              <w:t xml:space="preserve">or the </w:t>
            </w:r>
            <w:r>
              <w:rPr>
                <w:rFonts w:hint="eastAsia"/>
                <w:lang w:eastAsia="ko-KR"/>
              </w:rPr>
              <w:t>P</w:t>
            </w:r>
            <w:r>
              <w:rPr>
                <w:lang w:eastAsia="ko-KR"/>
              </w:rPr>
              <w:t>SFCH transmission, it should be separately discussed whether Type -2A can be applied to the PSFCH tx by a UE without a shared channel occupancy.</w:t>
            </w:r>
          </w:p>
        </w:tc>
      </w:tr>
      <w:tr w:rsidR="00EE4559" w14:paraId="45569B48" w14:textId="77777777" w:rsidTr="006B2419">
        <w:tc>
          <w:tcPr>
            <w:tcW w:w="1555" w:type="dxa"/>
          </w:tcPr>
          <w:p w14:paraId="72C14F6D" w14:textId="77777777" w:rsidR="00EE4559" w:rsidRDefault="00EE4559" w:rsidP="00EE4559">
            <w:pPr>
              <w:pStyle w:val="0Maintext"/>
              <w:spacing w:after="0" w:afterAutospacing="0"/>
              <w:ind w:firstLine="0"/>
              <w:rPr>
                <w:lang w:eastAsia="ko-KR"/>
              </w:rPr>
            </w:pPr>
            <w:r>
              <w:rPr>
                <w:rFonts w:eastAsiaTheme="minorEastAsia" w:hint="eastAsia"/>
                <w:lang w:eastAsia="zh-CN"/>
              </w:rPr>
              <w:t>S</w:t>
            </w:r>
            <w:r>
              <w:rPr>
                <w:rFonts w:eastAsiaTheme="minorEastAsia"/>
                <w:lang w:eastAsia="zh-CN"/>
              </w:rPr>
              <w:t>amsung</w:t>
            </w:r>
          </w:p>
        </w:tc>
        <w:tc>
          <w:tcPr>
            <w:tcW w:w="8076" w:type="dxa"/>
          </w:tcPr>
          <w:p w14:paraId="7D10F458" w14:textId="77777777" w:rsidR="00EE4559" w:rsidRDefault="00EE4559" w:rsidP="00EE4559">
            <w:pPr>
              <w:pStyle w:val="0Maintext"/>
              <w:spacing w:after="0" w:afterAutospacing="0"/>
              <w:ind w:firstLine="0"/>
              <w:rPr>
                <w:rFonts w:eastAsiaTheme="minorEastAsia"/>
                <w:lang w:eastAsia="zh-CN"/>
              </w:rPr>
            </w:pPr>
            <w:r>
              <w:rPr>
                <w:rFonts w:eastAsiaTheme="minorEastAsia" w:hint="eastAsia"/>
                <w:lang w:eastAsia="zh-CN"/>
              </w:rPr>
              <w:t>G</w:t>
            </w:r>
            <w:r>
              <w:rPr>
                <w:rFonts w:eastAsiaTheme="minorEastAsia"/>
                <w:lang w:eastAsia="zh-CN"/>
              </w:rPr>
              <w:t xml:space="preserve">enerally fine with minor modifications. </w:t>
            </w:r>
          </w:p>
          <w:p w14:paraId="0E7AC0FE" w14:textId="77777777" w:rsidR="00EE4559" w:rsidRDefault="00EE4559" w:rsidP="00EE4559">
            <w:pPr>
              <w:pStyle w:val="0Maintext"/>
              <w:spacing w:after="0" w:afterAutospacing="0"/>
              <w:ind w:firstLine="0"/>
              <w:rPr>
                <w:rFonts w:eastAsiaTheme="minorEastAsia"/>
                <w:lang w:eastAsia="zh-CN"/>
              </w:rPr>
            </w:pPr>
            <w:r>
              <w:rPr>
                <w:rFonts w:eastAsiaTheme="minorEastAsia"/>
                <w:lang w:eastAsia="zh-CN"/>
              </w:rPr>
              <w:t>“</w:t>
            </w:r>
            <w:r>
              <w:rPr>
                <w:rFonts w:ascii="Calibri" w:hAnsi="Calibri" w:cs="Calibri" w:hint="eastAsia"/>
                <w:sz w:val="22"/>
                <w:lang w:val="en-US"/>
              </w:rPr>
              <w:t>initiated by a UE</w:t>
            </w:r>
            <w:r>
              <w:rPr>
                <w:rFonts w:eastAsiaTheme="minorEastAsia"/>
                <w:lang w:eastAsia="zh-CN"/>
              </w:rPr>
              <w:t xml:space="preserve">” can be modified as “from a UE”, similar to </w:t>
            </w:r>
            <w:r>
              <w:rPr>
                <w:rStyle w:val="Strong"/>
                <w:rFonts w:asciiTheme="minorHAnsi" w:hAnsiTheme="minorHAnsi" w:cstheme="minorHAnsi"/>
                <w:sz w:val="22"/>
                <w:szCs w:val="22"/>
                <w:highlight w:val="yellow"/>
              </w:rPr>
              <w:t>Proposal 1 (II)</w:t>
            </w:r>
            <w:r>
              <w:rPr>
                <w:rFonts w:eastAsiaTheme="minorEastAsia"/>
                <w:lang w:eastAsia="zh-CN"/>
              </w:rPr>
              <w:t xml:space="preserve"> to align the wording.</w:t>
            </w:r>
          </w:p>
          <w:p w14:paraId="164A8ED7" w14:textId="77777777" w:rsidR="00EE4559" w:rsidRDefault="00EE4559" w:rsidP="00EE4559">
            <w:pPr>
              <w:pStyle w:val="0Maintext"/>
              <w:tabs>
                <w:tab w:val="left" w:pos="1275"/>
              </w:tabs>
              <w:spacing w:after="0" w:afterAutospacing="0"/>
              <w:ind w:firstLine="0"/>
            </w:pPr>
            <w:r>
              <w:rPr>
                <w:rFonts w:eastAsiaTheme="minorEastAsia"/>
                <w:lang w:eastAsia="zh-CN"/>
              </w:rPr>
              <w:t xml:space="preserve">We understand the </w:t>
            </w:r>
            <w:r>
              <w:rPr>
                <w:rFonts w:eastAsiaTheme="minorEastAsia" w:hint="eastAsia"/>
                <w:lang w:eastAsia="zh-CN"/>
              </w:rPr>
              <w:t>k</w:t>
            </w:r>
            <w:r>
              <w:rPr>
                <w:rFonts w:eastAsiaTheme="minorEastAsia"/>
                <w:lang w:eastAsia="zh-CN"/>
              </w:rPr>
              <w:t>ey intention of allowing shorter LBT for SCSt outside COT, but “without shared channel occupancy” can be deleted. Type 2A channel access procedure for SCSt can be applicable to UE with its initiated CO, with shared CO or without initiated/shared CO.</w:t>
            </w:r>
          </w:p>
        </w:tc>
      </w:tr>
      <w:tr w:rsidR="00EE4559" w14:paraId="7B28A10E" w14:textId="77777777" w:rsidTr="006B2419">
        <w:tc>
          <w:tcPr>
            <w:tcW w:w="1555" w:type="dxa"/>
          </w:tcPr>
          <w:p w14:paraId="268FF672" w14:textId="77777777" w:rsidR="00EE4559" w:rsidRDefault="00EE4559" w:rsidP="00EE4559">
            <w:pPr>
              <w:pStyle w:val="0Maintext"/>
              <w:spacing w:after="0" w:afterAutospacing="0"/>
              <w:ind w:firstLine="0"/>
              <w:rPr>
                <w:rFonts w:eastAsiaTheme="minorEastAsia"/>
                <w:lang w:eastAsia="zh-CN"/>
              </w:rPr>
            </w:pPr>
            <w:r>
              <w:rPr>
                <w:rFonts w:eastAsiaTheme="minorEastAsia"/>
                <w:lang w:eastAsia="zh-CN"/>
              </w:rPr>
              <w:t>NEC</w:t>
            </w:r>
          </w:p>
        </w:tc>
        <w:tc>
          <w:tcPr>
            <w:tcW w:w="8076" w:type="dxa"/>
          </w:tcPr>
          <w:p w14:paraId="7BEE2C5B" w14:textId="77777777" w:rsidR="00EE4559" w:rsidRDefault="00EE4559" w:rsidP="00EE4559">
            <w:pPr>
              <w:pStyle w:val="0Maintext"/>
              <w:spacing w:after="0" w:afterAutospacing="0"/>
              <w:ind w:firstLine="0"/>
              <w:rPr>
                <w:rFonts w:eastAsiaTheme="minorEastAsia"/>
                <w:lang w:eastAsia="zh-CN"/>
              </w:rPr>
            </w:pPr>
            <w:r>
              <w:rPr>
                <w:rFonts w:eastAsiaTheme="minorEastAsia"/>
                <w:lang w:eastAsia="zh-CN"/>
              </w:rPr>
              <w:t>We generally agree with the proposal, and the issue that whether PSFCH transmissions can satisfy the restriction of SCSt should be further discussed.</w:t>
            </w:r>
          </w:p>
        </w:tc>
      </w:tr>
      <w:tr w:rsidR="00EE4559" w14:paraId="200E7E8A" w14:textId="77777777" w:rsidTr="006B2419">
        <w:tc>
          <w:tcPr>
            <w:tcW w:w="1555" w:type="dxa"/>
          </w:tcPr>
          <w:p w14:paraId="60B79BFB" w14:textId="77777777" w:rsidR="00EE4559" w:rsidRDefault="00EE4559" w:rsidP="00EE4559">
            <w:pPr>
              <w:pStyle w:val="0Maintext"/>
              <w:spacing w:after="0" w:afterAutospacing="0"/>
              <w:ind w:firstLine="0"/>
              <w:rPr>
                <w:rFonts w:eastAsiaTheme="minorEastAsia"/>
                <w:lang w:val="en-US" w:eastAsia="zh-CN"/>
              </w:rPr>
            </w:pPr>
            <w:r>
              <w:rPr>
                <w:rFonts w:eastAsiaTheme="minorEastAsia" w:hint="eastAsia"/>
                <w:lang w:eastAsia="zh-CN"/>
              </w:rPr>
              <w:t>ETRI</w:t>
            </w:r>
          </w:p>
        </w:tc>
        <w:tc>
          <w:tcPr>
            <w:tcW w:w="8076" w:type="dxa"/>
          </w:tcPr>
          <w:p w14:paraId="7EE7DCCC" w14:textId="77777777" w:rsidR="00EE4559" w:rsidRDefault="00EE4559" w:rsidP="00EE4559">
            <w:pPr>
              <w:pStyle w:val="0Maintext"/>
              <w:spacing w:after="0" w:afterAutospacing="0"/>
              <w:ind w:firstLine="0"/>
              <w:rPr>
                <w:rFonts w:eastAsiaTheme="minorEastAsia"/>
                <w:lang w:eastAsia="zh-CN"/>
              </w:rPr>
            </w:pPr>
            <w:r>
              <w:rPr>
                <w:rFonts w:eastAsiaTheme="minorEastAsia" w:hint="eastAsia"/>
                <w:lang w:eastAsia="zh-CN"/>
              </w:rPr>
              <w:t>We</w:t>
            </w:r>
            <w:r>
              <w:rPr>
                <w:rFonts w:eastAsiaTheme="minorEastAsia"/>
                <w:lang w:eastAsia="zh-CN"/>
              </w:rPr>
              <w:t xml:space="preserve"> </w:t>
            </w:r>
            <w:r>
              <w:rPr>
                <w:rFonts w:eastAsiaTheme="minorEastAsia" w:hint="eastAsia"/>
                <w:lang w:eastAsia="zh-CN"/>
              </w:rPr>
              <w:t>agree</w:t>
            </w:r>
            <w:r>
              <w:rPr>
                <w:rFonts w:eastAsiaTheme="minorEastAsia"/>
                <w:lang w:eastAsia="zh-CN"/>
              </w:rPr>
              <w:t xml:space="preserve"> </w:t>
            </w:r>
            <w:r>
              <w:rPr>
                <w:rFonts w:eastAsiaTheme="minorEastAsia" w:hint="eastAsia"/>
                <w:lang w:eastAsia="zh-CN"/>
              </w:rPr>
              <w:t>to</w:t>
            </w:r>
            <w:r>
              <w:rPr>
                <w:rFonts w:eastAsiaTheme="minorEastAsia"/>
                <w:lang w:eastAsia="zh-CN"/>
              </w:rPr>
              <w:t xml:space="preserve"> </w:t>
            </w:r>
            <w:r>
              <w:rPr>
                <w:rFonts w:eastAsiaTheme="minorEastAsia" w:hint="eastAsia"/>
                <w:lang w:eastAsia="zh-CN"/>
              </w:rPr>
              <w:t>focus</w:t>
            </w:r>
            <w:r>
              <w:rPr>
                <w:rFonts w:eastAsiaTheme="minorEastAsia"/>
                <w:lang w:eastAsia="zh-CN"/>
              </w:rPr>
              <w:t xml:space="preserve"> </w:t>
            </w:r>
            <w:r>
              <w:rPr>
                <w:rFonts w:eastAsiaTheme="minorEastAsia" w:hint="eastAsia"/>
                <w:lang w:eastAsia="zh-CN"/>
              </w:rPr>
              <w:t>on</w:t>
            </w:r>
            <w:r>
              <w:rPr>
                <w:rFonts w:eastAsiaTheme="minorEastAsia"/>
                <w:lang w:eastAsia="zh-CN"/>
              </w:rPr>
              <w:t xml:space="preserve"> </w:t>
            </w:r>
            <w:r>
              <w:rPr>
                <w:rFonts w:eastAsiaTheme="minorEastAsia" w:hint="eastAsia"/>
                <w:lang w:eastAsia="zh-CN"/>
              </w:rPr>
              <w:t>S-SSB</w:t>
            </w:r>
            <w:r>
              <w:rPr>
                <w:rFonts w:eastAsiaTheme="minorEastAsia"/>
                <w:lang w:eastAsia="zh-CN"/>
              </w:rPr>
              <w:t xml:space="preserve"> </w:t>
            </w:r>
            <w:r>
              <w:rPr>
                <w:rFonts w:eastAsiaTheme="minorEastAsia" w:hint="eastAsia"/>
                <w:lang w:eastAsia="zh-CN"/>
              </w:rPr>
              <w:t>transmission</w:t>
            </w:r>
            <w:r>
              <w:rPr>
                <w:rFonts w:eastAsiaTheme="minorEastAsia"/>
                <w:lang w:eastAsia="zh-CN"/>
              </w:rPr>
              <w:t xml:space="preserve"> </w:t>
            </w:r>
            <w:r>
              <w:rPr>
                <w:rFonts w:eastAsiaTheme="minorEastAsia" w:hint="eastAsia"/>
                <w:lang w:eastAsia="zh-CN"/>
              </w:rPr>
              <w:t>first.</w:t>
            </w:r>
          </w:p>
        </w:tc>
      </w:tr>
      <w:tr w:rsidR="00EE4559" w14:paraId="405E1C86" w14:textId="77777777" w:rsidTr="006B2419">
        <w:tc>
          <w:tcPr>
            <w:tcW w:w="1555" w:type="dxa"/>
          </w:tcPr>
          <w:p w14:paraId="6719347F" w14:textId="536C013B" w:rsidR="00EE4559" w:rsidRDefault="00D01D0D" w:rsidP="00EE4559">
            <w:pPr>
              <w:pStyle w:val="0Maintext"/>
              <w:spacing w:after="0" w:afterAutospacing="0"/>
              <w:ind w:firstLine="0"/>
            </w:pPr>
            <w:r>
              <w:t>X</w:t>
            </w:r>
            <w:r w:rsidR="00EE4559">
              <w:t>iaomi</w:t>
            </w:r>
          </w:p>
        </w:tc>
        <w:tc>
          <w:tcPr>
            <w:tcW w:w="8076" w:type="dxa"/>
          </w:tcPr>
          <w:p w14:paraId="4CFFC719" w14:textId="77777777" w:rsidR="00EE4559" w:rsidRDefault="00EE4559" w:rsidP="00EE4559">
            <w:pPr>
              <w:pStyle w:val="0Maintext"/>
              <w:spacing w:after="0" w:afterAutospacing="0"/>
              <w:ind w:firstLine="0"/>
              <w:rPr>
                <w:rFonts w:eastAsiaTheme="minorEastAsia"/>
                <w:lang w:eastAsia="zh-CN"/>
              </w:rPr>
            </w:pPr>
            <w:r>
              <w:rPr>
                <w:rFonts w:eastAsiaTheme="minorEastAsia"/>
                <w:lang w:eastAsia="zh-CN"/>
              </w:rPr>
              <w:t>We do not support the proposal.</w:t>
            </w:r>
          </w:p>
          <w:p w14:paraId="0B85F78E" w14:textId="77777777" w:rsidR="00EE4559" w:rsidRDefault="00EE4559" w:rsidP="00EE4559">
            <w:pPr>
              <w:pStyle w:val="0Maintext"/>
              <w:spacing w:after="0" w:afterAutospacing="0"/>
              <w:ind w:firstLine="0"/>
              <w:rPr>
                <w:rFonts w:eastAsiaTheme="minorEastAsia"/>
                <w:lang w:val="en-US" w:eastAsia="zh-CN"/>
              </w:rPr>
            </w:pPr>
            <w:r>
              <w:rPr>
                <w:rFonts w:eastAsiaTheme="minorEastAsia"/>
                <w:lang w:val="en-US" w:eastAsia="zh-CN"/>
              </w:rPr>
              <w:t>We share the view as Apple that SCSt mechanism is different from type 2A for SSB in NR-U. Therefore there is no need to state SCSt in the main bullet. We also share the concern as QC on the details of “combined duty cycle”, and suggest to focus on S-SSB first. Therefore, our suggestion of revision is as following:</w:t>
            </w:r>
          </w:p>
          <w:p w14:paraId="2D76C486" w14:textId="77777777" w:rsidR="00EE4559" w:rsidRDefault="00EE4559">
            <w:pPr>
              <w:pStyle w:val="ListParagraph"/>
              <w:numPr>
                <w:ilvl w:val="0"/>
                <w:numId w:val="40"/>
              </w:numPr>
              <w:autoSpaceDE w:val="0"/>
              <w:autoSpaceDN w:val="0"/>
              <w:spacing w:line="259" w:lineRule="auto"/>
              <w:ind w:leftChars="0" w:left="0"/>
              <w:jc w:val="both"/>
              <w:rPr>
                <w:rFonts w:ascii="Calibri" w:hAnsi="Calibri" w:cs="Calibri"/>
                <w:sz w:val="22"/>
                <w:lang w:eastAsia="zh-CN"/>
              </w:rPr>
            </w:pPr>
            <w:r>
              <w:rPr>
                <w:rFonts w:ascii="Calibri" w:hAnsi="Calibri" w:cs="Calibri"/>
                <w:sz w:val="22"/>
                <w:lang w:val="en-US"/>
              </w:rPr>
              <w:t xml:space="preserve">Type 2A channel access procedure </w:t>
            </w:r>
            <w:r>
              <w:rPr>
                <w:rFonts w:ascii="Calibri" w:hAnsi="Calibri" w:cs="Calibri"/>
                <w:strike/>
                <w:color w:val="FF0000"/>
                <w:sz w:val="22"/>
                <w:lang w:val="en-US"/>
              </w:rPr>
              <w:t xml:space="preserve">for Short Control Signaling transmissions (SCSt) </w:t>
            </w:r>
            <w:r>
              <w:rPr>
                <w:rFonts w:ascii="Calibri" w:hAnsi="Calibri" w:cs="Calibri"/>
                <w:sz w:val="22"/>
                <w:lang w:val="en-US"/>
              </w:rPr>
              <w:t xml:space="preserve">is applicable for S-SSB </w:t>
            </w:r>
            <w:r>
              <w:rPr>
                <w:rFonts w:ascii="Calibri" w:hAnsi="Calibri" w:cs="Calibri"/>
                <w:strike/>
                <w:color w:val="FF0000"/>
                <w:sz w:val="22"/>
                <w:lang w:val="en-US"/>
              </w:rPr>
              <w:t>and PSFCH transmissions</w:t>
            </w:r>
            <w:r>
              <w:rPr>
                <w:rFonts w:ascii="Calibri" w:hAnsi="Calibri" w:cs="Calibri"/>
                <w:sz w:val="22"/>
                <w:lang w:val="en-US"/>
              </w:rPr>
              <w:t xml:space="preserve"> initiated by a UE without a shared channel occupancy, where the total </w:t>
            </w:r>
            <w:r>
              <w:rPr>
                <w:rFonts w:ascii="Calibri" w:hAnsi="Calibri" w:cs="Calibri"/>
                <w:strike/>
                <w:color w:val="FF0000"/>
                <w:sz w:val="22"/>
                <w:lang w:val="en-US"/>
              </w:rPr>
              <w:t xml:space="preserve">SCSt </w:t>
            </w:r>
            <w:r>
              <w:rPr>
                <w:rFonts w:ascii="Calibri" w:hAnsi="Calibri" w:cs="Calibri"/>
                <w:sz w:val="22"/>
                <w:lang w:val="en-US"/>
              </w:rPr>
              <w:t xml:space="preserve">duration is at most 1ms and the </w:t>
            </w:r>
            <w:r>
              <w:rPr>
                <w:rFonts w:ascii="Calibri" w:hAnsi="Calibri" w:cs="Calibri"/>
                <w:strike/>
                <w:color w:val="FF0000"/>
                <w:sz w:val="22"/>
                <w:lang w:val="en-US"/>
              </w:rPr>
              <w:t>combined</w:t>
            </w:r>
            <w:r>
              <w:rPr>
                <w:rFonts w:ascii="Calibri" w:hAnsi="Calibri" w:cs="Calibri"/>
                <w:sz w:val="22"/>
                <w:lang w:val="en-US"/>
              </w:rPr>
              <w:t xml:space="preserve"> duty cycle is at most 1/20.</w:t>
            </w:r>
          </w:p>
        </w:tc>
      </w:tr>
      <w:tr w:rsidR="00EE4559" w14:paraId="7916DBFD" w14:textId="77777777" w:rsidTr="006B2419">
        <w:tc>
          <w:tcPr>
            <w:tcW w:w="1555" w:type="dxa"/>
          </w:tcPr>
          <w:p w14:paraId="75792455" w14:textId="77777777" w:rsidR="00EE4559" w:rsidRDefault="00EE4559" w:rsidP="00EE4559">
            <w:pPr>
              <w:pStyle w:val="0Maintext"/>
              <w:spacing w:after="0" w:afterAutospacing="0"/>
              <w:ind w:firstLine="0"/>
            </w:pPr>
            <w:r>
              <w:rPr>
                <w:rFonts w:eastAsiaTheme="minorEastAsia" w:hint="eastAsia"/>
                <w:lang w:eastAsia="zh-CN"/>
              </w:rPr>
              <w:t>C</w:t>
            </w:r>
            <w:r>
              <w:rPr>
                <w:rFonts w:eastAsiaTheme="minorEastAsia"/>
                <w:lang w:eastAsia="zh-CN"/>
              </w:rPr>
              <w:t>ATT/GH</w:t>
            </w:r>
          </w:p>
        </w:tc>
        <w:tc>
          <w:tcPr>
            <w:tcW w:w="8076" w:type="dxa"/>
          </w:tcPr>
          <w:p w14:paraId="4373C10C" w14:textId="77777777" w:rsidR="00EE4559" w:rsidRDefault="00EE4559" w:rsidP="00EE4559">
            <w:pPr>
              <w:pStyle w:val="0Maintext"/>
              <w:spacing w:after="0" w:afterAutospacing="0"/>
              <w:ind w:firstLine="0"/>
              <w:rPr>
                <w:rFonts w:eastAsiaTheme="minorEastAsia"/>
                <w:lang w:eastAsia="zh-CN"/>
              </w:rPr>
            </w:pPr>
            <w:r>
              <w:rPr>
                <w:rFonts w:eastAsiaTheme="minorEastAsia" w:hint="eastAsia"/>
                <w:lang w:eastAsia="zh-CN"/>
              </w:rPr>
              <w:t>W</w:t>
            </w:r>
            <w:r>
              <w:rPr>
                <w:rFonts w:eastAsiaTheme="minorEastAsia"/>
                <w:lang w:eastAsia="zh-CN"/>
              </w:rPr>
              <w:t>e are confused about the wording of this proposal “</w:t>
            </w:r>
            <w:r>
              <w:rPr>
                <w:rFonts w:ascii="Calibri" w:hAnsi="Calibri" w:cs="Calibri" w:hint="eastAsia"/>
                <w:sz w:val="22"/>
                <w:lang w:val="en-US"/>
              </w:rPr>
              <w:t xml:space="preserve">Type 2A channel access procedure for </w:t>
            </w:r>
            <w:r>
              <w:rPr>
                <w:rFonts w:ascii="Calibri" w:hAnsi="Calibri" w:cs="Calibri" w:hint="eastAsia"/>
                <w:i/>
                <w:iCs/>
                <w:sz w:val="22"/>
                <w:lang w:val="en-US"/>
              </w:rPr>
              <w:t>Short Control Signaling transmissions</w:t>
            </w:r>
            <w:r>
              <w:rPr>
                <w:rFonts w:ascii="Calibri" w:hAnsi="Calibri" w:cs="Calibri" w:hint="eastAsia"/>
                <w:sz w:val="22"/>
                <w:lang w:val="en-US"/>
              </w:rPr>
              <w:t xml:space="preserve"> (SCSt)</w:t>
            </w:r>
            <w:r>
              <w:rPr>
                <w:rFonts w:eastAsiaTheme="minorEastAsia"/>
                <w:lang w:eastAsia="zh-CN"/>
              </w:rPr>
              <w:t>”.</w:t>
            </w:r>
          </w:p>
          <w:p w14:paraId="4AC1C00D" w14:textId="77777777" w:rsidR="00EE4559" w:rsidRDefault="00EE4559" w:rsidP="00EE4559">
            <w:pPr>
              <w:pStyle w:val="0Maintext"/>
              <w:spacing w:after="0" w:afterAutospacing="0"/>
              <w:ind w:firstLine="0"/>
              <w:rPr>
                <w:rFonts w:eastAsiaTheme="minorEastAsia"/>
                <w:lang w:eastAsia="zh-CN"/>
              </w:rPr>
            </w:pPr>
            <w:r>
              <w:rPr>
                <w:rFonts w:eastAsiaTheme="minorEastAsia"/>
                <w:lang w:eastAsia="zh-CN"/>
              </w:rPr>
              <w:t xml:space="preserve">From our understanding, short control signalling is transmitted without sensing under the regulation restriction of duty cycle and the total transmission duration, while Type 2A channel access procedure is performed by </w:t>
            </w:r>
            <w:r>
              <w:rPr>
                <w:rFonts w:eastAsiaTheme="minorEastAsia" w:hint="eastAsia"/>
                <w:lang w:eastAsia="zh-CN"/>
              </w:rPr>
              <w:t>sensing</w:t>
            </w:r>
            <w:r>
              <w:rPr>
                <w:rFonts w:eastAsiaTheme="minorEastAsia"/>
                <w:lang w:eastAsia="zh-CN"/>
              </w:rPr>
              <w:t xml:space="preserve"> the channel for at least a sensing interval. They are two different channel access procedures, and “Type 2A channel access procedure for Short Control Signaling transmissions (SCSt)” is confused. </w:t>
            </w:r>
          </w:p>
          <w:p w14:paraId="05F192A2" w14:textId="77777777" w:rsidR="00EE4559" w:rsidRDefault="00EE4559" w:rsidP="00EE4559">
            <w:pPr>
              <w:pStyle w:val="0Maintext"/>
              <w:spacing w:after="0" w:afterAutospacing="0"/>
              <w:ind w:firstLine="0"/>
              <w:rPr>
                <w:rFonts w:eastAsiaTheme="minorEastAsia"/>
                <w:lang w:eastAsia="zh-CN"/>
              </w:rPr>
            </w:pPr>
            <w:r>
              <w:rPr>
                <w:rFonts w:eastAsiaTheme="minorEastAsia" w:hint="eastAsia"/>
                <w:lang w:eastAsia="zh-CN"/>
              </w:rPr>
              <w:t>For</w:t>
            </w:r>
            <w:r>
              <w:rPr>
                <w:rFonts w:eastAsiaTheme="minorEastAsia"/>
                <w:lang w:eastAsia="zh-CN"/>
              </w:rPr>
              <w:t xml:space="preserve"> PSFCH transmission, Type 2A LBT may not be applied when there is no shared COT, i.e. as NR-U discovery burst, since the 1/20 duty cycle is too hard for PSFCH transmission to meet. </w:t>
            </w:r>
          </w:p>
          <w:p w14:paraId="1F931783" w14:textId="303C4781" w:rsidR="00EE4559" w:rsidRDefault="00EE4559" w:rsidP="00EE4559">
            <w:pPr>
              <w:pStyle w:val="0Maintext"/>
              <w:spacing w:after="0" w:afterAutospacing="0"/>
              <w:ind w:firstLine="0"/>
              <w:rPr>
                <w:rFonts w:eastAsiaTheme="minorEastAsia"/>
                <w:lang w:eastAsia="zh-CN"/>
              </w:rPr>
            </w:pPr>
            <w:r>
              <w:rPr>
                <w:rFonts w:eastAsiaTheme="minorEastAsia"/>
                <w:lang w:eastAsia="zh-CN"/>
              </w:rPr>
              <w:t>For SCSt, actually, different countries may have different regulation restriction. In European regulation (ETSI EN 301 893), the use of SCS transmissions is constrained within an observation period of 50 ms, the number of SCS transmissions by the equipment shall be equal to or less than 50; and the total duration of the equipment</w:t>
            </w:r>
            <w:r w:rsidR="00D01D0D">
              <w:rPr>
                <w:rFonts w:eastAsiaTheme="minorEastAsia"/>
                <w:lang w:eastAsia="zh-CN"/>
              </w:rPr>
              <w:t>’</w:t>
            </w:r>
            <w:r>
              <w:rPr>
                <w:rFonts w:eastAsiaTheme="minorEastAsia"/>
                <w:lang w:eastAsia="zh-CN"/>
              </w:rPr>
              <w:t>s SCS transmissions shall be less than 2500 µs within the observation period. While in China, the total duration of the equipment</w:t>
            </w:r>
            <w:r w:rsidR="00D01D0D">
              <w:rPr>
                <w:rFonts w:eastAsiaTheme="minorEastAsia"/>
                <w:lang w:eastAsia="zh-CN"/>
              </w:rPr>
              <w:t>’</w:t>
            </w:r>
            <w:r>
              <w:rPr>
                <w:rFonts w:eastAsiaTheme="minorEastAsia"/>
                <w:lang w:eastAsia="zh-CN"/>
              </w:rPr>
              <w:t>s SCS transmissions shall be less than 2500 µs within the observation period or the duty cycle shall be no more than 1/10. Therefore, it may be unfair to adopt the restriction of a certain country. Therefore, we suggest revising the proposal as follows:</w:t>
            </w:r>
          </w:p>
          <w:p w14:paraId="68F9BB14" w14:textId="77777777" w:rsidR="00EE4559" w:rsidRDefault="00EE4559" w:rsidP="00EE4559">
            <w:pPr>
              <w:autoSpaceDE w:val="0"/>
              <w:autoSpaceDN w:val="0"/>
              <w:jc w:val="both"/>
              <w:rPr>
                <w:rFonts w:ascii="Calibri" w:hAnsi="Calibri" w:cs="Calibri"/>
                <w:sz w:val="22"/>
              </w:rPr>
            </w:pPr>
            <w:r>
              <w:rPr>
                <w:rFonts w:ascii="Calibri" w:hAnsi="Calibri" w:cs="Calibri"/>
                <w:b/>
                <w:bCs/>
                <w:sz w:val="22"/>
                <w:highlight w:val="yellow"/>
              </w:rPr>
              <w:t>Proposal 3 (I):</w:t>
            </w:r>
            <w:r>
              <w:rPr>
                <w:rFonts w:ascii="Calibri" w:hAnsi="Calibri" w:cs="Calibri"/>
                <w:b/>
                <w:bCs/>
                <w:sz w:val="22"/>
              </w:rPr>
              <w:t xml:space="preserve"> </w:t>
            </w:r>
          </w:p>
          <w:p w14:paraId="4F8ADAD6" w14:textId="77777777" w:rsidR="00EE4559" w:rsidRDefault="00EE4559" w:rsidP="00EE4559">
            <w:pPr>
              <w:pStyle w:val="ListParagraph"/>
              <w:numPr>
                <w:ilvl w:val="0"/>
                <w:numId w:val="18"/>
              </w:numPr>
              <w:autoSpaceDE w:val="0"/>
              <w:autoSpaceDN w:val="0"/>
              <w:spacing w:line="259" w:lineRule="auto"/>
              <w:ind w:leftChars="0"/>
              <w:jc w:val="both"/>
              <w:rPr>
                <w:rFonts w:ascii="Calibri" w:hAnsi="Calibri" w:cs="Calibri"/>
                <w:sz w:val="22"/>
              </w:rPr>
            </w:pPr>
            <w:r>
              <w:rPr>
                <w:rFonts w:ascii="Calibri" w:hAnsi="Calibri" w:cs="Calibri" w:hint="eastAsia"/>
                <w:strike/>
                <w:color w:val="FF0000"/>
                <w:sz w:val="22"/>
                <w:lang w:val="en-US"/>
              </w:rPr>
              <w:lastRenderedPageBreak/>
              <w:t>Type 2A channel access procedure for</w:t>
            </w:r>
            <w:r>
              <w:rPr>
                <w:rFonts w:ascii="Calibri" w:hAnsi="Calibri" w:cs="Calibri" w:hint="eastAsia"/>
                <w:sz w:val="22"/>
                <w:lang w:val="en-US"/>
              </w:rPr>
              <w:t xml:space="preserve"> </w:t>
            </w:r>
            <w:r>
              <w:rPr>
                <w:rFonts w:ascii="Calibri" w:hAnsi="Calibri" w:cs="Calibri" w:hint="eastAsia"/>
                <w:i/>
                <w:iCs/>
                <w:sz w:val="22"/>
                <w:lang w:val="en-US"/>
              </w:rPr>
              <w:t>Short Control Signaling transmissions</w:t>
            </w:r>
            <w:r>
              <w:rPr>
                <w:rFonts w:ascii="Calibri" w:hAnsi="Calibri" w:cs="Calibri" w:hint="eastAsia"/>
                <w:sz w:val="22"/>
                <w:lang w:val="en-US"/>
              </w:rPr>
              <w:t xml:space="preserve"> (SCSt) is applicable for S-SSB and PSFCH transmissions initiated by a UE without a shared channel occupancy,</w:t>
            </w:r>
            <w:r>
              <w:rPr>
                <w:rFonts w:ascii="Calibri" w:hAnsi="Calibri" w:cs="Calibri"/>
                <w:sz w:val="22"/>
                <w:lang w:val="en-US"/>
              </w:rPr>
              <w:t xml:space="preserve"> </w:t>
            </w:r>
            <w:r>
              <w:rPr>
                <w:rFonts w:ascii="Calibri" w:hAnsi="Calibri" w:cs="Calibri"/>
                <w:color w:val="FF0000"/>
                <w:sz w:val="22"/>
                <w:lang w:val="en-US"/>
              </w:rPr>
              <w:t>when the transmission meets the regulation for SCSt in each country.</w:t>
            </w:r>
            <w:r>
              <w:rPr>
                <w:rFonts w:ascii="Calibri" w:hAnsi="Calibri" w:cs="Calibri"/>
                <w:sz w:val="22"/>
                <w:lang w:val="en-US"/>
              </w:rPr>
              <w:t xml:space="preserve"> </w:t>
            </w:r>
          </w:p>
          <w:p w14:paraId="1CFA2527" w14:textId="77777777" w:rsidR="00EE4559" w:rsidRDefault="00EE4559" w:rsidP="00EE4559">
            <w:pPr>
              <w:pStyle w:val="ListParagraph"/>
              <w:numPr>
                <w:ilvl w:val="0"/>
                <w:numId w:val="18"/>
              </w:numPr>
              <w:autoSpaceDE w:val="0"/>
              <w:autoSpaceDN w:val="0"/>
              <w:spacing w:line="259" w:lineRule="auto"/>
              <w:ind w:leftChars="0"/>
              <w:jc w:val="both"/>
              <w:rPr>
                <w:rFonts w:ascii="Calibri" w:hAnsi="Calibri" w:cs="Calibri"/>
                <w:sz w:val="22"/>
              </w:rPr>
            </w:pPr>
            <w:r>
              <w:rPr>
                <w:rFonts w:ascii="Calibri" w:hAnsi="Calibri" w:cs="Calibri"/>
                <w:color w:val="FF0000"/>
                <w:sz w:val="22"/>
                <w:lang w:val="en-US"/>
              </w:rPr>
              <w:t>Type 2A channel access procedure is applicable to S-SSB transmissions as NR-U discovery burst</w:t>
            </w:r>
            <w:r>
              <w:rPr>
                <w:rFonts w:ascii="Calibri" w:hAnsi="Calibri" w:cs="Calibri"/>
                <w:sz w:val="22"/>
                <w:lang w:val="en-US"/>
              </w:rPr>
              <w:t xml:space="preserve"> </w:t>
            </w:r>
            <w:r>
              <w:rPr>
                <w:rFonts w:ascii="Calibri" w:hAnsi="Calibri" w:cs="Calibri" w:hint="eastAsia"/>
                <w:sz w:val="22"/>
                <w:lang w:val="en-US"/>
              </w:rPr>
              <w:t xml:space="preserve">where the total </w:t>
            </w:r>
            <w:r>
              <w:rPr>
                <w:rFonts w:ascii="Calibri" w:hAnsi="Calibri" w:cs="Calibri"/>
                <w:color w:val="FF0000"/>
                <w:sz w:val="22"/>
                <w:lang w:val="en-US"/>
              </w:rPr>
              <w:t xml:space="preserve">transmission </w:t>
            </w:r>
            <w:r>
              <w:rPr>
                <w:rFonts w:ascii="Calibri" w:hAnsi="Calibri" w:cs="Calibri" w:hint="eastAsia"/>
                <w:strike/>
                <w:color w:val="FF0000"/>
                <w:sz w:val="22"/>
                <w:lang w:val="en-US"/>
              </w:rPr>
              <w:t>SCSt</w:t>
            </w:r>
            <w:r>
              <w:rPr>
                <w:rFonts w:ascii="Calibri" w:hAnsi="Calibri" w:cs="Calibri" w:hint="eastAsia"/>
                <w:color w:val="FF0000"/>
                <w:sz w:val="22"/>
                <w:lang w:val="en-US"/>
              </w:rPr>
              <w:t xml:space="preserve"> </w:t>
            </w:r>
            <w:r>
              <w:rPr>
                <w:rFonts w:ascii="Calibri" w:hAnsi="Calibri" w:cs="Calibri" w:hint="eastAsia"/>
                <w:sz w:val="22"/>
                <w:lang w:val="en-US"/>
              </w:rPr>
              <w:t>duration is at most 1ms and the combined duty cycle is at most 1/20.</w:t>
            </w:r>
          </w:p>
          <w:p w14:paraId="3AFF8ED2" w14:textId="39E01389" w:rsidR="00EE4559" w:rsidRPr="00EE4559" w:rsidRDefault="00EE4559" w:rsidP="00EE4559">
            <w:pPr>
              <w:pStyle w:val="ListParagraph"/>
              <w:numPr>
                <w:ilvl w:val="0"/>
                <w:numId w:val="18"/>
              </w:numPr>
              <w:autoSpaceDE w:val="0"/>
              <w:autoSpaceDN w:val="0"/>
              <w:spacing w:line="259" w:lineRule="auto"/>
              <w:ind w:leftChars="0"/>
              <w:jc w:val="both"/>
              <w:rPr>
                <w:rFonts w:ascii="Calibri" w:hAnsi="Calibri" w:cs="Calibri"/>
                <w:sz w:val="22"/>
              </w:rPr>
            </w:pPr>
            <w:r>
              <w:rPr>
                <w:rFonts w:ascii="Calibri" w:hAnsi="Calibri" w:cs="Calibri"/>
                <w:color w:val="FF0000"/>
                <w:sz w:val="22"/>
                <w:lang w:val="en-US"/>
              </w:rPr>
              <w:t>FFS: the supportive of other channel access procedures for S-SSB and PSFCH</w:t>
            </w:r>
          </w:p>
        </w:tc>
      </w:tr>
      <w:tr w:rsidR="00EE4559" w14:paraId="0F072A9B" w14:textId="77777777" w:rsidTr="006B2419">
        <w:tc>
          <w:tcPr>
            <w:tcW w:w="1555" w:type="dxa"/>
          </w:tcPr>
          <w:p w14:paraId="7D02609C" w14:textId="30F52288" w:rsidR="00EE4559" w:rsidRDefault="00EE4559" w:rsidP="00EE4559">
            <w:pPr>
              <w:pStyle w:val="0Maintext"/>
              <w:spacing w:after="0" w:afterAutospacing="0"/>
              <w:ind w:firstLine="0"/>
              <w:rPr>
                <w:rFonts w:eastAsiaTheme="minorEastAsia"/>
                <w:lang w:eastAsia="zh-CN"/>
              </w:rPr>
            </w:pPr>
            <w:r>
              <w:rPr>
                <w:rFonts w:eastAsiaTheme="minorEastAsia" w:hint="eastAsia"/>
                <w:lang w:eastAsia="zh-CN"/>
              </w:rPr>
              <w:lastRenderedPageBreak/>
              <w:t>ZTE,</w:t>
            </w:r>
            <w:r w:rsidR="00335DBF">
              <w:rPr>
                <w:rFonts w:eastAsiaTheme="minorEastAsia"/>
                <w:lang w:eastAsia="zh-CN"/>
              </w:rPr>
              <w:t xml:space="preserve"> </w:t>
            </w:r>
            <w:r>
              <w:rPr>
                <w:rFonts w:eastAsiaTheme="minorEastAsia" w:hint="eastAsia"/>
                <w:lang w:eastAsia="zh-CN"/>
              </w:rPr>
              <w:t>Sanechips</w:t>
            </w:r>
          </w:p>
        </w:tc>
        <w:tc>
          <w:tcPr>
            <w:tcW w:w="8076" w:type="dxa"/>
          </w:tcPr>
          <w:p w14:paraId="5F41297F" w14:textId="77777777" w:rsidR="00EE4559" w:rsidRDefault="00EE4559" w:rsidP="00EE4559">
            <w:pPr>
              <w:pStyle w:val="CommentText"/>
              <w:rPr>
                <w:rFonts w:ascii="Calibri" w:eastAsia="SimSun" w:hAnsi="Calibri" w:cs="Calibri"/>
                <w:color w:val="000000" w:themeColor="text1"/>
                <w:sz w:val="22"/>
                <w:lang w:val="en-US" w:eastAsia="zh-CN"/>
              </w:rPr>
            </w:pPr>
            <w:r>
              <w:rPr>
                <w:rFonts w:ascii="Calibri" w:eastAsia="SimSun" w:hAnsi="Calibri" w:cs="Calibri" w:hint="eastAsia"/>
                <w:color w:val="000000" w:themeColor="text1"/>
                <w:sz w:val="22"/>
                <w:lang w:val="en-US" w:eastAsia="zh-CN"/>
              </w:rPr>
              <w:t>OK for S-SSB. However, considering the high frequency of PSFCH transmissions, if channel access mechanism of short control signaling is allowed for all PSFCH occasions, it is not friendly to other systems. Therefore, it is suggested only one of the following is supported for PSFCH:</w:t>
            </w:r>
          </w:p>
          <w:p w14:paraId="61E1CB78" w14:textId="77777777" w:rsidR="00EE4559" w:rsidRDefault="00EE4559" w:rsidP="00EE4559">
            <w:pPr>
              <w:pStyle w:val="CommentText"/>
              <w:rPr>
                <w:rFonts w:ascii="Calibri" w:eastAsia="SimSun" w:hAnsi="Calibri" w:cs="Calibri"/>
                <w:color w:val="000000" w:themeColor="text1"/>
                <w:sz w:val="22"/>
                <w:lang w:val="en-US" w:eastAsia="zh-CN"/>
              </w:rPr>
            </w:pPr>
            <w:r>
              <w:rPr>
                <w:rFonts w:ascii="Calibri" w:eastAsia="SimSun" w:hAnsi="Calibri" w:cs="Calibri" w:hint="eastAsia"/>
                <w:color w:val="000000" w:themeColor="text1"/>
                <w:sz w:val="22"/>
                <w:lang w:val="en-US" w:eastAsia="zh-CN"/>
              </w:rPr>
              <w:t>•</w:t>
            </w:r>
            <w:r>
              <w:rPr>
                <w:rFonts w:ascii="Calibri" w:eastAsia="SimSun" w:hAnsi="Calibri" w:cs="Calibri" w:hint="eastAsia"/>
                <w:color w:val="000000" w:themeColor="text1"/>
                <w:sz w:val="22"/>
                <w:lang w:val="en-US" w:eastAsia="zh-CN"/>
              </w:rPr>
              <w:t>Short control signaling transmission for PSFCH is not supported</w:t>
            </w:r>
          </w:p>
          <w:p w14:paraId="2E47AEBC" w14:textId="77777777" w:rsidR="00EE4559" w:rsidRDefault="00EE4559" w:rsidP="00EE4559">
            <w:pPr>
              <w:pStyle w:val="0Maintext"/>
              <w:spacing w:after="0" w:afterAutospacing="0"/>
              <w:ind w:firstLine="0"/>
              <w:rPr>
                <w:rFonts w:ascii="Calibri" w:eastAsia="SimSun" w:hAnsi="Calibri" w:cs="Calibri"/>
                <w:color w:val="000000" w:themeColor="text1"/>
                <w:sz w:val="22"/>
                <w:lang w:val="en-US" w:eastAsia="zh-CN"/>
              </w:rPr>
            </w:pPr>
            <w:r>
              <w:rPr>
                <w:rFonts w:ascii="Calibri" w:eastAsia="SimSun" w:hAnsi="Calibri" w:cs="Calibri" w:hint="eastAsia"/>
                <w:color w:val="000000" w:themeColor="text1"/>
                <w:sz w:val="22"/>
                <w:lang w:val="en-US" w:eastAsia="zh-CN"/>
              </w:rPr>
              <w:t>•</w:t>
            </w:r>
            <w:r>
              <w:rPr>
                <w:rFonts w:ascii="Calibri" w:eastAsia="SimSun" w:hAnsi="Calibri" w:cs="Calibri" w:hint="eastAsia"/>
                <w:color w:val="000000" w:themeColor="text1"/>
                <w:sz w:val="22"/>
                <w:lang w:val="en-US" w:eastAsia="zh-CN"/>
              </w:rPr>
              <w:t>Short control signaling mechanism can be used for only part of PSFCH occasion. FFS how to determine part of PSFCH occasions.</w:t>
            </w:r>
          </w:p>
        </w:tc>
      </w:tr>
      <w:tr w:rsidR="00EE4559" w14:paraId="796470D5" w14:textId="77777777" w:rsidTr="006B2419">
        <w:tc>
          <w:tcPr>
            <w:tcW w:w="1555" w:type="dxa"/>
          </w:tcPr>
          <w:p w14:paraId="20FA3AA7" w14:textId="77777777" w:rsidR="00EE4559" w:rsidRDefault="00EE4559" w:rsidP="00EE4559">
            <w:pPr>
              <w:pStyle w:val="0Maintext"/>
              <w:spacing w:after="0" w:afterAutospacing="0"/>
              <w:ind w:firstLine="0"/>
              <w:rPr>
                <w:rFonts w:eastAsia="MS Mincho"/>
                <w:lang w:eastAsia="ja-JP"/>
              </w:rPr>
            </w:pPr>
            <w:r>
              <w:rPr>
                <w:rFonts w:eastAsiaTheme="minorEastAsia" w:hint="eastAsia"/>
                <w:lang w:eastAsia="zh-CN"/>
              </w:rPr>
              <w:t>Sharp</w:t>
            </w:r>
          </w:p>
        </w:tc>
        <w:tc>
          <w:tcPr>
            <w:tcW w:w="8076" w:type="dxa"/>
          </w:tcPr>
          <w:p w14:paraId="3AA8D0F1" w14:textId="77777777" w:rsidR="00EE4559" w:rsidRDefault="00EE4559" w:rsidP="00EE4559">
            <w:pPr>
              <w:pStyle w:val="0Maintext"/>
              <w:spacing w:after="0" w:afterAutospacing="0"/>
              <w:ind w:firstLine="0"/>
              <w:rPr>
                <w:rFonts w:eastAsiaTheme="minorEastAsia"/>
                <w:lang w:eastAsia="zh-CN"/>
              </w:rPr>
            </w:pPr>
            <w:r>
              <w:rPr>
                <w:rFonts w:eastAsiaTheme="minorEastAsia" w:hint="eastAsia"/>
                <w:lang w:eastAsia="zh-CN"/>
              </w:rPr>
              <w:t>We agree with Apple on the concept of SCSt. We are fine with using Type 2A for transmission of S-SSB.</w:t>
            </w:r>
          </w:p>
        </w:tc>
      </w:tr>
      <w:tr w:rsidR="00EE4559" w14:paraId="259E9365" w14:textId="77777777" w:rsidTr="006B2419">
        <w:tc>
          <w:tcPr>
            <w:tcW w:w="1555" w:type="dxa"/>
          </w:tcPr>
          <w:p w14:paraId="1D499FEE" w14:textId="77777777" w:rsidR="00EE4559" w:rsidRDefault="00EE4559" w:rsidP="00EE4559">
            <w:pPr>
              <w:pStyle w:val="0Maintext"/>
              <w:spacing w:after="0" w:afterAutospacing="0"/>
              <w:ind w:firstLine="0"/>
              <w:rPr>
                <w:rFonts w:eastAsiaTheme="minorEastAsia"/>
                <w:lang w:eastAsia="zh-CN"/>
              </w:rPr>
            </w:pPr>
            <w:r>
              <w:rPr>
                <w:rFonts w:eastAsia="SimSun" w:hint="eastAsia"/>
                <w:lang w:val="en-US" w:eastAsia="zh-CN"/>
              </w:rPr>
              <w:t>Transsion</w:t>
            </w:r>
          </w:p>
        </w:tc>
        <w:tc>
          <w:tcPr>
            <w:tcW w:w="8076" w:type="dxa"/>
          </w:tcPr>
          <w:p w14:paraId="2C892D60" w14:textId="77777777" w:rsidR="00EE4559" w:rsidRDefault="00EE4559" w:rsidP="00EE4559">
            <w:pPr>
              <w:pStyle w:val="0Maintext"/>
              <w:spacing w:after="0" w:afterAutospacing="0"/>
              <w:ind w:firstLine="0"/>
              <w:rPr>
                <w:rFonts w:eastAsiaTheme="minorEastAsia"/>
                <w:lang w:eastAsia="zh-CN"/>
              </w:rPr>
            </w:pPr>
            <w:r>
              <w:rPr>
                <w:rFonts w:eastAsia="SimSun" w:hint="eastAsia"/>
                <w:lang w:val="en-US" w:eastAsia="zh-CN"/>
              </w:rPr>
              <w:t>We support this proposal.</w:t>
            </w:r>
          </w:p>
        </w:tc>
      </w:tr>
      <w:tr w:rsidR="00EE4559" w14:paraId="0AD469E4" w14:textId="77777777" w:rsidTr="006B2419">
        <w:tc>
          <w:tcPr>
            <w:tcW w:w="1555" w:type="dxa"/>
          </w:tcPr>
          <w:p w14:paraId="4F894329" w14:textId="77777777" w:rsidR="00EE4559" w:rsidRDefault="00EE4559" w:rsidP="00EE4559">
            <w:pPr>
              <w:pStyle w:val="0Maintext"/>
              <w:spacing w:after="0" w:afterAutospacing="0"/>
              <w:ind w:firstLine="0"/>
              <w:rPr>
                <w:rFonts w:eastAsia="SimSun"/>
                <w:lang w:val="en-US" w:eastAsia="zh-CN"/>
              </w:rPr>
            </w:pPr>
            <w:r>
              <w:t>Ericsson</w:t>
            </w:r>
          </w:p>
        </w:tc>
        <w:tc>
          <w:tcPr>
            <w:tcW w:w="8076" w:type="dxa"/>
          </w:tcPr>
          <w:p w14:paraId="5FE261F2" w14:textId="77777777" w:rsidR="00EE4559" w:rsidRDefault="00EE4559" w:rsidP="00EE4559">
            <w:pPr>
              <w:pStyle w:val="0Maintext"/>
              <w:spacing w:after="0" w:afterAutospacing="0"/>
              <w:ind w:firstLine="0"/>
              <w:rPr>
                <w:rFonts w:eastAsia="SimSun"/>
                <w:lang w:val="en-US" w:eastAsia="zh-CN"/>
              </w:rPr>
            </w:pPr>
            <w:r>
              <w:t>Similar to other companies, we are supportive of having Type 2A LBT for S-SSB as baseline following the procedure for discovery burst in NR-U.</w:t>
            </w:r>
          </w:p>
        </w:tc>
      </w:tr>
      <w:tr w:rsidR="00EE4559" w14:paraId="66841254" w14:textId="77777777" w:rsidTr="006B2419">
        <w:tc>
          <w:tcPr>
            <w:tcW w:w="1555" w:type="dxa"/>
          </w:tcPr>
          <w:p w14:paraId="11EF15AA" w14:textId="77777777" w:rsidR="00EE4559" w:rsidRDefault="00EE4559" w:rsidP="00EE4559">
            <w:pPr>
              <w:pStyle w:val="0Maintext"/>
              <w:spacing w:after="0" w:afterAutospacing="0"/>
              <w:ind w:firstLine="0"/>
            </w:pPr>
            <w:r>
              <w:rPr>
                <w:rFonts w:hint="eastAsia"/>
              </w:rPr>
              <w:t>I</w:t>
            </w:r>
            <w:r>
              <w:t>TL</w:t>
            </w:r>
          </w:p>
        </w:tc>
        <w:tc>
          <w:tcPr>
            <w:tcW w:w="8076" w:type="dxa"/>
          </w:tcPr>
          <w:p w14:paraId="1C1ED953" w14:textId="77777777" w:rsidR="00EE4559" w:rsidRDefault="00EE4559" w:rsidP="00EE4559">
            <w:pPr>
              <w:pStyle w:val="0Maintext"/>
              <w:spacing w:after="0" w:afterAutospacing="0"/>
              <w:ind w:firstLine="0"/>
            </w:pPr>
            <w:r>
              <w:rPr>
                <w:rFonts w:eastAsiaTheme="minorEastAsia" w:hint="eastAsia"/>
                <w:lang w:eastAsia="zh-CN"/>
              </w:rPr>
              <w:t>W</w:t>
            </w:r>
            <w:r>
              <w:rPr>
                <w:rFonts w:eastAsiaTheme="minorEastAsia"/>
                <w:lang w:eastAsia="zh-CN"/>
              </w:rPr>
              <w:t>e support the proposal</w:t>
            </w:r>
          </w:p>
        </w:tc>
      </w:tr>
      <w:tr w:rsidR="00EE4559" w14:paraId="54F1544B" w14:textId="77777777" w:rsidTr="006B2419">
        <w:tc>
          <w:tcPr>
            <w:tcW w:w="1555" w:type="dxa"/>
          </w:tcPr>
          <w:p w14:paraId="73BFFDCC" w14:textId="77777777" w:rsidR="00EE4559" w:rsidRDefault="00EE4559" w:rsidP="00EE4559">
            <w:pPr>
              <w:pStyle w:val="0Maintext"/>
              <w:spacing w:after="0" w:afterAutospacing="0"/>
              <w:ind w:firstLine="0"/>
            </w:pPr>
            <w:r>
              <w:rPr>
                <w:rFonts w:eastAsiaTheme="minorEastAsia"/>
                <w:lang w:eastAsia="zh-CN"/>
              </w:rPr>
              <w:t>Fraunhofer</w:t>
            </w:r>
          </w:p>
        </w:tc>
        <w:tc>
          <w:tcPr>
            <w:tcW w:w="8076" w:type="dxa"/>
          </w:tcPr>
          <w:p w14:paraId="277880C9" w14:textId="77777777" w:rsidR="00EE4559" w:rsidRDefault="00EE4559" w:rsidP="00EE4559">
            <w:pPr>
              <w:pStyle w:val="0Maintext"/>
              <w:spacing w:after="0" w:afterAutospacing="0"/>
              <w:ind w:firstLine="0"/>
              <w:rPr>
                <w:rFonts w:eastAsiaTheme="minorEastAsia"/>
                <w:lang w:eastAsia="zh-CN"/>
              </w:rPr>
            </w:pPr>
            <w:r>
              <w:rPr>
                <w:rFonts w:eastAsiaTheme="minorEastAsia"/>
                <w:lang w:eastAsia="zh-CN"/>
              </w:rPr>
              <w:t>We agree with the FL’s proposal.</w:t>
            </w:r>
          </w:p>
        </w:tc>
      </w:tr>
      <w:tr w:rsidR="00EE4559" w14:paraId="492B94F2" w14:textId="77777777" w:rsidTr="006B2419">
        <w:tc>
          <w:tcPr>
            <w:tcW w:w="1555" w:type="dxa"/>
          </w:tcPr>
          <w:p w14:paraId="493BA0B4" w14:textId="77777777" w:rsidR="00EE4559" w:rsidRDefault="00EE4559" w:rsidP="00EE4559">
            <w:pPr>
              <w:pStyle w:val="0Maintext"/>
              <w:spacing w:after="0" w:afterAutospacing="0"/>
              <w:ind w:firstLine="0"/>
              <w:rPr>
                <w:rFonts w:eastAsiaTheme="minorEastAsia"/>
                <w:lang w:eastAsia="zh-CN"/>
              </w:rPr>
            </w:pPr>
            <w:r>
              <w:rPr>
                <w:rFonts w:eastAsiaTheme="minorEastAsia" w:hint="eastAsia"/>
                <w:lang w:eastAsia="zh-CN"/>
              </w:rPr>
              <w:t>M</w:t>
            </w:r>
            <w:r>
              <w:rPr>
                <w:rFonts w:eastAsiaTheme="minorEastAsia"/>
                <w:lang w:eastAsia="zh-CN"/>
              </w:rPr>
              <w:t>ediaTek</w:t>
            </w:r>
          </w:p>
        </w:tc>
        <w:tc>
          <w:tcPr>
            <w:tcW w:w="8076" w:type="dxa"/>
          </w:tcPr>
          <w:p w14:paraId="0F9102F8" w14:textId="77777777" w:rsidR="00EE4559" w:rsidRDefault="00EE4559" w:rsidP="00EE4559">
            <w:pPr>
              <w:pStyle w:val="0Maintext"/>
              <w:spacing w:after="0" w:afterAutospacing="0"/>
              <w:ind w:firstLine="0"/>
              <w:rPr>
                <w:rFonts w:eastAsiaTheme="minorEastAsia"/>
                <w:lang w:eastAsia="zh-CN"/>
              </w:rPr>
            </w:pPr>
            <w:r>
              <w:rPr>
                <w:rFonts w:eastAsiaTheme="minorEastAsia" w:hint="eastAsia"/>
                <w:lang w:eastAsia="zh-CN"/>
              </w:rPr>
              <w:t>A</w:t>
            </w:r>
            <w:r>
              <w:rPr>
                <w:rFonts w:eastAsiaTheme="minorEastAsia"/>
                <w:lang w:eastAsia="zh-CN"/>
              </w:rPr>
              <w:t>gree with Apple’s comments.</w:t>
            </w:r>
          </w:p>
        </w:tc>
      </w:tr>
      <w:tr w:rsidR="00EE4559" w14:paraId="6A2958FA" w14:textId="77777777" w:rsidTr="006B2419">
        <w:tc>
          <w:tcPr>
            <w:tcW w:w="1555" w:type="dxa"/>
          </w:tcPr>
          <w:p w14:paraId="27FDF23D" w14:textId="77777777" w:rsidR="00EE4559" w:rsidRDefault="00EE4559" w:rsidP="00EE4559">
            <w:pPr>
              <w:pStyle w:val="0Maintext"/>
              <w:spacing w:after="0" w:afterAutospacing="0"/>
              <w:ind w:firstLine="0"/>
              <w:rPr>
                <w:rFonts w:eastAsiaTheme="minorEastAsia"/>
                <w:lang w:eastAsia="zh-CN"/>
              </w:rPr>
            </w:pPr>
            <w:r>
              <w:rPr>
                <w:rFonts w:eastAsiaTheme="minorEastAsia"/>
                <w:lang w:eastAsia="zh-CN"/>
              </w:rPr>
              <w:t>Lenovo</w:t>
            </w:r>
          </w:p>
        </w:tc>
        <w:tc>
          <w:tcPr>
            <w:tcW w:w="8076" w:type="dxa"/>
          </w:tcPr>
          <w:p w14:paraId="5442DE55" w14:textId="14FFBF4A" w:rsidR="00EE4559" w:rsidRDefault="00EE4559" w:rsidP="00EE4559">
            <w:pPr>
              <w:pStyle w:val="0Maintext"/>
              <w:spacing w:after="0" w:afterAutospacing="0"/>
              <w:ind w:firstLine="0"/>
              <w:rPr>
                <w:rFonts w:eastAsiaTheme="minorEastAsia"/>
                <w:lang w:eastAsia="zh-CN"/>
              </w:rPr>
            </w:pPr>
            <w:r>
              <w:rPr>
                <w:rFonts w:eastAsiaTheme="minorEastAsia"/>
                <w:lang w:eastAsia="zh-CN"/>
              </w:rPr>
              <w:t xml:space="preserve">We think the following needs further clarification and elaboration: </w:t>
            </w:r>
            <w:r w:rsidR="00D01D0D">
              <w:rPr>
                <w:rFonts w:eastAsiaTheme="minorEastAsia"/>
                <w:lang w:eastAsia="zh-CN"/>
              </w:rPr>
              <w:t>“</w:t>
            </w:r>
            <w:r w:rsidRPr="00732D6D">
              <w:rPr>
                <w:rFonts w:ascii="Calibri" w:hAnsi="Calibri" w:cs="Calibri" w:hint="eastAsia"/>
                <w:sz w:val="22"/>
                <w:lang w:val="en-US"/>
              </w:rPr>
              <w:t>where the total SCSt duration is at most 1ms and the combined duty cycle is at most 1/20</w:t>
            </w:r>
            <w:r w:rsidR="00D01D0D">
              <w:rPr>
                <w:rFonts w:eastAsiaTheme="minorEastAsia"/>
                <w:lang w:eastAsia="zh-CN"/>
              </w:rPr>
              <w:t>”</w:t>
            </w:r>
          </w:p>
          <w:p w14:paraId="24584A5B" w14:textId="16976470" w:rsidR="00EE4559" w:rsidRDefault="00EE4559" w:rsidP="00EE4559">
            <w:pPr>
              <w:pStyle w:val="0Maintext"/>
              <w:spacing w:after="0" w:afterAutospacing="0"/>
              <w:ind w:firstLine="0"/>
              <w:rPr>
                <w:rFonts w:eastAsiaTheme="minorEastAsia"/>
                <w:lang w:eastAsia="zh-CN"/>
              </w:rPr>
            </w:pPr>
            <w:r>
              <w:rPr>
                <w:rFonts w:eastAsiaTheme="minorEastAsia"/>
                <w:lang w:eastAsia="zh-CN"/>
              </w:rPr>
              <w:t xml:space="preserve">It is unclear what the total SCSt duration limit of 1 ms should achieve. Stating </w:t>
            </w:r>
            <w:r w:rsidR="00D01D0D">
              <w:rPr>
                <w:rFonts w:eastAsiaTheme="minorEastAsia"/>
                <w:lang w:eastAsia="zh-CN"/>
              </w:rPr>
              <w:t>“</w:t>
            </w:r>
            <w:r>
              <w:rPr>
                <w:rFonts w:eastAsiaTheme="minorEastAsia"/>
                <w:lang w:eastAsia="zh-CN"/>
              </w:rPr>
              <w:t>total</w:t>
            </w:r>
            <w:r w:rsidR="00D01D0D">
              <w:rPr>
                <w:rFonts w:eastAsiaTheme="minorEastAsia"/>
                <w:lang w:eastAsia="zh-CN"/>
              </w:rPr>
              <w:t>”</w:t>
            </w:r>
            <w:r>
              <w:rPr>
                <w:rFonts w:eastAsiaTheme="minorEastAsia"/>
                <w:lang w:eastAsia="zh-CN"/>
              </w:rPr>
              <w:t xml:space="preserve"> seems to imply that it doesn</w:t>
            </w:r>
            <w:r w:rsidR="00D01D0D">
              <w:rPr>
                <w:rFonts w:eastAsiaTheme="minorEastAsia"/>
                <w:lang w:eastAsia="zh-CN"/>
              </w:rPr>
              <w:t>’</w:t>
            </w:r>
            <w:r>
              <w:rPr>
                <w:rFonts w:eastAsiaTheme="minorEastAsia"/>
                <w:lang w:eastAsia="zh-CN"/>
              </w:rPr>
              <w:t xml:space="preserve">t address a single S-SSB or PSFCH transmission duration, on the other hand if all SCSt transmissions are being addressed, there needs to be a reference window, such as </w:t>
            </w:r>
            <w:r w:rsidR="00D01D0D">
              <w:rPr>
                <w:rFonts w:eastAsiaTheme="minorEastAsia"/>
                <w:lang w:eastAsia="zh-CN"/>
              </w:rPr>
              <w:t>“</w:t>
            </w:r>
            <w:r>
              <w:rPr>
                <w:rFonts w:eastAsiaTheme="minorEastAsia"/>
                <w:lang w:eastAsia="zh-CN"/>
              </w:rPr>
              <w:t>at most 1 ms in any 20 ms period</w:t>
            </w:r>
            <w:r w:rsidR="00D01D0D">
              <w:rPr>
                <w:rFonts w:eastAsiaTheme="minorEastAsia"/>
                <w:lang w:eastAsia="zh-CN"/>
              </w:rPr>
              <w:t>”</w:t>
            </w:r>
            <w:r>
              <w:rPr>
                <w:rFonts w:eastAsiaTheme="minorEastAsia"/>
                <w:lang w:eastAsia="zh-CN"/>
              </w:rPr>
              <w:t>. Without such clarification, the proposal is unclear and therefore not acceptable to us.</w:t>
            </w:r>
          </w:p>
        </w:tc>
      </w:tr>
    </w:tbl>
    <w:tbl>
      <w:tblPr>
        <w:tblStyle w:val="TableGrid2"/>
        <w:tblW w:w="9631" w:type="dxa"/>
        <w:tblLayout w:type="fixed"/>
        <w:tblLook w:val="04A0" w:firstRow="1" w:lastRow="0" w:firstColumn="1" w:lastColumn="0" w:noHBand="0" w:noVBand="1"/>
      </w:tblPr>
      <w:tblGrid>
        <w:gridCol w:w="1555"/>
        <w:gridCol w:w="8076"/>
      </w:tblGrid>
      <w:tr w:rsidR="00EE4559" w14:paraId="1621F233" w14:textId="77777777" w:rsidTr="006B2419">
        <w:tc>
          <w:tcPr>
            <w:tcW w:w="1555" w:type="dxa"/>
          </w:tcPr>
          <w:p w14:paraId="4F475971" w14:textId="77777777" w:rsidR="00EE4559" w:rsidRDefault="00EE4559" w:rsidP="00EE4559">
            <w:pPr>
              <w:pStyle w:val="0Maintext"/>
              <w:spacing w:after="0" w:afterAutospacing="0"/>
              <w:ind w:firstLine="0"/>
            </w:pPr>
            <w:r>
              <w:t>Futurewei</w:t>
            </w:r>
          </w:p>
        </w:tc>
        <w:tc>
          <w:tcPr>
            <w:tcW w:w="8076" w:type="dxa"/>
          </w:tcPr>
          <w:p w14:paraId="7F3F3018" w14:textId="77777777" w:rsidR="00EE4559" w:rsidRDefault="00EE4559" w:rsidP="00EE4559">
            <w:pPr>
              <w:pStyle w:val="0Maintext"/>
              <w:spacing w:after="0" w:afterAutospacing="0"/>
              <w:ind w:firstLine="0"/>
            </w:pPr>
            <w:r>
              <w:t>OK in principle.   Suggest the following change, to make clear that the restrictions are per UE:</w:t>
            </w:r>
          </w:p>
          <w:p w14:paraId="36250613" w14:textId="77777777" w:rsidR="00EE4559" w:rsidRPr="00EC21DD" w:rsidRDefault="00EE4559" w:rsidP="00EE4559">
            <w:pPr>
              <w:pStyle w:val="ListParagraph"/>
              <w:numPr>
                <w:ilvl w:val="0"/>
                <w:numId w:val="18"/>
              </w:numPr>
              <w:autoSpaceDE w:val="0"/>
              <w:autoSpaceDN w:val="0"/>
              <w:ind w:leftChars="0"/>
              <w:jc w:val="both"/>
              <w:rPr>
                <w:rFonts w:ascii="Calibri" w:hAnsi="Calibri" w:cs="Calibri"/>
                <w:sz w:val="22"/>
              </w:rPr>
            </w:pPr>
            <w:r w:rsidRPr="00732D6D">
              <w:rPr>
                <w:rFonts w:ascii="Calibri" w:hAnsi="Calibri" w:cs="Calibri" w:hint="eastAsia"/>
                <w:sz w:val="22"/>
                <w:lang w:val="en-US"/>
              </w:rPr>
              <w:t xml:space="preserve">Type 2A channel access procedure for </w:t>
            </w:r>
            <w:r w:rsidRPr="00732D6D">
              <w:rPr>
                <w:rFonts w:ascii="Calibri" w:hAnsi="Calibri" w:cs="Calibri" w:hint="eastAsia"/>
                <w:i/>
                <w:iCs/>
                <w:sz w:val="22"/>
                <w:lang w:val="en-US"/>
              </w:rPr>
              <w:t>Short Control Signaling transmissions</w:t>
            </w:r>
            <w:r w:rsidRPr="00732D6D">
              <w:rPr>
                <w:rFonts w:ascii="Calibri" w:hAnsi="Calibri" w:cs="Calibri" w:hint="eastAsia"/>
                <w:sz w:val="22"/>
                <w:lang w:val="en-US"/>
              </w:rPr>
              <w:t xml:space="preserve"> (SCSt) is applicable for S-SSB and PSFCH transmissions initiated by a UE without a shared channel occupancy, where the total SCSt duration</w:t>
            </w:r>
            <w:r>
              <w:rPr>
                <w:rFonts w:ascii="Calibri" w:hAnsi="Calibri" w:cs="Calibri"/>
                <w:sz w:val="22"/>
                <w:lang w:val="en-US"/>
              </w:rPr>
              <w:t xml:space="preserve"> </w:t>
            </w:r>
            <w:r w:rsidRPr="00157A93">
              <w:rPr>
                <w:rFonts w:ascii="Calibri" w:hAnsi="Calibri" w:cs="Calibri"/>
                <w:color w:val="FF0000"/>
                <w:sz w:val="22"/>
                <w:lang w:val="en-US"/>
              </w:rPr>
              <w:t>per UE</w:t>
            </w:r>
            <w:r w:rsidRPr="00157A93">
              <w:rPr>
                <w:rFonts w:ascii="Calibri" w:hAnsi="Calibri" w:cs="Calibri" w:hint="eastAsia"/>
                <w:color w:val="FF0000"/>
                <w:sz w:val="22"/>
                <w:lang w:val="en-US"/>
              </w:rPr>
              <w:t xml:space="preserve"> </w:t>
            </w:r>
            <w:r w:rsidRPr="00732D6D">
              <w:rPr>
                <w:rFonts w:ascii="Calibri" w:hAnsi="Calibri" w:cs="Calibri" w:hint="eastAsia"/>
                <w:sz w:val="22"/>
                <w:lang w:val="en-US"/>
              </w:rPr>
              <w:t>is at most 1ms and the combined duty cycle is at most 1/20.</w:t>
            </w:r>
          </w:p>
          <w:p w14:paraId="4566DC65" w14:textId="77777777" w:rsidR="00EE4559" w:rsidRDefault="00EE4559" w:rsidP="00EE4559">
            <w:pPr>
              <w:pStyle w:val="0Maintext"/>
              <w:spacing w:after="0" w:afterAutospacing="0"/>
              <w:ind w:firstLine="0"/>
            </w:pPr>
          </w:p>
        </w:tc>
      </w:tr>
      <w:tr w:rsidR="00EE4559" w14:paraId="740D7069" w14:textId="77777777" w:rsidTr="006B2419">
        <w:tc>
          <w:tcPr>
            <w:tcW w:w="1555" w:type="dxa"/>
          </w:tcPr>
          <w:p w14:paraId="2F554A65" w14:textId="77777777" w:rsidR="00EE4559" w:rsidRDefault="00EE4559" w:rsidP="00EE4559">
            <w:pPr>
              <w:pStyle w:val="0Maintext"/>
              <w:spacing w:after="0" w:afterAutospacing="0"/>
              <w:ind w:firstLine="0"/>
            </w:pPr>
            <w:r>
              <w:t>NSC</w:t>
            </w:r>
          </w:p>
        </w:tc>
        <w:tc>
          <w:tcPr>
            <w:tcW w:w="8076" w:type="dxa"/>
          </w:tcPr>
          <w:p w14:paraId="7613E38C" w14:textId="77777777" w:rsidR="00EE4559" w:rsidRDefault="00EE4559" w:rsidP="00EE4559">
            <w:pPr>
              <w:pStyle w:val="0Maintext"/>
              <w:spacing w:after="0" w:afterAutospacing="0"/>
              <w:ind w:firstLine="0"/>
            </w:pPr>
            <w:r>
              <w:t>Support SCSe for S-SSB.</w:t>
            </w:r>
          </w:p>
        </w:tc>
      </w:tr>
      <w:tr w:rsidR="00F7247F" w:rsidRPr="00860952" w14:paraId="79F8D685" w14:textId="77777777" w:rsidTr="00F7247F">
        <w:tc>
          <w:tcPr>
            <w:tcW w:w="1555" w:type="dxa"/>
          </w:tcPr>
          <w:p w14:paraId="77B847D4" w14:textId="77777777" w:rsidR="00F7247F" w:rsidRDefault="00F7247F" w:rsidP="006B2419">
            <w:pPr>
              <w:pStyle w:val="0Maintext"/>
              <w:spacing w:after="0" w:afterAutospacing="0"/>
              <w:ind w:firstLine="0"/>
            </w:pPr>
            <w:r w:rsidRPr="00DE47F8">
              <w:t>Huawei, HiSilicon</w:t>
            </w:r>
          </w:p>
        </w:tc>
        <w:tc>
          <w:tcPr>
            <w:tcW w:w="8076" w:type="dxa"/>
          </w:tcPr>
          <w:p w14:paraId="73A88055" w14:textId="77777777" w:rsidR="00F7247F" w:rsidRDefault="00F7247F" w:rsidP="006B2419">
            <w:pPr>
              <w:pStyle w:val="0Maintext"/>
              <w:spacing w:after="0" w:afterAutospacing="0"/>
              <w:ind w:firstLine="0"/>
              <w:rPr>
                <w:rFonts w:eastAsiaTheme="minorEastAsia"/>
                <w:lang w:eastAsia="zh-CN"/>
              </w:rPr>
            </w:pPr>
            <w:r>
              <w:rPr>
                <w:rFonts w:eastAsiaTheme="minorEastAsia"/>
                <w:lang w:eastAsia="zh-CN"/>
              </w:rPr>
              <w:t xml:space="preserve">We agree Type 2A channel access procedure should be performed before Short Control Signalling Tranmissmission </w:t>
            </w:r>
            <w:r w:rsidRPr="008A0E09">
              <w:rPr>
                <w:rFonts w:eastAsiaTheme="minorEastAsia"/>
                <w:lang w:eastAsia="zh-CN"/>
              </w:rPr>
              <w:t>(SCSt)</w:t>
            </w:r>
            <w:r>
              <w:rPr>
                <w:rFonts w:eastAsiaTheme="minorEastAsia"/>
                <w:lang w:eastAsia="zh-CN"/>
              </w:rPr>
              <w:t xml:space="preserve">. However, we don’t support </w:t>
            </w:r>
            <w:r w:rsidRPr="008A0E09">
              <w:rPr>
                <w:rFonts w:eastAsiaTheme="minorEastAsia"/>
                <w:lang w:eastAsia="zh-CN"/>
              </w:rPr>
              <w:t>SCSt is applicable for PSFCH</w:t>
            </w:r>
            <w:r>
              <w:rPr>
                <w:rFonts w:eastAsiaTheme="minorEastAsia"/>
                <w:lang w:eastAsia="zh-CN"/>
              </w:rPr>
              <w:t>, the reasons are given as follow,</w:t>
            </w:r>
          </w:p>
          <w:p w14:paraId="22502182" w14:textId="77777777" w:rsidR="00F7247F" w:rsidRDefault="00F7247F">
            <w:pPr>
              <w:pStyle w:val="0Maintext"/>
              <w:numPr>
                <w:ilvl w:val="0"/>
                <w:numId w:val="49"/>
              </w:numPr>
              <w:spacing w:after="0" w:afterAutospacing="0"/>
              <w:rPr>
                <w:rFonts w:eastAsiaTheme="minorEastAsia"/>
                <w:lang w:eastAsia="zh-CN"/>
              </w:rPr>
            </w:pPr>
            <w:r>
              <w:rPr>
                <w:rFonts w:eastAsiaTheme="minorEastAsia" w:hint="eastAsia"/>
                <w:lang w:eastAsia="zh-CN"/>
              </w:rPr>
              <w:t>N</w:t>
            </w:r>
            <w:r w:rsidRPr="001A4715">
              <w:rPr>
                <w:rFonts w:eastAsiaTheme="minorEastAsia"/>
                <w:lang w:eastAsia="zh-CN"/>
              </w:rPr>
              <w:t>ot all PSFCH</w:t>
            </w:r>
            <w:r>
              <w:rPr>
                <w:rFonts w:eastAsiaTheme="minorEastAsia"/>
                <w:lang w:eastAsia="zh-CN"/>
              </w:rPr>
              <w:t xml:space="preserve"> configurations</w:t>
            </w:r>
            <w:r w:rsidRPr="001A4715">
              <w:rPr>
                <w:rFonts w:eastAsiaTheme="minorEastAsia"/>
                <w:lang w:eastAsia="zh-CN"/>
              </w:rPr>
              <w:t xml:space="preserve"> meet regulatory requirements</w:t>
            </w:r>
            <w:r>
              <w:rPr>
                <w:rFonts w:eastAsiaTheme="minorEastAsia"/>
                <w:lang w:eastAsia="zh-CN"/>
              </w:rPr>
              <w:t xml:space="preserve">, include requirements for the duty cycle and duration </w:t>
            </w:r>
            <w:r w:rsidRPr="001A4715">
              <w:rPr>
                <w:rFonts w:eastAsiaTheme="minorEastAsia"/>
                <w:lang w:eastAsia="zh-CN"/>
              </w:rPr>
              <w:t>.</w:t>
            </w:r>
            <w:r>
              <w:rPr>
                <w:rFonts w:eastAsiaTheme="minorEastAsia"/>
                <w:lang w:eastAsia="zh-CN"/>
              </w:rPr>
              <w:t xml:space="preserve"> </w:t>
            </w:r>
            <w:r w:rsidRPr="00F50D79">
              <w:rPr>
                <w:rFonts w:eastAsiaTheme="minorEastAsia"/>
                <w:lang w:eastAsia="zh-CN"/>
              </w:rPr>
              <w:t xml:space="preserve">For example, when periodicity of PSFCH =1, SCS=15kHz, the total duration is 7.15ms which is lager than </w:t>
            </w:r>
            <w:r>
              <w:rPr>
                <w:rFonts w:eastAsiaTheme="minorEastAsia"/>
                <w:lang w:eastAsia="zh-CN"/>
              </w:rPr>
              <w:t>2.5</w:t>
            </w:r>
            <w:r w:rsidRPr="00F50D79">
              <w:rPr>
                <w:rFonts w:eastAsiaTheme="minorEastAsia"/>
                <w:lang w:eastAsia="zh-CN"/>
              </w:rPr>
              <w:t xml:space="preserve">ms required by </w:t>
            </w:r>
            <w:r>
              <w:rPr>
                <w:rFonts w:eastAsiaTheme="minorEastAsia"/>
                <w:lang w:eastAsia="zh-CN"/>
              </w:rPr>
              <w:t>regulation</w:t>
            </w:r>
            <w:r w:rsidRPr="00F50D79">
              <w:rPr>
                <w:rFonts w:eastAsiaTheme="minorEastAsia"/>
                <w:lang w:eastAsia="zh-CN"/>
              </w:rPr>
              <w:t>.</w:t>
            </w:r>
          </w:p>
          <w:p w14:paraId="77224FF7" w14:textId="77777777" w:rsidR="00F7247F" w:rsidRDefault="00F7247F">
            <w:pPr>
              <w:pStyle w:val="0Maintext"/>
              <w:numPr>
                <w:ilvl w:val="0"/>
                <w:numId w:val="49"/>
              </w:numPr>
              <w:spacing w:after="0" w:afterAutospacing="0"/>
              <w:rPr>
                <w:rFonts w:eastAsiaTheme="minorEastAsia"/>
                <w:lang w:eastAsia="zh-CN"/>
              </w:rPr>
            </w:pPr>
            <w:r w:rsidRPr="001A4715">
              <w:rPr>
                <w:rFonts w:eastAsiaTheme="minorEastAsia"/>
                <w:lang w:eastAsia="zh-CN"/>
              </w:rPr>
              <w:t>If PSFCH only applies type 2A to access the channel, it will result in blockage on the high priority data transmission by low priority SL HARQ transmission.</w:t>
            </w:r>
          </w:p>
          <w:p w14:paraId="7A62AB77" w14:textId="77777777" w:rsidR="00F7247F" w:rsidRPr="001A4715" w:rsidRDefault="00F7247F">
            <w:pPr>
              <w:pStyle w:val="0Maintext"/>
              <w:numPr>
                <w:ilvl w:val="0"/>
                <w:numId w:val="49"/>
              </w:numPr>
              <w:spacing w:after="0" w:afterAutospacing="0"/>
              <w:rPr>
                <w:rFonts w:eastAsiaTheme="minorEastAsia"/>
                <w:lang w:eastAsia="zh-CN"/>
              </w:rPr>
            </w:pPr>
            <w:r>
              <w:rPr>
                <w:rFonts w:eastAsiaTheme="minorEastAsia" w:hint="eastAsia"/>
                <w:lang w:eastAsia="zh-CN"/>
              </w:rPr>
              <w:t>I</w:t>
            </w:r>
            <w:r>
              <w:rPr>
                <w:rFonts w:eastAsiaTheme="minorEastAsia"/>
                <w:lang w:eastAsia="zh-CN"/>
              </w:rPr>
              <w:t>n NR-U, the</w:t>
            </w:r>
            <w:r>
              <w:rPr>
                <w:rFonts w:eastAsiaTheme="minorEastAsia" w:hint="eastAsia"/>
                <w:lang w:eastAsia="zh-CN"/>
              </w:rPr>
              <w:t xml:space="preserve"> </w:t>
            </w:r>
            <w:r>
              <w:rPr>
                <w:rFonts w:eastAsiaTheme="minorEastAsia"/>
                <w:lang w:eastAsia="zh-CN"/>
              </w:rPr>
              <w:t xml:space="preserve">HARQ ffeedback is carried in </w:t>
            </w:r>
            <w:r>
              <w:rPr>
                <w:rFonts w:eastAsiaTheme="minorEastAsia" w:hint="eastAsia"/>
                <w:lang w:eastAsia="zh-CN"/>
              </w:rPr>
              <w:t xml:space="preserve">PUCCH </w:t>
            </w:r>
            <w:r>
              <w:rPr>
                <w:rFonts w:eastAsiaTheme="minorEastAsia"/>
                <w:lang w:eastAsia="zh-CN"/>
              </w:rPr>
              <w:t xml:space="preserve">which </w:t>
            </w:r>
            <w:r>
              <w:rPr>
                <w:rFonts w:eastAsiaTheme="minorEastAsia" w:hint="eastAsia"/>
                <w:lang w:eastAsia="zh-CN"/>
              </w:rPr>
              <w:t>can</w:t>
            </w:r>
            <w:r>
              <w:rPr>
                <w:rFonts w:eastAsiaTheme="minorEastAsia"/>
                <w:lang w:eastAsia="zh-CN"/>
              </w:rPr>
              <w:t xml:space="preserve">not be transmitted as </w:t>
            </w:r>
            <w:r w:rsidRPr="008A0E09">
              <w:rPr>
                <w:rFonts w:eastAsiaTheme="minorEastAsia"/>
                <w:lang w:eastAsia="zh-CN"/>
              </w:rPr>
              <w:t>Short Control Signaling</w:t>
            </w:r>
            <w:r>
              <w:rPr>
                <w:rFonts w:eastAsiaTheme="minorEastAsia"/>
                <w:lang w:eastAsia="zh-CN"/>
              </w:rPr>
              <w:t>.</w:t>
            </w:r>
          </w:p>
          <w:p w14:paraId="3658F46F" w14:textId="77777777" w:rsidR="00F7247F" w:rsidRPr="00991551" w:rsidRDefault="00F7247F" w:rsidP="006B2419">
            <w:pPr>
              <w:pStyle w:val="0Maintext"/>
              <w:spacing w:after="0" w:afterAutospacing="0"/>
              <w:ind w:firstLine="0"/>
              <w:rPr>
                <w:rFonts w:eastAsiaTheme="minorEastAsia"/>
                <w:lang w:eastAsia="zh-CN"/>
              </w:rPr>
            </w:pPr>
          </w:p>
          <w:p w14:paraId="0DA61813" w14:textId="77777777" w:rsidR="00F7247F" w:rsidRDefault="00F7247F" w:rsidP="006B2419">
            <w:pPr>
              <w:pStyle w:val="0Maintext"/>
              <w:spacing w:after="0" w:afterAutospacing="0"/>
              <w:ind w:firstLine="0"/>
            </w:pPr>
            <w:r>
              <w:t>We give some modifications based on the FL’ proposal, as follow,</w:t>
            </w:r>
          </w:p>
          <w:p w14:paraId="37F64AE6" w14:textId="77777777" w:rsidR="00F7247F" w:rsidRPr="00C65E36" w:rsidRDefault="00F7247F" w:rsidP="006B2419">
            <w:pPr>
              <w:autoSpaceDE w:val="0"/>
              <w:autoSpaceDN w:val="0"/>
              <w:spacing w:before="120"/>
              <w:jc w:val="both"/>
              <w:rPr>
                <w:rFonts w:ascii="Calibri" w:hAnsi="Calibri" w:cs="Calibri"/>
                <w:sz w:val="22"/>
              </w:rPr>
            </w:pPr>
            <w:r w:rsidRPr="00C65E36">
              <w:rPr>
                <w:rFonts w:ascii="Calibri" w:hAnsi="Calibri" w:cs="Calibri"/>
                <w:b/>
                <w:bCs/>
                <w:sz w:val="22"/>
                <w:highlight w:val="yellow"/>
              </w:rPr>
              <w:t xml:space="preserve">Proposal </w:t>
            </w:r>
            <w:r>
              <w:rPr>
                <w:rFonts w:ascii="Calibri" w:hAnsi="Calibri" w:cs="Calibri"/>
                <w:b/>
                <w:bCs/>
                <w:sz w:val="22"/>
                <w:highlight w:val="yellow"/>
              </w:rPr>
              <w:t>3</w:t>
            </w:r>
            <w:r w:rsidRPr="00C65E36">
              <w:rPr>
                <w:rFonts w:ascii="Calibri" w:hAnsi="Calibri" w:cs="Calibri"/>
                <w:b/>
                <w:bCs/>
                <w:sz w:val="22"/>
                <w:highlight w:val="yellow"/>
              </w:rPr>
              <w:t xml:space="preserve"> (I):</w:t>
            </w:r>
            <w:r w:rsidRPr="00C65E36">
              <w:rPr>
                <w:rFonts w:ascii="Calibri" w:hAnsi="Calibri" w:cs="Calibri"/>
                <w:b/>
                <w:bCs/>
                <w:sz w:val="22"/>
              </w:rPr>
              <w:t xml:space="preserve"> </w:t>
            </w:r>
          </w:p>
          <w:p w14:paraId="7EA423A8" w14:textId="77777777" w:rsidR="00F7247F" w:rsidRPr="00860952" w:rsidRDefault="00F7247F" w:rsidP="006B2419">
            <w:pPr>
              <w:pStyle w:val="ListParagraph"/>
              <w:numPr>
                <w:ilvl w:val="0"/>
                <w:numId w:val="18"/>
              </w:numPr>
              <w:autoSpaceDE w:val="0"/>
              <w:autoSpaceDN w:val="0"/>
              <w:ind w:leftChars="0"/>
              <w:jc w:val="both"/>
              <w:rPr>
                <w:rFonts w:ascii="Calibri" w:hAnsi="Calibri" w:cs="Calibri"/>
                <w:sz w:val="22"/>
              </w:rPr>
            </w:pPr>
            <w:r w:rsidRPr="00732D6D">
              <w:rPr>
                <w:rFonts w:ascii="Calibri" w:hAnsi="Calibri" w:cs="Calibri" w:hint="eastAsia"/>
                <w:sz w:val="22"/>
                <w:lang w:val="en-US"/>
              </w:rPr>
              <w:lastRenderedPageBreak/>
              <w:t xml:space="preserve">Type 2A channel access procedure for </w:t>
            </w:r>
            <w:r w:rsidRPr="00732D6D">
              <w:rPr>
                <w:rFonts w:ascii="Calibri" w:hAnsi="Calibri" w:cs="Calibri" w:hint="eastAsia"/>
                <w:i/>
                <w:iCs/>
                <w:sz w:val="22"/>
                <w:lang w:val="en-US"/>
              </w:rPr>
              <w:t>Short Control Signaling transmissions</w:t>
            </w:r>
            <w:r w:rsidRPr="00732D6D">
              <w:rPr>
                <w:rFonts w:ascii="Calibri" w:hAnsi="Calibri" w:cs="Calibri" w:hint="eastAsia"/>
                <w:sz w:val="22"/>
                <w:lang w:val="en-US"/>
              </w:rPr>
              <w:t xml:space="preserve"> (SCSt) is applicable for S-SSB</w:t>
            </w:r>
            <w:r w:rsidRPr="006C6AC9">
              <w:rPr>
                <w:rFonts w:ascii="Calibri" w:hAnsi="Calibri" w:cs="Calibri" w:hint="eastAsia"/>
                <w:strike/>
                <w:color w:val="FF0000"/>
                <w:sz w:val="22"/>
                <w:lang w:val="en-US"/>
              </w:rPr>
              <w:t xml:space="preserve"> </w:t>
            </w:r>
            <w:r w:rsidRPr="00F7247F">
              <w:rPr>
                <w:rFonts w:ascii="Calibri" w:hAnsi="Calibri" w:cs="Calibri" w:hint="eastAsia"/>
                <w:strike/>
                <w:color w:val="00B050"/>
                <w:sz w:val="22"/>
                <w:lang w:val="en-US"/>
              </w:rPr>
              <w:t>and PSFCH transmissions</w:t>
            </w:r>
            <w:r w:rsidRPr="00F7247F">
              <w:rPr>
                <w:rFonts w:ascii="Calibri" w:hAnsi="Calibri" w:cs="Calibri" w:hint="eastAsia"/>
                <w:color w:val="00B050"/>
                <w:sz w:val="22"/>
                <w:lang w:val="en-US"/>
              </w:rPr>
              <w:t xml:space="preserve"> </w:t>
            </w:r>
            <w:r w:rsidRPr="00732D6D">
              <w:rPr>
                <w:rFonts w:ascii="Calibri" w:hAnsi="Calibri" w:cs="Calibri" w:hint="eastAsia"/>
                <w:sz w:val="22"/>
                <w:lang w:val="en-US"/>
              </w:rPr>
              <w:t>initiated by a UE without a shared channel occupancy, where the total SCSt duration is at most 1ms and the combined duty cycle is at most 1/20.</w:t>
            </w:r>
          </w:p>
        </w:tc>
      </w:tr>
    </w:tbl>
    <w:p w14:paraId="3A04D9AB" w14:textId="77777777" w:rsidR="00EC21DD" w:rsidRPr="00EC21DD" w:rsidRDefault="00EC21DD" w:rsidP="00EC21DD">
      <w:pPr>
        <w:autoSpaceDE w:val="0"/>
        <w:autoSpaceDN w:val="0"/>
        <w:jc w:val="both"/>
        <w:rPr>
          <w:rFonts w:ascii="Calibri" w:hAnsi="Calibri" w:cs="Calibri"/>
          <w:sz w:val="22"/>
        </w:rPr>
      </w:pPr>
    </w:p>
    <w:p w14:paraId="2438FB87" w14:textId="6C4A4818" w:rsidR="008F5EAB" w:rsidRDefault="008F5EAB" w:rsidP="008F5EAB">
      <w:pPr>
        <w:pStyle w:val="Heading3"/>
      </w:pPr>
      <w:r>
        <w:t xml:space="preserve">FL Proposal for round </w:t>
      </w:r>
      <w:r w:rsidR="00EC21DD">
        <w:t>2</w:t>
      </w:r>
      <w:r>
        <w:t xml:space="preserve"> </w:t>
      </w:r>
      <w:r w:rsidR="002C72F4">
        <w:t>discussion</w:t>
      </w:r>
    </w:p>
    <w:p w14:paraId="3500675C" w14:textId="64B9BA72" w:rsidR="00E150BA" w:rsidRPr="00D567B9" w:rsidRDefault="00E150BA" w:rsidP="00E150BA">
      <w:pPr>
        <w:autoSpaceDE w:val="0"/>
        <w:autoSpaceDN w:val="0"/>
        <w:spacing w:before="120" w:after="120"/>
        <w:jc w:val="both"/>
        <w:rPr>
          <w:rFonts w:ascii="Calibri" w:hAnsi="Calibri" w:cs="Calibri"/>
          <w:sz w:val="22"/>
          <w:u w:val="single"/>
        </w:rPr>
      </w:pPr>
      <w:r w:rsidRPr="00D567B9">
        <w:rPr>
          <w:rFonts w:ascii="Calibri" w:hAnsi="Calibri" w:cs="Calibri"/>
          <w:sz w:val="22"/>
          <w:u w:val="single"/>
        </w:rPr>
        <w:t xml:space="preserve">FL </w:t>
      </w:r>
      <w:r>
        <w:rPr>
          <w:rFonts w:ascii="Calibri" w:hAnsi="Calibri" w:cs="Calibri"/>
          <w:sz w:val="22"/>
          <w:u w:val="single"/>
        </w:rPr>
        <w:t>responses</w:t>
      </w:r>
      <w:r w:rsidRPr="00D567B9">
        <w:rPr>
          <w:rFonts w:ascii="Calibri" w:hAnsi="Calibri" w:cs="Calibri"/>
          <w:sz w:val="22"/>
          <w:u w:val="single"/>
        </w:rPr>
        <w:t xml:space="preserve"> based on </w:t>
      </w:r>
      <w:r>
        <w:rPr>
          <w:rFonts w:ascii="Calibri" w:hAnsi="Calibri" w:cs="Calibri"/>
          <w:sz w:val="22"/>
          <w:u w:val="single"/>
        </w:rPr>
        <w:t>Round 1 inputs on Proposal 3 (I)</w:t>
      </w:r>
      <w:r w:rsidRPr="00D567B9">
        <w:rPr>
          <w:rFonts w:ascii="Calibri" w:hAnsi="Calibri" w:cs="Calibri"/>
          <w:sz w:val="22"/>
          <w:u w:val="single"/>
        </w:rPr>
        <w:t>:</w:t>
      </w:r>
    </w:p>
    <w:p w14:paraId="6B89F36F" w14:textId="56B2A58C" w:rsidR="00E150BA" w:rsidRDefault="00E150BA" w:rsidP="00E150BA">
      <w:pPr>
        <w:pStyle w:val="ListParagraph"/>
        <w:numPr>
          <w:ilvl w:val="0"/>
          <w:numId w:val="18"/>
        </w:numPr>
        <w:autoSpaceDE w:val="0"/>
        <w:autoSpaceDN w:val="0"/>
        <w:spacing w:before="120"/>
        <w:ind w:leftChars="0"/>
        <w:jc w:val="both"/>
        <w:rPr>
          <w:rFonts w:ascii="Calibri" w:hAnsi="Calibri" w:cs="Calibri"/>
          <w:sz w:val="22"/>
        </w:rPr>
      </w:pPr>
      <w:r>
        <w:rPr>
          <w:rFonts w:ascii="Calibri" w:hAnsi="Calibri" w:cs="Calibri"/>
          <w:sz w:val="22"/>
        </w:rPr>
        <w:t xml:space="preserve">Type 2A is applicable for S-SSB without a shared COT (satisfying the duty cycle constrains): </w:t>
      </w:r>
    </w:p>
    <w:p w14:paraId="1E85E266" w14:textId="31F56088" w:rsidR="00E150BA" w:rsidRDefault="00E150BA" w:rsidP="00E150BA">
      <w:pPr>
        <w:pStyle w:val="ListParagraph"/>
        <w:numPr>
          <w:ilvl w:val="1"/>
          <w:numId w:val="18"/>
        </w:numPr>
        <w:autoSpaceDE w:val="0"/>
        <w:autoSpaceDN w:val="0"/>
        <w:spacing w:before="120"/>
        <w:ind w:leftChars="0"/>
        <w:jc w:val="both"/>
        <w:rPr>
          <w:rFonts w:ascii="Calibri" w:hAnsi="Calibri" w:cs="Calibri"/>
          <w:sz w:val="22"/>
        </w:rPr>
      </w:pPr>
      <w:r>
        <w:rPr>
          <w:rFonts w:ascii="Calibri" w:hAnsi="Calibri" w:cs="Calibri"/>
          <w:sz w:val="22"/>
        </w:rPr>
        <w:t>IDCC, Qualcomm, Intel, Apple</w:t>
      </w:r>
      <w:r w:rsidR="00F94385">
        <w:rPr>
          <w:rFonts w:ascii="Calibri" w:hAnsi="Calibri" w:cs="Calibri"/>
          <w:sz w:val="22"/>
        </w:rPr>
        <w:t xml:space="preserve">, OPPO, CableLabs, LGE, DCM, Broadcom, Spreadtrum, Sony, CMCC, Panasonic, Nokia/NSB, vivo, </w:t>
      </w:r>
      <w:r w:rsidR="00912C83">
        <w:rPr>
          <w:rFonts w:ascii="Calibri" w:hAnsi="Calibri" w:cs="Calibri"/>
          <w:sz w:val="22"/>
        </w:rPr>
        <w:t xml:space="preserve">WILUS, </w:t>
      </w:r>
      <w:r w:rsidR="002C4120">
        <w:rPr>
          <w:rFonts w:ascii="Calibri" w:hAnsi="Calibri" w:cs="Calibri"/>
          <w:sz w:val="22"/>
        </w:rPr>
        <w:t xml:space="preserve">Samsung, NEC, ETRI, xiaomi, </w:t>
      </w:r>
      <w:r w:rsidR="00B36AF4">
        <w:rPr>
          <w:rFonts w:ascii="Calibri" w:hAnsi="Calibri" w:cs="Calibri"/>
          <w:sz w:val="22"/>
        </w:rPr>
        <w:t xml:space="preserve">CATT/GH, ZTE/SC, </w:t>
      </w:r>
      <w:r w:rsidR="00273728">
        <w:rPr>
          <w:rFonts w:ascii="Calibri" w:hAnsi="Calibri" w:cs="Calibri"/>
          <w:sz w:val="22"/>
        </w:rPr>
        <w:t xml:space="preserve">Sharp, Transsion, Ericsson, ITL, </w:t>
      </w:r>
      <w:r w:rsidR="00273728" w:rsidRPr="00273728">
        <w:rPr>
          <w:rFonts w:ascii="Calibri" w:hAnsi="Calibri" w:cs="Calibri"/>
          <w:sz w:val="22"/>
        </w:rPr>
        <w:t>Fraunhofer</w:t>
      </w:r>
      <w:r w:rsidR="00273728">
        <w:rPr>
          <w:rFonts w:ascii="Calibri" w:hAnsi="Calibri" w:cs="Calibri"/>
          <w:sz w:val="22"/>
        </w:rPr>
        <w:t xml:space="preserve">, MediaTek, </w:t>
      </w:r>
      <w:r w:rsidR="00273728" w:rsidRPr="00273728">
        <w:rPr>
          <w:rFonts w:ascii="Calibri" w:hAnsi="Calibri" w:cs="Calibri"/>
          <w:sz w:val="22"/>
        </w:rPr>
        <w:t>Futurewei</w:t>
      </w:r>
      <w:r w:rsidR="00273728">
        <w:rPr>
          <w:rFonts w:ascii="Calibri" w:hAnsi="Calibri" w:cs="Calibri"/>
          <w:sz w:val="22"/>
        </w:rPr>
        <w:t>, NSC, HW/HiSi</w:t>
      </w:r>
    </w:p>
    <w:p w14:paraId="7F99A3BD" w14:textId="7B3D92D7" w:rsidR="00E150BA" w:rsidRDefault="00E150BA" w:rsidP="00E150BA">
      <w:pPr>
        <w:pStyle w:val="ListParagraph"/>
        <w:numPr>
          <w:ilvl w:val="0"/>
          <w:numId w:val="18"/>
        </w:numPr>
        <w:autoSpaceDE w:val="0"/>
        <w:autoSpaceDN w:val="0"/>
        <w:spacing w:before="120"/>
        <w:ind w:leftChars="0"/>
        <w:jc w:val="both"/>
        <w:rPr>
          <w:rFonts w:ascii="Calibri" w:hAnsi="Calibri" w:cs="Calibri"/>
          <w:sz w:val="22"/>
        </w:rPr>
      </w:pPr>
      <w:r>
        <w:rPr>
          <w:rFonts w:ascii="Calibri" w:hAnsi="Calibri" w:cs="Calibri"/>
          <w:sz w:val="22"/>
        </w:rPr>
        <w:t>Type 2A is applicable for PSFCH without a shared COT (satisfying the duty cycle constrains):</w:t>
      </w:r>
    </w:p>
    <w:p w14:paraId="04374083" w14:textId="5CBC287C" w:rsidR="00E150BA" w:rsidRDefault="00E150BA" w:rsidP="00E150BA">
      <w:pPr>
        <w:pStyle w:val="ListParagraph"/>
        <w:numPr>
          <w:ilvl w:val="1"/>
          <w:numId w:val="18"/>
        </w:numPr>
        <w:autoSpaceDE w:val="0"/>
        <w:autoSpaceDN w:val="0"/>
        <w:spacing w:before="120"/>
        <w:ind w:leftChars="0"/>
        <w:jc w:val="both"/>
        <w:rPr>
          <w:rFonts w:ascii="Calibri" w:hAnsi="Calibri" w:cs="Calibri"/>
          <w:sz w:val="22"/>
        </w:rPr>
      </w:pPr>
      <w:r>
        <w:rPr>
          <w:rFonts w:ascii="Calibri" w:hAnsi="Calibri" w:cs="Calibri"/>
          <w:sz w:val="22"/>
        </w:rPr>
        <w:t xml:space="preserve">IDCC, Intel, </w:t>
      </w:r>
      <w:r w:rsidR="00F94385">
        <w:rPr>
          <w:rFonts w:ascii="Calibri" w:hAnsi="Calibri" w:cs="Calibri"/>
          <w:sz w:val="22"/>
        </w:rPr>
        <w:t xml:space="preserve">OPPO, [DCM], Panasonic, [Nokia/NSB], vivo, </w:t>
      </w:r>
      <w:r w:rsidR="002C4120">
        <w:rPr>
          <w:rFonts w:ascii="Calibri" w:hAnsi="Calibri" w:cs="Calibri"/>
          <w:sz w:val="22"/>
        </w:rPr>
        <w:t xml:space="preserve">Samsung, NEC, </w:t>
      </w:r>
      <w:r w:rsidR="00273728">
        <w:rPr>
          <w:rFonts w:ascii="Calibri" w:hAnsi="Calibri" w:cs="Calibri"/>
          <w:sz w:val="22"/>
        </w:rPr>
        <w:t xml:space="preserve">Transsion, ITL, </w:t>
      </w:r>
      <w:r w:rsidR="00273728" w:rsidRPr="00273728">
        <w:rPr>
          <w:rFonts w:ascii="Calibri" w:hAnsi="Calibri" w:cs="Calibri"/>
          <w:sz w:val="22"/>
        </w:rPr>
        <w:t>Fraunhofer</w:t>
      </w:r>
      <w:r w:rsidR="00273728">
        <w:rPr>
          <w:rFonts w:ascii="Calibri" w:hAnsi="Calibri" w:cs="Calibri"/>
          <w:sz w:val="22"/>
        </w:rPr>
        <w:t xml:space="preserve">, </w:t>
      </w:r>
      <w:r w:rsidR="00273728" w:rsidRPr="00273728">
        <w:rPr>
          <w:rFonts w:ascii="Calibri" w:hAnsi="Calibri" w:cs="Calibri"/>
          <w:sz w:val="22"/>
        </w:rPr>
        <w:t>Futurewei</w:t>
      </w:r>
    </w:p>
    <w:p w14:paraId="6546E061" w14:textId="4650C220" w:rsidR="00E150BA" w:rsidRDefault="00E150BA" w:rsidP="00E150BA">
      <w:pPr>
        <w:pStyle w:val="ListParagraph"/>
        <w:numPr>
          <w:ilvl w:val="0"/>
          <w:numId w:val="18"/>
        </w:numPr>
        <w:autoSpaceDE w:val="0"/>
        <w:autoSpaceDN w:val="0"/>
        <w:spacing w:before="120"/>
        <w:ind w:leftChars="0"/>
        <w:jc w:val="both"/>
        <w:rPr>
          <w:rFonts w:ascii="Calibri" w:hAnsi="Calibri" w:cs="Calibri"/>
          <w:sz w:val="22"/>
        </w:rPr>
      </w:pPr>
      <w:r>
        <w:rPr>
          <w:rFonts w:ascii="Calibri" w:hAnsi="Calibri" w:cs="Calibri"/>
          <w:sz w:val="22"/>
        </w:rPr>
        <w:t xml:space="preserve">For PSFCH transmission, it is very different from Uu PUCCH and PDCCH transmissions. Due to the nature of the SL slot structure, there is only one symbol duration to perform any LBT. By reusing a normal Type 1 LBT as in NR-U for HARQ reporting, companies expressed in their contributions that it is difficult to pass the LBT for PSFCH. Consequently, it will have impact to </w:t>
      </w:r>
      <w:r w:rsidR="00E80845">
        <w:rPr>
          <w:rFonts w:ascii="Calibri" w:hAnsi="Calibri" w:cs="Calibri"/>
          <w:sz w:val="22"/>
        </w:rPr>
        <w:t xml:space="preserve">the </w:t>
      </w:r>
      <w:r>
        <w:rPr>
          <w:rFonts w:ascii="Calibri" w:hAnsi="Calibri" w:cs="Calibri"/>
          <w:sz w:val="22"/>
        </w:rPr>
        <w:t xml:space="preserve">SL performance and </w:t>
      </w:r>
      <w:r w:rsidR="00E80845">
        <w:rPr>
          <w:rFonts w:ascii="Calibri" w:hAnsi="Calibri" w:cs="Calibri"/>
          <w:sz w:val="22"/>
        </w:rPr>
        <w:t>the overall system resource efficiency if re-transmission is constantly performed due to LBT failure for PSFCH. Therefore, some enhancement is needed.</w:t>
      </w:r>
      <w:r w:rsidR="00273728">
        <w:rPr>
          <w:rFonts w:ascii="Calibri" w:hAnsi="Calibri" w:cs="Calibri"/>
          <w:sz w:val="22"/>
        </w:rPr>
        <w:t xml:space="preserve"> Since there is a significant support for having Type 2A also for PSFCH, at least we should further study the need.</w:t>
      </w:r>
    </w:p>
    <w:p w14:paraId="4FBC2142" w14:textId="6545D50F" w:rsidR="00B36AF4" w:rsidRPr="0026302A" w:rsidRDefault="00E80845" w:rsidP="0026302A">
      <w:pPr>
        <w:pStyle w:val="ListParagraph"/>
        <w:numPr>
          <w:ilvl w:val="0"/>
          <w:numId w:val="18"/>
        </w:numPr>
        <w:autoSpaceDE w:val="0"/>
        <w:autoSpaceDN w:val="0"/>
        <w:spacing w:before="120"/>
        <w:ind w:leftChars="0"/>
        <w:jc w:val="both"/>
        <w:rPr>
          <w:rFonts w:ascii="Calibri" w:hAnsi="Calibri" w:cs="Calibri"/>
          <w:sz w:val="22"/>
        </w:rPr>
      </w:pPr>
      <w:r>
        <w:rPr>
          <w:rFonts w:ascii="Calibri" w:hAnsi="Calibri" w:cs="Calibri"/>
          <w:sz w:val="22"/>
        </w:rPr>
        <w:t>For the comment</w:t>
      </w:r>
      <w:r w:rsidR="00B36AF4">
        <w:rPr>
          <w:rFonts w:ascii="Calibri" w:hAnsi="Calibri" w:cs="Calibri"/>
          <w:sz w:val="22"/>
        </w:rPr>
        <w:t>s</w:t>
      </w:r>
      <w:r>
        <w:rPr>
          <w:rFonts w:ascii="Calibri" w:hAnsi="Calibri" w:cs="Calibri"/>
          <w:sz w:val="22"/>
        </w:rPr>
        <w:t xml:space="preserve"> on short control signalling is not used in NR-U, then it should be clarified where the existing duration and duty cycle constrains in NR-U came from (</w:t>
      </w:r>
      <w:r w:rsidR="00F94385">
        <w:rPr>
          <w:rFonts w:ascii="Calibri" w:hAnsi="Calibri" w:cs="Calibri"/>
          <w:sz w:val="22"/>
        </w:rPr>
        <w:t xml:space="preserve">where the transmission </w:t>
      </w:r>
      <w:r w:rsidRPr="00732D6D">
        <w:rPr>
          <w:rFonts w:ascii="Calibri" w:hAnsi="Calibri" w:cs="Calibri" w:hint="eastAsia"/>
          <w:sz w:val="22"/>
          <w:lang w:val="en-US"/>
        </w:rPr>
        <w:t>duration is at most 1ms and the duty cycle is at most 1/20</w:t>
      </w:r>
      <w:r>
        <w:rPr>
          <w:rFonts w:ascii="Calibri" w:hAnsi="Calibri" w:cs="Calibri"/>
          <w:sz w:val="22"/>
        </w:rPr>
        <w:t xml:space="preserve">) for UE to perform Type 2A to transmit discovery burst. During the discussion, it is </w:t>
      </w:r>
      <w:r w:rsidR="00F94385">
        <w:rPr>
          <w:rFonts w:ascii="Calibri" w:hAnsi="Calibri" w:cs="Calibri"/>
          <w:sz w:val="22"/>
        </w:rPr>
        <w:t>a</w:t>
      </w:r>
      <w:r>
        <w:rPr>
          <w:rFonts w:ascii="Calibri" w:hAnsi="Calibri" w:cs="Calibri"/>
          <w:sz w:val="22"/>
        </w:rPr>
        <w:t xml:space="preserve"> common understanding that this came from the ETSI short control signalling transmission requirement.</w:t>
      </w:r>
      <w:r w:rsidR="00B36AF4">
        <w:rPr>
          <w:rFonts w:ascii="Calibri" w:hAnsi="Calibri" w:cs="Calibri"/>
          <w:sz w:val="22"/>
        </w:rPr>
        <w:t xml:space="preserve"> Then this means in NR-U, SCSt is already supported with UE performing Type 2A channel access procedure. In my understanding, the SCSt exemption in FR2-2 allows the UE to access the channel without performing any LBT, which is different to NR-U.</w:t>
      </w:r>
      <w:r w:rsidR="0026302A">
        <w:rPr>
          <w:rFonts w:ascii="Calibri" w:hAnsi="Calibri" w:cs="Calibri"/>
          <w:sz w:val="22"/>
        </w:rPr>
        <w:t xml:space="preserve"> For now, I keep the original wording but noting a different formulation from Intel for the first bullet is proposed. If company prefers the formulation of SCSt from Intel in “Round_1”, please indicate and I can update accordingly if there is a large support.</w:t>
      </w:r>
    </w:p>
    <w:p w14:paraId="6ACA0428" w14:textId="3B3B2B99" w:rsidR="00FD61C8" w:rsidRDefault="00FD61C8" w:rsidP="00840D46">
      <w:pPr>
        <w:rPr>
          <w:lang w:eastAsia="x-none"/>
        </w:rPr>
      </w:pPr>
    </w:p>
    <w:p w14:paraId="31D6D3D6" w14:textId="2B782270" w:rsidR="00E150BA" w:rsidRDefault="00E150BA" w:rsidP="00840D46">
      <w:pPr>
        <w:rPr>
          <w:lang w:eastAsia="x-none"/>
        </w:rPr>
      </w:pPr>
    </w:p>
    <w:p w14:paraId="064A532D" w14:textId="0E040697" w:rsidR="00E150BA" w:rsidRPr="00C65E36" w:rsidRDefault="00E150BA" w:rsidP="00E150BA">
      <w:pPr>
        <w:autoSpaceDE w:val="0"/>
        <w:autoSpaceDN w:val="0"/>
        <w:spacing w:before="120"/>
        <w:jc w:val="both"/>
        <w:rPr>
          <w:rFonts w:ascii="Calibri" w:hAnsi="Calibri" w:cs="Calibri"/>
          <w:sz w:val="22"/>
        </w:rPr>
      </w:pPr>
      <w:r w:rsidRPr="00C65E36">
        <w:rPr>
          <w:rFonts w:ascii="Calibri" w:hAnsi="Calibri" w:cs="Calibri"/>
          <w:b/>
          <w:bCs/>
          <w:sz w:val="22"/>
          <w:highlight w:val="yellow"/>
        </w:rPr>
        <w:t xml:space="preserve">Proposal </w:t>
      </w:r>
      <w:r>
        <w:rPr>
          <w:rFonts w:ascii="Calibri" w:hAnsi="Calibri" w:cs="Calibri"/>
          <w:b/>
          <w:bCs/>
          <w:sz w:val="22"/>
          <w:highlight w:val="yellow"/>
        </w:rPr>
        <w:t>3</w:t>
      </w:r>
      <w:r w:rsidRPr="00C65E36">
        <w:rPr>
          <w:rFonts w:ascii="Calibri" w:hAnsi="Calibri" w:cs="Calibri"/>
          <w:b/>
          <w:bCs/>
          <w:sz w:val="22"/>
          <w:highlight w:val="yellow"/>
        </w:rPr>
        <w:t xml:space="preserve"> (I</w:t>
      </w:r>
      <w:r>
        <w:rPr>
          <w:rFonts w:ascii="Calibri" w:hAnsi="Calibri" w:cs="Calibri"/>
          <w:b/>
          <w:bCs/>
          <w:sz w:val="22"/>
          <w:highlight w:val="yellow"/>
        </w:rPr>
        <w:t>I</w:t>
      </w:r>
      <w:r w:rsidRPr="00C65E36">
        <w:rPr>
          <w:rFonts w:ascii="Calibri" w:hAnsi="Calibri" w:cs="Calibri"/>
          <w:b/>
          <w:bCs/>
          <w:sz w:val="22"/>
          <w:highlight w:val="yellow"/>
        </w:rPr>
        <w:t>):</w:t>
      </w:r>
      <w:r w:rsidRPr="00C65E36">
        <w:rPr>
          <w:rFonts w:ascii="Calibri" w:hAnsi="Calibri" w:cs="Calibri"/>
          <w:b/>
          <w:bCs/>
          <w:sz w:val="22"/>
        </w:rPr>
        <w:t xml:space="preserve"> </w:t>
      </w:r>
    </w:p>
    <w:p w14:paraId="6C65874A" w14:textId="7C4B074C" w:rsidR="00E150BA" w:rsidRPr="00F94385" w:rsidRDefault="00E150BA" w:rsidP="00E150BA">
      <w:pPr>
        <w:pStyle w:val="ListParagraph"/>
        <w:numPr>
          <w:ilvl w:val="0"/>
          <w:numId w:val="18"/>
        </w:numPr>
        <w:autoSpaceDE w:val="0"/>
        <w:autoSpaceDN w:val="0"/>
        <w:ind w:leftChars="0"/>
        <w:jc w:val="both"/>
        <w:rPr>
          <w:rFonts w:ascii="Calibri" w:hAnsi="Calibri" w:cs="Calibri"/>
          <w:sz w:val="22"/>
        </w:rPr>
      </w:pPr>
      <w:r w:rsidRPr="00732D6D">
        <w:rPr>
          <w:rFonts w:ascii="Calibri" w:hAnsi="Calibri" w:cs="Calibri" w:hint="eastAsia"/>
          <w:sz w:val="22"/>
          <w:lang w:val="en-US"/>
        </w:rPr>
        <w:t xml:space="preserve">Type 2A channel access procedure for </w:t>
      </w:r>
      <w:r w:rsidRPr="00732D6D">
        <w:rPr>
          <w:rFonts w:ascii="Calibri" w:hAnsi="Calibri" w:cs="Calibri" w:hint="eastAsia"/>
          <w:i/>
          <w:iCs/>
          <w:sz w:val="22"/>
          <w:lang w:val="en-US"/>
        </w:rPr>
        <w:t>Short Control Signaling transmissions</w:t>
      </w:r>
      <w:r w:rsidRPr="00732D6D">
        <w:rPr>
          <w:rFonts w:ascii="Calibri" w:hAnsi="Calibri" w:cs="Calibri" w:hint="eastAsia"/>
          <w:sz w:val="22"/>
          <w:lang w:val="en-US"/>
        </w:rPr>
        <w:t xml:space="preserve"> (SCSt) is applicable for S-SSB </w:t>
      </w:r>
      <w:r w:rsidRPr="00F94385">
        <w:rPr>
          <w:rFonts w:ascii="Calibri" w:hAnsi="Calibri" w:cs="Calibri" w:hint="eastAsia"/>
          <w:strike/>
          <w:color w:val="FF0000"/>
          <w:sz w:val="22"/>
          <w:lang w:val="en-US"/>
        </w:rPr>
        <w:t>and PSFCH</w:t>
      </w:r>
      <w:r w:rsidRPr="00F94385">
        <w:rPr>
          <w:rFonts w:ascii="Calibri" w:hAnsi="Calibri" w:cs="Calibri" w:hint="eastAsia"/>
          <w:color w:val="FF0000"/>
          <w:sz w:val="22"/>
          <w:lang w:val="en-US"/>
        </w:rPr>
        <w:t xml:space="preserve"> </w:t>
      </w:r>
      <w:r w:rsidRPr="00732D6D">
        <w:rPr>
          <w:rFonts w:ascii="Calibri" w:hAnsi="Calibri" w:cs="Calibri" w:hint="eastAsia"/>
          <w:sz w:val="22"/>
          <w:lang w:val="en-US"/>
        </w:rPr>
        <w:t xml:space="preserve">transmissions </w:t>
      </w:r>
      <w:r w:rsidRPr="00912C83">
        <w:rPr>
          <w:rFonts w:ascii="Calibri" w:hAnsi="Calibri" w:cs="Calibri" w:hint="eastAsia"/>
          <w:strike/>
          <w:color w:val="FF0000"/>
          <w:sz w:val="22"/>
          <w:lang w:val="en-US"/>
        </w:rPr>
        <w:t xml:space="preserve">initiated by </w:t>
      </w:r>
      <w:r w:rsidR="00912C83" w:rsidRPr="00912C83">
        <w:rPr>
          <w:rFonts w:ascii="Calibri" w:hAnsi="Calibri" w:cs="Calibri"/>
          <w:color w:val="FF0000"/>
          <w:sz w:val="22"/>
          <w:lang w:val="en-US"/>
        </w:rPr>
        <w:t>from</w:t>
      </w:r>
      <w:r w:rsidR="00912C83">
        <w:rPr>
          <w:rFonts w:ascii="Calibri" w:hAnsi="Calibri" w:cs="Calibri"/>
          <w:sz w:val="22"/>
          <w:lang w:val="en-US"/>
        </w:rPr>
        <w:t xml:space="preserve"> </w:t>
      </w:r>
      <w:r w:rsidRPr="00732D6D">
        <w:rPr>
          <w:rFonts w:ascii="Calibri" w:hAnsi="Calibri" w:cs="Calibri" w:hint="eastAsia"/>
          <w:sz w:val="22"/>
          <w:lang w:val="en-US"/>
        </w:rPr>
        <w:t xml:space="preserve">a UE without a shared channel occupancy, where the total SCSt duration </w:t>
      </w:r>
      <w:r w:rsidR="00273728" w:rsidRPr="00273728">
        <w:rPr>
          <w:rFonts w:ascii="Calibri" w:hAnsi="Calibri" w:cs="Calibri"/>
          <w:color w:val="FF0000"/>
          <w:sz w:val="22"/>
          <w:lang w:val="en-US"/>
        </w:rPr>
        <w:t>per UE</w:t>
      </w:r>
      <w:r w:rsidR="00273728">
        <w:rPr>
          <w:rFonts w:ascii="Calibri" w:hAnsi="Calibri" w:cs="Calibri"/>
          <w:sz w:val="22"/>
          <w:lang w:val="en-US"/>
        </w:rPr>
        <w:t xml:space="preserve"> </w:t>
      </w:r>
      <w:r w:rsidRPr="00732D6D">
        <w:rPr>
          <w:rFonts w:ascii="Calibri" w:hAnsi="Calibri" w:cs="Calibri" w:hint="eastAsia"/>
          <w:sz w:val="22"/>
          <w:lang w:val="en-US"/>
        </w:rPr>
        <w:t xml:space="preserve">is at most 1ms and the </w:t>
      </w:r>
      <w:r w:rsidRPr="00F94385">
        <w:rPr>
          <w:rFonts w:ascii="Calibri" w:hAnsi="Calibri" w:cs="Calibri" w:hint="eastAsia"/>
          <w:strike/>
          <w:color w:val="FF0000"/>
          <w:sz w:val="22"/>
          <w:lang w:val="en-US"/>
        </w:rPr>
        <w:t>combined</w:t>
      </w:r>
      <w:r w:rsidRPr="00F94385">
        <w:rPr>
          <w:rFonts w:ascii="Calibri" w:hAnsi="Calibri" w:cs="Calibri" w:hint="eastAsia"/>
          <w:color w:val="FF0000"/>
          <w:sz w:val="22"/>
          <w:lang w:val="en-US"/>
        </w:rPr>
        <w:t xml:space="preserve"> </w:t>
      </w:r>
      <w:r w:rsidRPr="00732D6D">
        <w:rPr>
          <w:rFonts w:ascii="Calibri" w:hAnsi="Calibri" w:cs="Calibri" w:hint="eastAsia"/>
          <w:sz w:val="22"/>
          <w:lang w:val="en-US"/>
        </w:rPr>
        <w:t>duty cycle is at most 1/20.</w:t>
      </w:r>
    </w:p>
    <w:p w14:paraId="4179925F" w14:textId="5DE1A096" w:rsidR="00F94385" w:rsidRPr="00F94385" w:rsidRDefault="00F94385" w:rsidP="00B36AF4">
      <w:pPr>
        <w:pStyle w:val="ListParagraph"/>
        <w:numPr>
          <w:ilvl w:val="0"/>
          <w:numId w:val="18"/>
        </w:numPr>
        <w:autoSpaceDE w:val="0"/>
        <w:autoSpaceDN w:val="0"/>
        <w:ind w:leftChars="0"/>
        <w:jc w:val="both"/>
        <w:rPr>
          <w:rFonts w:asciiTheme="minorHAnsi" w:hAnsiTheme="minorHAnsi" w:cstheme="minorHAnsi"/>
          <w:color w:val="FF0000"/>
          <w:sz w:val="22"/>
          <w:szCs w:val="22"/>
        </w:rPr>
      </w:pPr>
      <w:r w:rsidRPr="00F94385">
        <w:rPr>
          <w:rFonts w:asciiTheme="minorHAnsi" w:hAnsiTheme="minorHAnsi" w:cstheme="minorHAnsi"/>
          <w:color w:val="FF0000"/>
          <w:sz w:val="22"/>
          <w:szCs w:val="22"/>
          <w:lang w:val="en-US"/>
        </w:rPr>
        <w:t xml:space="preserve">FFS: </w:t>
      </w:r>
      <w:r w:rsidRPr="00F94385">
        <w:rPr>
          <w:rFonts w:asciiTheme="minorHAnsi" w:hAnsiTheme="minorHAnsi" w:cstheme="minorHAnsi"/>
          <w:color w:val="FF0000"/>
          <w:sz w:val="22"/>
          <w:szCs w:val="22"/>
        </w:rPr>
        <w:t>whether also PSFCH can be transmitted with Type-2A w/o shared channel occupancy</w:t>
      </w:r>
      <w:r w:rsidRPr="00F94385">
        <w:rPr>
          <w:rFonts w:asciiTheme="minorHAnsi" w:hAnsiTheme="minorHAnsi" w:cstheme="minorHAnsi"/>
          <w:color w:val="FF0000"/>
          <w:sz w:val="22"/>
          <w:szCs w:val="22"/>
          <w:lang w:val="en-US"/>
        </w:rPr>
        <w:t xml:space="preserve"> (with SCSt)</w:t>
      </w:r>
    </w:p>
    <w:p w14:paraId="349DB942" w14:textId="15AC724A" w:rsidR="00F94385" w:rsidRDefault="00F94385" w:rsidP="00F94385">
      <w:pPr>
        <w:pStyle w:val="ListParagraph"/>
        <w:numPr>
          <w:ilvl w:val="1"/>
          <w:numId w:val="18"/>
        </w:numPr>
        <w:autoSpaceDE w:val="0"/>
        <w:autoSpaceDN w:val="0"/>
        <w:ind w:leftChars="0"/>
        <w:jc w:val="both"/>
        <w:rPr>
          <w:rFonts w:asciiTheme="minorHAnsi" w:hAnsiTheme="minorHAnsi" w:cstheme="minorHAnsi"/>
          <w:color w:val="FF0000"/>
          <w:sz w:val="22"/>
          <w:szCs w:val="22"/>
        </w:rPr>
      </w:pPr>
      <w:r w:rsidRPr="00F94385">
        <w:rPr>
          <w:rFonts w:asciiTheme="minorHAnsi" w:hAnsiTheme="minorHAnsi" w:cstheme="minorHAnsi"/>
          <w:color w:val="FF0000"/>
          <w:sz w:val="22"/>
          <w:szCs w:val="22"/>
        </w:rPr>
        <w:t>FFS: how to consider limitations based on joint duty cycle or total transmission time</w:t>
      </w:r>
    </w:p>
    <w:p w14:paraId="13A92D8B" w14:textId="04545269" w:rsidR="00F94385" w:rsidRDefault="00F94385" w:rsidP="00F94385">
      <w:pPr>
        <w:pStyle w:val="ListParagraph"/>
        <w:numPr>
          <w:ilvl w:val="1"/>
          <w:numId w:val="18"/>
        </w:numPr>
        <w:autoSpaceDE w:val="0"/>
        <w:autoSpaceDN w:val="0"/>
        <w:ind w:leftChars="0"/>
        <w:jc w:val="both"/>
        <w:rPr>
          <w:rFonts w:asciiTheme="minorHAnsi" w:hAnsiTheme="minorHAnsi" w:cstheme="minorHAnsi"/>
          <w:color w:val="FF0000"/>
          <w:sz w:val="22"/>
          <w:szCs w:val="22"/>
        </w:rPr>
      </w:pPr>
      <w:r>
        <w:rPr>
          <w:rFonts w:asciiTheme="minorHAnsi" w:hAnsiTheme="minorHAnsi" w:cstheme="minorHAnsi"/>
          <w:color w:val="FF0000"/>
          <w:sz w:val="22"/>
          <w:szCs w:val="22"/>
        </w:rPr>
        <w:t>FFS: whether Type 2 channel access procedures can be applied to groupcast option 1</w:t>
      </w:r>
    </w:p>
    <w:p w14:paraId="31EA2C6F" w14:textId="37B44417" w:rsidR="002C4120" w:rsidRPr="00F94385" w:rsidRDefault="002C4120" w:rsidP="00F94385">
      <w:pPr>
        <w:pStyle w:val="ListParagraph"/>
        <w:numPr>
          <w:ilvl w:val="1"/>
          <w:numId w:val="18"/>
        </w:numPr>
        <w:autoSpaceDE w:val="0"/>
        <w:autoSpaceDN w:val="0"/>
        <w:ind w:leftChars="0"/>
        <w:jc w:val="both"/>
        <w:rPr>
          <w:rFonts w:asciiTheme="minorHAnsi" w:hAnsiTheme="minorHAnsi" w:cstheme="minorHAnsi"/>
          <w:color w:val="FF0000"/>
          <w:sz w:val="22"/>
          <w:szCs w:val="22"/>
        </w:rPr>
      </w:pPr>
      <w:r>
        <w:rPr>
          <w:rFonts w:asciiTheme="minorHAnsi" w:hAnsiTheme="minorHAnsi" w:cstheme="minorHAnsi"/>
          <w:color w:val="FF0000"/>
          <w:sz w:val="22"/>
          <w:szCs w:val="22"/>
        </w:rPr>
        <w:t xml:space="preserve">FFS: how to handle the case when the total SCSt duration and the duty cycle constrains are not </w:t>
      </w:r>
      <w:r w:rsidR="00B36AF4">
        <w:rPr>
          <w:rFonts w:asciiTheme="minorHAnsi" w:hAnsiTheme="minorHAnsi" w:cstheme="minorHAnsi"/>
          <w:color w:val="FF0000"/>
          <w:sz w:val="22"/>
          <w:szCs w:val="22"/>
        </w:rPr>
        <w:t>satisfied</w:t>
      </w:r>
    </w:p>
    <w:p w14:paraId="3ACDDAA9" w14:textId="6C45B851" w:rsidR="00E150BA" w:rsidRDefault="00E150BA" w:rsidP="00840D46">
      <w:pPr>
        <w:rPr>
          <w:lang w:eastAsia="x-none"/>
        </w:rPr>
      </w:pPr>
    </w:p>
    <w:tbl>
      <w:tblPr>
        <w:tblStyle w:val="TableGrid"/>
        <w:tblW w:w="9634" w:type="dxa"/>
        <w:tblLayout w:type="fixed"/>
        <w:tblLook w:val="04A0" w:firstRow="1" w:lastRow="0" w:firstColumn="1" w:lastColumn="0" w:noHBand="0" w:noVBand="1"/>
      </w:tblPr>
      <w:tblGrid>
        <w:gridCol w:w="1555"/>
        <w:gridCol w:w="8079"/>
      </w:tblGrid>
      <w:tr w:rsidR="00E150BA" w14:paraId="0DBE77E4" w14:textId="77777777" w:rsidTr="006B2419">
        <w:tc>
          <w:tcPr>
            <w:tcW w:w="1555" w:type="dxa"/>
          </w:tcPr>
          <w:p w14:paraId="6EDAE62A" w14:textId="77777777" w:rsidR="00E150BA" w:rsidRDefault="00E150BA" w:rsidP="006B2419">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8079" w:type="dxa"/>
          </w:tcPr>
          <w:p w14:paraId="5EBCD82F" w14:textId="77777777" w:rsidR="00E150BA" w:rsidRDefault="00E150BA" w:rsidP="006B2419">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961C87" w14:paraId="03AAA52C" w14:textId="77777777" w:rsidTr="006B2419">
        <w:tc>
          <w:tcPr>
            <w:tcW w:w="1555" w:type="dxa"/>
          </w:tcPr>
          <w:p w14:paraId="5F0A201F" w14:textId="2025A0C9" w:rsidR="00961C87" w:rsidRDefault="00961C87" w:rsidP="00961C87">
            <w:pPr>
              <w:pStyle w:val="0Maintext"/>
              <w:spacing w:after="0" w:afterAutospacing="0"/>
              <w:ind w:firstLine="0"/>
            </w:pPr>
            <w:r>
              <w:rPr>
                <w:rFonts w:hint="eastAsia"/>
                <w:lang w:eastAsia="ko-KR"/>
              </w:rPr>
              <w:t>LGE</w:t>
            </w:r>
          </w:p>
        </w:tc>
        <w:tc>
          <w:tcPr>
            <w:tcW w:w="8079" w:type="dxa"/>
          </w:tcPr>
          <w:p w14:paraId="227F2B3E" w14:textId="392D17C1" w:rsidR="00961C87" w:rsidRDefault="00961C87" w:rsidP="00961C87">
            <w:pPr>
              <w:pStyle w:val="0Maintext"/>
              <w:spacing w:after="0" w:afterAutospacing="0"/>
              <w:ind w:firstLine="0"/>
            </w:pPr>
            <w:r>
              <w:t xml:space="preserve">OK.   </w:t>
            </w:r>
          </w:p>
        </w:tc>
      </w:tr>
      <w:tr w:rsidR="00201A4C" w14:paraId="01A872B5" w14:textId="77777777" w:rsidTr="006B2419">
        <w:tc>
          <w:tcPr>
            <w:tcW w:w="1555" w:type="dxa"/>
          </w:tcPr>
          <w:p w14:paraId="448F2C93" w14:textId="02284505" w:rsidR="00201A4C" w:rsidRDefault="00201A4C" w:rsidP="00201A4C">
            <w:pPr>
              <w:pStyle w:val="0Maintext"/>
              <w:spacing w:after="0" w:afterAutospacing="0"/>
              <w:ind w:firstLine="0"/>
            </w:pPr>
            <w:r>
              <w:rPr>
                <w:rFonts w:eastAsiaTheme="minorEastAsia" w:hint="eastAsia"/>
                <w:lang w:eastAsia="zh-CN"/>
              </w:rPr>
              <w:t>O</w:t>
            </w:r>
            <w:r>
              <w:rPr>
                <w:rFonts w:eastAsiaTheme="minorEastAsia"/>
                <w:lang w:eastAsia="zh-CN"/>
              </w:rPr>
              <w:t>PPO</w:t>
            </w:r>
          </w:p>
        </w:tc>
        <w:tc>
          <w:tcPr>
            <w:tcW w:w="8079" w:type="dxa"/>
          </w:tcPr>
          <w:p w14:paraId="5DEC736F" w14:textId="77777777" w:rsidR="00201A4C" w:rsidRDefault="00201A4C" w:rsidP="00201A4C">
            <w:pPr>
              <w:pStyle w:val="0Maintext"/>
              <w:spacing w:after="0" w:afterAutospacing="0"/>
              <w:ind w:firstLine="0"/>
            </w:pPr>
            <w:r>
              <w:t xml:space="preserve">Generally, we are fine with the proposal.  One comment for clarification. </w:t>
            </w:r>
          </w:p>
          <w:p w14:paraId="53154005" w14:textId="7333294E" w:rsidR="00201A4C" w:rsidRDefault="00201A4C" w:rsidP="00201A4C">
            <w:pPr>
              <w:pStyle w:val="0Maintext"/>
              <w:spacing w:after="0" w:afterAutospacing="0"/>
              <w:ind w:firstLine="0"/>
              <w:rPr>
                <w:rFonts w:ascii="Calibri" w:hAnsi="Calibri" w:cs="Calibri"/>
                <w:sz w:val="22"/>
              </w:rPr>
            </w:pPr>
            <w:r>
              <w:rPr>
                <w:rFonts w:eastAsiaTheme="minorEastAsia"/>
                <w:lang w:eastAsia="zh-CN"/>
              </w:rPr>
              <w:t>It is unclear about “</w:t>
            </w:r>
            <w:r w:rsidRPr="00732D6D">
              <w:rPr>
                <w:rFonts w:ascii="Calibri" w:hAnsi="Calibri" w:cs="Calibri" w:hint="eastAsia"/>
                <w:sz w:val="22"/>
                <w:lang w:val="en-US"/>
              </w:rPr>
              <w:t xml:space="preserve">where the total SCSt duration </w:t>
            </w:r>
            <w:r w:rsidRPr="00273728">
              <w:rPr>
                <w:rFonts w:ascii="Calibri" w:hAnsi="Calibri" w:cs="Calibri"/>
                <w:color w:val="FF0000"/>
                <w:sz w:val="22"/>
                <w:lang w:val="en-US"/>
              </w:rPr>
              <w:t>per UE</w:t>
            </w:r>
            <w:r>
              <w:rPr>
                <w:rFonts w:ascii="Calibri" w:hAnsi="Calibri" w:cs="Calibri"/>
                <w:sz w:val="22"/>
                <w:lang w:val="en-US"/>
              </w:rPr>
              <w:t xml:space="preserve"> </w:t>
            </w:r>
            <w:r w:rsidRPr="00732D6D">
              <w:rPr>
                <w:rFonts w:ascii="Calibri" w:hAnsi="Calibri" w:cs="Calibri" w:hint="eastAsia"/>
                <w:sz w:val="22"/>
                <w:lang w:val="en-US"/>
              </w:rPr>
              <w:t xml:space="preserve">is at most 1ms and the </w:t>
            </w:r>
            <w:r w:rsidRPr="00F94385">
              <w:rPr>
                <w:rFonts w:ascii="Calibri" w:hAnsi="Calibri" w:cs="Calibri" w:hint="eastAsia"/>
                <w:strike/>
                <w:color w:val="FF0000"/>
                <w:sz w:val="22"/>
                <w:lang w:val="en-US"/>
              </w:rPr>
              <w:t>combined</w:t>
            </w:r>
            <w:r w:rsidRPr="00F94385">
              <w:rPr>
                <w:rFonts w:ascii="Calibri" w:hAnsi="Calibri" w:cs="Calibri" w:hint="eastAsia"/>
                <w:color w:val="FF0000"/>
                <w:sz w:val="22"/>
                <w:lang w:val="en-US"/>
              </w:rPr>
              <w:t xml:space="preserve"> </w:t>
            </w:r>
            <w:r w:rsidRPr="00732D6D">
              <w:rPr>
                <w:rFonts w:ascii="Calibri" w:hAnsi="Calibri" w:cs="Calibri" w:hint="eastAsia"/>
                <w:sz w:val="22"/>
                <w:lang w:val="en-US"/>
              </w:rPr>
              <w:t>duty cycle is at most 1/20</w:t>
            </w:r>
            <w:r>
              <w:rPr>
                <w:rFonts w:eastAsiaTheme="minorEastAsia"/>
                <w:lang w:eastAsia="zh-CN"/>
              </w:rPr>
              <w:t xml:space="preserve">”. This is copied from NR-U and follows the principle of the </w:t>
            </w:r>
            <w:r>
              <w:rPr>
                <w:rFonts w:ascii="Calibri" w:hAnsi="Calibri" w:cs="Calibri"/>
                <w:sz w:val="22"/>
              </w:rPr>
              <w:t xml:space="preserve">ETSI </w:t>
            </w:r>
            <w:r>
              <w:rPr>
                <w:rFonts w:ascii="Calibri" w:hAnsi="Calibri" w:cs="Calibri"/>
                <w:sz w:val="22"/>
              </w:rPr>
              <w:lastRenderedPageBreak/>
              <w:t xml:space="preserve">short control signalling transmission requirement. While in legacy NR SL, there are 1/2/4 S-SSB slots within a S-SSB period (160ms) for 15/30/60kHz SCS </w:t>
            </w:r>
            <w:r w:rsidR="00D01D0D">
              <w:rPr>
                <w:rFonts w:ascii="Calibri" w:hAnsi="Calibri" w:cs="Calibri"/>
                <w:sz w:val="22"/>
              </w:rPr>
              <w:pgNum/>
            </w:r>
            <w:r w:rsidR="00D01D0D">
              <w:rPr>
                <w:rFonts w:ascii="Calibri" w:hAnsi="Calibri" w:cs="Calibri"/>
                <w:sz w:val="22"/>
              </w:rPr>
              <w:t>espectively</w:t>
            </w:r>
            <w:r>
              <w:rPr>
                <w:rFonts w:ascii="Calibri" w:hAnsi="Calibri" w:cs="Calibri"/>
                <w:sz w:val="22"/>
              </w:rPr>
              <w:t xml:space="preserve">, and it is possible that these S-SSB slots are configured in adjacent slots. For example, 4 S-SSB slots are adjacent in time for 60kHz SCS. In this case, whether the duty cycle (1/20) can be seen as valid? To avoid such confusion, it is preferred to use the same description of ETSI short control signalling transmission requirement as follows: </w:t>
            </w:r>
          </w:p>
          <w:p w14:paraId="7145D05D" w14:textId="77777777" w:rsidR="00201A4C" w:rsidRDefault="00201A4C" w:rsidP="00201A4C">
            <w:pPr>
              <w:pStyle w:val="0Maintext"/>
              <w:spacing w:after="0" w:afterAutospacing="0"/>
              <w:ind w:firstLine="0"/>
              <w:rPr>
                <w:rFonts w:eastAsiaTheme="minorEastAsia"/>
                <w:lang w:eastAsia="zh-CN"/>
              </w:rPr>
            </w:pPr>
          </w:p>
          <w:p w14:paraId="1E5763BE" w14:textId="77777777" w:rsidR="00201A4C" w:rsidRPr="00DA7E28" w:rsidRDefault="00201A4C">
            <w:pPr>
              <w:pStyle w:val="ListParagraph"/>
              <w:numPr>
                <w:ilvl w:val="0"/>
                <w:numId w:val="52"/>
              </w:numPr>
              <w:spacing w:after="120"/>
              <w:ind w:leftChars="0"/>
              <w:rPr>
                <w:rFonts w:ascii="Arial" w:eastAsia="DengXian" w:hAnsi="Arial" w:cs="Arial"/>
                <w:szCs w:val="20"/>
              </w:rPr>
            </w:pPr>
            <w:r w:rsidRPr="00DA7E28">
              <w:rPr>
                <w:rFonts w:ascii="Arial" w:eastAsia="DengXian" w:hAnsi="Arial" w:cs="Arial"/>
                <w:szCs w:val="20"/>
              </w:rPr>
              <w:t>within an observation period of 50 ms, the number of Short Control Signalling Transmissions by the equipment shall be equal to or less than 50; and</w:t>
            </w:r>
          </w:p>
          <w:p w14:paraId="43ADE7F5" w14:textId="3923FD15" w:rsidR="00201A4C" w:rsidRPr="00126C60" w:rsidRDefault="00201A4C">
            <w:pPr>
              <w:pStyle w:val="ListParagraph"/>
              <w:numPr>
                <w:ilvl w:val="0"/>
                <w:numId w:val="52"/>
              </w:numPr>
              <w:ind w:leftChars="0"/>
              <w:rPr>
                <w:rFonts w:eastAsiaTheme="minorEastAsia"/>
                <w:lang w:eastAsia="zh-CN"/>
              </w:rPr>
            </w:pPr>
            <w:r w:rsidRPr="00DA7E28">
              <w:rPr>
                <w:rFonts w:ascii="Arial" w:eastAsia="DengXian" w:hAnsi="Arial" w:cs="Arial"/>
                <w:szCs w:val="20"/>
              </w:rPr>
              <w:t>the total duration of the equipment</w:t>
            </w:r>
            <w:r w:rsidR="00D01D0D">
              <w:rPr>
                <w:rFonts w:ascii="Arial" w:eastAsia="DengXian" w:hAnsi="Arial" w:cs="Arial"/>
                <w:szCs w:val="20"/>
              </w:rPr>
              <w:t>’</w:t>
            </w:r>
            <w:r w:rsidRPr="00DA7E28">
              <w:rPr>
                <w:rFonts w:ascii="Arial" w:eastAsia="DengXian" w:hAnsi="Arial" w:cs="Arial"/>
                <w:szCs w:val="20"/>
              </w:rPr>
              <w:t>s Short Control Signalling Transmissions shall be less than 2 500 μs within said observation period</w:t>
            </w:r>
          </w:p>
        </w:tc>
      </w:tr>
      <w:tr w:rsidR="00D6367A" w14:paraId="1FE2398C" w14:textId="77777777" w:rsidTr="006B2419">
        <w:tc>
          <w:tcPr>
            <w:tcW w:w="1555" w:type="dxa"/>
          </w:tcPr>
          <w:p w14:paraId="36452EEB" w14:textId="1FACA251" w:rsidR="00D6367A" w:rsidRDefault="00D6367A" w:rsidP="00D6367A">
            <w:pPr>
              <w:pStyle w:val="0Maintext"/>
              <w:spacing w:after="0" w:afterAutospacing="0"/>
              <w:ind w:firstLine="0"/>
            </w:pPr>
            <w:r w:rsidRPr="003757FE">
              <w:lastRenderedPageBreak/>
              <w:t>DCM</w:t>
            </w:r>
          </w:p>
        </w:tc>
        <w:tc>
          <w:tcPr>
            <w:tcW w:w="8079" w:type="dxa"/>
          </w:tcPr>
          <w:p w14:paraId="1725CAD0" w14:textId="3CDBBD57" w:rsidR="00D6367A" w:rsidRDefault="00D6367A" w:rsidP="00D6367A">
            <w:pPr>
              <w:pStyle w:val="0Maintext"/>
              <w:spacing w:after="0" w:afterAutospacing="0"/>
              <w:ind w:firstLine="0"/>
            </w:pPr>
            <w:r w:rsidRPr="003757FE">
              <w:t>OK</w:t>
            </w:r>
          </w:p>
        </w:tc>
      </w:tr>
      <w:tr w:rsidR="00B91A1D" w14:paraId="01D6FC86" w14:textId="77777777" w:rsidTr="006B2419">
        <w:tc>
          <w:tcPr>
            <w:tcW w:w="1555" w:type="dxa"/>
          </w:tcPr>
          <w:p w14:paraId="44C67B3D" w14:textId="61AC4BFD" w:rsidR="00B91A1D" w:rsidRDefault="00B91A1D" w:rsidP="00B91A1D">
            <w:pPr>
              <w:pStyle w:val="0Maintext"/>
              <w:spacing w:after="0" w:afterAutospacing="0"/>
              <w:ind w:firstLine="0"/>
            </w:pPr>
            <w:r>
              <w:rPr>
                <w:rFonts w:eastAsiaTheme="minorEastAsia" w:hint="eastAsia"/>
                <w:lang w:eastAsia="zh-CN"/>
              </w:rPr>
              <w:t>C</w:t>
            </w:r>
            <w:r>
              <w:rPr>
                <w:rFonts w:eastAsiaTheme="minorEastAsia"/>
                <w:lang w:eastAsia="zh-CN"/>
              </w:rPr>
              <w:t>MCC</w:t>
            </w:r>
          </w:p>
        </w:tc>
        <w:tc>
          <w:tcPr>
            <w:tcW w:w="8079" w:type="dxa"/>
          </w:tcPr>
          <w:p w14:paraId="0D72A2AA" w14:textId="29EC1615" w:rsidR="00B91A1D" w:rsidRDefault="00B91A1D" w:rsidP="00B91A1D">
            <w:pPr>
              <w:pStyle w:val="0Maintext"/>
              <w:spacing w:after="0" w:afterAutospacing="0"/>
              <w:ind w:firstLine="0"/>
            </w:pPr>
            <w:r>
              <w:t xml:space="preserve"> Support</w:t>
            </w:r>
          </w:p>
        </w:tc>
      </w:tr>
      <w:tr w:rsidR="009A6BDC" w14:paraId="4BDA89C7" w14:textId="77777777" w:rsidTr="006B2419">
        <w:tc>
          <w:tcPr>
            <w:tcW w:w="1555" w:type="dxa"/>
          </w:tcPr>
          <w:p w14:paraId="2FA24CF7" w14:textId="458329A3" w:rsidR="009A6BDC" w:rsidRDefault="009A6BDC" w:rsidP="009A6BDC">
            <w:pPr>
              <w:pStyle w:val="0Maintext"/>
              <w:spacing w:after="0" w:afterAutospacing="0"/>
              <w:ind w:firstLine="0"/>
            </w:pPr>
            <w:r>
              <w:rPr>
                <w:rFonts w:eastAsiaTheme="minorEastAsia"/>
                <w:lang w:eastAsia="zh-CN"/>
              </w:rPr>
              <w:t>vivo</w:t>
            </w:r>
          </w:p>
        </w:tc>
        <w:tc>
          <w:tcPr>
            <w:tcW w:w="8079" w:type="dxa"/>
          </w:tcPr>
          <w:p w14:paraId="006F60A0" w14:textId="53E135F2" w:rsidR="009A6BDC" w:rsidRDefault="009A6BDC" w:rsidP="009A6BDC">
            <w:pPr>
              <w:pStyle w:val="0Maintext"/>
              <w:spacing w:after="0" w:afterAutospacing="0"/>
              <w:ind w:firstLine="0"/>
            </w:pPr>
            <w:r>
              <w:t>We are fine to discuss the limitation on duty cycle and transmission time for PSFCH.</w:t>
            </w:r>
          </w:p>
        </w:tc>
      </w:tr>
      <w:tr w:rsidR="00C55F84" w14:paraId="3F4F1112" w14:textId="77777777" w:rsidTr="006B2419">
        <w:tc>
          <w:tcPr>
            <w:tcW w:w="1555" w:type="dxa"/>
          </w:tcPr>
          <w:p w14:paraId="6912B918" w14:textId="576FAB4E" w:rsidR="00C55F84" w:rsidRDefault="00C55F84" w:rsidP="009A6BDC">
            <w:pPr>
              <w:pStyle w:val="0Maintext"/>
              <w:spacing w:after="0" w:afterAutospacing="0"/>
              <w:ind w:firstLine="0"/>
              <w:rPr>
                <w:rFonts w:eastAsiaTheme="minorEastAsia"/>
                <w:lang w:eastAsia="zh-CN"/>
              </w:rPr>
            </w:pPr>
            <w:r>
              <w:rPr>
                <w:rFonts w:eastAsiaTheme="minorEastAsia" w:hint="eastAsia"/>
                <w:lang w:eastAsia="zh-CN"/>
              </w:rPr>
              <w:t>Sharp</w:t>
            </w:r>
          </w:p>
        </w:tc>
        <w:tc>
          <w:tcPr>
            <w:tcW w:w="8079" w:type="dxa"/>
          </w:tcPr>
          <w:p w14:paraId="0E53C8E7" w14:textId="79D93C2E" w:rsidR="00C55F84" w:rsidRDefault="00C55F84" w:rsidP="009A6BDC">
            <w:pPr>
              <w:pStyle w:val="0Maintext"/>
              <w:spacing w:after="0" w:afterAutospacing="0"/>
              <w:ind w:firstLine="0"/>
            </w:pPr>
            <w:r>
              <w:rPr>
                <w:rFonts w:eastAsiaTheme="minorEastAsia" w:hint="eastAsia"/>
                <w:lang w:eastAsia="zh-CN"/>
              </w:rPr>
              <w:t>With the clarification from FL, we are fine with the updated proposal.</w:t>
            </w:r>
          </w:p>
        </w:tc>
      </w:tr>
      <w:tr w:rsidR="001E5BBA" w14:paraId="6684BED8" w14:textId="77777777" w:rsidTr="006B2419">
        <w:tc>
          <w:tcPr>
            <w:tcW w:w="1555" w:type="dxa"/>
          </w:tcPr>
          <w:p w14:paraId="03243595" w14:textId="3E60086E" w:rsidR="001E5BBA" w:rsidRDefault="001E5BBA" w:rsidP="001E5BBA">
            <w:pPr>
              <w:pStyle w:val="0Maintext"/>
              <w:spacing w:after="0" w:afterAutospacing="0"/>
              <w:ind w:firstLine="0"/>
              <w:rPr>
                <w:rFonts w:eastAsiaTheme="minorEastAsia"/>
                <w:lang w:eastAsia="zh-CN"/>
              </w:rPr>
            </w:pPr>
            <w:r>
              <w:t>Lenovo</w:t>
            </w:r>
          </w:p>
        </w:tc>
        <w:tc>
          <w:tcPr>
            <w:tcW w:w="8079" w:type="dxa"/>
          </w:tcPr>
          <w:p w14:paraId="1F284250" w14:textId="6D9CD7EF" w:rsidR="001E5BBA" w:rsidRDefault="001E5BBA" w:rsidP="001E5BBA">
            <w:pPr>
              <w:pStyle w:val="0Maintext"/>
              <w:spacing w:after="0" w:afterAutospacing="0"/>
              <w:ind w:firstLine="0"/>
              <w:rPr>
                <w:rFonts w:eastAsiaTheme="minorEastAsia"/>
                <w:lang w:eastAsia="zh-CN"/>
              </w:rPr>
            </w:pPr>
            <w:r>
              <w:t>We support PSFCH with Type-2A, but we are ok to keep it as FFS for now to reach some progress for S-SSB. We think OPPO</w:t>
            </w:r>
            <w:r w:rsidR="00D01D0D">
              <w:t>’</w:t>
            </w:r>
            <w:r>
              <w:t>s suggestion for using ETSI</w:t>
            </w:r>
            <w:r w:rsidR="00D01D0D">
              <w:t>’</w:t>
            </w:r>
            <w:r>
              <w:t>s description is better.</w:t>
            </w:r>
          </w:p>
        </w:tc>
      </w:tr>
      <w:tr w:rsidR="00650E3B" w14:paraId="42E356A6" w14:textId="77777777" w:rsidTr="00650E3B">
        <w:tc>
          <w:tcPr>
            <w:tcW w:w="1555" w:type="dxa"/>
          </w:tcPr>
          <w:p w14:paraId="47204E8C" w14:textId="7EFA56EC" w:rsidR="00650E3B" w:rsidRPr="00A11D4C" w:rsidRDefault="00D01D0D" w:rsidP="000F6488">
            <w:pPr>
              <w:pStyle w:val="0Maintext"/>
              <w:spacing w:after="0" w:afterAutospacing="0"/>
              <w:ind w:firstLine="0"/>
              <w:rPr>
                <w:rFonts w:eastAsiaTheme="minorEastAsia"/>
                <w:lang w:eastAsia="zh-CN"/>
              </w:rPr>
            </w:pPr>
            <w:r>
              <w:rPr>
                <w:rFonts w:eastAsiaTheme="minorEastAsia"/>
                <w:lang w:eastAsia="zh-CN"/>
              </w:rPr>
              <w:t>X</w:t>
            </w:r>
            <w:r w:rsidR="00650E3B">
              <w:rPr>
                <w:rFonts w:eastAsiaTheme="minorEastAsia"/>
                <w:lang w:eastAsia="zh-CN"/>
              </w:rPr>
              <w:t>iaomi</w:t>
            </w:r>
          </w:p>
        </w:tc>
        <w:tc>
          <w:tcPr>
            <w:tcW w:w="8079" w:type="dxa"/>
          </w:tcPr>
          <w:p w14:paraId="6D49CA50" w14:textId="29C492F9" w:rsidR="00650E3B" w:rsidRPr="00650E3B" w:rsidRDefault="00650E3B" w:rsidP="000F6488">
            <w:pPr>
              <w:pStyle w:val="0Maintext"/>
              <w:spacing w:after="0" w:afterAutospacing="0"/>
              <w:ind w:firstLine="0"/>
              <w:rPr>
                <w:rFonts w:eastAsiaTheme="minorEastAsia"/>
                <w:lang w:eastAsia="zh-CN"/>
              </w:rPr>
            </w:pPr>
            <w:r w:rsidRPr="00B90BE4">
              <w:rPr>
                <w:rFonts w:eastAsiaTheme="minorEastAsia"/>
                <w:lang w:eastAsia="zh-CN"/>
              </w:rPr>
              <w:t>T</w:t>
            </w:r>
            <w:r w:rsidRPr="00B90BE4">
              <w:rPr>
                <w:rFonts w:eastAsiaTheme="minorEastAsia" w:hint="eastAsia"/>
                <w:lang w:eastAsia="zh-CN"/>
              </w:rPr>
              <w:t>hank</w:t>
            </w:r>
            <w:r>
              <w:rPr>
                <w:rFonts w:eastAsiaTheme="minorEastAsia"/>
                <w:lang w:eastAsia="zh-CN"/>
              </w:rPr>
              <w:t xml:space="preserve"> FL’s clarification, we are fine with the proposal.</w:t>
            </w:r>
          </w:p>
        </w:tc>
      </w:tr>
      <w:tr w:rsidR="000279F7" w14:paraId="396997E1" w14:textId="77777777" w:rsidTr="000279F7">
        <w:tc>
          <w:tcPr>
            <w:tcW w:w="1555" w:type="dxa"/>
          </w:tcPr>
          <w:p w14:paraId="4B5B6EE5" w14:textId="77777777" w:rsidR="000279F7" w:rsidRDefault="000279F7" w:rsidP="000F6488">
            <w:pPr>
              <w:pStyle w:val="0Maintext"/>
              <w:spacing w:after="0" w:afterAutospacing="0"/>
              <w:ind w:firstLine="0"/>
              <w:rPr>
                <w:rFonts w:eastAsiaTheme="minorEastAsia"/>
                <w:lang w:eastAsia="zh-CN"/>
              </w:rPr>
            </w:pPr>
            <w:r>
              <w:rPr>
                <w:rFonts w:eastAsiaTheme="minorEastAsia" w:hint="eastAsia"/>
                <w:lang w:eastAsia="zh-CN"/>
              </w:rPr>
              <w:t>ZTE,Sanechips</w:t>
            </w:r>
          </w:p>
        </w:tc>
        <w:tc>
          <w:tcPr>
            <w:tcW w:w="8079" w:type="dxa"/>
          </w:tcPr>
          <w:p w14:paraId="0DBA26A7" w14:textId="77777777" w:rsidR="000279F7" w:rsidRPr="00B90BE4" w:rsidRDefault="000279F7" w:rsidP="000F6488">
            <w:pPr>
              <w:pStyle w:val="0Maintext"/>
              <w:spacing w:after="0" w:afterAutospacing="0"/>
              <w:ind w:firstLine="0"/>
              <w:rPr>
                <w:rFonts w:eastAsiaTheme="minorEastAsia"/>
                <w:lang w:eastAsia="zh-CN"/>
              </w:rPr>
            </w:pPr>
            <w:r>
              <w:rPr>
                <w:rFonts w:eastAsiaTheme="minorEastAsia" w:hint="eastAsia"/>
                <w:lang w:eastAsia="zh-CN"/>
              </w:rPr>
              <w:t>Yes</w:t>
            </w:r>
          </w:p>
        </w:tc>
      </w:tr>
      <w:tr w:rsidR="000279F7" w14:paraId="0EB296E8" w14:textId="77777777" w:rsidTr="000279F7">
        <w:tc>
          <w:tcPr>
            <w:tcW w:w="1555" w:type="dxa"/>
          </w:tcPr>
          <w:p w14:paraId="22F469F5" w14:textId="77777777" w:rsidR="000279F7" w:rsidRDefault="000279F7" w:rsidP="000F6488">
            <w:pPr>
              <w:pStyle w:val="0Maintext"/>
              <w:spacing w:after="0" w:afterAutospacing="0"/>
              <w:ind w:firstLine="0"/>
              <w:rPr>
                <w:rFonts w:eastAsiaTheme="minorEastAsia"/>
                <w:lang w:eastAsia="zh-CN"/>
              </w:rPr>
            </w:pPr>
            <w:r>
              <w:rPr>
                <w:rFonts w:eastAsiaTheme="minorEastAsia" w:hint="eastAsia"/>
                <w:lang w:eastAsia="zh-CN"/>
              </w:rPr>
              <w:t>N</w:t>
            </w:r>
            <w:r>
              <w:rPr>
                <w:rFonts w:eastAsiaTheme="minorEastAsia"/>
                <w:lang w:eastAsia="zh-CN"/>
              </w:rPr>
              <w:t>EC</w:t>
            </w:r>
          </w:p>
        </w:tc>
        <w:tc>
          <w:tcPr>
            <w:tcW w:w="8079" w:type="dxa"/>
          </w:tcPr>
          <w:p w14:paraId="15919FF7" w14:textId="77777777" w:rsidR="000279F7" w:rsidRDefault="000279F7" w:rsidP="000F6488">
            <w:pPr>
              <w:pStyle w:val="0Maintext"/>
              <w:spacing w:after="0" w:afterAutospacing="0"/>
              <w:ind w:firstLine="0"/>
              <w:rPr>
                <w:rFonts w:eastAsiaTheme="minorEastAsia"/>
                <w:lang w:eastAsia="zh-CN"/>
              </w:rPr>
            </w:pPr>
            <w:r>
              <w:t xml:space="preserve">Agree with the proposal.   </w:t>
            </w:r>
          </w:p>
        </w:tc>
      </w:tr>
      <w:tr w:rsidR="00E41CC5" w14:paraId="6D7C415F" w14:textId="77777777" w:rsidTr="000279F7">
        <w:tc>
          <w:tcPr>
            <w:tcW w:w="1555" w:type="dxa"/>
          </w:tcPr>
          <w:p w14:paraId="557F484F" w14:textId="4A54127F" w:rsidR="00E41CC5" w:rsidRDefault="00E41CC5" w:rsidP="00E41CC5">
            <w:pPr>
              <w:pStyle w:val="0Maintext"/>
              <w:spacing w:after="0" w:afterAutospacing="0"/>
              <w:ind w:firstLine="0"/>
              <w:rPr>
                <w:rFonts w:eastAsiaTheme="minorEastAsia"/>
                <w:lang w:eastAsia="zh-CN"/>
              </w:rPr>
            </w:pPr>
            <w:r>
              <w:rPr>
                <w:rFonts w:eastAsiaTheme="minorEastAsia"/>
                <w:lang w:eastAsia="zh-CN"/>
              </w:rPr>
              <w:t>Fraunhofer</w:t>
            </w:r>
          </w:p>
        </w:tc>
        <w:tc>
          <w:tcPr>
            <w:tcW w:w="8079" w:type="dxa"/>
          </w:tcPr>
          <w:p w14:paraId="0F05D2FF" w14:textId="165661CA" w:rsidR="00E41CC5" w:rsidRDefault="00E41CC5" w:rsidP="00E41CC5">
            <w:pPr>
              <w:pStyle w:val="0Maintext"/>
              <w:spacing w:after="0" w:afterAutospacing="0"/>
              <w:ind w:firstLine="0"/>
            </w:pPr>
            <w:r>
              <w:rPr>
                <w:rFonts w:eastAsiaTheme="minorEastAsia"/>
                <w:lang w:eastAsia="zh-CN"/>
              </w:rPr>
              <w:t xml:space="preserve">We can accept the proposal for progress, but would prefer to support PSFCH being transmitted with Type 2A without shared channel occupancy. </w:t>
            </w:r>
          </w:p>
        </w:tc>
      </w:tr>
      <w:tr w:rsidR="005A0613" w14:paraId="3528E1BA" w14:textId="77777777" w:rsidTr="005A0613">
        <w:tc>
          <w:tcPr>
            <w:tcW w:w="1555" w:type="dxa"/>
          </w:tcPr>
          <w:p w14:paraId="768FC506" w14:textId="77777777" w:rsidR="005A0613" w:rsidRPr="00D6367A" w:rsidRDefault="005A0613" w:rsidP="000F6488">
            <w:pPr>
              <w:pStyle w:val="0Maintext"/>
              <w:spacing w:after="0" w:afterAutospacing="0"/>
              <w:ind w:firstLine="0"/>
            </w:pPr>
            <w:r>
              <w:rPr>
                <w:rFonts w:eastAsiaTheme="minorEastAsia"/>
                <w:lang w:eastAsia="zh-CN"/>
              </w:rPr>
              <w:t>Nokia, NSB</w:t>
            </w:r>
          </w:p>
        </w:tc>
        <w:tc>
          <w:tcPr>
            <w:tcW w:w="8079" w:type="dxa"/>
          </w:tcPr>
          <w:p w14:paraId="04867450" w14:textId="41A3373C" w:rsidR="005A0613" w:rsidRDefault="005A0613" w:rsidP="000F6488">
            <w:pPr>
              <w:pStyle w:val="0Maintext"/>
              <w:spacing w:after="0" w:afterAutospacing="0"/>
              <w:ind w:firstLine="0"/>
            </w:pPr>
            <w:r>
              <w:t>We are support the  proposal.</w:t>
            </w:r>
          </w:p>
        </w:tc>
      </w:tr>
      <w:tr w:rsidR="001A3992" w14:paraId="4593A99B" w14:textId="77777777" w:rsidTr="005A0613">
        <w:tc>
          <w:tcPr>
            <w:tcW w:w="1555" w:type="dxa"/>
          </w:tcPr>
          <w:p w14:paraId="4AA33E45" w14:textId="749F1FFE" w:rsidR="001A3992" w:rsidRDefault="001A3992" w:rsidP="001A3992">
            <w:pPr>
              <w:pStyle w:val="0Maintext"/>
              <w:spacing w:after="0" w:afterAutospacing="0"/>
              <w:ind w:firstLine="0"/>
              <w:rPr>
                <w:rFonts w:eastAsiaTheme="minorEastAsia"/>
                <w:lang w:eastAsia="zh-CN"/>
              </w:rPr>
            </w:pPr>
            <w:r>
              <w:rPr>
                <w:rFonts w:eastAsiaTheme="minorEastAsia"/>
                <w:lang w:eastAsia="zh-CN"/>
              </w:rPr>
              <w:t>Intel</w:t>
            </w:r>
          </w:p>
        </w:tc>
        <w:tc>
          <w:tcPr>
            <w:tcW w:w="8079" w:type="dxa"/>
          </w:tcPr>
          <w:p w14:paraId="7398BCE6" w14:textId="179B561A" w:rsidR="001A3992" w:rsidRDefault="001A3992" w:rsidP="001A3992">
            <w:pPr>
              <w:pStyle w:val="0Maintext"/>
              <w:spacing w:after="0" w:afterAutospacing="0"/>
              <w:ind w:firstLine="0"/>
            </w:pPr>
            <w:r>
              <w:rPr>
                <w:rFonts w:eastAsiaTheme="minorEastAsia"/>
                <w:lang w:eastAsia="zh-CN"/>
              </w:rPr>
              <w:t>OK with the proposal.</w:t>
            </w:r>
          </w:p>
        </w:tc>
      </w:tr>
      <w:tr w:rsidR="004744D6" w14:paraId="076307C4" w14:textId="77777777" w:rsidTr="005A0613">
        <w:tc>
          <w:tcPr>
            <w:tcW w:w="1555" w:type="dxa"/>
          </w:tcPr>
          <w:p w14:paraId="193CCF88" w14:textId="5E2DC904" w:rsidR="004744D6" w:rsidRDefault="004744D6" w:rsidP="001A3992">
            <w:pPr>
              <w:pStyle w:val="0Maintext"/>
              <w:spacing w:after="0" w:afterAutospacing="0"/>
              <w:ind w:firstLine="0"/>
              <w:rPr>
                <w:rFonts w:eastAsiaTheme="minorEastAsia"/>
                <w:lang w:eastAsia="zh-CN"/>
              </w:rPr>
            </w:pPr>
            <w:r>
              <w:rPr>
                <w:rFonts w:eastAsiaTheme="minorEastAsia"/>
                <w:lang w:eastAsia="zh-CN"/>
              </w:rPr>
              <w:t>InterDigital</w:t>
            </w:r>
          </w:p>
        </w:tc>
        <w:tc>
          <w:tcPr>
            <w:tcW w:w="8079" w:type="dxa"/>
          </w:tcPr>
          <w:p w14:paraId="4CF252E5" w14:textId="3B4BEC63" w:rsidR="004744D6" w:rsidRDefault="004744D6" w:rsidP="001A3992">
            <w:pPr>
              <w:pStyle w:val="0Maintext"/>
              <w:spacing w:after="0" w:afterAutospacing="0"/>
              <w:ind w:firstLine="0"/>
              <w:rPr>
                <w:rFonts w:eastAsiaTheme="minorEastAsia"/>
                <w:lang w:eastAsia="zh-CN"/>
              </w:rPr>
            </w:pPr>
            <w:r>
              <w:rPr>
                <w:rFonts w:eastAsiaTheme="minorEastAsia"/>
                <w:lang w:eastAsia="zh-CN"/>
              </w:rPr>
              <w:t>We support the proposal</w:t>
            </w:r>
          </w:p>
        </w:tc>
      </w:tr>
      <w:tr w:rsidR="00405BE2" w14:paraId="18CED965" w14:textId="77777777" w:rsidTr="005A0613">
        <w:tc>
          <w:tcPr>
            <w:tcW w:w="1555" w:type="dxa"/>
          </w:tcPr>
          <w:p w14:paraId="13E99344" w14:textId="57902403" w:rsidR="00405BE2" w:rsidRDefault="004720AF" w:rsidP="001A3992">
            <w:pPr>
              <w:pStyle w:val="0Maintext"/>
              <w:spacing w:after="0" w:afterAutospacing="0"/>
              <w:ind w:firstLine="0"/>
              <w:rPr>
                <w:rFonts w:eastAsiaTheme="minorEastAsia"/>
                <w:lang w:eastAsia="zh-CN"/>
              </w:rPr>
            </w:pPr>
            <w:r>
              <w:rPr>
                <w:rFonts w:eastAsiaTheme="minorEastAsia"/>
                <w:lang w:eastAsia="zh-CN"/>
              </w:rPr>
              <w:t>Qualcomm</w:t>
            </w:r>
          </w:p>
        </w:tc>
        <w:tc>
          <w:tcPr>
            <w:tcW w:w="8079" w:type="dxa"/>
          </w:tcPr>
          <w:p w14:paraId="4FC26739" w14:textId="77777777" w:rsidR="004720AF" w:rsidRDefault="004720AF" w:rsidP="004720AF">
            <w:pPr>
              <w:pStyle w:val="0Maintext"/>
              <w:spacing w:after="0" w:afterAutospacing="0"/>
              <w:ind w:firstLine="0"/>
              <w:rPr>
                <w:rFonts w:eastAsiaTheme="minorEastAsia"/>
                <w:lang w:eastAsia="zh-CN"/>
              </w:rPr>
            </w:pPr>
            <w:r>
              <w:rPr>
                <w:rFonts w:eastAsiaTheme="minorEastAsia"/>
                <w:lang w:eastAsia="zh-CN"/>
              </w:rPr>
              <w:t>Support the proposal.</w:t>
            </w:r>
          </w:p>
          <w:p w14:paraId="6FFED144" w14:textId="77777777" w:rsidR="004720AF" w:rsidRDefault="004720AF" w:rsidP="004720AF">
            <w:pPr>
              <w:pStyle w:val="0Maintext"/>
              <w:spacing w:after="0" w:afterAutospacing="0"/>
              <w:ind w:firstLine="0"/>
              <w:rPr>
                <w:rFonts w:eastAsiaTheme="minorEastAsia"/>
                <w:lang w:eastAsia="zh-CN"/>
              </w:rPr>
            </w:pPr>
          </w:p>
          <w:p w14:paraId="02C348DC" w14:textId="1DAF1C8F" w:rsidR="00405BE2" w:rsidRDefault="004720AF" w:rsidP="004720AF">
            <w:pPr>
              <w:pStyle w:val="0Maintext"/>
              <w:spacing w:after="0" w:afterAutospacing="0"/>
              <w:ind w:firstLine="0"/>
              <w:rPr>
                <w:rFonts w:eastAsiaTheme="minorEastAsia"/>
                <w:lang w:eastAsia="zh-CN"/>
              </w:rPr>
            </w:pPr>
            <w:r>
              <w:rPr>
                <w:rFonts w:eastAsiaTheme="minorEastAsia"/>
                <w:lang w:eastAsia="zh-CN"/>
              </w:rPr>
              <w:t>On ‘SCSt’ wording for Type2A, we are aligned with FL interpretation, but we are ok changing the wording if the majority wants that. Hopefully we won’t spend much time on this matter since it is clear that this proposal is for Type 2A (similar to discovery burst in NR-U) and not for contention-exempt transmissions .</w:t>
            </w:r>
          </w:p>
        </w:tc>
      </w:tr>
      <w:tr w:rsidR="00D01D0D" w14:paraId="42824045" w14:textId="77777777" w:rsidTr="005A0613">
        <w:tc>
          <w:tcPr>
            <w:tcW w:w="1555" w:type="dxa"/>
          </w:tcPr>
          <w:p w14:paraId="48D8A082" w14:textId="73D53E6B" w:rsidR="00D01D0D" w:rsidRDefault="00D01D0D" w:rsidP="001A3992">
            <w:pPr>
              <w:pStyle w:val="0Maintext"/>
              <w:spacing w:after="0" w:afterAutospacing="0"/>
              <w:ind w:firstLine="0"/>
              <w:rPr>
                <w:rFonts w:eastAsiaTheme="minorEastAsia"/>
                <w:lang w:eastAsia="zh-CN"/>
              </w:rPr>
            </w:pPr>
            <w:r>
              <w:rPr>
                <w:rFonts w:eastAsiaTheme="minorEastAsia"/>
                <w:lang w:eastAsia="zh-CN"/>
              </w:rPr>
              <w:t>Apple</w:t>
            </w:r>
          </w:p>
        </w:tc>
        <w:tc>
          <w:tcPr>
            <w:tcW w:w="8079" w:type="dxa"/>
          </w:tcPr>
          <w:p w14:paraId="372AF385" w14:textId="77777777" w:rsidR="00D01D0D" w:rsidRDefault="00D01D0D" w:rsidP="004720AF">
            <w:pPr>
              <w:pStyle w:val="0Maintext"/>
              <w:spacing w:after="0" w:afterAutospacing="0"/>
              <w:ind w:firstLine="0"/>
              <w:rPr>
                <w:rFonts w:eastAsiaTheme="minorEastAsia"/>
                <w:lang w:eastAsia="zh-CN"/>
              </w:rPr>
            </w:pPr>
            <w:r>
              <w:rPr>
                <w:rFonts w:eastAsiaTheme="minorEastAsia"/>
                <w:lang w:eastAsia="zh-CN"/>
              </w:rPr>
              <w:t xml:space="preserve">NR-U DRS 5% allowance is using short control signaling as reference. However, short control signaling is clearly defined as </w:t>
            </w:r>
          </w:p>
          <w:p w14:paraId="310C33E1" w14:textId="77777777" w:rsidR="00D01D0D" w:rsidRDefault="00D01D0D" w:rsidP="004720AF">
            <w:pPr>
              <w:pStyle w:val="0Maintext"/>
              <w:spacing w:after="0" w:afterAutospacing="0"/>
              <w:ind w:firstLine="0"/>
              <w:rPr>
                <w:rFonts w:eastAsiaTheme="minorEastAsia"/>
                <w:lang w:eastAsia="zh-CN"/>
              </w:rPr>
            </w:pPr>
            <w:r>
              <w:rPr>
                <w:noProof/>
                <w:lang w:val="en-US" w:eastAsia="zh-CN"/>
              </w:rPr>
              <w:drawing>
                <wp:inline distT="0" distB="0" distL="0" distR="0" wp14:anchorId="23616A85" wp14:editId="6B403C84">
                  <wp:extent cx="4991100" cy="67373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pic:cNvPicPr>
                        </pic:nvPicPr>
                        <pic:blipFill>
                          <a:blip r:embed="rId13" cstate="print"/>
                          <a:stretch>
                            <a:fillRect/>
                          </a:stretch>
                        </pic:blipFill>
                        <pic:spPr>
                          <a:xfrm>
                            <a:off x="0" y="0"/>
                            <a:ext cx="4991100" cy="673735"/>
                          </a:xfrm>
                          <a:prstGeom prst="rect">
                            <a:avLst/>
                          </a:prstGeom>
                        </pic:spPr>
                      </pic:pic>
                    </a:graphicData>
                  </a:graphic>
                </wp:inline>
              </w:drawing>
            </w:r>
          </w:p>
          <w:p w14:paraId="71598AC7" w14:textId="6C9F2205" w:rsidR="00D01D0D" w:rsidRDefault="00D01D0D" w:rsidP="004720AF">
            <w:pPr>
              <w:pStyle w:val="0Maintext"/>
              <w:spacing w:after="0" w:afterAutospacing="0"/>
              <w:ind w:firstLine="0"/>
              <w:rPr>
                <w:rFonts w:eastAsiaTheme="minorEastAsia"/>
                <w:lang w:eastAsia="zh-CN"/>
              </w:rPr>
            </w:pPr>
            <w:r>
              <w:rPr>
                <w:rFonts w:eastAsiaTheme="minorEastAsia"/>
                <w:lang w:eastAsia="zh-CN"/>
              </w:rPr>
              <w:t xml:space="preserve">And in 37.213, short control signaling is only captured in FR2-2, </w:t>
            </w:r>
          </w:p>
          <w:p w14:paraId="2FE91D18" w14:textId="2CFDEA06" w:rsidR="00D01D0D" w:rsidRDefault="00D01D0D" w:rsidP="004720AF">
            <w:pPr>
              <w:pStyle w:val="0Maintext"/>
              <w:spacing w:after="0" w:afterAutospacing="0"/>
              <w:ind w:firstLine="0"/>
              <w:rPr>
                <w:rFonts w:eastAsiaTheme="minorEastAsia"/>
                <w:lang w:eastAsia="zh-CN"/>
              </w:rPr>
            </w:pPr>
            <w:r w:rsidRPr="00D01D0D">
              <w:rPr>
                <w:rFonts w:eastAsiaTheme="minorEastAsia"/>
                <w:noProof/>
                <w:lang w:val="en-US" w:eastAsia="zh-CN"/>
              </w:rPr>
              <w:drawing>
                <wp:inline distT="0" distB="0" distL="0" distR="0" wp14:anchorId="541D7443" wp14:editId="6C71FF67">
                  <wp:extent cx="4180901" cy="1308559"/>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4219028" cy="1320492"/>
                          </a:xfrm>
                          <a:prstGeom prst="rect">
                            <a:avLst/>
                          </a:prstGeom>
                        </pic:spPr>
                      </pic:pic>
                    </a:graphicData>
                  </a:graphic>
                </wp:inline>
              </w:drawing>
            </w:r>
          </w:p>
          <w:p w14:paraId="2407B4D5" w14:textId="5B611D4D" w:rsidR="00D01D0D" w:rsidRDefault="00D01D0D" w:rsidP="004720AF">
            <w:pPr>
              <w:pStyle w:val="0Maintext"/>
              <w:spacing w:after="0" w:afterAutospacing="0"/>
              <w:ind w:firstLine="0"/>
              <w:rPr>
                <w:rFonts w:eastAsiaTheme="minorEastAsia"/>
                <w:lang w:eastAsia="zh-CN"/>
              </w:rPr>
            </w:pPr>
            <w:r>
              <w:rPr>
                <w:rFonts w:eastAsiaTheme="minorEastAsia"/>
                <w:lang w:eastAsia="zh-CN"/>
              </w:rPr>
              <w:t xml:space="preserve">We do agree on type-2A CCA and the 5% limitation. </w:t>
            </w:r>
            <w:r w:rsidR="00205B14">
              <w:rPr>
                <w:rFonts w:eastAsiaTheme="minorEastAsia"/>
                <w:lang w:eastAsia="zh-CN"/>
              </w:rPr>
              <w:t>However,</w:t>
            </w:r>
            <w:r>
              <w:rPr>
                <w:rFonts w:eastAsiaTheme="minorEastAsia"/>
                <w:lang w:eastAsia="zh-CN"/>
              </w:rPr>
              <w:t xml:space="preserve"> mentioning type 2A and short control signaling together is confusing and can create mis-understanding as no-LBT is allowed later for people who follow short control signaling definition. We think this is un-necessary. Therefore, we suggest the following changes: </w:t>
            </w:r>
          </w:p>
          <w:p w14:paraId="342956FB" w14:textId="77777777" w:rsidR="00D01D0D" w:rsidRPr="00C65E36" w:rsidRDefault="00D01D0D" w:rsidP="00D01D0D">
            <w:pPr>
              <w:autoSpaceDE w:val="0"/>
              <w:autoSpaceDN w:val="0"/>
              <w:spacing w:before="120"/>
              <w:jc w:val="both"/>
              <w:rPr>
                <w:rFonts w:ascii="Calibri" w:hAnsi="Calibri" w:cs="Calibri"/>
                <w:sz w:val="22"/>
              </w:rPr>
            </w:pPr>
            <w:r w:rsidRPr="00C65E36">
              <w:rPr>
                <w:rFonts w:ascii="Calibri" w:hAnsi="Calibri" w:cs="Calibri"/>
                <w:b/>
                <w:bCs/>
                <w:sz w:val="22"/>
                <w:highlight w:val="yellow"/>
              </w:rPr>
              <w:t xml:space="preserve">Proposal </w:t>
            </w:r>
            <w:r>
              <w:rPr>
                <w:rFonts w:ascii="Calibri" w:hAnsi="Calibri" w:cs="Calibri"/>
                <w:b/>
                <w:bCs/>
                <w:sz w:val="22"/>
                <w:highlight w:val="yellow"/>
              </w:rPr>
              <w:t>3</w:t>
            </w:r>
            <w:r w:rsidRPr="00C65E36">
              <w:rPr>
                <w:rFonts w:ascii="Calibri" w:hAnsi="Calibri" w:cs="Calibri"/>
                <w:b/>
                <w:bCs/>
                <w:sz w:val="22"/>
                <w:highlight w:val="yellow"/>
              </w:rPr>
              <w:t xml:space="preserve"> (I</w:t>
            </w:r>
            <w:r>
              <w:rPr>
                <w:rFonts w:ascii="Calibri" w:hAnsi="Calibri" w:cs="Calibri"/>
                <w:b/>
                <w:bCs/>
                <w:sz w:val="22"/>
                <w:highlight w:val="yellow"/>
              </w:rPr>
              <w:t>I</w:t>
            </w:r>
            <w:r w:rsidRPr="00C65E36">
              <w:rPr>
                <w:rFonts w:ascii="Calibri" w:hAnsi="Calibri" w:cs="Calibri"/>
                <w:b/>
                <w:bCs/>
                <w:sz w:val="22"/>
                <w:highlight w:val="yellow"/>
              </w:rPr>
              <w:t>):</w:t>
            </w:r>
            <w:r w:rsidRPr="00C65E36">
              <w:rPr>
                <w:rFonts w:ascii="Calibri" w:hAnsi="Calibri" w:cs="Calibri"/>
                <w:b/>
                <w:bCs/>
                <w:sz w:val="22"/>
              </w:rPr>
              <w:t xml:space="preserve"> </w:t>
            </w:r>
          </w:p>
          <w:p w14:paraId="30FABCF7" w14:textId="77777777" w:rsidR="00D01D0D" w:rsidRPr="00F94385" w:rsidRDefault="00D01D0D" w:rsidP="00D01D0D">
            <w:pPr>
              <w:pStyle w:val="ListParagraph"/>
              <w:numPr>
                <w:ilvl w:val="0"/>
                <w:numId w:val="18"/>
              </w:numPr>
              <w:autoSpaceDE w:val="0"/>
              <w:autoSpaceDN w:val="0"/>
              <w:ind w:leftChars="0"/>
              <w:jc w:val="both"/>
              <w:rPr>
                <w:rFonts w:ascii="Calibri" w:hAnsi="Calibri" w:cs="Calibri"/>
                <w:sz w:val="22"/>
              </w:rPr>
            </w:pPr>
            <w:r w:rsidRPr="00732D6D">
              <w:rPr>
                <w:rFonts w:ascii="Calibri" w:hAnsi="Calibri" w:cs="Calibri" w:hint="eastAsia"/>
                <w:sz w:val="22"/>
                <w:lang w:val="en-US"/>
              </w:rPr>
              <w:lastRenderedPageBreak/>
              <w:t xml:space="preserve">Type 2A channel access procedure </w:t>
            </w:r>
            <w:r w:rsidRPr="00D01D0D">
              <w:rPr>
                <w:rFonts w:ascii="Calibri" w:hAnsi="Calibri" w:cs="Calibri" w:hint="eastAsia"/>
                <w:strike/>
                <w:sz w:val="22"/>
                <w:highlight w:val="yellow"/>
                <w:lang w:val="en-US"/>
              </w:rPr>
              <w:t xml:space="preserve">for </w:t>
            </w:r>
            <w:r w:rsidRPr="00D01D0D">
              <w:rPr>
                <w:rFonts w:ascii="Calibri" w:hAnsi="Calibri" w:cs="Calibri" w:hint="eastAsia"/>
                <w:i/>
                <w:iCs/>
                <w:strike/>
                <w:sz w:val="22"/>
                <w:highlight w:val="yellow"/>
                <w:lang w:val="en-US"/>
              </w:rPr>
              <w:t>Short Control Signaling transmissions</w:t>
            </w:r>
            <w:r w:rsidRPr="00D01D0D">
              <w:rPr>
                <w:rFonts w:ascii="Calibri" w:hAnsi="Calibri" w:cs="Calibri" w:hint="eastAsia"/>
                <w:strike/>
                <w:sz w:val="22"/>
                <w:highlight w:val="yellow"/>
                <w:lang w:val="en-US"/>
              </w:rPr>
              <w:t xml:space="preserve"> (SCSt)</w:t>
            </w:r>
            <w:r w:rsidRPr="00732D6D">
              <w:rPr>
                <w:rFonts w:ascii="Calibri" w:hAnsi="Calibri" w:cs="Calibri" w:hint="eastAsia"/>
                <w:sz w:val="22"/>
                <w:lang w:val="en-US"/>
              </w:rPr>
              <w:t xml:space="preserve"> is applicable for S-SSB </w:t>
            </w:r>
            <w:r w:rsidRPr="00F94385">
              <w:rPr>
                <w:rFonts w:ascii="Calibri" w:hAnsi="Calibri" w:cs="Calibri" w:hint="eastAsia"/>
                <w:strike/>
                <w:color w:val="FF0000"/>
                <w:sz w:val="22"/>
                <w:lang w:val="en-US"/>
              </w:rPr>
              <w:t>and PSFCH</w:t>
            </w:r>
            <w:r w:rsidRPr="00F94385">
              <w:rPr>
                <w:rFonts w:ascii="Calibri" w:hAnsi="Calibri" w:cs="Calibri" w:hint="eastAsia"/>
                <w:color w:val="FF0000"/>
                <w:sz w:val="22"/>
                <w:lang w:val="en-US"/>
              </w:rPr>
              <w:t xml:space="preserve"> </w:t>
            </w:r>
            <w:r w:rsidRPr="00732D6D">
              <w:rPr>
                <w:rFonts w:ascii="Calibri" w:hAnsi="Calibri" w:cs="Calibri" w:hint="eastAsia"/>
                <w:sz w:val="22"/>
                <w:lang w:val="en-US"/>
              </w:rPr>
              <w:t xml:space="preserve">transmissions </w:t>
            </w:r>
            <w:r w:rsidRPr="00912C83">
              <w:rPr>
                <w:rFonts w:ascii="Calibri" w:hAnsi="Calibri" w:cs="Calibri" w:hint="eastAsia"/>
                <w:strike/>
                <w:color w:val="FF0000"/>
                <w:sz w:val="22"/>
                <w:lang w:val="en-US"/>
              </w:rPr>
              <w:t xml:space="preserve">initiated by </w:t>
            </w:r>
            <w:r w:rsidRPr="00912C83">
              <w:rPr>
                <w:rFonts w:ascii="Calibri" w:hAnsi="Calibri" w:cs="Calibri"/>
                <w:color w:val="FF0000"/>
                <w:sz w:val="22"/>
                <w:lang w:val="en-US"/>
              </w:rPr>
              <w:t>from</w:t>
            </w:r>
            <w:r>
              <w:rPr>
                <w:rFonts w:ascii="Calibri" w:hAnsi="Calibri" w:cs="Calibri"/>
                <w:sz w:val="22"/>
                <w:lang w:val="en-US"/>
              </w:rPr>
              <w:t xml:space="preserve"> </w:t>
            </w:r>
            <w:r w:rsidRPr="00732D6D">
              <w:rPr>
                <w:rFonts w:ascii="Calibri" w:hAnsi="Calibri" w:cs="Calibri" w:hint="eastAsia"/>
                <w:sz w:val="22"/>
                <w:lang w:val="en-US"/>
              </w:rPr>
              <w:t xml:space="preserve">a UE without a shared channel occupancy, where the total </w:t>
            </w:r>
            <w:r w:rsidRPr="00D01D0D">
              <w:rPr>
                <w:rFonts w:ascii="Calibri" w:hAnsi="Calibri" w:cs="Calibri" w:hint="eastAsia"/>
                <w:strike/>
                <w:sz w:val="22"/>
                <w:highlight w:val="yellow"/>
                <w:lang w:val="en-US"/>
              </w:rPr>
              <w:t>SCSt</w:t>
            </w:r>
            <w:r w:rsidRPr="00D01D0D">
              <w:rPr>
                <w:rFonts w:ascii="Calibri" w:hAnsi="Calibri" w:cs="Calibri" w:hint="eastAsia"/>
                <w:strike/>
                <w:sz w:val="22"/>
                <w:lang w:val="en-US"/>
              </w:rPr>
              <w:t xml:space="preserve"> </w:t>
            </w:r>
            <w:r w:rsidRPr="00732D6D">
              <w:rPr>
                <w:rFonts w:ascii="Calibri" w:hAnsi="Calibri" w:cs="Calibri" w:hint="eastAsia"/>
                <w:sz w:val="22"/>
                <w:lang w:val="en-US"/>
              </w:rPr>
              <w:t xml:space="preserve">duration </w:t>
            </w:r>
            <w:r w:rsidRPr="00273728">
              <w:rPr>
                <w:rFonts w:ascii="Calibri" w:hAnsi="Calibri" w:cs="Calibri"/>
                <w:color w:val="FF0000"/>
                <w:sz w:val="22"/>
                <w:lang w:val="en-US"/>
              </w:rPr>
              <w:t>per UE</w:t>
            </w:r>
            <w:r>
              <w:rPr>
                <w:rFonts w:ascii="Calibri" w:hAnsi="Calibri" w:cs="Calibri"/>
                <w:sz w:val="22"/>
                <w:lang w:val="en-US"/>
              </w:rPr>
              <w:t xml:space="preserve"> </w:t>
            </w:r>
            <w:r w:rsidRPr="00732D6D">
              <w:rPr>
                <w:rFonts w:ascii="Calibri" w:hAnsi="Calibri" w:cs="Calibri" w:hint="eastAsia"/>
                <w:sz w:val="22"/>
                <w:lang w:val="en-US"/>
              </w:rPr>
              <w:t xml:space="preserve">is at most 1ms and the </w:t>
            </w:r>
            <w:r w:rsidRPr="00F94385">
              <w:rPr>
                <w:rFonts w:ascii="Calibri" w:hAnsi="Calibri" w:cs="Calibri" w:hint="eastAsia"/>
                <w:strike/>
                <w:color w:val="FF0000"/>
                <w:sz w:val="22"/>
                <w:lang w:val="en-US"/>
              </w:rPr>
              <w:t>combined</w:t>
            </w:r>
            <w:r w:rsidRPr="00F94385">
              <w:rPr>
                <w:rFonts w:ascii="Calibri" w:hAnsi="Calibri" w:cs="Calibri" w:hint="eastAsia"/>
                <w:color w:val="FF0000"/>
                <w:sz w:val="22"/>
                <w:lang w:val="en-US"/>
              </w:rPr>
              <w:t xml:space="preserve"> </w:t>
            </w:r>
            <w:r w:rsidRPr="00732D6D">
              <w:rPr>
                <w:rFonts w:ascii="Calibri" w:hAnsi="Calibri" w:cs="Calibri" w:hint="eastAsia"/>
                <w:sz w:val="22"/>
                <w:lang w:val="en-US"/>
              </w:rPr>
              <w:t>duty cycle is at most 1/20.</w:t>
            </w:r>
          </w:p>
          <w:p w14:paraId="1E302B25" w14:textId="77777777" w:rsidR="00D01D0D" w:rsidRPr="00F94385" w:rsidRDefault="00D01D0D" w:rsidP="00D01D0D">
            <w:pPr>
              <w:pStyle w:val="ListParagraph"/>
              <w:numPr>
                <w:ilvl w:val="0"/>
                <w:numId w:val="18"/>
              </w:numPr>
              <w:autoSpaceDE w:val="0"/>
              <w:autoSpaceDN w:val="0"/>
              <w:ind w:leftChars="0"/>
              <w:jc w:val="both"/>
              <w:rPr>
                <w:rFonts w:asciiTheme="minorHAnsi" w:hAnsiTheme="minorHAnsi" w:cstheme="minorHAnsi"/>
                <w:color w:val="FF0000"/>
                <w:sz w:val="22"/>
                <w:szCs w:val="22"/>
              </w:rPr>
            </w:pPr>
            <w:r w:rsidRPr="00F94385">
              <w:rPr>
                <w:rFonts w:asciiTheme="minorHAnsi" w:hAnsiTheme="minorHAnsi" w:cstheme="minorHAnsi"/>
                <w:color w:val="FF0000"/>
                <w:sz w:val="22"/>
                <w:szCs w:val="22"/>
                <w:lang w:val="en-US"/>
              </w:rPr>
              <w:t xml:space="preserve">FFS: </w:t>
            </w:r>
            <w:r w:rsidRPr="00F94385">
              <w:rPr>
                <w:rFonts w:asciiTheme="minorHAnsi" w:hAnsiTheme="minorHAnsi" w:cstheme="minorHAnsi"/>
                <w:color w:val="FF0000"/>
                <w:sz w:val="22"/>
                <w:szCs w:val="22"/>
              </w:rPr>
              <w:t>whether also PSFCH can be transmitted with Type-2A w/o shared channel occupancy</w:t>
            </w:r>
            <w:r w:rsidRPr="00F94385">
              <w:rPr>
                <w:rFonts w:asciiTheme="minorHAnsi" w:hAnsiTheme="minorHAnsi" w:cstheme="minorHAnsi"/>
                <w:color w:val="FF0000"/>
                <w:sz w:val="22"/>
                <w:szCs w:val="22"/>
                <w:lang w:val="en-US"/>
              </w:rPr>
              <w:t xml:space="preserve"> </w:t>
            </w:r>
            <w:r w:rsidRPr="00D01D0D">
              <w:rPr>
                <w:rFonts w:asciiTheme="minorHAnsi" w:hAnsiTheme="minorHAnsi" w:cstheme="minorHAnsi"/>
                <w:strike/>
                <w:color w:val="FF0000"/>
                <w:sz w:val="22"/>
                <w:szCs w:val="22"/>
                <w:highlight w:val="yellow"/>
                <w:lang w:val="en-US"/>
              </w:rPr>
              <w:t>(with SCSt)</w:t>
            </w:r>
          </w:p>
          <w:p w14:paraId="38F3F4FF" w14:textId="77777777" w:rsidR="00D01D0D" w:rsidRDefault="00D01D0D" w:rsidP="00D01D0D">
            <w:pPr>
              <w:pStyle w:val="ListParagraph"/>
              <w:numPr>
                <w:ilvl w:val="1"/>
                <w:numId w:val="18"/>
              </w:numPr>
              <w:autoSpaceDE w:val="0"/>
              <w:autoSpaceDN w:val="0"/>
              <w:ind w:leftChars="0"/>
              <w:jc w:val="both"/>
              <w:rPr>
                <w:rFonts w:asciiTheme="minorHAnsi" w:hAnsiTheme="minorHAnsi" w:cstheme="minorHAnsi"/>
                <w:color w:val="FF0000"/>
                <w:sz w:val="22"/>
                <w:szCs w:val="22"/>
              </w:rPr>
            </w:pPr>
            <w:r w:rsidRPr="00F94385">
              <w:rPr>
                <w:rFonts w:asciiTheme="minorHAnsi" w:hAnsiTheme="minorHAnsi" w:cstheme="minorHAnsi"/>
                <w:color w:val="FF0000"/>
                <w:sz w:val="22"/>
                <w:szCs w:val="22"/>
              </w:rPr>
              <w:t>FFS: how to consider limitations based on joint duty cycle or total transmission time</w:t>
            </w:r>
          </w:p>
          <w:p w14:paraId="020AAA37" w14:textId="77777777" w:rsidR="00D01D0D" w:rsidRDefault="00D01D0D" w:rsidP="00D01D0D">
            <w:pPr>
              <w:pStyle w:val="ListParagraph"/>
              <w:numPr>
                <w:ilvl w:val="1"/>
                <w:numId w:val="18"/>
              </w:numPr>
              <w:autoSpaceDE w:val="0"/>
              <w:autoSpaceDN w:val="0"/>
              <w:ind w:leftChars="0"/>
              <w:jc w:val="both"/>
              <w:rPr>
                <w:rFonts w:asciiTheme="minorHAnsi" w:hAnsiTheme="minorHAnsi" w:cstheme="minorHAnsi"/>
                <w:color w:val="FF0000"/>
                <w:sz w:val="22"/>
                <w:szCs w:val="22"/>
              </w:rPr>
            </w:pPr>
            <w:r>
              <w:rPr>
                <w:rFonts w:asciiTheme="minorHAnsi" w:hAnsiTheme="minorHAnsi" w:cstheme="minorHAnsi"/>
                <w:color w:val="FF0000"/>
                <w:sz w:val="22"/>
                <w:szCs w:val="22"/>
              </w:rPr>
              <w:t>FFS: whether Type 2 channel access procedures can be applied to groupcast option 1</w:t>
            </w:r>
          </w:p>
          <w:p w14:paraId="3992743E" w14:textId="2C1426C8" w:rsidR="00D01D0D" w:rsidRPr="00126C60" w:rsidRDefault="00D01D0D" w:rsidP="00126C60">
            <w:pPr>
              <w:pStyle w:val="ListParagraph"/>
              <w:numPr>
                <w:ilvl w:val="1"/>
                <w:numId w:val="18"/>
              </w:numPr>
              <w:autoSpaceDE w:val="0"/>
              <w:autoSpaceDN w:val="0"/>
              <w:ind w:leftChars="0"/>
              <w:jc w:val="both"/>
              <w:rPr>
                <w:rFonts w:asciiTheme="minorHAnsi" w:hAnsiTheme="minorHAnsi" w:cstheme="minorHAnsi"/>
                <w:color w:val="FF0000"/>
                <w:sz w:val="22"/>
                <w:szCs w:val="22"/>
              </w:rPr>
            </w:pPr>
            <w:r>
              <w:rPr>
                <w:rFonts w:asciiTheme="minorHAnsi" w:hAnsiTheme="minorHAnsi" w:cstheme="minorHAnsi"/>
                <w:color w:val="FF0000"/>
                <w:sz w:val="22"/>
                <w:szCs w:val="22"/>
              </w:rPr>
              <w:t>FFS: how to handle the case when the total SCSt duration and the duty cycle constrains are not satisfied</w:t>
            </w:r>
          </w:p>
        </w:tc>
      </w:tr>
      <w:tr w:rsidR="000F6488" w14:paraId="0B1E6FD0" w14:textId="77777777" w:rsidTr="005A0613">
        <w:tc>
          <w:tcPr>
            <w:tcW w:w="1555" w:type="dxa"/>
          </w:tcPr>
          <w:p w14:paraId="7CD8F509" w14:textId="2C49C405" w:rsidR="000F6488" w:rsidRDefault="000F6488" w:rsidP="001A3992">
            <w:pPr>
              <w:pStyle w:val="0Maintext"/>
              <w:spacing w:after="0" w:afterAutospacing="0"/>
              <w:ind w:firstLine="0"/>
              <w:rPr>
                <w:rFonts w:eastAsiaTheme="minorEastAsia"/>
                <w:lang w:eastAsia="zh-CN"/>
              </w:rPr>
            </w:pPr>
            <w:r>
              <w:rPr>
                <w:rFonts w:eastAsiaTheme="minorEastAsia" w:hint="eastAsia"/>
                <w:lang w:eastAsia="zh-CN"/>
              </w:rPr>
              <w:lastRenderedPageBreak/>
              <w:t>S</w:t>
            </w:r>
            <w:r>
              <w:rPr>
                <w:rFonts w:eastAsiaTheme="minorEastAsia"/>
                <w:lang w:eastAsia="zh-CN"/>
              </w:rPr>
              <w:t>preadtrum</w:t>
            </w:r>
          </w:p>
        </w:tc>
        <w:tc>
          <w:tcPr>
            <w:tcW w:w="8079" w:type="dxa"/>
          </w:tcPr>
          <w:p w14:paraId="2A3D421F" w14:textId="75373473" w:rsidR="000F6488" w:rsidRDefault="000F6488" w:rsidP="004720AF">
            <w:pPr>
              <w:pStyle w:val="0Maintext"/>
              <w:spacing w:after="0" w:afterAutospacing="0"/>
              <w:ind w:firstLine="0"/>
              <w:rPr>
                <w:rFonts w:eastAsiaTheme="minorEastAsia"/>
                <w:lang w:eastAsia="zh-CN"/>
              </w:rPr>
            </w:pPr>
            <w:r>
              <w:rPr>
                <w:rFonts w:eastAsiaTheme="minorEastAsia" w:hint="eastAsia"/>
                <w:lang w:eastAsia="zh-CN"/>
              </w:rPr>
              <w:t>W</w:t>
            </w:r>
            <w:r>
              <w:rPr>
                <w:rFonts w:eastAsiaTheme="minorEastAsia"/>
                <w:lang w:eastAsia="zh-CN"/>
              </w:rPr>
              <w:t>e are fine with the proposal.</w:t>
            </w:r>
          </w:p>
        </w:tc>
      </w:tr>
      <w:tr w:rsidR="004B3EDD" w14:paraId="23210EFE" w14:textId="77777777" w:rsidTr="005A0613">
        <w:tc>
          <w:tcPr>
            <w:tcW w:w="1555" w:type="dxa"/>
          </w:tcPr>
          <w:p w14:paraId="0B63039E" w14:textId="1FC9AF0C" w:rsidR="004B3EDD" w:rsidRPr="004B3EDD" w:rsidRDefault="004B3EDD" w:rsidP="001A3992">
            <w:pPr>
              <w:pStyle w:val="0Maintext"/>
              <w:spacing w:after="0" w:afterAutospacing="0"/>
              <w:ind w:firstLine="0"/>
              <w:rPr>
                <w:rFonts w:eastAsia="MS Mincho"/>
                <w:lang w:eastAsia="ja-JP"/>
              </w:rPr>
            </w:pPr>
            <w:r>
              <w:rPr>
                <w:rFonts w:eastAsia="MS Mincho" w:hint="eastAsia"/>
                <w:lang w:eastAsia="ja-JP"/>
              </w:rPr>
              <w:t>P</w:t>
            </w:r>
            <w:r>
              <w:rPr>
                <w:rFonts w:eastAsia="MS Mincho"/>
                <w:lang w:eastAsia="ja-JP"/>
              </w:rPr>
              <w:t>anasonic</w:t>
            </w:r>
          </w:p>
        </w:tc>
        <w:tc>
          <w:tcPr>
            <w:tcW w:w="8079" w:type="dxa"/>
          </w:tcPr>
          <w:p w14:paraId="708E6E0E" w14:textId="2AF177AD" w:rsidR="004B3EDD" w:rsidRPr="004B3EDD" w:rsidRDefault="004B3EDD" w:rsidP="004720AF">
            <w:pPr>
              <w:pStyle w:val="0Maintext"/>
              <w:spacing w:after="0" w:afterAutospacing="0"/>
              <w:ind w:firstLine="0"/>
              <w:rPr>
                <w:rFonts w:eastAsia="MS Mincho"/>
                <w:lang w:eastAsia="ja-JP"/>
              </w:rPr>
            </w:pPr>
            <w:r>
              <w:rPr>
                <w:rFonts w:eastAsia="MS Mincho" w:hint="eastAsia"/>
                <w:lang w:eastAsia="ja-JP"/>
              </w:rPr>
              <w:t>W</w:t>
            </w:r>
            <w:r>
              <w:rPr>
                <w:rFonts w:eastAsia="MS Mincho"/>
                <w:lang w:eastAsia="ja-JP"/>
              </w:rPr>
              <w:t>e support the proposal.</w:t>
            </w:r>
          </w:p>
        </w:tc>
      </w:tr>
      <w:tr w:rsidR="006E0E7B" w14:paraId="5A22B4A1" w14:textId="77777777" w:rsidTr="005A0613">
        <w:tc>
          <w:tcPr>
            <w:tcW w:w="1555" w:type="dxa"/>
          </w:tcPr>
          <w:p w14:paraId="3092A917" w14:textId="0E451C40" w:rsidR="006E0E7B" w:rsidRPr="006E0E7B" w:rsidRDefault="006E0E7B" w:rsidP="006E0E7B">
            <w:pPr>
              <w:pStyle w:val="0Maintext"/>
              <w:spacing w:after="0" w:afterAutospacing="0"/>
              <w:ind w:firstLine="0"/>
              <w:rPr>
                <w:rFonts w:eastAsiaTheme="minorEastAsia"/>
                <w:lang w:eastAsia="zh-CN"/>
              </w:rPr>
            </w:pPr>
            <w:r>
              <w:rPr>
                <w:rFonts w:eastAsiaTheme="minorEastAsia" w:hint="eastAsia"/>
                <w:lang w:eastAsia="zh-CN"/>
              </w:rPr>
              <w:t>S</w:t>
            </w:r>
            <w:r>
              <w:rPr>
                <w:rFonts w:eastAsiaTheme="minorEastAsia"/>
                <w:lang w:eastAsia="zh-CN"/>
              </w:rPr>
              <w:t>amsung</w:t>
            </w:r>
          </w:p>
        </w:tc>
        <w:tc>
          <w:tcPr>
            <w:tcW w:w="8079" w:type="dxa"/>
          </w:tcPr>
          <w:p w14:paraId="056DA369" w14:textId="51E63033" w:rsidR="006E0E7B" w:rsidRDefault="006E0E7B" w:rsidP="006E0E7B">
            <w:pPr>
              <w:pStyle w:val="0Maintext"/>
              <w:spacing w:after="0" w:afterAutospacing="0"/>
              <w:ind w:firstLine="0"/>
              <w:rPr>
                <w:rFonts w:eastAsia="MS Mincho"/>
                <w:lang w:eastAsia="ja-JP"/>
              </w:rPr>
            </w:pPr>
            <w:r>
              <w:rPr>
                <w:rFonts w:eastAsiaTheme="minorEastAsia" w:hint="eastAsia"/>
                <w:lang w:eastAsia="zh-CN"/>
              </w:rPr>
              <w:t>G</w:t>
            </w:r>
            <w:r>
              <w:rPr>
                <w:rFonts w:eastAsiaTheme="minorEastAsia"/>
                <w:lang w:eastAsia="zh-CN"/>
              </w:rPr>
              <w:t>enerally OK with the proposal.</w:t>
            </w:r>
          </w:p>
        </w:tc>
      </w:tr>
      <w:tr w:rsidR="00EE4079" w14:paraId="15E79B05" w14:textId="77777777" w:rsidTr="005A0613">
        <w:tc>
          <w:tcPr>
            <w:tcW w:w="1555" w:type="dxa"/>
          </w:tcPr>
          <w:p w14:paraId="253158F4" w14:textId="50123552" w:rsidR="00EE4079" w:rsidRDefault="00EE4079" w:rsidP="006E0E7B">
            <w:pPr>
              <w:pStyle w:val="0Maintext"/>
              <w:spacing w:after="0" w:afterAutospacing="0"/>
              <w:ind w:firstLine="0"/>
              <w:rPr>
                <w:rFonts w:eastAsiaTheme="minorEastAsia"/>
                <w:lang w:eastAsia="zh-CN"/>
              </w:rPr>
            </w:pPr>
            <w:r>
              <w:rPr>
                <w:rFonts w:eastAsiaTheme="minorEastAsia"/>
                <w:lang w:eastAsia="zh-CN"/>
              </w:rPr>
              <w:t>Futurewei</w:t>
            </w:r>
          </w:p>
        </w:tc>
        <w:tc>
          <w:tcPr>
            <w:tcW w:w="8079" w:type="dxa"/>
          </w:tcPr>
          <w:p w14:paraId="712E3D03" w14:textId="05BD1B27" w:rsidR="00EE4079" w:rsidRDefault="00EE4079" w:rsidP="006E0E7B">
            <w:pPr>
              <w:pStyle w:val="0Maintext"/>
              <w:spacing w:after="0" w:afterAutospacing="0"/>
              <w:ind w:firstLine="0"/>
              <w:rPr>
                <w:rFonts w:eastAsiaTheme="minorEastAsia"/>
                <w:lang w:eastAsia="zh-CN"/>
              </w:rPr>
            </w:pPr>
            <w:r>
              <w:rPr>
                <w:rFonts w:eastAsiaTheme="minorEastAsia"/>
                <w:lang w:eastAsia="zh-CN"/>
              </w:rPr>
              <w:t>Fine with the proposal.</w:t>
            </w:r>
          </w:p>
        </w:tc>
      </w:tr>
      <w:tr w:rsidR="00663172" w14:paraId="2AF4EE65" w14:textId="77777777" w:rsidTr="005A0613">
        <w:tc>
          <w:tcPr>
            <w:tcW w:w="1555" w:type="dxa"/>
          </w:tcPr>
          <w:p w14:paraId="666FBB27" w14:textId="7020396B" w:rsidR="00663172" w:rsidRDefault="00663172" w:rsidP="00663172">
            <w:pPr>
              <w:pStyle w:val="0Maintext"/>
              <w:spacing w:after="0" w:afterAutospacing="0"/>
              <w:ind w:firstLine="0"/>
              <w:rPr>
                <w:rFonts w:eastAsiaTheme="minorEastAsia"/>
                <w:lang w:eastAsia="zh-CN"/>
              </w:rPr>
            </w:pPr>
            <w:r>
              <w:rPr>
                <w:rFonts w:eastAsiaTheme="minorEastAsia" w:hint="eastAsia"/>
                <w:lang w:eastAsia="zh-CN"/>
              </w:rPr>
              <w:t>C</w:t>
            </w:r>
            <w:r>
              <w:rPr>
                <w:rFonts w:eastAsiaTheme="minorEastAsia"/>
                <w:lang w:eastAsia="zh-CN"/>
              </w:rPr>
              <w:t>ATT/GH</w:t>
            </w:r>
          </w:p>
        </w:tc>
        <w:tc>
          <w:tcPr>
            <w:tcW w:w="8079" w:type="dxa"/>
          </w:tcPr>
          <w:p w14:paraId="1F47A0DB" w14:textId="77777777" w:rsidR="00663172" w:rsidRDefault="00663172" w:rsidP="00663172">
            <w:pPr>
              <w:pStyle w:val="0Maintext"/>
              <w:spacing w:after="0" w:afterAutospacing="0"/>
              <w:ind w:firstLine="0"/>
              <w:rPr>
                <w:rFonts w:eastAsiaTheme="minorEastAsia"/>
                <w:lang w:eastAsia="zh-CN"/>
              </w:rPr>
            </w:pPr>
            <w:r>
              <w:rPr>
                <w:rFonts w:eastAsiaTheme="minorEastAsia"/>
                <w:lang w:eastAsia="zh-CN"/>
              </w:rPr>
              <w:t xml:space="preserve">Based on FL’s clarification, we still feel confused about the relationship between Type 2A channel access and SCSt. For Type 2A, it is clear that channel sensing should be performed, while for </w:t>
            </w:r>
            <w:r>
              <w:rPr>
                <w:rFonts w:eastAsiaTheme="minorEastAsia" w:hint="eastAsia"/>
                <w:lang w:eastAsia="zh-CN"/>
              </w:rPr>
              <w:t>SCS</w:t>
            </w:r>
            <w:r>
              <w:rPr>
                <w:rFonts w:eastAsiaTheme="minorEastAsia"/>
                <w:lang w:eastAsia="zh-CN"/>
              </w:rPr>
              <w:t>t, transmissions can be performed without sensing the channel to be idle. Then, why are they linked in the proposal?</w:t>
            </w:r>
          </w:p>
          <w:p w14:paraId="19F2A317" w14:textId="77777777" w:rsidR="00663172" w:rsidRDefault="00663172" w:rsidP="00663172">
            <w:pPr>
              <w:pStyle w:val="0Maintext"/>
              <w:spacing w:after="0" w:afterAutospacing="0"/>
              <w:ind w:firstLine="0"/>
              <w:rPr>
                <w:rFonts w:eastAsiaTheme="minorEastAsia"/>
                <w:lang w:eastAsia="zh-CN"/>
              </w:rPr>
            </w:pPr>
            <w:r>
              <w:rPr>
                <w:rFonts w:eastAsiaTheme="minorEastAsia"/>
                <w:lang w:eastAsia="zh-CN"/>
              </w:rPr>
              <w:t>Therefore, before we talk about whether SCSt is applicable for S-SSB/PSFCH transmission, align the comprehend of SCSt among the group is essential.</w:t>
            </w:r>
          </w:p>
          <w:p w14:paraId="0C675F4F" w14:textId="77777777" w:rsidR="00663172" w:rsidRDefault="00663172" w:rsidP="00663172">
            <w:pPr>
              <w:pStyle w:val="0Maintext"/>
              <w:spacing w:after="0" w:afterAutospacing="0"/>
              <w:ind w:firstLine="0"/>
              <w:rPr>
                <w:rFonts w:eastAsiaTheme="minorEastAsia"/>
                <w:lang w:eastAsia="zh-CN"/>
              </w:rPr>
            </w:pPr>
          </w:p>
          <w:p w14:paraId="676BBB14" w14:textId="74C004C8" w:rsidR="00663172" w:rsidRDefault="00663172" w:rsidP="00663172">
            <w:pPr>
              <w:pStyle w:val="0Maintext"/>
              <w:spacing w:after="0" w:afterAutospacing="0"/>
              <w:ind w:firstLine="0"/>
              <w:rPr>
                <w:rFonts w:eastAsiaTheme="minorEastAsia"/>
                <w:lang w:eastAsia="zh-CN"/>
              </w:rPr>
            </w:pPr>
            <w:r>
              <w:rPr>
                <w:rFonts w:eastAsiaTheme="minorEastAsia" w:hint="eastAsia"/>
                <w:lang w:eastAsia="zh-CN"/>
              </w:rPr>
              <w:t>We</w:t>
            </w:r>
            <w:r>
              <w:rPr>
                <w:rFonts w:eastAsiaTheme="minorEastAsia"/>
                <w:lang w:eastAsia="zh-CN"/>
              </w:rPr>
              <w:t xml:space="preserve"> can agree with Apple’s modification.</w:t>
            </w:r>
          </w:p>
        </w:tc>
      </w:tr>
      <w:tr w:rsidR="00126C60" w14:paraId="22188EE6" w14:textId="77777777" w:rsidTr="00126C60">
        <w:tc>
          <w:tcPr>
            <w:tcW w:w="1555" w:type="dxa"/>
          </w:tcPr>
          <w:p w14:paraId="77754B82" w14:textId="77777777" w:rsidR="00126C60" w:rsidRDefault="00126C60" w:rsidP="0096086B">
            <w:pPr>
              <w:pStyle w:val="0Maintext"/>
              <w:spacing w:after="0" w:afterAutospacing="0"/>
              <w:ind w:firstLine="0"/>
              <w:rPr>
                <w:rFonts w:eastAsiaTheme="minorEastAsia"/>
                <w:lang w:eastAsia="zh-CN"/>
              </w:rPr>
            </w:pPr>
            <w:r>
              <w:rPr>
                <w:rFonts w:eastAsiaTheme="minorEastAsia" w:hint="eastAsia"/>
                <w:lang w:val="en-US" w:eastAsia="zh-CN"/>
              </w:rPr>
              <w:t>Transsion</w:t>
            </w:r>
          </w:p>
        </w:tc>
        <w:tc>
          <w:tcPr>
            <w:tcW w:w="8079" w:type="dxa"/>
          </w:tcPr>
          <w:p w14:paraId="69DEC42B" w14:textId="77777777" w:rsidR="00126C60" w:rsidRDefault="00126C60" w:rsidP="0096086B">
            <w:pPr>
              <w:pStyle w:val="0Maintext"/>
              <w:spacing w:after="0" w:afterAutospacing="0"/>
              <w:ind w:firstLine="0"/>
              <w:rPr>
                <w:rFonts w:eastAsiaTheme="minorEastAsia"/>
                <w:lang w:eastAsia="zh-CN"/>
              </w:rPr>
            </w:pPr>
            <w:r>
              <w:rPr>
                <w:rFonts w:eastAsiaTheme="minorEastAsia" w:hint="eastAsia"/>
                <w:lang w:val="en-US" w:eastAsia="zh-CN"/>
              </w:rPr>
              <w:t>We are fine with the proposal.</w:t>
            </w:r>
          </w:p>
        </w:tc>
      </w:tr>
      <w:tr w:rsidR="00126C60" w14:paraId="61E672AC" w14:textId="77777777" w:rsidTr="00126C60">
        <w:tc>
          <w:tcPr>
            <w:tcW w:w="1555" w:type="dxa"/>
          </w:tcPr>
          <w:p w14:paraId="232EC8E6" w14:textId="77777777" w:rsidR="00126C60" w:rsidRDefault="00126C60" w:rsidP="0096086B">
            <w:pPr>
              <w:pStyle w:val="0Maintext"/>
              <w:spacing w:after="0" w:afterAutospacing="0"/>
              <w:ind w:firstLine="0"/>
            </w:pPr>
            <w:r>
              <w:rPr>
                <w:rFonts w:eastAsia="MS Mincho"/>
                <w:lang w:eastAsia="ja-JP"/>
              </w:rPr>
              <w:t>Huawei, HiSilicon</w:t>
            </w:r>
          </w:p>
        </w:tc>
        <w:tc>
          <w:tcPr>
            <w:tcW w:w="8079" w:type="dxa"/>
          </w:tcPr>
          <w:p w14:paraId="54DDF3FF" w14:textId="77777777" w:rsidR="00126C60" w:rsidRDefault="00126C60" w:rsidP="0096086B">
            <w:pPr>
              <w:pStyle w:val="0Maintext"/>
              <w:spacing w:after="0" w:afterAutospacing="0"/>
              <w:ind w:firstLine="0"/>
            </w:pPr>
            <w:r>
              <w:rPr>
                <w:rFonts w:eastAsia="MS Mincho"/>
                <w:lang w:eastAsia="ja-JP"/>
              </w:rPr>
              <w:t>We prefer not to have the FFS for PSFCH due to its violation on regulation with tight periodicity and blockage on the higher priority transmission, but we can live with it in the FFS in this meeting.</w:t>
            </w:r>
          </w:p>
        </w:tc>
      </w:tr>
      <w:tr w:rsidR="00126C60" w14:paraId="32C7FA97" w14:textId="77777777" w:rsidTr="00126C60">
        <w:tc>
          <w:tcPr>
            <w:tcW w:w="1555" w:type="dxa"/>
          </w:tcPr>
          <w:p w14:paraId="60CA260C" w14:textId="77777777" w:rsidR="00126C60" w:rsidRPr="007449B7" w:rsidRDefault="00126C60" w:rsidP="0096086B">
            <w:pPr>
              <w:pStyle w:val="0Maintext"/>
              <w:spacing w:after="0" w:afterAutospacing="0"/>
              <w:ind w:firstLine="0"/>
              <w:rPr>
                <w:rFonts w:eastAsiaTheme="minorEastAsia"/>
                <w:lang w:val="en-US" w:eastAsia="zh-CN"/>
              </w:rPr>
            </w:pPr>
            <w:r w:rsidRPr="007449B7">
              <w:rPr>
                <w:rFonts w:eastAsiaTheme="minorEastAsia" w:hint="eastAsia"/>
                <w:lang w:val="en-US" w:eastAsia="zh-CN"/>
              </w:rPr>
              <w:t>ETRI</w:t>
            </w:r>
          </w:p>
        </w:tc>
        <w:tc>
          <w:tcPr>
            <w:tcW w:w="8079" w:type="dxa"/>
          </w:tcPr>
          <w:p w14:paraId="462273F9" w14:textId="77777777" w:rsidR="00126C60" w:rsidRPr="007449B7" w:rsidRDefault="00126C60" w:rsidP="0096086B">
            <w:pPr>
              <w:pStyle w:val="0Maintext"/>
              <w:spacing w:after="0" w:afterAutospacing="0"/>
              <w:ind w:firstLine="0"/>
              <w:rPr>
                <w:rFonts w:eastAsiaTheme="minorEastAsia"/>
                <w:lang w:val="en-US" w:eastAsia="zh-CN"/>
              </w:rPr>
            </w:pPr>
            <w:r w:rsidRPr="007449B7">
              <w:rPr>
                <w:rFonts w:eastAsiaTheme="minorEastAsia" w:hint="eastAsia"/>
                <w:lang w:val="en-US" w:eastAsia="zh-CN"/>
              </w:rPr>
              <w:t>We</w:t>
            </w:r>
            <w:r w:rsidRPr="007449B7">
              <w:rPr>
                <w:rFonts w:eastAsiaTheme="minorEastAsia"/>
                <w:lang w:val="en-US" w:eastAsia="zh-CN"/>
              </w:rPr>
              <w:t xml:space="preserve"> </w:t>
            </w:r>
            <w:r w:rsidRPr="007449B7">
              <w:rPr>
                <w:rFonts w:eastAsiaTheme="minorEastAsia" w:hint="eastAsia"/>
                <w:lang w:val="en-US" w:eastAsia="zh-CN"/>
              </w:rPr>
              <w:t>are</w:t>
            </w:r>
            <w:r w:rsidRPr="007449B7">
              <w:rPr>
                <w:rFonts w:eastAsiaTheme="minorEastAsia"/>
                <w:lang w:val="en-US" w:eastAsia="zh-CN"/>
              </w:rPr>
              <w:t xml:space="preserve"> </w:t>
            </w:r>
            <w:r w:rsidRPr="007449B7">
              <w:rPr>
                <w:rFonts w:eastAsiaTheme="minorEastAsia" w:hint="eastAsia"/>
                <w:lang w:val="en-US" w:eastAsia="zh-CN"/>
              </w:rPr>
              <w:t>fine</w:t>
            </w:r>
            <w:r w:rsidRPr="007449B7">
              <w:rPr>
                <w:rFonts w:eastAsiaTheme="minorEastAsia"/>
                <w:lang w:val="en-US" w:eastAsia="zh-CN"/>
              </w:rPr>
              <w:t xml:space="preserve"> </w:t>
            </w:r>
            <w:r w:rsidRPr="007449B7">
              <w:rPr>
                <w:rFonts w:eastAsiaTheme="minorEastAsia" w:hint="eastAsia"/>
                <w:lang w:val="en-US" w:eastAsia="zh-CN"/>
              </w:rPr>
              <w:t>with</w:t>
            </w:r>
            <w:r w:rsidRPr="007449B7">
              <w:rPr>
                <w:rFonts w:eastAsiaTheme="minorEastAsia"/>
                <w:lang w:val="en-US" w:eastAsia="zh-CN"/>
              </w:rPr>
              <w:t xml:space="preserve"> </w:t>
            </w:r>
            <w:r w:rsidRPr="007449B7">
              <w:rPr>
                <w:rFonts w:eastAsiaTheme="minorEastAsia" w:hint="eastAsia"/>
                <w:lang w:val="en-US" w:eastAsia="zh-CN"/>
              </w:rPr>
              <w:t>the</w:t>
            </w:r>
            <w:r w:rsidRPr="007449B7">
              <w:rPr>
                <w:rFonts w:eastAsiaTheme="minorEastAsia"/>
                <w:lang w:val="en-US" w:eastAsia="zh-CN"/>
              </w:rPr>
              <w:t xml:space="preserve"> </w:t>
            </w:r>
            <w:r w:rsidRPr="007449B7">
              <w:rPr>
                <w:rFonts w:eastAsiaTheme="minorEastAsia" w:hint="eastAsia"/>
                <w:lang w:val="en-US" w:eastAsia="zh-CN"/>
              </w:rPr>
              <w:t>proposal.</w:t>
            </w:r>
          </w:p>
        </w:tc>
      </w:tr>
      <w:tr w:rsidR="0049089E" w14:paraId="3A20B228" w14:textId="77777777" w:rsidTr="0049089E">
        <w:tc>
          <w:tcPr>
            <w:tcW w:w="1555" w:type="dxa"/>
          </w:tcPr>
          <w:p w14:paraId="0C9DB4A8" w14:textId="77777777" w:rsidR="0049089E" w:rsidRPr="007449B7" w:rsidRDefault="0049089E" w:rsidP="004711C5">
            <w:pPr>
              <w:pStyle w:val="0Maintext"/>
              <w:spacing w:after="0" w:afterAutospacing="0"/>
              <w:ind w:firstLine="0"/>
              <w:rPr>
                <w:rFonts w:eastAsiaTheme="minorEastAsia"/>
                <w:lang w:val="en-US" w:eastAsia="zh-CN"/>
              </w:rPr>
            </w:pPr>
            <w:r>
              <w:rPr>
                <w:rFonts w:eastAsiaTheme="minorEastAsia"/>
                <w:lang w:eastAsia="zh-CN"/>
              </w:rPr>
              <w:t>Ericsson</w:t>
            </w:r>
          </w:p>
        </w:tc>
        <w:tc>
          <w:tcPr>
            <w:tcW w:w="8079" w:type="dxa"/>
          </w:tcPr>
          <w:p w14:paraId="19284D0D" w14:textId="77777777" w:rsidR="0049089E" w:rsidRPr="007449B7" w:rsidRDefault="0049089E" w:rsidP="004711C5">
            <w:pPr>
              <w:pStyle w:val="0Maintext"/>
              <w:spacing w:after="0" w:afterAutospacing="0"/>
              <w:ind w:firstLine="0"/>
              <w:rPr>
                <w:rFonts w:eastAsiaTheme="minorEastAsia"/>
                <w:lang w:val="en-US" w:eastAsia="zh-CN"/>
              </w:rPr>
            </w:pPr>
            <w:r>
              <w:t>OK</w:t>
            </w:r>
          </w:p>
        </w:tc>
      </w:tr>
      <w:tr w:rsidR="0049089E" w14:paraId="5732EA8C" w14:textId="77777777" w:rsidTr="0049089E">
        <w:tc>
          <w:tcPr>
            <w:tcW w:w="1555" w:type="dxa"/>
          </w:tcPr>
          <w:p w14:paraId="135F787C" w14:textId="77777777" w:rsidR="0049089E" w:rsidRDefault="0049089E" w:rsidP="004711C5">
            <w:pPr>
              <w:pStyle w:val="0Maintext"/>
              <w:spacing w:after="0" w:afterAutospacing="0"/>
              <w:ind w:firstLine="0"/>
              <w:rPr>
                <w:rFonts w:eastAsiaTheme="minorEastAsia"/>
                <w:lang w:eastAsia="zh-CN"/>
              </w:rPr>
            </w:pPr>
            <w:r>
              <w:rPr>
                <w:rFonts w:eastAsiaTheme="minorEastAsia" w:hint="eastAsia"/>
                <w:lang w:val="en-US" w:eastAsia="zh-CN"/>
              </w:rPr>
              <w:t>M</w:t>
            </w:r>
            <w:r>
              <w:rPr>
                <w:rFonts w:eastAsiaTheme="minorEastAsia"/>
                <w:lang w:val="en-US" w:eastAsia="zh-CN"/>
              </w:rPr>
              <w:t>ediaTek</w:t>
            </w:r>
          </w:p>
        </w:tc>
        <w:tc>
          <w:tcPr>
            <w:tcW w:w="8079" w:type="dxa"/>
          </w:tcPr>
          <w:p w14:paraId="509DD941" w14:textId="77777777" w:rsidR="0049089E" w:rsidRDefault="0049089E" w:rsidP="004711C5">
            <w:pPr>
              <w:pStyle w:val="0Maintext"/>
              <w:spacing w:after="0" w:afterAutospacing="0"/>
              <w:ind w:firstLine="0"/>
              <w:rPr>
                <w:rFonts w:eastAsiaTheme="minorEastAsia"/>
                <w:lang w:val="en-US" w:eastAsia="zh-CN"/>
              </w:rPr>
            </w:pPr>
            <w:r>
              <w:rPr>
                <w:rFonts w:eastAsiaTheme="minorEastAsia" w:hint="eastAsia"/>
                <w:lang w:val="en-US" w:eastAsia="zh-CN"/>
              </w:rPr>
              <w:t>W</w:t>
            </w:r>
            <w:r>
              <w:rPr>
                <w:rFonts w:eastAsiaTheme="minorEastAsia"/>
                <w:lang w:val="en-US" w:eastAsia="zh-CN"/>
              </w:rPr>
              <w:t xml:space="preserve">e are generally fine with the proposal except one thing want to clarify. It seems that Type 2A channel access is bounded with SCSt in the proposal. To this point, we share the similar confusion with Apple. Does it mean </w:t>
            </w:r>
            <w:r>
              <w:rPr>
                <w:rFonts w:eastAsiaTheme="minorEastAsia" w:hint="eastAsia"/>
                <w:lang w:val="en-US" w:eastAsia="zh-CN"/>
              </w:rPr>
              <w:t>only</w:t>
            </w:r>
            <w:r>
              <w:rPr>
                <w:rFonts w:eastAsiaTheme="minorEastAsia"/>
                <w:lang w:val="en-US" w:eastAsia="zh-CN"/>
              </w:rPr>
              <w:t xml:space="preserve"> Type 2A is supported for SCSt? Considering we have not yet agreed on which channel access type (Type 2A/2C) should be applied for SCSt during last meeting, how about Type 2C for SCSt? </w:t>
            </w:r>
          </w:p>
          <w:p w14:paraId="52A472E5" w14:textId="77777777" w:rsidR="0049089E" w:rsidRDefault="0049089E" w:rsidP="004711C5">
            <w:pPr>
              <w:pStyle w:val="0Maintext"/>
              <w:spacing w:after="0" w:afterAutospacing="0"/>
              <w:ind w:firstLine="0"/>
              <w:rPr>
                <w:rFonts w:eastAsiaTheme="minorEastAsia"/>
                <w:lang w:val="en-US" w:eastAsia="zh-CN"/>
              </w:rPr>
            </w:pPr>
          </w:p>
          <w:p w14:paraId="09D8A4B2" w14:textId="77777777" w:rsidR="0049089E" w:rsidRDefault="0049089E" w:rsidP="004711C5">
            <w:pPr>
              <w:pStyle w:val="0Maintext"/>
              <w:spacing w:after="0" w:afterAutospacing="0"/>
              <w:ind w:firstLine="0"/>
            </w:pPr>
            <w:r>
              <w:rPr>
                <w:rFonts w:eastAsiaTheme="minorEastAsia"/>
                <w:lang w:val="en-US" w:eastAsia="zh-CN"/>
              </w:rPr>
              <w:t>Additionally, maybe the wording “</w:t>
            </w:r>
            <w:r w:rsidRPr="00E97532">
              <w:rPr>
                <w:rFonts w:eastAsiaTheme="minorEastAsia"/>
                <w:lang w:val="en-US" w:eastAsia="zh-CN"/>
              </w:rPr>
              <w:t>Type-2A</w:t>
            </w:r>
            <w:r>
              <w:rPr>
                <w:rFonts w:eastAsiaTheme="minorEastAsia"/>
                <w:lang w:val="en-US" w:eastAsia="zh-CN"/>
              </w:rPr>
              <w:t>” in the 2</w:t>
            </w:r>
            <w:r w:rsidRPr="00E97532">
              <w:rPr>
                <w:rFonts w:eastAsiaTheme="minorEastAsia"/>
                <w:vertAlign w:val="superscript"/>
                <w:lang w:val="en-US" w:eastAsia="zh-CN"/>
              </w:rPr>
              <w:t>nd</w:t>
            </w:r>
            <w:r>
              <w:rPr>
                <w:rFonts w:eastAsiaTheme="minorEastAsia"/>
                <w:lang w:val="en-US" w:eastAsia="zh-CN"/>
              </w:rPr>
              <w:t xml:space="preserve"> bullet could be revised as “Type 2A” to align with the wording in the 1</w:t>
            </w:r>
            <w:r w:rsidRPr="00E97532">
              <w:rPr>
                <w:rFonts w:eastAsiaTheme="minorEastAsia"/>
                <w:vertAlign w:val="superscript"/>
                <w:lang w:val="en-US" w:eastAsia="zh-CN"/>
              </w:rPr>
              <w:t>st</w:t>
            </w:r>
            <w:r>
              <w:rPr>
                <w:rFonts w:eastAsiaTheme="minorEastAsia"/>
                <w:lang w:val="en-US" w:eastAsia="zh-CN"/>
              </w:rPr>
              <w:t xml:space="preserve"> bullet.</w:t>
            </w:r>
          </w:p>
        </w:tc>
      </w:tr>
    </w:tbl>
    <w:p w14:paraId="49BCE646" w14:textId="77777777" w:rsidR="00E150BA" w:rsidRDefault="00E150BA" w:rsidP="00840D46">
      <w:pPr>
        <w:rPr>
          <w:lang w:eastAsia="x-none"/>
        </w:rPr>
      </w:pPr>
    </w:p>
    <w:p w14:paraId="579D86A7" w14:textId="77777777" w:rsidR="0049089E" w:rsidRDefault="0049089E">
      <w:pPr>
        <w:rPr>
          <w:rFonts w:ascii="Arial" w:hAnsi="Arial"/>
          <w:b/>
          <w:bCs/>
          <w:i/>
          <w:iCs/>
          <w:color w:val="000000" w:themeColor="text1"/>
          <w:sz w:val="24"/>
          <w:szCs w:val="28"/>
          <w:lang w:eastAsia="x-none"/>
        </w:rPr>
      </w:pPr>
      <w:r>
        <w:rPr>
          <w:color w:val="000000" w:themeColor="text1"/>
        </w:rPr>
        <w:br w:type="page"/>
      </w:r>
    </w:p>
    <w:p w14:paraId="487BB0F0" w14:textId="194DC57A" w:rsidR="00840D46" w:rsidRPr="001D6E06" w:rsidRDefault="005379E4" w:rsidP="00CF5D09">
      <w:pPr>
        <w:pStyle w:val="Heading2"/>
        <w:rPr>
          <w:rFonts w:cs="Arial"/>
          <w:color w:val="000000" w:themeColor="text1"/>
          <w:szCs w:val="24"/>
        </w:rPr>
      </w:pPr>
      <w:r>
        <w:rPr>
          <w:color w:val="000000" w:themeColor="text1"/>
        </w:rPr>
        <w:lastRenderedPageBreak/>
        <w:t>[</w:t>
      </w:r>
      <w:r w:rsidR="00255139">
        <w:rPr>
          <w:color w:val="000000" w:themeColor="text1"/>
        </w:rPr>
        <w:t>ACTIVE</w:t>
      </w:r>
      <w:r>
        <w:rPr>
          <w:color w:val="000000" w:themeColor="text1"/>
        </w:rPr>
        <w:t xml:space="preserve">] </w:t>
      </w:r>
      <w:r w:rsidR="00840D46" w:rsidRPr="001D6E06">
        <w:rPr>
          <w:rFonts w:cs="Arial"/>
          <w:color w:val="000000" w:themeColor="text1"/>
          <w:szCs w:val="24"/>
        </w:rPr>
        <w:t xml:space="preserve">Topic #4: </w:t>
      </w:r>
      <w:r w:rsidR="00725218">
        <w:rPr>
          <w:rFonts w:cs="Arial"/>
          <w:color w:val="000000" w:themeColor="text1"/>
          <w:szCs w:val="24"/>
        </w:rPr>
        <w:t>CP Extension (CPE)</w:t>
      </w:r>
    </w:p>
    <w:p w14:paraId="6B720313" w14:textId="77777777" w:rsidR="002B10DE" w:rsidRDefault="002B10DE" w:rsidP="002B10DE">
      <w:pPr>
        <w:autoSpaceDE w:val="0"/>
        <w:autoSpaceDN w:val="0"/>
        <w:jc w:val="both"/>
        <w:rPr>
          <w:rFonts w:ascii="Calibri" w:hAnsi="Calibri" w:cs="Calibri"/>
          <w:color w:val="000000" w:themeColor="text1"/>
          <w:sz w:val="22"/>
        </w:rPr>
      </w:pPr>
      <w:r w:rsidRPr="00F11BA6">
        <w:rPr>
          <w:rFonts w:ascii="Calibri" w:hAnsi="Calibri" w:cs="Calibri"/>
          <w:b/>
          <w:bCs/>
          <w:color w:val="000000" w:themeColor="text1"/>
          <w:sz w:val="22"/>
          <w:u w:val="single"/>
        </w:rPr>
        <w:t>Background</w:t>
      </w:r>
      <w:r w:rsidRPr="00F11BA6">
        <w:rPr>
          <w:rFonts w:ascii="Calibri" w:hAnsi="Calibri" w:cs="Calibri"/>
          <w:color w:val="000000" w:themeColor="text1"/>
          <w:sz w:val="22"/>
        </w:rPr>
        <w:t xml:space="preserve">: </w:t>
      </w:r>
    </w:p>
    <w:p w14:paraId="2408E049" w14:textId="6CB54C9C" w:rsidR="009228AF" w:rsidRPr="00134BD4" w:rsidRDefault="009228AF" w:rsidP="00D72A1A">
      <w:pPr>
        <w:autoSpaceDE w:val="0"/>
        <w:autoSpaceDN w:val="0"/>
        <w:spacing w:after="120"/>
        <w:jc w:val="both"/>
        <w:rPr>
          <w:rFonts w:ascii="Calibri" w:hAnsi="Calibri" w:cs="Calibri"/>
          <w:color w:val="000000" w:themeColor="text1"/>
          <w:sz w:val="22"/>
        </w:rPr>
      </w:pPr>
      <w:r w:rsidRPr="00134BD4">
        <w:rPr>
          <w:rFonts w:ascii="Calibri" w:hAnsi="Calibri" w:cs="Calibri"/>
          <w:color w:val="000000" w:themeColor="text1"/>
          <w:sz w:val="22"/>
        </w:rPr>
        <w:t xml:space="preserve">In the RAN1#109-e meeting, </w:t>
      </w:r>
      <w:r w:rsidR="00266E05" w:rsidRPr="00134BD4">
        <w:rPr>
          <w:rFonts w:ascii="Calibri" w:hAnsi="Calibri" w:cs="Calibri"/>
          <w:color w:val="000000" w:themeColor="text1"/>
          <w:sz w:val="22"/>
        </w:rPr>
        <w:t xml:space="preserve">it was agreed that CPE is supported for SL-U. It is commonly understood that CPE of a short duration is transmitted to fill-in a transmission gap within a COT such that the node/device is able to apply one of Type 2A/2B/2C short LBT to access the channel within a COT. In addition, the starting position or the length of the CPE could be also used for deciding which node/device get to access the channel based on some criteria (e.g., priority class) by blocking others before a transmission/slot boundary. In NR-U, this kind of scheme/mechanism is used for TDM access between the nodes/devices when the transmission occupies </w:t>
      </w:r>
      <w:r w:rsidR="00266E05" w:rsidRPr="00134BD4">
        <w:rPr>
          <w:rFonts w:ascii="Calibri" w:hAnsi="Calibri" w:cs="Calibri" w:hint="eastAsia"/>
          <w:color w:val="000000" w:themeColor="text1"/>
          <w:sz w:val="22"/>
          <w:lang w:val="en-US" w:eastAsia="x-none"/>
        </w:rPr>
        <w:t>all resource blocks of one</w:t>
      </w:r>
      <w:r w:rsidR="00266E05" w:rsidRPr="00134BD4">
        <w:rPr>
          <w:rFonts w:ascii="Calibri" w:hAnsi="Calibri" w:cs="Calibri"/>
          <w:color w:val="000000" w:themeColor="text1"/>
          <w:sz w:val="22"/>
          <w:lang w:val="en-US" w:eastAsia="x-none"/>
        </w:rPr>
        <w:t xml:space="preserve"> RB set.</w:t>
      </w:r>
    </w:p>
    <w:tbl>
      <w:tblPr>
        <w:tblStyle w:val="TableGrid"/>
        <w:tblW w:w="0" w:type="auto"/>
        <w:tblLook w:val="04A0" w:firstRow="1" w:lastRow="0" w:firstColumn="1" w:lastColumn="0" w:noHBand="0" w:noVBand="1"/>
      </w:tblPr>
      <w:tblGrid>
        <w:gridCol w:w="9631"/>
      </w:tblGrid>
      <w:tr w:rsidR="009228AF" w14:paraId="2AC3A0B2" w14:textId="77777777" w:rsidTr="009228AF">
        <w:tc>
          <w:tcPr>
            <w:tcW w:w="9631" w:type="dxa"/>
          </w:tcPr>
          <w:p w14:paraId="3870BA02" w14:textId="77777777" w:rsidR="00710810" w:rsidRPr="003F56DF" w:rsidRDefault="00710810" w:rsidP="00710810">
            <w:pPr>
              <w:autoSpaceDE w:val="0"/>
              <w:autoSpaceDN w:val="0"/>
              <w:spacing w:before="60"/>
              <w:jc w:val="both"/>
              <w:rPr>
                <w:rFonts w:cs="Times"/>
                <w:b/>
                <w:bCs/>
              </w:rPr>
            </w:pPr>
            <w:r w:rsidRPr="003F56DF">
              <w:rPr>
                <w:rFonts w:cs="Times"/>
                <w:b/>
                <w:bCs/>
                <w:highlight w:val="green"/>
              </w:rPr>
              <w:t>Agreement</w:t>
            </w:r>
          </w:p>
          <w:p w14:paraId="579CB4E5" w14:textId="77777777" w:rsidR="00710810" w:rsidRPr="003F56DF" w:rsidRDefault="00710810" w:rsidP="00710810">
            <w:pPr>
              <w:pStyle w:val="ListParagraph"/>
              <w:numPr>
                <w:ilvl w:val="0"/>
                <w:numId w:val="15"/>
              </w:numPr>
              <w:autoSpaceDE w:val="0"/>
              <w:autoSpaceDN w:val="0"/>
              <w:ind w:leftChars="0"/>
              <w:jc w:val="both"/>
              <w:rPr>
                <w:rFonts w:cs="Times"/>
              </w:rPr>
            </w:pPr>
            <w:r w:rsidRPr="003F56DF">
              <w:rPr>
                <w:rFonts w:cs="Times"/>
              </w:rPr>
              <w:t>UE-to-UE COT sharing is supported in NR sidelink operation in a shared channel (SL-U).</w:t>
            </w:r>
          </w:p>
          <w:p w14:paraId="31D48AB0" w14:textId="77777777" w:rsidR="00710810" w:rsidRPr="003F56DF" w:rsidRDefault="00710810" w:rsidP="00710810">
            <w:pPr>
              <w:pStyle w:val="ListParagraph"/>
              <w:numPr>
                <w:ilvl w:val="1"/>
                <w:numId w:val="15"/>
              </w:numPr>
              <w:autoSpaceDE w:val="0"/>
              <w:autoSpaceDN w:val="0"/>
              <w:ind w:leftChars="0"/>
              <w:jc w:val="both"/>
              <w:rPr>
                <w:rFonts w:cs="Times"/>
              </w:rPr>
            </w:pPr>
            <w:r w:rsidRPr="003F56DF">
              <w:rPr>
                <w:rFonts w:cs="Times"/>
              </w:rPr>
              <w:t>FFS applicable SL channels and signals (e.g., PSCCH/PSSCH, PSFCH, S-SSB) for shared COT access and any restrictions (e.g. whether the COT can be shared with a single UE or multiple UEs)</w:t>
            </w:r>
          </w:p>
          <w:p w14:paraId="41D93F14" w14:textId="77777777" w:rsidR="00710810" w:rsidRPr="003F56DF" w:rsidRDefault="00710810" w:rsidP="00710810">
            <w:pPr>
              <w:pStyle w:val="ListParagraph"/>
              <w:numPr>
                <w:ilvl w:val="1"/>
                <w:numId w:val="15"/>
              </w:numPr>
              <w:autoSpaceDE w:val="0"/>
              <w:autoSpaceDN w:val="0"/>
              <w:ind w:leftChars="0"/>
              <w:jc w:val="both"/>
              <w:rPr>
                <w:rFonts w:cs="Times"/>
              </w:rPr>
            </w:pPr>
            <w:r w:rsidRPr="003F56DF">
              <w:rPr>
                <w:rFonts w:cs="Times"/>
              </w:rPr>
              <w:t>FFS all other details in compliance with the regulatory requirement</w:t>
            </w:r>
            <w:r w:rsidRPr="003F56DF">
              <w:rPr>
                <w:rFonts w:cs="Times"/>
                <w:color w:val="7030A0"/>
              </w:rPr>
              <w:t>s</w:t>
            </w:r>
          </w:p>
          <w:p w14:paraId="4655C47F" w14:textId="77777777" w:rsidR="00710810" w:rsidRPr="003F56DF" w:rsidRDefault="00710810" w:rsidP="00710810">
            <w:pPr>
              <w:pStyle w:val="ListParagraph"/>
              <w:numPr>
                <w:ilvl w:val="0"/>
                <w:numId w:val="15"/>
              </w:numPr>
              <w:autoSpaceDE w:val="0"/>
              <w:autoSpaceDN w:val="0"/>
              <w:ind w:leftChars="0"/>
              <w:jc w:val="both"/>
              <w:rPr>
                <w:rFonts w:cs="Times"/>
              </w:rPr>
            </w:pPr>
            <w:r w:rsidRPr="003F56DF">
              <w:rPr>
                <w:rFonts w:cs="Times"/>
                <w:szCs w:val="22"/>
              </w:rPr>
              <w:t>CP extension (CPE)</w:t>
            </w:r>
            <w:r w:rsidRPr="003F56DF">
              <w:rPr>
                <w:rFonts w:cs="Times"/>
                <w:color w:val="000000"/>
                <w:szCs w:val="22"/>
              </w:rPr>
              <w:t xml:space="preserve"> is supported </w:t>
            </w:r>
            <w:r w:rsidRPr="003F56DF">
              <w:rPr>
                <w:rFonts w:cs="Times"/>
              </w:rPr>
              <w:t>for NR sidelink operation in a shared channel.</w:t>
            </w:r>
          </w:p>
          <w:p w14:paraId="5D5541A1" w14:textId="63601AFE" w:rsidR="009228AF" w:rsidRPr="009228AF" w:rsidRDefault="00710810" w:rsidP="00710810">
            <w:pPr>
              <w:pStyle w:val="ListParagraph"/>
              <w:numPr>
                <w:ilvl w:val="2"/>
                <w:numId w:val="15"/>
              </w:numPr>
              <w:spacing w:after="60"/>
              <w:ind w:leftChars="0"/>
              <w:rPr>
                <w:rFonts w:asciiTheme="minorHAnsi" w:hAnsiTheme="minorHAnsi" w:cstheme="minorHAnsi"/>
                <w:sz w:val="22"/>
                <w:szCs w:val="28"/>
              </w:rPr>
            </w:pPr>
            <w:r w:rsidRPr="003F56DF">
              <w:rPr>
                <w:rFonts w:cs="Times"/>
                <w:color w:val="000000"/>
              </w:rPr>
              <w:t>FFS all remaining details including applicable scenarios, usage, PHY structure, etc.</w:t>
            </w:r>
          </w:p>
        </w:tc>
      </w:tr>
    </w:tbl>
    <w:p w14:paraId="4A3D7F30" w14:textId="769CA0AE" w:rsidR="00134BD4" w:rsidRPr="00255139" w:rsidRDefault="00134BD4" w:rsidP="00C715C6">
      <w:pPr>
        <w:autoSpaceDE w:val="0"/>
        <w:autoSpaceDN w:val="0"/>
        <w:spacing w:before="120"/>
        <w:jc w:val="both"/>
        <w:rPr>
          <w:rFonts w:ascii="Calibri" w:hAnsi="Calibri" w:cs="Calibri"/>
          <w:color w:val="000000" w:themeColor="text1"/>
          <w:sz w:val="22"/>
        </w:rPr>
      </w:pPr>
      <w:r w:rsidRPr="00255139">
        <w:rPr>
          <w:rFonts w:ascii="Calibri" w:hAnsi="Calibri" w:cs="Calibri"/>
          <w:color w:val="000000" w:themeColor="text1"/>
          <w:sz w:val="22"/>
        </w:rPr>
        <w:t xml:space="preserve">In SL Mode 2 resource allocation, a sensing and reservation mechanism is employed to avoid Tx collision among UEs in the same resource pool. As such, it is very spectral efficient to allow different UE’s transmissions in the same slot in a FDM manner when their transmissions occupy only a portion of the channel/resource pool. Therefore, from reviewing the contributions submitted to this meeting, many want to retain this SL FDM transmission feature and allow multiple SL UEs to transmit in the same slot without blocking each other when they do not occupy the entire channel bandwidth / RB set. </w:t>
      </w:r>
      <w:r w:rsidR="00A803E8" w:rsidRPr="00255139">
        <w:rPr>
          <w:rFonts w:ascii="Calibri" w:hAnsi="Calibri" w:cs="Calibri"/>
          <w:color w:val="000000" w:themeColor="text1"/>
          <w:sz w:val="22"/>
        </w:rPr>
        <w:t xml:space="preserve">This can be also very </w:t>
      </w:r>
      <w:r w:rsidR="00432580" w:rsidRPr="00255139">
        <w:rPr>
          <w:rFonts w:ascii="Calibri" w:hAnsi="Calibri" w:cs="Calibri"/>
          <w:color w:val="000000" w:themeColor="text1"/>
          <w:sz w:val="22"/>
        </w:rPr>
        <w:t>useful</w:t>
      </w:r>
      <w:r w:rsidR="00A803E8" w:rsidRPr="00255139">
        <w:rPr>
          <w:rFonts w:ascii="Calibri" w:hAnsi="Calibri" w:cs="Calibri"/>
          <w:color w:val="000000" w:themeColor="text1"/>
          <w:sz w:val="22"/>
        </w:rPr>
        <w:t xml:space="preserve"> for PSFCH transmissions from multiple UEs in the same symbol without blocking.</w:t>
      </w:r>
    </w:p>
    <w:p w14:paraId="3B7F85BD" w14:textId="0DAF688A" w:rsidR="00AC4DEE" w:rsidRPr="00255139" w:rsidRDefault="00134BD4" w:rsidP="00C715C6">
      <w:pPr>
        <w:autoSpaceDE w:val="0"/>
        <w:autoSpaceDN w:val="0"/>
        <w:spacing w:before="120"/>
        <w:jc w:val="both"/>
        <w:rPr>
          <w:rFonts w:ascii="Calibri" w:hAnsi="Calibri" w:cs="Calibri"/>
          <w:color w:val="000000" w:themeColor="text1"/>
          <w:sz w:val="22"/>
        </w:rPr>
      </w:pPr>
      <w:r w:rsidRPr="00255139">
        <w:rPr>
          <w:rFonts w:ascii="Calibri" w:hAnsi="Calibri" w:cs="Calibri"/>
          <w:color w:val="000000" w:themeColor="text1"/>
          <w:sz w:val="22"/>
        </w:rPr>
        <w:t xml:space="preserve">At the same time, for the case when there is no prior reservation of any SL resource in a slot and two or more UEs decide to perform their initial transmissions in that slot with at least one </w:t>
      </w:r>
      <w:r w:rsidR="003B0416" w:rsidRPr="00255139">
        <w:rPr>
          <w:rFonts w:ascii="Calibri" w:hAnsi="Calibri" w:cs="Calibri"/>
          <w:color w:val="000000" w:themeColor="text1"/>
          <w:sz w:val="22"/>
        </w:rPr>
        <w:t>UE</w:t>
      </w:r>
      <w:r w:rsidRPr="00255139">
        <w:rPr>
          <w:rFonts w:ascii="Calibri" w:hAnsi="Calibri" w:cs="Calibri"/>
          <w:color w:val="000000" w:themeColor="text1"/>
          <w:sz w:val="22"/>
        </w:rPr>
        <w:t xml:space="preserve"> has a full bandwidth/RB set </w:t>
      </w:r>
      <w:r w:rsidR="003B0416" w:rsidRPr="00255139">
        <w:rPr>
          <w:rFonts w:ascii="Calibri" w:hAnsi="Calibri" w:cs="Calibri"/>
          <w:color w:val="000000" w:themeColor="text1"/>
          <w:sz w:val="22"/>
        </w:rPr>
        <w:t>transmission, then it may be beneficial to allow one UE (e.g., partial or full RB set transmission) to access the channel and block the other(s) to avoid collision.</w:t>
      </w:r>
    </w:p>
    <w:p w14:paraId="1D4A3CF1" w14:textId="207FE747" w:rsidR="003B0416" w:rsidRPr="00255139" w:rsidRDefault="003B0416" w:rsidP="00C715C6">
      <w:pPr>
        <w:autoSpaceDE w:val="0"/>
        <w:autoSpaceDN w:val="0"/>
        <w:spacing w:before="120"/>
        <w:jc w:val="both"/>
        <w:rPr>
          <w:rFonts w:ascii="Calibri" w:hAnsi="Calibri" w:cs="Calibri"/>
          <w:color w:val="000000" w:themeColor="text1"/>
          <w:sz w:val="22"/>
        </w:rPr>
      </w:pPr>
      <w:r w:rsidRPr="00255139">
        <w:rPr>
          <w:rFonts w:ascii="Calibri" w:hAnsi="Calibri" w:cs="Calibri"/>
          <w:color w:val="000000" w:themeColor="text1"/>
          <w:sz w:val="22"/>
        </w:rPr>
        <w:t xml:space="preserve">From reviewing the contributions submitted to this meeting, </w:t>
      </w:r>
      <w:r w:rsidR="00432580" w:rsidRPr="00255139">
        <w:rPr>
          <w:rFonts w:ascii="Calibri" w:hAnsi="Calibri" w:cs="Calibri"/>
          <w:color w:val="000000" w:themeColor="text1"/>
          <w:sz w:val="22"/>
        </w:rPr>
        <w:t xml:space="preserve">many proposed to define/introduce CPE starting positions / lengths </w:t>
      </w:r>
      <w:r w:rsidR="00255139" w:rsidRPr="00255139">
        <w:rPr>
          <w:rFonts w:ascii="Calibri" w:hAnsi="Calibri" w:cs="Calibri"/>
          <w:color w:val="000000" w:themeColor="text1"/>
          <w:sz w:val="22"/>
        </w:rPr>
        <w:t>for SL-U operation. Based on the described usage of CPE in the contributions, Proposal 4 is made in the following.</w:t>
      </w:r>
    </w:p>
    <w:p w14:paraId="070380F2" w14:textId="630C707C" w:rsidR="00BD4633" w:rsidRPr="00255139" w:rsidRDefault="00BD4633" w:rsidP="00C715C6">
      <w:pPr>
        <w:autoSpaceDE w:val="0"/>
        <w:autoSpaceDN w:val="0"/>
        <w:spacing w:before="120"/>
        <w:jc w:val="both"/>
        <w:rPr>
          <w:rFonts w:ascii="Calibri" w:hAnsi="Calibri" w:cs="Calibri"/>
          <w:color w:val="000000" w:themeColor="text1"/>
          <w:sz w:val="22"/>
        </w:rPr>
      </w:pPr>
    </w:p>
    <w:p w14:paraId="33B0CA3D" w14:textId="575C007F" w:rsidR="00B00E3D" w:rsidRPr="008F5EAB" w:rsidRDefault="002C72F4" w:rsidP="00B00E3D">
      <w:pPr>
        <w:pStyle w:val="Heading3"/>
      </w:pPr>
      <w:r>
        <w:t>FL Proposal for round 1 discussion</w:t>
      </w:r>
    </w:p>
    <w:p w14:paraId="55894559" w14:textId="28168529" w:rsidR="00AC4DEE" w:rsidRPr="00C65E36" w:rsidRDefault="00AC4DEE" w:rsidP="00FA6950">
      <w:pPr>
        <w:autoSpaceDE w:val="0"/>
        <w:autoSpaceDN w:val="0"/>
        <w:spacing w:before="120"/>
        <w:jc w:val="both"/>
        <w:rPr>
          <w:rFonts w:ascii="Calibri" w:hAnsi="Calibri" w:cs="Calibri"/>
          <w:sz w:val="22"/>
        </w:rPr>
      </w:pPr>
      <w:r w:rsidRPr="002D6E4C">
        <w:rPr>
          <w:rFonts w:ascii="Calibri" w:hAnsi="Calibri" w:cs="Calibri"/>
          <w:b/>
          <w:bCs/>
          <w:sz w:val="22"/>
        </w:rPr>
        <w:t>Proposal 4 (I):</w:t>
      </w:r>
    </w:p>
    <w:p w14:paraId="0364DF77" w14:textId="77777777" w:rsidR="00B00E3D" w:rsidRPr="00B00E3D" w:rsidRDefault="00B00E3D">
      <w:pPr>
        <w:pStyle w:val="0Maintext"/>
        <w:numPr>
          <w:ilvl w:val="0"/>
          <w:numId w:val="24"/>
        </w:numPr>
        <w:spacing w:after="60" w:afterAutospacing="0" w:line="240" w:lineRule="auto"/>
        <w:ind w:hanging="357"/>
        <w:rPr>
          <w:rFonts w:ascii="Calibri" w:hAnsi="Calibri" w:cs="Calibri"/>
          <w:sz w:val="22"/>
          <w:lang w:val="en-US" w:eastAsia="x-none"/>
        </w:rPr>
      </w:pPr>
      <w:r w:rsidRPr="00B00E3D">
        <w:rPr>
          <w:rFonts w:ascii="Calibri" w:hAnsi="Calibri" w:cs="Calibri" w:hint="eastAsia"/>
          <w:sz w:val="22"/>
          <w:lang w:val="en-US" w:eastAsia="x-none"/>
        </w:rPr>
        <w:t>A CPE is transmitted from a CPE starting position until the start of the AGC symbol of the next slot.</w:t>
      </w:r>
    </w:p>
    <w:p w14:paraId="4FDD9380" w14:textId="77777777" w:rsidR="00B00E3D" w:rsidRPr="00B00E3D" w:rsidRDefault="00B00E3D">
      <w:pPr>
        <w:pStyle w:val="0Maintext"/>
        <w:numPr>
          <w:ilvl w:val="1"/>
          <w:numId w:val="24"/>
        </w:numPr>
        <w:spacing w:after="60" w:afterAutospacing="0" w:line="240" w:lineRule="auto"/>
        <w:ind w:hanging="357"/>
        <w:rPr>
          <w:rFonts w:ascii="Calibri" w:hAnsi="Calibri" w:cs="Calibri"/>
          <w:sz w:val="22"/>
          <w:lang w:val="en-US" w:eastAsia="x-none"/>
        </w:rPr>
      </w:pPr>
      <w:r w:rsidRPr="00B00E3D">
        <w:rPr>
          <w:rFonts w:ascii="Calibri" w:hAnsi="Calibri" w:cs="Calibri" w:hint="eastAsia"/>
          <w:sz w:val="22"/>
          <w:lang w:val="en-US" w:eastAsia="x-none"/>
        </w:rPr>
        <w:t>FFS the CPE starting position is always confined within the last symbol of a slot (the GP symbol)</w:t>
      </w:r>
    </w:p>
    <w:p w14:paraId="027062FB" w14:textId="77777777" w:rsidR="00B00E3D" w:rsidRPr="00B00E3D" w:rsidRDefault="00B00E3D">
      <w:pPr>
        <w:pStyle w:val="0Maintext"/>
        <w:numPr>
          <w:ilvl w:val="0"/>
          <w:numId w:val="24"/>
        </w:numPr>
        <w:spacing w:after="60" w:afterAutospacing="0" w:line="240" w:lineRule="auto"/>
        <w:ind w:hanging="357"/>
        <w:rPr>
          <w:rFonts w:ascii="Calibri" w:hAnsi="Calibri" w:cs="Calibri"/>
          <w:sz w:val="22"/>
          <w:lang w:val="en-US" w:eastAsia="x-none"/>
        </w:rPr>
      </w:pPr>
      <w:r w:rsidRPr="00B00E3D">
        <w:rPr>
          <w:rFonts w:ascii="Calibri" w:hAnsi="Calibri" w:cs="Calibri" w:hint="eastAsia"/>
          <w:sz w:val="22"/>
          <w:lang w:val="en-US" w:eastAsia="x-none"/>
        </w:rPr>
        <w:t>A CPE starting position is (pre-)configured for a SL transmission using fewer than all resource blocks of an RB set</w:t>
      </w:r>
    </w:p>
    <w:p w14:paraId="2C91E39E" w14:textId="77777777" w:rsidR="00B00E3D" w:rsidRPr="00B00E3D" w:rsidRDefault="00B00E3D">
      <w:pPr>
        <w:pStyle w:val="0Maintext"/>
        <w:numPr>
          <w:ilvl w:val="1"/>
          <w:numId w:val="24"/>
        </w:numPr>
        <w:spacing w:after="60" w:afterAutospacing="0" w:line="240" w:lineRule="auto"/>
        <w:ind w:hanging="357"/>
        <w:rPr>
          <w:rFonts w:ascii="Calibri" w:hAnsi="Calibri" w:cs="Calibri"/>
          <w:sz w:val="22"/>
          <w:lang w:val="en-US" w:eastAsia="x-none"/>
        </w:rPr>
      </w:pPr>
      <w:r w:rsidRPr="00B00E3D">
        <w:rPr>
          <w:rFonts w:ascii="Calibri" w:hAnsi="Calibri" w:cs="Calibri" w:hint="eastAsia"/>
          <w:sz w:val="22"/>
          <w:lang w:val="en-US" w:eastAsia="x-none"/>
        </w:rPr>
        <w:t>FFS details, applicable scenarios (e.g., inside and outside a COT) and type(s) of SL transmission (e.g., PSSCH/PSCCH, PSFCH, S-SSB)</w:t>
      </w:r>
    </w:p>
    <w:p w14:paraId="214590C8" w14:textId="77777777" w:rsidR="00B00E3D" w:rsidRDefault="00B00E3D">
      <w:pPr>
        <w:pStyle w:val="0Maintext"/>
        <w:numPr>
          <w:ilvl w:val="0"/>
          <w:numId w:val="24"/>
        </w:numPr>
        <w:spacing w:after="60" w:afterAutospacing="0" w:line="240" w:lineRule="auto"/>
        <w:ind w:hanging="357"/>
        <w:rPr>
          <w:rFonts w:ascii="Calibri" w:hAnsi="Calibri" w:cs="Calibri"/>
          <w:sz w:val="22"/>
          <w:lang w:val="en-US" w:eastAsia="x-none"/>
        </w:rPr>
      </w:pPr>
      <w:r w:rsidRPr="00B00E3D">
        <w:rPr>
          <w:rFonts w:ascii="Calibri" w:hAnsi="Calibri" w:cs="Calibri" w:hint="eastAsia"/>
          <w:sz w:val="22"/>
          <w:lang w:val="en-US" w:eastAsia="x-none"/>
        </w:rPr>
        <w:t>Multiple CPE starting positions within the GP symbol based on transmission priority level (e.g., CAPC) is supported, at least for a SL transmission using all resource blocks of one or more RB set(s)</w:t>
      </w:r>
    </w:p>
    <w:p w14:paraId="57729EDA" w14:textId="2AA97192" w:rsidR="002B10DE" w:rsidRPr="00B00E3D" w:rsidRDefault="00B00E3D">
      <w:pPr>
        <w:pStyle w:val="0Maintext"/>
        <w:numPr>
          <w:ilvl w:val="1"/>
          <w:numId w:val="24"/>
        </w:numPr>
        <w:spacing w:after="120" w:afterAutospacing="0" w:line="240" w:lineRule="auto"/>
        <w:ind w:hanging="357"/>
        <w:rPr>
          <w:rFonts w:ascii="Calibri" w:hAnsi="Calibri" w:cs="Calibri"/>
          <w:sz w:val="22"/>
          <w:lang w:val="en-US" w:eastAsia="x-none"/>
        </w:rPr>
      </w:pPr>
      <w:r w:rsidRPr="00B00E3D">
        <w:rPr>
          <w:rFonts w:ascii="Calibri" w:eastAsia="Batang" w:hAnsi="Calibri" w:cs="Calibri" w:hint="eastAsia"/>
          <w:sz w:val="22"/>
          <w:szCs w:val="24"/>
          <w:lang w:val="en-US" w:eastAsia="x-none"/>
        </w:rPr>
        <w:t>FFS details and applicable scenarios</w:t>
      </w:r>
    </w:p>
    <w:p w14:paraId="0A69C52C" w14:textId="05D6AD44" w:rsidR="001D6E06" w:rsidRDefault="001D6E06" w:rsidP="002B10DE">
      <w:pPr>
        <w:pStyle w:val="0Maintext"/>
        <w:spacing w:after="0" w:afterAutospacing="0"/>
        <w:ind w:firstLine="0"/>
      </w:pPr>
    </w:p>
    <w:tbl>
      <w:tblPr>
        <w:tblStyle w:val="TableGrid"/>
        <w:tblW w:w="9631" w:type="dxa"/>
        <w:tblLayout w:type="fixed"/>
        <w:tblLook w:val="04A0" w:firstRow="1" w:lastRow="0" w:firstColumn="1" w:lastColumn="0" w:noHBand="0" w:noVBand="1"/>
      </w:tblPr>
      <w:tblGrid>
        <w:gridCol w:w="1555"/>
        <w:gridCol w:w="8076"/>
      </w:tblGrid>
      <w:tr w:rsidR="002C72F4" w14:paraId="2A823457" w14:textId="77777777" w:rsidTr="006B2419">
        <w:tc>
          <w:tcPr>
            <w:tcW w:w="1555" w:type="dxa"/>
          </w:tcPr>
          <w:p w14:paraId="7EE23B1D" w14:textId="77777777" w:rsidR="002C72F4" w:rsidRDefault="002C72F4" w:rsidP="00335DBF">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8076" w:type="dxa"/>
          </w:tcPr>
          <w:p w14:paraId="4802B262" w14:textId="77777777" w:rsidR="002C72F4" w:rsidRDefault="002C72F4" w:rsidP="00335DBF">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335DBF" w14:paraId="413F3A67" w14:textId="77777777" w:rsidTr="006B2419">
        <w:tc>
          <w:tcPr>
            <w:tcW w:w="1555" w:type="dxa"/>
          </w:tcPr>
          <w:p w14:paraId="081F9AB9" w14:textId="77777777" w:rsidR="00335DBF" w:rsidRDefault="00335DBF" w:rsidP="00335DBF">
            <w:pPr>
              <w:pStyle w:val="0Maintext"/>
              <w:spacing w:after="0" w:afterAutospacing="0"/>
              <w:ind w:firstLine="0"/>
            </w:pPr>
            <w:r>
              <w:t>IDCC</w:t>
            </w:r>
          </w:p>
        </w:tc>
        <w:tc>
          <w:tcPr>
            <w:tcW w:w="8076" w:type="dxa"/>
          </w:tcPr>
          <w:p w14:paraId="3F7F6D98" w14:textId="77777777" w:rsidR="00335DBF" w:rsidRDefault="00335DBF" w:rsidP="00335DBF">
            <w:pPr>
              <w:pStyle w:val="0Maintext"/>
              <w:spacing w:after="0" w:afterAutospacing="0"/>
              <w:ind w:firstLine="0"/>
            </w:pPr>
            <w:r>
              <w:t>We agree with the 1</w:t>
            </w:r>
            <w:r>
              <w:rPr>
                <w:vertAlign w:val="superscript"/>
              </w:rPr>
              <w:t>st</w:t>
            </w:r>
            <w:r>
              <w:t xml:space="preserve"> bullet, but not the 2</w:t>
            </w:r>
            <w:r>
              <w:rPr>
                <w:vertAlign w:val="superscript"/>
              </w:rPr>
              <w:t>nd</w:t>
            </w:r>
            <w:r>
              <w:t xml:space="preserve"> and 3</w:t>
            </w:r>
            <w:r>
              <w:rPr>
                <w:vertAlign w:val="superscript"/>
              </w:rPr>
              <w:t>rd</w:t>
            </w:r>
            <w:r>
              <w:t xml:space="preserve"> bullet. </w:t>
            </w:r>
          </w:p>
          <w:p w14:paraId="169C3783" w14:textId="77777777" w:rsidR="00335DBF" w:rsidRDefault="00335DBF" w:rsidP="00335DBF">
            <w:pPr>
              <w:pStyle w:val="0Maintext"/>
              <w:spacing w:after="0" w:afterAutospacing="0"/>
              <w:ind w:firstLine="0"/>
            </w:pPr>
          </w:p>
          <w:p w14:paraId="020A6786" w14:textId="77777777" w:rsidR="00335DBF" w:rsidRDefault="00335DBF" w:rsidP="00335DBF">
            <w:pPr>
              <w:pStyle w:val="0Maintext"/>
              <w:spacing w:after="0" w:afterAutospacing="0"/>
              <w:ind w:firstLine="0"/>
            </w:pPr>
            <w:r>
              <w:lastRenderedPageBreak/>
              <w:t>We think further updates are needed for the 2</w:t>
            </w:r>
            <w:r>
              <w:rPr>
                <w:vertAlign w:val="superscript"/>
              </w:rPr>
              <w:t>nd</w:t>
            </w:r>
            <w:r>
              <w:t xml:space="preserve"> and 3</w:t>
            </w:r>
            <w:r>
              <w:rPr>
                <w:vertAlign w:val="superscript"/>
              </w:rPr>
              <w:t>rd</w:t>
            </w:r>
            <w:r>
              <w:t xml:space="preserve"> bullet. We’d like to clarify why we need to define a fixed CPE starting position (the 2</w:t>
            </w:r>
            <w:r>
              <w:rPr>
                <w:vertAlign w:val="superscript"/>
              </w:rPr>
              <w:t>nd</w:t>
            </w:r>
            <w:r>
              <w:t xml:space="preserve"> bullet) vs multiple CPE starting position (the 3</w:t>
            </w:r>
            <w:r>
              <w:rPr>
                <w:vertAlign w:val="superscript"/>
              </w:rPr>
              <w:t>rd</w:t>
            </w:r>
            <w:r>
              <w:t xml:space="preserve"> bullet) based on the number of RB used. Depending where the pre-configured CPE starting position is relative to the different CPE starting position (for full-RB transmission), the current bullets could lead to a scenario where a SL transmission using fewer than all RBs in an RB set but with low priority could block a SL transmission using all RBs of an RB set with high priority.  </w:t>
            </w:r>
          </w:p>
          <w:p w14:paraId="6432255E" w14:textId="77777777" w:rsidR="00335DBF" w:rsidRDefault="00335DBF" w:rsidP="00335DBF">
            <w:pPr>
              <w:pStyle w:val="0Maintext"/>
              <w:spacing w:after="0" w:afterAutospacing="0"/>
              <w:ind w:firstLine="0"/>
            </w:pPr>
          </w:p>
          <w:p w14:paraId="72D06F00" w14:textId="77777777" w:rsidR="00335DBF" w:rsidRDefault="00335DBF" w:rsidP="00335DBF">
            <w:pPr>
              <w:pStyle w:val="0Maintext"/>
              <w:spacing w:after="0" w:afterAutospacing="0"/>
              <w:ind w:firstLine="0"/>
            </w:pPr>
            <w:r>
              <w:t>In our view, priority should be the only criterion to select a CPE starting position so high priority transmission can always block low priority transmission when sharing a same COT. Secondly, among transmissions at same CPE starting position (i.e. the priorities are the same or close), other mechanism can be applied to enable FDM between these transmissions.</w:t>
            </w:r>
          </w:p>
        </w:tc>
      </w:tr>
      <w:tr w:rsidR="00335DBF" w14:paraId="1B06E166" w14:textId="77777777" w:rsidTr="006B2419">
        <w:tc>
          <w:tcPr>
            <w:tcW w:w="1555" w:type="dxa"/>
          </w:tcPr>
          <w:p w14:paraId="31B04E5F" w14:textId="77777777" w:rsidR="00335DBF" w:rsidRDefault="00335DBF" w:rsidP="00335DBF">
            <w:pPr>
              <w:pStyle w:val="0Maintext"/>
              <w:spacing w:after="0" w:afterAutospacing="0"/>
              <w:ind w:firstLine="0"/>
            </w:pPr>
            <w:r>
              <w:lastRenderedPageBreak/>
              <w:t>Qualcomm</w:t>
            </w:r>
          </w:p>
        </w:tc>
        <w:tc>
          <w:tcPr>
            <w:tcW w:w="8076" w:type="dxa"/>
          </w:tcPr>
          <w:p w14:paraId="53BB5AE4" w14:textId="77777777" w:rsidR="00335DBF" w:rsidRDefault="00335DBF" w:rsidP="00335DBF">
            <w:pPr>
              <w:pStyle w:val="0Maintext"/>
              <w:spacing w:after="0" w:afterAutospacing="0"/>
              <w:ind w:firstLine="0"/>
            </w:pPr>
            <w:r>
              <w:t xml:space="preserve">We do support the spirit of the proposal, that aim at supporting both TDM and FDM of UEs, nevertheless </w:t>
            </w:r>
            <w:r>
              <w:rPr>
                <w:b/>
                <w:bCs/>
              </w:rPr>
              <w:t>we’d like to bring up some relevant discussion points and suggest modifications</w:t>
            </w:r>
            <w:r>
              <w:t>. We have two arguments:</w:t>
            </w:r>
          </w:p>
          <w:p w14:paraId="559AC880" w14:textId="77777777" w:rsidR="00335DBF" w:rsidRDefault="00335DBF">
            <w:pPr>
              <w:pStyle w:val="0Maintext"/>
              <w:numPr>
                <w:ilvl w:val="0"/>
                <w:numId w:val="41"/>
              </w:numPr>
              <w:spacing w:after="0" w:afterAutospacing="0"/>
            </w:pPr>
            <w:r>
              <w:rPr>
                <w:b/>
                <w:bCs/>
                <w:u w:val="single"/>
              </w:rPr>
              <w:t>Argument 1: choosing between single CPE start position or multiple CPE starting positions should not be about the number of allocated subchannels (e.g. &lt; full RB set) but about a determination that FDM with some other UE is actually accomplished</w:t>
            </w:r>
            <w:r>
              <w:t xml:space="preserve">. </w:t>
            </w:r>
          </w:p>
          <w:p w14:paraId="2E0AB104" w14:textId="77777777" w:rsidR="00335DBF" w:rsidRDefault="00335DBF">
            <w:pPr>
              <w:pStyle w:val="0Maintext"/>
              <w:numPr>
                <w:ilvl w:val="1"/>
                <w:numId w:val="41"/>
              </w:numPr>
              <w:spacing w:after="0" w:afterAutospacing="0"/>
            </w:pPr>
            <w:r>
              <w:t>Example1 (no resv, TDM with priority): UE1 (1</w:t>
            </w:r>
            <w:r>
              <w:rPr>
                <w:vertAlign w:val="superscript"/>
              </w:rPr>
              <w:t>st</w:t>
            </w:r>
            <w:r>
              <w:t xml:space="preserve"> TX) does not observe any reservation from other UEs, but selects 3 out of 5 interlaces in an RB set. There is no guarantee that the transmission will not collide with a UE2 (1</w:t>
            </w:r>
            <w:r>
              <w:rPr>
                <w:vertAlign w:val="superscript"/>
              </w:rPr>
              <w:t>st</w:t>
            </w:r>
            <w:r>
              <w:t xml:space="preserve"> TX) that is trying to transmit in the same RB set. UE1 should be allowed to get an advantage if it has high priority traffic than UE2. E.g., if UE1 has p=1, it should be allowed to use the earliest of a set of multiple CPE starting positions. </w:t>
            </w:r>
          </w:p>
          <w:p w14:paraId="6B35AA1C" w14:textId="77777777" w:rsidR="00335DBF" w:rsidRDefault="00335DBF">
            <w:pPr>
              <w:pStyle w:val="0Maintext"/>
              <w:numPr>
                <w:ilvl w:val="1"/>
                <w:numId w:val="41"/>
              </w:numPr>
              <w:spacing w:after="0" w:afterAutospacing="0"/>
            </w:pPr>
            <w:r>
              <w:t>Example 2 (resv., FDM or TDM with priority): UE1 (1</w:t>
            </w:r>
            <w:r>
              <w:rPr>
                <w:vertAlign w:val="superscript"/>
              </w:rPr>
              <w:t>st</w:t>
            </w:r>
            <w:r>
              <w:t xml:space="preserve"> TX) does observe a reservation from UE2 for a slot s2 (re-TX). If in resource selection UE1 elects to use the same slot s1=s2 (e.g. UE1 has higher priority and high threshold allows candidates subchannels in s2 to not be excluded), then whether to align (same CPE) or using another of the multiple CPE start positions should be determined by achieving FDM (i.e., non-overlapping subchannels) or not (i.e., partially overlapping subchannels), respectively. Even when UE1 decides to align the CPE due to FDM with UE2, we can consider different schemes like a) using a default CPE, or b) UE1 match the CPE indicated by UE2. Different schemes should be not precluded at this stage.</w:t>
            </w:r>
          </w:p>
          <w:p w14:paraId="04CBF534" w14:textId="77777777" w:rsidR="00335DBF" w:rsidRDefault="00335DBF">
            <w:pPr>
              <w:pStyle w:val="0Maintext"/>
              <w:numPr>
                <w:ilvl w:val="0"/>
                <w:numId w:val="41"/>
              </w:numPr>
              <w:spacing w:after="0" w:afterAutospacing="0"/>
            </w:pPr>
            <w:r>
              <w:rPr>
                <w:b/>
                <w:bCs/>
                <w:u w:val="single"/>
              </w:rPr>
              <w:t>Argument 2: all the other details could be studied.</w:t>
            </w:r>
            <w:r>
              <w:t xml:space="preserve"> We bring up a few topics:</w:t>
            </w:r>
          </w:p>
          <w:p w14:paraId="1F8A7747" w14:textId="77777777" w:rsidR="00335DBF" w:rsidRDefault="00335DBF">
            <w:pPr>
              <w:pStyle w:val="0Maintext"/>
              <w:numPr>
                <w:ilvl w:val="1"/>
                <w:numId w:val="41"/>
              </w:numPr>
              <w:spacing w:after="0" w:afterAutospacing="0"/>
            </w:pPr>
            <w:r>
              <w:t>Single CPE starting position is a sub-case of multiple CPE starting positions</w:t>
            </w:r>
          </w:p>
          <w:p w14:paraId="1E0E98CA" w14:textId="77777777" w:rsidR="00335DBF" w:rsidRDefault="00335DBF">
            <w:pPr>
              <w:pStyle w:val="0Maintext"/>
              <w:numPr>
                <w:ilvl w:val="1"/>
                <w:numId w:val="41"/>
              </w:numPr>
              <w:spacing w:after="0" w:afterAutospacing="0"/>
            </w:pPr>
            <w:r>
              <w:t>PSFCH does not need multiple CPE starting positions (FDM should be prioritized due to lower collision chance)</w:t>
            </w:r>
          </w:p>
          <w:p w14:paraId="3108477D" w14:textId="77777777" w:rsidR="00335DBF" w:rsidRDefault="00335DBF">
            <w:pPr>
              <w:pStyle w:val="0Maintext"/>
              <w:numPr>
                <w:ilvl w:val="1"/>
                <w:numId w:val="41"/>
              </w:numPr>
              <w:spacing w:after="0" w:afterAutospacing="0"/>
            </w:pPr>
            <w:r>
              <w:t>Out of COT we can do as NR-U: seven CPE starting positions distributed in two 30 KHz OFDM symbols (first at 16 us and others spaced 9 us each).</w:t>
            </w:r>
          </w:p>
          <w:p w14:paraId="25AB528A" w14:textId="77777777" w:rsidR="00335DBF" w:rsidRDefault="00335DBF">
            <w:pPr>
              <w:pStyle w:val="0Maintext"/>
              <w:numPr>
                <w:ilvl w:val="1"/>
                <w:numId w:val="41"/>
              </w:numPr>
              <w:spacing w:after="0" w:afterAutospacing="0"/>
            </w:pPr>
            <w:r>
              <w:t>In COT (for COT sharing) we can confine the CPE starting position(s) to the gap symbol</w:t>
            </w:r>
          </w:p>
          <w:p w14:paraId="388A4097" w14:textId="77777777" w:rsidR="00335DBF" w:rsidRDefault="00335DBF" w:rsidP="00335DBF">
            <w:pPr>
              <w:pStyle w:val="0Maintext"/>
              <w:spacing w:after="0" w:afterAutospacing="0"/>
              <w:rPr>
                <w:b/>
                <w:bCs/>
                <w:u w:val="single"/>
              </w:rPr>
            </w:pPr>
          </w:p>
          <w:p w14:paraId="2ADCAD22" w14:textId="77777777" w:rsidR="00335DBF" w:rsidRDefault="00335DBF" w:rsidP="00335DBF">
            <w:pPr>
              <w:pStyle w:val="0Maintext"/>
              <w:spacing w:after="0" w:afterAutospacing="0"/>
              <w:ind w:firstLine="0"/>
              <w:rPr>
                <w:b/>
                <w:bCs/>
                <w:u w:val="single"/>
              </w:rPr>
            </w:pPr>
            <w:r>
              <w:rPr>
                <w:b/>
                <w:bCs/>
                <w:u w:val="single"/>
              </w:rPr>
              <w:t>We propose the following modifications to the FL proposal to capture our arguments, and focus on agreeing on the support of multiple CPE starting positions (super-case of single starting position), detailed schemes should be further studied:</w:t>
            </w:r>
          </w:p>
          <w:p w14:paraId="6EEAC7BE" w14:textId="77777777" w:rsidR="00335DBF" w:rsidRDefault="00335DBF" w:rsidP="00335DBF">
            <w:pPr>
              <w:autoSpaceDE w:val="0"/>
              <w:autoSpaceDN w:val="0"/>
              <w:jc w:val="both"/>
              <w:rPr>
                <w:rFonts w:ascii="Calibri" w:hAnsi="Calibri" w:cs="Calibri"/>
                <w:sz w:val="22"/>
              </w:rPr>
            </w:pPr>
            <w:r>
              <w:rPr>
                <w:rFonts w:ascii="Calibri" w:hAnsi="Calibri" w:cs="Calibri"/>
                <w:b/>
                <w:bCs/>
                <w:sz w:val="22"/>
                <w:highlight w:val="yellow"/>
              </w:rPr>
              <w:t>Proposal 4 (I):</w:t>
            </w:r>
          </w:p>
          <w:p w14:paraId="3FFDAE6C" w14:textId="77777777" w:rsidR="00335DBF" w:rsidRDefault="00335DBF" w:rsidP="00335DBF">
            <w:pPr>
              <w:pStyle w:val="0Maintext"/>
              <w:numPr>
                <w:ilvl w:val="0"/>
                <w:numId w:val="24"/>
              </w:numPr>
              <w:tabs>
                <w:tab w:val="left" w:pos="720"/>
              </w:tabs>
              <w:spacing w:after="0" w:afterAutospacing="0" w:line="240" w:lineRule="auto"/>
              <w:ind w:hanging="357"/>
              <w:rPr>
                <w:rFonts w:ascii="Calibri" w:hAnsi="Calibri" w:cs="Calibri"/>
                <w:sz w:val="22"/>
                <w:lang w:val="en-US"/>
              </w:rPr>
            </w:pPr>
            <w:r>
              <w:rPr>
                <w:rFonts w:ascii="Calibri" w:hAnsi="Calibri" w:cs="Calibri" w:hint="eastAsia"/>
                <w:sz w:val="22"/>
                <w:lang w:val="en-US"/>
              </w:rPr>
              <w:t>A CPE is transmitted from a CPE starting position until the start of the AGC symbol of the next slot.</w:t>
            </w:r>
          </w:p>
          <w:p w14:paraId="02193C61" w14:textId="77777777" w:rsidR="00335DBF" w:rsidRDefault="00335DBF" w:rsidP="00335DBF">
            <w:pPr>
              <w:pStyle w:val="0Maintext"/>
              <w:numPr>
                <w:ilvl w:val="1"/>
                <w:numId w:val="24"/>
              </w:numPr>
              <w:spacing w:after="0" w:afterAutospacing="0" w:line="240" w:lineRule="auto"/>
              <w:ind w:hanging="357"/>
              <w:rPr>
                <w:rFonts w:ascii="Calibri" w:hAnsi="Calibri" w:cs="Calibri"/>
                <w:strike/>
                <w:color w:val="FF0000"/>
                <w:sz w:val="22"/>
                <w:lang w:val="en-US"/>
              </w:rPr>
            </w:pPr>
            <w:r>
              <w:rPr>
                <w:rFonts w:ascii="Calibri" w:hAnsi="Calibri" w:cs="Calibri" w:hint="eastAsia"/>
                <w:strike/>
                <w:color w:val="FF0000"/>
                <w:sz w:val="22"/>
                <w:lang w:val="en-US"/>
              </w:rPr>
              <w:t>FFS the CPE starting position is always confined within the last symbol of a slot (the GP symbol)</w:t>
            </w:r>
          </w:p>
          <w:p w14:paraId="1D2E123B" w14:textId="77777777" w:rsidR="00335DBF" w:rsidRDefault="00335DBF" w:rsidP="00335DBF">
            <w:pPr>
              <w:pStyle w:val="0Maintext"/>
              <w:numPr>
                <w:ilvl w:val="0"/>
                <w:numId w:val="24"/>
              </w:numPr>
              <w:tabs>
                <w:tab w:val="left" w:pos="720"/>
              </w:tabs>
              <w:spacing w:after="0" w:afterAutospacing="0" w:line="240" w:lineRule="auto"/>
              <w:ind w:hanging="357"/>
              <w:rPr>
                <w:rFonts w:ascii="Calibri" w:hAnsi="Calibri" w:cs="Calibri"/>
                <w:strike/>
                <w:color w:val="FF0000"/>
                <w:sz w:val="22"/>
                <w:lang w:val="en-US"/>
              </w:rPr>
            </w:pPr>
            <w:r>
              <w:rPr>
                <w:rFonts w:ascii="Calibri" w:hAnsi="Calibri" w:cs="Calibri" w:hint="eastAsia"/>
                <w:strike/>
                <w:color w:val="FF0000"/>
                <w:sz w:val="22"/>
                <w:lang w:val="en-US"/>
              </w:rPr>
              <w:t>A CPE starting position is (pre-)configured for a SL transmission using fewer than all resource blocks of an RB set</w:t>
            </w:r>
          </w:p>
          <w:p w14:paraId="0B7E35BC" w14:textId="77777777" w:rsidR="00335DBF" w:rsidRDefault="00335DBF" w:rsidP="00335DBF">
            <w:pPr>
              <w:pStyle w:val="0Maintext"/>
              <w:numPr>
                <w:ilvl w:val="1"/>
                <w:numId w:val="24"/>
              </w:numPr>
              <w:spacing w:after="0" w:afterAutospacing="0" w:line="240" w:lineRule="auto"/>
              <w:ind w:hanging="357"/>
              <w:rPr>
                <w:rFonts w:ascii="Calibri" w:hAnsi="Calibri" w:cs="Calibri"/>
                <w:strike/>
                <w:color w:val="FF0000"/>
                <w:sz w:val="22"/>
                <w:lang w:val="en-US"/>
              </w:rPr>
            </w:pPr>
            <w:r>
              <w:rPr>
                <w:rFonts w:ascii="Calibri" w:hAnsi="Calibri" w:cs="Calibri" w:hint="eastAsia"/>
                <w:strike/>
                <w:color w:val="FF0000"/>
                <w:sz w:val="22"/>
                <w:lang w:val="en-US"/>
              </w:rPr>
              <w:lastRenderedPageBreak/>
              <w:t>FFS details, applicable scenarios (e.g., inside and outside a COT) and type(s) of SL transmission (e.g., PSSCH/PSCCH, PSFCH, S-SSB)</w:t>
            </w:r>
          </w:p>
          <w:p w14:paraId="03E01EAE" w14:textId="77777777" w:rsidR="00335DBF" w:rsidRDefault="00335DBF" w:rsidP="00335DBF">
            <w:pPr>
              <w:pStyle w:val="0Maintext"/>
              <w:numPr>
                <w:ilvl w:val="0"/>
                <w:numId w:val="24"/>
              </w:numPr>
              <w:tabs>
                <w:tab w:val="left" w:pos="720"/>
              </w:tabs>
              <w:spacing w:after="0" w:afterAutospacing="0" w:line="240" w:lineRule="auto"/>
              <w:ind w:hanging="357"/>
              <w:rPr>
                <w:rFonts w:ascii="Calibri" w:hAnsi="Calibri" w:cs="Calibri"/>
                <w:sz w:val="22"/>
                <w:lang w:val="en-US"/>
              </w:rPr>
            </w:pPr>
            <w:r>
              <w:rPr>
                <w:rFonts w:ascii="Calibri" w:hAnsi="Calibri" w:cs="Calibri" w:hint="eastAsia"/>
                <w:sz w:val="22"/>
                <w:lang w:val="en-US"/>
              </w:rPr>
              <w:t xml:space="preserve">Multiple CPE starting positions </w:t>
            </w:r>
            <w:r>
              <w:rPr>
                <w:rFonts w:ascii="Calibri" w:hAnsi="Calibri" w:cs="Calibri" w:hint="eastAsia"/>
                <w:strike/>
                <w:color w:val="FF0000"/>
                <w:sz w:val="22"/>
                <w:lang w:val="en-US"/>
              </w:rPr>
              <w:t>within the GP symbol</w:t>
            </w:r>
            <w:r>
              <w:rPr>
                <w:rFonts w:ascii="Calibri" w:hAnsi="Calibri" w:cs="Calibri" w:hint="eastAsia"/>
                <w:color w:val="FF0000"/>
                <w:sz w:val="22"/>
                <w:lang w:val="en-US"/>
              </w:rPr>
              <w:t xml:space="preserve"> </w:t>
            </w:r>
            <w:r>
              <w:rPr>
                <w:rFonts w:ascii="Calibri" w:hAnsi="Calibri" w:cs="Calibri" w:hint="eastAsia"/>
                <w:sz w:val="22"/>
                <w:lang w:val="en-US"/>
              </w:rPr>
              <w:t xml:space="preserve">based on transmission priority level (e.g., CAPC) is supported, </w:t>
            </w:r>
            <w:r>
              <w:rPr>
                <w:rFonts w:ascii="Calibri" w:hAnsi="Calibri" w:cs="Calibri" w:hint="eastAsia"/>
                <w:strike/>
                <w:color w:val="FF0000"/>
                <w:sz w:val="22"/>
                <w:lang w:val="en-US"/>
              </w:rPr>
              <w:t>at least for a SL transmission using all resource blocks of one or more RB set(s)</w:t>
            </w:r>
          </w:p>
          <w:p w14:paraId="4805A139" w14:textId="77777777" w:rsidR="00335DBF" w:rsidRDefault="00335DBF" w:rsidP="00335DBF">
            <w:pPr>
              <w:pStyle w:val="0Maintext"/>
              <w:numPr>
                <w:ilvl w:val="1"/>
                <w:numId w:val="24"/>
              </w:numPr>
              <w:spacing w:after="0" w:afterAutospacing="0" w:line="240" w:lineRule="auto"/>
              <w:rPr>
                <w:rFonts w:ascii="Calibri" w:hAnsi="Calibri" w:cs="Calibri"/>
                <w:sz w:val="22"/>
                <w:lang w:val="en-US"/>
              </w:rPr>
            </w:pPr>
            <w:r>
              <w:rPr>
                <w:rFonts w:ascii="Calibri" w:eastAsia="Batang" w:hAnsi="Calibri" w:cs="Calibri" w:hint="eastAsia"/>
                <w:sz w:val="22"/>
                <w:szCs w:val="24"/>
                <w:lang w:val="en-US"/>
              </w:rPr>
              <w:t>FFS details</w:t>
            </w:r>
            <w:r>
              <w:rPr>
                <w:rFonts w:ascii="Calibri" w:eastAsia="Batang" w:hAnsi="Calibri" w:cs="Calibri"/>
                <w:sz w:val="22"/>
                <w:szCs w:val="24"/>
                <w:lang w:val="en-US"/>
              </w:rPr>
              <w:t xml:space="preserve"> </w:t>
            </w:r>
            <w:r>
              <w:rPr>
                <w:rFonts w:ascii="Calibri" w:eastAsia="Batang" w:hAnsi="Calibri" w:cs="Calibri"/>
                <w:color w:val="FF0000"/>
                <w:sz w:val="22"/>
                <w:szCs w:val="24"/>
                <w:lang w:val="en-US"/>
              </w:rPr>
              <w:t>(single and multiple CPE starting positions configurations, mapping to priorities, signaling, etc.)</w:t>
            </w:r>
            <w:r>
              <w:rPr>
                <w:rFonts w:ascii="Calibri" w:eastAsia="Batang" w:hAnsi="Calibri" w:cs="Calibri"/>
                <w:sz w:val="22"/>
                <w:szCs w:val="24"/>
                <w:lang w:val="en-US"/>
              </w:rPr>
              <w:t xml:space="preserve">, </w:t>
            </w:r>
            <w:r>
              <w:rPr>
                <w:rFonts w:ascii="Calibri" w:eastAsia="Batang" w:hAnsi="Calibri" w:cs="Calibri" w:hint="eastAsia"/>
                <w:sz w:val="22"/>
                <w:szCs w:val="24"/>
                <w:lang w:val="en-US"/>
              </w:rPr>
              <w:t>applicable scenarios</w:t>
            </w:r>
            <w:r>
              <w:rPr>
                <w:rFonts w:ascii="Calibri" w:eastAsia="Batang" w:hAnsi="Calibri" w:cs="Calibri"/>
                <w:sz w:val="22"/>
                <w:szCs w:val="24"/>
                <w:lang w:val="en-US"/>
              </w:rPr>
              <w:t xml:space="preserve"> </w:t>
            </w:r>
            <w:r>
              <w:rPr>
                <w:rFonts w:ascii="Calibri" w:hAnsi="Calibri" w:cs="Calibri" w:hint="eastAsia"/>
                <w:color w:val="FF0000"/>
                <w:sz w:val="22"/>
                <w:lang w:val="en-US"/>
              </w:rPr>
              <w:t>(e.g., inside and outside a COT</w:t>
            </w:r>
            <w:r>
              <w:rPr>
                <w:rFonts w:ascii="Calibri" w:hAnsi="Calibri" w:cs="Calibri"/>
                <w:color w:val="FF0000"/>
                <w:sz w:val="22"/>
                <w:lang w:val="en-US"/>
              </w:rPr>
              <w:t>, allocation of full or partial RB set</w:t>
            </w:r>
            <w:r>
              <w:rPr>
                <w:rFonts w:ascii="Calibri" w:hAnsi="Calibri" w:cs="Calibri" w:hint="eastAsia"/>
                <w:color w:val="FF0000"/>
                <w:sz w:val="22"/>
                <w:lang w:val="en-US"/>
              </w:rPr>
              <w:t>)</w:t>
            </w:r>
            <w:r>
              <w:rPr>
                <w:rFonts w:ascii="Calibri" w:hAnsi="Calibri" w:cs="Calibri"/>
                <w:color w:val="FF0000"/>
                <w:sz w:val="22"/>
                <w:lang w:val="en-US"/>
              </w:rPr>
              <w:t>,</w:t>
            </w:r>
            <w:r>
              <w:rPr>
                <w:rFonts w:ascii="Calibri" w:hAnsi="Calibri" w:cs="Calibri" w:hint="eastAsia"/>
                <w:color w:val="FF0000"/>
                <w:sz w:val="22"/>
                <w:lang w:val="en-US"/>
              </w:rPr>
              <w:t xml:space="preserve"> and type(s) of SL transmission (e.g., PSSCH/PSCCH, PSFCH, S-SSB)</w:t>
            </w:r>
          </w:p>
        </w:tc>
      </w:tr>
      <w:tr w:rsidR="00335DBF" w14:paraId="38C47AE9" w14:textId="77777777" w:rsidTr="006B2419">
        <w:tc>
          <w:tcPr>
            <w:tcW w:w="1555" w:type="dxa"/>
          </w:tcPr>
          <w:p w14:paraId="7201C9CA" w14:textId="77777777" w:rsidR="00335DBF" w:rsidRDefault="00335DBF" w:rsidP="00335DBF">
            <w:pPr>
              <w:pStyle w:val="0Maintext"/>
              <w:spacing w:after="0" w:afterAutospacing="0"/>
              <w:ind w:firstLine="0"/>
            </w:pPr>
            <w:r>
              <w:lastRenderedPageBreak/>
              <w:t>Intel</w:t>
            </w:r>
          </w:p>
        </w:tc>
        <w:tc>
          <w:tcPr>
            <w:tcW w:w="8076" w:type="dxa"/>
          </w:tcPr>
          <w:p w14:paraId="49A72C04" w14:textId="77777777" w:rsidR="00335DBF" w:rsidRDefault="00335DBF" w:rsidP="00335DBF">
            <w:pPr>
              <w:pStyle w:val="0Maintext"/>
              <w:spacing w:after="0" w:afterAutospacing="0"/>
              <w:ind w:firstLine="0"/>
            </w:pPr>
            <w:r>
              <w:t xml:space="preserve">We are generally OK with the direction of the proposal, and to adopt CPE to mitigate mutual blocking across UEs. However, for the FDM case (e.g., </w:t>
            </w:r>
            <w:r>
              <w:rPr>
                <w:rFonts w:hint="eastAsia"/>
              </w:rPr>
              <w:t>for a SL transmission using fewer than all resource blocks of an RB set</w:t>
            </w:r>
            <w:r>
              <w:t xml:space="preserve">), we are unclear whether a (pre)-configured CPE may be a proper solution. In this matter, we have the following questions: </w:t>
            </w:r>
          </w:p>
          <w:p w14:paraId="2D506301" w14:textId="77777777" w:rsidR="00335DBF" w:rsidRDefault="00335DBF">
            <w:pPr>
              <w:pStyle w:val="0Maintext"/>
              <w:numPr>
                <w:ilvl w:val="0"/>
                <w:numId w:val="42"/>
              </w:numPr>
              <w:spacing w:after="0" w:afterAutospacing="0"/>
            </w:pPr>
            <w:r>
              <w:t>how a gNB may be able to assign a proper CPE to a UE given that UEs may have different propagation delays, and transmission may arrive at a UE with different timing which are unknows to the gNB?</w:t>
            </w:r>
          </w:p>
          <w:p w14:paraId="7FF2F720" w14:textId="77777777" w:rsidR="00335DBF" w:rsidRDefault="00335DBF">
            <w:pPr>
              <w:pStyle w:val="0Maintext"/>
              <w:numPr>
                <w:ilvl w:val="0"/>
                <w:numId w:val="42"/>
              </w:numPr>
              <w:spacing w:after="0" w:afterAutospacing="0"/>
            </w:pPr>
            <w:r>
              <w:t xml:space="preserve">How a gNB may know when system works in RA mode 2 which UEs will be transmitting at a given time, and assign to each UEs a proper CPE, which is pre-configured, so that transmission from one UE may not collide with another UE? </w:t>
            </w:r>
          </w:p>
          <w:p w14:paraId="26FF77B2" w14:textId="77777777" w:rsidR="00335DBF" w:rsidRDefault="00335DBF" w:rsidP="00335DBF">
            <w:pPr>
              <w:pStyle w:val="0Maintext"/>
              <w:spacing w:after="0" w:afterAutospacing="0"/>
              <w:ind w:firstLine="0"/>
            </w:pPr>
            <w:r>
              <w:t>In this sense, before agreeing on a solution we would like to first discuss the drawbacks related to it.</w:t>
            </w:r>
          </w:p>
          <w:p w14:paraId="319F9EE3" w14:textId="77777777" w:rsidR="00335DBF" w:rsidRDefault="00335DBF" w:rsidP="00335DBF">
            <w:pPr>
              <w:pStyle w:val="0Maintext"/>
              <w:spacing w:after="0" w:afterAutospacing="0"/>
              <w:ind w:firstLine="0"/>
            </w:pPr>
          </w:p>
          <w:p w14:paraId="539F3F48" w14:textId="77777777" w:rsidR="00335DBF" w:rsidRDefault="00335DBF" w:rsidP="00335DBF">
            <w:pPr>
              <w:pStyle w:val="0Maintext"/>
              <w:spacing w:after="0" w:afterAutospacing="0"/>
              <w:ind w:firstLine="0"/>
            </w:pPr>
            <w:r>
              <w:t xml:space="preserve">For the TDM case (e.g., </w:t>
            </w:r>
            <w:r>
              <w:rPr>
                <w:rFonts w:hint="eastAsia"/>
              </w:rPr>
              <w:t>at least for a SL transmission using all resource blocks of one or more RB set(s)</w:t>
            </w:r>
            <w:r>
              <w:t>), we agree that multiple intra-symbol starting positions could be introduced, but details could be left as FFS, since this could be employed through different options.</w:t>
            </w:r>
          </w:p>
          <w:p w14:paraId="1F4B9EAD" w14:textId="77777777" w:rsidR="00335DBF" w:rsidRDefault="00335DBF" w:rsidP="00335DBF">
            <w:pPr>
              <w:pStyle w:val="0Maintext"/>
              <w:spacing w:after="0" w:afterAutospacing="0"/>
              <w:ind w:firstLine="0"/>
            </w:pPr>
            <w:r>
              <w:t>Therefore, we would like to propose the following updates:</w:t>
            </w:r>
          </w:p>
          <w:p w14:paraId="33130D71" w14:textId="77777777" w:rsidR="00335DBF" w:rsidRDefault="00335DBF" w:rsidP="00335DBF">
            <w:pPr>
              <w:pStyle w:val="0Maintext"/>
              <w:numPr>
                <w:ilvl w:val="0"/>
                <w:numId w:val="24"/>
              </w:numPr>
              <w:tabs>
                <w:tab w:val="left" w:pos="720"/>
              </w:tabs>
              <w:spacing w:after="0" w:afterAutospacing="0" w:line="240" w:lineRule="auto"/>
              <w:ind w:hanging="357"/>
              <w:rPr>
                <w:rFonts w:ascii="Calibri" w:hAnsi="Calibri" w:cs="Calibri"/>
                <w:sz w:val="22"/>
                <w:lang w:val="en-US"/>
              </w:rPr>
            </w:pPr>
            <w:r>
              <w:rPr>
                <w:rFonts w:ascii="Calibri" w:hAnsi="Calibri" w:cs="Calibri" w:hint="eastAsia"/>
                <w:sz w:val="22"/>
                <w:lang w:val="en-US"/>
              </w:rPr>
              <w:t>A CPE is transmitted from a CPE starting position until the start of the AGC symbol of the next slot.</w:t>
            </w:r>
          </w:p>
          <w:p w14:paraId="7CF78389" w14:textId="77777777" w:rsidR="00335DBF" w:rsidRDefault="00335DBF" w:rsidP="00335DBF">
            <w:pPr>
              <w:pStyle w:val="0Maintext"/>
              <w:numPr>
                <w:ilvl w:val="1"/>
                <w:numId w:val="24"/>
              </w:numPr>
              <w:spacing w:after="0" w:afterAutospacing="0" w:line="240" w:lineRule="auto"/>
              <w:ind w:hanging="357"/>
              <w:rPr>
                <w:rFonts w:ascii="Calibri" w:hAnsi="Calibri" w:cs="Calibri"/>
                <w:sz w:val="22"/>
                <w:lang w:val="en-US"/>
              </w:rPr>
            </w:pPr>
            <w:r>
              <w:rPr>
                <w:rFonts w:ascii="Calibri" w:hAnsi="Calibri" w:cs="Calibri" w:hint="eastAsia"/>
                <w:sz w:val="22"/>
                <w:lang w:val="en-US"/>
              </w:rPr>
              <w:t>FFS the CPE starting position is always confined within the last symbol of a slot (the GP symbol)</w:t>
            </w:r>
          </w:p>
          <w:p w14:paraId="3E7E16A8" w14:textId="77777777" w:rsidR="00335DBF" w:rsidRDefault="00335DBF" w:rsidP="00335DBF">
            <w:pPr>
              <w:pStyle w:val="0Maintext"/>
              <w:numPr>
                <w:ilvl w:val="0"/>
                <w:numId w:val="24"/>
              </w:numPr>
              <w:tabs>
                <w:tab w:val="left" w:pos="720"/>
              </w:tabs>
              <w:spacing w:after="0" w:afterAutospacing="0" w:line="240" w:lineRule="auto"/>
              <w:ind w:hanging="357"/>
              <w:rPr>
                <w:rFonts w:ascii="Calibri" w:hAnsi="Calibri" w:cs="Calibri"/>
                <w:strike/>
                <w:color w:val="FF0000"/>
                <w:sz w:val="22"/>
                <w:lang w:val="en-US"/>
              </w:rPr>
            </w:pPr>
            <w:r>
              <w:rPr>
                <w:rFonts w:ascii="Calibri" w:hAnsi="Calibri" w:cs="Calibri" w:hint="eastAsia"/>
                <w:strike/>
                <w:color w:val="FF0000"/>
                <w:sz w:val="22"/>
                <w:lang w:val="en-US"/>
              </w:rPr>
              <w:t>A CPE starting position is (pre-)configured for a SL transmission using fewer than all resource blocks of an RB set</w:t>
            </w:r>
          </w:p>
          <w:p w14:paraId="0637F67D" w14:textId="77777777" w:rsidR="00335DBF" w:rsidRDefault="00335DBF" w:rsidP="00335DBF">
            <w:pPr>
              <w:pStyle w:val="0Maintext"/>
              <w:numPr>
                <w:ilvl w:val="1"/>
                <w:numId w:val="24"/>
              </w:numPr>
              <w:spacing w:after="0" w:afterAutospacing="0" w:line="240" w:lineRule="auto"/>
              <w:ind w:hanging="357"/>
              <w:rPr>
                <w:rFonts w:ascii="Calibri" w:hAnsi="Calibri" w:cs="Calibri"/>
                <w:strike/>
                <w:color w:val="FF0000"/>
                <w:sz w:val="22"/>
                <w:lang w:val="en-US"/>
              </w:rPr>
            </w:pPr>
            <w:r>
              <w:rPr>
                <w:rFonts w:ascii="Calibri" w:hAnsi="Calibri" w:cs="Calibri" w:hint="eastAsia"/>
                <w:strike/>
                <w:color w:val="FF0000"/>
                <w:sz w:val="22"/>
                <w:lang w:val="en-US"/>
              </w:rPr>
              <w:t>FFS details, applicable scenarios (e.g., inside and outside a COT) and type(s) of SL transmission (e.g., PSSCH/PSCCH, PSFCH, S-SSB)</w:t>
            </w:r>
          </w:p>
          <w:p w14:paraId="2BF7C984" w14:textId="77777777" w:rsidR="00335DBF" w:rsidRDefault="00335DBF" w:rsidP="00335DBF">
            <w:pPr>
              <w:pStyle w:val="0Maintext"/>
              <w:numPr>
                <w:ilvl w:val="0"/>
                <w:numId w:val="24"/>
              </w:numPr>
              <w:tabs>
                <w:tab w:val="left" w:pos="720"/>
              </w:tabs>
              <w:spacing w:after="0" w:afterAutospacing="0" w:line="240" w:lineRule="auto"/>
              <w:ind w:hanging="357"/>
              <w:rPr>
                <w:rFonts w:ascii="Calibri" w:hAnsi="Calibri" w:cs="Calibri"/>
                <w:sz w:val="22"/>
                <w:lang w:val="en-US"/>
              </w:rPr>
            </w:pPr>
            <w:r>
              <w:rPr>
                <w:rFonts w:ascii="Calibri" w:hAnsi="Calibri" w:cs="Calibri" w:hint="eastAsia"/>
                <w:sz w:val="22"/>
                <w:lang w:val="en-US"/>
              </w:rPr>
              <w:t xml:space="preserve">Multiple </w:t>
            </w:r>
            <w:r>
              <w:rPr>
                <w:rFonts w:ascii="Calibri" w:hAnsi="Calibri" w:cs="Calibri"/>
                <w:color w:val="FF0000"/>
                <w:sz w:val="22"/>
                <w:lang w:val="en-US"/>
              </w:rPr>
              <w:t xml:space="preserve">intra-symbol </w:t>
            </w:r>
            <w:r>
              <w:rPr>
                <w:rFonts w:ascii="Calibri" w:hAnsi="Calibri" w:cs="Calibri" w:hint="eastAsia"/>
                <w:sz w:val="22"/>
                <w:lang w:val="en-US"/>
              </w:rPr>
              <w:t xml:space="preserve">CPE starting positions </w:t>
            </w:r>
            <w:r>
              <w:rPr>
                <w:rFonts w:ascii="Calibri" w:hAnsi="Calibri" w:cs="Calibri" w:hint="eastAsia"/>
                <w:strike/>
                <w:color w:val="FF0000"/>
                <w:sz w:val="22"/>
                <w:lang w:val="en-US"/>
              </w:rPr>
              <w:t>within the GP symbol based on transmission priority level (e.g., CAPC) is</w:t>
            </w:r>
            <w:r>
              <w:rPr>
                <w:rFonts w:ascii="Calibri" w:hAnsi="Calibri" w:cs="Calibri" w:hint="eastAsia"/>
                <w:color w:val="FF0000"/>
                <w:sz w:val="22"/>
                <w:lang w:val="en-US"/>
              </w:rPr>
              <w:t xml:space="preserve"> </w:t>
            </w:r>
            <w:r>
              <w:rPr>
                <w:rFonts w:ascii="Calibri" w:hAnsi="Calibri" w:cs="Calibri"/>
                <w:color w:val="FF0000"/>
                <w:sz w:val="22"/>
                <w:lang w:val="en-US"/>
              </w:rPr>
              <w:t>are</w:t>
            </w:r>
            <w:r>
              <w:rPr>
                <w:rFonts w:ascii="Calibri" w:hAnsi="Calibri" w:cs="Calibri"/>
                <w:sz w:val="22"/>
                <w:lang w:val="en-US"/>
              </w:rPr>
              <w:t xml:space="preserve"> </w:t>
            </w:r>
            <w:r>
              <w:rPr>
                <w:rFonts w:ascii="Calibri" w:hAnsi="Calibri" w:cs="Calibri" w:hint="eastAsia"/>
                <w:sz w:val="22"/>
                <w:lang w:val="en-US"/>
              </w:rPr>
              <w:t>supported, at least for a SL transmission using all resource blocks of one or more RB set(s)</w:t>
            </w:r>
          </w:p>
          <w:p w14:paraId="5BFA97F4" w14:textId="77777777" w:rsidR="00335DBF" w:rsidRDefault="00335DBF" w:rsidP="00335DBF">
            <w:pPr>
              <w:pStyle w:val="0Maintext"/>
              <w:numPr>
                <w:ilvl w:val="1"/>
                <w:numId w:val="24"/>
              </w:numPr>
              <w:spacing w:after="0" w:afterAutospacing="0" w:line="240" w:lineRule="auto"/>
              <w:ind w:hanging="357"/>
              <w:rPr>
                <w:rFonts w:ascii="Calibri" w:hAnsi="Calibri" w:cs="Calibri"/>
                <w:sz w:val="22"/>
                <w:lang w:val="en-US"/>
              </w:rPr>
            </w:pPr>
            <w:r>
              <w:rPr>
                <w:rFonts w:ascii="Calibri" w:eastAsia="Batang" w:hAnsi="Calibri" w:cs="Calibri" w:hint="eastAsia"/>
                <w:sz w:val="22"/>
                <w:szCs w:val="24"/>
                <w:lang w:val="en-US"/>
              </w:rPr>
              <w:t>FFS details and applicable scenarios</w:t>
            </w:r>
          </w:p>
          <w:p w14:paraId="37A46506" w14:textId="77777777" w:rsidR="00335DBF" w:rsidRDefault="00335DBF" w:rsidP="00335DBF">
            <w:pPr>
              <w:pStyle w:val="0Maintext"/>
              <w:spacing w:after="0" w:afterAutospacing="0" w:line="240" w:lineRule="auto"/>
              <w:ind w:firstLine="0"/>
            </w:pPr>
            <w:r>
              <w:rPr>
                <w:rFonts w:ascii="Calibri" w:eastAsia="Batang" w:hAnsi="Calibri" w:cs="Calibri"/>
                <w:color w:val="FF0000"/>
                <w:sz w:val="22"/>
                <w:szCs w:val="24"/>
                <w:lang w:val="en-US"/>
              </w:rPr>
              <w:t>FFS: whether to support FDM operation and how to solve mutual blocking across UEs.</w:t>
            </w:r>
          </w:p>
        </w:tc>
      </w:tr>
      <w:tr w:rsidR="00335DBF" w14:paraId="00C7B378" w14:textId="77777777" w:rsidTr="006B2419">
        <w:tc>
          <w:tcPr>
            <w:tcW w:w="1555" w:type="dxa"/>
          </w:tcPr>
          <w:p w14:paraId="64AC0D6A" w14:textId="77777777" w:rsidR="00335DBF" w:rsidRDefault="00335DBF" w:rsidP="00335DBF">
            <w:pPr>
              <w:pStyle w:val="0Maintext"/>
              <w:spacing w:after="0" w:afterAutospacing="0"/>
              <w:ind w:firstLine="0"/>
            </w:pPr>
            <w:r>
              <w:t>Apple</w:t>
            </w:r>
          </w:p>
        </w:tc>
        <w:tc>
          <w:tcPr>
            <w:tcW w:w="8076" w:type="dxa"/>
          </w:tcPr>
          <w:p w14:paraId="378B945E" w14:textId="77777777" w:rsidR="00335DBF" w:rsidRDefault="00335DBF" w:rsidP="00335DBF">
            <w:pPr>
              <w:pStyle w:val="0Maintext"/>
              <w:spacing w:after="0" w:afterAutospacing="0"/>
              <w:ind w:firstLine="0"/>
            </w:pPr>
            <w:r>
              <w:t>We do not support multiple CPE starting positions within the GP is related to CAPC. Random selected value from configured set will be good enough, same as eLAA AUL and NR-U CG-PUSCH, as specified in 38.214.</w:t>
            </w:r>
          </w:p>
        </w:tc>
      </w:tr>
      <w:tr w:rsidR="00335DBF" w14:paraId="7D22419F" w14:textId="77777777" w:rsidTr="006B2419">
        <w:tc>
          <w:tcPr>
            <w:tcW w:w="1555" w:type="dxa"/>
          </w:tcPr>
          <w:p w14:paraId="083CA37E" w14:textId="77777777" w:rsidR="00335DBF" w:rsidRDefault="00335DBF" w:rsidP="00335DBF">
            <w:pPr>
              <w:pStyle w:val="0Maintext"/>
              <w:spacing w:after="0" w:afterAutospacing="0"/>
              <w:ind w:firstLine="0"/>
            </w:pPr>
            <w:r>
              <w:rPr>
                <w:rFonts w:eastAsiaTheme="minorEastAsia" w:hint="eastAsia"/>
                <w:lang w:eastAsia="zh-CN"/>
              </w:rPr>
              <w:t>O</w:t>
            </w:r>
            <w:r>
              <w:rPr>
                <w:rFonts w:eastAsiaTheme="minorEastAsia"/>
                <w:lang w:eastAsia="zh-CN"/>
              </w:rPr>
              <w:t>PPO</w:t>
            </w:r>
          </w:p>
        </w:tc>
        <w:tc>
          <w:tcPr>
            <w:tcW w:w="8076" w:type="dxa"/>
          </w:tcPr>
          <w:p w14:paraId="1958C24A" w14:textId="77777777" w:rsidR="00335DBF" w:rsidRDefault="00335DBF" w:rsidP="00335DBF">
            <w:pPr>
              <w:pStyle w:val="0Maintext"/>
              <w:spacing w:after="0" w:afterAutospacing="0"/>
              <w:ind w:firstLine="0"/>
              <w:rPr>
                <w:rFonts w:eastAsiaTheme="minorEastAsia"/>
                <w:lang w:eastAsia="zh-CN"/>
              </w:rPr>
            </w:pPr>
            <w:r>
              <w:rPr>
                <w:rFonts w:eastAsiaTheme="minorEastAsia"/>
                <w:lang w:eastAsia="zh-CN"/>
              </w:rPr>
              <w:t>Support</w:t>
            </w:r>
          </w:p>
        </w:tc>
      </w:tr>
      <w:tr w:rsidR="00335DBF" w14:paraId="7CB471EE" w14:textId="77777777" w:rsidTr="006B2419">
        <w:tc>
          <w:tcPr>
            <w:tcW w:w="1555" w:type="dxa"/>
          </w:tcPr>
          <w:p w14:paraId="263C63D1" w14:textId="77777777" w:rsidR="00335DBF" w:rsidRDefault="00335DBF" w:rsidP="00335DBF">
            <w:pPr>
              <w:pStyle w:val="0Maintext"/>
              <w:spacing w:after="0" w:afterAutospacing="0"/>
              <w:ind w:firstLine="0"/>
            </w:pPr>
            <w:r>
              <w:t>CableLabs</w:t>
            </w:r>
          </w:p>
        </w:tc>
        <w:tc>
          <w:tcPr>
            <w:tcW w:w="8076" w:type="dxa"/>
          </w:tcPr>
          <w:p w14:paraId="75CE0C22" w14:textId="77777777" w:rsidR="00335DBF" w:rsidRDefault="00335DBF" w:rsidP="00335DBF">
            <w:pPr>
              <w:pStyle w:val="0Maintext"/>
              <w:spacing w:after="0" w:afterAutospacing="0"/>
              <w:ind w:firstLine="0"/>
            </w:pPr>
            <w:r>
              <w:t>We do not support multiple CPE starting positions. This specifications should follow eLAA and NR-U specs.</w:t>
            </w:r>
          </w:p>
        </w:tc>
      </w:tr>
      <w:tr w:rsidR="00335DBF" w14:paraId="39D94EF2" w14:textId="77777777" w:rsidTr="006B2419">
        <w:tc>
          <w:tcPr>
            <w:tcW w:w="1555" w:type="dxa"/>
          </w:tcPr>
          <w:p w14:paraId="3183A1C9" w14:textId="77777777" w:rsidR="00335DBF" w:rsidRDefault="00335DBF" w:rsidP="00335DBF">
            <w:pPr>
              <w:pStyle w:val="0Maintext"/>
              <w:spacing w:after="0" w:afterAutospacing="0"/>
              <w:ind w:firstLine="0"/>
              <w:rPr>
                <w:lang w:eastAsia="ko-KR"/>
              </w:rPr>
            </w:pPr>
            <w:r>
              <w:rPr>
                <w:rFonts w:hint="eastAsia"/>
                <w:lang w:eastAsia="ko-KR"/>
              </w:rPr>
              <w:t>LGE</w:t>
            </w:r>
          </w:p>
        </w:tc>
        <w:tc>
          <w:tcPr>
            <w:tcW w:w="8076" w:type="dxa"/>
          </w:tcPr>
          <w:p w14:paraId="21E26C45" w14:textId="77777777" w:rsidR="00335DBF" w:rsidRDefault="00335DBF" w:rsidP="00335DBF">
            <w:pPr>
              <w:pStyle w:val="0Maintext"/>
              <w:spacing w:after="0" w:afterAutospacing="0"/>
              <w:ind w:firstLine="0"/>
              <w:rPr>
                <w:lang w:eastAsia="ko-KR"/>
              </w:rPr>
            </w:pPr>
            <w:r>
              <w:rPr>
                <w:rFonts w:hint="eastAsia"/>
                <w:lang w:eastAsia="ko-KR"/>
              </w:rPr>
              <w:t xml:space="preserve">On the CPE </w:t>
            </w:r>
            <w:r>
              <w:rPr>
                <w:lang w:eastAsia="ko-KR"/>
              </w:rPr>
              <w:t>length</w:t>
            </w:r>
            <w:r>
              <w:rPr>
                <w:rFonts w:hint="eastAsia"/>
                <w:lang w:eastAsia="ko-KR"/>
              </w:rPr>
              <w:t xml:space="preserve"> </w:t>
            </w:r>
            <w:r>
              <w:rPr>
                <w:lang w:eastAsia="ko-KR"/>
              </w:rPr>
              <w:t xml:space="preserve">based on CAPC or SL priority, it seems that it is motivated to avoid reousrce collision for initial transmission. However, when transmissions with the same SL priotiy or CAPC are collided, this approach still cannot avoid the resource collision. If we really want to use multiple CPE length for resource collision avoidance, it should be based on random selection. </w:t>
            </w:r>
          </w:p>
          <w:p w14:paraId="06605B27" w14:textId="77777777" w:rsidR="00335DBF" w:rsidRDefault="00335DBF" w:rsidP="00335DBF">
            <w:pPr>
              <w:pStyle w:val="0Maintext"/>
              <w:spacing w:after="0" w:afterAutospacing="0"/>
              <w:ind w:firstLine="0"/>
              <w:rPr>
                <w:lang w:eastAsia="ko-KR"/>
              </w:rPr>
            </w:pPr>
          </w:p>
          <w:p w14:paraId="3995909B" w14:textId="77777777" w:rsidR="00335DBF" w:rsidRDefault="00335DBF" w:rsidP="00335DBF">
            <w:pPr>
              <w:pStyle w:val="0Maintext"/>
              <w:spacing w:after="0" w:afterAutospacing="0"/>
              <w:ind w:firstLine="0"/>
              <w:rPr>
                <w:lang w:eastAsia="ko-KR"/>
              </w:rPr>
            </w:pPr>
            <w:r>
              <w:rPr>
                <w:lang w:eastAsia="ko-KR"/>
              </w:rPr>
              <w:t xml:space="preserve">Moreover, in SL Mode 2, since the SL UEs will be operated in distributed manner, it is possible that the transmission(s) using fewer than all resource blocks of an RB set collides with the transmission(s) using all resource blocks of one or more RB set. As mentioned by other company, </w:t>
            </w:r>
            <w:r>
              <w:rPr>
                <w:lang w:eastAsia="ko-KR"/>
              </w:rPr>
              <w:lastRenderedPageBreak/>
              <w:t xml:space="preserve">it could cause unfair resource blocking. In addition, in NR SL, it is designed the possibility of multiple transmissions are overlapping in the same resources. For instance, PSCCH DMRS OCC will be randomly chosen, and then the RX UE can opportuinistically distinguish them and use them for decoding PSCCH/PSSCH. Moreover, their PSFCH resource will be separated even though the corresponding PSCCH/PSSCHs are overlapping each other. In that point of view, </w:t>
            </w:r>
            <w:r>
              <w:rPr>
                <w:b/>
                <w:lang w:eastAsia="ko-KR"/>
              </w:rPr>
              <w:t xml:space="preserve">we prefer to use a single (pre)configured CPE length. </w:t>
            </w:r>
          </w:p>
        </w:tc>
      </w:tr>
      <w:tr w:rsidR="00335DBF" w14:paraId="3BAA0BAF" w14:textId="77777777" w:rsidTr="006B2419">
        <w:tc>
          <w:tcPr>
            <w:tcW w:w="1555" w:type="dxa"/>
          </w:tcPr>
          <w:p w14:paraId="60B65C13" w14:textId="77777777" w:rsidR="00335DBF" w:rsidRDefault="00335DBF" w:rsidP="00335DBF">
            <w:pPr>
              <w:pStyle w:val="0Maintext"/>
              <w:spacing w:after="0" w:afterAutospacing="0"/>
              <w:ind w:firstLine="0"/>
              <w:rPr>
                <w:rFonts w:eastAsia="MS Mincho"/>
                <w:lang w:eastAsia="ja-JP"/>
              </w:rPr>
            </w:pPr>
            <w:r>
              <w:rPr>
                <w:rFonts w:eastAsia="MS Mincho" w:hint="eastAsia"/>
                <w:lang w:eastAsia="ja-JP"/>
              </w:rPr>
              <w:lastRenderedPageBreak/>
              <w:t>D</w:t>
            </w:r>
            <w:r>
              <w:rPr>
                <w:rFonts w:eastAsia="MS Mincho"/>
                <w:lang w:eastAsia="ja-JP"/>
              </w:rPr>
              <w:t>CM</w:t>
            </w:r>
          </w:p>
        </w:tc>
        <w:tc>
          <w:tcPr>
            <w:tcW w:w="8076" w:type="dxa"/>
          </w:tcPr>
          <w:p w14:paraId="4EF72DA7" w14:textId="77777777" w:rsidR="00335DBF" w:rsidRDefault="00335DBF" w:rsidP="00335DBF">
            <w:pPr>
              <w:pStyle w:val="0Maintext"/>
              <w:spacing w:after="0" w:afterAutospacing="0"/>
              <w:ind w:firstLine="0"/>
              <w:rPr>
                <w:rFonts w:eastAsia="MS Mincho"/>
                <w:lang w:eastAsia="ja-JP"/>
              </w:rPr>
            </w:pPr>
            <w:r>
              <w:rPr>
                <w:rFonts w:eastAsia="MS Mincho"/>
                <w:lang w:eastAsia="ja-JP"/>
              </w:rPr>
              <w:t>We prefer to introduce unified solution regardless of frequency resource amount, i.e., single starting position is enough. In Rel-17, we already introduced IUC, which could mitigate the issue mentioned by FL. Why further optimization is necessary is unclear. Thus, the following update is suggested.</w:t>
            </w:r>
          </w:p>
          <w:p w14:paraId="7B9F36F5" w14:textId="77777777" w:rsidR="00335DBF" w:rsidRDefault="00335DBF" w:rsidP="00335DBF">
            <w:pPr>
              <w:autoSpaceDE w:val="0"/>
              <w:autoSpaceDN w:val="0"/>
              <w:jc w:val="both"/>
              <w:rPr>
                <w:rFonts w:ascii="Calibri" w:hAnsi="Calibri" w:cs="Calibri"/>
                <w:sz w:val="22"/>
              </w:rPr>
            </w:pPr>
            <w:r>
              <w:rPr>
                <w:rFonts w:ascii="Calibri" w:hAnsi="Calibri" w:cs="Calibri"/>
                <w:b/>
                <w:bCs/>
                <w:sz w:val="22"/>
                <w:highlight w:val="yellow"/>
              </w:rPr>
              <w:t>Proposal 4 (I):</w:t>
            </w:r>
          </w:p>
          <w:p w14:paraId="260C464C" w14:textId="77777777" w:rsidR="00335DBF" w:rsidRDefault="00335DBF" w:rsidP="00335DBF">
            <w:pPr>
              <w:pStyle w:val="0Maintext"/>
              <w:numPr>
                <w:ilvl w:val="0"/>
                <w:numId w:val="24"/>
              </w:numPr>
              <w:tabs>
                <w:tab w:val="left" w:pos="720"/>
              </w:tabs>
              <w:spacing w:after="0" w:afterAutospacing="0" w:line="240" w:lineRule="auto"/>
              <w:ind w:hanging="357"/>
              <w:rPr>
                <w:rFonts w:ascii="Calibri" w:hAnsi="Calibri" w:cs="Calibri"/>
                <w:sz w:val="22"/>
                <w:lang w:val="en-US"/>
              </w:rPr>
            </w:pPr>
            <w:r>
              <w:rPr>
                <w:rFonts w:ascii="Calibri" w:hAnsi="Calibri" w:cs="Calibri" w:hint="eastAsia"/>
                <w:sz w:val="22"/>
                <w:lang w:val="en-US"/>
              </w:rPr>
              <w:t>A CPE is transmitted from a CPE starting position until the start of the AGC symbol of the next slot.</w:t>
            </w:r>
          </w:p>
          <w:p w14:paraId="3FF19DA9" w14:textId="77777777" w:rsidR="00335DBF" w:rsidRDefault="00335DBF" w:rsidP="00335DBF">
            <w:pPr>
              <w:pStyle w:val="0Maintext"/>
              <w:numPr>
                <w:ilvl w:val="1"/>
                <w:numId w:val="24"/>
              </w:numPr>
              <w:spacing w:after="0" w:afterAutospacing="0" w:line="240" w:lineRule="auto"/>
              <w:ind w:hanging="357"/>
              <w:rPr>
                <w:rFonts w:ascii="Calibri" w:hAnsi="Calibri" w:cs="Calibri"/>
                <w:sz w:val="22"/>
                <w:lang w:val="en-US"/>
              </w:rPr>
            </w:pPr>
            <w:r>
              <w:rPr>
                <w:rFonts w:ascii="Calibri" w:hAnsi="Calibri" w:cs="Calibri" w:hint="eastAsia"/>
                <w:sz w:val="22"/>
                <w:lang w:val="en-US"/>
              </w:rPr>
              <w:t>FFS the CPE starting position is always confined within the last symbol of a slot (the GP symbol)</w:t>
            </w:r>
          </w:p>
          <w:p w14:paraId="333A443F" w14:textId="77777777" w:rsidR="00335DBF" w:rsidRDefault="00335DBF" w:rsidP="00335DBF">
            <w:pPr>
              <w:pStyle w:val="0Maintext"/>
              <w:numPr>
                <w:ilvl w:val="0"/>
                <w:numId w:val="24"/>
              </w:numPr>
              <w:tabs>
                <w:tab w:val="left" w:pos="720"/>
              </w:tabs>
              <w:spacing w:after="0" w:afterAutospacing="0" w:line="240" w:lineRule="auto"/>
              <w:ind w:hanging="357"/>
              <w:rPr>
                <w:rFonts w:ascii="Calibri" w:hAnsi="Calibri" w:cs="Calibri"/>
                <w:strike/>
                <w:color w:val="FF0000"/>
                <w:sz w:val="22"/>
                <w:lang w:val="en-US"/>
              </w:rPr>
            </w:pPr>
            <w:r>
              <w:rPr>
                <w:rFonts w:ascii="Calibri" w:hAnsi="Calibri" w:cs="Calibri" w:hint="eastAsia"/>
                <w:sz w:val="22"/>
                <w:lang w:val="en-US"/>
              </w:rPr>
              <w:t xml:space="preserve">A CPE starting position is (pre-)configured for a SL transmission </w:t>
            </w:r>
            <w:r>
              <w:rPr>
                <w:rFonts w:ascii="Calibri" w:hAnsi="Calibri" w:cs="Calibri" w:hint="eastAsia"/>
                <w:strike/>
                <w:color w:val="FF0000"/>
                <w:sz w:val="22"/>
                <w:lang w:val="en-US"/>
              </w:rPr>
              <w:t>using fewer than all resource blocks of an RB set</w:t>
            </w:r>
          </w:p>
          <w:p w14:paraId="5D58F549" w14:textId="77777777" w:rsidR="00335DBF" w:rsidRDefault="00335DBF" w:rsidP="00335DBF">
            <w:pPr>
              <w:pStyle w:val="0Maintext"/>
              <w:numPr>
                <w:ilvl w:val="1"/>
                <w:numId w:val="24"/>
              </w:numPr>
              <w:spacing w:after="0" w:afterAutospacing="0" w:line="240" w:lineRule="auto"/>
              <w:ind w:hanging="357"/>
              <w:rPr>
                <w:rFonts w:ascii="Calibri" w:hAnsi="Calibri" w:cs="Calibri"/>
                <w:sz w:val="22"/>
                <w:lang w:val="en-US"/>
              </w:rPr>
            </w:pPr>
            <w:r>
              <w:rPr>
                <w:rFonts w:ascii="Calibri" w:hAnsi="Calibri" w:cs="Calibri" w:hint="eastAsia"/>
                <w:sz w:val="22"/>
                <w:lang w:val="en-US"/>
              </w:rPr>
              <w:t>FFS details, applicable scenarios (e.g., inside and outside a COT) and type(s) of SL transmission (e.g., PSSCH/PSCCH, PSFCH, S-SSB)</w:t>
            </w:r>
          </w:p>
          <w:p w14:paraId="38C6C78A" w14:textId="77777777" w:rsidR="00335DBF" w:rsidRDefault="00335DBF" w:rsidP="00335DBF">
            <w:pPr>
              <w:pStyle w:val="0Maintext"/>
              <w:numPr>
                <w:ilvl w:val="0"/>
                <w:numId w:val="24"/>
              </w:numPr>
              <w:tabs>
                <w:tab w:val="left" w:pos="720"/>
              </w:tabs>
              <w:spacing w:after="0" w:afterAutospacing="0" w:line="240" w:lineRule="auto"/>
              <w:ind w:hanging="357"/>
              <w:rPr>
                <w:rFonts w:ascii="Calibri" w:hAnsi="Calibri" w:cs="Calibri"/>
                <w:strike/>
                <w:color w:val="FF0000"/>
                <w:sz w:val="22"/>
                <w:lang w:val="en-US"/>
              </w:rPr>
            </w:pPr>
            <w:r>
              <w:rPr>
                <w:rFonts w:ascii="Calibri" w:hAnsi="Calibri" w:cs="Calibri" w:hint="eastAsia"/>
                <w:strike/>
                <w:color w:val="FF0000"/>
                <w:sz w:val="22"/>
                <w:lang w:val="en-US"/>
              </w:rPr>
              <w:t>Multiple CPE starting positions within the GP symbol based on transmission priority level (e.g., CAPC) is supported, at least for a SL transmission using all resource blocks of one or more RB set(s)</w:t>
            </w:r>
          </w:p>
          <w:p w14:paraId="3CE1C0B1" w14:textId="77777777" w:rsidR="00335DBF" w:rsidRDefault="00335DBF" w:rsidP="00335DBF">
            <w:pPr>
              <w:pStyle w:val="0Maintext"/>
              <w:numPr>
                <w:ilvl w:val="1"/>
                <w:numId w:val="24"/>
              </w:numPr>
              <w:spacing w:after="0" w:afterAutospacing="0" w:line="240" w:lineRule="auto"/>
              <w:ind w:hanging="357"/>
              <w:rPr>
                <w:rFonts w:ascii="Calibri" w:hAnsi="Calibri" w:cs="Calibri"/>
                <w:strike/>
                <w:color w:val="FF0000"/>
                <w:sz w:val="22"/>
                <w:lang w:val="en-US"/>
              </w:rPr>
            </w:pPr>
            <w:r>
              <w:rPr>
                <w:rFonts w:ascii="Calibri" w:eastAsia="Batang" w:hAnsi="Calibri" w:cs="Calibri" w:hint="eastAsia"/>
                <w:strike/>
                <w:color w:val="FF0000"/>
                <w:sz w:val="22"/>
                <w:szCs w:val="24"/>
                <w:lang w:val="en-US"/>
              </w:rPr>
              <w:t>FFS details and applicable scenarios</w:t>
            </w:r>
          </w:p>
        </w:tc>
      </w:tr>
      <w:tr w:rsidR="00335DBF" w14:paraId="12E674F3" w14:textId="77777777" w:rsidTr="006B2419">
        <w:tc>
          <w:tcPr>
            <w:tcW w:w="1555" w:type="dxa"/>
          </w:tcPr>
          <w:p w14:paraId="058F1A0F" w14:textId="77777777" w:rsidR="00335DBF" w:rsidRDefault="00335DBF" w:rsidP="00335DBF">
            <w:pPr>
              <w:pStyle w:val="0Maintext"/>
              <w:spacing w:after="0" w:afterAutospacing="0"/>
              <w:ind w:firstLine="0"/>
              <w:rPr>
                <w:rFonts w:eastAsia="MS Mincho"/>
                <w:lang w:eastAsia="ja-JP"/>
              </w:rPr>
            </w:pPr>
            <w:r>
              <w:rPr>
                <w:rFonts w:eastAsia="MS Mincho"/>
                <w:lang w:eastAsia="ja-JP"/>
              </w:rPr>
              <w:t>Broadcom</w:t>
            </w:r>
          </w:p>
        </w:tc>
        <w:tc>
          <w:tcPr>
            <w:tcW w:w="8076" w:type="dxa"/>
          </w:tcPr>
          <w:p w14:paraId="5DE770FD" w14:textId="77777777" w:rsidR="00335DBF" w:rsidRDefault="00335DBF" w:rsidP="00335DBF">
            <w:pPr>
              <w:pStyle w:val="0Maintext"/>
              <w:spacing w:after="0" w:afterAutospacing="0"/>
              <w:ind w:firstLine="0"/>
              <w:rPr>
                <w:rFonts w:eastAsia="MS Mincho"/>
                <w:lang w:eastAsia="ja-JP"/>
              </w:rPr>
            </w:pPr>
            <w:r>
              <w:t>Agree with Apple’s proposal.</w:t>
            </w:r>
          </w:p>
        </w:tc>
      </w:tr>
      <w:tr w:rsidR="00335DBF" w14:paraId="166C5878" w14:textId="77777777" w:rsidTr="006B2419">
        <w:tc>
          <w:tcPr>
            <w:tcW w:w="1555" w:type="dxa"/>
          </w:tcPr>
          <w:p w14:paraId="2E215C5B" w14:textId="77777777" w:rsidR="00335DBF" w:rsidRDefault="00335DBF" w:rsidP="00335DBF">
            <w:pPr>
              <w:pStyle w:val="0Maintext"/>
              <w:spacing w:after="0" w:afterAutospacing="0"/>
              <w:ind w:firstLine="0"/>
              <w:rPr>
                <w:rFonts w:eastAsia="MS Mincho"/>
                <w:lang w:eastAsia="ja-JP"/>
              </w:rPr>
            </w:pPr>
            <w:r>
              <w:rPr>
                <w:rFonts w:eastAsiaTheme="minorEastAsia" w:hint="eastAsia"/>
                <w:lang w:eastAsia="zh-CN"/>
              </w:rPr>
              <w:t>S</w:t>
            </w:r>
            <w:r>
              <w:rPr>
                <w:rFonts w:eastAsiaTheme="minorEastAsia"/>
                <w:lang w:eastAsia="zh-CN"/>
              </w:rPr>
              <w:t>preadtrum</w:t>
            </w:r>
          </w:p>
        </w:tc>
        <w:tc>
          <w:tcPr>
            <w:tcW w:w="8076" w:type="dxa"/>
          </w:tcPr>
          <w:p w14:paraId="50E0CCE0" w14:textId="77777777" w:rsidR="00335DBF" w:rsidRDefault="00335DBF" w:rsidP="00335DBF">
            <w:pPr>
              <w:pStyle w:val="0Maintext"/>
              <w:spacing w:after="0" w:afterAutospacing="0"/>
              <w:ind w:firstLine="0"/>
              <w:rPr>
                <w:rFonts w:eastAsiaTheme="minorEastAsia"/>
                <w:lang w:eastAsia="zh-CN"/>
              </w:rPr>
            </w:pPr>
            <w:r>
              <w:rPr>
                <w:rFonts w:eastAsiaTheme="minorEastAsia" w:hint="eastAsia"/>
                <w:lang w:eastAsia="zh-CN"/>
              </w:rPr>
              <w:t>W</w:t>
            </w:r>
            <w:r>
              <w:rPr>
                <w:rFonts w:eastAsiaTheme="minorEastAsia"/>
                <w:lang w:eastAsia="zh-CN"/>
              </w:rPr>
              <w:t>e are generally fine with the proposal.</w:t>
            </w:r>
          </w:p>
          <w:p w14:paraId="5B208198" w14:textId="77777777" w:rsidR="00335DBF" w:rsidRDefault="00335DBF" w:rsidP="00335DBF">
            <w:pPr>
              <w:pStyle w:val="0Maintext"/>
              <w:spacing w:after="0" w:afterAutospacing="0"/>
              <w:ind w:firstLine="0"/>
              <w:rPr>
                <w:rFonts w:eastAsiaTheme="minorEastAsia"/>
                <w:lang w:eastAsia="zh-CN"/>
              </w:rPr>
            </w:pPr>
            <w:r>
              <w:rPr>
                <w:rFonts w:eastAsiaTheme="minorEastAsia"/>
                <w:lang w:eastAsia="zh-CN"/>
              </w:rPr>
              <w:t>For PSCCH/PSSCH transmissions, single  CPE starting position and multiple CPE starting positions can be supported to  support TDM and FDM transmissions.</w:t>
            </w:r>
          </w:p>
          <w:p w14:paraId="0918845B" w14:textId="77777777" w:rsidR="00335DBF" w:rsidRDefault="00335DBF" w:rsidP="00335DBF">
            <w:pPr>
              <w:pStyle w:val="0Maintext"/>
              <w:spacing w:after="0" w:afterAutospacing="0"/>
              <w:ind w:firstLine="0"/>
              <w:rPr>
                <w:rFonts w:eastAsiaTheme="minorEastAsia"/>
                <w:lang w:eastAsia="zh-CN"/>
              </w:rPr>
            </w:pPr>
            <w:r>
              <w:rPr>
                <w:rFonts w:eastAsiaTheme="minorEastAsia"/>
                <w:lang w:eastAsia="zh-CN"/>
              </w:rPr>
              <w:t>For PSFCH and S-SSB transmissions, we prefer a single (pre)configured CPE starting position.</w:t>
            </w:r>
          </w:p>
          <w:p w14:paraId="0C9A4C43" w14:textId="77777777" w:rsidR="00335DBF" w:rsidRDefault="00335DBF" w:rsidP="00335DBF">
            <w:pPr>
              <w:pStyle w:val="0Maintext"/>
              <w:spacing w:after="0" w:afterAutospacing="0"/>
              <w:ind w:firstLine="0"/>
            </w:pPr>
            <w:r>
              <w:rPr>
                <w:rFonts w:eastAsiaTheme="minorEastAsia"/>
                <w:lang w:eastAsia="zh-CN"/>
              </w:rPr>
              <w:t>When multiple CPE starting positions is supported, we prefer priority level (e.g., CAPC) is used to determine CPE starting position, which can ensure the transmission with higher priority.</w:t>
            </w:r>
          </w:p>
        </w:tc>
      </w:tr>
      <w:tr w:rsidR="00335DBF" w14:paraId="019B4AC5" w14:textId="77777777" w:rsidTr="006B2419">
        <w:tc>
          <w:tcPr>
            <w:tcW w:w="1555" w:type="dxa"/>
          </w:tcPr>
          <w:p w14:paraId="558ABAED" w14:textId="77777777" w:rsidR="00335DBF" w:rsidRDefault="00335DBF" w:rsidP="00335DBF">
            <w:pPr>
              <w:pStyle w:val="0Maintext"/>
              <w:spacing w:after="0" w:afterAutospacing="0"/>
              <w:ind w:firstLine="0"/>
              <w:rPr>
                <w:rFonts w:eastAsiaTheme="minorEastAsia"/>
                <w:lang w:eastAsia="zh-CN"/>
              </w:rPr>
            </w:pPr>
            <w:r>
              <w:rPr>
                <w:rFonts w:eastAsiaTheme="minorEastAsia" w:hint="eastAsia"/>
                <w:lang w:eastAsia="zh-CN"/>
              </w:rPr>
              <w:t>C</w:t>
            </w:r>
            <w:r>
              <w:rPr>
                <w:rFonts w:eastAsiaTheme="minorEastAsia"/>
                <w:lang w:eastAsia="zh-CN"/>
              </w:rPr>
              <w:t>MCC</w:t>
            </w:r>
          </w:p>
        </w:tc>
        <w:tc>
          <w:tcPr>
            <w:tcW w:w="8076" w:type="dxa"/>
          </w:tcPr>
          <w:p w14:paraId="4631ECF1" w14:textId="77777777" w:rsidR="00335DBF" w:rsidRDefault="00335DBF" w:rsidP="00335DBF">
            <w:pPr>
              <w:pStyle w:val="0Maintext"/>
              <w:spacing w:after="0" w:afterAutospacing="0"/>
              <w:ind w:firstLine="0"/>
              <w:rPr>
                <w:rFonts w:eastAsiaTheme="minorEastAsia"/>
                <w:lang w:eastAsia="zh-CN"/>
              </w:rPr>
            </w:pPr>
            <w:r>
              <w:rPr>
                <w:rFonts w:eastAsiaTheme="minorEastAsia" w:hint="eastAsia"/>
                <w:lang w:eastAsia="zh-CN"/>
              </w:rPr>
              <w:t>W</w:t>
            </w:r>
            <w:r>
              <w:rPr>
                <w:rFonts w:eastAsiaTheme="minorEastAsia"/>
                <w:lang w:eastAsia="zh-CN"/>
              </w:rPr>
              <w:t xml:space="preserve">e are generally fine with this proposal but we think the proposal should be limited for single slot transmission case, for Multi-consecutive slots transmission (MCSt), a considerable number companies propose to do rate matching or symbol repetition in the GP symbol to make sure the COT is not lost due to the gap. So we propose to do the following </w:t>
            </w:r>
            <w:r>
              <w:rPr>
                <w:rFonts w:eastAsiaTheme="minorEastAsia" w:hint="eastAsia"/>
                <w:lang w:eastAsia="zh-CN"/>
              </w:rPr>
              <w:t>modification</w:t>
            </w:r>
            <w:r>
              <w:rPr>
                <w:rFonts w:eastAsiaTheme="minorEastAsia"/>
                <w:lang w:eastAsia="zh-CN"/>
              </w:rPr>
              <w:t>:</w:t>
            </w:r>
          </w:p>
          <w:p w14:paraId="045BA109" w14:textId="77777777" w:rsidR="00335DBF" w:rsidRDefault="00335DBF" w:rsidP="00335DBF">
            <w:pPr>
              <w:autoSpaceDE w:val="0"/>
              <w:autoSpaceDN w:val="0"/>
              <w:jc w:val="both"/>
              <w:rPr>
                <w:rFonts w:ascii="Calibri" w:hAnsi="Calibri" w:cs="Calibri"/>
                <w:sz w:val="22"/>
              </w:rPr>
            </w:pPr>
            <w:r>
              <w:rPr>
                <w:rFonts w:ascii="Calibri" w:hAnsi="Calibri" w:cs="Calibri"/>
                <w:b/>
                <w:bCs/>
                <w:sz w:val="22"/>
                <w:highlight w:val="yellow"/>
              </w:rPr>
              <w:t>Proposal 4 (I):</w:t>
            </w:r>
          </w:p>
          <w:p w14:paraId="4A3D94AF" w14:textId="77777777" w:rsidR="00335DBF" w:rsidRDefault="00335DBF" w:rsidP="00335DBF">
            <w:pPr>
              <w:widowControl w:val="0"/>
              <w:numPr>
                <w:ilvl w:val="0"/>
                <w:numId w:val="24"/>
              </w:numPr>
              <w:tabs>
                <w:tab w:val="left" w:pos="720"/>
              </w:tabs>
              <w:spacing w:line="259" w:lineRule="auto"/>
              <w:ind w:hanging="357"/>
              <w:jc w:val="both"/>
              <w:rPr>
                <w:rFonts w:ascii="Calibri" w:eastAsia="Malgun Gothic" w:hAnsi="Calibri" w:cs="Calibri"/>
                <w:color w:val="FF0000"/>
                <w:sz w:val="22"/>
                <w:szCs w:val="20"/>
                <w:lang w:val="en-US"/>
              </w:rPr>
            </w:pPr>
            <w:r>
              <w:rPr>
                <w:rFonts w:ascii="Calibri" w:eastAsia="SimSun" w:hAnsi="Calibri" w:cs="Calibri"/>
                <w:color w:val="FF0000"/>
                <w:sz w:val="22"/>
                <w:szCs w:val="20"/>
                <w:lang w:val="en-US" w:eastAsia="zh-CN"/>
              </w:rPr>
              <w:t>For single slot transmission:</w:t>
            </w:r>
          </w:p>
          <w:p w14:paraId="377DE32E" w14:textId="77777777" w:rsidR="00335DBF" w:rsidRDefault="00335DBF" w:rsidP="00335DBF">
            <w:pPr>
              <w:widowControl w:val="0"/>
              <w:numPr>
                <w:ilvl w:val="1"/>
                <w:numId w:val="24"/>
              </w:numPr>
              <w:spacing w:line="259" w:lineRule="auto"/>
              <w:jc w:val="both"/>
              <w:rPr>
                <w:rFonts w:ascii="Calibri" w:eastAsia="Malgun Gothic" w:hAnsi="Calibri" w:cs="Calibri"/>
                <w:sz w:val="22"/>
                <w:szCs w:val="20"/>
                <w:lang w:val="en-US"/>
              </w:rPr>
            </w:pPr>
            <w:r>
              <w:rPr>
                <w:rFonts w:ascii="Calibri" w:eastAsia="Malgun Gothic" w:hAnsi="Calibri" w:cs="Calibri"/>
                <w:sz w:val="22"/>
                <w:szCs w:val="20"/>
                <w:lang w:val="en-US"/>
              </w:rPr>
              <w:t>A CPE is transmitted from a CPE starting position until the start of the AGC symbol of the next slot.</w:t>
            </w:r>
          </w:p>
          <w:p w14:paraId="73811ADF" w14:textId="77777777" w:rsidR="00335DBF" w:rsidRDefault="00335DBF" w:rsidP="00335DBF">
            <w:pPr>
              <w:widowControl w:val="0"/>
              <w:numPr>
                <w:ilvl w:val="2"/>
                <w:numId w:val="24"/>
              </w:numPr>
              <w:tabs>
                <w:tab w:val="left" w:pos="2160"/>
              </w:tabs>
              <w:spacing w:line="259" w:lineRule="auto"/>
              <w:jc w:val="both"/>
              <w:rPr>
                <w:rFonts w:ascii="Calibri" w:eastAsia="Malgun Gothic" w:hAnsi="Calibri" w:cs="Calibri"/>
                <w:sz w:val="22"/>
                <w:szCs w:val="20"/>
                <w:lang w:val="en-US"/>
              </w:rPr>
            </w:pPr>
            <w:r>
              <w:rPr>
                <w:rFonts w:ascii="Calibri" w:eastAsia="Malgun Gothic" w:hAnsi="Calibri" w:cs="Calibri"/>
                <w:sz w:val="22"/>
                <w:szCs w:val="20"/>
                <w:lang w:val="en-US"/>
              </w:rPr>
              <w:t>FFS the CPE starting position is always confined within the last symbol of a slot (the GP symbol)</w:t>
            </w:r>
          </w:p>
          <w:p w14:paraId="3AF0E1EF" w14:textId="77777777" w:rsidR="00335DBF" w:rsidRDefault="00335DBF" w:rsidP="00335DBF">
            <w:pPr>
              <w:widowControl w:val="0"/>
              <w:numPr>
                <w:ilvl w:val="1"/>
                <w:numId w:val="24"/>
              </w:numPr>
              <w:spacing w:line="259" w:lineRule="auto"/>
              <w:jc w:val="both"/>
              <w:rPr>
                <w:rFonts w:ascii="Calibri" w:eastAsia="Malgun Gothic" w:hAnsi="Calibri" w:cs="Calibri"/>
                <w:sz w:val="22"/>
                <w:szCs w:val="20"/>
                <w:lang w:val="en-US"/>
              </w:rPr>
            </w:pPr>
            <w:r>
              <w:rPr>
                <w:rFonts w:ascii="Calibri" w:eastAsia="Malgun Gothic" w:hAnsi="Calibri" w:cs="Calibri"/>
                <w:sz w:val="22"/>
                <w:szCs w:val="20"/>
                <w:lang w:val="en-US"/>
              </w:rPr>
              <w:t>A CPE starting position is (pre-)configured for a SL transmission using fewer than all resource blocks of an RB set</w:t>
            </w:r>
          </w:p>
          <w:p w14:paraId="461870A8" w14:textId="77777777" w:rsidR="00335DBF" w:rsidRDefault="00335DBF" w:rsidP="00335DBF">
            <w:pPr>
              <w:widowControl w:val="0"/>
              <w:numPr>
                <w:ilvl w:val="2"/>
                <w:numId w:val="24"/>
              </w:numPr>
              <w:tabs>
                <w:tab w:val="left" w:pos="2160"/>
              </w:tabs>
              <w:spacing w:line="259" w:lineRule="auto"/>
              <w:jc w:val="both"/>
              <w:rPr>
                <w:rFonts w:ascii="Calibri" w:eastAsia="Malgun Gothic" w:hAnsi="Calibri" w:cs="Calibri"/>
                <w:sz w:val="22"/>
                <w:szCs w:val="20"/>
                <w:lang w:val="en-US"/>
              </w:rPr>
            </w:pPr>
            <w:r>
              <w:rPr>
                <w:rFonts w:ascii="Calibri" w:eastAsia="Malgun Gothic" w:hAnsi="Calibri" w:cs="Calibri"/>
                <w:sz w:val="22"/>
                <w:szCs w:val="20"/>
                <w:lang w:val="en-US"/>
              </w:rPr>
              <w:t>FFS details, applicable scenarios (e.g., inside and outside a COT) and type(s) of SL transmission (e.g., PSSCH/PSCCH, PSFCH, S-SSB)</w:t>
            </w:r>
          </w:p>
          <w:p w14:paraId="32A6A6E9" w14:textId="77777777" w:rsidR="00335DBF" w:rsidRDefault="00335DBF" w:rsidP="00335DBF">
            <w:pPr>
              <w:widowControl w:val="0"/>
              <w:numPr>
                <w:ilvl w:val="1"/>
                <w:numId w:val="24"/>
              </w:numPr>
              <w:spacing w:line="259" w:lineRule="auto"/>
              <w:jc w:val="both"/>
              <w:rPr>
                <w:rFonts w:ascii="Calibri" w:eastAsia="Malgun Gothic" w:hAnsi="Calibri" w:cs="Calibri"/>
                <w:sz w:val="22"/>
                <w:szCs w:val="20"/>
                <w:lang w:val="en-US"/>
              </w:rPr>
            </w:pPr>
            <w:r>
              <w:rPr>
                <w:rFonts w:ascii="Calibri" w:eastAsia="Malgun Gothic" w:hAnsi="Calibri" w:cs="Calibri"/>
                <w:sz w:val="22"/>
                <w:szCs w:val="20"/>
                <w:lang w:val="en-US"/>
              </w:rPr>
              <w:t>Multiple CPE starting positions within the GP symbol based on transmission priority level (e.g., CAPC) is supported, at least for a SL transmission using all resource blocks of one or more RB set(s)</w:t>
            </w:r>
          </w:p>
          <w:p w14:paraId="3E5E163B" w14:textId="77777777" w:rsidR="00335DBF" w:rsidRDefault="00335DBF" w:rsidP="00335DBF">
            <w:pPr>
              <w:widowControl w:val="0"/>
              <w:numPr>
                <w:ilvl w:val="2"/>
                <w:numId w:val="24"/>
              </w:numPr>
              <w:tabs>
                <w:tab w:val="left" w:pos="2160"/>
              </w:tabs>
              <w:spacing w:line="259" w:lineRule="auto"/>
              <w:jc w:val="both"/>
              <w:rPr>
                <w:rFonts w:ascii="Calibri" w:eastAsia="Malgun Gothic" w:hAnsi="Calibri" w:cs="Calibri"/>
                <w:sz w:val="22"/>
                <w:szCs w:val="20"/>
                <w:lang w:val="en-US"/>
              </w:rPr>
            </w:pPr>
            <w:r>
              <w:rPr>
                <w:rFonts w:ascii="Calibri" w:hAnsi="Calibri" w:cs="Calibri"/>
                <w:sz w:val="22"/>
                <w:lang w:val="en-US"/>
              </w:rPr>
              <w:t>FFS details and applicable scenarios</w:t>
            </w:r>
          </w:p>
          <w:p w14:paraId="3A87AA41" w14:textId="77777777" w:rsidR="00335DBF" w:rsidRDefault="00335DBF" w:rsidP="00335DBF">
            <w:pPr>
              <w:widowControl w:val="0"/>
              <w:numPr>
                <w:ilvl w:val="1"/>
                <w:numId w:val="24"/>
              </w:numPr>
              <w:spacing w:line="259" w:lineRule="auto"/>
              <w:jc w:val="both"/>
              <w:rPr>
                <w:rFonts w:ascii="Calibri" w:eastAsia="Malgun Gothic" w:hAnsi="Calibri" w:cs="Calibri"/>
                <w:color w:val="FF0000"/>
                <w:sz w:val="22"/>
                <w:szCs w:val="20"/>
                <w:lang w:val="en-US"/>
              </w:rPr>
            </w:pPr>
            <w:r>
              <w:rPr>
                <w:rFonts w:ascii="Calibri" w:eastAsia="SimSun" w:hAnsi="Calibri" w:cs="Calibri"/>
                <w:color w:val="FF0000"/>
                <w:sz w:val="22"/>
                <w:szCs w:val="20"/>
                <w:lang w:val="en-US" w:eastAsia="zh-CN"/>
              </w:rPr>
              <w:t>FFS for Multi-consecutive slot transmission case.</w:t>
            </w:r>
          </w:p>
        </w:tc>
      </w:tr>
      <w:tr w:rsidR="00335DBF" w14:paraId="60473E96" w14:textId="77777777" w:rsidTr="006B2419">
        <w:tc>
          <w:tcPr>
            <w:tcW w:w="1555" w:type="dxa"/>
          </w:tcPr>
          <w:p w14:paraId="3D902229" w14:textId="77777777" w:rsidR="00335DBF" w:rsidRDefault="00335DBF" w:rsidP="00335DBF">
            <w:pPr>
              <w:pStyle w:val="0Maintext"/>
              <w:spacing w:after="0" w:afterAutospacing="0"/>
              <w:ind w:firstLine="0"/>
              <w:rPr>
                <w:rFonts w:eastAsiaTheme="minorEastAsia"/>
                <w:lang w:eastAsia="zh-CN"/>
              </w:rPr>
            </w:pPr>
            <w:r>
              <w:rPr>
                <w:rFonts w:eastAsiaTheme="minorEastAsia" w:hint="eastAsia"/>
                <w:lang w:eastAsia="zh-CN"/>
              </w:rPr>
              <w:t>F</w:t>
            </w:r>
            <w:r>
              <w:rPr>
                <w:rFonts w:eastAsiaTheme="minorEastAsia"/>
                <w:lang w:eastAsia="zh-CN"/>
              </w:rPr>
              <w:t>ujitsu</w:t>
            </w:r>
          </w:p>
        </w:tc>
        <w:tc>
          <w:tcPr>
            <w:tcW w:w="8076" w:type="dxa"/>
          </w:tcPr>
          <w:p w14:paraId="5D7B5A62" w14:textId="77777777" w:rsidR="00335DBF" w:rsidRDefault="00335DBF" w:rsidP="00335DBF">
            <w:pPr>
              <w:pStyle w:val="0Maintext"/>
              <w:spacing w:after="0" w:afterAutospacing="0"/>
              <w:ind w:firstLine="0"/>
              <w:rPr>
                <w:rFonts w:eastAsiaTheme="minorEastAsia"/>
                <w:lang w:eastAsia="zh-CN"/>
              </w:rPr>
            </w:pPr>
            <w:r>
              <w:rPr>
                <w:rFonts w:eastAsiaTheme="minorEastAsia"/>
                <w:lang w:eastAsia="zh-CN"/>
              </w:rPr>
              <w:t>Support the first and the third bullets. For the second bullet, to achive FDM, CPE is (pre-)configured rather than based on the priority. It could be further studied whether FDM can be achieved even if CPE is based on the priority.</w:t>
            </w:r>
          </w:p>
        </w:tc>
      </w:tr>
      <w:tr w:rsidR="00335DBF" w14:paraId="32A9D553" w14:textId="77777777" w:rsidTr="006B2419">
        <w:tc>
          <w:tcPr>
            <w:tcW w:w="1555" w:type="dxa"/>
          </w:tcPr>
          <w:p w14:paraId="2838EA4B" w14:textId="77777777" w:rsidR="00335DBF" w:rsidRDefault="00335DBF" w:rsidP="00335DBF">
            <w:pPr>
              <w:pStyle w:val="0Maintext"/>
              <w:spacing w:after="0" w:afterAutospacing="0"/>
              <w:ind w:firstLine="0"/>
              <w:rPr>
                <w:rFonts w:eastAsia="MS Mincho"/>
                <w:lang w:eastAsia="ja-JP"/>
              </w:rPr>
            </w:pPr>
            <w:r>
              <w:rPr>
                <w:rFonts w:eastAsia="MS Mincho"/>
                <w:lang w:eastAsia="ja-JP"/>
              </w:rPr>
              <w:lastRenderedPageBreak/>
              <w:t>Panasonic</w:t>
            </w:r>
          </w:p>
        </w:tc>
        <w:tc>
          <w:tcPr>
            <w:tcW w:w="8076" w:type="dxa"/>
          </w:tcPr>
          <w:p w14:paraId="2A810502" w14:textId="77777777" w:rsidR="00335DBF" w:rsidRDefault="00335DBF" w:rsidP="00335DBF">
            <w:pPr>
              <w:pStyle w:val="0Maintext"/>
              <w:spacing w:after="0" w:afterAutospacing="0"/>
              <w:ind w:firstLine="0"/>
              <w:rPr>
                <w:rFonts w:eastAsiaTheme="minorEastAsia"/>
                <w:lang w:eastAsia="zh-CN"/>
              </w:rPr>
            </w:pPr>
            <w:r>
              <w:rPr>
                <w:rFonts w:eastAsiaTheme="minorEastAsia"/>
                <w:lang w:eastAsia="zh-CN"/>
              </w:rPr>
              <w:t>We support 1st and 2nd bullets. For multiple CPE starting position, for sidelink resource allocation Mode 1 configured grant, NR-U behaviour can be reused. In NR-U, CP extenuation length is configured. If all RBs in an RB set are allocated, UE randomly determines a duration from set of configured value. If partial RBs in an RB set are allocated, configured value is used.</w:t>
            </w:r>
          </w:p>
        </w:tc>
      </w:tr>
      <w:tr w:rsidR="00335DBF" w14:paraId="12302CC5" w14:textId="77777777" w:rsidTr="006B2419">
        <w:tc>
          <w:tcPr>
            <w:tcW w:w="1555" w:type="dxa"/>
          </w:tcPr>
          <w:p w14:paraId="3869A273" w14:textId="77777777" w:rsidR="00335DBF" w:rsidRDefault="00335DBF" w:rsidP="00335DBF">
            <w:pPr>
              <w:pStyle w:val="0Maintext"/>
              <w:spacing w:after="0" w:afterAutospacing="0"/>
              <w:ind w:firstLine="0"/>
            </w:pPr>
            <w:r>
              <w:t>Nokia, NSB</w:t>
            </w:r>
          </w:p>
        </w:tc>
        <w:tc>
          <w:tcPr>
            <w:tcW w:w="8076" w:type="dxa"/>
          </w:tcPr>
          <w:p w14:paraId="4789F2B0" w14:textId="77777777" w:rsidR="00335DBF" w:rsidRDefault="00335DBF" w:rsidP="00335DBF">
            <w:pPr>
              <w:pStyle w:val="0Maintext"/>
              <w:spacing w:after="0" w:afterAutospacing="0"/>
              <w:ind w:firstLine="0"/>
              <w:rPr>
                <w:rFonts w:eastAsia="MS Mincho"/>
                <w:lang w:eastAsia="ja-JP"/>
              </w:rPr>
            </w:pPr>
            <w:r>
              <w:rPr>
                <w:rFonts w:eastAsia="MS Mincho"/>
                <w:lang w:eastAsia="ja-JP"/>
              </w:rPr>
              <w:t>We are ok with the proposal.</w:t>
            </w:r>
          </w:p>
        </w:tc>
      </w:tr>
      <w:tr w:rsidR="00335DBF" w14:paraId="4D6017B7" w14:textId="77777777" w:rsidTr="006B2419">
        <w:tc>
          <w:tcPr>
            <w:tcW w:w="1555" w:type="dxa"/>
          </w:tcPr>
          <w:p w14:paraId="5D324B72" w14:textId="77777777" w:rsidR="00335DBF" w:rsidRDefault="00335DBF" w:rsidP="00335DBF">
            <w:pPr>
              <w:pStyle w:val="0Maintext"/>
              <w:spacing w:after="0" w:afterAutospacing="0"/>
              <w:ind w:firstLine="0"/>
            </w:pPr>
            <w:r>
              <w:rPr>
                <w:rFonts w:eastAsiaTheme="minorEastAsia" w:hint="eastAsia"/>
                <w:lang w:eastAsia="zh-CN"/>
              </w:rPr>
              <w:t>v</w:t>
            </w:r>
            <w:r>
              <w:rPr>
                <w:rFonts w:eastAsiaTheme="minorEastAsia"/>
                <w:lang w:eastAsia="zh-CN"/>
              </w:rPr>
              <w:t>ivo</w:t>
            </w:r>
          </w:p>
        </w:tc>
        <w:tc>
          <w:tcPr>
            <w:tcW w:w="8076" w:type="dxa"/>
          </w:tcPr>
          <w:p w14:paraId="6D8531FF" w14:textId="77777777" w:rsidR="00335DBF" w:rsidRDefault="00335DBF" w:rsidP="00335DBF">
            <w:pPr>
              <w:pStyle w:val="0Maintext"/>
              <w:spacing w:after="0" w:afterAutospacing="0"/>
              <w:ind w:firstLine="0"/>
              <w:rPr>
                <w:rFonts w:eastAsiaTheme="minorEastAsia"/>
                <w:lang w:eastAsia="zh-CN"/>
              </w:rPr>
            </w:pPr>
            <w:r>
              <w:rPr>
                <w:rFonts w:eastAsiaTheme="minorEastAsia"/>
                <w:lang w:eastAsia="zh-CN"/>
              </w:rPr>
              <w:t xml:space="preserve">Based on the FL summary, it is argued that multiple CPE length is beneficial to mitigiate resource collision when different UEs select the same resource. But the scenario (two UEs selecting the same resource) occurs for legacy mode 2 as well, without optimization, the system works as well. So, we suggest to discuss single CPE case with higher priority before justifying the scenario to introduce multiple CPE length. </w:t>
            </w:r>
          </w:p>
          <w:p w14:paraId="77CB8970" w14:textId="18A28CEE" w:rsidR="00335DBF" w:rsidRDefault="00335DBF" w:rsidP="00335DBF">
            <w:pPr>
              <w:pStyle w:val="0Maintext"/>
              <w:spacing w:after="0" w:afterAutospacing="0"/>
              <w:ind w:firstLine="0"/>
              <w:rPr>
                <w:rFonts w:eastAsiaTheme="minorEastAsia"/>
                <w:lang w:eastAsia="zh-CN"/>
              </w:rPr>
            </w:pPr>
            <w:r>
              <w:rPr>
                <w:rFonts w:eastAsiaTheme="minorEastAsia"/>
                <w:lang w:eastAsia="zh-CN"/>
              </w:rPr>
              <w:t xml:space="preserve">Single CPE should handle the following issues, e.g., how to fill the gap for consecutive multi-slot transmission, fill the gap for COT sharing…. </w:t>
            </w:r>
          </w:p>
          <w:p w14:paraId="56649502" w14:textId="77777777" w:rsidR="00335DBF" w:rsidRDefault="00335DBF" w:rsidP="00335DBF">
            <w:pPr>
              <w:pStyle w:val="0Maintext"/>
              <w:numPr>
                <w:ilvl w:val="0"/>
                <w:numId w:val="24"/>
              </w:numPr>
              <w:tabs>
                <w:tab w:val="left" w:pos="720"/>
              </w:tabs>
              <w:spacing w:after="0" w:afterAutospacing="0" w:line="240" w:lineRule="auto"/>
              <w:ind w:hanging="357"/>
              <w:rPr>
                <w:rFonts w:ascii="Calibri" w:hAnsi="Calibri" w:cs="Calibri"/>
                <w:sz w:val="22"/>
                <w:lang w:val="en-US"/>
              </w:rPr>
            </w:pPr>
            <w:r>
              <w:rPr>
                <w:rFonts w:ascii="Calibri" w:hAnsi="Calibri" w:cs="Calibri" w:hint="eastAsia"/>
                <w:sz w:val="22"/>
                <w:lang w:val="en-US"/>
              </w:rPr>
              <w:t>A CPE is transmitted from a CPE starting position until the start of the AGC symbol of the next slot.</w:t>
            </w:r>
          </w:p>
          <w:p w14:paraId="6BB5495D" w14:textId="77777777" w:rsidR="00335DBF" w:rsidRDefault="00335DBF" w:rsidP="00335DBF">
            <w:pPr>
              <w:pStyle w:val="0Maintext"/>
              <w:numPr>
                <w:ilvl w:val="1"/>
                <w:numId w:val="24"/>
              </w:numPr>
              <w:spacing w:after="0" w:afterAutospacing="0" w:line="240" w:lineRule="auto"/>
              <w:ind w:hanging="357"/>
              <w:rPr>
                <w:rFonts w:ascii="Calibri" w:hAnsi="Calibri" w:cs="Calibri"/>
                <w:sz w:val="22"/>
                <w:lang w:val="en-US"/>
              </w:rPr>
            </w:pPr>
            <w:r>
              <w:rPr>
                <w:rFonts w:ascii="Calibri" w:hAnsi="Calibri" w:cs="Calibri" w:hint="eastAsia"/>
                <w:sz w:val="22"/>
                <w:lang w:val="en-US"/>
              </w:rPr>
              <w:t>FFS the CPE starting position is always confined within the last symbol of a slot (the GP symbol)</w:t>
            </w:r>
          </w:p>
          <w:p w14:paraId="24CC543F" w14:textId="77777777" w:rsidR="00335DBF" w:rsidRDefault="00335DBF" w:rsidP="00335DBF">
            <w:pPr>
              <w:pStyle w:val="0Maintext"/>
              <w:numPr>
                <w:ilvl w:val="0"/>
                <w:numId w:val="24"/>
              </w:numPr>
              <w:tabs>
                <w:tab w:val="left" w:pos="720"/>
              </w:tabs>
              <w:spacing w:after="0" w:afterAutospacing="0" w:line="240" w:lineRule="auto"/>
              <w:ind w:hanging="357"/>
              <w:rPr>
                <w:rFonts w:ascii="Calibri" w:hAnsi="Calibri" w:cs="Calibri"/>
                <w:sz w:val="22"/>
                <w:lang w:val="en-US"/>
              </w:rPr>
            </w:pPr>
            <w:r>
              <w:rPr>
                <w:rFonts w:ascii="Calibri" w:hAnsi="Calibri" w:cs="Calibri"/>
                <w:color w:val="FF0000"/>
                <w:sz w:val="22"/>
                <w:lang w:val="en-US"/>
              </w:rPr>
              <w:t xml:space="preserve">When a single CPE is used, </w:t>
            </w:r>
            <w:r>
              <w:rPr>
                <w:rFonts w:ascii="Calibri" w:hAnsi="Calibri" w:cs="Calibri" w:hint="eastAsia"/>
                <w:sz w:val="22"/>
                <w:lang w:val="en-US"/>
              </w:rPr>
              <w:t>A CPE starting position is (pre-)configured for a SL transmission</w:t>
            </w:r>
            <w:r>
              <w:rPr>
                <w:rFonts w:ascii="Calibri" w:hAnsi="Calibri" w:cs="Calibri" w:hint="eastAsia"/>
                <w:strike/>
                <w:color w:val="FF0000"/>
                <w:sz w:val="22"/>
                <w:lang w:val="en-US"/>
              </w:rPr>
              <w:t xml:space="preserve"> using fewer than all resource blocks of an RB set</w:t>
            </w:r>
          </w:p>
          <w:p w14:paraId="4DC8B83F" w14:textId="77777777" w:rsidR="00335DBF" w:rsidRDefault="00335DBF" w:rsidP="00335DBF">
            <w:pPr>
              <w:pStyle w:val="0Maintext"/>
              <w:numPr>
                <w:ilvl w:val="1"/>
                <w:numId w:val="24"/>
              </w:numPr>
              <w:spacing w:after="0" w:afterAutospacing="0" w:line="240" w:lineRule="auto"/>
              <w:ind w:hanging="357"/>
              <w:rPr>
                <w:rFonts w:ascii="Calibri" w:hAnsi="Calibri" w:cs="Calibri"/>
                <w:strike/>
                <w:color w:val="FF0000"/>
                <w:sz w:val="22"/>
                <w:lang w:val="en-US"/>
              </w:rPr>
            </w:pPr>
            <w:r>
              <w:rPr>
                <w:rFonts w:ascii="Calibri" w:hAnsi="Calibri" w:cs="Calibri" w:hint="eastAsia"/>
                <w:sz w:val="22"/>
                <w:lang w:val="en-US"/>
              </w:rPr>
              <w:t xml:space="preserve">FFS </w:t>
            </w:r>
            <w:r>
              <w:rPr>
                <w:rFonts w:ascii="Calibri" w:hAnsi="Calibri" w:cs="Calibri"/>
                <w:color w:val="FF0000"/>
                <w:sz w:val="22"/>
                <w:lang w:val="en-US"/>
              </w:rPr>
              <w:t>whether/how to support multiple CPE</w:t>
            </w:r>
            <w:r>
              <w:rPr>
                <w:rFonts w:ascii="Calibri" w:hAnsi="Calibri" w:cs="Calibri"/>
                <w:sz w:val="22"/>
                <w:lang w:val="en-US"/>
              </w:rPr>
              <w:t xml:space="preserve"> </w:t>
            </w:r>
            <w:r>
              <w:rPr>
                <w:rFonts w:ascii="Calibri" w:hAnsi="Calibri" w:cs="Calibri" w:hint="eastAsia"/>
                <w:strike/>
                <w:color w:val="FF0000"/>
                <w:sz w:val="22"/>
                <w:lang w:val="en-US"/>
              </w:rPr>
              <w:t>details, applicable scenarios (e.g., inside and outside a COT) and type(s) of SL transmission (e.g., PSSCH/PSCCH, PSFCH, S-SSB)</w:t>
            </w:r>
          </w:p>
          <w:p w14:paraId="28512E0B" w14:textId="77777777" w:rsidR="00335DBF" w:rsidRDefault="00335DBF" w:rsidP="00335DBF">
            <w:pPr>
              <w:pStyle w:val="0Maintext"/>
              <w:spacing w:after="0" w:afterAutospacing="0"/>
              <w:ind w:firstLine="0"/>
              <w:rPr>
                <w:rFonts w:eastAsia="MS Mincho"/>
                <w:lang w:eastAsia="ja-JP"/>
              </w:rPr>
            </w:pPr>
            <w:r>
              <w:rPr>
                <w:rFonts w:ascii="Calibri" w:hAnsi="Calibri" w:cs="Calibri" w:hint="eastAsia"/>
                <w:strike/>
                <w:color w:val="FF0000"/>
                <w:sz w:val="22"/>
                <w:lang w:val="en-US"/>
              </w:rPr>
              <w:t>Multiple CPE starting positions within the GP symbol based on transmission priority level (e.g., CAPC) is supported, at least for a SL transmission using all resource blocks of one or more RB set(s)</w:t>
            </w:r>
          </w:p>
        </w:tc>
      </w:tr>
      <w:tr w:rsidR="00335DBF" w14:paraId="3CA98758" w14:textId="77777777" w:rsidTr="006B2419">
        <w:tc>
          <w:tcPr>
            <w:tcW w:w="1555" w:type="dxa"/>
          </w:tcPr>
          <w:p w14:paraId="7A7A9866" w14:textId="77777777" w:rsidR="00335DBF" w:rsidRDefault="00335DBF" w:rsidP="00335DBF">
            <w:pPr>
              <w:pStyle w:val="0Maintext"/>
              <w:spacing w:after="0" w:afterAutospacing="0"/>
              <w:ind w:firstLine="0"/>
              <w:rPr>
                <w:rFonts w:eastAsiaTheme="minorEastAsia"/>
                <w:lang w:eastAsia="zh-CN"/>
              </w:rPr>
            </w:pPr>
            <w:r>
              <w:rPr>
                <w:rFonts w:hint="eastAsia"/>
                <w:lang w:eastAsia="ko-KR"/>
              </w:rPr>
              <w:t>W</w:t>
            </w:r>
            <w:r>
              <w:rPr>
                <w:lang w:eastAsia="ko-KR"/>
              </w:rPr>
              <w:t>ILUS</w:t>
            </w:r>
          </w:p>
        </w:tc>
        <w:tc>
          <w:tcPr>
            <w:tcW w:w="8076" w:type="dxa"/>
          </w:tcPr>
          <w:p w14:paraId="4C3587DA" w14:textId="77777777" w:rsidR="00335DBF" w:rsidRDefault="00335DBF" w:rsidP="00335DBF">
            <w:pPr>
              <w:pStyle w:val="0Maintext"/>
              <w:spacing w:after="0" w:afterAutospacing="0"/>
              <w:ind w:firstLine="0"/>
              <w:rPr>
                <w:rFonts w:eastAsiaTheme="minorEastAsia"/>
                <w:lang w:eastAsia="zh-CN"/>
              </w:rPr>
            </w:pPr>
            <w:r>
              <w:rPr>
                <w:rFonts w:hint="eastAsia"/>
                <w:lang w:eastAsia="ko-KR"/>
              </w:rPr>
              <w:t>W</w:t>
            </w:r>
            <w:r>
              <w:rPr>
                <w:lang w:eastAsia="ko-KR"/>
              </w:rPr>
              <w:t>e support the 1</w:t>
            </w:r>
            <w:r>
              <w:rPr>
                <w:vertAlign w:val="superscript"/>
                <w:lang w:eastAsia="ko-KR"/>
              </w:rPr>
              <w:t>st</w:t>
            </w:r>
            <w:r>
              <w:rPr>
                <w:lang w:eastAsia="ko-KR"/>
              </w:rPr>
              <w:t xml:space="preserve"> bullet and it should be further discussed for the 2</w:t>
            </w:r>
            <w:r>
              <w:rPr>
                <w:vertAlign w:val="superscript"/>
                <w:lang w:eastAsia="ko-KR"/>
              </w:rPr>
              <w:t>nd</w:t>
            </w:r>
            <w:r>
              <w:rPr>
                <w:lang w:eastAsia="ko-KR"/>
              </w:rPr>
              <w:t xml:space="preserve"> /3</w:t>
            </w:r>
            <w:r>
              <w:rPr>
                <w:vertAlign w:val="superscript"/>
                <w:lang w:eastAsia="ko-KR"/>
              </w:rPr>
              <w:t>rd</w:t>
            </w:r>
            <w:r>
              <w:rPr>
                <w:lang w:eastAsia="ko-KR"/>
              </w:rPr>
              <w:t xml:space="preserve"> bullet and especially for the multiple CPE starting posions.</w:t>
            </w:r>
          </w:p>
        </w:tc>
      </w:tr>
      <w:tr w:rsidR="00335DBF" w14:paraId="3C74EE3E" w14:textId="77777777" w:rsidTr="006B2419">
        <w:tc>
          <w:tcPr>
            <w:tcW w:w="1555" w:type="dxa"/>
          </w:tcPr>
          <w:p w14:paraId="4EBA09F1" w14:textId="77777777" w:rsidR="00335DBF" w:rsidRDefault="00335DBF" w:rsidP="00335DBF">
            <w:pPr>
              <w:pStyle w:val="0Maintext"/>
              <w:spacing w:after="0" w:afterAutospacing="0"/>
              <w:ind w:firstLine="0"/>
              <w:rPr>
                <w:lang w:eastAsia="ko-KR"/>
              </w:rPr>
            </w:pPr>
            <w:r>
              <w:rPr>
                <w:rFonts w:eastAsiaTheme="minorEastAsia" w:hint="eastAsia"/>
                <w:lang w:eastAsia="zh-CN"/>
              </w:rPr>
              <w:t>S</w:t>
            </w:r>
            <w:r>
              <w:rPr>
                <w:rFonts w:eastAsiaTheme="minorEastAsia"/>
                <w:lang w:eastAsia="zh-CN"/>
              </w:rPr>
              <w:t>amsung</w:t>
            </w:r>
          </w:p>
        </w:tc>
        <w:tc>
          <w:tcPr>
            <w:tcW w:w="8076" w:type="dxa"/>
          </w:tcPr>
          <w:p w14:paraId="521C4D9F" w14:textId="77777777" w:rsidR="00335DBF" w:rsidRDefault="00335DBF" w:rsidP="00335DBF">
            <w:pPr>
              <w:pStyle w:val="0Maintext"/>
              <w:spacing w:after="0" w:afterAutospacing="0"/>
              <w:ind w:firstLine="0"/>
              <w:rPr>
                <w:rFonts w:eastAsiaTheme="minorEastAsia"/>
                <w:lang w:eastAsia="zh-CN"/>
              </w:rPr>
            </w:pPr>
            <w:r>
              <w:rPr>
                <w:rFonts w:eastAsiaTheme="minorEastAsia" w:hint="eastAsia"/>
                <w:lang w:eastAsia="zh-CN"/>
              </w:rPr>
              <w:t>A</w:t>
            </w:r>
            <w:r>
              <w:rPr>
                <w:rFonts w:eastAsiaTheme="minorEastAsia"/>
                <w:lang w:eastAsia="zh-CN"/>
              </w:rPr>
              <w:t>t first, there is one high level thing needing clarification: this is talking about CPE of configured transmission or scheduled transmission? In NR-U, both of them are supported, but the applicable details are quite different.</w:t>
            </w:r>
          </w:p>
          <w:p w14:paraId="22DABC42" w14:textId="77777777" w:rsidR="00335DBF" w:rsidRDefault="00335DBF" w:rsidP="00335DBF">
            <w:pPr>
              <w:pStyle w:val="0Maintext"/>
              <w:spacing w:after="0" w:afterAutospacing="0"/>
              <w:ind w:firstLine="0"/>
              <w:rPr>
                <w:lang w:eastAsia="ko-KR"/>
              </w:rPr>
            </w:pPr>
            <w:r>
              <w:rPr>
                <w:rFonts w:eastAsiaTheme="minorEastAsia"/>
                <w:lang w:eastAsia="zh-CN"/>
              </w:rPr>
              <w:t>In addition, we feel not clear why 2</w:t>
            </w:r>
            <w:r>
              <w:rPr>
                <w:rFonts w:eastAsiaTheme="minorEastAsia"/>
                <w:vertAlign w:val="superscript"/>
                <w:lang w:eastAsia="zh-CN"/>
              </w:rPr>
              <w:t>nd</w:t>
            </w:r>
            <w:r>
              <w:rPr>
                <w:rFonts w:eastAsiaTheme="minorEastAsia"/>
                <w:lang w:eastAsia="zh-CN"/>
              </w:rPr>
              <w:t xml:space="preserve"> bullet is only applied to a SL transmission using fewer than all resource blocks of an RB set and why multiple CPE starting positions is only applied to a SL transmission using all resource blocks of one or more RB set(s). In our understanding the priority-based CPE starting position and SL resource allocation are different level issues and not sure why mixed them together. We think further clarification on 2</w:t>
            </w:r>
            <w:r>
              <w:rPr>
                <w:rFonts w:eastAsiaTheme="minorEastAsia"/>
                <w:vertAlign w:val="superscript"/>
                <w:lang w:eastAsia="zh-CN"/>
              </w:rPr>
              <w:t>nd</w:t>
            </w:r>
            <w:r>
              <w:rPr>
                <w:rFonts w:eastAsiaTheme="minorEastAsia"/>
                <w:lang w:eastAsia="zh-CN"/>
              </w:rPr>
              <w:t xml:space="preserve"> and 3</w:t>
            </w:r>
            <w:r>
              <w:rPr>
                <w:rFonts w:eastAsiaTheme="minorEastAsia"/>
                <w:vertAlign w:val="superscript"/>
                <w:lang w:eastAsia="zh-CN"/>
              </w:rPr>
              <w:t>rd</w:t>
            </w:r>
            <w:r>
              <w:rPr>
                <w:rFonts w:eastAsiaTheme="minorEastAsia"/>
                <w:lang w:eastAsia="zh-CN"/>
              </w:rPr>
              <w:t xml:space="preserve"> bullets is needed.</w:t>
            </w:r>
          </w:p>
        </w:tc>
      </w:tr>
      <w:tr w:rsidR="00335DBF" w14:paraId="6BC64FE1" w14:textId="77777777" w:rsidTr="006B2419">
        <w:tc>
          <w:tcPr>
            <w:tcW w:w="1555" w:type="dxa"/>
          </w:tcPr>
          <w:p w14:paraId="6CE49830" w14:textId="77777777" w:rsidR="00335DBF" w:rsidRDefault="00335DBF" w:rsidP="00335DBF">
            <w:pPr>
              <w:pStyle w:val="0Maintext"/>
              <w:spacing w:after="0" w:afterAutospacing="0"/>
              <w:ind w:firstLine="0"/>
              <w:rPr>
                <w:rFonts w:eastAsiaTheme="minorEastAsia"/>
                <w:lang w:eastAsia="zh-CN"/>
              </w:rPr>
            </w:pPr>
            <w:r>
              <w:rPr>
                <w:rFonts w:eastAsiaTheme="minorEastAsia"/>
                <w:lang w:eastAsia="zh-CN"/>
              </w:rPr>
              <w:t>NEC</w:t>
            </w:r>
          </w:p>
        </w:tc>
        <w:tc>
          <w:tcPr>
            <w:tcW w:w="8076" w:type="dxa"/>
          </w:tcPr>
          <w:p w14:paraId="18AF5736" w14:textId="77777777" w:rsidR="00335DBF" w:rsidRDefault="00335DBF" w:rsidP="00335DBF">
            <w:pPr>
              <w:pStyle w:val="0Maintext"/>
              <w:spacing w:after="0" w:afterAutospacing="0"/>
              <w:ind w:firstLine="0"/>
              <w:rPr>
                <w:rFonts w:eastAsiaTheme="minorEastAsia"/>
                <w:lang w:eastAsia="zh-CN"/>
              </w:rPr>
            </w:pPr>
            <w:r>
              <w:rPr>
                <w:rFonts w:eastAsiaTheme="minorEastAsia"/>
                <w:lang w:eastAsia="zh-CN"/>
              </w:rPr>
              <w:t>We generally agree with the 1</w:t>
            </w:r>
            <w:r>
              <w:rPr>
                <w:rFonts w:eastAsiaTheme="minorEastAsia"/>
                <w:vertAlign w:val="superscript"/>
                <w:lang w:eastAsia="zh-CN"/>
              </w:rPr>
              <w:t>st</w:t>
            </w:r>
            <w:r>
              <w:rPr>
                <w:rFonts w:eastAsiaTheme="minorEastAsia"/>
                <w:lang w:eastAsia="zh-CN"/>
              </w:rPr>
              <w:t xml:space="preserve"> and 3</w:t>
            </w:r>
            <w:r>
              <w:rPr>
                <w:rFonts w:eastAsiaTheme="minorEastAsia"/>
                <w:vertAlign w:val="superscript"/>
                <w:lang w:eastAsia="zh-CN"/>
              </w:rPr>
              <w:t>rd</w:t>
            </w:r>
            <w:r>
              <w:rPr>
                <w:rFonts w:eastAsiaTheme="minorEastAsia"/>
                <w:lang w:eastAsia="zh-CN"/>
              </w:rPr>
              <w:t xml:space="preserve"> bullets, and do not support the 2</w:t>
            </w:r>
            <w:r>
              <w:rPr>
                <w:rFonts w:eastAsiaTheme="minorEastAsia"/>
                <w:vertAlign w:val="superscript"/>
                <w:lang w:eastAsia="zh-CN"/>
              </w:rPr>
              <w:t>nd</w:t>
            </w:r>
            <w:r>
              <w:rPr>
                <w:rFonts w:eastAsiaTheme="minorEastAsia"/>
                <w:lang w:eastAsia="zh-CN"/>
              </w:rPr>
              <w:t xml:space="preserve"> bullet.</w:t>
            </w:r>
          </w:p>
          <w:p w14:paraId="19B16A24" w14:textId="77777777" w:rsidR="00335DBF" w:rsidRDefault="00335DBF" w:rsidP="00335DBF">
            <w:pPr>
              <w:pStyle w:val="0Maintext"/>
              <w:spacing w:after="0" w:afterAutospacing="0"/>
              <w:ind w:firstLine="0"/>
              <w:rPr>
                <w:rFonts w:eastAsiaTheme="minorEastAsia"/>
                <w:lang w:eastAsia="zh-CN"/>
              </w:rPr>
            </w:pPr>
          </w:p>
          <w:p w14:paraId="4641B168" w14:textId="77777777" w:rsidR="00335DBF" w:rsidRDefault="00335DBF" w:rsidP="00335DBF">
            <w:pPr>
              <w:pStyle w:val="0Maintext"/>
              <w:spacing w:after="0" w:afterAutospacing="0"/>
              <w:ind w:firstLine="0"/>
              <w:rPr>
                <w:rFonts w:eastAsiaTheme="minorEastAsia"/>
                <w:lang w:eastAsia="zh-CN"/>
              </w:rPr>
            </w:pPr>
            <w:r>
              <w:rPr>
                <w:rFonts w:eastAsiaTheme="minorEastAsia"/>
                <w:lang w:eastAsia="zh-CN"/>
              </w:rPr>
              <w:t>We propose to update the proposal as following:</w:t>
            </w:r>
          </w:p>
          <w:p w14:paraId="613FC3D0" w14:textId="77777777" w:rsidR="00335DBF" w:rsidRDefault="00335DBF" w:rsidP="00335DBF">
            <w:pPr>
              <w:autoSpaceDE w:val="0"/>
              <w:autoSpaceDN w:val="0"/>
              <w:jc w:val="both"/>
              <w:rPr>
                <w:rFonts w:ascii="Calibri" w:hAnsi="Calibri" w:cs="Calibri"/>
                <w:sz w:val="22"/>
              </w:rPr>
            </w:pPr>
            <w:r>
              <w:rPr>
                <w:rFonts w:ascii="Calibri" w:hAnsi="Calibri" w:cs="Calibri"/>
                <w:b/>
                <w:bCs/>
                <w:sz w:val="22"/>
                <w:highlight w:val="yellow"/>
              </w:rPr>
              <w:t>Proposal 4 (I):</w:t>
            </w:r>
          </w:p>
          <w:p w14:paraId="6647E504" w14:textId="77777777" w:rsidR="00335DBF" w:rsidRDefault="00335DBF" w:rsidP="00335DBF">
            <w:pPr>
              <w:pStyle w:val="0Maintext"/>
              <w:numPr>
                <w:ilvl w:val="0"/>
                <w:numId w:val="24"/>
              </w:numPr>
              <w:tabs>
                <w:tab w:val="left" w:pos="720"/>
              </w:tabs>
              <w:spacing w:after="0" w:afterAutospacing="0" w:line="240" w:lineRule="auto"/>
              <w:ind w:hanging="357"/>
              <w:rPr>
                <w:rFonts w:ascii="Calibri" w:hAnsi="Calibri" w:cs="Calibri"/>
                <w:sz w:val="22"/>
                <w:lang w:val="en-US"/>
              </w:rPr>
            </w:pPr>
            <w:r>
              <w:rPr>
                <w:rFonts w:ascii="Calibri" w:hAnsi="Calibri" w:cs="Calibri"/>
                <w:sz w:val="22"/>
                <w:lang w:val="en-US"/>
              </w:rPr>
              <w:t>A CPE is transmitted from a CPE starting position until the start of the AGC symbol of the next slot.</w:t>
            </w:r>
          </w:p>
          <w:p w14:paraId="6F29BE37" w14:textId="77777777" w:rsidR="00335DBF" w:rsidRDefault="00335DBF" w:rsidP="00335DBF">
            <w:pPr>
              <w:pStyle w:val="0Maintext"/>
              <w:numPr>
                <w:ilvl w:val="1"/>
                <w:numId w:val="24"/>
              </w:numPr>
              <w:spacing w:after="0" w:afterAutospacing="0" w:line="240" w:lineRule="auto"/>
              <w:ind w:hanging="357"/>
              <w:rPr>
                <w:rFonts w:ascii="Calibri" w:hAnsi="Calibri" w:cs="Calibri"/>
                <w:strike/>
                <w:sz w:val="22"/>
                <w:lang w:val="en-US"/>
              </w:rPr>
            </w:pPr>
            <w:r>
              <w:rPr>
                <w:rFonts w:ascii="Calibri" w:hAnsi="Calibri" w:cs="Calibri"/>
                <w:strike/>
                <w:sz w:val="22"/>
                <w:lang w:val="en-US"/>
              </w:rPr>
              <w:t>FFS the CPE starting position is always confined within the last symbol of a slot (the GP symbol)</w:t>
            </w:r>
          </w:p>
          <w:p w14:paraId="2F73362C" w14:textId="77777777" w:rsidR="00335DBF" w:rsidRDefault="00335DBF" w:rsidP="00335DBF">
            <w:pPr>
              <w:pStyle w:val="0Maintext"/>
              <w:numPr>
                <w:ilvl w:val="0"/>
                <w:numId w:val="24"/>
              </w:numPr>
              <w:tabs>
                <w:tab w:val="left" w:pos="720"/>
              </w:tabs>
              <w:spacing w:after="0" w:afterAutospacing="0" w:line="240" w:lineRule="auto"/>
              <w:ind w:hanging="357"/>
              <w:rPr>
                <w:rFonts w:ascii="Calibri" w:hAnsi="Calibri" w:cs="Calibri"/>
                <w:strike/>
                <w:sz w:val="22"/>
                <w:lang w:val="en-US"/>
              </w:rPr>
            </w:pPr>
            <w:r>
              <w:rPr>
                <w:rFonts w:ascii="Calibri" w:hAnsi="Calibri" w:cs="Calibri"/>
                <w:strike/>
                <w:sz w:val="22"/>
                <w:lang w:val="en-US"/>
              </w:rPr>
              <w:t>A CPE starting position is (pre-)configured for a SL transmission using fewer than all resource blocks of an RB set</w:t>
            </w:r>
          </w:p>
          <w:p w14:paraId="71F208ED" w14:textId="77777777" w:rsidR="00335DBF" w:rsidRDefault="00335DBF" w:rsidP="00335DBF">
            <w:pPr>
              <w:pStyle w:val="0Maintext"/>
              <w:numPr>
                <w:ilvl w:val="1"/>
                <w:numId w:val="24"/>
              </w:numPr>
              <w:spacing w:after="0" w:afterAutospacing="0" w:line="240" w:lineRule="auto"/>
              <w:ind w:hanging="357"/>
              <w:rPr>
                <w:rFonts w:ascii="Calibri" w:hAnsi="Calibri" w:cs="Calibri"/>
                <w:strike/>
                <w:sz w:val="22"/>
                <w:lang w:val="en-US"/>
              </w:rPr>
            </w:pPr>
            <w:r>
              <w:rPr>
                <w:rFonts w:ascii="Calibri" w:hAnsi="Calibri" w:cs="Calibri"/>
                <w:strike/>
                <w:sz w:val="22"/>
                <w:lang w:val="en-US"/>
              </w:rPr>
              <w:t>FFS details, applicable scenarios (e.g., inside and outside a COT) and type(s) of SL transmission (e.g., PSSCH/PSCCH, PSFCH, S-SSB)</w:t>
            </w:r>
          </w:p>
          <w:p w14:paraId="6D4D6F38" w14:textId="77777777" w:rsidR="00335DBF" w:rsidRDefault="00335DBF" w:rsidP="00335DBF">
            <w:pPr>
              <w:pStyle w:val="0Maintext"/>
              <w:numPr>
                <w:ilvl w:val="0"/>
                <w:numId w:val="24"/>
              </w:numPr>
              <w:tabs>
                <w:tab w:val="left" w:pos="720"/>
              </w:tabs>
              <w:spacing w:after="0" w:afterAutospacing="0" w:line="240" w:lineRule="auto"/>
              <w:ind w:hanging="357"/>
              <w:rPr>
                <w:rFonts w:ascii="Calibri" w:hAnsi="Calibri" w:cs="Calibri"/>
                <w:strike/>
                <w:sz w:val="22"/>
                <w:lang w:val="en-US"/>
              </w:rPr>
            </w:pPr>
            <w:r>
              <w:rPr>
                <w:rFonts w:ascii="Calibri" w:hAnsi="Calibri" w:cs="Calibri"/>
                <w:sz w:val="22"/>
                <w:lang w:val="en-US"/>
              </w:rPr>
              <w:t xml:space="preserve">Multiple CPE starting positions within the GP symbol based on transmission priority level (e.g., CAPC) is supported, </w:t>
            </w:r>
            <w:r>
              <w:rPr>
                <w:rFonts w:ascii="Calibri" w:hAnsi="Calibri" w:cs="Calibri"/>
                <w:strike/>
                <w:sz w:val="22"/>
                <w:lang w:val="en-US"/>
              </w:rPr>
              <w:t>at least for a SL transmission using all resource blocks of one or more RB set(s)</w:t>
            </w:r>
          </w:p>
          <w:p w14:paraId="4EB0B2C0" w14:textId="77777777" w:rsidR="00335DBF" w:rsidRDefault="00335DBF" w:rsidP="00335DBF">
            <w:pPr>
              <w:pStyle w:val="0Maintext"/>
              <w:numPr>
                <w:ilvl w:val="1"/>
                <w:numId w:val="24"/>
              </w:numPr>
              <w:spacing w:after="0" w:afterAutospacing="0" w:line="240" w:lineRule="auto"/>
              <w:ind w:hanging="357"/>
              <w:rPr>
                <w:rFonts w:eastAsiaTheme="minorEastAsia"/>
                <w:lang w:eastAsia="zh-CN"/>
              </w:rPr>
            </w:pPr>
            <w:r>
              <w:rPr>
                <w:rFonts w:ascii="Calibri" w:eastAsia="Batang" w:hAnsi="Calibri" w:cs="Calibri"/>
                <w:strike/>
                <w:sz w:val="22"/>
                <w:szCs w:val="24"/>
                <w:lang w:val="en-US"/>
              </w:rPr>
              <w:t>FFS details and applicable scenarios</w:t>
            </w:r>
          </w:p>
        </w:tc>
      </w:tr>
      <w:tr w:rsidR="00335DBF" w14:paraId="4D7EA3B4" w14:textId="77777777" w:rsidTr="006B2419">
        <w:tc>
          <w:tcPr>
            <w:tcW w:w="1555" w:type="dxa"/>
          </w:tcPr>
          <w:p w14:paraId="31F36CAA" w14:textId="77777777" w:rsidR="00335DBF" w:rsidRDefault="00335DBF" w:rsidP="00335DBF">
            <w:pPr>
              <w:pStyle w:val="0Maintext"/>
              <w:spacing w:after="0" w:afterAutospacing="0"/>
              <w:ind w:firstLine="0"/>
              <w:rPr>
                <w:rFonts w:eastAsiaTheme="minorEastAsia"/>
                <w:lang w:eastAsia="zh-CN"/>
              </w:rPr>
            </w:pPr>
            <w:r>
              <w:rPr>
                <w:rFonts w:eastAsiaTheme="minorEastAsia"/>
                <w:lang w:eastAsia="zh-CN"/>
              </w:rPr>
              <w:t>xiaomi</w:t>
            </w:r>
          </w:p>
        </w:tc>
        <w:tc>
          <w:tcPr>
            <w:tcW w:w="8076" w:type="dxa"/>
          </w:tcPr>
          <w:p w14:paraId="629C8E65" w14:textId="77777777" w:rsidR="00335DBF" w:rsidRDefault="00335DBF" w:rsidP="00335DBF">
            <w:pPr>
              <w:pStyle w:val="0Maintext"/>
              <w:spacing w:after="0" w:afterAutospacing="0"/>
              <w:ind w:firstLine="0"/>
              <w:rPr>
                <w:rFonts w:eastAsiaTheme="minorEastAsia"/>
                <w:lang w:val="en-US" w:eastAsia="zh-CN"/>
              </w:rPr>
            </w:pPr>
            <w:r>
              <w:rPr>
                <w:rFonts w:eastAsiaTheme="minorEastAsia"/>
                <w:lang w:val="en-US" w:eastAsia="zh-CN"/>
              </w:rPr>
              <w:t>We think CPE for PSFCH is not precluded yet.</w:t>
            </w:r>
          </w:p>
          <w:p w14:paraId="2B0FB453" w14:textId="77777777" w:rsidR="00335DBF" w:rsidRDefault="00335DBF" w:rsidP="00335DBF">
            <w:pPr>
              <w:pStyle w:val="0Maintext"/>
              <w:spacing w:after="0" w:afterAutospacing="0"/>
              <w:ind w:firstLine="0"/>
              <w:rPr>
                <w:rFonts w:eastAsiaTheme="minorEastAsia"/>
                <w:lang w:eastAsia="zh-CN"/>
              </w:rPr>
            </w:pPr>
            <w:r>
              <w:rPr>
                <w:rFonts w:eastAsiaTheme="minorEastAsia"/>
                <w:lang w:eastAsia="zh-CN"/>
              </w:rPr>
              <w:lastRenderedPageBreak/>
              <w:t xml:space="preserve">For the first bullet, when PSFCH is </w:t>
            </w:r>
            <w:r>
              <w:rPr>
                <w:rFonts w:eastAsiaTheme="minorEastAsia"/>
                <w:lang w:val="en-US" w:eastAsia="zh-CN"/>
              </w:rPr>
              <w:t>transmitted in the slot and CPE is used for PSFCH</w:t>
            </w:r>
            <w:r>
              <w:rPr>
                <w:rFonts w:eastAsiaTheme="minorEastAsia"/>
                <w:lang w:eastAsia="zh-CN"/>
              </w:rPr>
              <w:t xml:space="preserve">, </w:t>
            </w:r>
            <w:r>
              <w:rPr>
                <w:rFonts w:eastAsiaTheme="minorEastAsia"/>
                <w:lang w:val="en-US" w:eastAsia="zh-CN"/>
              </w:rPr>
              <w:t>CPE will be in the gap symbol between PSCCH/PSSCH and PSFCH. The CPE for PSFCH transmission will not continue until AGC symbol in the next slot. Therefore, we suggest the</w:t>
            </w:r>
            <w:r>
              <w:rPr>
                <w:rFonts w:eastAsiaTheme="minorEastAsia"/>
                <w:lang w:eastAsia="zh-CN"/>
              </w:rPr>
              <w:t xml:space="preserve"> following revisions:</w:t>
            </w:r>
          </w:p>
          <w:p w14:paraId="1485A2C1" w14:textId="77777777" w:rsidR="00335DBF" w:rsidRDefault="00335DBF" w:rsidP="00335DBF">
            <w:pPr>
              <w:pStyle w:val="0Maintext"/>
              <w:numPr>
                <w:ilvl w:val="0"/>
                <w:numId w:val="24"/>
              </w:numPr>
              <w:tabs>
                <w:tab w:val="left" w:pos="720"/>
              </w:tabs>
              <w:spacing w:after="0" w:afterAutospacing="0" w:line="240" w:lineRule="auto"/>
              <w:ind w:hanging="357"/>
              <w:rPr>
                <w:rFonts w:ascii="Calibri" w:hAnsi="Calibri" w:cs="Calibri"/>
                <w:color w:val="FF0000"/>
                <w:sz w:val="22"/>
                <w:lang w:val="en-US" w:eastAsia="zh-CN"/>
              </w:rPr>
            </w:pPr>
            <w:r>
              <w:rPr>
                <w:rFonts w:ascii="Calibri" w:hAnsi="Calibri" w:cs="Calibri"/>
                <w:sz w:val="22"/>
                <w:lang w:val="en-US" w:eastAsia="zh-CN"/>
              </w:rPr>
              <w:t xml:space="preserve">A CPE is transmitted from a CPE starting position until the start of the AGC symbol </w:t>
            </w:r>
            <w:r>
              <w:rPr>
                <w:rFonts w:ascii="Calibri" w:hAnsi="Calibri" w:cs="Calibri"/>
                <w:color w:val="000000" w:themeColor="text1"/>
                <w:sz w:val="22"/>
                <w:lang w:val="en-US" w:eastAsia="zh-CN"/>
              </w:rPr>
              <w:t xml:space="preserve">of the next slot </w:t>
            </w:r>
            <w:r>
              <w:rPr>
                <w:rFonts w:ascii="Calibri" w:hAnsi="Calibri" w:cs="Calibri"/>
                <w:color w:val="FF0000"/>
                <w:sz w:val="22"/>
                <w:lang w:val="en-US" w:eastAsia="zh-CN"/>
              </w:rPr>
              <w:t>or AGC symbol of PSFCH in the same slot</w:t>
            </w:r>
          </w:p>
          <w:p w14:paraId="65C18E58" w14:textId="77777777" w:rsidR="00335DBF" w:rsidRDefault="00335DBF" w:rsidP="00335DBF">
            <w:pPr>
              <w:pStyle w:val="0Maintext"/>
              <w:numPr>
                <w:ilvl w:val="1"/>
                <w:numId w:val="24"/>
              </w:numPr>
              <w:spacing w:after="0" w:afterAutospacing="0" w:line="240" w:lineRule="auto"/>
              <w:ind w:hanging="357"/>
              <w:rPr>
                <w:rFonts w:ascii="Calibri" w:hAnsi="Calibri" w:cs="Calibri"/>
                <w:sz w:val="22"/>
                <w:lang w:val="en-US" w:eastAsia="zh-CN"/>
              </w:rPr>
            </w:pPr>
            <w:r>
              <w:rPr>
                <w:rFonts w:ascii="Calibri" w:hAnsi="Calibri" w:cs="Calibri"/>
                <w:sz w:val="22"/>
                <w:lang w:val="en-US" w:eastAsia="zh-CN"/>
              </w:rPr>
              <w:t>FFS the CPE starting position is always confined within the last symbol of a slot (the GP symbol)</w:t>
            </w:r>
          </w:p>
        </w:tc>
      </w:tr>
      <w:tr w:rsidR="00335DBF" w14:paraId="414FE7FE" w14:textId="77777777" w:rsidTr="006B2419">
        <w:tc>
          <w:tcPr>
            <w:tcW w:w="1555" w:type="dxa"/>
          </w:tcPr>
          <w:p w14:paraId="0E5B1326" w14:textId="77777777" w:rsidR="00335DBF" w:rsidRDefault="00335DBF" w:rsidP="00335DBF">
            <w:pPr>
              <w:pStyle w:val="0Maintext"/>
              <w:spacing w:after="0" w:afterAutospacing="0"/>
              <w:ind w:firstLine="0"/>
              <w:rPr>
                <w:rFonts w:eastAsiaTheme="minorEastAsia"/>
                <w:lang w:eastAsia="zh-CN"/>
              </w:rPr>
            </w:pPr>
            <w:r>
              <w:rPr>
                <w:rFonts w:eastAsiaTheme="minorEastAsia" w:hint="eastAsia"/>
                <w:lang w:eastAsia="zh-CN"/>
              </w:rPr>
              <w:lastRenderedPageBreak/>
              <w:t>C</w:t>
            </w:r>
            <w:r>
              <w:rPr>
                <w:rFonts w:eastAsiaTheme="minorEastAsia"/>
                <w:lang w:eastAsia="zh-CN"/>
              </w:rPr>
              <w:t>ATT/GH</w:t>
            </w:r>
          </w:p>
        </w:tc>
        <w:tc>
          <w:tcPr>
            <w:tcW w:w="8076" w:type="dxa"/>
          </w:tcPr>
          <w:p w14:paraId="56FA5BB7" w14:textId="77777777" w:rsidR="00335DBF" w:rsidRDefault="00335DBF" w:rsidP="00335DBF">
            <w:pPr>
              <w:pStyle w:val="0Maintext"/>
              <w:spacing w:after="0" w:afterAutospacing="0"/>
              <w:ind w:firstLine="0"/>
              <w:rPr>
                <w:rFonts w:eastAsiaTheme="minorEastAsia"/>
                <w:lang w:eastAsia="zh-CN"/>
              </w:rPr>
            </w:pPr>
            <w:r>
              <w:rPr>
                <w:rFonts w:eastAsiaTheme="minorEastAsia"/>
                <w:lang w:eastAsia="zh-CN"/>
              </w:rPr>
              <w:t>We are fine with the first main bullet but have concern about the related FFS. From our understanding, the starting position of the CPE is related to the LBT success time and the interval between the selected transmission and the LBT success time may be larger than a symbol. Restricting the CPE starting position to be always confined within the GP symbol is unreasonable. Only a</w:t>
            </w:r>
            <w:r>
              <w:t xml:space="preserve"> </w:t>
            </w:r>
            <w:r>
              <w:rPr>
                <w:rFonts w:eastAsiaTheme="minorEastAsia"/>
                <w:lang w:eastAsia="zh-CN"/>
              </w:rPr>
              <w:t>maximum duration of CPE is required, to avoid unfairness to other RAT access and insufficient resource usage.</w:t>
            </w:r>
          </w:p>
          <w:p w14:paraId="5D9D5D2F" w14:textId="77777777" w:rsidR="00335DBF" w:rsidRDefault="00335DBF" w:rsidP="00335DBF">
            <w:pPr>
              <w:pStyle w:val="0Maintext"/>
              <w:spacing w:after="0" w:afterAutospacing="0"/>
              <w:ind w:firstLine="0"/>
              <w:rPr>
                <w:rFonts w:eastAsiaTheme="minorEastAsia"/>
                <w:lang w:eastAsia="zh-CN"/>
              </w:rPr>
            </w:pPr>
          </w:p>
          <w:p w14:paraId="790CCEE1" w14:textId="77777777" w:rsidR="00335DBF" w:rsidRDefault="00335DBF" w:rsidP="00335DBF">
            <w:pPr>
              <w:pStyle w:val="0Maintext"/>
              <w:spacing w:after="0" w:afterAutospacing="0"/>
              <w:ind w:firstLine="0"/>
              <w:rPr>
                <w:rFonts w:eastAsiaTheme="minorEastAsia"/>
                <w:lang w:eastAsia="zh-CN"/>
              </w:rPr>
            </w:pPr>
            <w:r>
              <w:rPr>
                <w:rFonts w:eastAsiaTheme="minorEastAsia" w:hint="eastAsia"/>
                <w:lang w:eastAsia="zh-CN"/>
              </w:rPr>
              <w:t>F</w:t>
            </w:r>
            <w:r>
              <w:rPr>
                <w:rFonts w:eastAsiaTheme="minorEastAsia"/>
                <w:lang w:eastAsia="zh-CN"/>
              </w:rPr>
              <w:t xml:space="preserve">or the second main bullet, we think the starting position should not be (pre-)configured. It can be flexible determined by the UE according to such as the LBT success time. </w:t>
            </w:r>
          </w:p>
          <w:p w14:paraId="7B6982C6" w14:textId="77777777" w:rsidR="00335DBF" w:rsidRDefault="00335DBF" w:rsidP="00335DBF">
            <w:pPr>
              <w:pStyle w:val="0Maintext"/>
              <w:spacing w:after="0" w:afterAutospacing="0"/>
              <w:ind w:firstLine="0"/>
              <w:rPr>
                <w:rFonts w:eastAsiaTheme="minorEastAsia"/>
                <w:lang w:eastAsia="zh-CN"/>
              </w:rPr>
            </w:pPr>
          </w:p>
          <w:p w14:paraId="19CADBA5" w14:textId="77777777" w:rsidR="00335DBF" w:rsidRDefault="00335DBF" w:rsidP="00335DBF">
            <w:pPr>
              <w:pStyle w:val="0Maintext"/>
              <w:spacing w:after="0" w:afterAutospacing="0"/>
              <w:ind w:firstLine="0"/>
              <w:rPr>
                <w:rFonts w:eastAsiaTheme="minorEastAsia"/>
                <w:lang w:eastAsia="zh-CN"/>
              </w:rPr>
            </w:pPr>
            <w:r>
              <w:rPr>
                <w:rFonts w:eastAsiaTheme="minorEastAsia"/>
                <w:lang w:eastAsia="zh-CN"/>
              </w:rPr>
              <w:t xml:space="preserve">The third main bullet seems contradictory with the first FFS, which says FFS the CPE starting position is always confined within the GP symbol. </w:t>
            </w:r>
          </w:p>
          <w:p w14:paraId="16590A35" w14:textId="77777777" w:rsidR="00335DBF" w:rsidRDefault="00335DBF" w:rsidP="00335DBF">
            <w:pPr>
              <w:pStyle w:val="0Maintext"/>
              <w:spacing w:after="0" w:afterAutospacing="0"/>
              <w:ind w:firstLine="0"/>
              <w:rPr>
                <w:rFonts w:eastAsiaTheme="minorEastAsia"/>
                <w:lang w:eastAsia="zh-CN"/>
              </w:rPr>
            </w:pPr>
          </w:p>
          <w:p w14:paraId="70E94EBF" w14:textId="77777777" w:rsidR="00335DBF" w:rsidRDefault="00335DBF" w:rsidP="00335DBF">
            <w:pPr>
              <w:pStyle w:val="0Maintext"/>
              <w:spacing w:after="0" w:afterAutospacing="0"/>
              <w:ind w:firstLine="0"/>
              <w:rPr>
                <w:rFonts w:eastAsiaTheme="minorEastAsia"/>
                <w:lang w:eastAsia="zh-CN"/>
              </w:rPr>
            </w:pPr>
            <w:r>
              <w:rPr>
                <w:rFonts w:eastAsiaTheme="minorEastAsia"/>
                <w:lang w:eastAsia="zh-CN"/>
              </w:rPr>
              <w:t>Therefore, we suggest revising the proposal as follows:</w:t>
            </w:r>
          </w:p>
          <w:p w14:paraId="417ED7C5" w14:textId="77777777" w:rsidR="00335DBF" w:rsidRDefault="00335DBF" w:rsidP="00335DBF">
            <w:pPr>
              <w:autoSpaceDE w:val="0"/>
              <w:autoSpaceDN w:val="0"/>
              <w:jc w:val="both"/>
              <w:rPr>
                <w:rFonts w:ascii="Calibri" w:hAnsi="Calibri" w:cs="Calibri"/>
                <w:sz w:val="22"/>
              </w:rPr>
            </w:pPr>
            <w:r>
              <w:rPr>
                <w:rFonts w:ascii="Calibri" w:hAnsi="Calibri" w:cs="Calibri"/>
                <w:b/>
                <w:bCs/>
                <w:sz w:val="22"/>
                <w:highlight w:val="yellow"/>
              </w:rPr>
              <w:t>Proposal 4 (I):</w:t>
            </w:r>
          </w:p>
          <w:p w14:paraId="3A286713" w14:textId="77777777" w:rsidR="00335DBF" w:rsidRDefault="00335DBF" w:rsidP="00335DBF">
            <w:pPr>
              <w:pStyle w:val="0Maintext"/>
              <w:numPr>
                <w:ilvl w:val="0"/>
                <w:numId w:val="24"/>
              </w:numPr>
              <w:tabs>
                <w:tab w:val="left" w:pos="720"/>
              </w:tabs>
              <w:spacing w:after="0" w:afterAutospacing="0" w:line="240" w:lineRule="auto"/>
              <w:ind w:hanging="357"/>
              <w:rPr>
                <w:rFonts w:ascii="Calibri" w:hAnsi="Calibri" w:cs="Calibri"/>
                <w:sz w:val="22"/>
                <w:lang w:val="en-US"/>
              </w:rPr>
            </w:pPr>
            <w:r>
              <w:rPr>
                <w:rFonts w:ascii="Calibri" w:hAnsi="Calibri" w:cs="Calibri" w:hint="eastAsia"/>
                <w:sz w:val="22"/>
                <w:lang w:val="en-US"/>
              </w:rPr>
              <w:t>A CPE is transmitted from a CPE starting position until the start of the AGC symbol of the next slot.</w:t>
            </w:r>
          </w:p>
          <w:p w14:paraId="3B071AD2" w14:textId="77777777" w:rsidR="00335DBF" w:rsidRDefault="00335DBF" w:rsidP="00335DBF">
            <w:pPr>
              <w:pStyle w:val="0Maintext"/>
              <w:numPr>
                <w:ilvl w:val="1"/>
                <w:numId w:val="24"/>
              </w:numPr>
              <w:spacing w:after="0" w:afterAutospacing="0" w:line="240" w:lineRule="auto"/>
              <w:rPr>
                <w:rFonts w:ascii="Calibri" w:hAnsi="Calibri" w:cs="Calibri"/>
                <w:color w:val="FF0000"/>
                <w:sz w:val="22"/>
                <w:lang w:val="en-US"/>
              </w:rPr>
            </w:pPr>
            <w:r>
              <w:rPr>
                <w:rFonts w:ascii="Calibri" w:eastAsiaTheme="minorEastAsia" w:hAnsi="Calibri" w:cs="Calibri" w:hint="eastAsia"/>
                <w:color w:val="FF0000"/>
                <w:sz w:val="22"/>
                <w:lang w:val="en-US" w:eastAsia="zh-CN"/>
              </w:rPr>
              <w:t>F</w:t>
            </w:r>
            <w:r>
              <w:rPr>
                <w:rFonts w:ascii="Calibri" w:eastAsiaTheme="minorEastAsia" w:hAnsi="Calibri" w:cs="Calibri"/>
                <w:color w:val="FF0000"/>
                <w:sz w:val="22"/>
                <w:lang w:val="en-US" w:eastAsia="zh-CN"/>
              </w:rPr>
              <w:t>FS any restriction on the maximum duration of CPE.</w:t>
            </w:r>
          </w:p>
          <w:p w14:paraId="1A9CB8BE" w14:textId="77777777" w:rsidR="00335DBF" w:rsidRDefault="00335DBF" w:rsidP="00335DBF">
            <w:pPr>
              <w:pStyle w:val="0Maintext"/>
              <w:numPr>
                <w:ilvl w:val="1"/>
                <w:numId w:val="24"/>
              </w:numPr>
              <w:spacing w:after="0" w:afterAutospacing="0" w:line="240" w:lineRule="auto"/>
              <w:ind w:hanging="357"/>
              <w:rPr>
                <w:rFonts w:ascii="Calibri" w:hAnsi="Calibri" w:cs="Calibri"/>
                <w:strike/>
                <w:color w:val="FF0000"/>
                <w:sz w:val="22"/>
                <w:lang w:val="en-US"/>
              </w:rPr>
            </w:pPr>
            <w:r>
              <w:rPr>
                <w:rFonts w:ascii="Calibri" w:hAnsi="Calibri" w:cs="Calibri" w:hint="eastAsia"/>
                <w:strike/>
                <w:color w:val="FF0000"/>
                <w:sz w:val="22"/>
                <w:lang w:val="en-US"/>
              </w:rPr>
              <w:t>FFS the CPE starting position is always confined within the last symbol of a slot (the GP symbol)</w:t>
            </w:r>
          </w:p>
          <w:p w14:paraId="09680B52" w14:textId="77777777" w:rsidR="00335DBF" w:rsidRDefault="00335DBF" w:rsidP="00335DBF">
            <w:pPr>
              <w:pStyle w:val="0Maintext"/>
              <w:numPr>
                <w:ilvl w:val="0"/>
                <w:numId w:val="24"/>
              </w:numPr>
              <w:tabs>
                <w:tab w:val="left" w:pos="720"/>
              </w:tabs>
              <w:spacing w:after="0" w:afterAutospacing="0" w:line="240" w:lineRule="auto"/>
              <w:ind w:hanging="357"/>
              <w:rPr>
                <w:rFonts w:ascii="Calibri" w:hAnsi="Calibri" w:cs="Calibri"/>
                <w:strike/>
                <w:color w:val="FF0000"/>
                <w:sz w:val="22"/>
                <w:lang w:val="en-US"/>
              </w:rPr>
            </w:pPr>
            <w:r>
              <w:rPr>
                <w:rFonts w:ascii="Calibri" w:hAnsi="Calibri" w:cs="Calibri" w:hint="eastAsia"/>
                <w:strike/>
                <w:color w:val="FF0000"/>
                <w:sz w:val="22"/>
                <w:lang w:val="en-US"/>
              </w:rPr>
              <w:t>A CPE starting position is (pre-)configured for a SL transmission using fewer than all resource blocks of an RB set</w:t>
            </w:r>
          </w:p>
          <w:p w14:paraId="77870866" w14:textId="77777777" w:rsidR="00335DBF" w:rsidRDefault="00335DBF" w:rsidP="00335DBF">
            <w:pPr>
              <w:pStyle w:val="0Maintext"/>
              <w:numPr>
                <w:ilvl w:val="1"/>
                <w:numId w:val="24"/>
              </w:numPr>
              <w:spacing w:after="0" w:afterAutospacing="0" w:line="240" w:lineRule="auto"/>
              <w:ind w:hanging="357"/>
              <w:rPr>
                <w:rFonts w:ascii="Calibri" w:hAnsi="Calibri" w:cs="Calibri"/>
                <w:strike/>
                <w:color w:val="FF0000"/>
                <w:sz w:val="22"/>
                <w:lang w:val="en-US"/>
              </w:rPr>
            </w:pPr>
            <w:r>
              <w:rPr>
                <w:rFonts w:ascii="Calibri" w:hAnsi="Calibri" w:cs="Calibri" w:hint="eastAsia"/>
                <w:strike/>
                <w:color w:val="FF0000"/>
                <w:sz w:val="22"/>
                <w:lang w:val="en-US"/>
              </w:rPr>
              <w:t>FFS details, applicable scenarios (e.g., inside and outside a COT) and type(s) of SL transmission (e.g., PSSCH/PSCCH, PSFCH, S-SSB)</w:t>
            </w:r>
          </w:p>
          <w:p w14:paraId="125A396D" w14:textId="77777777" w:rsidR="00335DBF" w:rsidRDefault="00335DBF" w:rsidP="00335DBF">
            <w:pPr>
              <w:pStyle w:val="0Maintext"/>
              <w:numPr>
                <w:ilvl w:val="0"/>
                <w:numId w:val="24"/>
              </w:numPr>
              <w:tabs>
                <w:tab w:val="left" w:pos="720"/>
              </w:tabs>
              <w:spacing w:after="0" w:afterAutospacing="0" w:line="240" w:lineRule="auto"/>
              <w:ind w:hanging="357"/>
              <w:rPr>
                <w:rFonts w:ascii="Calibri" w:hAnsi="Calibri" w:cs="Calibri"/>
                <w:strike/>
                <w:color w:val="FF0000"/>
                <w:sz w:val="22"/>
                <w:lang w:val="en-US"/>
              </w:rPr>
            </w:pPr>
            <w:r>
              <w:rPr>
                <w:rFonts w:ascii="Calibri" w:hAnsi="Calibri" w:cs="Calibri" w:hint="eastAsia"/>
                <w:strike/>
                <w:color w:val="FF0000"/>
                <w:sz w:val="22"/>
                <w:lang w:val="en-US"/>
              </w:rPr>
              <w:t>Multiple CPE starting positions within the GP symbol based on transmission priority level (e.g., CAPC) is supported, at least for a SL transmission using all resource blocks of one or more RB set(s)</w:t>
            </w:r>
          </w:p>
          <w:p w14:paraId="533C09C7" w14:textId="23656EEA" w:rsidR="00335DBF" w:rsidRPr="00335DBF" w:rsidRDefault="00335DBF" w:rsidP="00335DBF">
            <w:pPr>
              <w:pStyle w:val="0Maintext"/>
              <w:numPr>
                <w:ilvl w:val="1"/>
                <w:numId w:val="24"/>
              </w:numPr>
              <w:spacing w:after="0" w:afterAutospacing="0" w:line="240" w:lineRule="auto"/>
              <w:ind w:hanging="357"/>
              <w:rPr>
                <w:rFonts w:ascii="Calibri" w:hAnsi="Calibri" w:cs="Calibri"/>
                <w:strike/>
                <w:color w:val="FF0000"/>
                <w:sz w:val="22"/>
                <w:lang w:val="en-US"/>
              </w:rPr>
            </w:pPr>
            <w:r>
              <w:rPr>
                <w:rFonts w:ascii="Calibri" w:eastAsia="Batang" w:hAnsi="Calibri" w:cs="Calibri" w:hint="eastAsia"/>
                <w:strike/>
                <w:color w:val="FF0000"/>
                <w:sz w:val="22"/>
                <w:szCs w:val="24"/>
                <w:lang w:val="en-US"/>
              </w:rPr>
              <w:t>FFS details and applicable scenarios</w:t>
            </w:r>
          </w:p>
        </w:tc>
      </w:tr>
      <w:tr w:rsidR="00335DBF" w14:paraId="54080D08" w14:textId="77777777" w:rsidTr="006B2419">
        <w:tc>
          <w:tcPr>
            <w:tcW w:w="1555" w:type="dxa"/>
          </w:tcPr>
          <w:p w14:paraId="3183C6CD" w14:textId="77777777" w:rsidR="00335DBF" w:rsidRDefault="00335DBF" w:rsidP="00335DBF">
            <w:pPr>
              <w:pStyle w:val="0Maintext"/>
              <w:spacing w:after="0" w:afterAutospacing="0"/>
              <w:ind w:firstLine="0"/>
              <w:rPr>
                <w:rFonts w:eastAsiaTheme="minorEastAsia"/>
                <w:lang w:eastAsia="zh-CN"/>
              </w:rPr>
            </w:pPr>
            <w:r>
              <w:rPr>
                <w:rFonts w:eastAsiaTheme="minorEastAsia" w:hint="eastAsia"/>
                <w:lang w:eastAsia="zh-CN"/>
              </w:rPr>
              <w:t>ZTE,Sanechips</w:t>
            </w:r>
          </w:p>
        </w:tc>
        <w:tc>
          <w:tcPr>
            <w:tcW w:w="8076" w:type="dxa"/>
          </w:tcPr>
          <w:p w14:paraId="276E83E9" w14:textId="77777777" w:rsidR="00335DBF" w:rsidRDefault="00335DBF" w:rsidP="00335DBF">
            <w:pPr>
              <w:pStyle w:val="0Maintext"/>
              <w:spacing w:after="0" w:afterAutospacing="0"/>
              <w:ind w:firstLine="0"/>
              <w:rPr>
                <w:rFonts w:eastAsiaTheme="minorEastAsia"/>
                <w:lang w:val="en-US" w:eastAsia="zh-CN"/>
              </w:rPr>
            </w:pPr>
            <w:r>
              <w:rPr>
                <w:rFonts w:eastAsiaTheme="minorEastAsia" w:hint="eastAsia"/>
                <w:lang w:val="en-US" w:eastAsia="zh-CN"/>
              </w:rPr>
              <w:t>Similar view as others on the preference over single pre-configured CPE length.  The third bullet seems to be an overoptimization for the case when all UEs shall occupy all the RB sets in any given time slot. For the case when a UE may use partial or all of the RBs within a resource pool,</w:t>
            </w:r>
          </w:p>
          <w:p w14:paraId="55C74887" w14:textId="77777777" w:rsidR="00335DBF" w:rsidRDefault="00335DBF" w:rsidP="00335DBF">
            <w:pPr>
              <w:pStyle w:val="0Maintext"/>
              <w:spacing w:after="0" w:afterAutospacing="0"/>
              <w:ind w:firstLine="0"/>
              <w:rPr>
                <w:rFonts w:eastAsiaTheme="minorEastAsia"/>
                <w:lang w:eastAsia="zh-CN"/>
              </w:rPr>
            </w:pPr>
            <w:r>
              <w:rPr>
                <w:rFonts w:eastAsiaTheme="minorEastAsia" w:hint="eastAsia"/>
                <w:lang w:val="en-US" w:eastAsia="zh-CN"/>
              </w:rPr>
              <w:t>b</w:t>
            </w:r>
            <w:r>
              <w:rPr>
                <w:rFonts w:eastAsiaTheme="minorEastAsia" w:hint="eastAsia"/>
                <w:lang w:eastAsia="zh-CN"/>
              </w:rPr>
              <w:t xml:space="preserve">ullet 2 and bullet 3 may end up contradicting with each other and lead to inter-UE blocking. For example, in case a UE transmits using a subset of all the RBs within an RB set, the preconfigured starting point shall be set to a fixed value. However, this value can be larger or smaller than the CPE associated with a certain priority value associated with a UE using all the RBs in an RB set. Sensing may not be able to function well in case of hidden node or half duplex scenario to exclude the resources in the RB set for either the UE occupying partial or all of the RBs. A method harnessing the benefit of bullet 2 and bullet 3 to overcome the inter-UE blocking issue and bring some additional starting point is to have mutliple starting points still, but decouple that with UE's priroity. </w:t>
            </w:r>
          </w:p>
          <w:p w14:paraId="59363670" w14:textId="77777777" w:rsidR="00335DBF" w:rsidRDefault="00335DBF" w:rsidP="00335DBF">
            <w:pPr>
              <w:pStyle w:val="0Maintext"/>
              <w:spacing w:after="0" w:afterAutospacing="0"/>
              <w:ind w:firstLine="0"/>
              <w:rPr>
                <w:rFonts w:eastAsia="Microsoft YaHei"/>
                <w:lang w:eastAsia="zh-CN"/>
              </w:rPr>
            </w:pPr>
            <w:r>
              <w:rPr>
                <w:rFonts w:eastAsia="Microsoft YaHei" w:hint="eastAsia"/>
                <w:lang w:eastAsia="zh-CN"/>
              </w:rPr>
              <w:t>In this way, all UEs, regardless of occupying partial or all RBs within an RB set shall be trying the multiple CPE starting points from a common CPE length in a fair manner. The UEs may be able to end up transmitting FDMed even if there is some UE occupying all RBs in the whole RB set.</w:t>
            </w:r>
          </w:p>
          <w:p w14:paraId="0FD346E6" w14:textId="77777777" w:rsidR="00335DBF" w:rsidRDefault="00335DBF" w:rsidP="00335DBF">
            <w:pPr>
              <w:pStyle w:val="0Maintext"/>
              <w:numPr>
                <w:ilvl w:val="0"/>
                <w:numId w:val="24"/>
              </w:numPr>
              <w:tabs>
                <w:tab w:val="left" w:pos="720"/>
              </w:tabs>
              <w:spacing w:after="0" w:afterAutospacing="0" w:line="240" w:lineRule="auto"/>
              <w:ind w:hanging="357"/>
              <w:rPr>
                <w:rFonts w:ascii="Calibri" w:hAnsi="Calibri" w:cs="Calibri"/>
                <w:sz w:val="22"/>
                <w:lang w:val="en-US"/>
              </w:rPr>
            </w:pPr>
            <w:r>
              <w:rPr>
                <w:rFonts w:ascii="Calibri" w:hAnsi="Calibri" w:cs="Calibri" w:hint="eastAsia"/>
                <w:sz w:val="22"/>
                <w:lang w:val="en-US"/>
              </w:rPr>
              <w:t>A CPE is transmitted from a CPE starting position until the start of the AGC symbol of the next slot.</w:t>
            </w:r>
          </w:p>
          <w:p w14:paraId="3753A1B9" w14:textId="77777777" w:rsidR="00335DBF" w:rsidRDefault="00335DBF" w:rsidP="00335DBF">
            <w:pPr>
              <w:pStyle w:val="0Maintext"/>
              <w:numPr>
                <w:ilvl w:val="1"/>
                <w:numId w:val="24"/>
              </w:numPr>
              <w:spacing w:after="0" w:afterAutospacing="0" w:line="240" w:lineRule="auto"/>
              <w:ind w:hanging="357"/>
              <w:rPr>
                <w:rFonts w:ascii="Calibri" w:hAnsi="Calibri" w:cs="Calibri"/>
                <w:sz w:val="22"/>
                <w:lang w:val="en-US"/>
              </w:rPr>
            </w:pPr>
            <w:r>
              <w:rPr>
                <w:rFonts w:ascii="Calibri" w:hAnsi="Calibri" w:cs="Calibri" w:hint="eastAsia"/>
                <w:sz w:val="22"/>
                <w:lang w:val="en-US"/>
              </w:rPr>
              <w:lastRenderedPageBreak/>
              <w:t>FFS the CPE starting position is always confined within the last symbol of a slot (the GP symbol)</w:t>
            </w:r>
          </w:p>
          <w:p w14:paraId="1E700A94" w14:textId="77777777" w:rsidR="00335DBF" w:rsidRDefault="00335DBF" w:rsidP="00335DBF">
            <w:pPr>
              <w:pStyle w:val="0Maintext"/>
              <w:numPr>
                <w:ilvl w:val="0"/>
                <w:numId w:val="24"/>
              </w:numPr>
              <w:tabs>
                <w:tab w:val="left" w:pos="720"/>
              </w:tabs>
              <w:spacing w:after="0" w:afterAutospacing="0" w:line="240" w:lineRule="auto"/>
              <w:ind w:hanging="357"/>
              <w:rPr>
                <w:rFonts w:ascii="Calibri" w:hAnsi="Calibri" w:cs="Calibri"/>
                <w:sz w:val="22"/>
                <w:lang w:val="en-US"/>
              </w:rPr>
            </w:pPr>
            <w:r>
              <w:rPr>
                <w:rFonts w:ascii="Calibri" w:hAnsi="Calibri" w:cs="Calibri" w:hint="eastAsia"/>
                <w:sz w:val="22"/>
                <w:lang w:val="en-US"/>
              </w:rPr>
              <w:t>A</w:t>
            </w:r>
            <w:r>
              <w:rPr>
                <w:rFonts w:ascii="Calibri" w:eastAsiaTheme="minorEastAsia" w:hAnsi="Calibri" w:cs="Calibri" w:hint="eastAsia"/>
                <w:sz w:val="22"/>
                <w:lang w:val="en-US" w:eastAsia="zh-CN"/>
              </w:rPr>
              <w:t xml:space="preserve"> </w:t>
            </w:r>
            <w:r>
              <w:rPr>
                <w:rFonts w:ascii="Calibri" w:eastAsiaTheme="minorEastAsia" w:hAnsi="Calibri" w:cs="Calibri" w:hint="eastAsia"/>
                <w:color w:val="FF0000"/>
                <w:sz w:val="22"/>
                <w:lang w:val="en-US" w:eastAsia="zh-CN"/>
              </w:rPr>
              <w:t>common</w:t>
            </w:r>
            <w:r>
              <w:rPr>
                <w:rFonts w:ascii="Calibri" w:hAnsi="Calibri" w:cs="Calibri" w:hint="eastAsia"/>
                <w:sz w:val="22"/>
                <w:lang w:val="en-US"/>
              </w:rPr>
              <w:t xml:space="preserve"> CPE starting position is (pre-)configured for a SL transmission</w:t>
            </w:r>
          </w:p>
          <w:p w14:paraId="3A89D047" w14:textId="339B1AC6" w:rsidR="00335DBF" w:rsidRPr="00335DBF" w:rsidRDefault="00335DBF" w:rsidP="00335DBF">
            <w:pPr>
              <w:pStyle w:val="0Maintext"/>
              <w:numPr>
                <w:ilvl w:val="1"/>
                <w:numId w:val="24"/>
              </w:numPr>
              <w:spacing w:after="0" w:afterAutospacing="0" w:line="240" w:lineRule="auto"/>
              <w:ind w:hanging="357"/>
              <w:rPr>
                <w:rFonts w:ascii="Calibri" w:hAnsi="Calibri" w:cs="Calibri"/>
                <w:color w:val="FF0000"/>
                <w:sz w:val="22"/>
                <w:lang w:val="en-US"/>
              </w:rPr>
            </w:pPr>
            <w:r>
              <w:rPr>
                <w:rFonts w:ascii="Calibri" w:hAnsi="Calibri" w:cs="Calibri" w:hint="eastAsia"/>
                <w:color w:val="FF0000"/>
                <w:sz w:val="22"/>
                <w:lang w:val="en-US"/>
              </w:rPr>
              <w:t>Multiple dedicated CPE starting positions within the GP symbol is supported</w:t>
            </w:r>
          </w:p>
        </w:tc>
      </w:tr>
      <w:tr w:rsidR="00335DBF" w14:paraId="7F1F8E23" w14:textId="77777777" w:rsidTr="006B2419">
        <w:tc>
          <w:tcPr>
            <w:tcW w:w="1555" w:type="dxa"/>
          </w:tcPr>
          <w:p w14:paraId="53E8D28F" w14:textId="77777777" w:rsidR="00335DBF" w:rsidRDefault="00335DBF" w:rsidP="00335DBF">
            <w:pPr>
              <w:pStyle w:val="0Maintext"/>
              <w:spacing w:after="0" w:afterAutospacing="0"/>
              <w:ind w:firstLine="0"/>
              <w:rPr>
                <w:rFonts w:eastAsia="MS Mincho"/>
                <w:lang w:eastAsia="ja-JP"/>
              </w:rPr>
            </w:pPr>
            <w:r>
              <w:rPr>
                <w:rFonts w:eastAsiaTheme="minorEastAsia" w:hint="eastAsia"/>
                <w:lang w:eastAsia="zh-CN"/>
              </w:rPr>
              <w:lastRenderedPageBreak/>
              <w:t>Sharp</w:t>
            </w:r>
          </w:p>
        </w:tc>
        <w:tc>
          <w:tcPr>
            <w:tcW w:w="8076" w:type="dxa"/>
          </w:tcPr>
          <w:p w14:paraId="25E28BF2" w14:textId="77777777" w:rsidR="00335DBF" w:rsidRDefault="00335DBF" w:rsidP="00335DBF">
            <w:pPr>
              <w:pStyle w:val="0Maintext"/>
              <w:spacing w:after="0" w:afterAutospacing="0"/>
              <w:ind w:firstLine="0"/>
            </w:pPr>
            <w:r>
              <w:rPr>
                <w:rFonts w:eastAsiaTheme="minorEastAsia"/>
                <w:lang w:eastAsia="zh-CN"/>
              </w:rPr>
              <w:t>W</w:t>
            </w:r>
            <w:r>
              <w:rPr>
                <w:rFonts w:eastAsiaTheme="minorEastAsia" w:hint="eastAsia"/>
                <w:lang w:eastAsia="zh-CN"/>
              </w:rPr>
              <w:t>e agree with the first bullet, but not the second and third bullets. Like other companies we do not think the CPE starting position should be based on the number of RBs used. And if the use of multiple CPE starting positions coupling with CAPC is to ensure a high priority SL transmission blocks other lower priority SL transmissions, then we would like to understand whether the intention is to not support FDM of SL transmissions in a same slot. In our understanding, even if multiple CPE starting positions are used, due to misaligned synchronization errors it cannot ensure a high priority SL transmission blocks other SL transmissions.</w:t>
            </w:r>
          </w:p>
        </w:tc>
      </w:tr>
      <w:tr w:rsidR="00335DBF" w14:paraId="20002A4A" w14:textId="77777777" w:rsidTr="006B2419">
        <w:tc>
          <w:tcPr>
            <w:tcW w:w="1555" w:type="dxa"/>
          </w:tcPr>
          <w:p w14:paraId="789CE300" w14:textId="77777777" w:rsidR="00335DBF" w:rsidRDefault="00335DBF" w:rsidP="00335DBF">
            <w:pPr>
              <w:pStyle w:val="0Maintext"/>
              <w:spacing w:after="0" w:afterAutospacing="0"/>
              <w:ind w:firstLine="0"/>
              <w:rPr>
                <w:rFonts w:eastAsiaTheme="minorEastAsia"/>
                <w:lang w:eastAsia="zh-CN"/>
              </w:rPr>
            </w:pPr>
            <w:r>
              <w:rPr>
                <w:rFonts w:eastAsia="SimSun" w:hint="eastAsia"/>
                <w:lang w:val="en-US" w:eastAsia="zh-CN"/>
              </w:rPr>
              <w:t>Transsion</w:t>
            </w:r>
          </w:p>
        </w:tc>
        <w:tc>
          <w:tcPr>
            <w:tcW w:w="8076" w:type="dxa"/>
          </w:tcPr>
          <w:p w14:paraId="35BD74CE" w14:textId="77777777" w:rsidR="00335DBF" w:rsidRDefault="00335DBF" w:rsidP="00335DBF">
            <w:pPr>
              <w:pStyle w:val="0Maintext"/>
              <w:spacing w:after="0" w:afterAutospacing="0"/>
              <w:ind w:firstLine="0"/>
              <w:rPr>
                <w:rFonts w:eastAsia="SimSun"/>
                <w:sz w:val="21"/>
                <w:szCs w:val="21"/>
                <w:lang w:val="en-US" w:eastAsia="zh-CN"/>
              </w:rPr>
            </w:pPr>
            <w:r>
              <w:rPr>
                <w:rFonts w:eastAsia="SimSun" w:hint="eastAsia"/>
                <w:sz w:val="21"/>
                <w:szCs w:val="21"/>
                <w:lang w:val="en-US" w:eastAsia="zh-CN"/>
              </w:rPr>
              <w:t>Regarding PSFCH, so far, we have not reached a consensus on whether SCSt can be applied to PSFCH. Therefore, the application of a 2A/2B type channel access procedure in PSFCH transmission may need to satisfy the conditions within the COT. This means that the gap between PSFCH and PSSCH should be equal to 16/25 us. Therefore, CPE should also be applied to PSFCH. Then the CPE position in the first bullet is inaccurate.</w:t>
            </w:r>
          </w:p>
          <w:p w14:paraId="4036DBC7" w14:textId="77777777" w:rsidR="00335DBF" w:rsidRDefault="00335DBF" w:rsidP="00335DBF">
            <w:pPr>
              <w:pStyle w:val="0Maintext"/>
              <w:spacing w:after="0" w:afterAutospacing="0"/>
              <w:ind w:firstLine="0"/>
              <w:rPr>
                <w:rFonts w:eastAsia="SimSun"/>
                <w:sz w:val="21"/>
                <w:szCs w:val="21"/>
                <w:lang w:val="en-US" w:eastAsia="zh-CN"/>
              </w:rPr>
            </w:pPr>
            <w:r>
              <w:rPr>
                <w:rFonts w:eastAsia="SimSun" w:hint="eastAsia"/>
                <w:sz w:val="21"/>
                <w:szCs w:val="21"/>
                <w:lang w:val="en-US" w:eastAsia="zh-CN"/>
              </w:rPr>
              <w:t>Hence, we suggest to clarify that the first bullet is for PSCCH/PSSCH.</w:t>
            </w:r>
          </w:p>
          <w:p w14:paraId="139A2C13" w14:textId="77777777" w:rsidR="00335DBF" w:rsidRDefault="00335DBF" w:rsidP="00335DBF">
            <w:pPr>
              <w:autoSpaceDE w:val="0"/>
              <w:autoSpaceDN w:val="0"/>
              <w:jc w:val="both"/>
              <w:rPr>
                <w:rFonts w:ascii="Calibri" w:hAnsi="Calibri" w:cs="Calibri"/>
                <w:sz w:val="22"/>
              </w:rPr>
            </w:pPr>
            <w:r>
              <w:rPr>
                <w:rFonts w:ascii="Calibri" w:hAnsi="Calibri" w:cs="Calibri"/>
                <w:b/>
                <w:bCs/>
                <w:sz w:val="22"/>
                <w:highlight w:val="yellow"/>
              </w:rPr>
              <w:t>Proposal 4 (I):</w:t>
            </w:r>
          </w:p>
          <w:p w14:paraId="1C999305" w14:textId="77777777" w:rsidR="00335DBF" w:rsidRDefault="00335DBF" w:rsidP="00335DBF">
            <w:pPr>
              <w:pStyle w:val="0Maintext"/>
              <w:numPr>
                <w:ilvl w:val="0"/>
                <w:numId w:val="24"/>
              </w:numPr>
              <w:tabs>
                <w:tab w:val="left" w:pos="720"/>
              </w:tabs>
              <w:spacing w:after="0" w:afterAutospacing="0" w:line="240" w:lineRule="auto"/>
              <w:ind w:hanging="357"/>
              <w:rPr>
                <w:rFonts w:ascii="Calibri" w:hAnsi="Calibri" w:cs="Calibri"/>
                <w:sz w:val="22"/>
                <w:lang w:val="en-US" w:eastAsia="zh-CN"/>
              </w:rPr>
            </w:pPr>
            <w:r>
              <w:rPr>
                <w:rFonts w:ascii="Calibri" w:hAnsi="Calibri" w:cs="Calibri" w:hint="eastAsia"/>
                <w:sz w:val="22"/>
                <w:lang w:val="en-US" w:eastAsia="zh-CN"/>
              </w:rPr>
              <w:t xml:space="preserve">A CPE </w:t>
            </w:r>
            <w:r>
              <w:rPr>
                <w:rFonts w:ascii="Calibri" w:hAnsi="Calibri" w:cs="Calibri" w:hint="eastAsia"/>
                <w:color w:val="FF0000"/>
                <w:sz w:val="22"/>
                <w:lang w:val="en-US" w:eastAsia="zh-CN"/>
              </w:rPr>
              <w:t>for PSCCH/PSSCH</w:t>
            </w:r>
            <w:r>
              <w:rPr>
                <w:rFonts w:ascii="Calibri" w:hAnsi="Calibri" w:cs="Calibri" w:hint="eastAsia"/>
                <w:sz w:val="22"/>
                <w:lang w:val="en-US" w:eastAsia="zh-CN"/>
              </w:rPr>
              <w:t xml:space="preserve"> is transmitted from a CPE starting position until the start of the AGC symbol of the next slot.</w:t>
            </w:r>
          </w:p>
          <w:p w14:paraId="747DFA81" w14:textId="6DC7886D" w:rsidR="00335DBF" w:rsidRPr="00335DBF" w:rsidRDefault="00335DBF" w:rsidP="00335DBF">
            <w:pPr>
              <w:pStyle w:val="0Maintext"/>
              <w:numPr>
                <w:ilvl w:val="1"/>
                <w:numId w:val="24"/>
              </w:numPr>
              <w:spacing w:after="0" w:afterAutospacing="0" w:line="240" w:lineRule="auto"/>
              <w:ind w:hanging="357"/>
              <w:rPr>
                <w:rFonts w:ascii="Calibri" w:hAnsi="Calibri" w:cs="Calibri"/>
                <w:sz w:val="22"/>
                <w:lang w:val="en-US" w:eastAsia="zh-CN"/>
              </w:rPr>
            </w:pPr>
            <w:r>
              <w:rPr>
                <w:rFonts w:ascii="Calibri" w:hAnsi="Calibri" w:cs="Calibri" w:hint="eastAsia"/>
                <w:sz w:val="22"/>
                <w:lang w:val="en-US" w:eastAsia="zh-CN"/>
              </w:rPr>
              <w:t>FFS the CPE starting position is always confined within the last symbol of a slot (the GP symbol)</w:t>
            </w:r>
          </w:p>
        </w:tc>
      </w:tr>
      <w:tr w:rsidR="00335DBF" w14:paraId="7E14936E" w14:textId="77777777" w:rsidTr="006B2419">
        <w:tc>
          <w:tcPr>
            <w:tcW w:w="1555" w:type="dxa"/>
          </w:tcPr>
          <w:p w14:paraId="41632370" w14:textId="77777777" w:rsidR="00335DBF" w:rsidRDefault="00335DBF" w:rsidP="00335DBF">
            <w:pPr>
              <w:pStyle w:val="0Maintext"/>
              <w:spacing w:after="0" w:afterAutospacing="0"/>
              <w:ind w:firstLine="0"/>
              <w:rPr>
                <w:rFonts w:eastAsia="SimSun"/>
                <w:lang w:val="en-US" w:eastAsia="zh-CN"/>
              </w:rPr>
            </w:pPr>
            <w:r>
              <w:t>Ericsson</w:t>
            </w:r>
          </w:p>
        </w:tc>
        <w:tc>
          <w:tcPr>
            <w:tcW w:w="8076" w:type="dxa"/>
          </w:tcPr>
          <w:p w14:paraId="13534F44" w14:textId="77777777" w:rsidR="00335DBF" w:rsidRDefault="00335DBF" w:rsidP="00335DBF">
            <w:pPr>
              <w:pStyle w:val="0Maintext"/>
              <w:spacing w:after="0" w:afterAutospacing="0"/>
              <w:ind w:firstLine="0"/>
              <w:rPr>
                <w:rFonts w:eastAsia="SimSun"/>
                <w:sz w:val="21"/>
                <w:szCs w:val="21"/>
                <w:lang w:val="en-US" w:eastAsia="zh-CN"/>
              </w:rPr>
            </w:pPr>
            <w:r>
              <w:t>We would like to ask for clarification on the second bullet. Is not the second bullet in contradiction with the first bullet and sub-bullet? Why do we need to pre-configure the CPE starting position based on the number of RBs?</w:t>
            </w:r>
          </w:p>
        </w:tc>
      </w:tr>
      <w:tr w:rsidR="00335DBF" w14:paraId="59500CAC" w14:textId="77777777" w:rsidTr="006B2419">
        <w:tc>
          <w:tcPr>
            <w:tcW w:w="1555" w:type="dxa"/>
          </w:tcPr>
          <w:p w14:paraId="7668D7D9" w14:textId="77777777" w:rsidR="00335DBF" w:rsidRDefault="00335DBF" w:rsidP="00335DBF">
            <w:pPr>
              <w:pStyle w:val="0Maintext"/>
              <w:spacing w:after="0" w:afterAutospacing="0"/>
              <w:ind w:firstLine="0"/>
            </w:pPr>
            <w:r>
              <w:rPr>
                <w:rFonts w:hint="eastAsia"/>
              </w:rPr>
              <w:t>I</w:t>
            </w:r>
            <w:r>
              <w:t>TL</w:t>
            </w:r>
          </w:p>
        </w:tc>
        <w:tc>
          <w:tcPr>
            <w:tcW w:w="8076" w:type="dxa"/>
          </w:tcPr>
          <w:p w14:paraId="2F2D8776" w14:textId="77777777" w:rsidR="00335DBF" w:rsidRDefault="00335DBF" w:rsidP="00335DBF">
            <w:pPr>
              <w:pStyle w:val="0Maintext"/>
              <w:spacing w:after="0" w:afterAutospacing="0"/>
              <w:ind w:firstLine="0"/>
              <w:rPr>
                <w:rFonts w:eastAsiaTheme="minorEastAsia"/>
                <w:lang w:eastAsia="zh-CN"/>
              </w:rPr>
            </w:pPr>
            <w:r w:rsidRPr="003139D5">
              <w:rPr>
                <w:rFonts w:eastAsiaTheme="minorEastAsia"/>
                <w:lang w:eastAsia="zh-CN"/>
              </w:rPr>
              <w:t>We agree with the 1st bullet, but not the 2nd and 3rd bullet.</w:t>
            </w:r>
          </w:p>
          <w:p w14:paraId="00B27570" w14:textId="77777777" w:rsidR="00335DBF" w:rsidRDefault="00335DBF" w:rsidP="00335DBF">
            <w:pPr>
              <w:pStyle w:val="0Maintext"/>
              <w:spacing w:after="0" w:afterAutospacing="0"/>
              <w:ind w:firstLine="0"/>
            </w:pPr>
            <w:r w:rsidRPr="003139D5">
              <w:rPr>
                <w:rFonts w:eastAsiaTheme="minorEastAsia"/>
                <w:lang w:eastAsia="zh-CN"/>
              </w:rPr>
              <w:t xml:space="preserve">Currently we are not clear why multiple CPE starting positions should be introduced compared to a single starting position since as mentioned by many companies </w:t>
            </w:r>
            <w:r>
              <w:rPr>
                <w:rFonts w:eastAsiaTheme="minorEastAsia"/>
                <w:lang w:eastAsia="zh-CN"/>
              </w:rPr>
              <w:t xml:space="preserve">a </w:t>
            </w:r>
            <w:r w:rsidRPr="003139D5">
              <w:rPr>
                <w:rFonts w:eastAsiaTheme="minorEastAsia"/>
                <w:lang w:eastAsia="zh-CN"/>
              </w:rPr>
              <w:t>single starting position can work well with for</w:t>
            </w:r>
            <w:r>
              <w:rPr>
                <w:rFonts w:eastAsiaTheme="minorEastAsia"/>
                <w:lang w:eastAsia="zh-CN"/>
              </w:rPr>
              <w:t xml:space="preserve"> example </w:t>
            </w:r>
            <w:r w:rsidRPr="003139D5">
              <w:rPr>
                <w:rFonts w:eastAsiaTheme="minorEastAsia"/>
                <w:lang w:eastAsia="zh-CN"/>
              </w:rPr>
              <w:t xml:space="preserve">random </w:t>
            </w:r>
            <w:r>
              <w:rPr>
                <w:rFonts w:eastAsiaTheme="minorEastAsia"/>
                <w:lang w:eastAsia="zh-CN"/>
              </w:rPr>
              <w:t xml:space="preserve">or configured </w:t>
            </w:r>
            <w:r w:rsidRPr="003139D5">
              <w:rPr>
                <w:rFonts w:eastAsiaTheme="minorEastAsia"/>
                <w:lang w:eastAsia="zh-CN"/>
              </w:rPr>
              <w:t>position.</w:t>
            </w:r>
          </w:p>
        </w:tc>
      </w:tr>
      <w:tr w:rsidR="00335DBF" w14:paraId="6090A3AE" w14:textId="77777777" w:rsidTr="006B2419">
        <w:tc>
          <w:tcPr>
            <w:tcW w:w="1555" w:type="dxa"/>
          </w:tcPr>
          <w:p w14:paraId="6F030B28" w14:textId="77777777" w:rsidR="00335DBF" w:rsidRDefault="00335DBF" w:rsidP="00335DBF">
            <w:pPr>
              <w:pStyle w:val="0Maintext"/>
              <w:spacing w:after="0" w:afterAutospacing="0"/>
              <w:ind w:firstLine="0"/>
            </w:pPr>
            <w:r>
              <w:rPr>
                <w:rFonts w:eastAsiaTheme="minorEastAsia"/>
                <w:lang w:eastAsia="zh-CN"/>
              </w:rPr>
              <w:t>Fraunhofer</w:t>
            </w:r>
          </w:p>
        </w:tc>
        <w:tc>
          <w:tcPr>
            <w:tcW w:w="8076" w:type="dxa"/>
          </w:tcPr>
          <w:p w14:paraId="62CFFFAE" w14:textId="77777777" w:rsidR="00335DBF" w:rsidRPr="003139D5" w:rsidRDefault="00335DBF" w:rsidP="00335DBF">
            <w:pPr>
              <w:pStyle w:val="0Maintext"/>
              <w:spacing w:after="0" w:afterAutospacing="0"/>
              <w:ind w:firstLine="0"/>
              <w:rPr>
                <w:rFonts w:eastAsiaTheme="minorEastAsia"/>
                <w:lang w:eastAsia="zh-CN"/>
              </w:rPr>
            </w:pPr>
            <w:r>
              <w:rPr>
                <w:rFonts w:eastAsiaTheme="minorEastAsia"/>
                <w:lang w:eastAsia="zh-CN"/>
              </w:rPr>
              <w:t>We are supportive of the FL’s proposal.</w:t>
            </w:r>
          </w:p>
        </w:tc>
      </w:tr>
      <w:tr w:rsidR="00335DBF" w14:paraId="56639BBB" w14:textId="77777777" w:rsidTr="006B2419">
        <w:tc>
          <w:tcPr>
            <w:tcW w:w="1555" w:type="dxa"/>
          </w:tcPr>
          <w:p w14:paraId="27E43283" w14:textId="77777777" w:rsidR="00335DBF" w:rsidRDefault="00335DBF" w:rsidP="00335DBF">
            <w:pPr>
              <w:pStyle w:val="0Maintext"/>
              <w:spacing w:after="0" w:afterAutospacing="0"/>
              <w:ind w:firstLine="0"/>
              <w:rPr>
                <w:rFonts w:eastAsiaTheme="minorEastAsia"/>
                <w:lang w:eastAsia="zh-CN"/>
              </w:rPr>
            </w:pPr>
            <w:r>
              <w:rPr>
                <w:rFonts w:eastAsiaTheme="minorEastAsia" w:hint="eastAsia"/>
                <w:lang w:eastAsia="zh-CN"/>
              </w:rPr>
              <w:t>M</w:t>
            </w:r>
            <w:r>
              <w:rPr>
                <w:rFonts w:eastAsiaTheme="minorEastAsia"/>
                <w:lang w:eastAsia="zh-CN"/>
              </w:rPr>
              <w:t>ediaTek</w:t>
            </w:r>
          </w:p>
        </w:tc>
        <w:tc>
          <w:tcPr>
            <w:tcW w:w="8076" w:type="dxa"/>
          </w:tcPr>
          <w:p w14:paraId="78729F6E" w14:textId="77777777" w:rsidR="00335DBF" w:rsidRDefault="00335DBF" w:rsidP="00335DBF">
            <w:pPr>
              <w:pStyle w:val="0Maintext"/>
              <w:spacing w:after="0" w:afterAutospacing="0"/>
              <w:ind w:firstLine="0"/>
              <w:rPr>
                <w:rFonts w:eastAsiaTheme="minorEastAsia"/>
                <w:lang w:eastAsia="zh-CN"/>
              </w:rPr>
            </w:pPr>
            <w:r>
              <w:rPr>
                <w:rFonts w:eastAsiaTheme="minorEastAsia"/>
                <w:lang w:eastAsia="zh-CN"/>
              </w:rPr>
              <w:t>For the first bullet, we agree with the main bullet in the proposal, but the FFS is not necessary here.</w:t>
            </w:r>
          </w:p>
          <w:p w14:paraId="605B48FA" w14:textId="77777777" w:rsidR="00335DBF" w:rsidRDefault="00335DBF" w:rsidP="00335DBF">
            <w:pPr>
              <w:pStyle w:val="0Maintext"/>
              <w:spacing w:after="0" w:afterAutospacing="0"/>
              <w:ind w:firstLine="0"/>
              <w:rPr>
                <w:rFonts w:eastAsiaTheme="minorEastAsia"/>
                <w:lang w:eastAsia="zh-CN"/>
              </w:rPr>
            </w:pPr>
            <w:r>
              <w:rPr>
                <w:rFonts w:eastAsiaTheme="minorEastAsia" w:hint="eastAsia"/>
                <w:lang w:eastAsia="zh-CN"/>
              </w:rPr>
              <w:t>F</w:t>
            </w:r>
            <w:r>
              <w:rPr>
                <w:rFonts w:eastAsiaTheme="minorEastAsia"/>
                <w:lang w:eastAsia="zh-CN"/>
              </w:rPr>
              <w:t>or the third bullet, we generally agree with the FL proposal. We understand the intention that the UE with higher transmission priority can be configured with a prioritized channel access based on, e.g., an earlier CPE starting position. But we think the limit of “</w:t>
            </w:r>
            <w:r w:rsidRPr="00126220">
              <w:rPr>
                <w:rFonts w:eastAsiaTheme="minorEastAsia"/>
                <w:lang w:eastAsia="zh-CN"/>
              </w:rPr>
              <w:t>within the GP symbol</w:t>
            </w:r>
            <w:r>
              <w:rPr>
                <w:rFonts w:eastAsiaTheme="minorEastAsia"/>
                <w:lang w:eastAsia="zh-CN"/>
              </w:rPr>
              <w:t xml:space="preserve">” should </w:t>
            </w:r>
            <w:r>
              <w:rPr>
                <w:rFonts w:eastAsiaTheme="minorEastAsia" w:hint="eastAsia"/>
                <w:lang w:eastAsia="zh-CN"/>
              </w:rPr>
              <w:t>b</w:t>
            </w:r>
            <w:r>
              <w:rPr>
                <w:rFonts w:eastAsiaTheme="minorEastAsia"/>
                <w:lang w:eastAsia="zh-CN"/>
              </w:rPr>
              <w:t xml:space="preserve">e deleted. </w:t>
            </w:r>
          </w:p>
          <w:p w14:paraId="290B8F24" w14:textId="77777777" w:rsidR="00335DBF" w:rsidRDefault="00335DBF" w:rsidP="00335DBF">
            <w:pPr>
              <w:pStyle w:val="0Maintext"/>
              <w:numPr>
                <w:ilvl w:val="0"/>
                <w:numId w:val="24"/>
              </w:numPr>
              <w:spacing w:after="0" w:afterAutospacing="0" w:line="240" w:lineRule="auto"/>
              <w:ind w:hanging="357"/>
              <w:rPr>
                <w:rFonts w:ascii="Calibri" w:hAnsi="Calibri" w:cs="Calibri"/>
                <w:sz w:val="22"/>
                <w:lang w:val="en-US" w:eastAsia="x-none"/>
              </w:rPr>
            </w:pPr>
            <w:r w:rsidRPr="00B00E3D">
              <w:rPr>
                <w:rFonts w:ascii="Calibri" w:hAnsi="Calibri" w:cs="Calibri" w:hint="eastAsia"/>
                <w:sz w:val="22"/>
                <w:lang w:val="en-US" w:eastAsia="x-none"/>
              </w:rPr>
              <w:t xml:space="preserve">Multiple CPE starting positions within </w:t>
            </w:r>
            <w:r w:rsidRPr="00126220">
              <w:rPr>
                <w:rFonts w:ascii="Calibri" w:hAnsi="Calibri" w:cs="Calibri" w:hint="eastAsia"/>
                <w:strike/>
                <w:color w:val="FF0000"/>
                <w:sz w:val="22"/>
                <w:lang w:val="en-US" w:eastAsia="x-none"/>
              </w:rPr>
              <w:t>the GP</w:t>
            </w:r>
            <w:r w:rsidRPr="00126220">
              <w:rPr>
                <w:rFonts w:ascii="Calibri" w:hAnsi="Calibri" w:cs="Calibri" w:hint="eastAsia"/>
                <w:color w:val="FF0000"/>
                <w:sz w:val="22"/>
                <w:lang w:val="en-US" w:eastAsia="x-none"/>
              </w:rPr>
              <w:t xml:space="preserve"> </w:t>
            </w:r>
            <w:r w:rsidRPr="00126220">
              <w:rPr>
                <w:rFonts w:ascii="Calibri" w:hAnsi="Calibri" w:cs="Calibri"/>
                <w:color w:val="FF0000"/>
                <w:sz w:val="22"/>
                <w:lang w:val="en-US" w:eastAsia="x-none"/>
              </w:rPr>
              <w:t xml:space="preserve">a </w:t>
            </w:r>
            <w:r w:rsidRPr="00B00E3D">
              <w:rPr>
                <w:rFonts w:ascii="Calibri" w:hAnsi="Calibri" w:cs="Calibri" w:hint="eastAsia"/>
                <w:sz w:val="22"/>
                <w:lang w:val="en-US" w:eastAsia="x-none"/>
              </w:rPr>
              <w:t>symbol based on transmission priority level (e.g., CAPC) is supported, at least for a SL transmission using all resource blocks of one or more RB set(s)</w:t>
            </w:r>
          </w:p>
          <w:p w14:paraId="158625C4" w14:textId="234AD7C8" w:rsidR="00335DBF" w:rsidRPr="00335DBF" w:rsidRDefault="00335DBF" w:rsidP="00335DBF">
            <w:pPr>
              <w:pStyle w:val="0Maintext"/>
              <w:numPr>
                <w:ilvl w:val="1"/>
                <w:numId w:val="24"/>
              </w:numPr>
              <w:spacing w:after="0" w:afterAutospacing="0" w:line="240" w:lineRule="auto"/>
              <w:ind w:hanging="357"/>
              <w:rPr>
                <w:rFonts w:ascii="Calibri" w:hAnsi="Calibri" w:cs="Calibri"/>
                <w:sz w:val="22"/>
                <w:lang w:val="en-US" w:eastAsia="x-none"/>
              </w:rPr>
            </w:pPr>
            <w:r w:rsidRPr="00B00E3D">
              <w:rPr>
                <w:rFonts w:ascii="Calibri" w:eastAsia="Batang" w:hAnsi="Calibri" w:cs="Calibri" w:hint="eastAsia"/>
                <w:sz w:val="22"/>
                <w:szCs w:val="24"/>
                <w:lang w:val="en-US" w:eastAsia="x-none"/>
              </w:rPr>
              <w:t>FFS details and applicable scenarios</w:t>
            </w:r>
          </w:p>
        </w:tc>
      </w:tr>
      <w:tr w:rsidR="00335DBF" w14:paraId="18194F17" w14:textId="77777777" w:rsidTr="006B2419">
        <w:tc>
          <w:tcPr>
            <w:tcW w:w="1555" w:type="dxa"/>
          </w:tcPr>
          <w:p w14:paraId="465A325E" w14:textId="77777777" w:rsidR="00335DBF" w:rsidRDefault="00335DBF" w:rsidP="00335DBF">
            <w:pPr>
              <w:pStyle w:val="0Maintext"/>
              <w:spacing w:after="0" w:afterAutospacing="0"/>
              <w:ind w:firstLine="0"/>
              <w:rPr>
                <w:rFonts w:eastAsiaTheme="minorEastAsia"/>
                <w:lang w:eastAsia="zh-CN"/>
              </w:rPr>
            </w:pPr>
            <w:r>
              <w:rPr>
                <w:rFonts w:eastAsiaTheme="minorEastAsia"/>
                <w:lang w:eastAsia="zh-CN"/>
              </w:rPr>
              <w:t>JHUAPL</w:t>
            </w:r>
          </w:p>
        </w:tc>
        <w:tc>
          <w:tcPr>
            <w:tcW w:w="8076" w:type="dxa"/>
          </w:tcPr>
          <w:p w14:paraId="0D4B2D66" w14:textId="77777777" w:rsidR="00335DBF" w:rsidRDefault="00335DBF" w:rsidP="00335DBF">
            <w:pPr>
              <w:pStyle w:val="0Maintext"/>
              <w:spacing w:after="0" w:afterAutospacing="0"/>
              <w:ind w:firstLine="0"/>
              <w:rPr>
                <w:rFonts w:eastAsiaTheme="minorEastAsia"/>
                <w:lang w:eastAsia="zh-CN"/>
              </w:rPr>
            </w:pPr>
            <w:r>
              <w:rPr>
                <w:rFonts w:eastAsiaTheme="minorEastAsia"/>
                <w:lang w:eastAsia="zh-CN"/>
              </w:rPr>
              <w:t>We support the general framework of this proposal.</w:t>
            </w:r>
          </w:p>
        </w:tc>
      </w:tr>
      <w:tr w:rsidR="00335DBF" w14:paraId="1FB589F6" w14:textId="77777777" w:rsidTr="006B2419">
        <w:tc>
          <w:tcPr>
            <w:tcW w:w="1555" w:type="dxa"/>
          </w:tcPr>
          <w:p w14:paraId="1DFBDF34" w14:textId="77777777" w:rsidR="00335DBF" w:rsidRDefault="00335DBF" w:rsidP="00335DBF">
            <w:pPr>
              <w:pStyle w:val="0Maintext"/>
              <w:spacing w:after="0" w:afterAutospacing="0"/>
              <w:ind w:firstLine="0"/>
              <w:rPr>
                <w:rFonts w:eastAsiaTheme="minorEastAsia"/>
                <w:lang w:eastAsia="zh-CN"/>
              </w:rPr>
            </w:pPr>
            <w:r>
              <w:rPr>
                <w:rFonts w:eastAsiaTheme="minorEastAsia"/>
                <w:lang w:eastAsia="zh-CN"/>
              </w:rPr>
              <w:t>Lenovo</w:t>
            </w:r>
          </w:p>
        </w:tc>
        <w:tc>
          <w:tcPr>
            <w:tcW w:w="8076" w:type="dxa"/>
          </w:tcPr>
          <w:p w14:paraId="62AE8A0E" w14:textId="77777777" w:rsidR="00335DBF" w:rsidRDefault="00335DBF" w:rsidP="00335DBF">
            <w:pPr>
              <w:pStyle w:val="0Maintext"/>
              <w:spacing w:after="0" w:afterAutospacing="0"/>
              <w:ind w:firstLine="0"/>
              <w:rPr>
                <w:rFonts w:eastAsiaTheme="minorEastAsia"/>
                <w:lang w:eastAsia="zh-CN"/>
              </w:rPr>
            </w:pPr>
            <w:r>
              <w:rPr>
                <w:rFonts w:eastAsiaTheme="minorEastAsia"/>
                <w:lang w:eastAsia="zh-CN"/>
              </w:rPr>
              <w:t>For the 2</w:t>
            </w:r>
            <w:r w:rsidRPr="0004410B">
              <w:rPr>
                <w:rFonts w:eastAsiaTheme="minorEastAsia"/>
                <w:vertAlign w:val="superscript"/>
                <w:lang w:eastAsia="zh-CN"/>
              </w:rPr>
              <w:t>nd</w:t>
            </w:r>
            <w:r>
              <w:rPr>
                <w:rFonts w:eastAsiaTheme="minorEastAsia"/>
                <w:lang w:eastAsia="zh-CN"/>
              </w:rPr>
              <w:t xml:space="preserve"> and 3</w:t>
            </w:r>
            <w:r w:rsidRPr="0004410B">
              <w:rPr>
                <w:rFonts w:eastAsiaTheme="minorEastAsia"/>
                <w:vertAlign w:val="superscript"/>
                <w:lang w:eastAsia="zh-CN"/>
              </w:rPr>
              <w:t>rd</w:t>
            </w:r>
            <w:r>
              <w:rPr>
                <w:rFonts w:eastAsiaTheme="minorEastAsia"/>
                <w:lang w:eastAsia="zh-CN"/>
              </w:rPr>
              <w:t xml:space="preserve"> bullet we think further discussion is necessary.</w:t>
            </w:r>
          </w:p>
          <w:p w14:paraId="5CF335D1" w14:textId="77777777" w:rsidR="00335DBF" w:rsidRDefault="00335DBF" w:rsidP="00335DBF">
            <w:pPr>
              <w:pStyle w:val="0Maintext"/>
              <w:spacing w:after="0" w:afterAutospacing="0"/>
              <w:ind w:firstLine="0"/>
              <w:rPr>
                <w:rFonts w:eastAsiaTheme="minorEastAsia"/>
                <w:lang w:eastAsia="zh-CN"/>
              </w:rPr>
            </w:pPr>
          </w:p>
          <w:p w14:paraId="796480FE" w14:textId="77777777" w:rsidR="00335DBF" w:rsidRDefault="00335DBF" w:rsidP="00335DBF">
            <w:pPr>
              <w:pStyle w:val="0Maintext"/>
              <w:spacing w:after="0" w:afterAutospacing="0"/>
              <w:ind w:firstLine="0"/>
              <w:rPr>
                <w:rFonts w:eastAsiaTheme="minorEastAsia"/>
                <w:lang w:eastAsia="zh-CN"/>
              </w:rPr>
            </w:pPr>
            <w:r>
              <w:rPr>
                <w:rFonts w:eastAsiaTheme="minorEastAsia"/>
                <w:lang w:eastAsia="zh-CN"/>
              </w:rPr>
              <w:t>For the first bullet, it seems confusing to require the CPE to last "</w:t>
            </w:r>
            <w:r>
              <w:rPr>
                <w:rFonts w:ascii="Calibri" w:hAnsi="Calibri" w:cs="Calibri"/>
                <w:sz w:val="22"/>
                <w:lang w:val="en-US" w:eastAsia="x-none"/>
              </w:rPr>
              <w:t>…</w:t>
            </w:r>
            <w:r w:rsidRPr="00B00E3D">
              <w:rPr>
                <w:rFonts w:ascii="Calibri" w:hAnsi="Calibri" w:cs="Calibri" w:hint="eastAsia"/>
                <w:sz w:val="22"/>
                <w:lang w:val="en-US" w:eastAsia="x-none"/>
              </w:rPr>
              <w:t>until the start of the AGC symbol of the next slot.</w:t>
            </w:r>
            <w:r>
              <w:rPr>
                <w:rFonts w:eastAsiaTheme="minorEastAsia"/>
                <w:lang w:eastAsia="zh-CN"/>
              </w:rPr>
              <w:t>" For example in the case of CPE for a PSFCH transmission, certainly the CPE only lasts until the start of the AGC symbol preceding the PSFCH. Therefore we think it should be changed to "</w:t>
            </w:r>
            <w:r>
              <w:rPr>
                <w:rFonts w:ascii="Calibri" w:hAnsi="Calibri" w:cs="Calibri" w:hint="eastAsia"/>
                <w:sz w:val="22"/>
                <w:lang w:val="en-US" w:eastAsia="zh-CN"/>
              </w:rPr>
              <w:t xml:space="preserve"> A CPE is transmitted from a CPE starting position until the start of the </w:t>
            </w:r>
            <w:ins w:id="109" w:author="Alexander Golitschek" w:date="2022-10-11T16:18:00Z">
              <w:r>
                <w:rPr>
                  <w:rFonts w:ascii="Calibri" w:hAnsi="Calibri" w:cs="Calibri"/>
                  <w:sz w:val="22"/>
                  <w:lang w:val="en-US" w:eastAsia="zh-CN"/>
                </w:rPr>
                <w:t xml:space="preserve">next </w:t>
              </w:r>
            </w:ins>
            <w:r>
              <w:rPr>
                <w:rFonts w:ascii="Calibri" w:hAnsi="Calibri" w:cs="Calibri" w:hint="eastAsia"/>
                <w:sz w:val="22"/>
                <w:lang w:val="en-US" w:eastAsia="zh-CN"/>
              </w:rPr>
              <w:t>AGC symbol</w:t>
            </w:r>
            <w:del w:id="110" w:author="Alexander Golitschek" w:date="2022-10-11T16:18:00Z">
              <w:r w:rsidDel="0093604A">
                <w:rPr>
                  <w:rFonts w:ascii="Calibri" w:hAnsi="Calibri" w:cs="Calibri" w:hint="eastAsia"/>
                  <w:sz w:val="22"/>
                  <w:lang w:val="en-US" w:eastAsia="zh-CN"/>
                </w:rPr>
                <w:delText xml:space="preserve"> of the next slot</w:delText>
              </w:r>
            </w:del>
            <w:r>
              <w:rPr>
                <w:rFonts w:ascii="Calibri" w:hAnsi="Calibri" w:cs="Calibri" w:hint="eastAsia"/>
                <w:sz w:val="22"/>
                <w:lang w:val="en-US" w:eastAsia="zh-CN"/>
              </w:rPr>
              <w:t>.</w:t>
            </w:r>
            <w:r>
              <w:rPr>
                <w:rFonts w:eastAsiaTheme="minorEastAsia"/>
                <w:lang w:eastAsia="zh-CN"/>
              </w:rPr>
              <w:t>"</w:t>
            </w:r>
          </w:p>
        </w:tc>
      </w:tr>
    </w:tbl>
    <w:tbl>
      <w:tblPr>
        <w:tblStyle w:val="TableGrid3"/>
        <w:tblW w:w="9631" w:type="dxa"/>
        <w:tblLayout w:type="fixed"/>
        <w:tblLook w:val="04A0" w:firstRow="1" w:lastRow="0" w:firstColumn="1" w:lastColumn="0" w:noHBand="0" w:noVBand="1"/>
      </w:tblPr>
      <w:tblGrid>
        <w:gridCol w:w="1555"/>
        <w:gridCol w:w="8076"/>
      </w:tblGrid>
      <w:tr w:rsidR="00335DBF" w14:paraId="7B371C57" w14:textId="77777777" w:rsidTr="006B2419">
        <w:tc>
          <w:tcPr>
            <w:tcW w:w="1555" w:type="dxa"/>
          </w:tcPr>
          <w:p w14:paraId="127A553F" w14:textId="77777777" w:rsidR="00335DBF" w:rsidRDefault="00335DBF" w:rsidP="006B2419">
            <w:pPr>
              <w:pStyle w:val="0Maintext"/>
              <w:spacing w:after="0" w:afterAutospacing="0"/>
              <w:ind w:firstLine="0"/>
            </w:pPr>
            <w:r>
              <w:t>Futurewei</w:t>
            </w:r>
          </w:p>
        </w:tc>
        <w:tc>
          <w:tcPr>
            <w:tcW w:w="8076" w:type="dxa"/>
          </w:tcPr>
          <w:p w14:paraId="7A25122C" w14:textId="77777777" w:rsidR="00335DBF" w:rsidRDefault="00335DBF" w:rsidP="006B2419">
            <w:pPr>
              <w:pStyle w:val="0Maintext"/>
              <w:spacing w:after="0" w:afterAutospacing="0"/>
              <w:ind w:firstLine="0"/>
            </w:pPr>
            <w:r>
              <w:t>OK in principle.  It is not clear, in the third bullet, if “</w:t>
            </w:r>
            <w:r w:rsidRPr="00726E1E">
              <w:rPr>
                <w:u w:val="single"/>
              </w:rPr>
              <w:t>at least</w:t>
            </w:r>
            <w:r>
              <w:t xml:space="preserve"> for a SL </w:t>
            </w:r>
            <w:r w:rsidRPr="00726E1E">
              <w:t>transmission using all resource blocks of one or more RB set(s)</w:t>
            </w:r>
            <w:r>
              <w:t xml:space="preserve">” implies that more CPE starting positions will be allowed for </w:t>
            </w:r>
            <w:r w:rsidRPr="00726E1E">
              <w:t xml:space="preserve">SL </w:t>
            </w:r>
            <w:r w:rsidRPr="00726E1E">
              <w:lastRenderedPageBreak/>
              <w:t>transmission using fewer than all resource blocks of an RB set</w:t>
            </w:r>
            <w:r>
              <w:t>. If so, it may contradict with the intention of second bullet.</w:t>
            </w:r>
          </w:p>
        </w:tc>
      </w:tr>
      <w:tr w:rsidR="00335DBF" w14:paraId="2B8F407C" w14:textId="77777777" w:rsidTr="006B2419">
        <w:tc>
          <w:tcPr>
            <w:tcW w:w="1555" w:type="dxa"/>
          </w:tcPr>
          <w:p w14:paraId="0C472746" w14:textId="77777777" w:rsidR="00335DBF" w:rsidRDefault="00335DBF" w:rsidP="006B2419">
            <w:pPr>
              <w:pStyle w:val="0Maintext"/>
              <w:spacing w:after="0" w:afterAutospacing="0"/>
              <w:ind w:firstLine="0"/>
            </w:pPr>
            <w:r>
              <w:lastRenderedPageBreak/>
              <w:t>NSC</w:t>
            </w:r>
          </w:p>
        </w:tc>
        <w:tc>
          <w:tcPr>
            <w:tcW w:w="8076" w:type="dxa"/>
          </w:tcPr>
          <w:p w14:paraId="20BA710A" w14:textId="77777777" w:rsidR="00335DBF" w:rsidRDefault="00335DBF" w:rsidP="006B2419">
            <w:pPr>
              <w:pStyle w:val="0Maintext"/>
              <w:spacing w:after="0" w:afterAutospacing="0"/>
              <w:ind w:firstLine="0"/>
            </w:pPr>
            <w:r>
              <w:t>Support</w:t>
            </w:r>
          </w:p>
        </w:tc>
      </w:tr>
      <w:tr w:rsidR="00084214" w14:paraId="59BEA5BC" w14:textId="77777777" w:rsidTr="00084214">
        <w:tc>
          <w:tcPr>
            <w:tcW w:w="1555" w:type="dxa"/>
          </w:tcPr>
          <w:p w14:paraId="554D25BD" w14:textId="77777777" w:rsidR="00084214" w:rsidRPr="00BE2B11" w:rsidRDefault="00084214" w:rsidP="006B2419">
            <w:pPr>
              <w:pStyle w:val="0Maintext"/>
              <w:spacing w:after="0" w:afterAutospacing="0"/>
              <w:ind w:firstLine="0"/>
              <w:rPr>
                <w:rFonts w:cs="Times New Roman"/>
              </w:rPr>
            </w:pPr>
            <w:r w:rsidRPr="00BE2B11">
              <w:rPr>
                <w:rFonts w:eastAsiaTheme="minorEastAsia" w:cs="Times New Roman"/>
                <w:lang w:eastAsia="zh-CN"/>
              </w:rPr>
              <w:t>Huawei, HiSilicon</w:t>
            </w:r>
          </w:p>
        </w:tc>
        <w:tc>
          <w:tcPr>
            <w:tcW w:w="8076" w:type="dxa"/>
          </w:tcPr>
          <w:p w14:paraId="0BADB21C" w14:textId="77777777" w:rsidR="00084214" w:rsidRDefault="00084214" w:rsidP="006B2419">
            <w:pPr>
              <w:autoSpaceDE w:val="0"/>
              <w:autoSpaceDN w:val="0"/>
              <w:jc w:val="both"/>
              <w:rPr>
                <w:rFonts w:ascii="Times New Roman" w:eastAsiaTheme="minorEastAsia" w:hAnsi="Times New Roman"/>
                <w:szCs w:val="20"/>
                <w:lang w:eastAsia="zh-CN"/>
              </w:rPr>
            </w:pPr>
            <w:r w:rsidRPr="00BE2B11">
              <w:rPr>
                <w:rFonts w:ascii="Times New Roman" w:eastAsiaTheme="minorEastAsia" w:hAnsi="Times New Roman"/>
                <w:szCs w:val="20"/>
                <w:lang w:eastAsia="zh-CN"/>
              </w:rPr>
              <w:t xml:space="preserve">We </w:t>
            </w:r>
            <w:r>
              <w:rPr>
                <w:rFonts w:ascii="Times New Roman" w:eastAsiaTheme="minorEastAsia" w:hAnsi="Times New Roman"/>
                <w:szCs w:val="20"/>
                <w:lang w:eastAsia="zh-CN"/>
              </w:rPr>
              <w:t>think multiple points should be clarified on this proposal.</w:t>
            </w:r>
          </w:p>
          <w:p w14:paraId="2196859C" w14:textId="77777777" w:rsidR="00084214" w:rsidRDefault="00084214" w:rsidP="006B2419">
            <w:pPr>
              <w:autoSpaceDE w:val="0"/>
              <w:autoSpaceDN w:val="0"/>
              <w:jc w:val="both"/>
              <w:rPr>
                <w:rFonts w:ascii="Times New Roman" w:eastAsiaTheme="minorEastAsia" w:hAnsi="Times New Roman"/>
                <w:szCs w:val="20"/>
                <w:lang w:eastAsia="zh-CN"/>
              </w:rPr>
            </w:pPr>
          </w:p>
          <w:p w14:paraId="2690764F" w14:textId="77777777" w:rsidR="00084214" w:rsidRPr="00BE2B11" w:rsidRDefault="00084214" w:rsidP="006B2419">
            <w:pPr>
              <w:autoSpaceDE w:val="0"/>
              <w:autoSpaceDN w:val="0"/>
              <w:jc w:val="both"/>
              <w:rPr>
                <w:rFonts w:ascii="Times New Roman" w:eastAsiaTheme="minorEastAsia" w:hAnsi="Times New Roman"/>
                <w:szCs w:val="20"/>
                <w:lang w:eastAsia="zh-CN"/>
              </w:rPr>
            </w:pPr>
            <w:r>
              <w:rPr>
                <w:rFonts w:ascii="Times New Roman" w:eastAsiaTheme="minorEastAsia" w:hAnsi="Times New Roman"/>
                <w:szCs w:val="20"/>
                <w:lang w:eastAsia="zh-CN"/>
              </w:rPr>
              <w:t xml:space="preserve">On the first bullet, it does not take multiple starting points into account (although it has not been agreed in PHY design topic). For example, if the second staring point locates at symbol 4, the CPE should be transmitted from starting position until symbol 4. So it is not </w:t>
            </w:r>
            <w:r w:rsidRPr="00F73172">
              <w:rPr>
                <w:rFonts w:ascii="Times New Roman" w:eastAsiaTheme="minorEastAsia" w:hAnsi="Times New Roman"/>
                <w:szCs w:val="20"/>
                <w:lang w:eastAsia="zh-CN"/>
              </w:rPr>
              <w:t>the AGC symbol of the next slot</w:t>
            </w:r>
            <w:r>
              <w:rPr>
                <w:rFonts w:ascii="Times New Roman" w:eastAsiaTheme="minorEastAsia" w:hAnsi="Times New Roman"/>
                <w:szCs w:val="20"/>
                <w:lang w:eastAsia="zh-CN"/>
              </w:rPr>
              <w:t>.</w:t>
            </w:r>
          </w:p>
          <w:p w14:paraId="0F1776DD" w14:textId="77777777" w:rsidR="00084214" w:rsidRPr="00BE2B11" w:rsidRDefault="00084214" w:rsidP="006B2419">
            <w:pPr>
              <w:autoSpaceDE w:val="0"/>
              <w:autoSpaceDN w:val="0"/>
              <w:jc w:val="both"/>
              <w:rPr>
                <w:rFonts w:ascii="Times New Roman" w:eastAsiaTheme="minorEastAsia" w:hAnsi="Times New Roman"/>
                <w:szCs w:val="20"/>
                <w:lang w:eastAsia="zh-CN"/>
              </w:rPr>
            </w:pPr>
          </w:p>
          <w:p w14:paraId="1237BEAD" w14:textId="77777777" w:rsidR="00084214" w:rsidRDefault="00084214" w:rsidP="006B2419">
            <w:pPr>
              <w:autoSpaceDE w:val="0"/>
              <w:autoSpaceDN w:val="0"/>
              <w:jc w:val="both"/>
              <w:rPr>
                <w:rStyle w:val="fontstyle01"/>
                <w:rFonts w:eastAsiaTheme="minorEastAsia"/>
                <w:lang w:eastAsia="zh-CN"/>
              </w:rPr>
            </w:pPr>
            <w:r>
              <w:rPr>
                <w:rStyle w:val="fontstyle01"/>
                <w:rFonts w:eastAsiaTheme="minorEastAsia" w:hint="eastAsia"/>
                <w:lang w:eastAsia="zh-CN"/>
              </w:rPr>
              <w:t>F</w:t>
            </w:r>
            <w:r>
              <w:rPr>
                <w:rStyle w:val="fontstyle01"/>
                <w:rFonts w:eastAsiaTheme="minorEastAsia"/>
                <w:lang w:eastAsia="zh-CN"/>
              </w:rPr>
              <w:t>or the second bullet, the motivation to configure a CPE starting postion is to achieve same CPE length for UE transmission using fewer than all</w:t>
            </w:r>
            <w:r>
              <w:t xml:space="preserve"> </w:t>
            </w:r>
            <w:r w:rsidRPr="005B1CE1">
              <w:rPr>
                <w:rStyle w:val="fontstyle01"/>
                <w:rFonts w:eastAsiaTheme="minorEastAsia"/>
                <w:lang w:eastAsia="zh-CN"/>
              </w:rPr>
              <w:t>resource blocks of an RB set</w:t>
            </w:r>
            <w:r>
              <w:rPr>
                <w:rStyle w:val="fontstyle01"/>
                <w:rFonts w:eastAsiaTheme="minorEastAsia"/>
                <w:lang w:eastAsia="zh-CN"/>
              </w:rPr>
              <w:t>. However, how to achieve same CPE lenghth, could be by (pre-)configuration, indication or other ways depending on scenario, which can be further studied.</w:t>
            </w:r>
          </w:p>
          <w:p w14:paraId="7F9AA3C6" w14:textId="77777777" w:rsidR="00084214" w:rsidRPr="00BE2B11" w:rsidRDefault="00084214" w:rsidP="006B2419">
            <w:pPr>
              <w:autoSpaceDE w:val="0"/>
              <w:autoSpaceDN w:val="0"/>
              <w:jc w:val="both"/>
              <w:rPr>
                <w:rFonts w:ascii="Times New Roman" w:eastAsiaTheme="minorEastAsia" w:hAnsi="Times New Roman"/>
                <w:szCs w:val="20"/>
                <w:lang w:eastAsia="zh-CN"/>
              </w:rPr>
            </w:pPr>
          </w:p>
          <w:p w14:paraId="6A89D438" w14:textId="77777777" w:rsidR="00084214" w:rsidRPr="008E5CDE" w:rsidRDefault="00084214" w:rsidP="006B2419">
            <w:pPr>
              <w:autoSpaceDE w:val="0"/>
              <w:autoSpaceDN w:val="0"/>
              <w:jc w:val="both"/>
              <w:rPr>
                <w:rFonts w:ascii="Times New Roman" w:eastAsiaTheme="minorEastAsia" w:hAnsi="Times New Roman"/>
                <w:szCs w:val="20"/>
                <w:lang w:eastAsia="zh-CN"/>
              </w:rPr>
            </w:pPr>
            <w:r w:rsidRPr="00BE2B11">
              <w:rPr>
                <w:rFonts w:ascii="Times New Roman" w:eastAsiaTheme="minorEastAsia" w:hAnsi="Times New Roman"/>
                <w:szCs w:val="20"/>
                <w:lang w:eastAsia="zh-CN"/>
              </w:rPr>
              <w:t xml:space="preserve">For the third bullet, </w:t>
            </w:r>
            <w:r>
              <w:rPr>
                <w:rFonts w:ascii="Times New Roman" w:eastAsiaTheme="minorEastAsia" w:hAnsi="Times New Roman"/>
                <w:szCs w:val="20"/>
                <w:lang w:eastAsia="zh-CN"/>
              </w:rPr>
              <w:t xml:space="preserve"> m</w:t>
            </w:r>
            <w:r w:rsidRPr="008E5CDE">
              <w:rPr>
                <w:rFonts w:ascii="Times New Roman" w:eastAsiaTheme="minorEastAsia" w:hAnsi="Times New Roman"/>
                <w:szCs w:val="20"/>
                <w:lang w:eastAsia="zh-CN"/>
              </w:rPr>
              <w:t>ultiple CPE starting positions</w:t>
            </w:r>
            <w:r>
              <w:rPr>
                <w:rFonts w:ascii="Times New Roman" w:eastAsiaTheme="minorEastAsia" w:hAnsi="Times New Roman"/>
                <w:szCs w:val="20"/>
                <w:lang w:eastAsia="zh-CN"/>
              </w:rPr>
              <w:t xml:space="preserve"> cannot be only used within the GP symbol, but also other symbols considering multiple starting points in a slot. And </w:t>
            </w:r>
            <w:r w:rsidRPr="00BE2B11">
              <w:rPr>
                <w:rFonts w:ascii="Times New Roman" w:eastAsiaTheme="minorEastAsia" w:hAnsi="Times New Roman"/>
                <w:szCs w:val="20"/>
                <w:lang w:eastAsia="zh-CN"/>
              </w:rPr>
              <w:t>compared to based on CA</w:t>
            </w:r>
            <w:r w:rsidRPr="00BE2B11">
              <w:rPr>
                <w:rFonts w:ascii="Times New Roman" w:hAnsi="Times New Roman"/>
                <w:szCs w:val="20"/>
                <w:lang w:val="en-US" w:eastAsia="x-none"/>
              </w:rPr>
              <w:t xml:space="preserve">PC, </w:t>
            </w:r>
            <w:r>
              <w:rPr>
                <w:rFonts w:ascii="Times New Roman" w:eastAsiaTheme="minorEastAsia" w:hAnsi="Times New Roman"/>
                <w:szCs w:val="20"/>
                <w:lang w:eastAsia="zh-CN"/>
              </w:rPr>
              <w:t xml:space="preserve">it is more accurate to determine the CPE length </w:t>
            </w:r>
            <w:r w:rsidRPr="00BE2B11">
              <w:rPr>
                <w:rFonts w:ascii="Times New Roman" w:eastAsiaTheme="minorEastAsia" w:hAnsi="Times New Roman"/>
                <w:szCs w:val="20"/>
                <w:lang w:eastAsia="zh-CN"/>
              </w:rPr>
              <w:t xml:space="preserve">based on </w:t>
            </w:r>
            <w:r>
              <w:rPr>
                <w:rFonts w:ascii="Times New Roman" w:eastAsiaTheme="minorEastAsia" w:hAnsi="Times New Roman"/>
                <w:szCs w:val="20"/>
                <w:lang w:eastAsia="zh-CN"/>
              </w:rPr>
              <w:t>L1 priority. F</w:t>
            </w:r>
            <w:r w:rsidRPr="00BE2B11">
              <w:rPr>
                <w:rFonts w:ascii="Times New Roman" w:eastAsiaTheme="minorEastAsia" w:hAnsi="Times New Roman"/>
                <w:szCs w:val="20"/>
                <w:lang w:eastAsia="zh-CN"/>
              </w:rPr>
              <w:t>irstly, there are 8</w:t>
            </w:r>
            <w:r>
              <w:rPr>
                <w:rFonts w:ascii="Times New Roman" w:eastAsiaTheme="minorEastAsia" w:hAnsi="Times New Roman"/>
                <w:szCs w:val="20"/>
                <w:lang w:eastAsia="zh-CN"/>
              </w:rPr>
              <w:t xml:space="preserve"> L1</w:t>
            </w:r>
            <w:r w:rsidRPr="00BE2B11">
              <w:rPr>
                <w:rFonts w:ascii="Times New Roman" w:eastAsiaTheme="minorEastAsia" w:hAnsi="Times New Roman"/>
                <w:szCs w:val="20"/>
                <w:lang w:eastAsia="zh-CN"/>
              </w:rPr>
              <w:t xml:space="preserve"> priorities rather than 4 priorities of CAPC, which </w:t>
            </w:r>
            <w:r>
              <w:rPr>
                <w:rFonts w:ascii="Times New Roman" w:eastAsiaTheme="minorEastAsia" w:hAnsi="Times New Roman"/>
                <w:szCs w:val="20"/>
                <w:lang w:eastAsia="zh-CN"/>
              </w:rPr>
              <w:t xml:space="preserve">is more finely and </w:t>
            </w:r>
            <w:r w:rsidRPr="008E5CDE">
              <w:rPr>
                <w:rFonts w:ascii="Times New Roman" w:eastAsiaTheme="minorEastAsia" w:hAnsi="Times New Roman"/>
                <w:szCs w:val="20"/>
                <w:lang w:eastAsia="zh-CN"/>
              </w:rPr>
              <w:t>accurately</w:t>
            </w:r>
            <w:r w:rsidRPr="00BE2B11">
              <w:rPr>
                <w:rFonts w:ascii="Times New Roman" w:eastAsiaTheme="minorEastAsia" w:hAnsi="Times New Roman"/>
                <w:szCs w:val="20"/>
                <w:lang w:eastAsia="zh-CN"/>
              </w:rPr>
              <w:t xml:space="preserve"> map</w:t>
            </w:r>
            <w:r>
              <w:rPr>
                <w:rFonts w:ascii="Times New Roman" w:eastAsiaTheme="minorEastAsia" w:hAnsi="Times New Roman"/>
                <w:szCs w:val="20"/>
                <w:lang w:eastAsia="zh-CN"/>
              </w:rPr>
              <w:t>ping</w:t>
            </w:r>
            <w:r w:rsidRPr="00BE2B11">
              <w:rPr>
                <w:rFonts w:ascii="Times New Roman" w:eastAsiaTheme="minorEastAsia" w:hAnsi="Times New Roman"/>
                <w:szCs w:val="20"/>
                <w:lang w:eastAsia="zh-CN"/>
              </w:rPr>
              <w:t xml:space="preserve"> to different CPE lengths</w:t>
            </w:r>
            <w:r>
              <w:rPr>
                <w:rFonts w:ascii="Times New Roman" w:eastAsiaTheme="minorEastAsia" w:hAnsi="Times New Roman"/>
                <w:szCs w:val="20"/>
                <w:lang w:eastAsia="zh-CN"/>
              </w:rPr>
              <w:t xml:space="preserve">. </w:t>
            </w:r>
            <w:r w:rsidRPr="00BE2B11">
              <w:rPr>
                <w:rFonts w:ascii="Times New Roman" w:eastAsiaTheme="minorEastAsia" w:hAnsi="Times New Roman"/>
                <w:szCs w:val="20"/>
                <w:lang w:eastAsia="zh-CN"/>
              </w:rPr>
              <w:t xml:space="preserve">Secondly, </w:t>
            </w:r>
            <w:r>
              <w:rPr>
                <w:rFonts w:ascii="Times New Roman" w:eastAsiaTheme="minorEastAsia" w:hAnsi="Times New Roman"/>
                <w:szCs w:val="20"/>
                <w:lang w:eastAsia="zh-CN"/>
              </w:rPr>
              <w:t>m</w:t>
            </w:r>
            <w:r w:rsidRPr="008E5CDE">
              <w:rPr>
                <w:rFonts w:ascii="Times New Roman" w:eastAsiaTheme="minorEastAsia" w:hAnsi="Times New Roman"/>
                <w:szCs w:val="20"/>
                <w:lang w:eastAsia="zh-CN"/>
              </w:rPr>
              <w:t xml:space="preserve">ode 2 sensing and reservation </w:t>
            </w:r>
            <w:r>
              <w:rPr>
                <w:rFonts w:ascii="Times New Roman" w:eastAsiaTheme="minorEastAsia" w:hAnsi="Times New Roman"/>
                <w:szCs w:val="20"/>
                <w:lang w:eastAsia="zh-CN"/>
              </w:rPr>
              <w:t xml:space="preserve">R16 sidelink </w:t>
            </w:r>
            <w:r w:rsidRPr="008E5CDE">
              <w:rPr>
                <w:rFonts w:ascii="Times New Roman" w:eastAsiaTheme="minorEastAsia" w:hAnsi="Times New Roman"/>
                <w:szCs w:val="20"/>
                <w:lang w:eastAsia="zh-CN"/>
              </w:rPr>
              <w:t>are performed based on L1 priority, so it is more reasonable to determine CPE length based on L1 priority, which s</w:t>
            </w:r>
            <w:r>
              <w:rPr>
                <w:rFonts w:ascii="Times New Roman" w:eastAsiaTheme="minorEastAsia" w:hAnsi="Times New Roman"/>
                <w:szCs w:val="20"/>
                <w:lang w:eastAsia="zh-CN"/>
              </w:rPr>
              <w:t>imilar</w:t>
            </w:r>
            <w:r w:rsidRPr="008E5CDE">
              <w:rPr>
                <w:rFonts w:ascii="Times New Roman" w:eastAsiaTheme="minorEastAsia" w:hAnsi="Times New Roman"/>
                <w:szCs w:val="20"/>
                <w:lang w:eastAsia="zh-CN"/>
              </w:rPr>
              <w:t xml:space="preserve"> principle is applied.</w:t>
            </w:r>
          </w:p>
          <w:p w14:paraId="449F5AC2" w14:textId="77777777" w:rsidR="00084214" w:rsidRPr="008E5CDE" w:rsidRDefault="00084214" w:rsidP="006B2419">
            <w:pPr>
              <w:autoSpaceDE w:val="0"/>
              <w:autoSpaceDN w:val="0"/>
              <w:jc w:val="both"/>
              <w:rPr>
                <w:rFonts w:ascii="Times New Roman" w:eastAsiaTheme="minorEastAsia" w:hAnsi="Times New Roman"/>
                <w:szCs w:val="20"/>
                <w:lang w:eastAsia="zh-CN"/>
              </w:rPr>
            </w:pPr>
          </w:p>
          <w:p w14:paraId="3069AC54" w14:textId="77777777" w:rsidR="00084214" w:rsidRPr="00BE2B11" w:rsidRDefault="00084214" w:rsidP="006B2419">
            <w:pPr>
              <w:autoSpaceDE w:val="0"/>
              <w:autoSpaceDN w:val="0"/>
              <w:jc w:val="both"/>
              <w:rPr>
                <w:rFonts w:ascii="Times New Roman" w:eastAsiaTheme="minorEastAsia" w:hAnsi="Times New Roman"/>
                <w:szCs w:val="20"/>
                <w:lang w:eastAsia="zh-CN"/>
              </w:rPr>
            </w:pPr>
            <w:r w:rsidRPr="00BE2B11">
              <w:rPr>
                <w:rFonts w:ascii="Times New Roman" w:eastAsiaTheme="minorEastAsia" w:hAnsi="Times New Roman"/>
                <w:szCs w:val="20"/>
                <w:lang w:eastAsia="zh-CN"/>
              </w:rPr>
              <w:t>Therefore, we suggestion following changes on the proposal in green font.</w:t>
            </w:r>
          </w:p>
          <w:p w14:paraId="6104E2E9" w14:textId="77777777" w:rsidR="00084214" w:rsidRPr="00C65E36" w:rsidRDefault="00084214" w:rsidP="006B2419">
            <w:pPr>
              <w:autoSpaceDE w:val="0"/>
              <w:autoSpaceDN w:val="0"/>
              <w:spacing w:before="120"/>
              <w:jc w:val="both"/>
              <w:rPr>
                <w:rFonts w:ascii="Calibri" w:hAnsi="Calibri" w:cs="Calibri"/>
                <w:sz w:val="22"/>
              </w:rPr>
            </w:pPr>
            <w:r w:rsidRPr="00C65E36">
              <w:rPr>
                <w:rFonts w:ascii="Calibri" w:hAnsi="Calibri" w:cs="Calibri"/>
                <w:b/>
                <w:bCs/>
                <w:sz w:val="22"/>
                <w:highlight w:val="yellow"/>
              </w:rPr>
              <w:t xml:space="preserve">Proposal </w:t>
            </w:r>
            <w:r>
              <w:rPr>
                <w:rFonts w:ascii="Calibri" w:hAnsi="Calibri" w:cs="Calibri"/>
                <w:b/>
                <w:bCs/>
                <w:sz w:val="22"/>
                <w:highlight w:val="yellow"/>
              </w:rPr>
              <w:t>4</w:t>
            </w:r>
            <w:r w:rsidRPr="00C65E36">
              <w:rPr>
                <w:rFonts w:ascii="Calibri" w:hAnsi="Calibri" w:cs="Calibri"/>
                <w:b/>
                <w:bCs/>
                <w:sz w:val="22"/>
                <w:highlight w:val="yellow"/>
              </w:rPr>
              <w:t xml:space="preserve"> (I):</w:t>
            </w:r>
          </w:p>
          <w:p w14:paraId="13820107" w14:textId="77777777" w:rsidR="00084214" w:rsidRPr="00E52FD2" w:rsidRDefault="00084214" w:rsidP="006B2419">
            <w:pPr>
              <w:pStyle w:val="0Maintext"/>
              <w:numPr>
                <w:ilvl w:val="0"/>
                <w:numId w:val="24"/>
              </w:numPr>
              <w:spacing w:after="60" w:afterAutospacing="0" w:line="240" w:lineRule="auto"/>
              <w:rPr>
                <w:rFonts w:ascii="Calibri" w:hAnsi="Calibri" w:cs="Calibri"/>
                <w:sz w:val="22"/>
                <w:lang w:val="en-US" w:eastAsia="x-none"/>
              </w:rPr>
            </w:pPr>
            <w:r w:rsidRPr="00E52FD2">
              <w:rPr>
                <w:rFonts w:ascii="Calibri" w:hAnsi="Calibri" w:cs="Calibri" w:hint="eastAsia"/>
                <w:sz w:val="22"/>
                <w:lang w:val="en-US" w:eastAsia="x-none"/>
              </w:rPr>
              <w:t>A CPE is transmitted from a CPE starting position until the start of the</w:t>
            </w:r>
            <w:r w:rsidRPr="00FE7C86">
              <w:rPr>
                <w:rFonts w:ascii="Calibri" w:hAnsi="Calibri" w:cs="Calibri" w:hint="eastAsia"/>
                <w:color w:val="00B050"/>
                <w:sz w:val="22"/>
                <w:lang w:val="en-US" w:eastAsia="x-none"/>
              </w:rPr>
              <w:t xml:space="preserve"> </w:t>
            </w:r>
            <w:r w:rsidRPr="00FE7C86">
              <w:rPr>
                <w:rFonts w:ascii="Calibri" w:hAnsi="Calibri" w:cs="Calibri"/>
                <w:color w:val="00B050"/>
                <w:sz w:val="22"/>
                <w:lang w:val="en-US" w:eastAsia="x-none"/>
              </w:rPr>
              <w:t xml:space="preserve">next </w:t>
            </w:r>
            <w:r w:rsidRPr="00E52FD2">
              <w:rPr>
                <w:rFonts w:ascii="Calibri" w:hAnsi="Calibri" w:cs="Calibri" w:hint="eastAsia"/>
                <w:sz w:val="22"/>
                <w:lang w:val="en-US" w:eastAsia="x-none"/>
              </w:rPr>
              <w:t xml:space="preserve">AGC symbol </w:t>
            </w:r>
            <w:r w:rsidRPr="00FE7C86">
              <w:rPr>
                <w:rFonts w:ascii="Calibri" w:hAnsi="Calibri" w:cs="Calibri" w:hint="eastAsia"/>
                <w:strike/>
                <w:color w:val="00B050"/>
                <w:sz w:val="22"/>
                <w:lang w:val="en-US" w:eastAsia="x-none"/>
              </w:rPr>
              <w:t>of the next slot</w:t>
            </w:r>
            <w:r w:rsidRPr="00E52FD2">
              <w:rPr>
                <w:rFonts w:ascii="Calibri" w:hAnsi="Calibri" w:cs="Calibri" w:hint="eastAsia"/>
                <w:sz w:val="22"/>
                <w:lang w:val="en-US" w:eastAsia="x-none"/>
              </w:rPr>
              <w:t>.</w:t>
            </w:r>
          </w:p>
          <w:p w14:paraId="7D6E3119" w14:textId="77777777" w:rsidR="00084214" w:rsidRPr="00FE7C86" w:rsidRDefault="00084214" w:rsidP="006B2419">
            <w:pPr>
              <w:pStyle w:val="0Maintext"/>
              <w:numPr>
                <w:ilvl w:val="1"/>
                <w:numId w:val="24"/>
              </w:numPr>
              <w:spacing w:after="60" w:afterAutospacing="0" w:line="240" w:lineRule="auto"/>
              <w:rPr>
                <w:rFonts w:ascii="Calibri" w:hAnsi="Calibri" w:cs="Calibri"/>
                <w:sz w:val="22"/>
                <w:lang w:val="en-US" w:eastAsia="x-none"/>
              </w:rPr>
            </w:pPr>
            <w:r w:rsidRPr="00FE7C86">
              <w:rPr>
                <w:rFonts w:ascii="Calibri" w:hAnsi="Calibri" w:cs="Calibri" w:hint="eastAsia"/>
                <w:sz w:val="22"/>
                <w:lang w:val="en-US" w:eastAsia="x-none"/>
              </w:rPr>
              <w:t xml:space="preserve">FFS the CPE starting position is always confined within </w:t>
            </w:r>
            <w:r w:rsidRPr="00FE7C86">
              <w:rPr>
                <w:rFonts w:ascii="Calibri" w:hAnsi="Calibri" w:cs="Calibri" w:hint="eastAsia"/>
                <w:strike/>
                <w:color w:val="00B050"/>
                <w:sz w:val="22"/>
                <w:lang w:val="en-US" w:eastAsia="x-none"/>
              </w:rPr>
              <w:t>last</w:t>
            </w:r>
            <w:r>
              <w:rPr>
                <w:rFonts w:ascii="Calibri" w:hAnsi="Calibri" w:cs="Calibri"/>
                <w:strike/>
                <w:color w:val="00B050"/>
                <w:sz w:val="22"/>
                <w:lang w:val="en-US" w:eastAsia="x-none"/>
              </w:rPr>
              <w:t xml:space="preserve"> </w:t>
            </w:r>
            <w:r w:rsidRPr="00FE7C86">
              <w:rPr>
                <w:rFonts w:ascii="Calibri" w:hAnsi="Calibri" w:cs="Calibri"/>
                <w:color w:val="00B050"/>
                <w:sz w:val="22"/>
                <w:lang w:val="en-US" w:eastAsia="x-none"/>
              </w:rPr>
              <w:t xml:space="preserve">a </w:t>
            </w:r>
            <w:r w:rsidRPr="00FE7C86">
              <w:rPr>
                <w:rFonts w:ascii="Calibri" w:hAnsi="Calibri" w:cs="Calibri" w:hint="eastAsia"/>
                <w:color w:val="00B050"/>
                <w:sz w:val="22"/>
                <w:lang w:val="en-US" w:eastAsia="x-none"/>
              </w:rPr>
              <w:t xml:space="preserve">symbol </w:t>
            </w:r>
            <w:r w:rsidRPr="00FE7C86">
              <w:rPr>
                <w:rFonts w:ascii="Calibri" w:hAnsi="Calibri" w:cs="Calibri" w:hint="eastAsia"/>
                <w:strike/>
                <w:color w:val="00B050"/>
                <w:sz w:val="22"/>
                <w:lang w:val="en-US" w:eastAsia="x-none"/>
              </w:rPr>
              <w:t>of a slot (the GP symbol)</w:t>
            </w:r>
          </w:p>
          <w:p w14:paraId="075E77D5" w14:textId="77777777" w:rsidR="00084214" w:rsidRPr="005B1CE1" w:rsidRDefault="00084214" w:rsidP="006B2419">
            <w:pPr>
              <w:pStyle w:val="0Maintext"/>
              <w:numPr>
                <w:ilvl w:val="0"/>
                <w:numId w:val="24"/>
              </w:numPr>
              <w:spacing w:after="60" w:afterAutospacing="0" w:line="240" w:lineRule="auto"/>
              <w:rPr>
                <w:rFonts w:ascii="Calibri" w:hAnsi="Calibri" w:cs="Calibri"/>
                <w:sz w:val="22"/>
                <w:lang w:val="en-US" w:eastAsia="x-none"/>
              </w:rPr>
            </w:pPr>
            <w:r w:rsidRPr="005B1CE1">
              <w:rPr>
                <w:rFonts w:ascii="Calibri" w:hAnsi="Calibri" w:cs="Calibri"/>
                <w:color w:val="00B050"/>
                <w:sz w:val="22"/>
                <w:lang w:val="en-US" w:eastAsia="x-none"/>
              </w:rPr>
              <w:t>Same</w:t>
            </w:r>
            <w:r w:rsidRPr="005B1CE1">
              <w:rPr>
                <w:rFonts w:ascii="Calibri" w:hAnsi="Calibri" w:cs="Calibri"/>
                <w:strike/>
                <w:color w:val="00B050"/>
                <w:sz w:val="22"/>
                <w:lang w:val="en-US" w:eastAsia="x-none"/>
              </w:rPr>
              <w:t xml:space="preserve"> A</w:t>
            </w:r>
            <w:r w:rsidRPr="005B1CE1">
              <w:rPr>
                <w:rFonts w:ascii="Calibri" w:hAnsi="Calibri" w:cs="Calibri" w:hint="eastAsia"/>
                <w:sz w:val="22"/>
                <w:lang w:val="en-US" w:eastAsia="x-none"/>
              </w:rPr>
              <w:t xml:space="preserve"> CPE </w:t>
            </w:r>
            <w:r w:rsidRPr="005B1CE1">
              <w:rPr>
                <w:rFonts w:ascii="Calibri" w:hAnsi="Calibri" w:cs="Calibri" w:hint="eastAsia"/>
                <w:strike/>
                <w:color w:val="00B050"/>
                <w:sz w:val="22"/>
                <w:lang w:val="en-US" w:eastAsia="x-none"/>
              </w:rPr>
              <w:t>starting position</w:t>
            </w:r>
            <w:r w:rsidRPr="005B1CE1">
              <w:rPr>
                <w:rFonts w:ascii="Calibri" w:hAnsi="Calibri" w:cs="Calibri" w:hint="eastAsia"/>
                <w:color w:val="00B050"/>
                <w:sz w:val="22"/>
                <w:lang w:val="en-US" w:eastAsia="x-none"/>
              </w:rPr>
              <w:t xml:space="preserve"> </w:t>
            </w:r>
            <w:r w:rsidRPr="005B1CE1">
              <w:rPr>
                <w:rFonts w:ascii="Calibri" w:hAnsi="Calibri" w:cs="Calibri"/>
                <w:color w:val="00B050"/>
                <w:sz w:val="22"/>
                <w:lang w:val="en-US" w:eastAsia="x-none"/>
              </w:rPr>
              <w:t xml:space="preserve">length </w:t>
            </w:r>
            <w:r w:rsidRPr="005B1CE1">
              <w:rPr>
                <w:rFonts w:ascii="Calibri" w:hAnsi="Calibri" w:cs="Calibri" w:hint="eastAsia"/>
                <w:sz w:val="22"/>
                <w:lang w:val="en-US" w:eastAsia="x-none"/>
              </w:rPr>
              <w:t xml:space="preserve">is </w:t>
            </w:r>
            <w:r w:rsidRPr="005B1CE1">
              <w:rPr>
                <w:rFonts w:ascii="Calibri" w:hAnsi="Calibri" w:cs="Calibri" w:hint="eastAsia"/>
                <w:strike/>
                <w:sz w:val="22"/>
                <w:lang w:val="en-US" w:eastAsia="x-none"/>
              </w:rPr>
              <w:t>(pre-)configured</w:t>
            </w:r>
            <w:r w:rsidRPr="005B1CE1">
              <w:rPr>
                <w:rFonts w:ascii="Calibri" w:hAnsi="Calibri" w:cs="Calibri" w:hint="eastAsia"/>
                <w:sz w:val="22"/>
                <w:lang w:val="en-US" w:eastAsia="x-none"/>
              </w:rPr>
              <w:t xml:space="preserve"> </w:t>
            </w:r>
            <w:r w:rsidRPr="005B1CE1">
              <w:rPr>
                <w:rFonts w:ascii="Calibri" w:hAnsi="Calibri" w:cs="Calibri"/>
                <w:sz w:val="22"/>
                <w:lang w:val="en-US" w:eastAsia="x-none"/>
              </w:rPr>
              <w:t xml:space="preserve">used </w:t>
            </w:r>
            <w:r w:rsidRPr="005B1CE1">
              <w:rPr>
                <w:rFonts w:ascii="Calibri" w:hAnsi="Calibri" w:cs="Calibri" w:hint="eastAsia"/>
                <w:sz w:val="22"/>
                <w:lang w:val="en-US" w:eastAsia="x-none"/>
              </w:rPr>
              <w:t>for a SL transmission using fewer than all resource blocks of an RB set</w:t>
            </w:r>
          </w:p>
          <w:p w14:paraId="4E27E1A6" w14:textId="77777777" w:rsidR="00084214" w:rsidRPr="005B1CE1" w:rsidRDefault="00084214" w:rsidP="006B2419">
            <w:pPr>
              <w:pStyle w:val="0Maintext"/>
              <w:numPr>
                <w:ilvl w:val="1"/>
                <w:numId w:val="24"/>
              </w:numPr>
              <w:spacing w:after="60" w:afterAutospacing="0" w:line="240" w:lineRule="auto"/>
              <w:rPr>
                <w:rFonts w:ascii="Calibri" w:hAnsi="Calibri" w:cs="Calibri"/>
                <w:color w:val="000000" w:themeColor="text1"/>
                <w:sz w:val="22"/>
                <w:lang w:val="en-US" w:eastAsia="x-none"/>
              </w:rPr>
            </w:pPr>
            <w:r w:rsidRPr="005B1CE1">
              <w:rPr>
                <w:rFonts w:ascii="Calibri" w:hAnsi="Calibri" w:cs="Calibri" w:hint="eastAsia"/>
                <w:color w:val="000000" w:themeColor="text1"/>
                <w:sz w:val="22"/>
                <w:lang w:val="en-US" w:eastAsia="x-none"/>
              </w:rPr>
              <w:t xml:space="preserve">FFS details, </w:t>
            </w:r>
            <w:r w:rsidRPr="005B1CE1">
              <w:rPr>
                <w:rFonts w:ascii="Calibri" w:hAnsi="Calibri" w:cs="Calibri"/>
                <w:color w:val="00B050"/>
                <w:sz w:val="22"/>
                <w:lang w:val="en-US" w:eastAsia="x-none"/>
              </w:rPr>
              <w:t xml:space="preserve">method to achieve same CPE length, </w:t>
            </w:r>
            <w:r w:rsidRPr="005B1CE1">
              <w:rPr>
                <w:rFonts w:ascii="Calibri" w:hAnsi="Calibri" w:cs="Calibri" w:hint="eastAsia"/>
                <w:color w:val="000000" w:themeColor="text1"/>
                <w:sz w:val="22"/>
                <w:lang w:val="en-US" w:eastAsia="x-none"/>
              </w:rPr>
              <w:t>applicable scenarios (e.g., inside and outside a COT) and type(s) of SL transmission (e.g., PSSCH/PSCCH, PSFCH, S-SSB)</w:t>
            </w:r>
          </w:p>
          <w:p w14:paraId="6B086AC7" w14:textId="77777777" w:rsidR="00084214" w:rsidRDefault="00084214" w:rsidP="006B2419">
            <w:pPr>
              <w:pStyle w:val="0Maintext"/>
              <w:numPr>
                <w:ilvl w:val="0"/>
                <w:numId w:val="24"/>
              </w:numPr>
              <w:spacing w:after="60" w:afterAutospacing="0" w:line="240" w:lineRule="auto"/>
              <w:rPr>
                <w:rFonts w:ascii="Calibri" w:hAnsi="Calibri" w:cs="Calibri"/>
                <w:sz w:val="22"/>
                <w:lang w:val="en-US" w:eastAsia="x-none"/>
              </w:rPr>
            </w:pPr>
            <w:r w:rsidRPr="00B00E3D">
              <w:rPr>
                <w:rFonts w:ascii="Calibri" w:hAnsi="Calibri" w:cs="Calibri" w:hint="eastAsia"/>
                <w:sz w:val="22"/>
                <w:lang w:val="en-US" w:eastAsia="x-none"/>
              </w:rPr>
              <w:t xml:space="preserve">Multiple CPE starting positions </w:t>
            </w:r>
            <w:r w:rsidRPr="00F50D79">
              <w:rPr>
                <w:rFonts w:ascii="Calibri" w:hAnsi="Calibri" w:cs="Calibri" w:hint="eastAsia"/>
                <w:sz w:val="22"/>
                <w:lang w:val="en-US" w:eastAsia="x-none"/>
              </w:rPr>
              <w:t xml:space="preserve">within </w:t>
            </w:r>
            <w:r w:rsidRPr="00F50D79">
              <w:rPr>
                <w:rFonts w:ascii="Calibri" w:hAnsi="Calibri" w:cs="Calibri" w:hint="eastAsia"/>
                <w:strike/>
                <w:color w:val="00B050"/>
                <w:sz w:val="22"/>
                <w:lang w:val="en-US" w:eastAsia="x-none"/>
              </w:rPr>
              <w:t>the GP</w:t>
            </w:r>
            <w:r w:rsidRPr="00F50D79">
              <w:rPr>
                <w:rFonts w:ascii="Calibri" w:hAnsi="Calibri" w:cs="Calibri"/>
                <w:color w:val="00B050"/>
                <w:sz w:val="22"/>
                <w:lang w:val="en-US" w:eastAsia="x-none"/>
              </w:rPr>
              <w:t xml:space="preserve"> </w:t>
            </w:r>
            <w:r w:rsidRPr="00F50D79">
              <w:rPr>
                <w:rFonts w:ascii="Calibri" w:hAnsi="Calibri" w:cs="Calibri"/>
                <w:sz w:val="22"/>
                <w:lang w:val="en-US" w:eastAsia="x-none"/>
              </w:rPr>
              <w:t>a</w:t>
            </w:r>
            <w:r w:rsidRPr="00F50D79">
              <w:rPr>
                <w:rFonts w:ascii="Calibri" w:hAnsi="Calibri" w:cs="Calibri" w:hint="eastAsia"/>
                <w:sz w:val="22"/>
                <w:lang w:val="en-US" w:eastAsia="x-none"/>
              </w:rPr>
              <w:t xml:space="preserve"> symbol</w:t>
            </w:r>
            <w:r w:rsidRPr="00B00E3D">
              <w:rPr>
                <w:rFonts w:ascii="Calibri" w:hAnsi="Calibri" w:cs="Calibri" w:hint="eastAsia"/>
                <w:sz w:val="22"/>
                <w:lang w:val="en-US" w:eastAsia="x-none"/>
              </w:rPr>
              <w:t xml:space="preserve"> based on </w:t>
            </w:r>
            <w:r w:rsidRPr="001947CE">
              <w:rPr>
                <w:rFonts w:ascii="Calibri" w:hAnsi="Calibri" w:cs="Calibri" w:hint="eastAsia"/>
                <w:strike/>
                <w:color w:val="00B050"/>
                <w:sz w:val="22"/>
                <w:lang w:val="en-US" w:eastAsia="x-none"/>
              </w:rPr>
              <w:t>transmission</w:t>
            </w:r>
            <w:r w:rsidRPr="001947CE">
              <w:rPr>
                <w:rFonts w:ascii="Calibri" w:hAnsi="Calibri" w:cs="Calibri"/>
                <w:color w:val="00B050"/>
                <w:sz w:val="22"/>
                <w:lang w:val="en-US" w:eastAsia="x-none"/>
              </w:rPr>
              <w:t>L1</w:t>
            </w:r>
            <w:r w:rsidRPr="001947CE">
              <w:rPr>
                <w:rFonts w:ascii="Calibri" w:hAnsi="Calibri" w:cs="Calibri" w:hint="eastAsia"/>
                <w:color w:val="00B050"/>
                <w:sz w:val="22"/>
                <w:lang w:val="en-US" w:eastAsia="x-none"/>
              </w:rPr>
              <w:t xml:space="preserve"> </w:t>
            </w:r>
            <w:r w:rsidRPr="00B00E3D">
              <w:rPr>
                <w:rFonts w:ascii="Calibri" w:hAnsi="Calibri" w:cs="Calibri" w:hint="eastAsia"/>
                <w:sz w:val="22"/>
                <w:lang w:val="en-US" w:eastAsia="x-none"/>
              </w:rPr>
              <w:t xml:space="preserve">priority level </w:t>
            </w:r>
            <w:r w:rsidRPr="001947CE">
              <w:rPr>
                <w:rFonts w:ascii="Calibri" w:hAnsi="Calibri" w:cs="Calibri" w:hint="eastAsia"/>
                <w:color w:val="00B050"/>
                <w:sz w:val="22"/>
                <w:lang w:val="en-US" w:eastAsia="x-none"/>
              </w:rPr>
              <w:t xml:space="preserve"> </w:t>
            </w:r>
            <w:r w:rsidRPr="00B00E3D">
              <w:rPr>
                <w:rFonts w:ascii="Calibri" w:hAnsi="Calibri" w:cs="Calibri" w:hint="eastAsia"/>
                <w:sz w:val="22"/>
                <w:lang w:val="en-US" w:eastAsia="x-none"/>
              </w:rPr>
              <w:t>is supported, at least for a SL transmission using all resource blocks of one or more RB set(s)</w:t>
            </w:r>
          </w:p>
          <w:p w14:paraId="29A92A0B" w14:textId="27723F4C" w:rsidR="00084214" w:rsidRPr="00503451" w:rsidRDefault="00084214" w:rsidP="00503451">
            <w:pPr>
              <w:pStyle w:val="0Maintext"/>
              <w:numPr>
                <w:ilvl w:val="1"/>
                <w:numId w:val="24"/>
              </w:numPr>
              <w:spacing w:after="120" w:afterAutospacing="0" w:line="240" w:lineRule="auto"/>
              <w:rPr>
                <w:rFonts w:ascii="Calibri" w:hAnsi="Calibri" w:cs="Calibri"/>
                <w:sz w:val="22"/>
                <w:lang w:val="en-US" w:eastAsia="x-none"/>
              </w:rPr>
            </w:pPr>
            <w:r w:rsidRPr="00B00E3D">
              <w:rPr>
                <w:rFonts w:ascii="Calibri" w:eastAsia="Batang" w:hAnsi="Calibri" w:cs="Calibri" w:hint="eastAsia"/>
                <w:sz w:val="22"/>
                <w:szCs w:val="24"/>
                <w:lang w:val="en-US" w:eastAsia="x-none"/>
              </w:rPr>
              <w:t>FFS details and applicable scenarios</w:t>
            </w:r>
          </w:p>
        </w:tc>
      </w:tr>
    </w:tbl>
    <w:p w14:paraId="17C1BFA7" w14:textId="77777777" w:rsidR="002C72F4" w:rsidRDefault="002C72F4" w:rsidP="002B10DE">
      <w:pPr>
        <w:pStyle w:val="0Maintext"/>
        <w:spacing w:after="0" w:afterAutospacing="0"/>
        <w:ind w:firstLine="0"/>
      </w:pPr>
    </w:p>
    <w:p w14:paraId="1A8B4F6D" w14:textId="79B163F2" w:rsidR="00BE6393" w:rsidRDefault="00BE6393" w:rsidP="00BE6393">
      <w:pPr>
        <w:pStyle w:val="Heading3"/>
      </w:pPr>
      <w:r>
        <w:t xml:space="preserve">FL Proposal for round </w:t>
      </w:r>
      <w:r w:rsidR="002C72F4">
        <w:t>2</w:t>
      </w:r>
      <w:r>
        <w:t xml:space="preserve"> </w:t>
      </w:r>
      <w:r w:rsidR="002C72F4">
        <w:t>discussion</w:t>
      </w:r>
    </w:p>
    <w:p w14:paraId="7DAD8626" w14:textId="3F000557" w:rsidR="0026302A" w:rsidRPr="00D567B9" w:rsidRDefault="0026302A" w:rsidP="0026302A">
      <w:pPr>
        <w:autoSpaceDE w:val="0"/>
        <w:autoSpaceDN w:val="0"/>
        <w:spacing w:before="120" w:after="120"/>
        <w:jc w:val="both"/>
        <w:rPr>
          <w:rFonts w:ascii="Calibri" w:hAnsi="Calibri" w:cs="Calibri"/>
          <w:sz w:val="22"/>
          <w:u w:val="single"/>
        </w:rPr>
      </w:pPr>
      <w:r w:rsidRPr="00D567B9">
        <w:rPr>
          <w:rFonts w:ascii="Calibri" w:hAnsi="Calibri" w:cs="Calibri"/>
          <w:sz w:val="22"/>
          <w:u w:val="single"/>
        </w:rPr>
        <w:t xml:space="preserve">FL </w:t>
      </w:r>
      <w:r>
        <w:rPr>
          <w:rFonts w:ascii="Calibri" w:hAnsi="Calibri" w:cs="Calibri"/>
          <w:sz w:val="22"/>
          <w:u w:val="single"/>
        </w:rPr>
        <w:t>responses</w:t>
      </w:r>
      <w:r w:rsidRPr="00D567B9">
        <w:rPr>
          <w:rFonts w:ascii="Calibri" w:hAnsi="Calibri" w:cs="Calibri"/>
          <w:sz w:val="22"/>
          <w:u w:val="single"/>
        </w:rPr>
        <w:t xml:space="preserve"> based on </w:t>
      </w:r>
      <w:r>
        <w:rPr>
          <w:rFonts w:ascii="Calibri" w:hAnsi="Calibri" w:cs="Calibri"/>
          <w:sz w:val="22"/>
          <w:u w:val="single"/>
        </w:rPr>
        <w:t xml:space="preserve">Round 1 inputs on Proposal </w:t>
      </w:r>
      <w:r w:rsidR="002D6E4C">
        <w:rPr>
          <w:rFonts w:ascii="Calibri" w:hAnsi="Calibri" w:cs="Calibri"/>
          <w:sz w:val="22"/>
          <w:u w:val="single"/>
        </w:rPr>
        <w:t>4</w:t>
      </w:r>
      <w:r>
        <w:rPr>
          <w:rFonts w:ascii="Calibri" w:hAnsi="Calibri" w:cs="Calibri"/>
          <w:sz w:val="22"/>
          <w:u w:val="single"/>
        </w:rPr>
        <w:t xml:space="preserve"> (I)</w:t>
      </w:r>
      <w:r w:rsidRPr="00D567B9">
        <w:rPr>
          <w:rFonts w:ascii="Calibri" w:hAnsi="Calibri" w:cs="Calibri"/>
          <w:sz w:val="22"/>
          <w:u w:val="single"/>
        </w:rPr>
        <w:t>:</w:t>
      </w:r>
    </w:p>
    <w:p w14:paraId="0500549F" w14:textId="1120D900" w:rsidR="0026302A" w:rsidRDefault="00503451" w:rsidP="0026302A">
      <w:pPr>
        <w:pStyle w:val="ListParagraph"/>
        <w:numPr>
          <w:ilvl w:val="0"/>
          <w:numId w:val="18"/>
        </w:numPr>
        <w:autoSpaceDE w:val="0"/>
        <w:autoSpaceDN w:val="0"/>
        <w:spacing w:before="120"/>
        <w:ind w:leftChars="0"/>
        <w:jc w:val="both"/>
        <w:rPr>
          <w:rFonts w:ascii="Calibri" w:hAnsi="Calibri" w:cs="Calibri"/>
          <w:sz w:val="22"/>
        </w:rPr>
      </w:pPr>
      <w:r>
        <w:rPr>
          <w:rFonts w:ascii="Calibri" w:hAnsi="Calibri" w:cs="Calibri"/>
          <w:sz w:val="22"/>
        </w:rPr>
        <w:t>Issue 1: Low priority partial RB set transmission blocking high priority full RB set transmission</w:t>
      </w:r>
    </w:p>
    <w:p w14:paraId="041DDEEC" w14:textId="588442FD" w:rsidR="00503451" w:rsidRDefault="00503451" w:rsidP="00503451">
      <w:pPr>
        <w:pStyle w:val="ListParagraph"/>
        <w:numPr>
          <w:ilvl w:val="1"/>
          <w:numId w:val="18"/>
        </w:numPr>
        <w:autoSpaceDE w:val="0"/>
        <w:autoSpaceDN w:val="0"/>
        <w:spacing w:before="120"/>
        <w:ind w:leftChars="0"/>
        <w:jc w:val="both"/>
        <w:rPr>
          <w:rFonts w:ascii="Calibri" w:hAnsi="Calibri" w:cs="Calibri"/>
          <w:sz w:val="22"/>
        </w:rPr>
      </w:pPr>
      <w:r>
        <w:rPr>
          <w:rFonts w:ascii="Calibri" w:hAnsi="Calibri" w:cs="Calibri"/>
          <w:sz w:val="22"/>
        </w:rPr>
        <w:t>Since a common CPE starting position should be (pre-)configured for partial RB set (regardless of priority level), if a lower priority partial transmission blocks a high priority full transmission, then this should be seen as improper (pre-)configuration to allow this to happen.</w:t>
      </w:r>
    </w:p>
    <w:p w14:paraId="5E7E19E8" w14:textId="0C301828" w:rsidR="00503451" w:rsidRDefault="00503451" w:rsidP="0026302A">
      <w:pPr>
        <w:pStyle w:val="ListParagraph"/>
        <w:numPr>
          <w:ilvl w:val="0"/>
          <w:numId w:val="18"/>
        </w:numPr>
        <w:autoSpaceDE w:val="0"/>
        <w:autoSpaceDN w:val="0"/>
        <w:spacing w:before="120"/>
        <w:ind w:leftChars="0"/>
        <w:jc w:val="both"/>
        <w:rPr>
          <w:rFonts w:ascii="Calibri" w:hAnsi="Calibri" w:cs="Calibri"/>
          <w:sz w:val="22"/>
        </w:rPr>
      </w:pPr>
      <w:r>
        <w:rPr>
          <w:rFonts w:ascii="Calibri" w:hAnsi="Calibri" w:cs="Calibri"/>
          <w:sz w:val="22"/>
        </w:rPr>
        <w:t>Issue 2: To allow high priority to always block low priority transmission</w:t>
      </w:r>
    </w:p>
    <w:p w14:paraId="2C1B7759" w14:textId="2A0D768D" w:rsidR="00503451" w:rsidRDefault="00503451" w:rsidP="00503451">
      <w:pPr>
        <w:pStyle w:val="ListParagraph"/>
        <w:numPr>
          <w:ilvl w:val="1"/>
          <w:numId w:val="18"/>
        </w:numPr>
        <w:autoSpaceDE w:val="0"/>
        <w:autoSpaceDN w:val="0"/>
        <w:spacing w:before="120"/>
        <w:ind w:leftChars="0"/>
        <w:jc w:val="both"/>
        <w:rPr>
          <w:rFonts w:ascii="Calibri" w:hAnsi="Calibri" w:cs="Calibri"/>
          <w:sz w:val="22"/>
        </w:rPr>
      </w:pPr>
      <w:r>
        <w:rPr>
          <w:rFonts w:ascii="Calibri" w:hAnsi="Calibri" w:cs="Calibri"/>
          <w:sz w:val="22"/>
        </w:rPr>
        <w:t>This will create a situation where transmissions from different UEs are always TDM</w:t>
      </w:r>
      <w:r w:rsidR="007869E7">
        <w:rPr>
          <w:rFonts w:ascii="Calibri" w:hAnsi="Calibri" w:cs="Calibri"/>
          <w:sz w:val="22"/>
        </w:rPr>
        <w:t xml:space="preserve"> regardless of partial or full RB set transmission</w:t>
      </w:r>
      <w:r>
        <w:rPr>
          <w:rFonts w:ascii="Calibri" w:hAnsi="Calibri" w:cs="Calibri"/>
          <w:sz w:val="22"/>
        </w:rPr>
        <w:t xml:space="preserve">. This </w:t>
      </w:r>
      <w:r w:rsidR="007869E7">
        <w:rPr>
          <w:rFonts w:ascii="Calibri" w:hAnsi="Calibri" w:cs="Calibri"/>
          <w:sz w:val="22"/>
        </w:rPr>
        <w:t>would be</w:t>
      </w:r>
      <w:r>
        <w:rPr>
          <w:rFonts w:ascii="Calibri" w:hAnsi="Calibri" w:cs="Calibri"/>
          <w:sz w:val="22"/>
        </w:rPr>
        <w:t xml:space="preserve"> a very inefficient </w:t>
      </w:r>
      <w:r w:rsidR="007869E7">
        <w:rPr>
          <w:rFonts w:ascii="Calibri" w:hAnsi="Calibri" w:cs="Calibri"/>
          <w:sz w:val="22"/>
        </w:rPr>
        <w:t xml:space="preserve">way of utilizing radio resources when a high priority transmission occupies only partial RB set and never allow lower priority partial transmissions to use other frequency resources in the same </w:t>
      </w:r>
      <w:r w:rsidR="007869E7">
        <w:rPr>
          <w:rFonts w:ascii="Calibri" w:hAnsi="Calibri" w:cs="Calibri"/>
          <w:sz w:val="22"/>
        </w:rPr>
        <w:lastRenderedPageBreak/>
        <w:t xml:space="preserve">slot. In SL resource allocation design since LTE, it is already possible to multiplex transmissions from multiple UEs with different priorities to be in the same subframe/slot in both network scheduling mode and autonomous resource selection modes. </w:t>
      </w:r>
      <w:r w:rsidR="0011594C">
        <w:rPr>
          <w:rFonts w:ascii="Calibri" w:hAnsi="Calibri" w:cs="Calibri"/>
          <w:sz w:val="22"/>
        </w:rPr>
        <w:t xml:space="preserve">Even for one UE has a L1 priority level = 1 and another UE transmission with priority level = 8 in the same subframe/slot. </w:t>
      </w:r>
      <w:r w:rsidR="007869E7">
        <w:rPr>
          <w:rFonts w:ascii="Calibri" w:hAnsi="Calibri" w:cs="Calibri"/>
          <w:sz w:val="22"/>
        </w:rPr>
        <w:t>Hence the support and design of resource sensing and reservation mechanism. If now using different CPE starting position based on priority to determine which UE has the right to access the channel, then it is unclear what is the benefit of keeping the mode 2 resource allocation scheme. All SL-U transmission will behave almost like Wi-Fi.</w:t>
      </w:r>
    </w:p>
    <w:p w14:paraId="6189D8AF" w14:textId="0A7E72F4" w:rsidR="009D4738" w:rsidRDefault="009D4738" w:rsidP="00503451">
      <w:pPr>
        <w:pStyle w:val="ListParagraph"/>
        <w:numPr>
          <w:ilvl w:val="1"/>
          <w:numId w:val="18"/>
        </w:numPr>
        <w:autoSpaceDE w:val="0"/>
        <w:autoSpaceDN w:val="0"/>
        <w:spacing w:before="120"/>
        <w:ind w:leftChars="0"/>
        <w:jc w:val="both"/>
        <w:rPr>
          <w:rFonts w:ascii="Calibri" w:hAnsi="Calibri" w:cs="Calibri"/>
          <w:sz w:val="22"/>
        </w:rPr>
      </w:pPr>
      <w:r>
        <w:rPr>
          <w:rFonts w:ascii="Calibri" w:hAnsi="Calibri" w:cs="Calibri"/>
          <w:sz w:val="22"/>
        </w:rPr>
        <w:t>On the other hand, when two UEs both performing initial transmission of a TB in the same slot and at least one of them is full RB set transmission, in order to avoid transmissions, it makes sense to utilize different CPE starting positions according to priority level to block lower priority transmissions.</w:t>
      </w:r>
    </w:p>
    <w:p w14:paraId="300CA979" w14:textId="2AAD25FB" w:rsidR="009D4738" w:rsidRDefault="009D4738" w:rsidP="009D4738">
      <w:pPr>
        <w:pStyle w:val="ListParagraph"/>
        <w:numPr>
          <w:ilvl w:val="2"/>
          <w:numId w:val="18"/>
        </w:numPr>
        <w:autoSpaceDE w:val="0"/>
        <w:autoSpaceDN w:val="0"/>
        <w:spacing w:before="120"/>
        <w:ind w:leftChars="0"/>
        <w:jc w:val="both"/>
        <w:rPr>
          <w:rFonts w:ascii="Calibri" w:hAnsi="Calibri" w:cs="Calibri"/>
          <w:sz w:val="22"/>
        </w:rPr>
      </w:pPr>
      <w:r>
        <w:rPr>
          <w:rFonts w:ascii="Calibri" w:hAnsi="Calibri" w:cs="Calibri"/>
          <w:sz w:val="22"/>
        </w:rPr>
        <w:t xml:space="preserve">But when both UEs have only partial transmissions, allowing them to be multiplexing in a FDM manner </w:t>
      </w:r>
      <w:r w:rsidR="00F03890">
        <w:rPr>
          <w:rFonts w:ascii="Calibri" w:hAnsi="Calibri" w:cs="Calibri"/>
          <w:sz w:val="22"/>
        </w:rPr>
        <w:t>should be allowed with the same CPE starting position. If they have selected some overlapping frequency resources, their performance will be the same as Rel-16. And when they don’t overlap, their performance will also be the same as Rel-16.</w:t>
      </w:r>
    </w:p>
    <w:p w14:paraId="53DACE7B" w14:textId="7DB3325D" w:rsidR="00503451" w:rsidRDefault="009D4738" w:rsidP="0026302A">
      <w:pPr>
        <w:pStyle w:val="ListParagraph"/>
        <w:numPr>
          <w:ilvl w:val="0"/>
          <w:numId w:val="18"/>
        </w:numPr>
        <w:autoSpaceDE w:val="0"/>
        <w:autoSpaceDN w:val="0"/>
        <w:spacing w:before="120"/>
        <w:ind w:leftChars="0"/>
        <w:jc w:val="both"/>
        <w:rPr>
          <w:rFonts w:ascii="Calibri" w:hAnsi="Calibri" w:cs="Calibri"/>
          <w:sz w:val="22"/>
        </w:rPr>
      </w:pPr>
      <w:r>
        <w:rPr>
          <w:rFonts w:ascii="Calibri" w:hAnsi="Calibri" w:cs="Calibri"/>
          <w:sz w:val="22"/>
        </w:rPr>
        <w:t xml:space="preserve">Issue 3: </w:t>
      </w:r>
      <w:r w:rsidR="00F03890">
        <w:rPr>
          <w:rFonts w:ascii="Calibri" w:hAnsi="Calibri" w:cs="Calibri"/>
          <w:sz w:val="22"/>
        </w:rPr>
        <w:t>Partial RB set transmission with different CPE starting positions</w:t>
      </w:r>
    </w:p>
    <w:p w14:paraId="5EA0284C" w14:textId="0C174BD4" w:rsidR="00F03890" w:rsidRDefault="00F03890" w:rsidP="00F03890">
      <w:pPr>
        <w:pStyle w:val="ListParagraph"/>
        <w:numPr>
          <w:ilvl w:val="1"/>
          <w:numId w:val="18"/>
        </w:numPr>
        <w:autoSpaceDE w:val="0"/>
        <w:autoSpaceDN w:val="0"/>
        <w:spacing w:before="120"/>
        <w:ind w:leftChars="0"/>
        <w:jc w:val="both"/>
        <w:rPr>
          <w:rFonts w:ascii="Calibri" w:hAnsi="Calibri" w:cs="Calibri"/>
          <w:sz w:val="22"/>
        </w:rPr>
      </w:pPr>
      <w:r>
        <w:rPr>
          <w:rFonts w:ascii="Calibri" w:hAnsi="Calibri" w:cs="Calibri"/>
          <w:sz w:val="22"/>
        </w:rPr>
        <w:t>Firstly, they will block each other when they have different priority level. Not achieving FDM.</w:t>
      </w:r>
    </w:p>
    <w:p w14:paraId="74C4B637" w14:textId="6F483DEB" w:rsidR="00F03890" w:rsidRDefault="00F03890" w:rsidP="00F03890">
      <w:pPr>
        <w:pStyle w:val="ListParagraph"/>
        <w:numPr>
          <w:ilvl w:val="1"/>
          <w:numId w:val="18"/>
        </w:numPr>
        <w:autoSpaceDE w:val="0"/>
        <w:autoSpaceDN w:val="0"/>
        <w:spacing w:before="120"/>
        <w:ind w:leftChars="0"/>
        <w:jc w:val="both"/>
        <w:rPr>
          <w:rFonts w:ascii="Calibri" w:hAnsi="Calibri" w:cs="Calibri"/>
          <w:sz w:val="22"/>
        </w:rPr>
      </w:pPr>
      <w:r>
        <w:rPr>
          <w:rFonts w:ascii="Calibri" w:hAnsi="Calibri" w:cs="Calibri"/>
          <w:sz w:val="22"/>
        </w:rPr>
        <w:t xml:space="preserve">Secondly, </w:t>
      </w:r>
      <w:r w:rsidR="00C11927">
        <w:rPr>
          <w:rFonts w:ascii="Calibri" w:hAnsi="Calibri" w:cs="Calibri"/>
          <w:sz w:val="22"/>
        </w:rPr>
        <w:t xml:space="preserve">assuming there are already 2 UEs (UE1 and UE2) reserved some resources in a slot with different priority and they use different CPE starting positions (i.e., one will block the other already). This case can happen when these two UEs are not aware of each other’s reservation due to for example half-duplex, </w:t>
      </w:r>
      <w:r w:rsidR="00EB3C62">
        <w:rPr>
          <w:rFonts w:ascii="Calibri" w:hAnsi="Calibri" w:cs="Calibri"/>
          <w:sz w:val="22"/>
        </w:rPr>
        <w:t>non-monitored slot</w:t>
      </w:r>
      <w:r w:rsidR="00C11927">
        <w:rPr>
          <w:rFonts w:ascii="Calibri" w:hAnsi="Calibri" w:cs="Calibri"/>
          <w:sz w:val="22"/>
        </w:rPr>
        <w:t xml:space="preserve"> issue, etc. Assuming now another 2 UEs (UE_A and UE_B) also select resources in the same slot as UE1 and UE2, but one chooses to align its CPE starting position will UE1 and the other one aligns with UE2. In the end, only 2 out of 4 UEs will get to transmit even when the selected frequency resources from all 4 UEs do not overlap.</w:t>
      </w:r>
    </w:p>
    <w:p w14:paraId="57514516" w14:textId="63D450D4" w:rsidR="00962640" w:rsidRDefault="00962640" w:rsidP="00962640">
      <w:pPr>
        <w:pStyle w:val="ListParagraph"/>
        <w:numPr>
          <w:ilvl w:val="0"/>
          <w:numId w:val="18"/>
        </w:numPr>
        <w:autoSpaceDE w:val="0"/>
        <w:autoSpaceDN w:val="0"/>
        <w:spacing w:before="120"/>
        <w:ind w:leftChars="0"/>
        <w:jc w:val="both"/>
        <w:rPr>
          <w:rFonts w:ascii="Calibri" w:hAnsi="Calibri" w:cs="Calibri"/>
          <w:sz w:val="22"/>
        </w:rPr>
      </w:pPr>
      <w:r>
        <w:rPr>
          <w:rFonts w:ascii="Calibri" w:hAnsi="Calibri" w:cs="Calibri"/>
          <w:sz w:val="22"/>
        </w:rPr>
        <w:t>There is really a mixed of preferences of supporting single starting position only, multiple starting position only, or both. Some expressed that a single starting position is beneficial for FDM and PSFCH. Some expressed multiple starting position is beneficial for collision avoidance and aligning with NR-U.</w:t>
      </w:r>
    </w:p>
    <w:p w14:paraId="632DCE2C" w14:textId="3941E7CA" w:rsidR="00962640" w:rsidRDefault="00962640" w:rsidP="00962640">
      <w:pPr>
        <w:pStyle w:val="ListParagraph"/>
        <w:numPr>
          <w:ilvl w:val="1"/>
          <w:numId w:val="18"/>
        </w:numPr>
        <w:autoSpaceDE w:val="0"/>
        <w:autoSpaceDN w:val="0"/>
        <w:spacing w:before="120"/>
        <w:ind w:leftChars="0"/>
        <w:jc w:val="both"/>
        <w:rPr>
          <w:rFonts w:ascii="Calibri" w:hAnsi="Calibri" w:cs="Calibri"/>
          <w:sz w:val="22"/>
        </w:rPr>
      </w:pPr>
      <w:r>
        <w:rPr>
          <w:rFonts w:ascii="Calibri" w:hAnsi="Calibri" w:cs="Calibri"/>
          <w:sz w:val="22"/>
        </w:rPr>
        <w:t>Trying to accommodate everyone’s preference. Some compromise is necessary. Let’s try the following version.</w:t>
      </w:r>
    </w:p>
    <w:p w14:paraId="6DC3B254" w14:textId="78BB1221" w:rsidR="00FD61C8" w:rsidRDefault="00FD61C8" w:rsidP="00FD61C8">
      <w:pPr>
        <w:autoSpaceDE w:val="0"/>
        <w:autoSpaceDN w:val="0"/>
        <w:spacing w:after="120"/>
        <w:jc w:val="both"/>
        <w:rPr>
          <w:rFonts w:ascii="Calibri" w:hAnsi="Calibri" w:cs="Calibri"/>
          <w:sz w:val="22"/>
        </w:rPr>
      </w:pPr>
    </w:p>
    <w:p w14:paraId="7F34A307" w14:textId="235C7993" w:rsidR="002D6E4C" w:rsidRDefault="002D6E4C" w:rsidP="002D6E4C">
      <w:pPr>
        <w:autoSpaceDE w:val="0"/>
        <w:autoSpaceDN w:val="0"/>
        <w:spacing w:before="120"/>
        <w:jc w:val="both"/>
        <w:rPr>
          <w:rFonts w:ascii="Calibri" w:hAnsi="Calibri" w:cs="Calibri"/>
          <w:b/>
          <w:bCs/>
          <w:sz w:val="22"/>
        </w:rPr>
      </w:pPr>
      <w:r w:rsidRPr="00C65E36">
        <w:rPr>
          <w:rFonts w:ascii="Calibri" w:hAnsi="Calibri" w:cs="Calibri"/>
          <w:b/>
          <w:bCs/>
          <w:sz w:val="22"/>
          <w:highlight w:val="yellow"/>
        </w:rPr>
        <w:t xml:space="preserve">Proposal </w:t>
      </w:r>
      <w:r>
        <w:rPr>
          <w:rFonts w:ascii="Calibri" w:hAnsi="Calibri" w:cs="Calibri"/>
          <w:b/>
          <w:bCs/>
          <w:sz w:val="22"/>
          <w:highlight w:val="yellow"/>
        </w:rPr>
        <w:t>4</w:t>
      </w:r>
      <w:r w:rsidRPr="00C65E36">
        <w:rPr>
          <w:rFonts w:ascii="Calibri" w:hAnsi="Calibri" w:cs="Calibri"/>
          <w:b/>
          <w:bCs/>
          <w:sz w:val="22"/>
          <w:highlight w:val="yellow"/>
        </w:rPr>
        <w:t xml:space="preserve"> (I</w:t>
      </w:r>
      <w:r>
        <w:rPr>
          <w:rFonts w:ascii="Calibri" w:hAnsi="Calibri" w:cs="Calibri"/>
          <w:b/>
          <w:bCs/>
          <w:sz w:val="22"/>
          <w:highlight w:val="yellow"/>
        </w:rPr>
        <w:t>I</w:t>
      </w:r>
      <w:r w:rsidRPr="00C65E36">
        <w:rPr>
          <w:rFonts w:ascii="Calibri" w:hAnsi="Calibri" w:cs="Calibri"/>
          <w:b/>
          <w:bCs/>
          <w:sz w:val="22"/>
          <w:highlight w:val="yellow"/>
        </w:rPr>
        <w:t>):</w:t>
      </w:r>
      <w:r w:rsidR="008274D1">
        <w:rPr>
          <w:rFonts w:ascii="Calibri" w:hAnsi="Calibri" w:cs="Calibri"/>
          <w:b/>
          <w:bCs/>
          <w:sz w:val="22"/>
        </w:rPr>
        <w:t xml:space="preserve"> </w:t>
      </w:r>
    </w:p>
    <w:p w14:paraId="2DB0C4B6" w14:textId="1E29B93A" w:rsidR="008274D1" w:rsidRPr="005647E4" w:rsidRDefault="008274D1" w:rsidP="005647E4">
      <w:pPr>
        <w:pStyle w:val="ListParagraph"/>
        <w:numPr>
          <w:ilvl w:val="0"/>
          <w:numId w:val="18"/>
        </w:numPr>
        <w:autoSpaceDE w:val="0"/>
        <w:autoSpaceDN w:val="0"/>
        <w:spacing w:before="120"/>
        <w:ind w:leftChars="0"/>
        <w:jc w:val="both"/>
        <w:rPr>
          <w:rFonts w:ascii="Calibri" w:hAnsi="Calibri" w:cs="Calibri"/>
          <w:color w:val="FF0000"/>
          <w:sz w:val="22"/>
        </w:rPr>
      </w:pPr>
      <w:r w:rsidRPr="005647E4">
        <w:rPr>
          <w:rFonts w:ascii="Calibri" w:hAnsi="Calibri" w:cs="Calibri"/>
          <w:color w:val="FF0000"/>
          <w:sz w:val="22"/>
        </w:rPr>
        <w:t>At least for single slot transmission</w:t>
      </w:r>
      <w:r w:rsidR="005647E4" w:rsidRPr="005647E4">
        <w:rPr>
          <w:rFonts w:ascii="Calibri" w:hAnsi="Calibri" w:cs="Calibri"/>
          <w:color w:val="FF0000"/>
          <w:sz w:val="22"/>
        </w:rPr>
        <w:t xml:space="preserve"> case</w:t>
      </w:r>
      <w:r w:rsidRPr="005647E4">
        <w:rPr>
          <w:rFonts w:ascii="Calibri" w:hAnsi="Calibri" w:cs="Calibri"/>
          <w:color w:val="FF0000"/>
          <w:sz w:val="22"/>
        </w:rPr>
        <w:t>:</w:t>
      </w:r>
    </w:p>
    <w:p w14:paraId="215F3702" w14:textId="43203E98" w:rsidR="002D6E4C" w:rsidRPr="00B00E3D" w:rsidRDefault="002D6E4C" w:rsidP="005647E4">
      <w:pPr>
        <w:pStyle w:val="0Maintext"/>
        <w:numPr>
          <w:ilvl w:val="1"/>
          <w:numId w:val="24"/>
        </w:numPr>
        <w:spacing w:after="60" w:afterAutospacing="0" w:line="240" w:lineRule="auto"/>
        <w:rPr>
          <w:rFonts w:ascii="Calibri" w:hAnsi="Calibri" w:cs="Calibri"/>
          <w:sz w:val="22"/>
          <w:lang w:val="en-US" w:eastAsia="x-none"/>
        </w:rPr>
      </w:pPr>
      <w:r w:rsidRPr="00B00E3D">
        <w:rPr>
          <w:rFonts w:ascii="Calibri" w:hAnsi="Calibri" w:cs="Calibri" w:hint="eastAsia"/>
          <w:sz w:val="22"/>
          <w:lang w:val="en-US" w:eastAsia="x-none"/>
        </w:rPr>
        <w:t xml:space="preserve">A CPE is transmitted from a CPE starting position until the start of the </w:t>
      </w:r>
      <w:r w:rsidR="004B4A30" w:rsidRPr="004B4A30">
        <w:rPr>
          <w:rFonts w:ascii="Calibri" w:hAnsi="Calibri" w:cs="Calibri"/>
          <w:color w:val="FF0000"/>
          <w:sz w:val="22"/>
          <w:lang w:val="en-US" w:eastAsia="x-none"/>
        </w:rPr>
        <w:t xml:space="preserve">next </w:t>
      </w:r>
      <w:r w:rsidRPr="00B00E3D">
        <w:rPr>
          <w:rFonts w:ascii="Calibri" w:hAnsi="Calibri" w:cs="Calibri" w:hint="eastAsia"/>
          <w:sz w:val="22"/>
          <w:lang w:val="en-US" w:eastAsia="x-none"/>
        </w:rPr>
        <w:t>AGC symbol</w:t>
      </w:r>
    </w:p>
    <w:p w14:paraId="5CCE1E1E" w14:textId="75B862B0" w:rsidR="002D6E4C" w:rsidRPr="00B00E3D" w:rsidRDefault="002D6E4C" w:rsidP="005647E4">
      <w:pPr>
        <w:pStyle w:val="0Maintext"/>
        <w:numPr>
          <w:ilvl w:val="2"/>
          <w:numId w:val="24"/>
        </w:numPr>
        <w:spacing w:after="60" w:afterAutospacing="0" w:line="240" w:lineRule="auto"/>
        <w:rPr>
          <w:rFonts w:ascii="Calibri" w:hAnsi="Calibri" w:cs="Calibri"/>
          <w:sz w:val="22"/>
          <w:lang w:val="en-US" w:eastAsia="x-none"/>
        </w:rPr>
      </w:pPr>
      <w:r w:rsidRPr="00B00E3D">
        <w:rPr>
          <w:rFonts w:ascii="Calibri" w:hAnsi="Calibri" w:cs="Calibri" w:hint="eastAsia"/>
          <w:sz w:val="22"/>
          <w:lang w:val="en-US" w:eastAsia="x-none"/>
        </w:rPr>
        <w:t xml:space="preserve">FFS the CPE starting position is always confined within </w:t>
      </w:r>
      <w:r w:rsidR="004B4A30" w:rsidRPr="004B4A30">
        <w:rPr>
          <w:rFonts w:ascii="Calibri" w:hAnsi="Calibri" w:cs="Calibri"/>
          <w:color w:val="FF0000"/>
          <w:sz w:val="22"/>
          <w:lang w:val="en-US" w:eastAsia="x-none"/>
        </w:rPr>
        <w:t>a</w:t>
      </w:r>
      <w:r w:rsidRPr="00B00E3D">
        <w:rPr>
          <w:rFonts w:ascii="Calibri" w:hAnsi="Calibri" w:cs="Calibri" w:hint="eastAsia"/>
          <w:sz w:val="22"/>
          <w:lang w:val="en-US" w:eastAsia="x-none"/>
        </w:rPr>
        <w:t xml:space="preserve"> symbol</w:t>
      </w:r>
    </w:p>
    <w:p w14:paraId="21B62271" w14:textId="2637AB67" w:rsidR="00156029" w:rsidRDefault="002D6E4C" w:rsidP="005647E4">
      <w:pPr>
        <w:pStyle w:val="0Maintext"/>
        <w:numPr>
          <w:ilvl w:val="1"/>
          <w:numId w:val="24"/>
        </w:numPr>
        <w:spacing w:after="60" w:afterAutospacing="0" w:line="240" w:lineRule="auto"/>
        <w:rPr>
          <w:rFonts w:ascii="Calibri" w:hAnsi="Calibri" w:cs="Calibri"/>
          <w:sz w:val="22"/>
          <w:lang w:val="en-US" w:eastAsia="x-none"/>
        </w:rPr>
      </w:pPr>
      <w:r w:rsidRPr="00B00E3D">
        <w:rPr>
          <w:rFonts w:ascii="Calibri" w:hAnsi="Calibri" w:cs="Calibri" w:hint="eastAsia"/>
          <w:sz w:val="22"/>
          <w:lang w:val="en-US" w:eastAsia="x-none"/>
        </w:rPr>
        <w:t xml:space="preserve">A </w:t>
      </w:r>
      <w:r w:rsidR="004B4A30">
        <w:rPr>
          <w:rFonts w:ascii="Calibri" w:hAnsi="Calibri" w:cs="Calibri"/>
          <w:color w:val="FF0000"/>
          <w:sz w:val="22"/>
          <w:lang w:val="en-US" w:eastAsia="x-none"/>
        </w:rPr>
        <w:t>common</w:t>
      </w:r>
      <w:r w:rsidR="005647E4" w:rsidRPr="005647E4">
        <w:rPr>
          <w:rFonts w:ascii="Calibri" w:hAnsi="Calibri" w:cs="Calibri"/>
          <w:color w:val="FF0000"/>
          <w:sz w:val="22"/>
          <w:lang w:val="en-US" w:eastAsia="x-none"/>
        </w:rPr>
        <w:t xml:space="preserve"> </w:t>
      </w:r>
      <w:r w:rsidRPr="00B00E3D">
        <w:rPr>
          <w:rFonts w:ascii="Calibri" w:hAnsi="Calibri" w:cs="Calibri" w:hint="eastAsia"/>
          <w:sz w:val="22"/>
          <w:lang w:val="en-US" w:eastAsia="x-none"/>
        </w:rPr>
        <w:t xml:space="preserve">CPE starting position </w:t>
      </w:r>
      <w:r w:rsidR="00156029" w:rsidRPr="00156029">
        <w:rPr>
          <w:rFonts w:ascii="Calibri" w:hAnsi="Calibri" w:cs="Calibri"/>
          <w:color w:val="FF0000"/>
          <w:sz w:val="22"/>
          <w:lang w:val="en-US" w:eastAsia="x-none"/>
        </w:rPr>
        <w:t>is supported</w:t>
      </w:r>
    </w:p>
    <w:p w14:paraId="6A664F4B" w14:textId="2B05333E" w:rsidR="002D6E4C" w:rsidRPr="00B00E3D" w:rsidRDefault="00156029" w:rsidP="005647E4">
      <w:pPr>
        <w:pStyle w:val="0Maintext"/>
        <w:numPr>
          <w:ilvl w:val="2"/>
          <w:numId w:val="24"/>
        </w:numPr>
        <w:spacing w:after="60" w:afterAutospacing="0" w:line="240" w:lineRule="auto"/>
        <w:rPr>
          <w:rFonts w:ascii="Calibri" w:hAnsi="Calibri" w:cs="Calibri"/>
          <w:sz w:val="22"/>
          <w:lang w:val="en-US" w:eastAsia="x-none"/>
        </w:rPr>
      </w:pPr>
      <w:r w:rsidRPr="00156029">
        <w:rPr>
          <w:rFonts w:ascii="Calibri" w:hAnsi="Calibri" w:cs="Calibri"/>
          <w:color w:val="FF0000"/>
          <w:sz w:val="22"/>
          <w:lang w:val="en-US" w:eastAsia="x-none"/>
        </w:rPr>
        <w:t>FFS whether this applies to</w:t>
      </w:r>
      <w:r w:rsidR="002D6E4C" w:rsidRPr="00B00E3D">
        <w:rPr>
          <w:rFonts w:ascii="Calibri" w:hAnsi="Calibri" w:cs="Calibri" w:hint="eastAsia"/>
          <w:sz w:val="22"/>
          <w:lang w:val="en-US" w:eastAsia="x-none"/>
        </w:rPr>
        <w:t xml:space="preserve"> a SL transmission using fewer than all resource blocks of an RB set</w:t>
      </w:r>
    </w:p>
    <w:p w14:paraId="71FCEDC0" w14:textId="5164E1CF" w:rsidR="002D6E4C" w:rsidRPr="00B00E3D" w:rsidRDefault="002D6E4C" w:rsidP="005647E4">
      <w:pPr>
        <w:pStyle w:val="0Maintext"/>
        <w:numPr>
          <w:ilvl w:val="2"/>
          <w:numId w:val="24"/>
        </w:numPr>
        <w:spacing w:after="60" w:afterAutospacing="0" w:line="240" w:lineRule="auto"/>
        <w:rPr>
          <w:rFonts w:ascii="Calibri" w:hAnsi="Calibri" w:cs="Calibri"/>
          <w:sz w:val="22"/>
          <w:lang w:val="en-US" w:eastAsia="x-none"/>
        </w:rPr>
      </w:pPr>
      <w:r w:rsidRPr="00B00E3D">
        <w:rPr>
          <w:rFonts w:ascii="Calibri" w:hAnsi="Calibri" w:cs="Calibri" w:hint="eastAsia"/>
          <w:sz w:val="22"/>
          <w:lang w:val="en-US" w:eastAsia="x-none"/>
        </w:rPr>
        <w:t xml:space="preserve">FFS </w:t>
      </w:r>
      <w:r w:rsidR="005647E4" w:rsidRPr="005647E4">
        <w:rPr>
          <w:rFonts w:ascii="Calibri" w:hAnsi="Calibri" w:cs="Calibri"/>
          <w:color w:val="FF0000"/>
          <w:sz w:val="22"/>
          <w:lang w:val="en-US" w:eastAsia="x-none"/>
        </w:rPr>
        <w:t xml:space="preserve">other </w:t>
      </w:r>
      <w:r w:rsidRPr="00B00E3D">
        <w:rPr>
          <w:rFonts w:ascii="Calibri" w:hAnsi="Calibri" w:cs="Calibri" w:hint="eastAsia"/>
          <w:sz w:val="22"/>
          <w:lang w:val="en-US" w:eastAsia="x-none"/>
        </w:rPr>
        <w:t>details,</w:t>
      </w:r>
      <w:r w:rsidRPr="004B4A30">
        <w:rPr>
          <w:rFonts w:ascii="Calibri" w:hAnsi="Calibri" w:cs="Calibri" w:hint="eastAsia"/>
          <w:color w:val="FF0000"/>
          <w:sz w:val="22"/>
          <w:lang w:val="en-US" w:eastAsia="x-none"/>
        </w:rPr>
        <w:t xml:space="preserve"> </w:t>
      </w:r>
      <w:r w:rsidR="004B4A30" w:rsidRPr="004B4A30">
        <w:rPr>
          <w:rFonts w:ascii="Calibri" w:hAnsi="Calibri" w:cs="Calibri"/>
          <w:color w:val="FF0000"/>
          <w:sz w:val="22"/>
          <w:lang w:val="en-US" w:eastAsia="x-none"/>
        </w:rPr>
        <w:t>method to achieve same CPE starting position,</w:t>
      </w:r>
      <w:r w:rsidR="004B4A30">
        <w:rPr>
          <w:rFonts w:ascii="Calibri" w:hAnsi="Calibri" w:cs="Calibri"/>
          <w:sz w:val="22"/>
          <w:lang w:val="en-US" w:eastAsia="x-none"/>
        </w:rPr>
        <w:t xml:space="preserve"> </w:t>
      </w:r>
      <w:r w:rsidRPr="00B00E3D">
        <w:rPr>
          <w:rFonts w:ascii="Calibri" w:hAnsi="Calibri" w:cs="Calibri" w:hint="eastAsia"/>
          <w:sz w:val="22"/>
          <w:lang w:val="en-US" w:eastAsia="x-none"/>
        </w:rPr>
        <w:t>applicable scenarios (e.g., inside and outside a COT) and type(s) of SL transmission (e.g., PSSCH/PSCCH, PSFCH, S-SSB)</w:t>
      </w:r>
    </w:p>
    <w:p w14:paraId="0752122B" w14:textId="7ACD4977" w:rsidR="005647E4" w:rsidRDefault="002D6E4C" w:rsidP="005647E4">
      <w:pPr>
        <w:pStyle w:val="0Maintext"/>
        <w:numPr>
          <w:ilvl w:val="1"/>
          <w:numId w:val="24"/>
        </w:numPr>
        <w:spacing w:after="60" w:afterAutospacing="0" w:line="240" w:lineRule="auto"/>
        <w:rPr>
          <w:rFonts w:ascii="Calibri" w:hAnsi="Calibri" w:cs="Calibri"/>
          <w:sz w:val="22"/>
          <w:lang w:val="en-US" w:eastAsia="x-none"/>
        </w:rPr>
      </w:pPr>
      <w:r w:rsidRPr="00B00E3D">
        <w:rPr>
          <w:rFonts w:ascii="Calibri" w:hAnsi="Calibri" w:cs="Calibri" w:hint="eastAsia"/>
          <w:sz w:val="22"/>
          <w:lang w:val="en-US" w:eastAsia="x-none"/>
        </w:rPr>
        <w:t>Multiple CPE starting positions is supported</w:t>
      </w:r>
    </w:p>
    <w:p w14:paraId="0F39C21C" w14:textId="6A6B03EB" w:rsidR="002D6E4C" w:rsidRDefault="005647E4" w:rsidP="005647E4">
      <w:pPr>
        <w:pStyle w:val="0Maintext"/>
        <w:numPr>
          <w:ilvl w:val="2"/>
          <w:numId w:val="24"/>
        </w:numPr>
        <w:spacing w:after="60" w:afterAutospacing="0" w:line="240" w:lineRule="auto"/>
        <w:rPr>
          <w:rFonts w:ascii="Calibri" w:hAnsi="Calibri" w:cs="Calibri"/>
          <w:sz w:val="22"/>
          <w:lang w:val="en-US" w:eastAsia="x-none"/>
        </w:rPr>
      </w:pPr>
      <w:r w:rsidRPr="005647E4">
        <w:rPr>
          <w:rFonts w:ascii="Calibri" w:hAnsi="Calibri" w:cs="Calibri"/>
          <w:color w:val="FF0000"/>
          <w:sz w:val="22"/>
          <w:lang w:val="en-US" w:eastAsia="x-none"/>
        </w:rPr>
        <w:t xml:space="preserve">FFS whether this applies to </w:t>
      </w:r>
      <w:r w:rsidR="002D6E4C" w:rsidRPr="00B00E3D">
        <w:rPr>
          <w:rFonts w:ascii="Calibri" w:hAnsi="Calibri" w:cs="Calibri" w:hint="eastAsia"/>
          <w:sz w:val="22"/>
          <w:lang w:val="en-US" w:eastAsia="x-none"/>
        </w:rPr>
        <w:t>a SL transmission using all resource blocks of one or more RB set(s)</w:t>
      </w:r>
    </w:p>
    <w:p w14:paraId="35D85A41" w14:textId="6366D384" w:rsidR="002D6E4C" w:rsidRPr="008274D1" w:rsidRDefault="002D6E4C" w:rsidP="005647E4">
      <w:pPr>
        <w:pStyle w:val="0Maintext"/>
        <w:numPr>
          <w:ilvl w:val="2"/>
          <w:numId w:val="24"/>
        </w:numPr>
        <w:spacing w:after="120" w:afterAutospacing="0" w:line="240" w:lineRule="auto"/>
        <w:rPr>
          <w:rFonts w:ascii="Calibri" w:hAnsi="Calibri" w:cs="Calibri"/>
          <w:sz w:val="22"/>
          <w:lang w:val="en-US" w:eastAsia="x-none"/>
        </w:rPr>
      </w:pPr>
      <w:r w:rsidRPr="00B00E3D">
        <w:rPr>
          <w:rFonts w:ascii="Calibri" w:eastAsia="Batang" w:hAnsi="Calibri" w:cs="Calibri" w:hint="eastAsia"/>
          <w:sz w:val="22"/>
          <w:szCs w:val="24"/>
          <w:lang w:val="en-US" w:eastAsia="x-none"/>
        </w:rPr>
        <w:lastRenderedPageBreak/>
        <w:t xml:space="preserve">FFS </w:t>
      </w:r>
      <w:r w:rsidR="005647E4" w:rsidRPr="005647E4">
        <w:rPr>
          <w:rFonts w:ascii="Calibri" w:eastAsia="Batang" w:hAnsi="Calibri" w:cs="Calibri"/>
          <w:color w:val="FF0000"/>
          <w:sz w:val="22"/>
          <w:szCs w:val="24"/>
          <w:lang w:val="en-US" w:eastAsia="x-none"/>
        </w:rPr>
        <w:t xml:space="preserve">other </w:t>
      </w:r>
      <w:r w:rsidRPr="00B00E3D">
        <w:rPr>
          <w:rFonts w:ascii="Calibri" w:eastAsia="Batang" w:hAnsi="Calibri" w:cs="Calibri" w:hint="eastAsia"/>
          <w:sz w:val="22"/>
          <w:szCs w:val="24"/>
          <w:lang w:val="en-US" w:eastAsia="x-none"/>
        </w:rPr>
        <w:t>details</w:t>
      </w:r>
      <w:r w:rsidR="004B4A30">
        <w:rPr>
          <w:rFonts w:ascii="Calibri" w:eastAsia="Batang" w:hAnsi="Calibri" w:cs="Calibri"/>
          <w:sz w:val="22"/>
          <w:szCs w:val="24"/>
          <w:lang w:val="en-US" w:eastAsia="x-none"/>
        </w:rPr>
        <w:t xml:space="preserve">, </w:t>
      </w:r>
      <w:r w:rsidR="004B4A30" w:rsidRPr="004B4A30">
        <w:rPr>
          <w:rFonts w:ascii="Calibri" w:hAnsi="Calibri" w:cs="Calibri"/>
          <w:color w:val="FF0000"/>
          <w:sz w:val="22"/>
          <w:lang w:val="en-US" w:eastAsia="x-none"/>
        </w:rPr>
        <w:t xml:space="preserve">method to achieve </w:t>
      </w:r>
      <w:r w:rsidR="004B4A30">
        <w:rPr>
          <w:rFonts w:ascii="Calibri" w:hAnsi="Calibri" w:cs="Calibri"/>
          <w:color w:val="FF0000"/>
          <w:sz w:val="22"/>
          <w:lang w:val="en-US" w:eastAsia="x-none"/>
        </w:rPr>
        <w:t>multiple</w:t>
      </w:r>
      <w:r w:rsidR="004B4A30" w:rsidRPr="004B4A30">
        <w:rPr>
          <w:rFonts w:ascii="Calibri" w:hAnsi="Calibri" w:cs="Calibri"/>
          <w:color w:val="FF0000"/>
          <w:sz w:val="22"/>
          <w:lang w:val="en-US" w:eastAsia="x-none"/>
        </w:rPr>
        <w:t xml:space="preserve"> CPE starting position</w:t>
      </w:r>
      <w:r w:rsidR="004B4A30">
        <w:rPr>
          <w:rFonts w:ascii="Calibri" w:hAnsi="Calibri" w:cs="Calibri"/>
          <w:color w:val="FF0000"/>
          <w:sz w:val="22"/>
          <w:lang w:val="en-US" w:eastAsia="x-none"/>
        </w:rPr>
        <w:t>s</w:t>
      </w:r>
      <w:r w:rsidR="004B4A30" w:rsidRPr="004B4A30">
        <w:rPr>
          <w:rFonts w:ascii="Calibri" w:hAnsi="Calibri" w:cs="Calibri"/>
          <w:color w:val="FF0000"/>
          <w:sz w:val="22"/>
          <w:lang w:val="en-US" w:eastAsia="x-none"/>
        </w:rPr>
        <w:t>,</w:t>
      </w:r>
      <w:r w:rsidRPr="00B00E3D">
        <w:rPr>
          <w:rFonts w:ascii="Calibri" w:eastAsia="Batang" w:hAnsi="Calibri" w:cs="Calibri" w:hint="eastAsia"/>
          <w:sz w:val="22"/>
          <w:szCs w:val="24"/>
          <w:lang w:val="en-US" w:eastAsia="x-none"/>
        </w:rPr>
        <w:t xml:space="preserve"> applicable scenarios</w:t>
      </w:r>
      <w:r w:rsidR="00EB3C62">
        <w:rPr>
          <w:rFonts w:ascii="Calibri" w:eastAsia="Batang" w:hAnsi="Calibri" w:cs="Calibri"/>
          <w:sz w:val="22"/>
          <w:szCs w:val="24"/>
          <w:lang w:val="en-US" w:eastAsia="x-none"/>
        </w:rPr>
        <w:t xml:space="preserve"> </w:t>
      </w:r>
      <w:r w:rsidR="00EB3C62" w:rsidRPr="00EB3C62">
        <w:rPr>
          <w:rFonts w:ascii="Calibri" w:hAnsi="Calibri" w:cs="Calibri" w:hint="eastAsia"/>
          <w:color w:val="FF0000"/>
          <w:sz w:val="22"/>
          <w:lang w:val="en-US" w:eastAsia="x-none"/>
        </w:rPr>
        <w:t>(e.g., inside and outside a COT) and type(s) of SL transmission (e.g., PSSCH/PSCCH, PSFCH, S-SSB)</w:t>
      </w:r>
    </w:p>
    <w:p w14:paraId="5AF9068B" w14:textId="03EFDEA1" w:rsidR="008274D1" w:rsidRPr="008274D1" w:rsidRDefault="008274D1" w:rsidP="005647E4">
      <w:pPr>
        <w:pStyle w:val="0Maintext"/>
        <w:numPr>
          <w:ilvl w:val="2"/>
          <w:numId w:val="24"/>
        </w:numPr>
        <w:spacing w:after="120" w:afterAutospacing="0" w:line="240" w:lineRule="auto"/>
        <w:rPr>
          <w:rFonts w:ascii="Calibri" w:hAnsi="Calibri" w:cs="Calibri"/>
          <w:color w:val="FF0000"/>
          <w:sz w:val="22"/>
          <w:lang w:val="en-US" w:eastAsia="x-none"/>
        </w:rPr>
      </w:pPr>
      <w:r w:rsidRPr="008274D1">
        <w:rPr>
          <w:rFonts w:ascii="Calibri" w:eastAsia="Batang" w:hAnsi="Calibri" w:cs="Calibri"/>
          <w:color w:val="FF0000"/>
          <w:sz w:val="22"/>
          <w:szCs w:val="24"/>
          <w:lang w:val="en-US" w:eastAsia="x-none"/>
        </w:rPr>
        <w:t xml:space="preserve">FFS </w:t>
      </w:r>
      <w:r>
        <w:rPr>
          <w:rFonts w:ascii="Calibri" w:eastAsia="Batang" w:hAnsi="Calibri" w:cs="Calibri"/>
          <w:color w:val="FF0000"/>
          <w:sz w:val="22"/>
          <w:szCs w:val="24"/>
          <w:lang w:val="en-US" w:eastAsia="x-none"/>
        </w:rPr>
        <w:t>whether the multiple CPE starting positions are based on transmission priority level (e.g., CAPC), random selection, or something else</w:t>
      </w:r>
    </w:p>
    <w:p w14:paraId="243C7E89" w14:textId="65973427" w:rsidR="008274D1" w:rsidRPr="008274D1" w:rsidRDefault="008274D1" w:rsidP="005647E4">
      <w:pPr>
        <w:pStyle w:val="0Maintext"/>
        <w:numPr>
          <w:ilvl w:val="0"/>
          <w:numId w:val="18"/>
        </w:numPr>
        <w:spacing w:after="120" w:afterAutospacing="0" w:line="240" w:lineRule="auto"/>
        <w:rPr>
          <w:rFonts w:ascii="Calibri" w:hAnsi="Calibri" w:cs="Calibri"/>
          <w:color w:val="FF0000"/>
          <w:sz w:val="22"/>
          <w:lang w:val="en-US" w:eastAsia="x-none"/>
        </w:rPr>
      </w:pPr>
      <w:r>
        <w:rPr>
          <w:rFonts w:ascii="Calibri" w:eastAsia="Batang" w:hAnsi="Calibri" w:cs="Calibri"/>
          <w:color w:val="FF0000"/>
          <w:sz w:val="22"/>
          <w:szCs w:val="24"/>
          <w:lang w:val="en-US" w:eastAsia="x-none"/>
        </w:rPr>
        <w:t>FFS for multi-consecutive slots transmission (MCSt) case</w:t>
      </w:r>
    </w:p>
    <w:p w14:paraId="3BB368EF" w14:textId="77777777" w:rsidR="0026302A" w:rsidRDefault="0026302A" w:rsidP="00FD61C8">
      <w:pPr>
        <w:autoSpaceDE w:val="0"/>
        <w:autoSpaceDN w:val="0"/>
        <w:spacing w:after="120"/>
        <w:jc w:val="both"/>
        <w:rPr>
          <w:rFonts w:ascii="Calibri" w:hAnsi="Calibri" w:cs="Calibri"/>
          <w:sz w:val="22"/>
        </w:rPr>
      </w:pPr>
    </w:p>
    <w:tbl>
      <w:tblPr>
        <w:tblStyle w:val="TableGrid"/>
        <w:tblW w:w="9631" w:type="dxa"/>
        <w:tblLayout w:type="fixed"/>
        <w:tblLook w:val="04A0" w:firstRow="1" w:lastRow="0" w:firstColumn="1" w:lastColumn="0" w:noHBand="0" w:noVBand="1"/>
      </w:tblPr>
      <w:tblGrid>
        <w:gridCol w:w="1555"/>
        <w:gridCol w:w="8076"/>
      </w:tblGrid>
      <w:tr w:rsidR="00962640" w14:paraId="0152914B" w14:textId="77777777" w:rsidTr="005A0613">
        <w:tc>
          <w:tcPr>
            <w:tcW w:w="1555" w:type="dxa"/>
          </w:tcPr>
          <w:p w14:paraId="777454C0" w14:textId="77777777" w:rsidR="00962640" w:rsidRDefault="00962640" w:rsidP="006B2419">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8076" w:type="dxa"/>
          </w:tcPr>
          <w:p w14:paraId="44E431AD" w14:textId="77777777" w:rsidR="00962640" w:rsidRDefault="00962640" w:rsidP="006B2419">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961C87" w14:paraId="0D74B4C4" w14:textId="77777777" w:rsidTr="005A0613">
        <w:tc>
          <w:tcPr>
            <w:tcW w:w="1555" w:type="dxa"/>
          </w:tcPr>
          <w:p w14:paraId="579C9CBF" w14:textId="77F2D6F9" w:rsidR="00961C87" w:rsidRDefault="00961C87" w:rsidP="00961C87">
            <w:pPr>
              <w:pStyle w:val="0Maintext"/>
              <w:spacing w:after="0" w:afterAutospacing="0"/>
              <w:ind w:firstLine="0"/>
            </w:pPr>
            <w:r>
              <w:rPr>
                <w:rFonts w:hint="eastAsia"/>
                <w:lang w:eastAsia="ko-KR"/>
              </w:rPr>
              <w:t>LGE</w:t>
            </w:r>
          </w:p>
        </w:tc>
        <w:tc>
          <w:tcPr>
            <w:tcW w:w="8076" w:type="dxa"/>
          </w:tcPr>
          <w:p w14:paraId="3A2E09CA" w14:textId="77777777" w:rsidR="00961C87" w:rsidRDefault="00961C87" w:rsidP="00961C87">
            <w:pPr>
              <w:pStyle w:val="0Maintext"/>
              <w:spacing w:after="0" w:afterAutospacing="0"/>
              <w:ind w:firstLine="0"/>
              <w:rPr>
                <w:lang w:eastAsia="ko-KR"/>
              </w:rPr>
            </w:pPr>
            <w:r>
              <w:rPr>
                <w:rFonts w:hint="eastAsia"/>
                <w:lang w:eastAsia="ko-KR"/>
              </w:rPr>
              <w:t xml:space="preserve">We do not need to have multiple CPE part in this stage. </w:t>
            </w:r>
          </w:p>
          <w:p w14:paraId="133A63A0" w14:textId="77777777" w:rsidR="00961C87" w:rsidRDefault="00961C87" w:rsidP="00961C87">
            <w:pPr>
              <w:pStyle w:val="0Maintext"/>
              <w:spacing w:after="0" w:afterAutospacing="0"/>
              <w:ind w:firstLine="0"/>
              <w:rPr>
                <w:lang w:eastAsia="ko-KR"/>
              </w:rPr>
            </w:pPr>
          </w:p>
          <w:p w14:paraId="75565E83" w14:textId="420CB16A" w:rsidR="00961C87" w:rsidRDefault="00961C87" w:rsidP="00961C87">
            <w:pPr>
              <w:pStyle w:val="0Maintext"/>
              <w:spacing w:after="0" w:afterAutospacing="0"/>
              <w:ind w:firstLine="0"/>
            </w:pPr>
            <w:r>
              <w:rPr>
                <w:lang w:eastAsia="ko-KR"/>
              </w:rPr>
              <w:t xml:space="preserve">In NR-U, since gNB controls UL resources (including configured grant and dynamic grant), there is no case where full RB is overlapping with partial RB. On the other hand, in SL, since a large number of UEs will operate in distributed manner, it is always not possible to avoid overlapping between full RB transmission and partial RB transmission with different assumption on CPE length selection. It will make more completed and inefficient situation. Moreover, in SL, since all the UL will provide its reserved resource information, some resource collisions are already handled. Even for initial transmission, </w:t>
            </w:r>
          </w:p>
        </w:tc>
      </w:tr>
      <w:tr w:rsidR="00201A4C" w14:paraId="79C45CCD" w14:textId="77777777" w:rsidTr="005A0613">
        <w:tc>
          <w:tcPr>
            <w:tcW w:w="1555" w:type="dxa"/>
          </w:tcPr>
          <w:p w14:paraId="6AE06DD1" w14:textId="4355763E" w:rsidR="00201A4C" w:rsidRDefault="00201A4C" w:rsidP="00201A4C">
            <w:pPr>
              <w:pStyle w:val="0Maintext"/>
              <w:spacing w:after="0" w:afterAutospacing="0"/>
              <w:ind w:firstLine="0"/>
            </w:pPr>
            <w:r>
              <w:rPr>
                <w:rFonts w:eastAsiaTheme="minorEastAsia" w:hint="eastAsia"/>
                <w:lang w:eastAsia="zh-CN"/>
              </w:rPr>
              <w:t>O</w:t>
            </w:r>
            <w:r>
              <w:rPr>
                <w:rFonts w:eastAsiaTheme="minorEastAsia"/>
                <w:lang w:eastAsia="zh-CN"/>
              </w:rPr>
              <w:t>PPO</w:t>
            </w:r>
          </w:p>
        </w:tc>
        <w:tc>
          <w:tcPr>
            <w:tcW w:w="8076" w:type="dxa"/>
          </w:tcPr>
          <w:p w14:paraId="3EE1DC11" w14:textId="40A5FB52" w:rsidR="00201A4C" w:rsidRDefault="00201A4C" w:rsidP="00201A4C">
            <w:pPr>
              <w:pStyle w:val="0Maintext"/>
              <w:spacing w:after="0" w:afterAutospacing="0"/>
              <w:ind w:firstLine="0"/>
            </w:pPr>
            <w:r>
              <w:rPr>
                <w:rFonts w:eastAsiaTheme="minorEastAsia"/>
                <w:lang w:eastAsia="zh-CN"/>
              </w:rPr>
              <w:t xml:space="preserve">Support. </w:t>
            </w:r>
          </w:p>
        </w:tc>
      </w:tr>
      <w:tr w:rsidR="00D6367A" w14:paraId="41126B59" w14:textId="77777777" w:rsidTr="005A0613">
        <w:tc>
          <w:tcPr>
            <w:tcW w:w="1555" w:type="dxa"/>
          </w:tcPr>
          <w:p w14:paraId="41AE18F1" w14:textId="0877F1D8" w:rsidR="00D6367A" w:rsidRDefault="00D6367A" w:rsidP="00D6367A">
            <w:pPr>
              <w:pStyle w:val="0Maintext"/>
              <w:spacing w:after="0" w:afterAutospacing="0"/>
              <w:ind w:firstLine="0"/>
            </w:pPr>
            <w:r w:rsidRPr="001456A8">
              <w:t>DCM</w:t>
            </w:r>
          </w:p>
        </w:tc>
        <w:tc>
          <w:tcPr>
            <w:tcW w:w="8076" w:type="dxa"/>
          </w:tcPr>
          <w:p w14:paraId="4EFFA965" w14:textId="7C859E91" w:rsidR="00D6367A" w:rsidRDefault="00D6367A" w:rsidP="00D6367A">
            <w:pPr>
              <w:pStyle w:val="0Maintext"/>
              <w:spacing w:after="0" w:afterAutospacing="0"/>
              <w:ind w:firstLine="0"/>
            </w:pPr>
            <w:r w:rsidRPr="001456A8">
              <w:t>Not support multiple CPE starting positions. The motivation is mentioned as ‘beneficial for collision avoidance’, but it is already achieved by reservation mechanism and IUC. Why further collision avoidance is necessary in this topic is quite unclear. For us, the proposal is a kind of over-performance.</w:t>
            </w:r>
          </w:p>
        </w:tc>
      </w:tr>
      <w:tr w:rsidR="009F0301" w14:paraId="5734BA2E" w14:textId="77777777" w:rsidTr="005A0613">
        <w:tc>
          <w:tcPr>
            <w:tcW w:w="1555" w:type="dxa"/>
          </w:tcPr>
          <w:p w14:paraId="3E414262" w14:textId="325CA8C6" w:rsidR="009F0301" w:rsidRDefault="009F0301" w:rsidP="009F0301">
            <w:pPr>
              <w:pStyle w:val="0Maintext"/>
              <w:spacing w:after="0" w:afterAutospacing="0"/>
              <w:ind w:firstLine="0"/>
            </w:pPr>
            <w:r>
              <w:rPr>
                <w:rFonts w:eastAsiaTheme="minorEastAsia" w:hint="eastAsia"/>
                <w:lang w:eastAsia="zh-CN"/>
              </w:rPr>
              <w:t>F</w:t>
            </w:r>
            <w:r>
              <w:rPr>
                <w:rFonts w:eastAsiaTheme="minorEastAsia"/>
                <w:lang w:eastAsia="zh-CN"/>
              </w:rPr>
              <w:t>ujitsu</w:t>
            </w:r>
          </w:p>
        </w:tc>
        <w:tc>
          <w:tcPr>
            <w:tcW w:w="8076" w:type="dxa"/>
          </w:tcPr>
          <w:p w14:paraId="689C8204" w14:textId="27C392CA" w:rsidR="009F0301" w:rsidRDefault="009F0301" w:rsidP="009F0301">
            <w:pPr>
              <w:pStyle w:val="0Maintext"/>
              <w:spacing w:after="0" w:afterAutospacing="0"/>
              <w:ind w:firstLine="0"/>
            </w:pPr>
            <w:r>
              <w:rPr>
                <w:rFonts w:eastAsiaTheme="minorEastAsia" w:hint="eastAsia"/>
                <w:lang w:eastAsia="zh-CN"/>
              </w:rPr>
              <w:t>W</w:t>
            </w:r>
            <w:r>
              <w:rPr>
                <w:rFonts w:eastAsiaTheme="minorEastAsia"/>
                <w:lang w:eastAsia="zh-CN"/>
              </w:rPr>
              <w:t xml:space="preserve">e are fine with the proposal. </w:t>
            </w:r>
          </w:p>
        </w:tc>
      </w:tr>
      <w:tr w:rsidR="00B91A1D" w14:paraId="6836439D" w14:textId="77777777" w:rsidTr="005A0613">
        <w:tc>
          <w:tcPr>
            <w:tcW w:w="1555" w:type="dxa"/>
          </w:tcPr>
          <w:p w14:paraId="1D567513" w14:textId="25EF0C26" w:rsidR="00B91A1D" w:rsidRDefault="00B91A1D" w:rsidP="00B91A1D">
            <w:pPr>
              <w:pStyle w:val="0Maintext"/>
              <w:spacing w:after="0" w:afterAutospacing="0"/>
              <w:ind w:firstLine="0"/>
            </w:pPr>
            <w:r>
              <w:rPr>
                <w:rFonts w:eastAsiaTheme="minorEastAsia" w:hint="eastAsia"/>
                <w:lang w:eastAsia="zh-CN"/>
              </w:rPr>
              <w:t>C</w:t>
            </w:r>
            <w:r>
              <w:rPr>
                <w:rFonts w:eastAsiaTheme="minorEastAsia"/>
                <w:lang w:eastAsia="zh-CN"/>
              </w:rPr>
              <w:t>MCC</w:t>
            </w:r>
          </w:p>
        </w:tc>
        <w:tc>
          <w:tcPr>
            <w:tcW w:w="8076" w:type="dxa"/>
          </w:tcPr>
          <w:p w14:paraId="18D616D2" w14:textId="5EB1DFA0" w:rsidR="00B91A1D" w:rsidRDefault="00B91A1D" w:rsidP="00B91A1D">
            <w:pPr>
              <w:pStyle w:val="0Maintext"/>
              <w:spacing w:after="0" w:afterAutospacing="0"/>
              <w:ind w:firstLine="0"/>
            </w:pPr>
            <w:r>
              <w:rPr>
                <w:rFonts w:eastAsiaTheme="minorEastAsia"/>
                <w:lang w:eastAsia="zh-CN"/>
              </w:rPr>
              <w:t>We support this proposal.</w:t>
            </w:r>
          </w:p>
        </w:tc>
      </w:tr>
      <w:tr w:rsidR="009A6BDC" w14:paraId="1987CD1A" w14:textId="77777777" w:rsidTr="005A0613">
        <w:tc>
          <w:tcPr>
            <w:tcW w:w="1555" w:type="dxa"/>
          </w:tcPr>
          <w:p w14:paraId="605F3D7B" w14:textId="2147D02E" w:rsidR="009A6BDC" w:rsidRDefault="009A6BDC" w:rsidP="009A6BDC">
            <w:pPr>
              <w:pStyle w:val="0Maintext"/>
              <w:spacing w:after="0" w:afterAutospacing="0"/>
              <w:ind w:firstLine="0"/>
              <w:rPr>
                <w:rFonts w:eastAsiaTheme="minorEastAsia"/>
                <w:lang w:eastAsia="zh-CN"/>
              </w:rPr>
            </w:pPr>
            <w:r>
              <w:rPr>
                <w:rFonts w:eastAsiaTheme="minorEastAsia"/>
                <w:lang w:eastAsia="zh-CN"/>
              </w:rPr>
              <w:t>Vivo</w:t>
            </w:r>
          </w:p>
        </w:tc>
        <w:tc>
          <w:tcPr>
            <w:tcW w:w="8076" w:type="dxa"/>
          </w:tcPr>
          <w:p w14:paraId="5B0A3992" w14:textId="77777777" w:rsidR="009A6BDC" w:rsidRDefault="009A6BDC" w:rsidP="009A6BDC">
            <w:pPr>
              <w:pStyle w:val="0Maintext"/>
              <w:spacing w:after="0" w:afterAutospacing="0"/>
              <w:ind w:firstLine="0"/>
              <w:rPr>
                <w:rFonts w:eastAsiaTheme="minorEastAsia"/>
                <w:lang w:eastAsia="zh-CN"/>
              </w:rPr>
            </w:pPr>
            <w:r>
              <w:rPr>
                <w:rFonts w:eastAsiaTheme="minorEastAsia"/>
                <w:lang w:eastAsia="zh-CN"/>
              </w:rPr>
              <w:t>Use CPE to fill the gap is an important motivation, for multi-consecutive slots transmission, the CPE length can be determined based on the end of the prior PSSCH, also for COT sharing case, CPE length can be determined based on the end of PSSCH of the COT initiating UE. So, let us add COT sharing as FFS case as well.</w:t>
            </w:r>
          </w:p>
          <w:p w14:paraId="324F6D1B" w14:textId="77777777" w:rsidR="009A6BDC" w:rsidRPr="008274D1" w:rsidRDefault="009A6BDC" w:rsidP="009A6BDC">
            <w:pPr>
              <w:pStyle w:val="0Maintext"/>
              <w:numPr>
                <w:ilvl w:val="0"/>
                <w:numId w:val="18"/>
              </w:numPr>
              <w:spacing w:after="120" w:afterAutospacing="0" w:line="240" w:lineRule="auto"/>
              <w:rPr>
                <w:rFonts w:ascii="Calibri" w:hAnsi="Calibri" w:cs="Calibri"/>
                <w:color w:val="FF0000"/>
                <w:sz w:val="22"/>
                <w:lang w:val="en-US" w:eastAsia="x-none"/>
              </w:rPr>
            </w:pPr>
            <w:r>
              <w:rPr>
                <w:rFonts w:ascii="Calibri" w:eastAsia="Batang" w:hAnsi="Calibri" w:cs="Calibri"/>
                <w:color w:val="FF0000"/>
                <w:sz w:val="22"/>
                <w:szCs w:val="24"/>
                <w:lang w:val="en-US" w:eastAsia="x-none"/>
              </w:rPr>
              <w:t xml:space="preserve">FFS for multi-consecutive slots transmission (MCSt) case and </w:t>
            </w:r>
            <w:r w:rsidRPr="00121C34">
              <w:rPr>
                <w:rFonts w:ascii="Calibri" w:eastAsia="Batang" w:hAnsi="Calibri" w:cs="Calibri"/>
                <w:color w:val="FF0000"/>
                <w:sz w:val="22"/>
                <w:szCs w:val="24"/>
                <w:highlight w:val="yellow"/>
                <w:lang w:val="en-US" w:eastAsia="x-none"/>
              </w:rPr>
              <w:t>COT sharing case</w:t>
            </w:r>
          </w:p>
          <w:p w14:paraId="2C198132" w14:textId="77777777" w:rsidR="009A6BDC" w:rsidRDefault="009A6BDC" w:rsidP="009A6BDC">
            <w:pPr>
              <w:pStyle w:val="0Maintext"/>
              <w:spacing w:after="0" w:afterAutospacing="0"/>
              <w:ind w:firstLine="0"/>
              <w:rPr>
                <w:rFonts w:eastAsiaTheme="minorEastAsia"/>
                <w:lang w:val="en-US" w:eastAsia="zh-CN"/>
              </w:rPr>
            </w:pPr>
          </w:p>
          <w:p w14:paraId="40C67BCA" w14:textId="697E3394" w:rsidR="009A6BDC" w:rsidRDefault="009A6BDC" w:rsidP="009A6BDC">
            <w:pPr>
              <w:pStyle w:val="0Maintext"/>
              <w:spacing w:after="0" w:afterAutospacing="0"/>
              <w:ind w:firstLine="0"/>
              <w:rPr>
                <w:rFonts w:eastAsiaTheme="minorEastAsia"/>
                <w:lang w:eastAsia="zh-CN"/>
              </w:rPr>
            </w:pPr>
            <w:r>
              <w:rPr>
                <w:rFonts w:eastAsiaTheme="minorEastAsia"/>
                <w:lang w:val="en-US" w:eastAsia="zh-CN"/>
              </w:rPr>
              <w:t xml:space="preserve">Regarding the multiple CPE, if we associate the use of multiple CPE length with whether partial RB set or full RB set is transmitted or not, we fear that the high priority partial RB set transmission may be blocked by low priority full RB set transmission. So, if multiple CPE length is to be supported, the feature is not associated with partial/full RB set transmission, we prefer to restrict the feature to the pool where only TDMed transmission is allowed for a RB set. </w:t>
            </w:r>
          </w:p>
        </w:tc>
      </w:tr>
      <w:tr w:rsidR="00C55F84" w14:paraId="0AF7E601" w14:textId="77777777" w:rsidTr="005A0613">
        <w:tc>
          <w:tcPr>
            <w:tcW w:w="1555" w:type="dxa"/>
          </w:tcPr>
          <w:p w14:paraId="7481E0FE" w14:textId="6A610F5A" w:rsidR="00C55F84" w:rsidRDefault="00C55F84" w:rsidP="009A6BDC">
            <w:pPr>
              <w:pStyle w:val="0Maintext"/>
              <w:spacing w:after="0" w:afterAutospacing="0"/>
              <w:ind w:firstLine="0"/>
              <w:rPr>
                <w:rFonts w:eastAsiaTheme="minorEastAsia"/>
                <w:lang w:eastAsia="zh-CN"/>
              </w:rPr>
            </w:pPr>
            <w:r>
              <w:rPr>
                <w:rFonts w:eastAsiaTheme="minorEastAsia" w:hint="eastAsia"/>
                <w:lang w:eastAsia="zh-CN"/>
              </w:rPr>
              <w:t>Sharp</w:t>
            </w:r>
          </w:p>
        </w:tc>
        <w:tc>
          <w:tcPr>
            <w:tcW w:w="8076" w:type="dxa"/>
          </w:tcPr>
          <w:p w14:paraId="35A1604B" w14:textId="01E19F33" w:rsidR="00C55F84" w:rsidRDefault="00C55F84" w:rsidP="009A6BDC">
            <w:pPr>
              <w:pStyle w:val="0Maintext"/>
              <w:spacing w:after="0" w:afterAutospacing="0"/>
              <w:ind w:firstLine="0"/>
              <w:rPr>
                <w:rFonts w:eastAsiaTheme="minorEastAsia"/>
                <w:lang w:eastAsia="zh-CN"/>
              </w:rPr>
            </w:pPr>
            <w:r>
              <w:rPr>
                <w:rFonts w:eastAsiaTheme="minorEastAsia" w:hint="eastAsia"/>
                <w:lang w:eastAsia="zh-CN"/>
              </w:rPr>
              <w:t>We share LGE</w:t>
            </w:r>
            <w:r>
              <w:rPr>
                <w:rFonts w:eastAsiaTheme="minorEastAsia"/>
                <w:lang w:eastAsia="zh-CN"/>
              </w:rPr>
              <w:t>’</w:t>
            </w:r>
            <w:r>
              <w:rPr>
                <w:rFonts w:eastAsiaTheme="minorEastAsia" w:hint="eastAsia"/>
                <w:lang w:eastAsia="zh-CN"/>
              </w:rPr>
              <w:t>s view on multiple CPE starting positions.</w:t>
            </w:r>
          </w:p>
        </w:tc>
      </w:tr>
      <w:tr w:rsidR="001E5BBA" w14:paraId="3CC5DBDB" w14:textId="77777777" w:rsidTr="005A0613">
        <w:tc>
          <w:tcPr>
            <w:tcW w:w="1555" w:type="dxa"/>
          </w:tcPr>
          <w:p w14:paraId="2293F97A" w14:textId="5164A8D1" w:rsidR="001E5BBA" w:rsidRDefault="001E5BBA" w:rsidP="001E5BBA">
            <w:pPr>
              <w:pStyle w:val="0Maintext"/>
              <w:spacing w:after="0" w:afterAutospacing="0"/>
              <w:ind w:firstLine="0"/>
              <w:rPr>
                <w:rFonts w:eastAsiaTheme="minorEastAsia"/>
                <w:lang w:eastAsia="zh-CN"/>
              </w:rPr>
            </w:pPr>
            <w:r>
              <w:rPr>
                <w:rFonts w:eastAsiaTheme="minorEastAsia"/>
                <w:lang w:eastAsia="zh-CN"/>
              </w:rPr>
              <w:t>Lenovo</w:t>
            </w:r>
          </w:p>
        </w:tc>
        <w:tc>
          <w:tcPr>
            <w:tcW w:w="8076" w:type="dxa"/>
          </w:tcPr>
          <w:p w14:paraId="1DAD38DD" w14:textId="77777777" w:rsidR="001E5BBA" w:rsidRDefault="001E5BBA" w:rsidP="001E5BBA">
            <w:pPr>
              <w:pStyle w:val="0Maintext"/>
              <w:spacing w:after="0" w:afterAutospacing="0"/>
              <w:ind w:firstLine="0"/>
              <w:rPr>
                <w:rFonts w:eastAsiaTheme="minorEastAsia"/>
                <w:lang w:eastAsia="zh-CN"/>
              </w:rPr>
            </w:pPr>
            <w:r>
              <w:rPr>
                <w:rFonts w:eastAsiaTheme="minorEastAsia"/>
                <w:lang w:eastAsia="zh-CN"/>
              </w:rPr>
              <w:t>Generally supportive.</w:t>
            </w:r>
          </w:p>
          <w:p w14:paraId="196B2F15" w14:textId="77777777" w:rsidR="001E5BBA" w:rsidRDefault="001E5BBA" w:rsidP="001E5BBA">
            <w:pPr>
              <w:pStyle w:val="0Maintext"/>
              <w:spacing w:after="0" w:afterAutospacing="0"/>
              <w:ind w:firstLine="0"/>
              <w:rPr>
                <w:rFonts w:eastAsiaTheme="minorEastAsia"/>
                <w:lang w:eastAsia="zh-CN"/>
              </w:rPr>
            </w:pPr>
            <w:r>
              <w:rPr>
                <w:rFonts w:eastAsiaTheme="minorEastAsia"/>
                <w:lang w:eastAsia="zh-CN"/>
              </w:rPr>
              <w:t>The starting CPE confinement sub-bullet literally doesn't say much now (the position is always confined within a symbol), we suggest to remove or or modify as follows:</w:t>
            </w:r>
          </w:p>
          <w:p w14:paraId="21D67EA9" w14:textId="3FFA0654" w:rsidR="001E5BBA" w:rsidRDefault="001E5BBA" w:rsidP="001E5BBA">
            <w:pPr>
              <w:pStyle w:val="0Maintext"/>
              <w:spacing w:after="0" w:afterAutospacing="0"/>
              <w:ind w:firstLine="0"/>
              <w:rPr>
                <w:rFonts w:eastAsiaTheme="minorEastAsia"/>
                <w:lang w:eastAsia="zh-CN"/>
              </w:rPr>
            </w:pPr>
            <w:r w:rsidRPr="00C53970">
              <w:rPr>
                <w:rFonts w:ascii="Calibri" w:hAnsi="Calibri" w:cs="Calibri" w:hint="eastAsia"/>
                <w:szCs w:val="16"/>
                <w:lang w:val="en-US" w:eastAsia="x-none"/>
              </w:rPr>
              <w:t xml:space="preserve">FFS the CPE </w:t>
            </w:r>
            <w:del w:id="111" w:author="Alexander Golitschek" w:date="2022-10-13T10:44:00Z">
              <w:r w:rsidRPr="00C53970" w:rsidDel="00F95504">
                <w:rPr>
                  <w:rFonts w:ascii="Calibri" w:hAnsi="Calibri" w:cs="Calibri" w:hint="eastAsia"/>
                  <w:szCs w:val="16"/>
                  <w:lang w:val="en-US" w:eastAsia="x-none"/>
                </w:rPr>
                <w:delText xml:space="preserve">starting position is always confined within </w:delText>
              </w:r>
              <w:r w:rsidRPr="00C53970" w:rsidDel="00F95504">
                <w:rPr>
                  <w:rFonts w:ascii="Calibri" w:hAnsi="Calibri" w:cs="Calibri"/>
                  <w:color w:val="FF0000"/>
                  <w:szCs w:val="16"/>
                  <w:lang w:val="en-US" w:eastAsia="x-none"/>
                </w:rPr>
                <w:delText>a</w:delText>
              </w:r>
              <w:r w:rsidRPr="00C53970" w:rsidDel="00F95504">
                <w:rPr>
                  <w:rFonts w:ascii="Calibri" w:hAnsi="Calibri" w:cs="Calibri" w:hint="eastAsia"/>
                  <w:szCs w:val="16"/>
                  <w:lang w:val="en-US" w:eastAsia="x-none"/>
                </w:rPr>
                <w:delText xml:space="preserve"> symbol</w:delText>
              </w:r>
            </w:del>
            <w:ins w:id="112" w:author="Alexander Golitschek" w:date="2022-10-13T10:44:00Z">
              <w:r>
                <w:rPr>
                  <w:rFonts w:ascii="Calibri" w:hAnsi="Calibri" w:cs="Calibri"/>
                  <w:szCs w:val="16"/>
                  <w:lang w:val="en-US" w:eastAsia="x-none"/>
                </w:rPr>
                <w:t>extends the transmission by at most 1 symbol.</w:t>
              </w:r>
            </w:ins>
          </w:p>
        </w:tc>
      </w:tr>
      <w:tr w:rsidR="00650E3B" w14:paraId="1D51F590" w14:textId="77777777" w:rsidTr="005A0613">
        <w:tc>
          <w:tcPr>
            <w:tcW w:w="1555" w:type="dxa"/>
          </w:tcPr>
          <w:p w14:paraId="68D430DE" w14:textId="77777777" w:rsidR="00650E3B" w:rsidRPr="005F4281" w:rsidRDefault="00650E3B" w:rsidP="000F6488">
            <w:pPr>
              <w:pStyle w:val="0Maintext"/>
              <w:spacing w:after="0" w:afterAutospacing="0"/>
              <w:ind w:firstLine="0"/>
              <w:rPr>
                <w:rFonts w:eastAsiaTheme="minorEastAsia"/>
                <w:lang w:eastAsia="zh-CN"/>
              </w:rPr>
            </w:pPr>
            <w:r>
              <w:rPr>
                <w:rFonts w:eastAsiaTheme="minorEastAsia" w:hint="eastAsia"/>
                <w:lang w:eastAsia="zh-CN"/>
              </w:rPr>
              <w:t>x</w:t>
            </w:r>
            <w:r>
              <w:rPr>
                <w:rFonts w:eastAsiaTheme="minorEastAsia"/>
                <w:lang w:eastAsia="zh-CN"/>
              </w:rPr>
              <w:t>iaomi</w:t>
            </w:r>
          </w:p>
        </w:tc>
        <w:tc>
          <w:tcPr>
            <w:tcW w:w="8076" w:type="dxa"/>
          </w:tcPr>
          <w:p w14:paraId="2F63A8DD" w14:textId="77777777" w:rsidR="00650E3B" w:rsidRPr="005F4281" w:rsidRDefault="00650E3B" w:rsidP="000F6488">
            <w:pPr>
              <w:pStyle w:val="0Maintext"/>
              <w:spacing w:after="0" w:afterAutospacing="0"/>
              <w:ind w:firstLine="0"/>
              <w:rPr>
                <w:rFonts w:eastAsiaTheme="minorEastAsia"/>
                <w:lang w:eastAsia="zh-CN"/>
              </w:rPr>
            </w:pPr>
            <w:r>
              <w:rPr>
                <w:rFonts w:eastAsiaTheme="minorEastAsia"/>
                <w:lang w:eastAsia="zh-CN"/>
              </w:rPr>
              <w:t>We support the FL’</w:t>
            </w:r>
            <w:r>
              <w:rPr>
                <w:rFonts w:eastAsiaTheme="minorEastAsia" w:hint="eastAsia"/>
                <w:lang w:eastAsia="zh-CN"/>
              </w:rPr>
              <w:t>s</w:t>
            </w:r>
            <w:r>
              <w:rPr>
                <w:rFonts w:eastAsiaTheme="minorEastAsia"/>
                <w:lang w:eastAsia="zh-CN"/>
              </w:rPr>
              <w:t xml:space="preserve"> proposal.</w:t>
            </w:r>
          </w:p>
        </w:tc>
      </w:tr>
      <w:tr w:rsidR="000279F7" w14:paraId="13A1EAFE" w14:textId="77777777" w:rsidTr="005A0613">
        <w:tc>
          <w:tcPr>
            <w:tcW w:w="1555" w:type="dxa"/>
          </w:tcPr>
          <w:p w14:paraId="236C5B5F" w14:textId="77777777" w:rsidR="000279F7" w:rsidRDefault="000279F7" w:rsidP="000F6488">
            <w:pPr>
              <w:pStyle w:val="0Maintext"/>
              <w:spacing w:after="0" w:afterAutospacing="0"/>
              <w:ind w:firstLine="0"/>
              <w:rPr>
                <w:rFonts w:eastAsiaTheme="minorEastAsia"/>
                <w:lang w:eastAsia="zh-CN"/>
              </w:rPr>
            </w:pPr>
            <w:r>
              <w:rPr>
                <w:rFonts w:eastAsiaTheme="minorEastAsia" w:hint="eastAsia"/>
                <w:lang w:eastAsia="zh-CN"/>
              </w:rPr>
              <w:t>ZTE,Sanechips</w:t>
            </w:r>
          </w:p>
        </w:tc>
        <w:tc>
          <w:tcPr>
            <w:tcW w:w="8076" w:type="dxa"/>
          </w:tcPr>
          <w:p w14:paraId="0EFA08E2" w14:textId="77777777" w:rsidR="000279F7" w:rsidRDefault="000279F7" w:rsidP="000F6488">
            <w:pPr>
              <w:rPr>
                <w:rFonts w:eastAsiaTheme="minorEastAsia"/>
                <w:lang w:eastAsia="zh-CN"/>
              </w:rPr>
            </w:pPr>
            <w:r w:rsidRPr="007969EF">
              <w:rPr>
                <w:rFonts w:hint="eastAsia"/>
                <w:lang w:eastAsia="zh-CN"/>
              </w:rPr>
              <w:t>We have two com</w:t>
            </w:r>
            <w:r>
              <w:rPr>
                <w:rFonts w:eastAsiaTheme="minorEastAsia" w:hint="eastAsia"/>
                <w:lang w:eastAsia="zh-CN"/>
              </w:rPr>
              <w:t>ments:</w:t>
            </w:r>
          </w:p>
          <w:p w14:paraId="29337083" w14:textId="77777777" w:rsidR="000279F7" w:rsidRDefault="000279F7" w:rsidP="000F6488">
            <w:pPr>
              <w:rPr>
                <w:rFonts w:eastAsiaTheme="minorEastAsia"/>
                <w:lang w:eastAsia="zh-CN"/>
              </w:rPr>
            </w:pPr>
            <w:r>
              <w:rPr>
                <w:rFonts w:eastAsiaTheme="minorEastAsia" w:hint="eastAsia"/>
                <w:lang w:eastAsia="zh-CN"/>
              </w:rPr>
              <w:t xml:space="preserve">Comment #1 </w:t>
            </w:r>
          </w:p>
          <w:p w14:paraId="35702416" w14:textId="77777777" w:rsidR="000279F7" w:rsidRDefault="000279F7" w:rsidP="000F6488">
            <w:pPr>
              <w:rPr>
                <w:rFonts w:eastAsiaTheme="minorEastAsia"/>
                <w:lang w:eastAsia="zh-CN"/>
              </w:rPr>
            </w:pPr>
            <w:r>
              <w:rPr>
                <w:rFonts w:eastAsiaTheme="minorEastAsia" w:hint="eastAsia"/>
                <w:lang w:eastAsia="zh-CN"/>
              </w:rPr>
              <w:t>A same CPE starting position may be hard to guarantee considering different timing used by SL UEs, prefer to change it to 'common'</w:t>
            </w:r>
          </w:p>
          <w:p w14:paraId="2A25394F" w14:textId="77777777" w:rsidR="000279F7" w:rsidRDefault="000279F7" w:rsidP="000F6488">
            <w:pPr>
              <w:pStyle w:val="0Maintext"/>
              <w:numPr>
                <w:ilvl w:val="1"/>
                <w:numId w:val="24"/>
              </w:numPr>
              <w:spacing w:after="60" w:afterAutospacing="0" w:line="240" w:lineRule="auto"/>
              <w:rPr>
                <w:rFonts w:ascii="Calibri" w:hAnsi="Calibri" w:cs="Calibri"/>
                <w:sz w:val="22"/>
                <w:lang w:val="en-US"/>
              </w:rPr>
            </w:pPr>
            <w:r w:rsidRPr="00B00E3D">
              <w:rPr>
                <w:rFonts w:ascii="Calibri" w:hAnsi="Calibri" w:cs="Calibri" w:hint="eastAsia"/>
                <w:sz w:val="22"/>
                <w:lang w:val="en-US"/>
              </w:rPr>
              <w:t xml:space="preserve">A </w:t>
            </w:r>
            <w:r>
              <w:rPr>
                <w:rFonts w:ascii="Calibri" w:hAnsi="Calibri" w:cs="Calibri"/>
                <w:color w:val="FF0000"/>
                <w:sz w:val="22"/>
                <w:lang w:val="en-US"/>
              </w:rPr>
              <w:t>common</w:t>
            </w:r>
            <w:r w:rsidRPr="005647E4">
              <w:rPr>
                <w:rFonts w:ascii="Calibri" w:hAnsi="Calibri" w:cs="Calibri"/>
                <w:color w:val="FF0000"/>
                <w:sz w:val="22"/>
                <w:lang w:val="en-US"/>
              </w:rPr>
              <w:t xml:space="preserve"> </w:t>
            </w:r>
            <w:r w:rsidRPr="00B00E3D">
              <w:rPr>
                <w:rFonts w:ascii="Calibri" w:hAnsi="Calibri" w:cs="Calibri" w:hint="eastAsia"/>
                <w:sz w:val="22"/>
                <w:lang w:val="en-US"/>
              </w:rPr>
              <w:t xml:space="preserve">CPE starting position </w:t>
            </w:r>
            <w:r w:rsidRPr="00156029">
              <w:rPr>
                <w:rFonts w:ascii="Calibri" w:hAnsi="Calibri" w:cs="Calibri"/>
                <w:color w:val="FF0000"/>
                <w:sz w:val="22"/>
                <w:lang w:val="en-US"/>
              </w:rPr>
              <w:t>is supported</w:t>
            </w:r>
          </w:p>
          <w:p w14:paraId="711452F4" w14:textId="77777777" w:rsidR="000279F7" w:rsidRPr="00B00E3D" w:rsidRDefault="000279F7" w:rsidP="000F6488">
            <w:pPr>
              <w:pStyle w:val="0Maintext"/>
              <w:numPr>
                <w:ilvl w:val="2"/>
                <w:numId w:val="24"/>
              </w:numPr>
              <w:spacing w:after="60" w:afterAutospacing="0" w:line="240" w:lineRule="auto"/>
              <w:rPr>
                <w:rFonts w:ascii="Calibri" w:hAnsi="Calibri" w:cs="Calibri"/>
                <w:sz w:val="22"/>
                <w:lang w:val="en-US"/>
              </w:rPr>
            </w:pPr>
            <w:r w:rsidRPr="00156029">
              <w:rPr>
                <w:rFonts w:ascii="Calibri" w:hAnsi="Calibri" w:cs="Calibri"/>
                <w:color w:val="FF0000"/>
                <w:sz w:val="22"/>
                <w:lang w:val="en-US"/>
              </w:rPr>
              <w:t>FFS whether this applies to</w:t>
            </w:r>
            <w:r w:rsidRPr="00B00E3D">
              <w:rPr>
                <w:rFonts w:ascii="Calibri" w:hAnsi="Calibri" w:cs="Calibri" w:hint="eastAsia"/>
                <w:sz w:val="22"/>
                <w:lang w:val="en-US"/>
              </w:rPr>
              <w:t xml:space="preserve"> a SL transmission using fewer than all resource blocks of an RB set</w:t>
            </w:r>
          </w:p>
          <w:p w14:paraId="33BF50E1" w14:textId="77777777" w:rsidR="000279F7" w:rsidRPr="00B00E3D" w:rsidRDefault="000279F7" w:rsidP="000F6488">
            <w:pPr>
              <w:pStyle w:val="0Maintext"/>
              <w:numPr>
                <w:ilvl w:val="2"/>
                <w:numId w:val="24"/>
              </w:numPr>
              <w:spacing w:after="60" w:afterAutospacing="0" w:line="240" w:lineRule="auto"/>
              <w:rPr>
                <w:rFonts w:ascii="Calibri" w:hAnsi="Calibri" w:cs="Calibri"/>
                <w:sz w:val="22"/>
                <w:lang w:val="en-US"/>
              </w:rPr>
            </w:pPr>
            <w:r w:rsidRPr="00B00E3D">
              <w:rPr>
                <w:rFonts w:ascii="Calibri" w:hAnsi="Calibri" w:cs="Calibri" w:hint="eastAsia"/>
                <w:sz w:val="22"/>
                <w:lang w:val="en-US"/>
              </w:rPr>
              <w:lastRenderedPageBreak/>
              <w:t xml:space="preserve">FFS </w:t>
            </w:r>
            <w:r w:rsidRPr="005647E4">
              <w:rPr>
                <w:rFonts w:ascii="Calibri" w:hAnsi="Calibri" w:cs="Calibri"/>
                <w:color w:val="FF0000"/>
                <w:sz w:val="22"/>
                <w:lang w:val="en-US"/>
              </w:rPr>
              <w:t xml:space="preserve">other </w:t>
            </w:r>
            <w:r w:rsidRPr="00B00E3D">
              <w:rPr>
                <w:rFonts w:ascii="Calibri" w:hAnsi="Calibri" w:cs="Calibri" w:hint="eastAsia"/>
                <w:sz w:val="22"/>
                <w:lang w:val="en-US"/>
              </w:rPr>
              <w:t>details,</w:t>
            </w:r>
            <w:r w:rsidRPr="004B4A30">
              <w:rPr>
                <w:rFonts w:ascii="Calibri" w:hAnsi="Calibri" w:cs="Calibri" w:hint="eastAsia"/>
                <w:color w:val="FF0000"/>
                <w:sz w:val="22"/>
                <w:lang w:val="en-US"/>
              </w:rPr>
              <w:t xml:space="preserve"> </w:t>
            </w:r>
            <w:r w:rsidRPr="004B4A30">
              <w:rPr>
                <w:rFonts w:ascii="Calibri" w:hAnsi="Calibri" w:cs="Calibri"/>
                <w:color w:val="FF0000"/>
                <w:sz w:val="22"/>
                <w:lang w:val="en-US"/>
              </w:rPr>
              <w:t>method to achieve same CPE starting position,</w:t>
            </w:r>
            <w:r>
              <w:rPr>
                <w:rFonts w:ascii="Calibri" w:hAnsi="Calibri" w:cs="Calibri"/>
                <w:sz w:val="22"/>
                <w:lang w:val="en-US"/>
              </w:rPr>
              <w:t xml:space="preserve"> </w:t>
            </w:r>
            <w:r w:rsidRPr="00B00E3D">
              <w:rPr>
                <w:rFonts w:ascii="Calibri" w:hAnsi="Calibri" w:cs="Calibri" w:hint="eastAsia"/>
                <w:sz w:val="22"/>
                <w:lang w:val="en-US"/>
              </w:rPr>
              <w:t>applicable scenarios (e.g., inside and outside a COT) and type(s) of SL transmission (e.g., PSSCH/PSCCH, PSFCH, S-SSB)</w:t>
            </w:r>
          </w:p>
          <w:p w14:paraId="4D8E937E" w14:textId="77777777" w:rsidR="000279F7" w:rsidRDefault="000279F7" w:rsidP="000F6488">
            <w:pPr>
              <w:rPr>
                <w:rFonts w:eastAsiaTheme="minorEastAsia"/>
                <w:lang w:val="en-US" w:eastAsia="zh-CN"/>
              </w:rPr>
            </w:pPr>
          </w:p>
          <w:p w14:paraId="71BD14BF" w14:textId="77777777" w:rsidR="000279F7" w:rsidRDefault="000279F7" w:rsidP="000F6488">
            <w:pPr>
              <w:rPr>
                <w:rFonts w:eastAsiaTheme="minorEastAsia"/>
                <w:lang w:val="en-US" w:eastAsia="zh-CN"/>
              </w:rPr>
            </w:pPr>
            <w:r>
              <w:rPr>
                <w:rFonts w:eastAsiaTheme="minorEastAsia" w:hint="eastAsia"/>
                <w:lang w:val="en-US" w:eastAsia="zh-CN"/>
              </w:rPr>
              <w:t xml:space="preserve">Comment#2 </w:t>
            </w:r>
          </w:p>
          <w:p w14:paraId="7DD1EAA1" w14:textId="77777777" w:rsidR="000279F7" w:rsidRDefault="000279F7" w:rsidP="000F6488">
            <w:pPr>
              <w:rPr>
                <w:rFonts w:eastAsiaTheme="minorEastAsia"/>
                <w:lang w:val="en-US" w:eastAsia="zh-CN"/>
              </w:rPr>
            </w:pPr>
            <w:r>
              <w:rPr>
                <w:rFonts w:eastAsiaTheme="minorEastAsia"/>
                <w:lang w:val="en-US" w:eastAsia="zh-CN"/>
              </w:rPr>
              <w:t xml:space="preserve">Multiple CPE starting positions can also be used to some of RBs within an RB set </w:t>
            </w:r>
            <w:r>
              <w:rPr>
                <w:rFonts w:eastAsiaTheme="minorEastAsia" w:hint="eastAsia"/>
                <w:lang w:val="en-US" w:eastAsia="zh-CN"/>
              </w:rPr>
              <w:t>and no inter-UE blocking issues would occur if the starting points are decoupled from priorities.</w:t>
            </w:r>
          </w:p>
          <w:p w14:paraId="79231D71" w14:textId="77777777" w:rsidR="000279F7" w:rsidRDefault="000279F7" w:rsidP="000F6488">
            <w:pPr>
              <w:pStyle w:val="0Maintext"/>
              <w:numPr>
                <w:ilvl w:val="1"/>
                <w:numId w:val="24"/>
              </w:numPr>
              <w:spacing w:after="60" w:afterAutospacing="0" w:line="240" w:lineRule="auto"/>
              <w:rPr>
                <w:rFonts w:ascii="Calibri" w:hAnsi="Calibri" w:cs="Calibri"/>
                <w:sz w:val="22"/>
                <w:lang w:val="en-US"/>
              </w:rPr>
            </w:pPr>
            <w:r w:rsidRPr="00B00E3D">
              <w:rPr>
                <w:rFonts w:ascii="Calibri" w:hAnsi="Calibri" w:cs="Calibri" w:hint="eastAsia"/>
                <w:sz w:val="22"/>
                <w:lang w:val="en-US"/>
              </w:rPr>
              <w:t>Multiple CPE starting positions is supported</w:t>
            </w:r>
          </w:p>
          <w:p w14:paraId="532D7B19" w14:textId="77777777" w:rsidR="000279F7" w:rsidRDefault="000279F7" w:rsidP="000F6488">
            <w:pPr>
              <w:pStyle w:val="0Maintext"/>
              <w:numPr>
                <w:ilvl w:val="2"/>
                <w:numId w:val="24"/>
              </w:numPr>
              <w:spacing w:after="60" w:afterAutospacing="0" w:line="240" w:lineRule="auto"/>
              <w:rPr>
                <w:rFonts w:ascii="Calibri" w:hAnsi="Calibri" w:cs="Calibri"/>
                <w:sz w:val="22"/>
                <w:lang w:val="en-US"/>
              </w:rPr>
            </w:pPr>
            <w:r w:rsidRPr="005647E4">
              <w:rPr>
                <w:rFonts w:ascii="Calibri" w:hAnsi="Calibri" w:cs="Calibri"/>
                <w:color w:val="FF0000"/>
                <w:sz w:val="22"/>
                <w:lang w:val="en-US"/>
              </w:rPr>
              <w:t xml:space="preserve">FFS whether this applies to </w:t>
            </w:r>
            <w:r w:rsidRPr="00B00E3D">
              <w:rPr>
                <w:rFonts w:ascii="Calibri" w:hAnsi="Calibri" w:cs="Calibri" w:hint="eastAsia"/>
                <w:sz w:val="22"/>
                <w:lang w:val="en-US"/>
              </w:rPr>
              <w:t xml:space="preserve">a SL transmission using all </w:t>
            </w:r>
            <w:r w:rsidRPr="007969EF">
              <w:rPr>
                <w:rFonts w:ascii="Calibri" w:eastAsiaTheme="minorEastAsia" w:hAnsi="Calibri" w:cs="Calibri" w:hint="eastAsia"/>
                <w:sz w:val="22"/>
                <w:highlight w:val="yellow"/>
                <w:lang w:val="en-US" w:eastAsia="zh-CN"/>
              </w:rPr>
              <w:t>or some</w:t>
            </w:r>
            <w:r>
              <w:rPr>
                <w:rFonts w:ascii="Calibri" w:eastAsiaTheme="minorEastAsia" w:hAnsi="Calibri" w:cs="Calibri" w:hint="eastAsia"/>
                <w:sz w:val="22"/>
                <w:lang w:val="en-US" w:eastAsia="zh-CN"/>
              </w:rPr>
              <w:t xml:space="preserve"> </w:t>
            </w:r>
            <w:r w:rsidRPr="00B00E3D">
              <w:rPr>
                <w:rFonts w:ascii="Calibri" w:hAnsi="Calibri" w:cs="Calibri" w:hint="eastAsia"/>
                <w:sz w:val="22"/>
                <w:lang w:val="en-US"/>
              </w:rPr>
              <w:t>resource blocks of one or more RB set(s)</w:t>
            </w:r>
          </w:p>
          <w:p w14:paraId="12D86273" w14:textId="77777777" w:rsidR="000279F7" w:rsidRPr="008274D1" w:rsidRDefault="000279F7" w:rsidP="000F6488">
            <w:pPr>
              <w:pStyle w:val="0Maintext"/>
              <w:numPr>
                <w:ilvl w:val="2"/>
                <w:numId w:val="24"/>
              </w:numPr>
              <w:spacing w:after="120" w:afterAutospacing="0" w:line="240" w:lineRule="auto"/>
              <w:rPr>
                <w:rFonts w:ascii="Calibri" w:hAnsi="Calibri" w:cs="Calibri"/>
                <w:sz w:val="22"/>
                <w:lang w:val="en-US"/>
              </w:rPr>
            </w:pPr>
            <w:r w:rsidRPr="00B00E3D">
              <w:rPr>
                <w:rFonts w:ascii="Calibri" w:eastAsia="Batang" w:hAnsi="Calibri" w:cs="Calibri" w:hint="eastAsia"/>
                <w:sz w:val="22"/>
                <w:szCs w:val="24"/>
                <w:lang w:val="en-US"/>
              </w:rPr>
              <w:t xml:space="preserve">FFS </w:t>
            </w:r>
            <w:r w:rsidRPr="005647E4">
              <w:rPr>
                <w:rFonts w:ascii="Calibri" w:eastAsia="Batang" w:hAnsi="Calibri" w:cs="Calibri"/>
                <w:color w:val="FF0000"/>
                <w:sz w:val="22"/>
                <w:szCs w:val="24"/>
                <w:lang w:val="en-US"/>
              </w:rPr>
              <w:t xml:space="preserve">other </w:t>
            </w:r>
            <w:r w:rsidRPr="00B00E3D">
              <w:rPr>
                <w:rFonts w:ascii="Calibri" w:eastAsia="Batang" w:hAnsi="Calibri" w:cs="Calibri" w:hint="eastAsia"/>
                <w:sz w:val="22"/>
                <w:szCs w:val="24"/>
                <w:lang w:val="en-US"/>
              </w:rPr>
              <w:t>details</w:t>
            </w:r>
            <w:r>
              <w:rPr>
                <w:rFonts w:ascii="Calibri" w:eastAsia="Batang" w:hAnsi="Calibri" w:cs="Calibri"/>
                <w:sz w:val="22"/>
                <w:szCs w:val="24"/>
                <w:lang w:val="en-US"/>
              </w:rPr>
              <w:t xml:space="preserve">, </w:t>
            </w:r>
            <w:r w:rsidRPr="004B4A30">
              <w:rPr>
                <w:rFonts w:ascii="Calibri" w:hAnsi="Calibri" w:cs="Calibri"/>
                <w:color w:val="FF0000"/>
                <w:sz w:val="22"/>
                <w:lang w:val="en-US"/>
              </w:rPr>
              <w:t xml:space="preserve">method to achieve </w:t>
            </w:r>
            <w:r>
              <w:rPr>
                <w:rFonts w:ascii="Calibri" w:hAnsi="Calibri" w:cs="Calibri"/>
                <w:color w:val="FF0000"/>
                <w:sz w:val="22"/>
                <w:lang w:val="en-US"/>
              </w:rPr>
              <w:t>multiple</w:t>
            </w:r>
            <w:r w:rsidRPr="004B4A30">
              <w:rPr>
                <w:rFonts w:ascii="Calibri" w:hAnsi="Calibri" w:cs="Calibri"/>
                <w:color w:val="FF0000"/>
                <w:sz w:val="22"/>
                <w:lang w:val="en-US"/>
              </w:rPr>
              <w:t xml:space="preserve"> CPE starting position</w:t>
            </w:r>
            <w:r>
              <w:rPr>
                <w:rFonts w:ascii="Calibri" w:hAnsi="Calibri" w:cs="Calibri"/>
                <w:color w:val="FF0000"/>
                <w:sz w:val="22"/>
                <w:lang w:val="en-US"/>
              </w:rPr>
              <w:t>s</w:t>
            </w:r>
            <w:r w:rsidRPr="004B4A30">
              <w:rPr>
                <w:rFonts w:ascii="Calibri" w:hAnsi="Calibri" w:cs="Calibri"/>
                <w:color w:val="FF0000"/>
                <w:sz w:val="22"/>
                <w:lang w:val="en-US"/>
              </w:rPr>
              <w:t>,</w:t>
            </w:r>
            <w:r w:rsidRPr="00B00E3D">
              <w:rPr>
                <w:rFonts w:ascii="Calibri" w:eastAsia="Batang" w:hAnsi="Calibri" w:cs="Calibri" w:hint="eastAsia"/>
                <w:sz w:val="22"/>
                <w:szCs w:val="24"/>
                <w:lang w:val="en-US"/>
              </w:rPr>
              <w:t xml:space="preserve"> applicable scenarios</w:t>
            </w:r>
            <w:r>
              <w:rPr>
                <w:rFonts w:ascii="Calibri" w:eastAsia="Batang" w:hAnsi="Calibri" w:cs="Calibri"/>
                <w:sz w:val="22"/>
                <w:szCs w:val="24"/>
                <w:lang w:val="en-US"/>
              </w:rPr>
              <w:t xml:space="preserve"> </w:t>
            </w:r>
            <w:r w:rsidRPr="00EB3C62">
              <w:rPr>
                <w:rFonts w:ascii="Calibri" w:hAnsi="Calibri" w:cs="Calibri" w:hint="eastAsia"/>
                <w:color w:val="FF0000"/>
                <w:sz w:val="22"/>
                <w:lang w:val="en-US"/>
              </w:rPr>
              <w:t>(e.g., inside and outside a COT) and type(s) of SL transmission (e.g., PSSCH/PSCCH, PSFCH, S-SSB)</w:t>
            </w:r>
          </w:p>
          <w:p w14:paraId="1130AE78" w14:textId="720F196F" w:rsidR="000279F7" w:rsidRPr="000279F7" w:rsidRDefault="000279F7" w:rsidP="000F6488">
            <w:pPr>
              <w:pStyle w:val="0Maintext"/>
              <w:numPr>
                <w:ilvl w:val="2"/>
                <w:numId w:val="24"/>
              </w:numPr>
              <w:spacing w:after="120" w:afterAutospacing="0" w:line="240" w:lineRule="auto"/>
              <w:rPr>
                <w:rFonts w:ascii="Calibri" w:hAnsi="Calibri" w:cs="Calibri"/>
                <w:color w:val="FF0000"/>
                <w:sz w:val="22"/>
                <w:lang w:val="en-US"/>
              </w:rPr>
            </w:pPr>
            <w:r w:rsidRPr="008274D1">
              <w:rPr>
                <w:rFonts w:ascii="Calibri" w:eastAsia="Batang" w:hAnsi="Calibri" w:cs="Calibri"/>
                <w:color w:val="FF0000"/>
                <w:sz w:val="22"/>
                <w:szCs w:val="24"/>
                <w:lang w:val="en-US"/>
              </w:rPr>
              <w:t xml:space="preserve">FFS </w:t>
            </w:r>
            <w:r>
              <w:rPr>
                <w:rFonts w:ascii="Calibri" w:eastAsia="Batang" w:hAnsi="Calibri" w:cs="Calibri"/>
                <w:color w:val="FF0000"/>
                <w:sz w:val="22"/>
                <w:szCs w:val="24"/>
                <w:lang w:val="en-US"/>
              </w:rPr>
              <w:t>whether the multiple CPE starting positions are based on transmission priority level (e.g., CAPC), random selection, or something else</w:t>
            </w:r>
          </w:p>
        </w:tc>
      </w:tr>
      <w:tr w:rsidR="000279F7" w14:paraId="5DAF84F8" w14:textId="77777777" w:rsidTr="005A0613">
        <w:tc>
          <w:tcPr>
            <w:tcW w:w="1555" w:type="dxa"/>
          </w:tcPr>
          <w:p w14:paraId="45C0CAFE" w14:textId="77777777" w:rsidR="000279F7" w:rsidRPr="00EE43DF" w:rsidRDefault="000279F7" w:rsidP="000F6488">
            <w:r w:rsidRPr="00EE43DF">
              <w:lastRenderedPageBreak/>
              <w:t>NEC</w:t>
            </w:r>
          </w:p>
        </w:tc>
        <w:tc>
          <w:tcPr>
            <w:tcW w:w="8076" w:type="dxa"/>
          </w:tcPr>
          <w:p w14:paraId="10385F5F" w14:textId="77777777" w:rsidR="000279F7" w:rsidRDefault="000279F7" w:rsidP="000F6488">
            <w:r w:rsidRPr="00EE43DF">
              <w:t>We are fine with the proposal.</w:t>
            </w:r>
          </w:p>
        </w:tc>
      </w:tr>
      <w:tr w:rsidR="00E41CC5" w14:paraId="22E6DD18" w14:textId="77777777" w:rsidTr="005A0613">
        <w:tc>
          <w:tcPr>
            <w:tcW w:w="1555" w:type="dxa"/>
          </w:tcPr>
          <w:p w14:paraId="01055160" w14:textId="1D22BD61" w:rsidR="00E41CC5" w:rsidRPr="00EE43DF" w:rsidRDefault="00E41CC5" w:rsidP="00E41CC5">
            <w:r>
              <w:rPr>
                <w:rFonts w:eastAsiaTheme="minorEastAsia"/>
                <w:lang w:eastAsia="zh-CN"/>
              </w:rPr>
              <w:t>Fraunhofer</w:t>
            </w:r>
          </w:p>
        </w:tc>
        <w:tc>
          <w:tcPr>
            <w:tcW w:w="8076" w:type="dxa"/>
          </w:tcPr>
          <w:p w14:paraId="440F8825" w14:textId="58C7F1B4" w:rsidR="00E41CC5" w:rsidRPr="00EE43DF" w:rsidRDefault="00E41CC5" w:rsidP="00E41CC5">
            <w:r>
              <w:rPr>
                <w:rFonts w:eastAsiaTheme="minorEastAsia"/>
                <w:lang w:eastAsia="zh-CN"/>
              </w:rPr>
              <w:t>We are supportive of the FL’s proposal.</w:t>
            </w:r>
          </w:p>
        </w:tc>
      </w:tr>
      <w:tr w:rsidR="005A0613" w14:paraId="017AA418" w14:textId="77777777" w:rsidTr="005A0613">
        <w:tc>
          <w:tcPr>
            <w:tcW w:w="1555" w:type="dxa"/>
          </w:tcPr>
          <w:p w14:paraId="2D8AD7F5" w14:textId="77777777" w:rsidR="005A0613" w:rsidRPr="00D6367A" w:rsidRDefault="005A0613" w:rsidP="000F6488">
            <w:pPr>
              <w:pStyle w:val="0Maintext"/>
              <w:spacing w:after="0" w:afterAutospacing="0"/>
              <w:ind w:firstLine="0"/>
            </w:pPr>
            <w:r>
              <w:rPr>
                <w:rFonts w:eastAsiaTheme="minorEastAsia"/>
                <w:lang w:eastAsia="zh-CN"/>
              </w:rPr>
              <w:t>Nokia, NSB</w:t>
            </w:r>
          </w:p>
        </w:tc>
        <w:tc>
          <w:tcPr>
            <w:tcW w:w="8076" w:type="dxa"/>
          </w:tcPr>
          <w:p w14:paraId="428B9FB4" w14:textId="77777777" w:rsidR="005A0613" w:rsidRDefault="005A0613" w:rsidP="000F6488">
            <w:pPr>
              <w:pStyle w:val="0Maintext"/>
              <w:spacing w:after="0" w:afterAutospacing="0"/>
              <w:ind w:firstLine="0"/>
            </w:pPr>
            <w:r>
              <w:t>We are ok with proposal.</w:t>
            </w:r>
          </w:p>
        </w:tc>
      </w:tr>
      <w:tr w:rsidR="001350F9" w14:paraId="5C46AB75" w14:textId="77777777" w:rsidTr="005A0613">
        <w:tc>
          <w:tcPr>
            <w:tcW w:w="1555" w:type="dxa"/>
          </w:tcPr>
          <w:p w14:paraId="00A630CA" w14:textId="4C5303E8" w:rsidR="001350F9" w:rsidRDefault="001350F9" w:rsidP="001350F9">
            <w:pPr>
              <w:pStyle w:val="0Maintext"/>
              <w:spacing w:after="0" w:afterAutospacing="0"/>
              <w:ind w:firstLine="0"/>
              <w:rPr>
                <w:rFonts w:eastAsiaTheme="minorEastAsia"/>
                <w:lang w:eastAsia="zh-CN"/>
              </w:rPr>
            </w:pPr>
            <w:r>
              <w:rPr>
                <w:rFonts w:eastAsiaTheme="minorEastAsia"/>
                <w:lang w:eastAsia="zh-CN"/>
              </w:rPr>
              <w:t>Intel</w:t>
            </w:r>
          </w:p>
        </w:tc>
        <w:tc>
          <w:tcPr>
            <w:tcW w:w="8076" w:type="dxa"/>
          </w:tcPr>
          <w:p w14:paraId="27C9B63F" w14:textId="20AC666A" w:rsidR="001350F9" w:rsidRDefault="001350F9" w:rsidP="001350F9">
            <w:pPr>
              <w:rPr>
                <w:rFonts w:eastAsiaTheme="minorEastAsia"/>
                <w:lang w:eastAsia="zh-CN"/>
              </w:rPr>
            </w:pPr>
            <w:r>
              <w:rPr>
                <w:rFonts w:eastAsiaTheme="minorEastAsia"/>
                <w:lang w:eastAsia="zh-CN"/>
              </w:rPr>
              <w:t xml:space="preserve">Many thanks for the FL’s effort to accommodate our comments. We are OK with the spirit of the proposal, but would prefer to change the term “common” with “single”. A ‘single’ CPE could be applied to multiple cases, e.g., </w:t>
            </w:r>
            <w:r w:rsidRPr="00C31A5C">
              <w:rPr>
                <w:rFonts w:eastAsiaTheme="minorEastAsia"/>
                <w:lang w:eastAsia="zh-CN"/>
              </w:rPr>
              <w:t>CPE used for mutual blocking for FDM</w:t>
            </w:r>
            <w:r>
              <w:rPr>
                <w:rFonts w:eastAsiaTheme="minorEastAsia"/>
                <w:lang w:eastAsia="zh-CN"/>
              </w:rPr>
              <w:t xml:space="preserve">, </w:t>
            </w:r>
            <w:r w:rsidRPr="00F13A42">
              <w:rPr>
                <w:rFonts w:eastAsiaTheme="minorEastAsia"/>
                <w:lang w:eastAsia="zh-CN"/>
              </w:rPr>
              <w:t>CPE used to fill fixed gaps (e..g, PSFCH)</w:t>
            </w:r>
            <w:r>
              <w:rPr>
                <w:rFonts w:eastAsiaTheme="minorEastAsia"/>
                <w:lang w:eastAsia="zh-CN"/>
              </w:rPr>
              <w:t xml:space="preserve"> and CPE used to fill gaps which may change (e.g., gap between transmissions from different UEs), and the CPE may actually not be ‘common’ for all of them, since the applicability and length may be different case by case</w:t>
            </w:r>
            <w:r w:rsidR="002F61A6">
              <w:rPr>
                <w:rFonts w:eastAsiaTheme="minorEastAsia"/>
                <w:lang w:eastAsia="zh-CN"/>
              </w:rPr>
              <w:t xml:space="preserve">, also its design principle may be different (e.g, in some cases </w:t>
            </w:r>
            <w:r w:rsidR="001005D5">
              <w:rPr>
                <w:rFonts w:eastAsiaTheme="minorEastAsia"/>
                <w:lang w:eastAsia="zh-CN"/>
              </w:rPr>
              <w:t>(pre-)configured, in others fixed or left up to UE’s implementation</w:t>
            </w:r>
            <w:r w:rsidR="002F61A6">
              <w:rPr>
                <w:rFonts w:eastAsiaTheme="minorEastAsia"/>
                <w:lang w:eastAsia="zh-CN"/>
              </w:rPr>
              <w:t>)</w:t>
            </w:r>
            <w:r>
              <w:rPr>
                <w:rFonts w:eastAsiaTheme="minorEastAsia"/>
                <w:lang w:eastAsia="zh-CN"/>
              </w:rPr>
              <w:t xml:space="preserve">. Therefore, we would prefer to change the text as follows: </w:t>
            </w:r>
          </w:p>
          <w:p w14:paraId="006155FF" w14:textId="77777777" w:rsidR="001350F9" w:rsidRPr="00BA5ADC" w:rsidRDefault="001350F9" w:rsidP="001350F9">
            <w:pPr>
              <w:rPr>
                <w:rFonts w:eastAsiaTheme="minorEastAsia"/>
                <w:lang w:eastAsia="zh-CN"/>
              </w:rPr>
            </w:pPr>
          </w:p>
          <w:p w14:paraId="02AA59E1" w14:textId="256EEF1C" w:rsidR="001350F9" w:rsidRPr="00126C60" w:rsidRDefault="001350F9" w:rsidP="00126C60">
            <w:pPr>
              <w:pStyle w:val="0Maintext"/>
              <w:numPr>
                <w:ilvl w:val="1"/>
                <w:numId w:val="24"/>
              </w:numPr>
              <w:spacing w:after="60" w:afterAutospacing="0" w:line="240" w:lineRule="auto"/>
              <w:rPr>
                <w:rFonts w:ascii="Calibri" w:hAnsi="Calibri" w:cs="Calibri"/>
                <w:sz w:val="22"/>
                <w:lang w:val="en-US" w:eastAsia="x-none"/>
              </w:rPr>
            </w:pPr>
            <w:r w:rsidRPr="00B00E3D">
              <w:rPr>
                <w:rFonts w:ascii="Calibri" w:hAnsi="Calibri" w:cs="Calibri" w:hint="eastAsia"/>
                <w:sz w:val="22"/>
                <w:lang w:val="en-US" w:eastAsia="x-none"/>
              </w:rPr>
              <w:t xml:space="preserve">A </w:t>
            </w:r>
            <w:r w:rsidRPr="00235D93">
              <w:rPr>
                <w:rFonts w:ascii="Calibri" w:hAnsi="Calibri" w:cs="Calibri"/>
                <w:strike/>
                <w:color w:val="FF0000"/>
                <w:sz w:val="22"/>
                <w:highlight w:val="yellow"/>
                <w:lang w:val="en-US" w:eastAsia="x-none"/>
              </w:rPr>
              <w:t>common</w:t>
            </w:r>
            <w:r w:rsidRPr="00235D93">
              <w:rPr>
                <w:rFonts w:ascii="Calibri" w:hAnsi="Calibri" w:cs="Calibri"/>
                <w:color w:val="FF0000"/>
                <w:sz w:val="22"/>
                <w:highlight w:val="yellow"/>
                <w:lang w:val="en-US" w:eastAsia="x-none"/>
              </w:rPr>
              <w:t xml:space="preserve"> single</w:t>
            </w:r>
            <w:r>
              <w:rPr>
                <w:rFonts w:ascii="Calibri" w:hAnsi="Calibri" w:cs="Calibri"/>
                <w:color w:val="FF0000"/>
                <w:sz w:val="22"/>
                <w:lang w:val="en-US" w:eastAsia="x-none"/>
              </w:rPr>
              <w:t xml:space="preserve"> </w:t>
            </w:r>
            <w:r w:rsidRPr="00B00E3D">
              <w:rPr>
                <w:rFonts w:ascii="Calibri" w:hAnsi="Calibri" w:cs="Calibri" w:hint="eastAsia"/>
                <w:sz w:val="22"/>
                <w:lang w:val="en-US" w:eastAsia="x-none"/>
              </w:rPr>
              <w:t xml:space="preserve">CPE starting position </w:t>
            </w:r>
            <w:r w:rsidRPr="00156029">
              <w:rPr>
                <w:rFonts w:ascii="Calibri" w:hAnsi="Calibri" w:cs="Calibri"/>
                <w:color w:val="FF0000"/>
                <w:sz w:val="22"/>
                <w:lang w:val="en-US" w:eastAsia="x-none"/>
              </w:rPr>
              <w:t>is supported</w:t>
            </w:r>
          </w:p>
        </w:tc>
      </w:tr>
      <w:tr w:rsidR="004744D6" w14:paraId="7EBA79D2" w14:textId="77777777" w:rsidTr="005A0613">
        <w:tc>
          <w:tcPr>
            <w:tcW w:w="1555" w:type="dxa"/>
          </w:tcPr>
          <w:p w14:paraId="3B3C9643" w14:textId="13B23377" w:rsidR="004744D6" w:rsidRDefault="004744D6" w:rsidP="004744D6">
            <w:pPr>
              <w:pStyle w:val="0Maintext"/>
              <w:spacing w:after="0" w:afterAutospacing="0"/>
              <w:ind w:firstLine="0"/>
              <w:rPr>
                <w:rFonts w:eastAsiaTheme="minorEastAsia"/>
                <w:lang w:eastAsia="zh-CN"/>
              </w:rPr>
            </w:pPr>
            <w:r>
              <w:rPr>
                <w:rFonts w:eastAsiaTheme="minorEastAsia"/>
                <w:lang w:eastAsia="zh-CN"/>
              </w:rPr>
              <w:t>InterDigital</w:t>
            </w:r>
          </w:p>
        </w:tc>
        <w:tc>
          <w:tcPr>
            <w:tcW w:w="8076" w:type="dxa"/>
          </w:tcPr>
          <w:p w14:paraId="1E5D5CB6" w14:textId="366D1DCB" w:rsidR="004744D6" w:rsidRDefault="004744D6" w:rsidP="004744D6">
            <w:pPr>
              <w:rPr>
                <w:rFonts w:eastAsiaTheme="minorEastAsia"/>
                <w:lang w:eastAsia="zh-CN"/>
              </w:rPr>
            </w:pPr>
            <w:r>
              <w:rPr>
                <w:rFonts w:eastAsiaTheme="minorEastAsia"/>
                <w:lang w:eastAsia="zh-CN"/>
              </w:rPr>
              <w:t>We support the proposal</w:t>
            </w:r>
          </w:p>
        </w:tc>
      </w:tr>
      <w:tr w:rsidR="000F7D1E" w14:paraId="3EBA1F63" w14:textId="77777777" w:rsidTr="005A0613">
        <w:tc>
          <w:tcPr>
            <w:tcW w:w="1555" w:type="dxa"/>
          </w:tcPr>
          <w:p w14:paraId="08EE3C91" w14:textId="17DEE153" w:rsidR="000F7D1E" w:rsidRDefault="00324753" w:rsidP="004744D6">
            <w:pPr>
              <w:pStyle w:val="0Maintext"/>
              <w:spacing w:after="0" w:afterAutospacing="0"/>
              <w:ind w:firstLine="0"/>
              <w:rPr>
                <w:rFonts w:eastAsiaTheme="minorEastAsia"/>
                <w:lang w:eastAsia="zh-CN"/>
              </w:rPr>
            </w:pPr>
            <w:r>
              <w:rPr>
                <w:rFonts w:eastAsiaTheme="minorEastAsia"/>
                <w:lang w:eastAsia="zh-CN"/>
              </w:rPr>
              <w:t>Qualcomm</w:t>
            </w:r>
          </w:p>
        </w:tc>
        <w:tc>
          <w:tcPr>
            <w:tcW w:w="8076" w:type="dxa"/>
          </w:tcPr>
          <w:p w14:paraId="313C9716" w14:textId="77777777" w:rsidR="00324753" w:rsidRDefault="00324753" w:rsidP="00324753">
            <w:pPr>
              <w:pStyle w:val="0Maintext"/>
              <w:spacing w:after="0" w:afterAutospacing="0"/>
              <w:ind w:firstLine="0"/>
              <w:rPr>
                <w:rFonts w:eastAsiaTheme="minorEastAsia"/>
                <w:b/>
                <w:bCs/>
                <w:lang w:eastAsia="zh-CN"/>
              </w:rPr>
            </w:pPr>
            <w:r w:rsidRPr="00B4370A">
              <w:rPr>
                <w:rFonts w:eastAsiaTheme="minorEastAsia"/>
                <w:b/>
                <w:bCs/>
                <w:lang w:eastAsia="zh-CN"/>
              </w:rPr>
              <w:t xml:space="preserve">We support the </w:t>
            </w:r>
            <w:r>
              <w:rPr>
                <w:rFonts w:eastAsiaTheme="minorEastAsia"/>
                <w:b/>
                <w:bCs/>
                <w:lang w:eastAsia="zh-CN"/>
              </w:rPr>
              <w:t xml:space="preserve">spirit of the </w:t>
            </w:r>
            <w:r w:rsidRPr="00B4370A">
              <w:rPr>
                <w:rFonts w:eastAsiaTheme="minorEastAsia"/>
                <w:b/>
                <w:bCs/>
                <w:lang w:eastAsia="zh-CN"/>
              </w:rPr>
              <w:t xml:space="preserve">FL proposal </w:t>
            </w:r>
            <w:r>
              <w:rPr>
                <w:rFonts w:eastAsiaTheme="minorEastAsia"/>
                <w:b/>
                <w:bCs/>
                <w:lang w:eastAsia="zh-CN"/>
              </w:rPr>
              <w:t>and we request some clarifications and propose some changes:</w:t>
            </w:r>
            <w:r w:rsidRPr="00B4370A">
              <w:rPr>
                <w:rFonts w:eastAsiaTheme="minorEastAsia"/>
                <w:b/>
                <w:bCs/>
                <w:lang w:eastAsia="zh-CN"/>
              </w:rPr>
              <w:t xml:space="preserve"> </w:t>
            </w:r>
          </w:p>
          <w:p w14:paraId="7C7CEBC6" w14:textId="77777777" w:rsidR="00324753" w:rsidRPr="00CE2A69" w:rsidRDefault="00324753">
            <w:pPr>
              <w:pStyle w:val="ListParagraph"/>
              <w:numPr>
                <w:ilvl w:val="0"/>
                <w:numId w:val="56"/>
              </w:numPr>
              <w:ind w:leftChars="0"/>
              <w:rPr>
                <w:rFonts w:ascii="Times New Roman" w:eastAsiaTheme="minorEastAsia" w:hAnsi="Times New Roman" w:cs="Batang"/>
                <w:szCs w:val="20"/>
                <w:lang w:eastAsia="zh-CN"/>
              </w:rPr>
            </w:pPr>
            <w:r w:rsidRPr="00816D45">
              <w:rPr>
                <w:rFonts w:eastAsiaTheme="minorEastAsia"/>
                <w:lang w:eastAsia="zh-CN"/>
              </w:rPr>
              <w:t>Unclear what is the intent of the FFS “</w:t>
            </w:r>
            <w:r w:rsidRPr="009E3FAA">
              <w:rPr>
                <w:rFonts w:ascii="Times New Roman" w:eastAsiaTheme="minorEastAsia" w:hAnsi="Times New Roman" w:cs="Batang"/>
                <w:i/>
                <w:iCs/>
                <w:color w:val="FF0000"/>
                <w:szCs w:val="20"/>
                <w:lang w:eastAsia="zh-CN"/>
              </w:rPr>
              <w:t>FFS the CPE starting position is always confined within a symbol</w:t>
            </w:r>
            <w:r w:rsidRPr="00816D45">
              <w:rPr>
                <w:rFonts w:eastAsiaTheme="minorEastAsia"/>
                <w:lang w:eastAsia="zh-CN"/>
              </w:rPr>
              <w:t xml:space="preserve">”. </w:t>
            </w:r>
            <w:r>
              <w:t xml:space="preserve">It seems clear to us that any CPE will be located in a symbol, but the duration can be more than a symbol. In NR-U CG-PUSCH design, the multiple CPE starting positions are speread in two 30 KHz symbols, which seems reasonable to us in the case for starting a COT. In a COT,(e.g. in a shared COT) rather, it does make sense to restrict CPEs in the gap symbol, to avoid overlap with transmissions on the COT. </w:t>
            </w:r>
            <w:r>
              <w:rPr>
                <w:b/>
                <w:bCs/>
              </w:rPr>
              <w:t xml:space="preserve">We propose to modify the first FFS as follows: </w:t>
            </w:r>
          </w:p>
          <w:p w14:paraId="5F6E0164" w14:textId="3CF136C5" w:rsidR="00324753" w:rsidRPr="00CE2A69" w:rsidRDefault="00324753">
            <w:pPr>
              <w:pStyle w:val="0Maintext"/>
              <w:numPr>
                <w:ilvl w:val="1"/>
                <w:numId w:val="56"/>
              </w:numPr>
              <w:spacing w:after="60" w:afterAutospacing="0" w:line="240" w:lineRule="auto"/>
              <w:rPr>
                <w:rFonts w:ascii="Calibri" w:hAnsi="Calibri" w:cs="Calibri"/>
                <w:sz w:val="22"/>
                <w:lang w:val="en-US" w:eastAsia="x-none"/>
              </w:rPr>
            </w:pPr>
            <w:r w:rsidRPr="00B00E3D">
              <w:rPr>
                <w:rFonts w:ascii="Calibri" w:hAnsi="Calibri" w:cs="Calibri" w:hint="eastAsia"/>
                <w:sz w:val="22"/>
                <w:lang w:val="en-US" w:eastAsia="x-none"/>
              </w:rPr>
              <w:t>FFS the CPE starting position</w:t>
            </w:r>
            <w:r>
              <w:rPr>
                <w:rFonts w:ascii="Calibri" w:hAnsi="Calibri" w:cs="Calibri"/>
                <w:sz w:val="22"/>
                <w:lang w:val="en-US" w:eastAsia="x-none"/>
              </w:rPr>
              <w:t xml:space="preserve"> </w:t>
            </w:r>
            <w:ins w:id="113" w:author="Giovanni Chisci" w:date="2022-10-13T14:31:00Z">
              <w:r>
                <w:rPr>
                  <w:rFonts w:ascii="Calibri" w:hAnsi="Calibri" w:cs="Calibri"/>
                  <w:sz w:val="22"/>
                  <w:lang w:val="en-US" w:eastAsia="x-none"/>
                </w:rPr>
                <w:t>in a shared COT other than COT initiating transmission</w:t>
              </w:r>
              <w:r w:rsidRPr="00B00E3D">
                <w:rPr>
                  <w:rFonts w:ascii="Calibri" w:hAnsi="Calibri" w:cs="Calibri" w:hint="eastAsia"/>
                  <w:sz w:val="22"/>
                  <w:lang w:val="en-US" w:eastAsia="x-none"/>
                </w:rPr>
                <w:t xml:space="preserve"> </w:t>
              </w:r>
            </w:ins>
            <w:r w:rsidRPr="00B00E3D">
              <w:rPr>
                <w:rFonts w:ascii="Calibri" w:hAnsi="Calibri" w:cs="Calibri" w:hint="eastAsia"/>
                <w:sz w:val="22"/>
                <w:lang w:val="en-US" w:eastAsia="x-none"/>
              </w:rPr>
              <w:t xml:space="preserve">is always confined </w:t>
            </w:r>
            <w:ins w:id="114" w:author="Giovanni Chisci" w:date="2022-10-13T14:32:00Z">
              <w:r w:rsidR="00C00264">
                <w:rPr>
                  <w:rFonts w:ascii="Calibri" w:hAnsi="Calibri" w:cs="Calibri"/>
                  <w:sz w:val="22"/>
                  <w:lang w:val="en-US" w:eastAsia="x-none"/>
                </w:rPr>
                <w:t>to be at most one</w:t>
              </w:r>
            </w:ins>
            <w:del w:id="115" w:author="Giovanni Chisci" w:date="2022-10-13T14:32:00Z">
              <w:r w:rsidR="00C00264" w:rsidDel="00C00264">
                <w:rPr>
                  <w:rFonts w:ascii="Calibri" w:hAnsi="Calibri" w:cs="Calibri"/>
                  <w:sz w:val="22"/>
                  <w:lang w:val="en-US" w:eastAsia="x-none"/>
                </w:rPr>
                <w:delText>within a</w:delText>
              </w:r>
            </w:del>
            <w:r w:rsidR="00C00264">
              <w:rPr>
                <w:rFonts w:ascii="Calibri" w:hAnsi="Calibri" w:cs="Calibri"/>
                <w:sz w:val="22"/>
                <w:lang w:val="en-US" w:eastAsia="x-none"/>
              </w:rPr>
              <w:t xml:space="preserve"> </w:t>
            </w:r>
            <w:r w:rsidRPr="00B00E3D">
              <w:rPr>
                <w:rFonts w:ascii="Calibri" w:hAnsi="Calibri" w:cs="Calibri" w:hint="eastAsia"/>
                <w:sz w:val="22"/>
                <w:lang w:val="en-US" w:eastAsia="x-none"/>
              </w:rPr>
              <w:t>symbol</w:t>
            </w:r>
          </w:p>
          <w:p w14:paraId="1A3839EA" w14:textId="77777777" w:rsidR="00324753" w:rsidRPr="008274D1" w:rsidRDefault="00324753">
            <w:pPr>
              <w:pStyle w:val="0Maintext"/>
              <w:numPr>
                <w:ilvl w:val="0"/>
                <w:numId w:val="56"/>
              </w:numPr>
              <w:spacing w:after="0" w:afterAutospacing="0" w:line="240" w:lineRule="auto"/>
              <w:rPr>
                <w:rFonts w:ascii="Calibri" w:hAnsi="Calibri" w:cs="Calibri"/>
                <w:color w:val="FF0000"/>
                <w:sz w:val="22"/>
                <w:lang w:val="en-US" w:eastAsia="x-none"/>
              </w:rPr>
            </w:pPr>
            <w:r>
              <w:rPr>
                <w:rFonts w:eastAsiaTheme="minorEastAsia"/>
                <w:lang w:eastAsia="zh-CN"/>
              </w:rPr>
              <w:t>The segmentation in the two cases “</w:t>
            </w:r>
            <w:r w:rsidRPr="009E3FAA">
              <w:rPr>
                <w:rFonts w:ascii="Calibri" w:hAnsi="Calibri" w:cs="Calibri"/>
                <w:i/>
                <w:iCs/>
                <w:color w:val="FF0000"/>
                <w:sz w:val="22"/>
              </w:rPr>
              <w:t>At least for single slot transmission case</w:t>
            </w:r>
            <w:r>
              <w:rPr>
                <w:rFonts w:eastAsiaTheme="minorEastAsia"/>
                <w:lang w:eastAsia="zh-CN"/>
              </w:rPr>
              <w:t>” and “</w:t>
            </w:r>
            <w:r w:rsidRPr="009E3FAA">
              <w:rPr>
                <w:rFonts w:ascii="Calibri" w:eastAsia="Batang" w:hAnsi="Calibri" w:cs="Calibri"/>
                <w:i/>
                <w:iCs/>
                <w:color w:val="FF0000"/>
                <w:sz w:val="22"/>
                <w:szCs w:val="24"/>
                <w:lang w:val="en-US" w:eastAsia="x-none"/>
              </w:rPr>
              <w:t>FFS for multi-consecutive slots transmission (MCSt) case</w:t>
            </w:r>
            <w:r w:rsidRPr="002C5C5B">
              <w:rPr>
                <w:rFonts w:ascii="Calibri" w:eastAsia="Batang" w:hAnsi="Calibri" w:cs="Calibri"/>
                <w:sz w:val="22"/>
                <w:szCs w:val="24"/>
                <w:lang w:val="en-US" w:eastAsia="x-none"/>
              </w:rPr>
              <w:t>” d</w:t>
            </w:r>
            <w:r>
              <w:rPr>
                <w:rFonts w:ascii="Calibri" w:eastAsia="Batang" w:hAnsi="Calibri" w:cs="Calibri"/>
                <w:sz w:val="22"/>
                <w:szCs w:val="24"/>
                <w:lang w:val="en-US" w:eastAsia="x-none"/>
              </w:rPr>
              <w:t xml:space="preserve">o not seem the right one to us. </w:t>
            </w:r>
            <w:r>
              <w:t xml:space="preserve">MCSt has the intent of keeping the medium with no further LBT so the intent of CPE is clearly gap filler to maintain the COT. That case is already captured in the FFS of the single CPE starting position. It needs to be clear that this agreement is applicable to a TX burst. </w:t>
            </w:r>
            <w:r w:rsidRPr="007D0A24">
              <w:rPr>
                <w:b/>
                <w:bCs/>
              </w:rPr>
              <w:t xml:space="preserve">We propose to remove the current </w:t>
            </w:r>
            <w:r>
              <w:rPr>
                <w:b/>
                <w:bCs/>
              </w:rPr>
              <w:t>top level</w:t>
            </w:r>
            <w:r w:rsidRPr="007D0A24">
              <w:rPr>
                <w:b/>
                <w:bCs/>
              </w:rPr>
              <w:t xml:space="preserve"> bullets, and bring </w:t>
            </w:r>
            <w:r>
              <w:rPr>
                <w:b/>
                <w:bCs/>
              </w:rPr>
              <w:t>everything</w:t>
            </w:r>
            <w:r w:rsidRPr="007D0A24">
              <w:rPr>
                <w:b/>
                <w:bCs/>
              </w:rPr>
              <w:t xml:space="preserve"> inside up one level.</w:t>
            </w:r>
          </w:p>
          <w:p w14:paraId="7A127EA6" w14:textId="77777777" w:rsidR="00324753" w:rsidRDefault="00324753" w:rsidP="00324753">
            <w:pPr>
              <w:pStyle w:val="0Maintext"/>
              <w:spacing w:after="0" w:afterAutospacing="0"/>
              <w:ind w:firstLine="0"/>
              <w:rPr>
                <w:rFonts w:eastAsiaTheme="minorEastAsia"/>
                <w:lang w:eastAsia="zh-CN"/>
              </w:rPr>
            </w:pPr>
          </w:p>
          <w:p w14:paraId="3291B2CC" w14:textId="77777777" w:rsidR="00324753" w:rsidRPr="00B4370A" w:rsidRDefault="00324753" w:rsidP="00324753">
            <w:pPr>
              <w:pStyle w:val="0Maintext"/>
              <w:spacing w:after="0" w:afterAutospacing="0"/>
              <w:ind w:firstLine="0"/>
              <w:rPr>
                <w:rFonts w:eastAsiaTheme="minorEastAsia"/>
                <w:b/>
                <w:bCs/>
                <w:lang w:eastAsia="zh-CN"/>
              </w:rPr>
            </w:pPr>
            <w:r w:rsidRPr="00B4370A">
              <w:rPr>
                <w:rFonts w:eastAsiaTheme="minorEastAsia"/>
                <w:b/>
                <w:bCs/>
                <w:lang w:eastAsia="zh-CN"/>
              </w:rPr>
              <w:t>We want also to address some companies comments/concerns:</w:t>
            </w:r>
          </w:p>
          <w:p w14:paraId="1A8505C4" w14:textId="77777777" w:rsidR="00324753" w:rsidRDefault="00324753" w:rsidP="00324753">
            <w:pPr>
              <w:pStyle w:val="0Maintext"/>
              <w:spacing w:after="0" w:afterAutospacing="0"/>
              <w:ind w:firstLine="0"/>
              <w:rPr>
                <w:rFonts w:eastAsiaTheme="minorEastAsia"/>
                <w:lang w:eastAsia="zh-CN"/>
              </w:rPr>
            </w:pPr>
            <w:r>
              <w:rPr>
                <w:rFonts w:eastAsiaTheme="minorEastAsia"/>
                <w:lang w:eastAsia="zh-CN"/>
              </w:rPr>
              <w:t xml:space="preserve">@ LGE, Sharp, DCM:  </w:t>
            </w:r>
          </w:p>
          <w:p w14:paraId="7C3AF8E1" w14:textId="77777777" w:rsidR="00324753" w:rsidRDefault="00324753">
            <w:pPr>
              <w:pStyle w:val="0Maintext"/>
              <w:numPr>
                <w:ilvl w:val="0"/>
                <w:numId w:val="56"/>
              </w:numPr>
              <w:spacing w:after="0" w:afterAutospacing="0"/>
              <w:rPr>
                <w:rFonts w:eastAsiaTheme="minorEastAsia"/>
                <w:lang w:eastAsia="zh-CN"/>
              </w:rPr>
            </w:pPr>
            <w:r>
              <w:rPr>
                <w:rFonts w:eastAsiaTheme="minorEastAsia"/>
                <w:lang w:eastAsia="zh-CN"/>
              </w:rPr>
              <w:t>NR SL having some methods for avoiding collisions (e.g. reservations, and IUC) is a fair point. Nevertheless we should be mindful that in the unlicensed spectrum, techniques based on signaling may not be that reliable due to the uncertainty in accessing the channel itself, so their effectiveness should not be taken for granted.</w:t>
            </w:r>
          </w:p>
          <w:p w14:paraId="7D6AD748" w14:textId="77777777" w:rsidR="00324753" w:rsidRDefault="00324753">
            <w:pPr>
              <w:pStyle w:val="0Maintext"/>
              <w:numPr>
                <w:ilvl w:val="0"/>
                <w:numId w:val="56"/>
              </w:numPr>
              <w:spacing w:after="0" w:afterAutospacing="0"/>
              <w:rPr>
                <w:rFonts w:eastAsiaTheme="minorEastAsia"/>
                <w:lang w:eastAsia="zh-CN"/>
              </w:rPr>
            </w:pPr>
            <w:r>
              <w:rPr>
                <w:rFonts w:eastAsiaTheme="minorEastAsia"/>
                <w:lang w:eastAsia="zh-CN"/>
              </w:rPr>
              <w:lastRenderedPageBreak/>
              <w:t>It is good to have distributed mechanisms to prevent highly disrupting collisions, especially in high load scenarios. Considering that SL-U is targeting high throughput cases, and considering the presence of other RATs (e.g. WiFi and NR-U) in the same band, this makes the case very relevant.</w:t>
            </w:r>
          </w:p>
          <w:p w14:paraId="06D1D5A1" w14:textId="77777777" w:rsidR="00324753" w:rsidRDefault="00324753">
            <w:pPr>
              <w:pStyle w:val="0Maintext"/>
              <w:numPr>
                <w:ilvl w:val="0"/>
                <w:numId w:val="56"/>
              </w:numPr>
              <w:spacing w:after="0" w:afterAutospacing="0"/>
              <w:rPr>
                <w:rFonts w:eastAsiaTheme="minorEastAsia"/>
                <w:lang w:eastAsia="zh-CN"/>
              </w:rPr>
            </w:pPr>
            <w:r>
              <w:rPr>
                <w:rFonts w:eastAsiaTheme="minorEastAsia"/>
                <w:lang w:eastAsia="zh-CN"/>
              </w:rPr>
              <w:t>NR-U does offer good examples for distributed collision resolution mechanisms in the CG-PUSCH (random multiple CPE starting positions).</w:t>
            </w:r>
          </w:p>
          <w:p w14:paraId="3AFD2754" w14:textId="77777777" w:rsidR="00324753" w:rsidRDefault="00324753">
            <w:pPr>
              <w:pStyle w:val="CommentText"/>
              <w:numPr>
                <w:ilvl w:val="0"/>
                <w:numId w:val="56"/>
              </w:numPr>
            </w:pPr>
            <w:r>
              <w:t xml:space="preserve">We should take advantage of this and support multiple CPE starting positions (as well as single CPE starting position) in SL-U. </w:t>
            </w:r>
          </w:p>
          <w:p w14:paraId="1CDA90F1" w14:textId="77777777" w:rsidR="00324753" w:rsidRDefault="00324753">
            <w:pPr>
              <w:pStyle w:val="CommentText"/>
              <w:numPr>
                <w:ilvl w:val="0"/>
                <w:numId w:val="56"/>
              </w:numPr>
            </w:pPr>
            <w:r>
              <w:t>We can study further details, since there are issues to be solved as many companies point out, and the FL offers a very good starting point to do so with its proposal.</w:t>
            </w:r>
          </w:p>
          <w:p w14:paraId="07F735B6" w14:textId="77777777" w:rsidR="00324753" w:rsidRDefault="00324753" w:rsidP="00324753">
            <w:pPr>
              <w:pStyle w:val="CommentText"/>
            </w:pPr>
            <w:r>
              <w:t xml:space="preserve">@ Vivo: </w:t>
            </w:r>
          </w:p>
          <w:p w14:paraId="31D43786" w14:textId="77777777" w:rsidR="00324753" w:rsidRDefault="00324753">
            <w:pPr>
              <w:pStyle w:val="CommentText"/>
              <w:numPr>
                <w:ilvl w:val="0"/>
                <w:numId w:val="56"/>
              </w:numPr>
            </w:pPr>
            <w:r>
              <w:t>it seems that the COT sharing case is already tackled in the respective FFS of single CPE and multi CPE starting positions “</w:t>
            </w:r>
            <w:r w:rsidRPr="009E3FAA">
              <w:rPr>
                <w:i/>
                <w:iCs/>
                <w:color w:val="FF0000"/>
              </w:rPr>
              <w:t>inside and outside of COT</w:t>
            </w:r>
            <w:r>
              <w:t>”</w:t>
            </w:r>
          </w:p>
          <w:p w14:paraId="36964AA3" w14:textId="041A65C3" w:rsidR="000F7D1E" w:rsidRPr="00126C60" w:rsidRDefault="00324753">
            <w:pPr>
              <w:pStyle w:val="CommentText"/>
              <w:numPr>
                <w:ilvl w:val="0"/>
                <w:numId w:val="56"/>
              </w:numPr>
            </w:pPr>
            <w:r>
              <w:rPr>
                <w:rFonts w:eastAsiaTheme="minorEastAsia"/>
                <w:lang w:val="en-US" w:eastAsia="zh-CN"/>
              </w:rPr>
              <w:t>We share your concern on “</w:t>
            </w:r>
            <w:r w:rsidRPr="00672888">
              <w:rPr>
                <w:rFonts w:eastAsiaTheme="minorEastAsia"/>
                <w:color w:val="FF0000"/>
                <w:lang w:val="en-US" w:eastAsia="zh-CN"/>
              </w:rPr>
              <w:t>we fear that the high priority partial RB set transmission may be blocked by low priority full RB set transmission</w:t>
            </w:r>
            <w:r>
              <w:rPr>
                <w:rFonts w:eastAsiaTheme="minorEastAsia"/>
                <w:lang w:eastAsia="zh-CN"/>
              </w:rPr>
              <w:t xml:space="preserve">” and we believe it opens up debate on where to place the common CPE w.r.t the multiple. We also think that there are plenty of schemes to </w:t>
            </w:r>
            <w:r w:rsidR="00126C60">
              <w:rPr>
                <w:rFonts w:eastAsiaTheme="minorEastAsia"/>
                <w:lang w:eastAsia="zh-CN"/>
              </w:rPr>
              <w:t>choose</w:t>
            </w:r>
            <w:r>
              <w:rPr>
                <w:rFonts w:eastAsiaTheme="minorEastAsia"/>
                <w:lang w:eastAsia="zh-CN"/>
              </w:rPr>
              <w:t xml:space="preserve"> from and detail, and all of these discussions could be resolved in the next step of the discussion.</w:t>
            </w:r>
          </w:p>
        </w:tc>
      </w:tr>
      <w:tr w:rsidR="00C446B8" w14:paraId="0E587114" w14:textId="77777777" w:rsidTr="005A0613">
        <w:tc>
          <w:tcPr>
            <w:tcW w:w="1555" w:type="dxa"/>
          </w:tcPr>
          <w:p w14:paraId="2D54CF46" w14:textId="5DFF3B4E" w:rsidR="00C446B8" w:rsidRDefault="00C446B8" w:rsidP="004744D6">
            <w:pPr>
              <w:pStyle w:val="0Maintext"/>
              <w:spacing w:after="0" w:afterAutospacing="0"/>
              <w:ind w:firstLine="0"/>
              <w:rPr>
                <w:rFonts w:eastAsiaTheme="minorEastAsia"/>
                <w:lang w:eastAsia="zh-CN"/>
              </w:rPr>
            </w:pPr>
            <w:r>
              <w:rPr>
                <w:rFonts w:eastAsiaTheme="minorEastAsia"/>
                <w:lang w:eastAsia="zh-CN"/>
              </w:rPr>
              <w:lastRenderedPageBreak/>
              <w:t>Apple</w:t>
            </w:r>
          </w:p>
        </w:tc>
        <w:tc>
          <w:tcPr>
            <w:tcW w:w="8076" w:type="dxa"/>
          </w:tcPr>
          <w:p w14:paraId="55644B1E" w14:textId="77777777" w:rsidR="00C446B8" w:rsidRDefault="00C446B8" w:rsidP="00324753">
            <w:pPr>
              <w:pStyle w:val="0Maintext"/>
              <w:spacing w:after="0" w:afterAutospacing="0"/>
              <w:ind w:firstLine="0"/>
              <w:rPr>
                <w:rFonts w:eastAsiaTheme="minorEastAsia"/>
                <w:lang w:eastAsia="zh-CN"/>
              </w:rPr>
            </w:pPr>
            <w:r>
              <w:rPr>
                <w:rFonts w:eastAsiaTheme="minorEastAsia"/>
                <w:lang w:eastAsia="zh-CN"/>
              </w:rPr>
              <w:t xml:space="preserve">We support in principle.  </w:t>
            </w:r>
          </w:p>
          <w:p w14:paraId="6DD6636E" w14:textId="77777777" w:rsidR="00C446B8" w:rsidRDefault="00C446B8" w:rsidP="00324753">
            <w:pPr>
              <w:pStyle w:val="0Maintext"/>
              <w:spacing w:after="0" w:afterAutospacing="0"/>
              <w:ind w:firstLine="0"/>
              <w:rPr>
                <w:rFonts w:eastAsiaTheme="minorEastAsia"/>
                <w:lang w:eastAsia="zh-CN"/>
              </w:rPr>
            </w:pPr>
            <w:r>
              <w:rPr>
                <w:rFonts w:eastAsiaTheme="minorEastAsia"/>
                <w:lang w:eastAsia="zh-CN"/>
              </w:rPr>
              <w:t>We would like to clarify with FL, is the intention to have common CPE for non-full RB set transmission to enable FDM, and multiple CPE for full RB set transmission? The 2</w:t>
            </w:r>
            <w:r w:rsidRPr="00C446B8">
              <w:rPr>
                <w:rFonts w:eastAsiaTheme="minorEastAsia"/>
                <w:vertAlign w:val="superscript"/>
                <w:lang w:eastAsia="zh-CN"/>
              </w:rPr>
              <w:t>nd</w:t>
            </w:r>
            <w:r>
              <w:rPr>
                <w:rFonts w:eastAsiaTheme="minorEastAsia"/>
                <w:lang w:eastAsia="zh-CN"/>
              </w:rPr>
              <w:t xml:space="preserve"> bullet proposes common CPE, FFS is for non-full RB transmission, give the impression that common CPE is always used in full RB set transmission. If the intention is 1</w:t>
            </w:r>
            <w:r w:rsidRPr="00C446B8">
              <w:rPr>
                <w:rFonts w:eastAsiaTheme="minorEastAsia"/>
                <w:vertAlign w:val="superscript"/>
                <w:lang w:eastAsia="zh-CN"/>
              </w:rPr>
              <w:t>st</w:t>
            </w:r>
            <w:r>
              <w:rPr>
                <w:rFonts w:eastAsiaTheme="minorEastAsia"/>
                <w:lang w:eastAsia="zh-CN"/>
              </w:rPr>
              <w:t xml:space="preserve"> case, maybe we can add “only” to FFS. </w:t>
            </w:r>
          </w:p>
          <w:p w14:paraId="54B156B1" w14:textId="77777777" w:rsidR="00C446B8" w:rsidRDefault="00C446B8" w:rsidP="00C446B8">
            <w:pPr>
              <w:pStyle w:val="0Maintext"/>
              <w:numPr>
                <w:ilvl w:val="1"/>
                <w:numId w:val="24"/>
              </w:numPr>
              <w:spacing w:after="60" w:afterAutospacing="0" w:line="240" w:lineRule="auto"/>
              <w:rPr>
                <w:rFonts w:ascii="Calibri" w:hAnsi="Calibri" w:cs="Calibri"/>
                <w:sz w:val="22"/>
                <w:lang w:val="en-US"/>
              </w:rPr>
            </w:pPr>
            <w:r w:rsidRPr="00B00E3D">
              <w:rPr>
                <w:rFonts w:ascii="Calibri" w:hAnsi="Calibri" w:cs="Calibri" w:hint="eastAsia"/>
                <w:sz w:val="22"/>
                <w:lang w:val="en-US"/>
              </w:rPr>
              <w:t xml:space="preserve">A </w:t>
            </w:r>
            <w:r>
              <w:rPr>
                <w:rFonts w:ascii="Calibri" w:hAnsi="Calibri" w:cs="Calibri"/>
                <w:color w:val="FF0000"/>
                <w:sz w:val="22"/>
                <w:lang w:val="en-US"/>
              </w:rPr>
              <w:t>common</w:t>
            </w:r>
            <w:r w:rsidRPr="005647E4">
              <w:rPr>
                <w:rFonts w:ascii="Calibri" w:hAnsi="Calibri" w:cs="Calibri"/>
                <w:color w:val="FF0000"/>
                <w:sz w:val="22"/>
                <w:lang w:val="en-US"/>
              </w:rPr>
              <w:t xml:space="preserve"> </w:t>
            </w:r>
            <w:r w:rsidRPr="00B00E3D">
              <w:rPr>
                <w:rFonts w:ascii="Calibri" w:hAnsi="Calibri" w:cs="Calibri" w:hint="eastAsia"/>
                <w:sz w:val="22"/>
                <w:lang w:val="en-US"/>
              </w:rPr>
              <w:t xml:space="preserve">CPE starting position </w:t>
            </w:r>
            <w:r w:rsidRPr="00156029">
              <w:rPr>
                <w:rFonts w:ascii="Calibri" w:hAnsi="Calibri" w:cs="Calibri"/>
                <w:color w:val="FF0000"/>
                <w:sz w:val="22"/>
                <w:lang w:val="en-US"/>
              </w:rPr>
              <w:t>is supported</w:t>
            </w:r>
          </w:p>
          <w:p w14:paraId="32579526" w14:textId="41E285E0" w:rsidR="00C446B8" w:rsidRPr="00B00E3D" w:rsidRDefault="00C446B8" w:rsidP="00C446B8">
            <w:pPr>
              <w:pStyle w:val="0Maintext"/>
              <w:numPr>
                <w:ilvl w:val="2"/>
                <w:numId w:val="24"/>
              </w:numPr>
              <w:spacing w:after="60" w:afterAutospacing="0" w:line="240" w:lineRule="auto"/>
              <w:rPr>
                <w:rFonts w:ascii="Calibri" w:hAnsi="Calibri" w:cs="Calibri"/>
                <w:sz w:val="22"/>
                <w:lang w:val="en-US"/>
              </w:rPr>
            </w:pPr>
            <w:r w:rsidRPr="00156029">
              <w:rPr>
                <w:rFonts w:ascii="Calibri" w:hAnsi="Calibri" w:cs="Calibri"/>
                <w:color w:val="FF0000"/>
                <w:sz w:val="22"/>
                <w:lang w:val="en-US"/>
              </w:rPr>
              <w:t xml:space="preserve">FFS whether this </w:t>
            </w:r>
            <w:r w:rsidRPr="00C446B8">
              <w:rPr>
                <w:rFonts w:ascii="Calibri" w:hAnsi="Calibri" w:cs="Calibri"/>
                <w:color w:val="FF0000"/>
                <w:sz w:val="22"/>
                <w:highlight w:val="yellow"/>
                <w:lang w:val="en-US"/>
              </w:rPr>
              <w:t>only</w:t>
            </w:r>
            <w:r>
              <w:rPr>
                <w:rFonts w:ascii="Calibri" w:hAnsi="Calibri" w:cs="Calibri"/>
                <w:color w:val="FF0000"/>
                <w:sz w:val="22"/>
                <w:lang w:val="en-US"/>
              </w:rPr>
              <w:t xml:space="preserve"> </w:t>
            </w:r>
            <w:r w:rsidRPr="00156029">
              <w:rPr>
                <w:rFonts w:ascii="Calibri" w:hAnsi="Calibri" w:cs="Calibri"/>
                <w:color w:val="FF0000"/>
                <w:sz w:val="22"/>
                <w:lang w:val="en-US"/>
              </w:rPr>
              <w:t>applies</w:t>
            </w:r>
            <w:r>
              <w:rPr>
                <w:rFonts w:ascii="Calibri" w:hAnsi="Calibri" w:cs="Calibri"/>
                <w:color w:val="FF0000"/>
                <w:sz w:val="22"/>
                <w:lang w:val="en-US"/>
              </w:rPr>
              <w:t xml:space="preserve"> </w:t>
            </w:r>
            <w:r w:rsidRPr="00156029">
              <w:rPr>
                <w:rFonts w:ascii="Calibri" w:hAnsi="Calibri" w:cs="Calibri"/>
                <w:color w:val="FF0000"/>
                <w:sz w:val="22"/>
                <w:lang w:val="en-US"/>
              </w:rPr>
              <w:t>to</w:t>
            </w:r>
            <w:r w:rsidRPr="00B00E3D">
              <w:rPr>
                <w:rFonts w:ascii="Calibri" w:hAnsi="Calibri" w:cs="Calibri" w:hint="eastAsia"/>
                <w:sz w:val="22"/>
                <w:lang w:val="en-US"/>
              </w:rPr>
              <w:t xml:space="preserve"> a SL transmission using fewer than all resource blocks of an RB set</w:t>
            </w:r>
          </w:p>
          <w:p w14:paraId="12A86718" w14:textId="77777777" w:rsidR="00C446B8" w:rsidRDefault="00C446B8" w:rsidP="00324753">
            <w:pPr>
              <w:pStyle w:val="0Maintext"/>
              <w:spacing w:after="0" w:afterAutospacing="0"/>
              <w:ind w:firstLine="0"/>
              <w:rPr>
                <w:rFonts w:eastAsiaTheme="minorEastAsia"/>
                <w:b/>
                <w:bCs/>
                <w:lang w:val="en-US" w:eastAsia="zh-CN"/>
              </w:rPr>
            </w:pPr>
          </w:p>
          <w:p w14:paraId="29A08699" w14:textId="1A04133B" w:rsidR="00C446B8" w:rsidRPr="00C446B8" w:rsidRDefault="00C446B8" w:rsidP="00324753">
            <w:pPr>
              <w:pStyle w:val="0Maintext"/>
              <w:spacing w:after="0" w:afterAutospacing="0"/>
              <w:ind w:firstLine="0"/>
              <w:rPr>
                <w:rFonts w:eastAsiaTheme="minorEastAsia"/>
                <w:b/>
                <w:bCs/>
                <w:lang w:val="en-US" w:eastAsia="zh-CN"/>
              </w:rPr>
            </w:pPr>
            <w:r>
              <w:rPr>
                <w:rFonts w:eastAsiaTheme="minorEastAsia"/>
                <w:lang w:eastAsia="zh-CN"/>
              </w:rPr>
              <w:t xml:space="preserve">In addition to Qualcomm’s comment to address concerns of multiple CPE, we would like to further point out the reservation is sent with data packet, which works very well for periodic traffic. </w:t>
            </w:r>
            <w:r w:rsidR="00EF1662">
              <w:rPr>
                <w:rFonts w:eastAsiaTheme="minorEastAsia"/>
                <w:lang w:eastAsia="zh-CN"/>
              </w:rPr>
              <w:t>However,</w:t>
            </w:r>
            <w:r>
              <w:rPr>
                <w:rFonts w:eastAsiaTheme="minorEastAsia"/>
                <w:lang w:eastAsia="zh-CN"/>
              </w:rPr>
              <w:t xml:space="preserve"> for SL-U, aperiodic traffic is the main traffic model, and piggy back a reservation signaling with a data transmission in many cases will not be feasible. If the UE has data in buffer, it can transmit all together using </w:t>
            </w:r>
            <w:r w:rsidR="00EF1662">
              <w:rPr>
                <w:rFonts w:eastAsiaTheme="minorEastAsia"/>
                <w:lang w:eastAsia="zh-CN"/>
              </w:rPr>
              <w:t>m</w:t>
            </w:r>
            <w:r>
              <w:rPr>
                <w:rFonts w:eastAsiaTheme="minorEastAsia"/>
                <w:lang w:eastAsia="zh-CN"/>
              </w:rPr>
              <w:t xml:space="preserve">ulti-slot transmission. If the UE </w:t>
            </w:r>
            <w:r w:rsidR="00EF1662">
              <w:rPr>
                <w:rFonts w:eastAsiaTheme="minorEastAsia"/>
                <w:lang w:eastAsia="zh-CN"/>
              </w:rPr>
              <w:t xml:space="preserve">clear its buffer within a COT, the UE will not send reservation either since it does not know when the next packet will arrive. Therefore NR-U CG-PUSCH method of enabling distributed scheduling is a good method to handle the complicated interference scenario.  </w:t>
            </w:r>
          </w:p>
        </w:tc>
      </w:tr>
      <w:tr w:rsidR="000F6488" w14:paraId="3BC5595B" w14:textId="77777777" w:rsidTr="005A0613">
        <w:tc>
          <w:tcPr>
            <w:tcW w:w="1555" w:type="dxa"/>
          </w:tcPr>
          <w:p w14:paraId="1A6BF3D0" w14:textId="774064C2" w:rsidR="000F6488" w:rsidRDefault="000F6488" w:rsidP="004744D6">
            <w:pPr>
              <w:pStyle w:val="0Maintext"/>
              <w:spacing w:after="0" w:afterAutospacing="0"/>
              <w:ind w:firstLine="0"/>
              <w:rPr>
                <w:rFonts w:eastAsiaTheme="minorEastAsia"/>
                <w:lang w:eastAsia="zh-CN"/>
              </w:rPr>
            </w:pPr>
            <w:r>
              <w:rPr>
                <w:rFonts w:eastAsiaTheme="minorEastAsia" w:hint="eastAsia"/>
                <w:lang w:eastAsia="zh-CN"/>
              </w:rPr>
              <w:t>S</w:t>
            </w:r>
            <w:r>
              <w:rPr>
                <w:rFonts w:eastAsiaTheme="minorEastAsia"/>
                <w:lang w:eastAsia="zh-CN"/>
              </w:rPr>
              <w:t>preadtrum</w:t>
            </w:r>
          </w:p>
        </w:tc>
        <w:tc>
          <w:tcPr>
            <w:tcW w:w="8076" w:type="dxa"/>
          </w:tcPr>
          <w:p w14:paraId="3A75297C" w14:textId="41705E59" w:rsidR="000F6488" w:rsidRDefault="000F6488" w:rsidP="00324753">
            <w:pPr>
              <w:pStyle w:val="0Maintext"/>
              <w:spacing w:after="0" w:afterAutospacing="0"/>
              <w:ind w:firstLine="0"/>
              <w:rPr>
                <w:rFonts w:eastAsiaTheme="minorEastAsia"/>
                <w:lang w:eastAsia="zh-CN"/>
              </w:rPr>
            </w:pPr>
            <w:r>
              <w:rPr>
                <w:rFonts w:eastAsiaTheme="minorEastAsia"/>
                <w:lang w:eastAsia="zh-CN"/>
              </w:rPr>
              <w:t>We are fine with the proposal.</w:t>
            </w:r>
          </w:p>
        </w:tc>
      </w:tr>
      <w:tr w:rsidR="004B3EDD" w14:paraId="74F35C21" w14:textId="77777777" w:rsidTr="005A0613">
        <w:tc>
          <w:tcPr>
            <w:tcW w:w="1555" w:type="dxa"/>
          </w:tcPr>
          <w:p w14:paraId="3AC66F4A" w14:textId="38707738" w:rsidR="004B3EDD" w:rsidRPr="004B3EDD" w:rsidRDefault="004B3EDD" w:rsidP="004744D6">
            <w:pPr>
              <w:pStyle w:val="0Maintext"/>
              <w:spacing w:after="0" w:afterAutospacing="0"/>
              <w:ind w:firstLine="0"/>
              <w:rPr>
                <w:rFonts w:eastAsia="MS Mincho"/>
                <w:lang w:eastAsia="ja-JP"/>
              </w:rPr>
            </w:pPr>
            <w:r>
              <w:rPr>
                <w:rFonts w:eastAsia="MS Mincho" w:hint="eastAsia"/>
                <w:lang w:eastAsia="ja-JP"/>
              </w:rPr>
              <w:t>P</w:t>
            </w:r>
            <w:r>
              <w:rPr>
                <w:rFonts w:eastAsia="MS Mincho"/>
                <w:lang w:eastAsia="ja-JP"/>
              </w:rPr>
              <w:t>anasonic</w:t>
            </w:r>
          </w:p>
        </w:tc>
        <w:tc>
          <w:tcPr>
            <w:tcW w:w="8076" w:type="dxa"/>
          </w:tcPr>
          <w:p w14:paraId="69A83482" w14:textId="06B86DDB" w:rsidR="004B3EDD" w:rsidRPr="004B3EDD" w:rsidRDefault="004B3EDD" w:rsidP="00324753">
            <w:pPr>
              <w:pStyle w:val="0Maintext"/>
              <w:spacing w:after="0" w:afterAutospacing="0"/>
              <w:ind w:firstLine="0"/>
              <w:rPr>
                <w:rFonts w:eastAsia="MS Mincho"/>
                <w:lang w:eastAsia="ja-JP"/>
              </w:rPr>
            </w:pPr>
            <w:r w:rsidRPr="004B3EDD">
              <w:rPr>
                <w:rFonts w:eastAsia="MS Mincho"/>
                <w:lang w:eastAsia="ja-JP"/>
              </w:rPr>
              <w:t>We support this proposal. However, multiple CPE stating poison is only used for sidelink mode 1 RA Type 1 and Type 2 configured grants. For mode 1 dynamic grant and mode 2, multiple CPE is not necessary. The resource collision is handled by gNB in mode 1 dynamic grant and handled by resource allocation information in mode 2.</w:t>
            </w:r>
          </w:p>
        </w:tc>
      </w:tr>
      <w:tr w:rsidR="006E0E7B" w14:paraId="6D755526" w14:textId="77777777" w:rsidTr="005A0613">
        <w:tc>
          <w:tcPr>
            <w:tcW w:w="1555" w:type="dxa"/>
          </w:tcPr>
          <w:p w14:paraId="4B8FADB7" w14:textId="63A24B16" w:rsidR="006E0E7B" w:rsidRPr="006E0E7B" w:rsidRDefault="006E0E7B" w:rsidP="006E0E7B">
            <w:pPr>
              <w:pStyle w:val="0Maintext"/>
              <w:spacing w:after="0" w:afterAutospacing="0"/>
              <w:ind w:firstLine="0"/>
              <w:rPr>
                <w:rFonts w:eastAsiaTheme="minorEastAsia"/>
                <w:lang w:eastAsia="zh-CN"/>
              </w:rPr>
            </w:pPr>
            <w:r>
              <w:rPr>
                <w:rFonts w:eastAsiaTheme="minorEastAsia" w:hint="eastAsia"/>
                <w:lang w:eastAsia="zh-CN"/>
              </w:rPr>
              <w:t>S</w:t>
            </w:r>
            <w:r>
              <w:rPr>
                <w:rFonts w:eastAsiaTheme="minorEastAsia"/>
                <w:lang w:eastAsia="zh-CN"/>
              </w:rPr>
              <w:t>amsung</w:t>
            </w:r>
          </w:p>
        </w:tc>
        <w:tc>
          <w:tcPr>
            <w:tcW w:w="8076" w:type="dxa"/>
          </w:tcPr>
          <w:p w14:paraId="17FB1AE9" w14:textId="77777777" w:rsidR="006E0E7B" w:rsidRDefault="006E0E7B">
            <w:pPr>
              <w:pStyle w:val="ListParagraph"/>
              <w:numPr>
                <w:ilvl w:val="0"/>
                <w:numId w:val="57"/>
              </w:numPr>
              <w:ind w:leftChars="0"/>
              <w:rPr>
                <w:rFonts w:eastAsiaTheme="minorEastAsia"/>
                <w:lang w:eastAsia="zh-CN"/>
              </w:rPr>
            </w:pPr>
            <w:r>
              <w:rPr>
                <w:rFonts w:eastAsiaTheme="minorEastAsia"/>
                <w:lang w:eastAsia="zh-CN"/>
              </w:rPr>
              <w:t>We ask for clarification whether the proposal is for mode 1, or mode 2, or both.</w:t>
            </w:r>
          </w:p>
          <w:p w14:paraId="174422A1" w14:textId="77777777" w:rsidR="006E0E7B" w:rsidRDefault="006E0E7B" w:rsidP="006E0E7B">
            <w:pPr>
              <w:pStyle w:val="ListParagraph"/>
              <w:ind w:leftChars="0" w:left="360"/>
              <w:rPr>
                <w:rFonts w:eastAsiaTheme="minorEastAsia"/>
                <w:lang w:eastAsia="zh-CN"/>
              </w:rPr>
            </w:pPr>
            <w:r>
              <w:rPr>
                <w:rFonts w:eastAsiaTheme="minorEastAsia"/>
                <w:lang w:eastAsia="zh-CN"/>
              </w:rPr>
              <w:t>If for mode 1, then we need to consider the principle in NR-U. Both CPE of configured transmission and CPE of scheduled transmission are supported by NR-U, but the applicable details are quite different. RAN1 needs to discuss how to whether/how to reuse the two kinds of behaviours, e.g. based on DG/CG-based SL transmission.</w:t>
            </w:r>
          </w:p>
          <w:p w14:paraId="2BF146FE" w14:textId="77777777" w:rsidR="006E0E7B" w:rsidRDefault="006E0E7B" w:rsidP="006E0E7B">
            <w:pPr>
              <w:pStyle w:val="ListParagraph"/>
              <w:ind w:leftChars="0" w:left="360"/>
              <w:rPr>
                <w:rFonts w:eastAsiaTheme="minorEastAsia"/>
                <w:lang w:eastAsia="zh-CN"/>
              </w:rPr>
            </w:pPr>
            <w:r w:rsidRPr="00830964">
              <w:rPr>
                <w:rFonts w:eastAsiaTheme="minorEastAsia"/>
                <w:lang w:eastAsia="zh-CN"/>
              </w:rPr>
              <w:t>If for mode 2, the proposal still needs to clarify which kind of behaviour is used here.</w:t>
            </w:r>
          </w:p>
          <w:p w14:paraId="623D4335" w14:textId="77777777" w:rsidR="006E0E7B" w:rsidRDefault="006E0E7B">
            <w:pPr>
              <w:pStyle w:val="ListParagraph"/>
              <w:numPr>
                <w:ilvl w:val="0"/>
                <w:numId w:val="57"/>
              </w:numPr>
              <w:ind w:leftChars="0"/>
              <w:rPr>
                <w:rFonts w:eastAsiaTheme="minorEastAsia"/>
                <w:lang w:eastAsia="zh-CN"/>
              </w:rPr>
            </w:pPr>
            <w:r w:rsidRPr="00830964">
              <w:rPr>
                <w:rFonts w:eastAsiaTheme="minorEastAsia"/>
                <w:lang w:eastAsia="zh-CN"/>
              </w:rPr>
              <w:t>For the two bullets “</w:t>
            </w:r>
            <w:r w:rsidRPr="00830964">
              <w:rPr>
                <w:rFonts w:ascii="Calibri" w:hAnsi="Calibri" w:cs="Calibri" w:hint="eastAsia"/>
                <w:sz w:val="22"/>
                <w:lang w:val="en-US"/>
              </w:rPr>
              <w:t xml:space="preserve">A </w:t>
            </w:r>
            <w:r w:rsidRPr="00830964">
              <w:rPr>
                <w:rFonts w:ascii="Calibri" w:hAnsi="Calibri" w:cs="Calibri"/>
                <w:color w:val="FF0000"/>
                <w:sz w:val="22"/>
                <w:lang w:val="en-US"/>
              </w:rPr>
              <w:t xml:space="preserve">common </w:t>
            </w:r>
            <w:r w:rsidRPr="00830964">
              <w:rPr>
                <w:rFonts w:ascii="Calibri" w:hAnsi="Calibri" w:cs="Calibri" w:hint="eastAsia"/>
                <w:sz w:val="22"/>
                <w:lang w:val="en-US"/>
              </w:rPr>
              <w:t xml:space="preserve">CPE starting position </w:t>
            </w:r>
            <w:r w:rsidRPr="00830964">
              <w:rPr>
                <w:rFonts w:ascii="Calibri" w:hAnsi="Calibri" w:cs="Calibri"/>
                <w:color w:val="FF0000"/>
                <w:sz w:val="22"/>
                <w:lang w:val="en-US"/>
              </w:rPr>
              <w:t>is supported</w:t>
            </w:r>
            <w:r w:rsidRPr="00830964">
              <w:rPr>
                <w:rFonts w:eastAsiaTheme="minorEastAsia"/>
                <w:lang w:eastAsia="zh-CN"/>
              </w:rPr>
              <w:t>” and “</w:t>
            </w:r>
            <w:r w:rsidRPr="00830964">
              <w:rPr>
                <w:rFonts w:ascii="Calibri" w:hAnsi="Calibri" w:cs="Calibri" w:hint="eastAsia"/>
                <w:sz w:val="22"/>
                <w:lang w:val="en-US"/>
              </w:rPr>
              <w:t>Multiple CPE starting positions is supported</w:t>
            </w:r>
            <w:r w:rsidRPr="00830964">
              <w:rPr>
                <w:rFonts w:eastAsiaTheme="minorEastAsia"/>
                <w:lang w:eastAsia="zh-CN"/>
              </w:rPr>
              <w:t xml:space="preserve">”, we think it’s unclear and further clarification is needed. </w:t>
            </w:r>
          </w:p>
          <w:p w14:paraId="63482649" w14:textId="77777777" w:rsidR="006E0E7B" w:rsidRDefault="006E0E7B" w:rsidP="006E0E7B">
            <w:pPr>
              <w:pStyle w:val="ListParagraph"/>
              <w:ind w:leftChars="0" w:left="360"/>
              <w:rPr>
                <w:rFonts w:eastAsiaTheme="minorEastAsia"/>
                <w:lang w:eastAsia="zh-CN"/>
              </w:rPr>
            </w:pPr>
            <w:r>
              <w:rPr>
                <w:rFonts w:eastAsiaTheme="minorEastAsia"/>
                <w:lang w:eastAsia="zh-CN"/>
              </w:rPr>
              <w:t>For example, w</w:t>
            </w:r>
            <w:r w:rsidRPr="00830964">
              <w:rPr>
                <w:rFonts w:eastAsiaTheme="minorEastAsia"/>
                <w:lang w:eastAsia="zh-CN"/>
              </w:rPr>
              <w:t>hether the common/multiple CPE starting position(s) is from per TX UE perspective or per resource pool perspective? If that’s pool level, for common case what’s the intention of “</w:t>
            </w:r>
            <w:r w:rsidRPr="00830964">
              <w:rPr>
                <w:rFonts w:ascii="Calibri" w:hAnsi="Calibri" w:cs="Calibri"/>
                <w:color w:val="FF0000"/>
                <w:sz w:val="22"/>
                <w:lang w:val="en-US"/>
              </w:rPr>
              <w:t>method to achieve same CPE starting position</w:t>
            </w:r>
            <w:r w:rsidRPr="00830964">
              <w:rPr>
                <w:rFonts w:eastAsiaTheme="minorEastAsia"/>
                <w:lang w:eastAsia="zh-CN"/>
              </w:rPr>
              <w:t>”? If that’s UE level, does it mean that if a single UE is configured with a common CPE starting position for all its TX, in the resource pool there still may exist multiple CPE starting positions?</w:t>
            </w:r>
          </w:p>
          <w:p w14:paraId="61F1BD26" w14:textId="77777777" w:rsidR="006E0E7B" w:rsidRPr="00830964" w:rsidRDefault="006E0E7B" w:rsidP="006E0E7B">
            <w:pPr>
              <w:pStyle w:val="ListParagraph"/>
              <w:ind w:leftChars="0" w:left="360"/>
              <w:rPr>
                <w:rFonts w:eastAsiaTheme="minorEastAsia"/>
                <w:lang w:eastAsia="zh-CN"/>
              </w:rPr>
            </w:pPr>
            <w:r>
              <w:rPr>
                <w:rFonts w:eastAsiaTheme="minorEastAsia"/>
                <w:lang w:eastAsia="zh-CN"/>
              </w:rPr>
              <w:t>As summarize, we think current wording is ambiguous and may result in misunderstanding.</w:t>
            </w:r>
          </w:p>
          <w:p w14:paraId="620824B6" w14:textId="11F23399" w:rsidR="006E0E7B" w:rsidRPr="004B3EDD" w:rsidRDefault="006E0E7B">
            <w:pPr>
              <w:pStyle w:val="ListParagraph"/>
              <w:numPr>
                <w:ilvl w:val="0"/>
                <w:numId w:val="57"/>
              </w:numPr>
              <w:ind w:leftChars="0"/>
              <w:rPr>
                <w:rFonts w:eastAsia="MS Mincho"/>
                <w:lang w:eastAsia="ja-JP"/>
              </w:rPr>
            </w:pPr>
            <w:r>
              <w:rPr>
                <w:rFonts w:eastAsiaTheme="minorEastAsia" w:hint="eastAsia"/>
                <w:lang w:eastAsia="zh-CN"/>
              </w:rPr>
              <w:lastRenderedPageBreak/>
              <w:t>A</w:t>
            </w:r>
            <w:r>
              <w:rPr>
                <w:rFonts w:eastAsiaTheme="minorEastAsia"/>
                <w:lang w:eastAsia="zh-CN"/>
              </w:rPr>
              <w:t>ccording to current wording, both common CPE starting position and multiple CPE starting positions are supported. We think this is too early to make such decision before discuss their necessity and justify benefits of each solution. Suggest to modify “…is supported” to “study …”</w:t>
            </w:r>
          </w:p>
        </w:tc>
      </w:tr>
      <w:tr w:rsidR="00B85BBD" w14:paraId="376828A9" w14:textId="77777777" w:rsidTr="005A0613">
        <w:tc>
          <w:tcPr>
            <w:tcW w:w="1555" w:type="dxa"/>
          </w:tcPr>
          <w:p w14:paraId="7DA16684" w14:textId="70596B62" w:rsidR="00B85BBD" w:rsidRDefault="00B85BBD" w:rsidP="00B85BBD">
            <w:pPr>
              <w:pStyle w:val="0Maintext"/>
              <w:spacing w:after="0" w:afterAutospacing="0"/>
              <w:ind w:firstLine="0"/>
              <w:rPr>
                <w:rFonts w:eastAsiaTheme="minorEastAsia"/>
                <w:lang w:eastAsia="zh-CN"/>
              </w:rPr>
            </w:pPr>
            <w:r>
              <w:rPr>
                <w:rFonts w:eastAsiaTheme="minorEastAsia"/>
                <w:lang w:eastAsia="zh-CN"/>
              </w:rPr>
              <w:lastRenderedPageBreak/>
              <w:t>Futurewei</w:t>
            </w:r>
          </w:p>
        </w:tc>
        <w:tc>
          <w:tcPr>
            <w:tcW w:w="8076" w:type="dxa"/>
          </w:tcPr>
          <w:p w14:paraId="33E6C6DF" w14:textId="218177EB" w:rsidR="00B85BBD" w:rsidRPr="00126C60" w:rsidRDefault="00B85BBD" w:rsidP="00126C60">
            <w:pPr>
              <w:rPr>
                <w:rFonts w:eastAsiaTheme="minorEastAsia"/>
                <w:lang w:eastAsia="zh-CN"/>
              </w:rPr>
            </w:pPr>
            <w:r w:rsidRPr="00126C60">
              <w:rPr>
                <w:rFonts w:eastAsiaTheme="minorEastAsia"/>
                <w:lang w:eastAsia="zh-CN"/>
              </w:rPr>
              <w:t xml:space="preserve">We are not convinced the necessity of multi-starting positions for CPEs, as it was mentioned by few other companies may generate unnecessary blockage.  We think that may need further </w:t>
            </w:r>
            <w:r w:rsidR="00126C60" w:rsidRPr="00126C60">
              <w:rPr>
                <w:rFonts w:eastAsiaTheme="minorEastAsia"/>
                <w:lang w:eastAsia="zh-CN"/>
              </w:rPr>
              <w:t>clarifications;</w:t>
            </w:r>
            <w:r w:rsidRPr="00126C60">
              <w:rPr>
                <w:rFonts w:eastAsiaTheme="minorEastAsia"/>
                <w:lang w:eastAsia="zh-CN"/>
              </w:rPr>
              <w:t xml:space="preserve"> </w:t>
            </w:r>
            <w:r w:rsidR="00126C60" w:rsidRPr="00126C60">
              <w:rPr>
                <w:rFonts w:eastAsiaTheme="minorEastAsia"/>
                <w:lang w:eastAsia="zh-CN"/>
              </w:rPr>
              <w:t>thus,</w:t>
            </w:r>
            <w:r w:rsidRPr="00126C60">
              <w:rPr>
                <w:rFonts w:eastAsiaTheme="minorEastAsia"/>
                <w:lang w:eastAsia="zh-CN"/>
              </w:rPr>
              <w:t xml:space="preserve"> we prefer to keep it FFS at this time. We are OK with the rest of the proposal. </w:t>
            </w:r>
          </w:p>
        </w:tc>
      </w:tr>
      <w:tr w:rsidR="008F335F" w14:paraId="6B44765C" w14:textId="77777777" w:rsidTr="005A0613">
        <w:tc>
          <w:tcPr>
            <w:tcW w:w="1555" w:type="dxa"/>
          </w:tcPr>
          <w:p w14:paraId="35B9DA45" w14:textId="2AA73FA8" w:rsidR="008F335F" w:rsidRDefault="008F335F" w:rsidP="00B85BBD">
            <w:pPr>
              <w:pStyle w:val="0Maintext"/>
              <w:spacing w:after="0" w:afterAutospacing="0"/>
              <w:ind w:firstLine="0"/>
              <w:rPr>
                <w:rFonts w:eastAsiaTheme="minorEastAsia"/>
                <w:lang w:eastAsia="zh-CN"/>
              </w:rPr>
            </w:pPr>
            <w:r>
              <w:rPr>
                <w:rFonts w:eastAsiaTheme="minorEastAsia"/>
                <w:lang w:eastAsia="zh-CN"/>
              </w:rPr>
              <w:t>Lenovo (2)</w:t>
            </w:r>
          </w:p>
        </w:tc>
        <w:tc>
          <w:tcPr>
            <w:tcW w:w="8076" w:type="dxa"/>
          </w:tcPr>
          <w:p w14:paraId="35F74CA7" w14:textId="62175480" w:rsidR="008F335F" w:rsidRPr="00126C60" w:rsidRDefault="008F335F" w:rsidP="00126C60">
            <w:pPr>
              <w:rPr>
                <w:rFonts w:eastAsiaTheme="minorEastAsia"/>
                <w:lang w:eastAsia="zh-CN"/>
              </w:rPr>
            </w:pPr>
            <w:r w:rsidRPr="00126C60">
              <w:rPr>
                <w:rFonts w:eastAsiaTheme="minorEastAsia"/>
                <w:lang w:eastAsia="zh-CN"/>
              </w:rPr>
              <w:t>We think supporting multiple CPE from a Tx UE's perspective makes sense to take into account transmission priorities (</w:t>
            </w:r>
            <w:r w:rsidR="00126C60" w:rsidRPr="00126C60">
              <w:rPr>
                <w:rFonts w:eastAsiaTheme="minorEastAsia"/>
                <w:lang w:eastAsia="zh-CN"/>
              </w:rPr>
              <w:t>e.g.,</w:t>
            </w:r>
            <w:r w:rsidRPr="00126C60">
              <w:rPr>
                <w:rFonts w:eastAsiaTheme="minorEastAsia"/>
                <w:lang w:eastAsia="zh-CN"/>
              </w:rPr>
              <w:t xml:space="preserve"> by LCP). </w:t>
            </w:r>
            <w:r w:rsidR="00126C60" w:rsidRPr="00126C60">
              <w:rPr>
                <w:rFonts w:eastAsiaTheme="minorEastAsia"/>
                <w:lang w:eastAsia="zh-CN"/>
              </w:rPr>
              <w:t>However,</w:t>
            </w:r>
            <w:r w:rsidRPr="00126C60">
              <w:rPr>
                <w:rFonts w:eastAsiaTheme="minorEastAsia"/>
                <w:lang w:eastAsia="zh-CN"/>
              </w:rPr>
              <w:t xml:space="preserve"> for a given transmission a Tx UE determines just one CPE value (from a set of CPEs).</w:t>
            </w:r>
          </w:p>
        </w:tc>
      </w:tr>
      <w:tr w:rsidR="00663172" w14:paraId="3C523CE1" w14:textId="77777777" w:rsidTr="005A0613">
        <w:tc>
          <w:tcPr>
            <w:tcW w:w="1555" w:type="dxa"/>
          </w:tcPr>
          <w:p w14:paraId="270A674D" w14:textId="56E788D2" w:rsidR="00663172" w:rsidRDefault="00663172" w:rsidP="00663172">
            <w:pPr>
              <w:pStyle w:val="0Maintext"/>
              <w:spacing w:after="0" w:afterAutospacing="0"/>
              <w:ind w:firstLine="0"/>
              <w:rPr>
                <w:rFonts w:eastAsiaTheme="minorEastAsia"/>
                <w:lang w:eastAsia="zh-CN"/>
              </w:rPr>
            </w:pPr>
            <w:r>
              <w:rPr>
                <w:rFonts w:eastAsiaTheme="minorEastAsia" w:hint="eastAsia"/>
                <w:lang w:eastAsia="zh-CN"/>
              </w:rPr>
              <w:t>C</w:t>
            </w:r>
            <w:r>
              <w:rPr>
                <w:rFonts w:eastAsiaTheme="minorEastAsia"/>
                <w:lang w:eastAsia="zh-CN"/>
              </w:rPr>
              <w:t>ATT/GH</w:t>
            </w:r>
          </w:p>
        </w:tc>
        <w:tc>
          <w:tcPr>
            <w:tcW w:w="8076" w:type="dxa"/>
          </w:tcPr>
          <w:p w14:paraId="0B78D33C" w14:textId="77777777" w:rsidR="00663172" w:rsidRDefault="00663172" w:rsidP="00663172">
            <w:pPr>
              <w:pStyle w:val="0Maintext"/>
              <w:spacing w:after="0" w:afterAutospacing="0"/>
              <w:ind w:firstLine="0"/>
              <w:rPr>
                <w:rFonts w:eastAsiaTheme="minorEastAsia"/>
                <w:lang w:eastAsia="zh-CN"/>
              </w:rPr>
            </w:pPr>
            <w:bookmarkStart w:id="116" w:name="OLE_LINK17"/>
            <w:bookmarkStart w:id="117" w:name="OLE_LINK18"/>
            <w:r>
              <w:rPr>
                <w:rFonts w:eastAsiaTheme="minorEastAsia" w:hint="eastAsia"/>
                <w:lang w:eastAsia="zh-CN"/>
              </w:rPr>
              <w:t>W</w:t>
            </w:r>
            <w:r>
              <w:rPr>
                <w:rFonts w:eastAsiaTheme="minorEastAsia"/>
                <w:lang w:eastAsia="zh-CN"/>
              </w:rPr>
              <w:t>e do not support multiple CPE starting position.</w:t>
            </w:r>
          </w:p>
          <w:p w14:paraId="5529B6AF" w14:textId="354C4A56" w:rsidR="00663172" w:rsidRPr="00663172" w:rsidRDefault="00663172" w:rsidP="00663172">
            <w:pPr>
              <w:rPr>
                <w:rFonts w:eastAsiaTheme="minorEastAsia"/>
                <w:lang w:eastAsia="zh-CN"/>
              </w:rPr>
            </w:pPr>
            <w:r w:rsidRPr="00663172">
              <w:rPr>
                <w:rFonts w:eastAsiaTheme="minorEastAsia"/>
                <w:lang w:eastAsia="zh-CN"/>
              </w:rPr>
              <w:t>From our perspective, a common CPE starting position is beneficial for the FDM transmission within a COT duration, even for different priority transmissions. However, multiple CPE starting position may block some low priority transmission due to different CPE starting position and will challenge the original FDM transmission design of the resource selection mechanism in NR sidelink.</w:t>
            </w:r>
            <w:bookmarkEnd w:id="116"/>
            <w:bookmarkEnd w:id="117"/>
          </w:p>
        </w:tc>
      </w:tr>
      <w:tr w:rsidR="00126C60" w14:paraId="3DABAA0F" w14:textId="77777777" w:rsidTr="00126C60">
        <w:tc>
          <w:tcPr>
            <w:tcW w:w="1555" w:type="dxa"/>
          </w:tcPr>
          <w:p w14:paraId="323DCEE5" w14:textId="77777777" w:rsidR="00126C60" w:rsidRDefault="00126C60" w:rsidP="00126C60">
            <w:pPr>
              <w:pStyle w:val="0Maintext"/>
              <w:spacing w:after="0" w:afterAutospacing="0"/>
              <w:ind w:firstLine="0"/>
              <w:rPr>
                <w:rFonts w:eastAsiaTheme="minorEastAsia"/>
                <w:lang w:eastAsia="zh-CN"/>
              </w:rPr>
            </w:pPr>
            <w:r>
              <w:rPr>
                <w:rFonts w:eastAsiaTheme="minorEastAsia" w:hint="eastAsia"/>
                <w:lang w:val="en-US" w:eastAsia="zh-CN"/>
              </w:rPr>
              <w:t>Transsion</w:t>
            </w:r>
          </w:p>
        </w:tc>
        <w:tc>
          <w:tcPr>
            <w:tcW w:w="8076" w:type="dxa"/>
          </w:tcPr>
          <w:p w14:paraId="0836E995" w14:textId="77777777" w:rsidR="00126C60" w:rsidRDefault="00126C60" w:rsidP="00126C60">
            <w:pPr>
              <w:pStyle w:val="ListParagraph"/>
              <w:ind w:leftChars="0" w:left="0"/>
              <w:rPr>
                <w:rFonts w:eastAsiaTheme="minorEastAsia"/>
              </w:rPr>
            </w:pPr>
            <w:r>
              <w:rPr>
                <w:rFonts w:eastAsiaTheme="minorEastAsia" w:hint="eastAsia"/>
                <w:lang w:val="en-US"/>
              </w:rPr>
              <w:t>We share the same views as LG and DCM</w:t>
            </w:r>
            <w:r>
              <w:rPr>
                <w:rFonts w:eastAsiaTheme="minorEastAsia"/>
                <w:lang w:val="en-US"/>
              </w:rPr>
              <w:t>’</w:t>
            </w:r>
            <w:r>
              <w:rPr>
                <w:rFonts w:eastAsiaTheme="minorEastAsia" w:hint="eastAsia"/>
                <w:lang w:val="en-US"/>
              </w:rPr>
              <w:t>s view on multiple CPE starting positions.</w:t>
            </w:r>
          </w:p>
        </w:tc>
      </w:tr>
      <w:tr w:rsidR="00126C60" w:rsidRPr="00007272" w14:paraId="7C2A121F" w14:textId="77777777" w:rsidTr="00126C60">
        <w:tc>
          <w:tcPr>
            <w:tcW w:w="1555" w:type="dxa"/>
          </w:tcPr>
          <w:p w14:paraId="7DA7CC60" w14:textId="77777777" w:rsidR="00126C60" w:rsidRDefault="00126C60" w:rsidP="00126C60">
            <w:pPr>
              <w:pStyle w:val="0Maintext"/>
              <w:spacing w:after="0" w:afterAutospacing="0"/>
              <w:ind w:firstLine="0"/>
            </w:pPr>
            <w:r w:rsidRPr="00BE2B11">
              <w:rPr>
                <w:rFonts w:eastAsiaTheme="minorEastAsia" w:cs="Times New Roman"/>
                <w:lang w:eastAsia="zh-CN"/>
              </w:rPr>
              <w:t>Huawei, HiSilicon</w:t>
            </w:r>
          </w:p>
        </w:tc>
        <w:tc>
          <w:tcPr>
            <w:tcW w:w="8076" w:type="dxa"/>
          </w:tcPr>
          <w:p w14:paraId="2958714B" w14:textId="77777777" w:rsidR="00126C60" w:rsidRPr="003668CA" w:rsidRDefault="00126C60" w:rsidP="00126C60">
            <w:pPr>
              <w:autoSpaceDE w:val="0"/>
              <w:autoSpaceDN w:val="0"/>
              <w:jc w:val="both"/>
              <w:rPr>
                <w:rFonts w:ascii="Times New Roman" w:eastAsiaTheme="minorEastAsia" w:hAnsi="Times New Roman"/>
                <w:szCs w:val="20"/>
                <w:lang w:eastAsia="zh-CN"/>
              </w:rPr>
            </w:pPr>
            <w:r w:rsidRPr="00BE2B11">
              <w:rPr>
                <w:rFonts w:ascii="Times New Roman" w:eastAsiaTheme="minorEastAsia" w:hAnsi="Times New Roman"/>
                <w:szCs w:val="20"/>
                <w:lang w:eastAsia="zh-CN"/>
              </w:rPr>
              <w:t>We</w:t>
            </w:r>
            <w:r>
              <w:rPr>
                <w:rFonts w:ascii="Times New Roman" w:eastAsiaTheme="minorEastAsia" w:hAnsi="Times New Roman"/>
                <w:szCs w:val="20"/>
                <w:lang w:eastAsia="zh-CN"/>
              </w:rPr>
              <w:t xml:space="preserve"> are generally fine for the proposal, but some modification should be considered.</w:t>
            </w:r>
          </w:p>
          <w:p w14:paraId="40FF0BCF" w14:textId="77777777" w:rsidR="00126C60" w:rsidRDefault="00126C60" w:rsidP="00126C60">
            <w:pPr>
              <w:pStyle w:val="0Maintext"/>
              <w:spacing w:after="0" w:afterAutospacing="0"/>
              <w:ind w:firstLine="0"/>
            </w:pPr>
            <w:r>
              <w:t>On the point of multiple CPE starting positions, we support it. Resource reservation mechanism can help UE to avoid collision, however, maybe reliable enough. Signalling may be missed due to half duplex, hidden node and other reasons and UE might not detect some reservations from others. Thus, it could result in potential collision when UE performs transmission, and this point is also mentioned by QC. In addition, when different UEs transmit initial transmissions, no reservation information is known to each other. If they select same RB set or subchannels, collision will happen. It should be also noted, such collision could last persistently as long as MCOT length, because UE may perform transmission on multiple slots.</w:t>
            </w:r>
          </w:p>
          <w:p w14:paraId="1374DB92" w14:textId="77777777" w:rsidR="00126C60" w:rsidRDefault="00126C60" w:rsidP="00126C60">
            <w:pPr>
              <w:pStyle w:val="0Maintext"/>
              <w:spacing w:after="0" w:afterAutospacing="0"/>
              <w:ind w:firstLine="0"/>
            </w:pPr>
          </w:p>
          <w:p w14:paraId="05181B94" w14:textId="77777777" w:rsidR="00126C60" w:rsidRDefault="00126C60" w:rsidP="00126C60">
            <w:pPr>
              <w:pStyle w:val="0Maintext"/>
              <w:spacing w:after="0" w:afterAutospacing="0"/>
              <w:ind w:firstLine="0"/>
              <w:rPr>
                <w:rFonts w:eastAsiaTheme="minorEastAsia"/>
                <w:lang w:eastAsia="zh-CN"/>
              </w:rPr>
            </w:pPr>
            <w:r>
              <w:rPr>
                <w:rFonts w:eastAsiaTheme="minorEastAsia"/>
                <w:lang w:eastAsia="zh-CN"/>
              </w:rPr>
              <w:t>For the third sub-bullet of</w:t>
            </w:r>
            <w:r>
              <w:t xml:space="preserve"> m</w:t>
            </w:r>
            <w:r w:rsidRPr="009B29AC">
              <w:rPr>
                <w:rFonts w:eastAsiaTheme="minorEastAsia"/>
                <w:lang w:eastAsia="zh-CN"/>
              </w:rPr>
              <w:t>ultiple CPE starting positions</w:t>
            </w:r>
            <w:r>
              <w:rPr>
                <w:rFonts w:eastAsiaTheme="minorEastAsia"/>
                <w:lang w:eastAsia="zh-CN"/>
              </w:rPr>
              <w:t xml:space="preserve">, we think it is more </w:t>
            </w:r>
            <w:r w:rsidRPr="00AB4D30">
              <w:rPr>
                <w:rFonts w:eastAsiaTheme="minorEastAsia"/>
                <w:lang w:eastAsia="zh-CN"/>
              </w:rPr>
              <w:t xml:space="preserve">reasonable </w:t>
            </w:r>
            <w:r>
              <w:rPr>
                <w:rFonts w:eastAsiaTheme="minorEastAsia"/>
                <w:lang w:eastAsia="zh-CN"/>
              </w:rPr>
              <w:t>that the transmission priority level</w:t>
            </w:r>
            <w:r w:rsidRPr="00AB4D30">
              <w:rPr>
                <w:rFonts w:eastAsiaTheme="minorEastAsia"/>
                <w:lang w:eastAsia="zh-CN"/>
              </w:rPr>
              <w:t xml:space="preserve"> </w:t>
            </w:r>
            <w:r>
              <w:rPr>
                <w:rFonts w:eastAsiaTheme="minorEastAsia"/>
                <w:lang w:eastAsia="zh-CN"/>
              </w:rPr>
              <w:t>is L1 priority rather than CAPC. Since L1 priority (8 values) provides more finely mapping with CPE length, comparing with only 4 CAPC levels. So, we suggest add L1 priority as an example to decide CPE starting position for further discussion.</w:t>
            </w:r>
          </w:p>
          <w:p w14:paraId="08E69E56" w14:textId="77777777" w:rsidR="00126C60" w:rsidRDefault="00126C60" w:rsidP="00126C60">
            <w:pPr>
              <w:pStyle w:val="0Maintext"/>
              <w:numPr>
                <w:ilvl w:val="1"/>
                <w:numId w:val="24"/>
              </w:numPr>
              <w:spacing w:after="0" w:afterAutospacing="0" w:line="240" w:lineRule="auto"/>
              <w:rPr>
                <w:rFonts w:ascii="Calibri" w:hAnsi="Calibri" w:cs="Calibri"/>
                <w:sz w:val="22"/>
                <w:lang w:val="en-US" w:eastAsia="x-none"/>
              </w:rPr>
            </w:pPr>
            <w:r w:rsidRPr="00B00E3D">
              <w:rPr>
                <w:rFonts w:ascii="Calibri" w:hAnsi="Calibri" w:cs="Calibri" w:hint="eastAsia"/>
                <w:sz w:val="22"/>
                <w:lang w:val="en-US" w:eastAsia="x-none"/>
              </w:rPr>
              <w:t>Multiple CPE starting positions is supported</w:t>
            </w:r>
          </w:p>
          <w:p w14:paraId="12550B1B" w14:textId="77777777" w:rsidR="00126C60" w:rsidRDefault="00126C60" w:rsidP="00126C60">
            <w:pPr>
              <w:pStyle w:val="0Maintext"/>
              <w:numPr>
                <w:ilvl w:val="2"/>
                <w:numId w:val="24"/>
              </w:numPr>
              <w:spacing w:after="0" w:afterAutospacing="0" w:line="240" w:lineRule="auto"/>
              <w:rPr>
                <w:rFonts w:ascii="Calibri" w:hAnsi="Calibri" w:cs="Calibri"/>
                <w:sz w:val="22"/>
                <w:lang w:val="en-US" w:eastAsia="x-none"/>
              </w:rPr>
            </w:pPr>
            <w:r w:rsidRPr="005647E4">
              <w:rPr>
                <w:rFonts w:ascii="Calibri" w:hAnsi="Calibri" w:cs="Calibri"/>
                <w:color w:val="FF0000"/>
                <w:sz w:val="22"/>
                <w:lang w:val="en-US" w:eastAsia="x-none"/>
              </w:rPr>
              <w:t xml:space="preserve">FFS whether this applies to </w:t>
            </w:r>
            <w:r w:rsidRPr="00B00E3D">
              <w:rPr>
                <w:rFonts w:ascii="Calibri" w:hAnsi="Calibri" w:cs="Calibri" w:hint="eastAsia"/>
                <w:sz w:val="22"/>
                <w:lang w:val="en-US" w:eastAsia="x-none"/>
              </w:rPr>
              <w:t>a SL transmission using all resource blocks of one or more RB set(s)</w:t>
            </w:r>
          </w:p>
          <w:p w14:paraId="6397D7AF" w14:textId="77777777" w:rsidR="00126C60" w:rsidRPr="008274D1" w:rsidRDefault="00126C60" w:rsidP="00126C60">
            <w:pPr>
              <w:pStyle w:val="0Maintext"/>
              <w:numPr>
                <w:ilvl w:val="2"/>
                <w:numId w:val="24"/>
              </w:numPr>
              <w:spacing w:after="0" w:afterAutospacing="0" w:line="240" w:lineRule="auto"/>
              <w:rPr>
                <w:rFonts w:ascii="Calibri" w:hAnsi="Calibri" w:cs="Calibri"/>
                <w:sz w:val="22"/>
                <w:lang w:val="en-US" w:eastAsia="x-none"/>
              </w:rPr>
            </w:pPr>
            <w:r w:rsidRPr="00B00E3D">
              <w:rPr>
                <w:rFonts w:ascii="Calibri" w:eastAsia="Batang" w:hAnsi="Calibri" w:cs="Calibri" w:hint="eastAsia"/>
                <w:sz w:val="22"/>
                <w:szCs w:val="24"/>
                <w:lang w:val="en-US" w:eastAsia="x-none"/>
              </w:rPr>
              <w:t xml:space="preserve">FFS </w:t>
            </w:r>
            <w:r w:rsidRPr="005647E4">
              <w:rPr>
                <w:rFonts w:ascii="Calibri" w:eastAsia="Batang" w:hAnsi="Calibri" w:cs="Calibri"/>
                <w:color w:val="FF0000"/>
                <w:sz w:val="22"/>
                <w:szCs w:val="24"/>
                <w:lang w:val="en-US" w:eastAsia="x-none"/>
              </w:rPr>
              <w:t xml:space="preserve">other </w:t>
            </w:r>
            <w:r w:rsidRPr="00B00E3D">
              <w:rPr>
                <w:rFonts w:ascii="Calibri" w:eastAsia="Batang" w:hAnsi="Calibri" w:cs="Calibri" w:hint="eastAsia"/>
                <w:sz w:val="22"/>
                <w:szCs w:val="24"/>
                <w:lang w:val="en-US" w:eastAsia="x-none"/>
              </w:rPr>
              <w:t>details</w:t>
            </w:r>
            <w:r>
              <w:rPr>
                <w:rFonts w:ascii="Calibri" w:eastAsia="Batang" w:hAnsi="Calibri" w:cs="Calibri"/>
                <w:sz w:val="22"/>
                <w:szCs w:val="24"/>
                <w:lang w:val="en-US" w:eastAsia="x-none"/>
              </w:rPr>
              <w:t xml:space="preserve">, </w:t>
            </w:r>
            <w:r w:rsidRPr="004B4A30">
              <w:rPr>
                <w:rFonts w:ascii="Calibri" w:hAnsi="Calibri" w:cs="Calibri"/>
                <w:color w:val="FF0000"/>
                <w:sz w:val="22"/>
                <w:lang w:val="en-US" w:eastAsia="x-none"/>
              </w:rPr>
              <w:t xml:space="preserve">method to achieve </w:t>
            </w:r>
            <w:r>
              <w:rPr>
                <w:rFonts w:ascii="Calibri" w:hAnsi="Calibri" w:cs="Calibri"/>
                <w:color w:val="FF0000"/>
                <w:sz w:val="22"/>
                <w:lang w:val="en-US" w:eastAsia="x-none"/>
              </w:rPr>
              <w:t>multiple</w:t>
            </w:r>
            <w:r w:rsidRPr="004B4A30">
              <w:rPr>
                <w:rFonts w:ascii="Calibri" w:hAnsi="Calibri" w:cs="Calibri"/>
                <w:color w:val="FF0000"/>
                <w:sz w:val="22"/>
                <w:lang w:val="en-US" w:eastAsia="x-none"/>
              </w:rPr>
              <w:t xml:space="preserve"> CPE starting position</w:t>
            </w:r>
            <w:r>
              <w:rPr>
                <w:rFonts w:ascii="Calibri" w:hAnsi="Calibri" w:cs="Calibri"/>
                <w:color w:val="FF0000"/>
                <w:sz w:val="22"/>
                <w:lang w:val="en-US" w:eastAsia="x-none"/>
              </w:rPr>
              <w:t>s</w:t>
            </w:r>
            <w:r w:rsidRPr="004B4A30">
              <w:rPr>
                <w:rFonts w:ascii="Calibri" w:hAnsi="Calibri" w:cs="Calibri"/>
                <w:color w:val="FF0000"/>
                <w:sz w:val="22"/>
                <w:lang w:val="en-US" w:eastAsia="x-none"/>
              </w:rPr>
              <w:t>,</w:t>
            </w:r>
            <w:r w:rsidRPr="00B00E3D">
              <w:rPr>
                <w:rFonts w:ascii="Calibri" w:eastAsia="Batang" w:hAnsi="Calibri" w:cs="Calibri" w:hint="eastAsia"/>
                <w:sz w:val="22"/>
                <w:szCs w:val="24"/>
                <w:lang w:val="en-US" w:eastAsia="x-none"/>
              </w:rPr>
              <w:t xml:space="preserve"> applicable scenarios</w:t>
            </w:r>
            <w:r>
              <w:rPr>
                <w:rFonts w:ascii="Calibri" w:eastAsia="Batang" w:hAnsi="Calibri" w:cs="Calibri"/>
                <w:sz w:val="22"/>
                <w:szCs w:val="24"/>
                <w:lang w:val="en-US" w:eastAsia="x-none"/>
              </w:rPr>
              <w:t xml:space="preserve"> </w:t>
            </w:r>
            <w:r w:rsidRPr="00EB3C62">
              <w:rPr>
                <w:rFonts w:ascii="Calibri" w:hAnsi="Calibri" w:cs="Calibri" w:hint="eastAsia"/>
                <w:color w:val="FF0000"/>
                <w:sz w:val="22"/>
                <w:lang w:val="en-US" w:eastAsia="x-none"/>
              </w:rPr>
              <w:t>(e.g., inside and outside a COT) and type(s) of SL transmission (e.g., PSSCH/PSCCH, PSFCH, S-SSB)</w:t>
            </w:r>
          </w:p>
          <w:p w14:paraId="533A3C59" w14:textId="77777777" w:rsidR="00126C60" w:rsidRPr="00007272" w:rsidRDefault="00126C60" w:rsidP="00126C60">
            <w:pPr>
              <w:pStyle w:val="0Maintext"/>
              <w:numPr>
                <w:ilvl w:val="2"/>
                <w:numId w:val="24"/>
              </w:numPr>
              <w:spacing w:after="0" w:afterAutospacing="0" w:line="240" w:lineRule="auto"/>
              <w:rPr>
                <w:rFonts w:ascii="Calibri" w:hAnsi="Calibri" w:cs="Calibri"/>
                <w:color w:val="FF0000"/>
                <w:sz w:val="22"/>
                <w:lang w:val="en-US" w:eastAsia="x-none"/>
              </w:rPr>
            </w:pPr>
            <w:r w:rsidRPr="008274D1">
              <w:rPr>
                <w:rFonts w:ascii="Calibri" w:eastAsia="Batang" w:hAnsi="Calibri" w:cs="Calibri"/>
                <w:color w:val="FF0000"/>
                <w:sz w:val="22"/>
                <w:szCs w:val="24"/>
                <w:lang w:val="en-US" w:eastAsia="x-none"/>
              </w:rPr>
              <w:t xml:space="preserve">FFS </w:t>
            </w:r>
            <w:r>
              <w:rPr>
                <w:rFonts w:ascii="Calibri" w:eastAsia="Batang" w:hAnsi="Calibri" w:cs="Calibri"/>
                <w:color w:val="FF0000"/>
                <w:sz w:val="22"/>
                <w:szCs w:val="24"/>
                <w:lang w:val="en-US" w:eastAsia="x-none"/>
              </w:rPr>
              <w:t xml:space="preserve">whether the multiple CPE starting positions are based on transmission priority level (e.g., CAPC </w:t>
            </w:r>
            <w:r w:rsidRPr="00007272">
              <w:rPr>
                <w:rFonts w:ascii="Calibri" w:eastAsia="Batang" w:hAnsi="Calibri" w:cs="Calibri"/>
                <w:color w:val="00B050"/>
                <w:sz w:val="22"/>
                <w:szCs w:val="24"/>
                <w:lang w:val="en-US" w:eastAsia="x-none"/>
              </w:rPr>
              <w:t>or L1 priority</w:t>
            </w:r>
            <w:r>
              <w:rPr>
                <w:rFonts w:ascii="Calibri" w:eastAsia="Batang" w:hAnsi="Calibri" w:cs="Calibri"/>
                <w:color w:val="FF0000"/>
                <w:sz w:val="22"/>
                <w:szCs w:val="24"/>
                <w:lang w:val="en-US" w:eastAsia="x-none"/>
              </w:rPr>
              <w:t>), random selection, or something else</w:t>
            </w:r>
          </w:p>
        </w:tc>
      </w:tr>
      <w:tr w:rsidR="0049089E" w:rsidRPr="00007272" w14:paraId="03192A22" w14:textId="77777777" w:rsidTr="0049089E">
        <w:tc>
          <w:tcPr>
            <w:tcW w:w="1555" w:type="dxa"/>
          </w:tcPr>
          <w:p w14:paraId="7D214477" w14:textId="77777777" w:rsidR="0049089E" w:rsidRPr="00BE2B11" w:rsidRDefault="0049089E" w:rsidP="004711C5">
            <w:pPr>
              <w:pStyle w:val="0Maintext"/>
              <w:spacing w:after="0" w:afterAutospacing="0"/>
              <w:ind w:firstLine="0"/>
              <w:rPr>
                <w:rFonts w:eastAsiaTheme="minorEastAsia" w:cs="Times New Roman"/>
                <w:lang w:eastAsia="zh-CN"/>
              </w:rPr>
            </w:pPr>
            <w:r>
              <w:t>Ericsson</w:t>
            </w:r>
          </w:p>
        </w:tc>
        <w:tc>
          <w:tcPr>
            <w:tcW w:w="8076" w:type="dxa"/>
          </w:tcPr>
          <w:p w14:paraId="004C92A7" w14:textId="77777777" w:rsidR="0049089E" w:rsidRDefault="0049089E" w:rsidP="0049089E">
            <w:r w:rsidRPr="00315022">
              <w:t xml:space="preserve">In our view, the case for the common CPE starting positions is not clear. If multiple CPE starting positions are supported, what is the role of having a common one? </w:t>
            </w:r>
          </w:p>
          <w:p w14:paraId="14A2C93E" w14:textId="77777777" w:rsidR="0049089E" w:rsidRDefault="0049089E" w:rsidP="0049089E">
            <w:r w:rsidRPr="00315022">
              <w:t>We propose to either remove the bullet entirely or keeping it FFS similar to the case of MCSt (last bullet).</w:t>
            </w:r>
          </w:p>
          <w:p w14:paraId="440F0852" w14:textId="77777777" w:rsidR="0049089E" w:rsidRPr="00315022" w:rsidRDefault="0049089E" w:rsidP="0049089E"/>
          <w:p w14:paraId="0FBF0DDC" w14:textId="77777777" w:rsidR="0049089E" w:rsidRPr="009803B2" w:rsidRDefault="0049089E" w:rsidP="0049089E">
            <w:r w:rsidRPr="00315022">
              <w:t>For one of the sub</w:t>
            </w:r>
            <w:r>
              <w:t>-</w:t>
            </w:r>
            <w:r w:rsidRPr="00315022">
              <w:t>bullets in the third bullet, we think that we can keep a broader scope at this point in time since it might need to have something that works for more general approaches. We propose the following wording:</w:t>
            </w:r>
          </w:p>
          <w:p w14:paraId="2F837555" w14:textId="77777777" w:rsidR="0049089E" w:rsidRDefault="0049089E" w:rsidP="0049089E">
            <w:pPr>
              <w:autoSpaceDE w:val="0"/>
              <w:autoSpaceDN w:val="0"/>
              <w:jc w:val="both"/>
              <w:rPr>
                <w:rFonts w:ascii="Calibri" w:hAnsi="Calibri" w:cs="Calibri"/>
                <w:b/>
                <w:bCs/>
                <w:sz w:val="22"/>
              </w:rPr>
            </w:pPr>
            <w:r w:rsidRPr="00C65E36">
              <w:rPr>
                <w:rFonts w:ascii="Calibri" w:hAnsi="Calibri" w:cs="Calibri"/>
                <w:b/>
                <w:bCs/>
                <w:sz w:val="22"/>
                <w:highlight w:val="yellow"/>
              </w:rPr>
              <w:t xml:space="preserve">Proposal </w:t>
            </w:r>
            <w:r>
              <w:rPr>
                <w:rFonts w:ascii="Calibri" w:hAnsi="Calibri" w:cs="Calibri"/>
                <w:b/>
                <w:bCs/>
                <w:sz w:val="22"/>
                <w:highlight w:val="yellow"/>
              </w:rPr>
              <w:t>4</w:t>
            </w:r>
            <w:r w:rsidRPr="00C65E36">
              <w:rPr>
                <w:rFonts w:ascii="Calibri" w:hAnsi="Calibri" w:cs="Calibri"/>
                <w:b/>
                <w:bCs/>
                <w:sz w:val="22"/>
                <w:highlight w:val="yellow"/>
              </w:rPr>
              <w:t xml:space="preserve"> (I</w:t>
            </w:r>
            <w:r>
              <w:rPr>
                <w:rFonts w:ascii="Calibri" w:hAnsi="Calibri" w:cs="Calibri"/>
                <w:b/>
                <w:bCs/>
                <w:sz w:val="22"/>
                <w:highlight w:val="yellow"/>
              </w:rPr>
              <w:t>I</w:t>
            </w:r>
            <w:r w:rsidRPr="00C65E36">
              <w:rPr>
                <w:rFonts w:ascii="Calibri" w:hAnsi="Calibri" w:cs="Calibri"/>
                <w:b/>
                <w:bCs/>
                <w:sz w:val="22"/>
                <w:highlight w:val="yellow"/>
              </w:rPr>
              <w:t>):</w:t>
            </w:r>
            <w:r>
              <w:rPr>
                <w:rFonts w:ascii="Calibri" w:hAnsi="Calibri" w:cs="Calibri"/>
                <w:b/>
                <w:bCs/>
                <w:sz w:val="22"/>
              </w:rPr>
              <w:t xml:space="preserve"> </w:t>
            </w:r>
          </w:p>
          <w:p w14:paraId="6139117F" w14:textId="77777777" w:rsidR="0049089E" w:rsidRPr="005647E4" w:rsidRDefault="0049089E" w:rsidP="0049089E">
            <w:pPr>
              <w:pStyle w:val="ListParagraph"/>
              <w:numPr>
                <w:ilvl w:val="0"/>
                <w:numId w:val="24"/>
              </w:numPr>
              <w:autoSpaceDE w:val="0"/>
              <w:autoSpaceDN w:val="0"/>
              <w:ind w:leftChars="0"/>
              <w:jc w:val="both"/>
              <w:rPr>
                <w:rFonts w:ascii="Calibri" w:hAnsi="Calibri" w:cs="Calibri"/>
                <w:color w:val="FF0000"/>
                <w:sz w:val="22"/>
              </w:rPr>
            </w:pPr>
            <w:r w:rsidRPr="005647E4">
              <w:rPr>
                <w:rFonts w:ascii="Calibri" w:hAnsi="Calibri" w:cs="Calibri"/>
                <w:color w:val="FF0000"/>
                <w:sz w:val="22"/>
              </w:rPr>
              <w:t>At least for single slot transmission case:</w:t>
            </w:r>
          </w:p>
          <w:p w14:paraId="65612A3F" w14:textId="77777777" w:rsidR="0049089E" w:rsidRPr="00B00E3D" w:rsidRDefault="0049089E" w:rsidP="0049089E">
            <w:pPr>
              <w:pStyle w:val="0Maintext"/>
              <w:numPr>
                <w:ilvl w:val="1"/>
                <w:numId w:val="24"/>
              </w:numPr>
              <w:spacing w:after="0" w:afterAutospacing="0" w:line="240" w:lineRule="auto"/>
              <w:rPr>
                <w:rFonts w:ascii="Calibri" w:hAnsi="Calibri" w:cs="Calibri"/>
                <w:sz w:val="22"/>
                <w:lang w:val="en-US" w:eastAsia="x-none"/>
              </w:rPr>
            </w:pPr>
            <w:r w:rsidRPr="00B00E3D">
              <w:rPr>
                <w:rFonts w:ascii="Calibri" w:hAnsi="Calibri" w:cs="Calibri" w:hint="eastAsia"/>
                <w:sz w:val="22"/>
                <w:lang w:val="en-US" w:eastAsia="x-none"/>
              </w:rPr>
              <w:t xml:space="preserve">A CPE is transmitted from a CPE starting position until the start of the </w:t>
            </w:r>
            <w:r w:rsidRPr="004B4A30">
              <w:rPr>
                <w:rFonts w:ascii="Calibri" w:hAnsi="Calibri" w:cs="Calibri"/>
                <w:color w:val="FF0000"/>
                <w:sz w:val="22"/>
                <w:lang w:val="en-US" w:eastAsia="x-none"/>
              </w:rPr>
              <w:t xml:space="preserve">next </w:t>
            </w:r>
            <w:r w:rsidRPr="00B00E3D">
              <w:rPr>
                <w:rFonts w:ascii="Calibri" w:hAnsi="Calibri" w:cs="Calibri" w:hint="eastAsia"/>
                <w:sz w:val="22"/>
                <w:lang w:val="en-US" w:eastAsia="x-none"/>
              </w:rPr>
              <w:t>AGC symbol</w:t>
            </w:r>
          </w:p>
          <w:p w14:paraId="5B9EAF6B" w14:textId="77777777" w:rsidR="0049089E" w:rsidRPr="00B00E3D" w:rsidRDefault="0049089E" w:rsidP="0049089E">
            <w:pPr>
              <w:pStyle w:val="0Maintext"/>
              <w:numPr>
                <w:ilvl w:val="2"/>
                <w:numId w:val="24"/>
              </w:numPr>
              <w:spacing w:after="0" w:afterAutospacing="0" w:line="240" w:lineRule="auto"/>
              <w:rPr>
                <w:rFonts w:ascii="Calibri" w:hAnsi="Calibri" w:cs="Calibri"/>
                <w:sz w:val="22"/>
                <w:lang w:val="en-US" w:eastAsia="x-none"/>
              </w:rPr>
            </w:pPr>
            <w:r w:rsidRPr="00B00E3D">
              <w:rPr>
                <w:rFonts w:ascii="Calibri" w:hAnsi="Calibri" w:cs="Calibri" w:hint="eastAsia"/>
                <w:sz w:val="22"/>
                <w:lang w:val="en-US" w:eastAsia="x-none"/>
              </w:rPr>
              <w:t xml:space="preserve">FFS the CPE starting position is always confined within </w:t>
            </w:r>
            <w:r w:rsidRPr="004B4A30">
              <w:rPr>
                <w:rFonts w:ascii="Calibri" w:hAnsi="Calibri" w:cs="Calibri"/>
                <w:color w:val="FF0000"/>
                <w:sz w:val="22"/>
                <w:lang w:val="en-US" w:eastAsia="x-none"/>
              </w:rPr>
              <w:t>a</w:t>
            </w:r>
            <w:r w:rsidRPr="00B00E3D">
              <w:rPr>
                <w:rFonts w:ascii="Calibri" w:hAnsi="Calibri" w:cs="Calibri" w:hint="eastAsia"/>
                <w:sz w:val="22"/>
                <w:lang w:val="en-US" w:eastAsia="x-none"/>
              </w:rPr>
              <w:t xml:space="preserve"> symbol</w:t>
            </w:r>
          </w:p>
          <w:p w14:paraId="71BC715D" w14:textId="77777777" w:rsidR="0049089E" w:rsidRPr="00C62855" w:rsidRDefault="0049089E" w:rsidP="0049089E">
            <w:pPr>
              <w:pStyle w:val="0Maintext"/>
              <w:numPr>
                <w:ilvl w:val="1"/>
                <w:numId w:val="24"/>
              </w:numPr>
              <w:spacing w:after="0" w:afterAutospacing="0" w:line="240" w:lineRule="auto"/>
              <w:rPr>
                <w:rFonts w:ascii="Calibri" w:hAnsi="Calibri" w:cs="Calibri"/>
                <w:strike/>
                <w:color w:val="5B9BD5" w:themeColor="accent1"/>
                <w:sz w:val="22"/>
                <w:lang w:val="en-US" w:eastAsia="x-none"/>
              </w:rPr>
            </w:pPr>
            <w:r w:rsidRPr="00C62855">
              <w:rPr>
                <w:rFonts w:ascii="Calibri" w:hAnsi="Calibri" w:cs="Calibri" w:hint="eastAsia"/>
                <w:strike/>
                <w:color w:val="5B9BD5" w:themeColor="accent1"/>
                <w:sz w:val="22"/>
                <w:lang w:val="en-US" w:eastAsia="x-none"/>
              </w:rPr>
              <w:t xml:space="preserve">A </w:t>
            </w:r>
            <w:r w:rsidRPr="00C62855">
              <w:rPr>
                <w:rFonts w:ascii="Calibri" w:hAnsi="Calibri" w:cs="Calibri"/>
                <w:strike/>
                <w:color w:val="5B9BD5" w:themeColor="accent1"/>
                <w:sz w:val="22"/>
                <w:lang w:val="en-US" w:eastAsia="x-none"/>
              </w:rPr>
              <w:t xml:space="preserve">common </w:t>
            </w:r>
            <w:r w:rsidRPr="00C62855">
              <w:rPr>
                <w:rFonts w:ascii="Calibri" w:hAnsi="Calibri" w:cs="Calibri" w:hint="eastAsia"/>
                <w:strike/>
                <w:color w:val="5B9BD5" w:themeColor="accent1"/>
                <w:sz w:val="22"/>
                <w:lang w:val="en-US" w:eastAsia="x-none"/>
              </w:rPr>
              <w:t xml:space="preserve">CPE starting position </w:t>
            </w:r>
            <w:r w:rsidRPr="00C62855">
              <w:rPr>
                <w:rFonts w:ascii="Calibri" w:hAnsi="Calibri" w:cs="Calibri"/>
                <w:strike/>
                <w:color w:val="5B9BD5" w:themeColor="accent1"/>
                <w:sz w:val="22"/>
                <w:lang w:val="en-US" w:eastAsia="x-none"/>
              </w:rPr>
              <w:t>is supported</w:t>
            </w:r>
          </w:p>
          <w:p w14:paraId="6555E04A" w14:textId="77777777" w:rsidR="0049089E" w:rsidRPr="00C62855" w:rsidRDefault="0049089E" w:rsidP="0049089E">
            <w:pPr>
              <w:pStyle w:val="0Maintext"/>
              <w:numPr>
                <w:ilvl w:val="2"/>
                <w:numId w:val="24"/>
              </w:numPr>
              <w:spacing w:after="0" w:afterAutospacing="0" w:line="240" w:lineRule="auto"/>
              <w:rPr>
                <w:rFonts w:ascii="Calibri" w:hAnsi="Calibri" w:cs="Calibri"/>
                <w:strike/>
                <w:color w:val="5B9BD5" w:themeColor="accent1"/>
                <w:sz w:val="22"/>
                <w:lang w:val="en-US" w:eastAsia="x-none"/>
              </w:rPr>
            </w:pPr>
            <w:r w:rsidRPr="00C62855">
              <w:rPr>
                <w:rFonts w:ascii="Calibri" w:hAnsi="Calibri" w:cs="Calibri"/>
                <w:strike/>
                <w:color w:val="5B9BD5" w:themeColor="accent1"/>
                <w:sz w:val="22"/>
                <w:lang w:val="en-US" w:eastAsia="x-none"/>
              </w:rPr>
              <w:t>FFS whether this applies to</w:t>
            </w:r>
            <w:r w:rsidRPr="00C62855">
              <w:rPr>
                <w:rFonts w:ascii="Calibri" w:hAnsi="Calibri" w:cs="Calibri" w:hint="eastAsia"/>
                <w:strike/>
                <w:color w:val="5B9BD5" w:themeColor="accent1"/>
                <w:sz w:val="22"/>
                <w:lang w:val="en-US" w:eastAsia="x-none"/>
              </w:rPr>
              <w:t xml:space="preserve"> a SL transmission using fewer than all resource blocks of an RB set</w:t>
            </w:r>
          </w:p>
          <w:p w14:paraId="2A8A591E" w14:textId="77777777" w:rsidR="0049089E" w:rsidRPr="00C62855" w:rsidRDefault="0049089E" w:rsidP="0049089E">
            <w:pPr>
              <w:pStyle w:val="0Maintext"/>
              <w:numPr>
                <w:ilvl w:val="2"/>
                <w:numId w:val="24"/>
              </w:numPr>
              <w:spacing w:after="0" w:afterAutospacing="0" w:line="240" w:lineRule="auto"/>
              <w:rPr>
                <w:rFonts w:ascii="Calibri" w:hAnsi="Calibri" w:cs="Calibri"/>
                <w:strike/>
                <w:color w:val="5B9BD5" w:themeColor="accent1"/>
                <w:sz w:val="22"/>
                <w:lang w:val="en-US" w:eastAsia="x-none"/>
              </w:rPr>
            </w:pPr>
            <w:r w:rsidRPr="00C62855">
              <w:rPr>
                <w:rFonts w:ascii="Calibri" w:hAnsi="Calibri" w:cs="Calibri" w:hint="eastAsia"/>
                <w:strike/>
                <w:color w:val="5B9BD5" w:themeColor="accent1"/>
                <w:sz w:val="22"/>
                <w:lang w:val="en-US" w:eastAsia="x-none"/>
              </w:rPr>
              <w:lastRenderedPageBreak/>
              <w:t xml:space="preserve">FFS </w:t>
            </w:r>
            <w:r w:rsidRPr="00C62855">
              <w:rPr>
                <w:rFonts w:ascii="Calibri" w:hAnsi="Calibri" w:cs="Calibri"/>
                <w:strike/>
                <w:color w:val="5B9BD5" w:themeColor="accent1"/>
                <w:sz w:val="22"/>
                <w:lang w:val="en-US" w:eastAsia="x-none"/>
              </w:rPr>
              <w:t xml:space="preserve">other </w:t>
            </w:r>
            <w:r w:rsidRPr="00C62855">
              <w:rPr>
                <w:rFonts w:ascii="Calibri" w:hAnsi="Calibri" w:cs="Calibri" w:hint="eastAsia"/>
                <w:strike/>
                <w:color w:val="5B9BD5" w:themeColor="accent1"/>
                <w:sz w:val="22"/>
                <w:lang w:val="en-US" w:eastAsia="x-none"/>
              </w:rPr>
              <w:t xml:space="preserve">details, </w:t>
            </w:r>
            <w:r w:rsidRPr="00C62855">
              <w:rPr>
                <w:rFonts w:ascii="Calibri" w:hAnsi="Calibri" w:cs="Calibri"/>
                <w:strike/>
                <w:color w:val="5B9BD5" w:themeColor="accent1"/>
                <w:sz w:val="22"/>
                <w:lang w:val="en-US" w:eastAsia="x-none"/>
              </w:rPr>
              <w:t xml:space="preserve">method to achieve same CPE starting position, </w:t>
            </w:r>
            <w:r w:rsidRPr="00C62855">
              <w:rPr>
                <w:rFonts w:ascii="Calibri" w:hAnsi="Calibri" w:cs="Calibri" w:hint="eastAsia"/>
                <w:strike/>
                <w:color w:val="5B9BD5" w:themeColor="accent1"/>
                <w:sz w:val="22"/>
                <w:lang w:val="en-US" w:eastAsia="x-none"/>
              </w:rPr>
              <w:t>applicable scenarios (e.g., inside and outside a COT) and type(s) of SL transmission (e.g., PSSCH/PSCCH, PSFCH, S-SSB)</w:t>
            </w:r>
          </w:p>
          <w:p w14:paraId="18898C66" w14:textId="77777777" w:rsidR="0049089E" w:rsidRDefault="0049089E" w:rsidP="0049089E">
            <w:pPr>
              <w:pStyle w:val="0Maintext"/>
              <w:numPr>
                <w:ilvl w:val="1"/>
                <w:numId w:val="24"/>
              </w:numPr>
              <w:spacing w:after="0" w:afterAutospacing="0" w:line="240" w:lineRule="auto"/>
              <w:rPr>
                <w:rFonts w:ascii="Calibri" w:hAnsi="Calibri" w:cs="Calibri"/>
                <w:sz w:val="22"/>
                <w:lang w:val="en-US" w:eastAsia="x-none"/>
              </w:rPr>
            </w:pPr>
            <w:r w:rsidRPr="00B00E3D">
              <w:rPr>
                <w:rFonts w:ascii="Calibri" w:hAnsi="Calibri" w:cs="Calibri" w:hint="eastAsia"/>
                <w:sz w:val="22"/>
                <w:lang w:val="en-US" w:eastAsia="x-none"/>
              </w:rPr>
              <w:t>Multiple CPE starting positions is supported</w:t>
            </w:r>
          </w:p>
          <w:p w14:paraId="6FDBD6E1" w14:textId="77777777" w:rsidR="0049089E" w:rsidRDefault="0049089E" w:rsidP="0049089E">
            <w:pPr>
              <w:pStyle w:val="0Maintext"/>
              <w:numPr>
                <w:ilvl w:val="2"/>
                <w:numId w:val="24"/>
              </w:numPr>
              <w:spacing w:after="0" w:afterAutospacing="0" w:line="240" w:lineRule="auto"/>
              <w:rPr>
                <w:rFonts w:ascii="Calibri" w:hAnsi="Calibri" w:cs="Calibri"/>
                <w:sz w:val="22"/>
                <w:lang w:val="en-US" w:eastAsia="x-none"/>
              </w:rPr>
            </w:pPr>
            <w:r w:rsidRPr="005647E4">
              <w:rPr>
                <w:rFonts w:ascii="Calibri" w:hAnsi="Calibri" w:cs="Calibri"/>
                <w:color w:val="FF0000"/>
                <w:sz w:val="22"/>
                <w:lang w:val="en-US" w:eastAsia="x-none"/>
              </w:rPr>
              <w:t xml:space="preserve">FFS </w:t>
            </w:r>
            <w:r w:rsidRPr="001D0641">
              <w:rPr>
                <w:rFonts w:ascii="Calibri" w:hAnsi="Calibri" w:cs="Calibri"/>
                <w:strike/>
                <w:color w:val="5B9BD5" w:themeColor="accent1"/>
                <w:sz w:val="22"/>
                <w:lang w:val="en-US" w:eastAsia="x-none"/>
              </w:rPr>
              <w:t xml:space="preserve">whether this applies to </w:t>
            </w:r>
            <w:r w:rsidRPr="001D0641">
              <w:rPr>
                <w:rFonts w:ascii="Calibri" w:hAnsi="Calibri" w:cs="Calibri" w:hint="eastAsia"/>
                <w:strike/>
                <w:color w:val="5B9BD5" w:themeColor="accent1"/>
                <w:sz w:val="22"/>
                <w:lang w:val="en-US" w:eastAsia="x-none"/>
              </w:rPr>
              <w:t>a SL transmission using all resource blocks of one or more RB set(s)</w:t>
            </w:r>
            <w:r w:rsidRPr="001D0641">
              <w:rPr>
                <w:rFonts w:ascii="Calibri" w:hAnsi="Calibri" w:cs="Calibri"/>
                <w:color w:val="5B9BD5" w:themeColor="accent1"/>
                <w:sz w:val="22"/>
                <w:lang w:eastAsia="x-none"/>
              </w:rPr>
              <w:t xml:space="preserve"> to which signals this is applied</w:t>
            </w:r>
          </w:p>
          <w:p w14:paraId="5FCF6DEC" w14:textId="77777777" w:rsidR="0049089E" w:rsidRPr="008274D1" w:rsidRDefault="0049089E" w:rsidP="0049089E">
            <w:pPr>
              <w:pStyle w:val="0Maintext"/>
              <w:numPr>
                <w:ilvl w:val="2"/>
                <w:numId w:val="24"/>
              </w:numPr>
              <w:spacing w:after="0" w:afterAutospacing="0" w:line="240" w:lineRule="auto"/>
              <w:rPr>
                <w:rFonts w:ascii="Calibri" w:hAnsi="Calibri" w:cs="Calibri"/>
                <w:sz w:val="22"/>
                <w:lang w:val="en-US" w:eastAsia="x-none"/>
              </w:rPr>
            </w:pPr>
            <w:r w:rsidRPr="00B00E3D">
              <w:rPr>
                <w:rFonts w:ascii="Calibri" w:eastAsia="Batang" w:hAnsi="Calibri" w:cs="Calibri" w:hint="eastAsia"/>
                <w:sz w:val="22"/>
                <w:szCs w:val="24"/>
                <w:lang w:val="en-US" w:eastAsia="x-none"/>
              </w:rPr>
              <w:t xml:space="preserve">FFS </w:t>
            </w:r>
            <w:r w:rsidRPr="005647E4">
              <w:rPr>
                <w:rFonts w:ascii="Calibri" w:eastAsia="Batang" w:hAnsi="Calibri" w:cs="Calibri"/>
                <w:color w:val="FF0000"/>
                <w:sz w:val="22"/>
                <w:szCs w:val="24"/>
                <w:lang w:val="en-US" w:eastAsia="x-none"/>
              </w:rPr>
              <w:t xml:space="preserve">other </w:t>
            </w:r>
            <w:r w:rsidRPr="00B00E3D">
              <w:rPr>
                <w:rFonts w:ascii="Calibri" w:eastAsia="Batang" w:hAnsi="Calibri" w:cs="Calibri" w:hint="eastAsia"/>
                <w:sz w:val="22"/>
                <w:szCs w:val="24"/>
                <w:lang w:val="en-US" w:eastAsia="x-none"/>
              </w:rPr>
              <w:t>details</w:t>
            </w:r>
            <w:r>
              <w:rPr>
                <w:rFonts w:ascii="Calibri" w:eastAsia="Batang" w:hAnsi="Calibri" w:cs="Calibri"/>
                <w:sz w:val="22"/>
                <w:szCs w:val="24"/>
                <w:lang w:val="en-US" w:eastAsia="x-none"/>
              </w:rPr>
              <w:t xml:space="preserve">, </w:t>
            </w:r>
            <w:r w:rsidRPr="004B4A30">
              <w:rPr>
                <w:rFonts w:ascii="Calibri" w:hAnsi="Calibri" w:cs="Calibri"/>
                <w:color w:val="FF0000"/>
                <w:sz w:val="22"/>
                <w:lang w:val="en-US" w:eastAsia="x-none"/>
              </w:rPr>
              <w:t xml:space="preserve">method to achieve </w:t>
            </w:r>
            <w:r>
              <w:rPr>
                <w:rFonts w:ascii="Calibri" w:hAnsi="Calibri" w:cs="Calibri"/>
                <w:color w:val="FF0000"/>
                <w:sz w:val="22"/>
                <w:lang w:val="en-US" w:eastAsia="x-none"/>
              </w:rPr>
              <w:t>multiple</w:t>
            </w:r>
            <w:r w:rsidRPr="004B4A30">
              <w:rPr>
                <w:rFonts w:ascii="Calibri" w:hAnsi="Calibri" w:cs="Calibri"/>
                <w:color w:val="FF0000"/>
                <w:sz w:val="22"/>
                <w:lang w:val="en-US" w:eastAsia="x-none"/>
              </w:rPr>
              <w:t xml:space="preserve"> CPE starting position</w:t>
            </w:r>
            <w:r>
              <w:rPr>
                <w:rFonts w:ascii="Calibri" w:hAnsi="Calibri" w:cs="Calibri"/>
                <w:color w:val="FF0000"/>
                <w:sz w:val="22"/>
                <w:lang w:val="en-US" w:eastAsia="x-none"/>
              </w:rPr>
              <w:t>s</w:t>
            </w:r>
            <w:r w:rsidRPr="004B4A30">
              <w:rPr>
                <w:rFonts w:ascii="Calibri" w:hAnsi="Calibri" w:cs="Calibri"/>
                <w:color w:val="FF0000"/>
                <w:sz w:val="22"/>
                <w:lang w:val="en-US" w:eastAsia="x-none"/>
              </w:rPr>
              <w:t>,</w:t>
            </w:r>
            <w:r w:rsidRPr="00B00E3D">
              <w:rPr>
                <w:rFonts w:ascii="Calibri" w:eastAsia="Batang" w:hAnsi="Calibri" w:cs="Calibri" w:hint="eastAsia"/>
                <w:sz w:val="22"/>
                <w:szCs w:val="24"/>
                <w:lang w:val="en-US" w:eastAsia="x-none"/>
              </w:rPr>
              <w:t xml:space="preserve"> applicable scenarios</w:t>
            </w:r>
            <w:r>
              <w:rPr>
                <w:rFonts w:ascii="Calibri" w:eastAsia="Batang" w:hAnsi="Calibri" w:cs="Calibri"/>
                <w:sz w:val="22"/>
                <w:szCs w:val="24"/>
                <w:lang w:val="en-US" w:eastAsia="x-none"/>
              </w:rPr>
              <w:t xml:space="preserve"> </w:t>
            </w:r>
            <w:r w:rsidRPr="00EB3C62">
              <w:rPr>
                <w:rFonts w:ascii="Calibri" w:hAnsi="Calibri" w:cs="Calibri" w:hint="eastAsia"/>
                <w:color w:val="FF0000"/>
                <w:sz w:val="22"/>
                <w:lang w:val="en-US" w:eastAsia="x-none"/>
              </w:rPr>
              <w:t>(e.g., inside and outside a COT) and type(s) of SL transmission (e.g., PSSCH/PSCCH, PSFCH, S-SSB)</w:t>
            </w:r>
          </w:p>
          <w:p w14:paraId="33B8DE10" w14:textId="77777777" w:rsidR="0049089E" w:rsidRPr="008274D1" w:rsidRDefault="0049089E" w:rsidP="0049089E">
            <w:pPr>
              <w:pStyle w:val="0Maintext"/>
              <w:numPr>
                <w:ilvl w:val="2"/>
                <w:numId w:val="24"/>
              </w:numPr>
              <w:spacing w:after="0" w:afterAutospacing="0" w:line="240" w:lineRule="auto"/>
              <w:rPr>
                <w:rFonts w:ascii="Calibri" w:hAnsi="Calibri" w:cs="Calibri"/>
                <w:color w:val="FF0000"/>
                <w:sz w:val="22"/>
                <w:lang w:val="en-US" w:eastAsia="x-none"/>
              </w:rPr>
            </w:pPr>
            <w:r w:rsidRPr="008274D1">
              <w:rPr>
                <w:rFonts w:ascii="Calibri" w:eastAsia="Batang" w:hAnsi="Calibri" w:cs="Calibri"/>
                <w:color w:val="FF0000"/>
                <w:sz w:val="22"/>
                <w:szCs w:val="24"/>
                <w:lang w:val="en-US" w:eastAsia="x-none"/>
              </w:rPr>
              <w:t xml:space="preserve">FFS </w:t>
            </w:r>
            <w:r>
              <w:rPr>
                <w:rFonts w:ascii="Calibri" w:eastAsia="Batang" w:hAnsi="Calibri" w:cs="Calibri"/>
                <w:color w:val="FF0000"/>
                <w:sz w:val="22"/>
                <w:szCs w:val="24"/>
                <w:lang w:val="en-US" w:eastAsia="x-none"/>
              </w:rPr>
              <w:t>whether the multiple CPE starting positions are based on transmission priority level (e.g., CAPC), random selection, or something else</w:t>
            </w:r>
          </w:p>
          <w:p w14:paraId="562BD1CB" w14:textId="77777777" w:rsidR="0049089E" w:rsidRPr="009803B2" w:rsidRDefault="0049089E" w:rsidP="0049089E">
            <w:pPr>
              <w:pStyle w:val="0Maintext"/>
              <w:numPr>
                <w:ilvl w:val="0"/>
                <w:numId w:val="24"/>
              </w:numPr>
              <w:spacing w:after="0" w:afterAutospacing="0" w:line="240" w:lineRule="auto"/>
              <w:rPr>
                <w:rFonts w:ascii="Calibri" w:hAnsi="Calibri" w:cs="Calibri"/>
                <w:color w:val="FF0000"/>
                <w:sz w:val="22"/>
                <w:lang w:val="en-US" w:eastAsia="x-none"/>
              </w:rPr>
            </w:pPr>
            <w:r>
              <w:rPr>
                <w:rFonts w:ascii="Calibri" w:eastAsia="Batang" w:hAnsi="Calibri" w:cs="Calibri"/>
                <w:color w:val="FF0000"/>
                <w:sz w:val="22"/>
                <w:szCs w:val="24"/>
                <w:lang w:val="en-US" w:eastAsia="x-none"/>
              </w:rPr>
              <w:t>FFS for multi-consecutive slots transmission (MCSt) case</w:t>
            </w:r>
          </w:p>
          <w:p w14:paraId="5A8D8AF8" w14:textId="4E08C4D4" w:rsidR="0049089E" w:rsidRPr="0049089E" w:rsidRDefault="0049089E" w:rsidP="0049089E">
            <w:pPr>
              <w:pStyle w:val="0Maintext"/>
              <w:numPr>
                <w:ilvl w:val="0"/>
                <w:numId w:val="24"/>
              </w:numPr>
              <w:spacing w:after="0" w:afterAutospacing="0" w:line="240" w:lineRule="auto"/>
              <w:rPr>
                <w:rFonts w:ascii="Calibri" w:hAnsi="Calibri" w:cs="Calibri"/>
                <w:color w:val="5B9BD5" w:themeColor="accent1"/>
                <w:sz w:val="22"/>
                <w:lang w:val="en-US" w:eastAsia="x-none"/>
              </w:rPr>
            </w:pPr>
            <w:r w:rsidRPr="009803B2">
              <w:rPr>
                <w:rFonts w:ascii="Calibri" w:eastAsia="Batang" w:hAnsi="Calibri" w:cs="Calibri"/>
                <w:color w:val="5B9BD5" w:themeColor="accent1"/>
                <w:sz w:val="22"/>
                <w:szCs w:val="24"/>
                <w:lang w:val="en-US" w:eastAsia="x-none"/>
              </w:rPr>
              <w:t>FFS: a common CPE starting position</w:t>
            </w:r>
          </w:p>
        </w:tc>
      </w:tr>
      <w:tr w:rsidR="0049089E" w:rsidRPr="00007272" w14:paraId="18F29069" w14:textId="77777777" w:rsidTr="0049089E">
        <w:tc>
          <w:tcPr>
            <w:tcW w:w="1555" w:type="dxa"/>
          </w:tcPr>
          <w:p w14:paraId="77720C40" w14:textId="77777777" w:rsidR="0049089E" w:rsidRDefault="0049089E" w:rsidP="004711C5">
            <w:pPr>
              <w:pStyle w:val="0Maintext"/>
              <w:spacing w:after="0" w:afterAutospacing="0"/>
              <w:ind w:firstLine="0"/>
            </w:pPr>
            <w:r>
              <w:rPr>
                <w:rFonts w:eastAsiaTheme="minorEastAsia" w:hint="eastAsia"/>
                <w:lang w:val="en-US" w:eastAsia="zh-CN"/>
              </w:rPr>
              <w:lastRenderedPageBreak/>
              <w:t>M</w:t>
            </w:r>
            <w:r>
              <w:rPr>
                <w:rFonts w:eastAsiaTheme="minorEastAsia"/>
                <w:lang w:val="en-US" w:eastAsia="zh-CN"/>
              </w:rPr>
              <w:t>ediaTek</w:t>
            </w:r>
          </w:p>
        </w:tc>
        <w:tc>
          <w:tcPr>
            <w:tcW w:w="8076" w:type="dxa"/>
          </w:tcPr>
          <w:p w14:paraId="6D4CF267" w14:textId="77777777" w:rsidR="0049089E" w:rsidRDefault="0049089E" w:rsidP="0049089E">
            <w:pPr>
              <w:pStyle w:val="ListParagraph"/>
              <w:ind w:leftChars="0" w:left="0"/>
              <w:rPr>
                <w:rFonts w:eastAsiaTheme="minorEastAsia"/>
              </w:rPr>
            </w:pPr>
            <w:r>
              <w:rPr>
                <w:rFonts w:eastAsiaTheme="minorEastAsia" w:hint="eastAsia"/>
                <w:lang w:val="en-US"/>
              </w:rPr>
              <w:t>F</w:t>
            </w:r>
            <w:r>
              <w:rPr>
                <w:rFonts w:eastAsiaTheme="minorEastAsia"/>
                <w:lang w:val="en-US"/>
              </w:rPr>
              <w:t>or the 1</w:t>
            </w:r>
            <w:r w:rsidRPr="00E97532">
              <w:rPr>
                <w:rFonts w:eastAsiaTheme="minorEastAsia"/>
                <w:vertAlign w:val="superscript"/>
                <w:lang w:val="en-US"/>
              </w:rPr>
              <w:t>st</w:t>
            </w:r>
            <w:r>
              <w:rPr>
                <w:rFonts w:eastAsiaTheme="minorEastAsia"/>
                <w:lang w:val="en-US"/>
              </w:rPr>
              <w:t xml:space="preserve"> FFS “</w:t>
            </w:r>
            <w:r w:rsidRPr="00E97532">
              <w:rPr>
                <w:rFonts w:eastAsiaTheme="minorEastAsia"/>
                <w:lang w:val="en-US"/>
              </w:rPr>
              <w:t>FFS the CPE starting position is always confined within a symbol</w:t>
            </w:r>
            <w:r>
              <w:rPr>
                <w:rFonts w:eastAsiaTheme="minorEastAsia"/>
                <w:lang w:val="en-US"/>
              </w:rPr>
              <w:t xml:space="preserve">”, we share the same opinion as some other companies that it does not make sense here and should be removed or modified as the </w:t>
            </w:r>
            <w:r w:rsidRPr="00885463">
              <w:rPr>
                <w:rFonts w:eastAsiaTheme="minorEastAsia"/>
                <w:lang w:val="en-US"/>
              </w:rPr>
              <w:t xml:space="preserve">recommendation </w:t>
            </w:r>
            <w:r>
              <w:rPr>
                <w:rFonts w:eastAsiaTheme="minorEastAsia"/>
                <w:lang w:val="en-US"/>
              </w:rPr>
              <w:t xml:space="preserve">from </w:t>
            </w:r>
            <w:r>
              <w:rPr>
                <w:rFonts w:eastAsiaTheme="minorEastAsia"/>
              </w:rPr>
              <w:t>Lenovo:</w:t>
            </w:r>
          </w:p>
          <w:p w14:paraId="3BFC53A0" w14:textId="77777777" w:rsidR="0049089E" w:rsidRPr="00FB1502" w:rsidRDefault="0049089E" w:rsidP="0049089E">
            <w:pPr>
              <w:pStyle w:val="ListParagraph"/>
              <w:ind w:leftChars="0" w:left="0"/>
              <w:rPr>
                <w:rFonts w:eastAsiaTheme="minorEastAsia"/>
                <w:b/>
                <w:bCs/>
                <w:lang w:val="en-US"/>
              </w:rPr>
            </w:pPr>
            <w:r w:rsidRPr="00FB1502">
              <w:rPr>
                <w:rFonts w:eastAsiaTheme="minorEastAsia"/>
                <w:b/>
                <w:bCs/>
                <w:lang w:val="en-US"/>
              </w:rPr>
              <w:t>FFS the CPE extends the transmission by at most 1 symbol.</w:t>
            </w:r>
          </w:p>
          <w:p w14:paraId="5A2104DA" w14:textId="77777777" w:rsidR="0049089E" w:rsidRDefault="0049089E" w:rsidP="0049089E">
            <w:pPr>
              <w:pStyle w:val="ListParagraph"/>
              <w:ind w:leftChars="0" w:left="0"/>
              <w:rPr>
                <w:rFonts w:eastAsiaTheme="minorEastAsia"/>
                <w:lang w:val="en-US"/>
              </w:rPr>
            </w:pPr>
          </w:p>
          <w:p w14:paraId="3FC41655" w14:textId="77777777" w:rsidR="0049089E" w:rsidRDefault="0049089E" w:rsidP="0049089E">
            <w:pPr>
              <w:pStyle w:val="ListParagraph"/>
              <w:ind w:leftChars="0" w:left="0"/>
              <w:rPr>
                <w:rFonts w:eastAsiaTheme="minorEastAsia"/>
                <w:lang w:val="en-US"/>
              </w:rPr>
            </w:pPr>
            <w:r>
              <w:rPr>
                <w:rFonts w:eastAsiaTheme="minorEastAsia" w:hint="eastAsia"/>
                <w:lang w:val="en-US"/>
              </w:rPr>
              <w:t>F</w:t>
            </w:r>
            <w:r>
              <w:rPr>
                <w:rFonts w:eastAsiaTheme="minorEastAsia"/>
                <w:lang w:val="en-US"/>
              </w:rPr>
              <w:t>or the number of CPE starting positions, we support both options.</w:t>
            </w:r>
          </w:p>
          <w:p w14:paraId="60998D60" w14:textId="77777777" w:rsidR="0049089E" w:rsidRDefault="0049089E" w:rsidP="0049089E">
            <w:pPr>
              <w:pStyle w:val="ListParagraph"/>
              <w:ind w:leftChars="0" w:left="0"/>
              <w:rPr>
                <w:rFonts w:eastAsiaTheme="minorEastAsia"/>
                <w:lang w:val="en-US"/>
              </w:rPr>
            </w:pPr>
          </w:p>
          <w:p w14:paraId="7DD17530" w14:textId="77777777" w:rsidR="0049089E" w:rsidRDefault="0049089E" w:rsidP="0049089E">
            <w:pPr>
              <w:pStyle w:val="ListParagraph"/>
              <w:ind w:leftChars="0" w:left="0"/>
              <w:rPr>
                <w:rFonts w:eastAsiaTheme="minorEastAsia"/>
                <w:lang w:val="en-US"/>
              </w:rPr>
            </w:pPr>
            <w:r>
              <w:rPr>
                <w:rFonts w:eastAsiaTheme="minorEastAsia" w:hint="eastAsia"/>
                <w:lang w:val="en-US"/>
              </w:rPr>
              <w:t>F</w:t>
            </w:r>
            <w:r>
              <w:rPr>
                <w:rFonts w:eastAsiaTheme="minorEastAsia"/>
                <w:lang w:val="en-US"/>
              </w:rPr>
              <w:t>or the 2</w:t>
            </w:r>
            <w:r w:rsidRPr="0022081D">
              <w:rPr>
                <w:rFonts w:eastAsiaTheme="minorEastAsia"/>
                <w:vertAlign w:val="superscript"/>
                <w:lang w:val="en-US"/>
              </w:rPr>
              <w:t>nd</w:t>
            </w:r>
            <w:r>
              <w:rPr>
                <w:rFonts w:eastAsiaTheme="minorEastAsia"/>
                <w:lang w:val="en-US"/>
              </w:rPr>
              <w:t xml:space="preserve"> sub-bullet “</w:t>
            </w:r>
            <w:r w:rsidRPr="0022081D">
              <w:rPr>
                <w:rFonts w:eastAsiaTheme="minorEastAsia"/>
                <w:lang w:val="en-US"/>
              </w:rPr>
              <w:t>A common CPE starting position is supported</w:t>
            </w:r>
            <w:r>
              <w:rPr>
                <w:rFonts w:eastAsiaTheme="minorEastAsia"/>
                <w:lang w:val="en-US"/>
              </w:rPr>
              <w:t>”, we think the intention here is multiple partial RB set are FDMed. So we share the same opinion as Apple for the modification of this proposal:</w:t>
            </w:r>
          </w:p>
          <w:p w14:paraId="6789A00E" w14:textId="77777777" w:rsidR="0049089E" w:rsidRPr="00737C41" w:rsidRDefault="0049089E" w:rsidP="0049089E">
            <w:pPr>
              <w:pStyle w:val="0Maintext"/>
              <w:numPr>
                <w:ilvl w:val="1"/>
                <w:numId w:val="24"/>
              </w:numPr>
              <w:spacing w:after="0" w:afterAutospacing="0" w:line="240" w:lineRule="auto"/>
              <w:rPr>
                <w:rFonts w:ascii="Calibri" w:hAnsi="Calibri" w:cs="Calibri"/>
                <w:sz w:val="22"/>
                <w:lang w:val="en-US" w:eastAsia="zh-CN"/>
              </w:rPr>
            </w:pPr>
            <w:r>
              <w:rPr>
                <w:rFonts w:ascii="Calibri" w:hAnsi="Calibri" w:cs="Calibri" w:hint="eastAsia"/>
                <w:sz w:val="22"/>
                <w:lang w:val="en-US" w:eastAsia="zh-CN"/>
              </w:rPr>
              <w:t xml:space="preserve">A </w:t>
            </w:r>
            <w:r>
              <w:rPr>
                <w:rFonts w:ascii="Calibri" w:hAnsi="Calibri" w:cs="Calibri"/>
                <w:color w:val="FF0000"/>
                <w:sz w:val="22"/>
                <w:lang w:val="en-US" w:eastAsia="zh-CN"/>
              </w:rPr>
              <w:t xml:space="preserve">common </w:t>
            </w:r>
            <w:r>
              <w:rPr>
                <w:rFonts w:ascii="Calibri" w:hAnsi="Calibri" w:cs="Calibri" w:hint="eastAsia"/>
                <w:sz w:val="22"/>
                <w:lang w:val="en-US" w:eastAsia="zh-CN"/>
              </w:rPr>
              <w:t xml:space="preserve">CPE starting position </w:t>
            </w:r>
            <w:r>
              <w:rPr>
                <w:rFonts w:ascii="Calibri" w:hAnsi="Calibri" w:cs="Calibri"/>
                <w:color w:val="FF0000"/>
                <w:sz w:val="22"/>
                <w:lang w:val="en-US" w:eastAsia="zh-CN"/>
              </w:rPr>
              <w:t>is supported</w:t>
            </w:r>
          </w:p>
          <w:p w14:paraId="71FD2E9F" w14:textId="60AC7AC9" w:rsidR="0049089E" w:rsidRPr="0049089E" w:rsidRDefault="0049089E" w:rsidP="0049089E">
            <w:pPr>
              <w:pStyle w:val="0Maintext"/>
              <w:numPr>
                <w:ilvl w:val="2"/>
                <w:numId w:val="24"/>
              </w:numPr>
              <w:tabs>
                <w:tab w:val="left" w:pos="2160"/>
              </w:tabs>
              <w:spacing w:after="0" w:afterAutospacing="0" w:line="240" w:lineRule="auto"/>
              <w:rPr>
                <w:rFonts w:ascii="Calibri" w:hAnsi="Calibri" w:cs="Calibri"/>
                <w:sz w:val="22"/>
                <w:lang w:val="en-US" w:eastAsia="zh-CN"/>
              </w:rPr>
            </w:pPr>
            <w:r w:rsidRPr="00737C41">
              <w:rPr>
                <w:rFonts w:ascii="Calibri" w:hAnsi="Calibri" w:cs="Calibri"/>
                <w:color w:val="FF0000"/>
                <w:sz w:val="22"/>
                <w:lang w:val="en-US"/>
              </w:rPr>
              <w:t xml:space="preserve">FFS whether this </w:t>
            </w:r>
            <w:r w:rsidRPr="00737C41">
              <w:rPr>
                <w:rFonts w:ascii="Calibri" w:hAnsi="Calibri" w:cs="Calibri"/>
                <w:color w:val="FF0000"/>
                <w:sz w:val="22"/>
                <w:highlight w:val="yellow"/>
                <w:lang w:val="en-US"/>
              </w:rPr>
              <w:t>only</w:t>
            </w:r>
            <w:r>
              <w:rPr>
                <w:rFonts w:ascii="Calibri" w:hAnsi="Calibri" w:cs="Calibri"/>
                <w:color w:val="FF0000"/>
                <w:sz w:val="22"/>
                <w:lang w:val="en-US"/>
              </w:rPr>
              <w:t xml:space="preserve"> </w:t>
            </w:r>
            <w:r w:rsidRPr="00737C41">
              <w:rPr>
                <w:rFonts w:ascii="Calibri" w:hAnsi="Calibri" w:cs="Calibri"/>
                <w:color w:val="FF0000"/>
                <w:sz w:val="22"/>
                <w:lang w:val="en-US"/>
              </w:rPr>
              <w:t>applies to</w:t>
            </w:r>
            <w:r w:rsidRPr="00737C41">
              <w:rPr>
                <w:rFonts w:ascii="Calibri" w:hAnsi="Calibri" w:cs="Calibri" w:hint="eastAsia"/>
                <w:sz w:val="22"/>
                <w:lang w:val="en-US"/>
              </w:rPr>
              <w:t xml:space="preserve"> a SL transmission using fewer than all resource blocks of an RB set</w:t>
            </w:r>
          </w:p>
        </w:tc>
      </w:tr>
      <w:tr w:rsidR="004F4B69" w:rsidRPr="00007272" w14:paraId="3F1D7121" w14:textId="77777777" w:rsidTr="0049089E">
        <w:tc>
          <w:tcPr>
            <w:tcW w:w="1555" w:type="dxa"/>
          </w:tcPr>
          <w:p w14:paraId="1415E175" w14:textId="74521F1A" w:rsidR="004F4B69" w:rsidRDefault="004F4B69" w:rsidP="004711C5">
            <w:pPr>
              <w:pStyle w:val="0Maintext"/>
              <w:spacing w:after="0" w:afterAutospacing="0"/>
              <w:ind w:firstLine="0"/>
              <w:rPr>
                <w:rFonts w:eastAsiaTheme="minorEastAsia"/>
                <w:lang w:val="en-US" w:eastAsia="zh-CN"/>
              </w:rPr>
            </w:pPr>
            <w:r>
              <w:rPr>
                <w:rFonts w:eastAsiaTheme="minorEastAsia"/>
                <w:lang w:val="en-US" w:eastAsia="zh-CN"/>
              </w:rPr>
              <w:t>Qualcomm</w:t>
            </w:r>
          </w:p>
        </w:tc>
        <w:tc>
          <w:tcPr>
            <w:tcW w:w="8076" w:type="dxa"/>
          </w:tcPr>
          <w:p w14:paraId="5CCE1705" w14:textId="77777777" w:rsidR="004F4B69" w:rsidRDefault="004F4B69" w:rsidP="0049089E">
            <w:pPr>
              <w:pStyle w:val="ListParagraph"/>
              <w:ind w:leftChars="0" w:left="0"/>
              <w:rPr>
                <w:rFonts w:ascii="Calibri" w:hAnsi="Calibri" w:cs="Calibri"/>
                <w:sz w:val="22"/>
                <w:lang w:val="en-US"/>
              </w:rPr>
            </w:pPr>
            <w:r>
              <w:rPr>
                <w:rFonts w:eastAsiaTheme="minorEastAsia"/>
                <w:lang w:val="en-US"/>
              </w:rPr>
              <w:t xml:space="preserve">We previously commented on </w:t>
            </w:r>
            <w:r>
              <w:rPr>
                <w:rFonts w:eastAsiaTheme="minorEastAsia"/>
                <w:lang w:eastAsia="zh-CN"/>
              </w:rPr>
              <w:t>the segmentation of the main bullet in the two cases “</w:t>
            </w:r>
            <w:r w:rsidRPr="009E3FAA">
              <w:rPr>
                <w:rFonts w:ascii="Calibri" w:hAnsi="Calibri" w:cs="Calibri"/>
                <w:i/>
                <w:iCs/>
                <w:color w:val="FF0000"/>
                <w:sz w:val="22"/>
              </w:rPr>
              <w:t>At least for single slot transmission case</w:t>
            </w:r>
            <w:r>
              <w:rPr>
                <w:rFonts w:eastAsiaTheme="minorEastAsia"/>
                <w:lang w:eastAsia="zh-CN"/>
              </w:rPr>
              <w:t>” and “</w:t>
            </w:r>
            <w:r w:rsidRPr="009E3FAA">
              <w:rPr>
                <w:rFonts w:ascii="Calibri" w:hAnsi="Calibri" w:cs="Calibri"/>
                <w:i/>
                <w:iCs/>
                <w:color w:val="FF0000"/>
                <w:sz w:val="22"/>
                <w:lang w:val="en-US"/>
              </w:rPr>
              <w:t>FFS for multi-consecutive slots transmission (MCSt) case</w:t>
            </w:r>
            <w:r w:rsidRPr="002C5C5B">
              <w:rPr>
                <w:rFonts w:ascii="Calibri" w:hAnsi="Calibri" w:cs="Calibri"/>
                <w:sz w:val="22"/>
                <w:lang w:val="en-US"/>
              </w:rPr>
              <w:t>”</w:t>
            </w:r>
            <w:r>
              <w:rPr>
                <w:rFonts w:ascii="Calibri" w:hAnsi="Calibri" w:cs="Calibri"/>
                <w:sz w:val="22"/>
                <w:lang w:val="en-US"/>
              </w:rPr>
              <w:t>.</w:t>
            </w:r>
          </w:p>
          <w:p w14:paraId="264EEC63" w14:textId="77777777" w:rsidR="004F4B69" w:rsidRDefault="004F4B69" w:rsidP="0049089E">
            <w:pPr>
              <w:pStyle w:val="ListParagraph"/>
              <w:ind w:leftChars="0" w:left="0"/>
              <w:rPr>
                <w:rFonts w:ascii="Calibri" w:hAnsi="Calibri" w:cs="Calibri"/>
                <w:sz w:val="22"/>
                <w:lang w:val="en-US"/>
              </w:rPr>
            </w:pPr>
          </w:p>
          <w:p w14:paraId="630696F6" w14:textId="2EEA5DB5" w:rsidR="004F4B69" w:rsidRDefault="004F4B69" w:rsidP="0049089E">
            <w:pPr>
              <w:pStyle w:val="ListParagraph"/>
              <w:ind w:leftChars="0" w:left="0"/>
              <w:rPr>
                <w:rFonts w:ascii="Calibri" w:hAnsi="Calibri" w:cs="Calibri"/>
                <w:sz w:val="22"/>
                <w:lang w:val="en-US"/>
              </w:rPr>
            </w:pPr>
            <w:r>
              <w:rPr>
                <w:rFonts w:ascii="Calibri" w:hAnsi="Calibri" w:cs="Calibri"/>
                <w:sz w:val="22"/>
                <w:lang w:val="en-US"/>
              </w:rPr>
              <w:t xml:space="preserve">We propose to remove the </w:t>
            </w:r>
            <w:r>
              <w:rPr>
                <w:rFonts w:eastAsiaTheme="minorEastAsia"/>
                <w:lang w:eastAsia="zh-CN"/>
              </w:rPr>
              <w:t>“</w:t>
            </w:r>
            <w:r w:rsidRPr="009E3FAA">
              <w:rPr>
                <w:rFonts w:ascii="Calibri" w:hAnsi="Calibri" w:cs="Calibri"/>
                <w:i/>
                <w:iCs/>
                <w:color w:val="FF0000"/>
                <w:sz w:val="22"/>
                <w:lang w:val="en-US"/>
              </w:rPr>
              <w:t>FFS for multi-consecutive slots transmission (MCSt) case</w:t>
            </w:r>
            <w:r w:rsidRPr="002C5C5B">
              <w:rPr>
                <w:rFonts w:ascii="Calibri" w:hAnsi="Calibri" w:cs="Calibri"/>
                <w:sz w:val="22"/>
                <w:lang w:val="en-US"/>
              </w:rPr>
              <w:t>”</w:t>
            </w:r>
            <w:r>
              <w:rPr>
                <w:rFonts w:ascii="Calibri" w:hAnsi="Calibri" w:cs="Calibri"/>
                <w:sz w:val="22"/>
                <w:lang w:val="en-US"/>
              </w:rPr>
              <w:t>, and substitute the first main bullet with:</w:t>
            </w:r>
          </w:p>
          <w:p w14:paraId="3BDBC642" w14:textId="77777777" w:rsidR="004F4B69" w:rsidRDefault="004F4B69" w:rsidP="0049089E">
            <w:pPr>
              <w:pStyle w:val="ListParagraph"/>
              <w:ind w:leftChars="0" w:left="0"/>
              <w:rPr>
                <w:rFonts w:eastAsiaTheme="minorEastAsia"/>
                <w:lang w:val="en-US"/>
              </w:rPr>
            </w:pPr>
            <w:r>
              <w:rPr>
                <w:rFonts w:eastAsiaTheme="minorEastAsia"/>
                <w:lang w:val="en-US"/>
              </w:rPr>
              <w:t>“</w:t>
            </w:r>
            <w:r w:rsidRPr="004F4B69">
              <w:rPr>
                <w:rFonts w:eastAsiaTheme="minorEastAsia"/>
                <w:b/>
                <w:bCs/>
                <w:color w:val="FF0000"/>
                <w:lang w:val="en-US"/>
              </w:rPr>
              <w:t>At least from the beginning of the transmission burs</w:t>
            </w:r>
            <w:r>
              <w:rPr>
                <w:rFonts w:eastAsiaTheme="minorEastAsia"/>
                <w:lang w:val="en-US"/>
              </w:rPr>
              <w:t>”</w:t>
            </w:r>
          </w:p>
          <w:p w14:paraId="26770592" w14:textId="7019BA80" w:rsidR="004F4B69" w:rsidRDefault="004F4B69" w:rsidP="0049089E">
            <w:pPr>
              <w:pStyle w:val="ListParagraph"/>
              <w:ind w:leftChars="0" w:left="0"/>
              <w:rPr>
                <w:rFonts w:eastAsiaTheme="minorEastAsia"/>
                <w:lang w:val="en-US"/>
              </w:rPr>
            </w:pPr>
            <w:r>
              <w:rPr>
                <w:rFonts w:eastAsiaTheme="minorEastAsia"/>
                <w:lang w:val="en-US"/>
              </w:rPr>
              <w:t>Which could address the concerns of the companies that suggested the addition of the FFS on MCSt in the first place.</w:t>
            </w:r>
          </w:p>
        </w:tc>
      </w:tr>
    </w:tbl>
    <w:p w14:paraId="77F20385" w14:textId="77777777" w:rsidR="00FD61C8" w:rsidRPr="00840D46" w:rsidRDefault="00FD61C8" w:rsidP="00840D46">
      <w:pPr>
        <w:rPr>
          <w:lang w:eastAsia="x-none"/>
        </w:rPr>
      </w:pPr>
    </w:p>
    <w:p w14:paraId="2E1D766C" w14:textId="77777777" w:rsidR="00962640" w:rsidRDefault="00962640">
      <w:pPr>
        <w:rPr>
          <w:rFonts w:ascii="Arial" w:hAnsi="Arial"/>
          <w:b/>
          <w:bCs/>
          <w:i/>
          <w:iCs/>
          <w:color w:val="000000" w:themeColor="text1"/>
          <w:sz w:val="24"/>
          <w:szCs w:val="28"/>
          <w:lang w:eastAsia="x-none"/>
        </w:rPr>
      </w:pPr>
      <w:r>
        <w:rPr>
          <w:color w:val="000000" w:themeColor="text1"/>
        </w:rPr>
        <w:br w:type="page"/>
      </w:r>
    </w:p>
    <w:p w14:paraId="683DF8B3" w14:textId="7D292280" w:rsidR="00BE6393" w:rsidRDefault="00BE6393" w:rsidP="00B318BE">
      <w:pPr>
        <w:pStyle w:val="Heading2"/>
        <w:rPr>
          <w:color w:val="000000" w:themeColor="text1"/>
        </w:rPr>
      </w:pPr>
      <w:r>
        <w:rPr>
          <w:color w:val="000000" w:themeColor="text1"/>
        </w:rPr>
        <w:lastRenderedPageBreak/>
        <w:t>[</w:t>
      </w:r>
      <w:r w:rsidR="00213FE1">
        <w:rPr>
          <w:color w:val="000000" w:themeColor="text1"/>
        </w:rPr>
        <w:t>ACTIVE</w:t>
      </w:r>
      <w:r>
        <w:rPr>
          <w:color w:val="000000" w:themeColor="text1"/>
        </w:rPr>
        <w:t xml:space="preserve">] </w:t>
      </w:r>
      <w:r w:rsidRPr="00EB3830">
        <w:rPr>
          <w:color w:val="000000" w:themeColor="text1"/>
        </w:rPr>
        <w:t>Topic #</w:t>
      </w:r>
      <w:r>
        <w:rPr>
          <w:color w:val="000000" w:themeColor="text1"/>
        </w:rPr>
        <w:t>5</w:t>
      </w:r>
      <w:r w:rsidRPr="00EB3830">
        <w:rPr>
          <w:color w:val="000000" w:themeColor="text1"/>
        </w:rPr>
        <w:t xml:space="preserve">: </w:t>
      </w:r>
      <w:r>
        <w:rPr>
          <w:color w:val="000000" w:themeColor="text1"/>
        </w:rPr>
        <w:t>UE-to-UE COT sharing</w:t>
      </w:r>
    </w:p>
    <w:p w14:paraId="0AE6A210" w14:textId="77777777" w:rsidR="00BE6393" w:rsidRDefault="00BE6393" w:rsidP="00BE6393">
      <w:pPr>
        <w:spacing w:before="120"/>
        <w:jc w:val="both"/>
        <w:rPr>
          <w:rFonts w:asciiTheme="minorHAnsi" w:hAnsiTheme="minorHAnsi" w:cstheme="minorHAnsi"/>
          <w:color w:val="000000" w:themeColor="text1"/>
          <w:sz w:val="22"/>
          <w:szCs w:val="22"/>
        </w:rPr>
      </w:pPr>
      <w:r w:rsidRPr="00E8497D">
        <w:rPr>
          <w:rFonts w:asciiTheme="minorHAnsi" w:hAnsiTheme="minorHAnsi" w:cstheme="minorHAnsi"/>
          <w:b/>
          <w:bCs/>
          <w:color w:val="000000" w:themeColor="text1"/>
          <w:sz w:val="22"/>
          <w:szCs w:val="22"/>
          <w:u w:val="single"/>
        </w:rPr>
        <w:t>Background:</w:t>
      </w:r>
      <w:r w:rsidRPr="00E8497D">
        <w:rPr>
          <w:rFonts w:asciiTheme="minorHAnsi" w:hAnsiTheme="minorHAnsi" w:cstheme="minorHAnsi"/>
          <w:color w:val="000000" w:themeColor="text1"/>
          <w:sz w:val="22"/>
          <w:szCs w:val="22"/>
        </w:rPr>
        <w:t xml:space="preserve"> </w:t>
      </w:r>
    </w:p>
    <w:p w14:paraId="1F9140AB" w14:textId="5F6D0F2C" w:rsidR="008B4BF8" w:rsidRPr="0002600E" w:rsidRDefault="00710810" w:rsidP="00710810">
      <w:pPr>
        <w:autoSpaceDE w:val="0"/>
        <w:autoSpaceDN w:val="0"/>
        <w:spacing w:after="120"/>
        <w:jc w:val="both"/>
        <w:rPr>
          <w:rFonts w:ascii="Calibri" w:hAnsi="Calibri" w:cs="Calibri"/>
          <w:color w:val="000000" w:themeColor="text1"/>
          <w:sz w:val="22"/>
        </w:rPr>
      </w:pPr>
      <w:r w:rsidRPr="0002600E">
        <w:rPr>
          <w:rFonts w:ascii="Calibri" w:hAnsi="Calibri" w:cs="Calibri"/>
          <w:color w:val="000000" w:themeColor="text1"/>
          <w:sz w:val="22"/>
        </w:rPr>
        <w:t>In the last meeting (RAN1#1</w:t>
      </w:r>
      <w:r w:rsidR="008B4BF8" w:rsidRPr="0002600E">
        <w:rPr>
          <w:rFonts w:ascii="Calibri" w:hAnsi="Calibri" w:cs="Calibri"/>
          <w:color w:val="000000" w:themeColor="text1"/>
          <w:sz w:val="22"/>
        </w:rPr>
        <w:t>10</w:t>
      </w:r>
      <w:r w:rsidRPr="0002600E">
        <w:rPr>
          <w:rFonts w:ascii="Calibri" w:hAnsi="Calibri" w:cs="Calibri"/>
          <w:color w:val="000000" w:themeColor="text1"/>
          <w:sz w:val="22"/>
        </w:rPr>
        <w:t xml:space="preserve">), </w:t>
      </w:r>
      <w:r w:rsidR="008B4BF8" w:rsidRPr="0002600E">
        <w:rPr>
          <w:rFonts w:ascii="Calibri" w:hAnsi="Calibri" w:cs="Calibri"/>
          <w:color w:val="000000" w:themeColor="text1"/>
          <w:sz w:val="22"/>
        </w:rPr>
        <w:t xml:space="preserve">high-level details (the working principle) for UE-to-UE COT sharing was discussed. </w:t>
      </w:r>
      <w:r w:rsidR="0002600E" w:rsidRPr="0002600E">
        <w:rPr>
          <w:rFonts w:ascii="Calibri" w:hAnsi="Calibri" w:cs="Calibri"/>
          <w:color w:val="000000" w:themeColor="text1"/>
          <w:sz w:val="22"/>
        </w:rPr>
        <w:t>In terms of determining whether a UE can be a responding UE to use a shared COT from the initiator UE, we agreed on two alternatives and one of them should be selected. The corresponding agreement from the last meeting is duplicated below.</w:t>
      </w:r>
    </w:p>
    <w:tbl>
      <w:tblPr>
        <w:tblStyle w:val="TableGrid"/>
        <w:tblW w:w="0" w:type="auto"/>
        <w:tblLook w:val="04A0" w:firstRow="1" w:lastRow="0" w:firstColumn="1" w:lastColumn="0" w:noHBand="0" w:noVBand="1"/>
      </w:tblPr>
      <w:tblGrid>
        <w:gridCol w:w="9631"/>
      </w:tblGrid>
      <w:tr w:rsidR="00710810" w:rsidRPr="008B4BF8" w14:paraId="78498862" w14:textId="77777777" w:rsidTr="006B2419">
        <w:tc>
          <w:tcPr>
            <w:tcW w:w="9631" w:type="dxa"/>
          </w:tcPr>
          <w:p w14:paraId="058BFE97" w14:textId="77777777" w:rsidR="008B4BF8" w:rsidRPr="008B4BF8" w:rsidRDefault="008B4BF8" w:rsidP="008B4BF8">
            <w:pPr>
              <w:autoSpaceDE w:val="0"/>
              <w:autoSpaceDN w:val="0"/>
              <w:spacing w:before="60"/>
              <w:jc w:val="both"/>
              <w:rPr>
                <w:rFonts w:ascii="Times New Roman" w:hAnsi="Times New Roman"/>
                <w:szCs w:val="20"/>
              </w:rPr>
            </w:pPr>
            <w:r w:rsidRPr="008B4BF8">
              <w:rPr>
                <w:rFonts w:ascii="Times New Roman" w:hAnsi="Times New Roman"/>
                <w:b/>
                <w:bCs/>
                <w:szCs w:val="20"/>
                <w:highlight w:val="green"/>
              </w:rPr>
              <w:t>Agreement</w:t>
            </w:r>
          </w:p>
          <w:p w14:paraId="66B28739" w14:textId="77777777" w:rsidR="008B4BF8" w:rsidRPr="008B4BF8" w:rsidRDefault="008B4BF8" w:rsidP="008B4BF8">
            <w:pPr>
              <w:pStyle w:val="ListParagraph"/>
              <w:numPr>
                <w:ilvl w:val="0"/>
                <w:numId w:val="18"/>
              </w:numPr>
              <w:autoSpaceDE w:val="0"/>
              <w:autoSpaceDN w:val="0"/>
              <w:ind w:leftChars="0"/>
              <w:jc w:val="both"/>
              <w:rPr>
                <w:rFonts w:ascii="Times New Roman" w:hAnsi="Times New Roman"/>
                <w:szCs w:val="20"/>
              </w:rPr>
            </w:pPr>
            <w:r w:rsidRPr="008B4BF8">
              <w:rPr>
                <w:rFonts w:ascii="Times New Roman" w:hAnsi="Times New Roman"/>
                <w:szCs w:val="20"/>
              </w:rPr>
              <w:t>For UE-to-UE COT sharing, continue considering the following alternatives:</w:t>
            </w:r>
          </w:p>
          <w:p w14:paraId="69FA8187" w14:textId="77777777" w:rsidR="008B4BF8" w:rsidRPr="008B4BF8" w:rsidRDefault="008B4BF8" w:rsidP="008B4BF8">
            <w:pPr>
              <w:pStyle w:val="ListParagraph"/>
              <w:numPr>
                <w:ilvl w:val="1"/>
                <w:numId w:val="18"/>
              </w:numPr>
              <w:autoSpaceDE w:val="0"/>
              <w:autoSpaceDN w:val="0"/>
              <w:ind w:leftChars="0"/>
              <w:jc w:val="both"/>
              <w:rPr>
                <w:rFonts w:ascii="Times New Roman" w:hAnsi="Times New Roman"/>
                <w:szCs w:val="20"/>
              </w:rPr>
            </w:pPr>
            <w:r w:rsidRPr="008B4BF8">
              <w:rPr>
                <w:rFonts w:ascii="Times New Roman" w:hAnsi="Times New Roman"/>
                <w:szCs w:val="20"/>
              </w:rPr>
              <w:t>Alt. 1: A responding SL UE can utilize a COT shared by a COT initiating UE when the responding SL UE is a target receiver of the at least COT initiating UE’s PSSCH data transmission in the COT.</w:t>
            </w:r>
          </w:p>
          <w:p w14:paraId="4A48007E" w14:textId="77777777" w:rsidR="008B4BF8" w:rsidRPr="008B4BF8" w:rsidRDefault="008B4BF8" w:rsidP="008B4BF8">
            <w:pPr>
              <w:pStyle w:val="ListParagraph"/>
              <w:numPr>
                <w:ilvl w:val="2"/>
                <w:numId w:val="18"/>
              </w:numPr>
              <w:autoSpaceDE w:val="0"/>
              <w:autoSpaceDN w:val="0"/>
              <w:ind w:leftChars="0"/>
              <w:jc w:val="both"/>
              <w:rPr>
                <w:rFonts w:ascii="Times New Roman" w:hAnsi="Times New Roman"/>
                <w:szCs w:val="20"/>
              </w:rPr>
            </w:pPr>
            <w:r w:rsidRPr="008B4BF8">
              <w:rPr>
                <w:rFonts w:ascii="Times New Roman" w:hAnsi="Times New Roman"/>
                <w:szCs w:val="20"/>
              </w:rPr>
              <w:t>When the responding UE uses the shared COT for its transmission has an equal or smaller CAPC value than the CAPC value indicated in a shared COT information</w:t>
            </w:r>
          </w:p>
          <w:p w14:paraId="4747C38E" w14:textId="77777777" w:rsidR="008B4BF8" w:rsidRPr="008B4BF8" w:rsidRDefault="008B4BF8" w:rsidP="008B4BF8">
            <w:pPr>
              <w:pStyle w:val="ListParagraph"/>
              <w:numPr>
                <w:ilvl w:val="2"/>
                <w:numId w:val="18"/>
              </w:numPr>
              <w:autoSpaceDE w:val="0"/>
              <w:autoSpaceDN w:val="0"/>
              <w:ind w:leftChars="0"/>
              <w:jc w:val="both"/>
              <w:rPr>
                <w:rFonts w:ascii="Times New Roman" w:hAnsi="Times New Roman"/>
                <w:szCs w:val="20"/>
              </w:rPr>
            </w:pPr>
            <w:r w:rsidRPr="008B4BF8">
              <w:rPr>
                <w:rFonts w:ascii="Times New Roman" w:hAnsi="Times New Roman"/>
                <w:szCs w:val="20"/>
              </w:rPr>
              <w:t>FFS any additional conditions</w:t>
            </w:r>
          </w:p>
          <w:p w14:paraId="2725FA00" w14:textId="77777777" w:rsidR="008B4BF8" w:rsidRPr="008B4BF8" w:rsidRDefault="008B4BF8" w:rsidP="008B4BF8">
            <w:pPr>
              <w:pStyle w:val="ListParagraph"/>
              <w:numPr>
                <w:ilvl w:val="1"/>
                <w:numId w:val="18"/>
              </w:numPr>
              <w:autoSpaceDE w:val="0"/>
              <w:autoSpaceDN w:val="0"/>
              <w:ind w:leftChars="0"/>
              <w:jc w:val="both"/>
              <w:rPr>
                <w:rFonts w:ascii="Times New Roman" w:hAnsi="Times New Roman"/>
                <w:szCs w:val="20"/>
              </w:rPr>
            </w:pPr>
            <w:r w:rsidRPr="008B4BF8">
              <w:rPr>
                <w:rFonts w:ascii="Times New Roman" w:hAnsi="Times New Roman"/>
                <w:szCs w:val="20"/>
              </w:rPr>
              <w:t>Alt. 2: A responding SL UE can utilize a COT shared by a COT initiating UE when the responding SL UE is a target receiver of the COT initiating UE’s transmission in the COT.</w:t>
            </w:r>
          </w:p>
          <w:p w14:paraId="76F49C8D" w14:textId="77777777" w:rsidR="008B4BF8" w:rsidRPr="008B4BF8" w:rsidRDefault="008B4BF8" w:rsidP="008B4BF8">
            <w:pPr>
              <w:pStyle w:val="ListParagraph"/>
              <w:numPr>
                <w:ilvl w:val="2"/>
                <w:numId w:val="18"/>
              </w:numPr>
              <w:autoSpaceDE w:val="0"/>
              <w:autoSpaceDN w:val="0"/>
              <w:ind w:leftChars="0"/>
              <w:jc w:val="both"/>
              <w:rPr>
                <w:rFonts w:ascii="Times New Roman" w:hAnsi="Times New Roman"/>
                <w:szCs w:val="20"/>
              </w:rPr>
            </w:pPr>
            <w:r w:rsidRPr="008B4BF8">
              <w:rPr>
                <w:rFonts w:ascii="Times New Roman" w:hAnsi="Times New Roman"/>
                <w:szCs w:val="20"/>
              </w:rPr>
              <w:t>When the responding UE uses the shared COT for its transmission has an equal or smaller CAPC value than the CAPC value indicated in a shared COT information</w:t>
            </w:r>
          </w:p>
          <w:p w14:paraId="2126C329" w14:textId="77777777" w:rsidR="008B4BF8" w:rsidRPr="008B4BF8" w:rsidRDefault="008B4BF8" w:rsidP="008B4BF8">
            <w:pPr>
              <w:pStyle w:val="ListParagraph"/>
              <w:numPr>
                <w:ilvl w:val="2"/>
                <w:numId w:val="18"/>
              </w:numPr>
              <w:autoSpaceDE w:val="0"/>
              <w:autoSpaceDN w:val="0"/>
              <w:ind w:leftChars="0"/>
              <w:jc w:val="both"/>
              <w:rPr>
                <w:rFonts w:ascii="Times New Roman" w:hAnsi="Times New Roman"/>
                <w:szCs w:val="20"/>
              </w:rPr>
            </w:pPr>
            <w:r w:rsidRPr="008B4BF8">
              <w:rPr>
                <w:rFonts w:ascii="Times New Roman" w:hAnsi="Times New Roman"/>
                <w:szCs w:val="20"/>
              </w:rPr>
              <w:t>FFS how to determine a SL UE is a target receiver</w:t>
            </w:r>
          </w:p>
          <w:p w14:paraId="6719D223" w14:textId="77777777" w:rsidR="008B4BF8" w:rsidRPr="008B4BF8" w:rsidRDefault="008B4BF8" w:rsidP="008B4BF8">
            <w:pPr>
              <w:pStyle w:val="ListParagraph"/>
              <w:numPr>
                <w:ilvl w:val="2"/>
                <w:numId w:val="18"/>
              </w:numPr>
              <w:autoSpaceDE w:val="0"/>
              <w:autoSpaceDN w:val="0"/>
              <w:ind w:leftChars="0"/>
              <w:jc w:val="both"/>
              <w:rPr>
                <w:rFonts w:ascii="Times New Roman" w:hAnsi="Times New Roman"/>
                <w:szCs w:val="20"/>
              </w:rPr>
            </w:pPr>
            <w:r w:rsidRPr="008B4BF8">
              <w:rPr>
                <w:rFonts w:ascii="Times New Roman" w:hAnsi="Times New Roman"/>
                <w:szCs w:val="20"/>
              </w:rPr>
              <w:t>FFS: details of the channel type of the COT initiating UE’s transmission</w:t>
            </w:r>
          </w:p>
          <w:p w14:paraId="649F652D" w14:textId="77777777" w:rsidR="008B4BF8" w:rsidRPr="008B4BF8" w:rsidRDefault="008B4BF8" w:rsidP="008B4BF8">
            <w:pPr>
              <w:pStyle w:val="ListParagraph"/>
              <w:numPr>
                <w:ilvl w:val="2"/>
                <w:numId w:val="18"/>
              </w:numPr>
              <w:autoSpaceDE w:val="0"/>
              <w:autoSpaceDN w:val="0"/>
              <w:ind w:leftChars="0"/>
              <w:jc w:val="both"/>
              <w:rPr>
                <w:rFonts w:ascii="Times New Roman" w:hAnsi="Times New Roman"/>
                <w:szCs w:val="20"/>
              </w:rPr>
            </w:pPr>
            <w:r w:rsidRPr="008B4BF8">
              <w:rPr>
                <w:rFonts w:ascii="Times New Roman" w:hAnsi="Times New Roman"/>
                <w:szCs w:val="20"/>
              </w:rPr>
              <w:t>FFS any additional conditions</w:t>
            </w:r>
          </w:p>
          <w:p w14:paraId="51F94EBB" w14:textId="77777777" w:rsidR="008B4BF8" w:rsidRPr="008B4BF8" w:rsidRDefault="008B4BF8" w:rsidP="008B4BF8">
            <w:pPr>
              <w:pStyle w:val="ListParagraph"/>
              <w:numPr>
                <w:ilvl w:val="1"/>
                <w:numId w:val="18"/>
              </w:numPr>
              <w:autoSpaceDE w:val="0"/>
              <w:autoSpaceDN w:val="0"/>
              <w:ind w:leftChars="0"/>
              <w:jc w:val="both"/>
              <w:rPr>
                <w:rFonts w:ascii="Times New Roman" w:hAnsi="Times New Roman"/>
                <w:szCs w:val="20"/>
              </w:rPr>
            </w:pPr>
            <w:r w:rsidRPr="008B4BF8">
              <w:rPr>
                <w:rFonts w:ascii="Times New Roman" w:hAnsi="Times New Roman"/>
                <w:szCs w:val="20"/>
              </w:rPr>
              <w:t>For Alt1 and Alt2: When a responding UE uses a shared COT for its transmission(s), the COT initiating UE is a target receiver of the responding UE’s transmission(s).</w:t>
            </w:r>
          </w:p>
          <w:p w14:paraId="644E3E8A" w14:textId="77777777" w:rsidR="008B4BF8" w:rsidRPr="008B4BF8" w:rsidRDefault="008B4BF8" w:rsidP="008B4BF8">
            <w:pPr>
              <w:pStyle w:val="ListParagraph"/>
              <w:numPr>
                <w:ilvl w:val="2"/>
                <w:numId w:val="18"/>
              </w:numPr>
              <w:autoSpaceDE w:val="0"/>
              <w:autoSpaceDN w:val="0"/>
              <w:ind w:leftChars="0"/>
              <w:jc w:val="both"/>
              <w:rPr>
                <w:rFonts w:ascii="Times New Roman" w:hAnsi="Times New Roman"/>
                <w:szCs w:val="20"/>
              </w:rPr>
            </w:pPr>
            <w:r w:rsidRPr="008B4BF8">
              <w:rPr>
                <w:rFonts w:ascii="Times New Roman" w:hAnsi="Times New Roman"/>
                <w:szCs w:val="20"/>
              </w:rPr>
              <w:t>FFS: details of the channel type of the responding UE’s transmission(s)</w:t>
            </w:r>
          </w:p>
          <w:p w14:paraId="28C20F79" w14:textId="77777777" w:rsidR="008B4BF8" w:rsidRPr="008B4BF8" w:rsidRDefault="008B4BF8" w:rsidP="008B4BF8">
            <w:pPr>
              <w:pStyle w:val="ListParagraph"/>
              <w:numPr>
                <w:ilvl w:val="0"/>
                <w:numId w:val="18"/>
              </w:numPr>
              <w:autoSpaceDE w:val="0"/>
              <w:autoSpaceDN w:val="0"/>
              <w:ind w:leftChars="0"/>
              <w:jc w:val="both"/>
              <w:rPr>
                <w:rFonts w:ascii="Times New Roman" w:hAnsi="Times New Roman"/>
                <w:szCs w:val="20"/>
              </w:rPr>
            </w:pPr>
            <w:r w:rsidRPr="008B4BF8">
              <w:rPr>
                <w:rFonts w:ascii="Times New Roman" w:hAnsi="Times New Roman"/>
                <w:szCs w:val="20"/>
              </w:rPr>
              <w:t>gNB relaying/forwarding a UE initiated COT to another UE is not supported in Rel-18</w:t>
            </w:r>
          </w:p>
          <w:p w14:paraId="4E825025" w14:textId="4D668028" w:rsidR="00710810" w:rsidRPr="008B4BF8" w:rsidRDefault="008B4BF8" w:rsidP="008B4BF8">
            <w:pPr>
              <w:pStyle w:val="ListParagraph"/>
              <w:numPr>
                <w:ilvl w:val="0"/>
                <w:numId w:val="18"/>
              </w:numPr>
              <w:autoSpaceDE w:val="0"/>
              <w:autoSpaceDN w:val="0"/>
              <w:spacing w:after="60"/>
              <w:ind w:leftChars="0"/>
              <w:jc w:val="both"/>
              <w:rPr>
                <w:rFonts w:ascii="Times New Roman" w:hAnsi="Times New Roman"/>
                <w:szCs w:val="20"/>
              </w:rPr>
            </w:pPr>
            <w:r w:rsidRPr="008B4BF8">
              <w:rPr>
                <w:rFonts w:ascii="Times New Roman" w:hAnsi="Times New Roman"/>
                <w:szCs w:val="20"/>
              </w:rPr>
              <w:t>FFS whether a Mode 1 UE can report a COT or related information to gNB for aiding Mode 1 RA</w:t>
            </w:r>
          </w:p>
        </w:tc>
      </w:tr>
    </w:tbl>
    <w:p w14:paraId="38021BDA" w14:textId="34C7161F" w:rsidR="00710810" w:rsidRPr="00213FE1" w:rsidRDefault="00CA1683" w:rsidP="00710810">
      <w:pPr>
        <w:autoSpaceDE w:val="0"/>
        <w:autoSpaceDN w:val="0"/>
        <w:spacing w:before="120"/>
        <w:jc w:val="both"/>
        <w:rPr>
          <w:rFonts w:ascii="Calibri" w:hAnsi="Calibri" w:cs="Calibri"/>
          <w:color w:val="000000" w:themeColor="text1"/>
          <w:sz w:val="22"/>
        </w:rPr>
      </w:pPr>
      <w:r w:rsidRPr="00213FE1">
        <w:rPr>
          <w:rFonts w:ascii="Calibri" w:hAnsi="Calibri" w:cs="Calibri"/>
          <w:color w:val="000000" w:themeColor="text1"/>
          <w:sz w:val="22"/>
        </w:rPr>
        <w:t>On Alternative 1, the intention is to match to NR-U’s COT sharing principle, where the responding UE/node is always the target data SCH receiver of the transmitter. But in NR-U, the data transmission is mostly unicast in both DL and UL. Therefore, it is easy to control who is the intended receiver of the shared COT. In sidelink, on the other hand, broadcast and groupcast transmissions could be very common, and all UE decodes the 1</w:t>
      </w:r>
      <w:r w:rsidRPr="00213FE1">
        <w:rPr>
          <w:rFonts w:ascii="Calibri" w:hAnsi="Calibri" w:cs="Calibri"/>
          <w:color w:val="000000" w:themeColor="text1"/>
          <w:sz w:val="22"/>
          <w:vertAlign w:val="superscript"/>
        </w:rPr>
        <w:t>st</w:t>
      </w:r>
      <w:r w:rsidRPr="00213FE1">
        <w:rPr>
          <w:rFonts w:ascii="Calibri" w:hAnsi="Calibri" w:cs="Calibri"/>
          <w:color w:val="000000" w:themeColor="text1"/>
          <w:sz w:val="22"/>
        </w:rPr>
        <w:t xml:space="preserve"> and 2</w:t>
      </w:r>
      <w:r w:rsidRPr="00213FE1">
        <w:rPr>
          <w:rFonts w:ascii="Calibri" w:hAnsi="Calibri" w:cs="Calibri"/>
          <w:color w:val="000000" w:themeColor="text1"/>
          <w:sz w:val="22"/>
          <w:vertAlign w:val="superscript"/>
        </w:rPr>
        <w:t>nd</w:t>
      </w:r>
      <w:r w:rsidRPr="00213FE1">
        <w:rPr>
          <w:rFonts w:ascii="Calibri" w:hAnsi="Calibri" w:cs="Calibri"/>
          <w:color w:val="000000" w:themeColor="text1"/>
          <w:sz w:val="22"/>
        </w:rPr>
        <w:t xml:space="preserve"> stage SCI (</w:t>
      </w:r>
      <w:r w:rsidR="00745F49" w:rsidRPr="00213FE1">
        <w:rPr>
          <w:rFonts w:ascii="Calibri" w:hAnsi="Calibri" w:cs="Calibri"/>
          <w:color w:val="000000" w:themeColor="text1"/>
          <w:sz w:val="22"/>
        </w:rPr>
        <w:t xml:space="preserve">for mode 2 resource sensing and </w:t>
      </w:r>
      <w:r w:rsidRPr="00213FE1">
        <w:rPr>
          <w:rFonts w:ascii="Calibri" w:hAnsi="Calibri" w:cs="Calibri"/>
          <w:color w:val="000000" w:themeColor="text1"/>
          <w:sz w:val="22"/>
        </w:rPr>
        <w:t>determin</w:t>
      </w:r>
      <w:r w:rsidR="00745F49" w:rsidRPr="00213FE1">
        <w:rPr>
          <w:rFonts w:ascii="Calibri" w:hAnsi="Calibri" w:cs="Calibri"/>
          <w:color w:val="000000" w:themeColor="text1"/>
          <w:sz w:val="22"/>
        </w:rPr>
        <w:t>ing</w:t>
      </w:r>
      <w:r w:rsidRPr="00213FE1">
        <w:rPr>
          <w:rFonts w:ascii="Calibri" w:hAnsi="Calibri" w:cs="Calibri"/>
          <w:color w:val="000000" w:themeColor="text1"/>
          <w:sz w:val="22"/>
        </w:rPr>
        <w:t xml:space="preserve"> if the </w:t>
      </w:r>
      <w:r w:rsidR="00745F49" w:rsidRPr="00213FE1">
        <w:rPr>
          <w:rFonts w:ascii="Calibri" w:hAnsi="Calibri" w:cs="Calibri"/>
          <w:color w:val="000000" w:themeColor="text1"/>
          <w:sz w:val="22"/>
        </w:rPr>
        <w:t>data TB is intended for the UE</w:t>
      </w:r>
      <w:r w:rsidRPr="00213FE1">
        <w:rPr>
          <w:rFonts w:ascii="Calibri" w:hAnsi="Calibri" w:cs="Calibri"/>
          <w:color w:val="000000" w:themeColor="text1"/>
          <w:sz w:val="22"/>
        </w:rPr>
        <w:t xml:space="preserve">). </w:t>
      </w:r>
      <w:r w:rsidR="00D40A09" w:rsidRPr="00213FE1">
        <w:rPr>
          <w:rFonts w:ascii="Calibri" w:hAnsi="Calibri" w:cs="Calibri"/>
          <w:color w:val="000000" w:themeColor="text1"/>
          <w:sz w:val="22"/>
        </w:rPr>
        <w:t>As such, by decoding SCI only containing COT sharing information, a UE may interpret that it is eligible to use the shared COT although it is not an intended receiver for the PSSCH data.</w:t>
      </w:r>
    </w:p>
    <w:p w14:paraId="54A869FE" w14:textId="496A8469" w:rsidR="00D40A09" w:rsidRPr="00213FE1" w:rsidRDefault="00D40A09" w:rsidP="00710810">
      <w:pPr>
        <w:autoSpaceDE w:val="0"/>
        <w:autoSpaceDN w:val="0"/>
        <w:spacing w:before="120"/>
        <w:jc w:val="both"/>
        <w:rPr>
          <w:rFonts w:ascii="Calibri" w:hAnsi="Calibri" w:cs="Calibri"/>
          <w:color w:val="000000" w:themeColor="text1"/>
          <w:sz w:val="22"/>
        </w:rPr>
      </w:pPr>
      <w:r w:rsidRPr="00213FE1">
        <w:rPr>
          <w:rFonts w:ascii="Calibri" w:hAnsi="Calibri" w:cs="Calibri"/>
          <w:color w:val="000000" w:themeColor="text1"/>
          <w:sz w:val="22"/>
        </w:rPr>
        <w:t xml:space="preserve">On Alternative 2, the intention is to make the use of COT sharing more flexible and/or widely available to more SL UEs, even for UEs that are not the intended receivers for the PSSCH data. </w:t>
      </w:r>
      <w:r w:rsidR="008A1766" w:rsidRPr="00213FE1">
        <w:rPr>
          <w:rFonts w:ascii="Calibri" w:hAnsi="Calibri" w:cs="Calibri"/>
          <w:color w:val="000000" w:themeColor="text1"/>
          <w:sz w:val="22"/>
        </w:rPr>
        <w:t>This could mean when a UE receives and decodes COT sharing information in SCI, the UE could use the shared COT freely for its own sidelink transmissions.</w:t>
      </w:r>
    </w:p>
    <w:p w14:paraId="43F34499" w14:textId="7813C1E6" w:rsidR="00710810" w:rsidRPr="00213FE1" w:rsidRDefault="00213FE1" w:rsidP="00710810">
      <w:pPr>
        <w:autoSpaceDE w:val="0"/>
        <w:autoSpaceDN w:val="0"/>
        <w:spacing w:before="120"/>
        <w:jc w:val="both"/>
        <w:rPr>
          <w:rFonts w:ascii="Calibri" w:hAnsi="Calibri" w:cs="Calibri"/>
          <w:color w:val="000000" w:themeColor="text1"/>
          <w:sz w:val="22"/>
        </w:rPr>
      </w:pPr>
      <w:r w:rsidRPr="00213FE1">
        <w:rPr>
          <w:rFonts w:ascii="Calibri" w:hAnsi="Calibri" w:cs="Calibri"/>
          <w:color w:val="000000" w:themeColor="text1"/>
          <w:sz w:val="22"/>
        </w:rPr>
        <w:t>To some, Alternative 1 is more friendly to other RATs operation in the same shared channel since it adopts the same COT sharing strategy. To others, Alternative 2 is more flexible and the shared COT can be used by more SL UEs. From the Tdoc review summary (in Section 4.3), it can be seen that there is no clear majority of preference. Technically, they both can work for SL. Please indicate which option is your preference.</w:t>
      </w:r>
    </w:p>
    <w:p w14:paraId="669B8995" w14:textId="56077A0F" w:rsidR="00710810" w:rsidRPr="00213FE1" w:rsidRDefault="00213FE1" w:rsidP="00710810">
      <w:pPr>
        <w:autoSpaceDE w:val="0"/>
        <w:autoSpaceDN w:val="0"/>
        <w:spacing w:before="120"/>
        <w:jc w:val="both"/>
        <w:rPr>
          <w:rFonts w:ascii="Calibri" w:hAnsi="Calibri" w:cs="Calibri"/>
          <w:color w:val="000000" w:themeColor="text1"/>
          <w:sz w:val="22"/>
        </w:rPr>
      </w:pPr>
      <w:r w:rsidRPr="00213FE1">
        <w:rPr>
          <w:rFonts w:ascii="Calibri" w:hAnsi="Calibri" w:cs="Calibri"/>
          <w:color w:val="000000" w:themeColor="text1"/>
          <w:sz w:val="22"/>
        </w:rPr>
        <w:t>As for the COT sharing information and the container, the list provided in the Proposal 5 below is a common set of parameters that has been identified by the majority. It is still possible and likely we need to include more later. For the container, please indicate which is preferred.</w:t>
      </w:r>
    </w:p>
    <w:p w14:paraId="223398CA" w14:textId="77777777" w:rsidR="00710810" w:rsidRPr="00BE6393" w:rsidRDefault="00710810" w:rsidP="00BE6393">
      <w:pPr>
        <w:autoSpaceDE w:val="0"/>
        <w:autoSpaceDN w:val="0"/>
        <w:spacing w:before="120" w:after="120"/>
        <w:jc w:val="both"/>
        <w:rPr>
          <w:rFonts w:ascii="Calibri" w:hAnsi="Calibri" w:cs="Calibri"/>
          <w:color w:val="FF0000"/>
          <w:sz w:val="22"/>
          <w:szCs w:val="22"/>
        </w:rPr>
      </w:pPr>
    </w:p>
    <w:p w14:paraId="697ED24C" w14:textId="63655BE0" w:rsidR="00BE6393" w:rsidRPr="008F5EAB" w:rsidRDefault="00F468D5" w:rsidP="00BE6393">
      <w:pPr>
        <w:pStyle w:val="Heading3"/>
      </w:pPr>
      <w:r>
        <w:t>FL Proposal for round 1 discussion</w:t>
      </w:r>
    </w:p>
    <w:p w14:paraId="41568CB2" w14:textId="75DEAD65" w:rsidR="00BE6393" w:rsidRPr="00C65E36" w:rsidRDefault="00BE6393" w:rsidP="00BE6393">
      <w:pPr>
        <w:autoSpaceDE w:val="0"/>
        <w:autoSpaceDN w:val="0"/>
        <w:spacing w:before="120"/>
        <w:jc w:val="both"/>
        <w:rPr>
          <w:rFonts w:ascii="Calibri" w:hAnsi="Calibri" w:cs="Calibri"/>
          <w:sz w:val="22"/>
        </w:rPr>
      </w:pPr>
      <w:r w:rsidRPr="00962640">
        <w:rPr>
          <w:rFonts w:ascii="Calibri" w:hAnsi="Calibri" w:cs="Calibri"/>
          <w:b/>
          <w:bCs/>
          <w:sz w:val="22"/>
        </w:rPr>
        <w:t>Proposal 5 (I):</w:t>
      </w:r>
    </w:p>
    <w:p w14:paraId="46F01885" w14:textId="77777777" w:rsidR="00BE6393" w:rsidRPr="00BE6393" w:rsidRDefault="00BE6393">
      <w:pPr>
        <w:pStyle w:val="0Maintext"/>
        <w:numPr>
          <w:ilvl w:val="0"/>
          <w:numId w:val="25"/>
        </w:numPr>
        <w:spacing w:after="60" w:afterAutospacing="0" w:line="240" w:lineRule="auto"/>
        <w:ind w:hanging="357"/>
        <w:rPr>
          <w:rFonts w:ascii="Calibri" w:hAnsi="Calibri" w:cs="Calibri"/>
          <w:sz w:val="22"/>
          <w:lang w:val="en-US" w:eastAsia="x-none"/>
        </w:rPr>
      </w:pPr>
      <w:r w:rsidRPr="00BE6393">
        <w:rPr>
          <w:rFonts w:ascii="Calibri" w:hAnsi="Calibri" w:cs="Calibri" w:hint="eastAsia"/>
          <w:sz w:val="22"/>
          <w:lang w:val="en-AU" w:eastAsia="x-none"/>
        </w:rPr>
        <w:t>For UE-to-UE COT sharing (at least for PSCCH/PSSCH),</w:t>
      </w:r>
    </w:p>
    <w:p w14:paraId="03E985B4" w14:textId="77777777" w:rsidR="00BE6393" w:rsidRPr="00BE6393" w:rsidRDefault="00BE6393">
      <w:pPr>
        <w:pStyle w:val="0Maintext"/>
        <w:numPr>
          <w:ilvl w:val="1"/>
          <w:numId w:val="25"/>
        </w:numPr>
        <w:spacing w:after="60" w:afterAutospacing="0" w:line="240" w:lineRule="auto"/>
        <w:ind w:hanging="357"/>
        <w:rPr>
          <w:rFonts w:ascii="Calibri" w:hAnsi="Calibri" w:cs="Calibri"/>
          <w:sz w:val="22"/>
          <w:lang w:val="en-US" w:eastAsia="x-none"/>
        </w:rPr>
      </w:pPr>
      <w:r w:rsidRPr="00BE6393">
        <w:rPr>
          <w:rFonts w:ascii="Calibri" w:hAnsi="Calibri" w:cs="Calibri" w:hint="eastAsia"/>
          <w:sz w:val="22"/>
          <w:lang w:val="en-US" w:eastAsia="x-none"/>
        </w:rPr>
        <w:t>Selection between Alt. 1 and Alt. 2 from the last meeting (RAN1#110)</w:t>
      </w:r>
    </w:p>
    <w:p w14:paraId="30BB06A2" w14:textId="77777777" w:rsidR="00BE6393" w:rsidRPr="00BE6393" w:rsidRDefault="00BE6393">
      <w:pPr>
        <w:pStyle w:val="0Maintext"/>
        <w:numPr>
          <w:ilvl w:val="2"/>
          <w:numId w:val="25"/>
        </w:numPr>
        <w:spacing w:after="60" w:afterAutospacing="0" w:line="240" w:lineRule="auto"/>
        <w:ind w:hanging="357"/>
        <w:rPr>
          <w:rFonts w:ascii="Calibri" w:hAnsi="Calibri" w:cs="Calibri"/>
          <w:sz w:val="22"/>
          <w:lang w:val="en-US" w:eastAsia="x-none"/>
        </w:rPr>
      </w:pPr>
      <w:r w:rsidRPr="00BE6393">
        <w:rPr>
          <w:rFonts w:ascii="Calibri" w:hAnsi="Calibri" w:cs="Calibri" w:hint="eastAsia"/>
          <w:sz w:val="22"/>
          <w:lang w:val="en-US" w:eastAsia="x-none"/>
        </w:rPr>
        <w:t xml:space="preserve">Alt. 1: A responding SL UE can utilize a COT shared by a COT initiating UE when the responding SL UE is a target receiver of the </w:t>
      </w:r>
      <w:r w:rsidRPr="00BE6393">
        <w:rPr>
          <w:rFonts w:ascii="Calibri" w:hAnsi="Calibri" w:cs="Calibri" w:hint="eastAsia"/>
          <w:sz w:val="22"/>
          <w:u w:val="single"/>
          <w:lang w:val="en-US" w:eastAsia="x-none"/>
        </w:rPr>
        <w:t>at least COT initiating UE</w:t>
      </w:r>
      <w:r w:rsidRPr="00BE6393">
        <w:rPr>
          <w:rFonts w:ascii="Calibri" w:hAnsi="Calibri" w:cs="Calibri" w:hint="eastAsia"/>
          <w:sz w:val="22"/>
          <w:u w:val="single"/>
          <w:lang w:val="en-US" w:eastAsia="x-none"/>
        </w:rPr>
        <w:t>’</w:t>
      </w:r>
      <w:r w:rsidRPr="00BE6393">
        <w:rPr>
          <w:rFonts w:ascii="Calibri" w:hAnsi="Calibri" w:cs="Calibri" w:hint="eastAsia"/>
          <w:sz w:val="22"/>
          <w:u w:val="single"/>
          <w:lang w:val="en-US" w:eastAsia="x-none"/>
        </w:rPr>
        <w:t xml:space="preserve">s PSSCH data transmission </w:t>
      </w:r>
      <w:r w:rsidRPr="00BE6393">
        <w:rPr>
          <w:rFonts w:ascii="Calibri" w:hAnsi="Calibri" w:cs="Calibri" w:hint="eastAsia"/>
          <w:sz w:val="22"/>
          <w:lang w:val="en-US" w:eastAsia="x-none"/>
        </w:rPr>
        <w:t>in the COT.</w:t>
      </w:r>
    </w:p>
    <w:p w14:paraId="11FA5031" w14:textId="77777777" w:rsidR="00BE6393" w:rsidRPr="00BE6393" w:rsidRDefault="00BE6393">
      <w:pPr>
        <w:pStyle w:val="0Maintext"/>
        <w:numPr>
          <w:ilvl w:val="2"/>
          <w:numId w:val="25"/>
        </w:numPr>
        <w:spacing w:after="60" w:afterAutospacing="0" w:line="240" w:lineRule="auto"/>
        <w:ind w:hanging="357"/>
        <w:rPr>
          <w:rFonts w:ascii="Calibri" w:hAnsi="Calibri" w:cs="Calibri"/>
          <w:sz w:val="22"/>
          <w:lang w:val="en-US" w:eastAsia="x-none"/>
        </w:rPr>
      </w:pPr>
      <w:r w:rsidRPr="00BE6393">
        <w:rPr>
          <w:rFonts w:ascii="Calibri" w:hAnsi="Calibri" w:cs="Calibri" w:hint="eastAsia"/>
          <w:sz w:val="22"/>
          <w:lang w:val="en-US" w:eastAsia="x-none"/>
        </w:rPr>
        <w:lastRenderedPageBreak/>
        <w:t xml:space="preserve">Alt. 2: A responding SL UE can utilize a COT shared by a COT initiating UE when the responding SL UE is a target receiver of the </w:t>
      </w:r>
      <w:r w:rsidRPr="00BE6393">
        <w:rPr>
          <w:rFonts w:ascii="Calibri" w:hAnsi="Calibri" w:cs="Calibri" w:hint="eastAsia"/>
          <w:sz w:val="22"/>
          <w:u w:val="single"/>
          <w:lang w:val="en-US" w:eastAsia="x-none"/>
        </w:rPr>
        <w:t>COT initiating UE</w:t>
      </w:r>
      <w:r w:rsidRPr="00BE6393">
        <w:rPr>
          <w:rFonts w:ascii="Calibri" w:hAnsi="Calibri" w:cs="Calibri" w:hint="eastAsia"/>
          <w:sz w:val="22"/>
          <w:u w:val="single"/>
          <w:lang w:val="en-US" w:eastAsia="x-none"/>
        </w:rPr>
        <w:t>’</w:t>
      </w:r>
      <w:r w:rsidRPr="00BE6393">
        <w:rPr>
          <w:rFonts w:ascii="Calibri" w:hAnsi="Calibri" w:cs="Calibri" w:hint="eastAsia"/>
          <w:sz w:val="22"/>
          <w:u w:val="single"/>
          <w:lang w:val="en-US" w:eastAsia="x-none"/>
        </w:rPr>
        <w:t xml:space="preserve">s transmission </w:t>
      </w:r>
      <w:r w:rsidRPr="00BE6393">
        <w:rPr>
          <w:rFonts w:ascii="Calibri" w:hAnsi="Calibri" w:cs="Calibri" w:hint="eastAsia"/>
          <w:sz w:val="22"/>
          <w:lang w:val="en-US" w:eastAsia="x-none"/>
        </w:rPr>
        <w:t>in the COT.</w:t>
      </w:r>
    </w:p>
    <w:p w14:paraId="4AE32B63" w14:textId="77777777" w:rsidR="00BE6393" w:rsidRPr="00BE6393" w:rsidRDefault="00BE6393">
      <w:pPr>
        <w:pStyle w:val="0Maintext"/>
        <w:numPr>
          <w:ilvl w:val="1"/>
          <w:numId w:val="25"/>
        </w:numPr>
        <w:spacing w:after="60" w:afterAutospacing="0" w:line="240" w:lineRule="auto"/>
        <w:ind w:hanging="357"/>
        <w:rPr>
          <w:rFonts w:ascii="Calibri" w:hAnsi="Calibri" w:cs="Calibri"/>
          <w:sz w:val="22"/>
          <w:lang w:val="en-US" w:eastAsia="x-none"/>
        </w:rPr>
      </w:pPr>
      <w:r w:rsidRPr="00BE6393">
        <w:rPr>
          <w:rFonts w:ascii="Calibri" w:hAnsi="Calibri" w:cs="Calibri" w:hint="eastAsia"/>
          <w:sz w:val="22"/>
          <w:lang w:val="en-US" w:eastAsia="x-none"/>
        </w:rPr>
        <w:t>Contents of COT sharing information includes the followings:</w:t>
      </w:r>
    </w:p>
    <w:p w14:paraId="080448AA" w14:textId="77777777" w:rsidR="00BE6393" w:rsidRPr="00BE6393" w:rsidRDefault="00BE6393">
      <w:pPr>
        <w:pStyle w:val="0Maintext"/>
        <w:numPr>
          <w:ilvl w:val="2"/>
          <w:numId w:val="25"/>
        </w:numPr>
        <w:spacing w:after="60" w:afterAutospacing="0" w:line="240" w:lineRule="auto"/>
        <w:ind w:hanging="357"/>
        <w:rPr>
          <w:rFonts w:ascii="Calibri" w:hAnsi="Calibri" w:cs="Calibri"/>
          <w:sz w:val="22"/>
          <w:lang w:val="en-US" w:eastAsia="x-none"/>
        </w:rPr>
      </w:pPr>
      <w:r w:rsidRPr="00BE6393">
        <w:rPr>
          <w:rFonts w:ascii="Calibri" w:hAnsi="Calibri" w:cs="Calibri" w:hint="eastAsia"/>
          <w:sz w:val="22"/>
          <w:lang w:eastAsia="x-none"/>
        </w:rPr>
        <w:t>CAPC level</w:t>
      </w:r>
    </w:p>
    <w:p w14:paraId="2764511D" w14:textId="77777777" w:rsidR="00BE6393" w:rsidRPr="00BE6393" w:rsidRDefault="00BE6393">
      <w:pPr>
        <w:pStyle w:val="0Maintext"/>
        <w:numPr>
          <w:ilvl w:val="2"/>
          <w:numId w:val="25"/>
        </w:numPr>
        <w:spacing w:after="60" w:afterAutospacing="0" w:line="240" w:lineRule="auto"/>
        <w:ind w:hanging="357"/>
        <w:rPr>
          <w:rFonts w:ascii="Calibri" w:hAnsi="Calibri" w:cs="Calibri"/>
          <w:sz w:val="22"/>
          <w:lang w:val="en-US" w:eastAsia="x-none"/>
        </w:rPr>
      </w:pPr>
      <w:r w:rsidRPr="00BE6393">
        <w:rPr>
          <w:rFonts w:ascii="Calibri" w:hAnsi="Calibri" w:cs="Calibri" w:hint="eastAsia"/>
          <w:sz w:val="22"/>
          <w:lang w:eastAsia="x-none"/>
        </w:rPr>
        <w:t>Remaining COT duration (e.g., number of SL slots or ms)</w:t>
      </w:r>
    </w:p>
    <w:p w14:paraId="4E889795" w14:textId="0EFF02CD" w:rsidR="00BE6393" w:rsidRPr="00BE6393" w:rsidRDefault="00BE6393">
      <w:pPr>
        <w:pStyle w:val="0Maintext"/>
        <w:numPr>
          <w:ilvl w:val="2"/>
          <w:numId w:val="25"/>
        </w:numPr>
        <w:spacing w:after="60" w:afterAutospacing="0" w:line="240" w:lineRule="auto"/>
        <w:ind w:hanging="357"/>
        <w:rPr>
          <w:rFonts w:ascii="Calibri" w:hAnsi="Calibri" w:cs="Calibri"/>
          <w:sz w:val="22"/>
          <w:lang w:val="en-US" w:eastAsia="x-none"/>
        </w:rPr>
      </w:pPr>
      <w:r w:rsidRPr="00BE6393">
        <w:rPr>
          <w:rFonts w:ascii="Calibri" w:hAnsi="Calibri" w:cs="Calibri" w:hint="eastAsia"/>
          <w:sz w:val="22"/>
          <w:lang w:eastAsia="x-none"/>
        </w:rPr>
        <w:t>L1 ID</w:t>
      </w:r>
      <w:r w:rsidR="00B6693E">
        <w:rPr>
          <w:rFonts w:ascii="Calibri" w:hAnsi="Calibri" w:cs="Calibri"/>
          <w:sz w:val="22"/>
          <w:lang w:eastAsia="x-none"/>
        </w:rPr>
        <w:t xml:space="preserve"> (e.g., </w:t>
      </w:r>
      <w:r w:rsidR="00B6693E" w:rsidRPr="00BE6393">
        <w:rPr>
          <w:rFonts w:ascii="Calibri" w:hAnsi="Calibri" w:cs="Calibri" w:hint="eastAsia"/>
          <w:sz w:val="22"/>
          <w:lang w:eastAsia="x-none"/>
        </w:rPr>
        <w:t>destination ID and/or source ID</w:t>
      </w:r>
      <w:r w:rsidR="00B6693E">
        <w:rPr>
          <w:rFonts w:ascii="Calibri" w:hAnsi="Calibri" w:cs="Calibri"/>
          <w:sz w:val="22"/>
          <w:lang w:eastAsia="x-none"/>
        </w:rPr>
        <w:t>)</w:t>
      </w:r>
    </w:p>
    <w:p w14:paraId="58C88A9E" w14:textId="77777777" w:rsidR="00BE6393" w:rsidRPr="00BE6393" w:rsidRDefault="00BE6393">
      <w:pPr>
        <w:pStyle w:val="0Maintext"/>
        <w:numPr>
          <w:ilvl w:val="2"/>
          <w:numId w:val="25"/>
        </w:numPr>
        <w:spacing w:after="60" w:afterAutospacing="0" w:line="240" w:lineRule="auto"/>
        <w:ind w:hanging="357"/>
        <w:rPr>
          <w:rFonts w:ascii="Calibri" w:hAnsi="Calibri" w:cs="Calibri"/>
          <w:sz w:val="22"/>
          <w:lang w:val="en-US" w:eastAsia="x-none"/>
        </w:rPr>
      </w:pPr>
      <w:r w:rsidRPr="00BE6393">
        <w:rPr>
          <w:rFonts w:ascii="Calibri" w:hAnsi="Calibri" w:cs="Calibri" w:hint="eastAsia"/>
          <w:sz w:val="22"/>
          <w:lang w:eastAsia="x-none"/>
        </w:rPr>
        <w:t>FFS any others (e.g., information on time and frequency resources)</w:t>
      </w:r>
    </w:p>
    <w:p w14:paraId="207AC364" w14:textId="77777777" w:rsidR="00BE6393" w:rsidRPr="00BE6393" w:rsidRDefault="00BE6393">
      <w:pPr>
        <w:pStyle w:val="0Maintext"/>
        <w:numPr>
          <w:ilvl w:val="1"/>
          <w:numId w:val="25"/>
        </w:numPr>
        <w:spacing w:after="60" w:afterAutospacing="0" w:line="240" w:lineRule="auto"/>
        <w:ind w:hanging="357"/>
        <w:rPr>
          <w:rFonts w:ascii="Calibri" w:hAnsi="Calibri" w:cs="Calibri"/>
          <w:sz w:val="22"/>
          <w:lang w:val="en-US" w:eastAsia="x-none"/>
        </w:rPr>
      </w:pPr>
      <w:r w:rsidRPr="00BE6393">
        <w:rPr>
          <w:rFonts w:ascii="Calibri" w:hAnsi="Calibri" w:cs="Calibri" w:hint="eastAsia"/>
          <w:sz w:val="22"/>
          <w:lang w:val="en-US" w:eastAsia="x-none"/>
        </w:rPr>
        <w:t>Container(s) for the COT sharing information (e.g., 1st SCI, 2nd SCI, MAC CE)</w:t>
      </w:r>
    </w:p>
    <w:p w14:paraId="20A68DB3" w14:textId="77777777" w:rsidR="00BE6393" w:rsidRPr="00BE6393" w:rsidRDefault="00BE6393">
      <w:pPr>
        <w:pStyle w:val="0Maintext"/>
        <w:numPr>
          <w:ilvl w:val="2"/>
          <w:numId w:val="25"/>
        </w:numPr>
        <w:spacing w:after="60" w:afterAutospacing="0" w:line="240" w:lineRule="auto"/>
        <w:ind w:hanging="357"/>
        <w:rPr>
          <w:rFonts w:ascii="Calibri" w:hAnsi="Calibri" w:cs="Calibri"/>
          <w:sz w:val="22"/>
          <w:lang w:val="en-US" w:eastAsia="x-none"/>
        </w:rPr>
      </w:pPr>
      <w:r w:rsidRPr="00BE6393">
        <w:rPr>
          <w:rFonts w:ascii="Calibri" w:hAnsi="Calibri" w:cs="Calibri" w:hint="eastAsia"/>
          <w:sz w:val="22"/>
          <w:lang w:val="en-US" w:eastAsia="x-none"/>
        </w:rPr>
        <w:t>Option 1: SCI (e.g., 1</w:t>
      </w:r>
      <w:r w:rsidRPr="00BE6393">
        <w:rPr>
          <w:rFonts w:ascii="Calibri" w:hAnsi="Calibri" w:cs="Calibri" w:hint="eastAsia"/>
          <w:sz w:val="22"/>
          <w:vertAlign w:val="superscript"/>
          <w:lang w:val="en-US" w:eastAsia="x-none"/>
        </w:rPr>
        <w:t>st</w:t>
      </w:r>
      <w:r w:rsidRPr="00BE6393">
        <w:rPr>
          <w:rFonts w:ascii="Calibri" w:hAnsi="Calibri" w:cs="Calibri" w:hint="eastAsia"/>
          <w:sz w:val="22"/>
          <w:lang w:val="en-US" w:eastAsia="x-none"/>
        </w:rPr>
        <w:t xml:space="preserve"> and/or 2</w:t>
      </w:r>
      <w:r w:rsidRPr="00BE6393">
        <w:rPr>
          <w:rFonts w:ascii="Calibri" w:hAnsi="Calibri" w:cs="Calibri" w:hint="eastAsia"/>
          <w:sz w:val="22"/>
          <w:vertAlign w:val="superscript"/>
          <w:lang w:val="en-US" w:eastAsia="x-none"/>
        </w:rPr>
        <w:t>nd</w:t>
      </w:r>
      <w:r w:rsidRPr="00BE6393">
        <w:rPr>
          <w:rFonts w:ascii="Calibri" w:hAnsi="Calibri" w:cs="Calibri" w:hint="eastAsia"/>
          <w:sz w:val="22"/>
          <w:lang w:val="en-US" w:eastAsia="x-none"/>
        </w:rPr>
        <w:t xml:space="preserve"> stage SCI)</w:t>
      </w:r>
    </w:p>
    <w:p w14:paraId="4EE35B42" w14:textId="77777777" w:rsidR="00BE6393" w:rsidRDefault="00BE6393">
      <w:pPr>
        <w:pStyle w:val="0Maintext"/>
        <w:numPr>
          <w:ilvl w:val="3"/>
          <w:numId w:val="25"/>
        </w:numPr>
        <w:spacing w:after="60" w:afterAutospacing="0" w:line="240" w:lineRule="auto"/>
        <w:ind w:hanging="357"/>
        <w:rPr>
          <w:rFonts w:ascii="Calibri" w:hAnsi="Calibri" w:cs="Calibri"/>
          <w:sz w:val="22"/>
          <w:lang w:val="en-US" w:eastAsia="x-none"/>
        </w:rPr>
      </w:pPr>
      <w:r w:rsidRPr="00BE6393">
        <w:rPr>
          <w:rFonts w:ascii="Calibri" w:hAnsi="Calibri" w:cs="Calibri" w:hint="eastAsia"/>
          <w:sz w:val="22"/>
          <w:lang w:val="en-US" w:eastAsia="x-none"/>
        </w:rPr>
        <w:t>FFS whether a new 1</w:t>
      </w:r>
      <w:r w:rsidRPr="00BE6393">
        <w:rPr>
          <w:rFonts w:ascii="Calibri" w:hAnsi="Calibri" w:cs="Calibri" w:hint="eastAsia"/>
          <w:sz w:val="22"/>
          <w:vertAlign w:val="superscript"/>
          <w:lang w:val="en-US" w:eastAsia="x-none"/>
        </w:rPr>
        <w:t>st</w:t>
      </w:r>
      <w:r w:rsidRPr="00BE6393">
        <w:rPr>
          <w:rFonts w:ascii="Calibri" w:hAnsi="Calibri" w:cs="Calibri" w:hint="eastAsia"/>
          <w:sz w:val="22"/>
          <w:lang w:val="en-US" w:eastAsia="x-none"/>
        </w:rPr>
        <w:t xml:space="preserve"> and/or 2</w:t>
      </w:r>
      <w:r w:rsidRPr="00BE6393">
        <w:rPr>
          <w:rFonts w:ascii="Calibri" w:hAnsi="Calibri" w:cs="Calibri" w:hint="eastAsia"/>
          <w:sz w:val="22"/>
          <w:vertAlign w:val="superscript"/>
          <w:lang w:val="en-US" w:eastAsia="x-none"/>
        </w:rPr>
        <w:t>nd</w:t>
      </w:r>
      <w:r w:rsidRPr="00BE6393">
        <w:rPr>
          <w:rFonts w:ascii="Calibri" w:hAnsi="Calibri" w:cs="Calibri" w:hint="eastAsia"/>
          <w:sz w:val="22"/>
          <w:lang w:val="en-US" w:eastAsia="x-none"/>
        </w:rPr>
        <w:t xml:space="preserve"> stage SCI format is needed (maybe consider together with SCI format(s) for SL-U and MCSt operation)</w:t>
      </w:r>
    </w:p>
    <w:p w14:paraId="1B37AFF1" w14:textId="62A2A459" w:rsidR="00BE6393" w:rsidRDefault="00BE6393" w:rsidP="00857F34">
      <w:pPr>
        <w:pStyle w:val="0Maintext"/>
        <w:numPr>
          <w:ilvl w:val="2"/>
          <w:numId w:val="25"/>
        </w:numPr>
        <w:spacing w:after="120" w:afterAutospacing="0" w:line="240" w:lineRule="auto"/>
        <w:rPr>
          <w:rFonts w:ascii="Calibri" w:hAnsi="Calibri" w:cs="Calibri"/>
          <w:sz w:val="22"/>
          <w:lang w:val="en-US" w:eastAsia="x-none"/>
        </w:rPr>
      </w:pPr>
      <w:r w:rsidRPr="00BE6393">
        <w:rPr>
          <w:rFonts w:ascii="Calibri" w:hAnsi="Calibri" w:cs="Calibri" w:hint="eastAsia"/>
          <w:sz w:val="22"/>
          <w:lang w:val="en-US" w:eastAsia="x-none"/>
        </w:rPr>
        <w:t>Option 2: MAC CE</w:t>
      </w:r>
    </w:p>
    <w:p w14:paraId="1487D0D6" w14:textId="77777777" w:rsidR="00F468D5" w:rsidRDefault="00F468D5" w:rsidP="00F468D5">
      <w:pPr>
        <w:pStyle w:val="0Maintext"/>
        <w:spacing w:after="120" w:afterAutospacing="0" w:line="240" w:lineRule="auto"/>
        <w:ind w:firstLine="0"/>
        <w:rPr>
          <w:rFonts w:ascii="Calibri" w:hAnsi="Calibri" w:cs="Calibri"/>
          <w:sz w:val="22"/>
          <w:lang w:val="en-US" w:eastAsia="x-none"/>
        </w:rPr>
      </w:pPr>
    </w:p>
    <w:tbl>
      <w:tblPr>
        <w:tblStyle w:val="TableGrid"/>
        <w:tblW w:w="9631" w:type="dxa"/>
        <w:tblLayout w:type="fixed"/>
        <w:tblLook w:val="04A0" w:firstRow="1" w:lastRow="0" w:firstColumn="1" w:lastColumn="0" w:noHBand="0" w:noVBand="1"/>
      </w:tblPr>
      <w:tblGrid>
        <w:gridCol w:w="1555"/>
        <w:gridCol w:w="8076"/>
      </w:tblGrid>
      <w:tr w:rsidR="00F468D5" w14:paraId="2A57DD03" w14:textId="77777777" w:rsidTr="006B2419">
        <w:tc>
          <w:tcPr>
            <w:tcW w:w="1555" w:type="dxa"/>
          </w:tcPr>
          <w:p w14:paraId="7AF1F01A" w14:textId="77777777" w:rsidR="00F468D5" w:rsidRDefault="00F468D5" w:rsidP="006B2419">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8076" w:type="dxa"/>
          </w:tcPr>
          <w:p w14:paraId="2E952276" w14:textId="77777777" w:rsidR="00F468D5" w:rsidRDefault="00F468D5" w:rsidP="00335DBF">
            <w:pPr>
              <w:pStyle w:val="0Maintext"/>
              <w:spacing w:after="0" w:afterAutospacing="0" w:line="240" w:lineRule="auto"/>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335DBF" w14:paraId="687DEC05" w14:textId="77777777" w:rsidTr="006B2419">
        <w:tc>
          <w:tcPr>
            <w:tcW w:w="1555" w:type="dxa"/>
          </w:tcPr>
          <w:p w14:paraId="1A50672C" w14:textId="77777777" w:rsidR="00335DBF" w:rsidRDefault="00335DBF" w:rsidP="00335DBF">
            <w:pPr>
              <w:pStyle w:val="0Maintext"/>
              <w:spacing w:after="0" w:afterAutospacing="0"/>
              <w:ind w:firstLine="0"/>
            </w:pPr>
            <w:r>
              <w:t>IDCC</w:t>
            </w:r>
          </w:p>
        </w:tc>
        <w:tc>
          <w:tcPr>
            <w:tcW w:w="8076" w:type="dxa"/>
          </w:tcPr>
          <w:p w14:paraId="1992AFCB" w14:textId="77777777" w:rsidR="00335DBF" w:rsidRDefault="00335DBF" w:rsidP="00335DBF">
            <w:pPr>
              <w:pStyle w:val="0Maintext"/>
              <w:spacing w:after="0" w:afterAutospacing="0" w:line="240" w:lineRule="auto"/>
              <w:ind w:firstLine="0"/>
            </w:pPr>
            <w:r>
              <w:t>We support Alt. 1 in the 1</w:t>
            </w:r>
            <w:r>
              <w:rPr>
                <w:vertAlign w:val="superscript"/>
              </w:rPr>
              <w:t>st</w:t>
            </w:r>
            <w:r>
              <w:t xml:space="preserve"> bullet and Option 1 in the 3</w:t>
            </w:r>
            <w:r>
              <w:rPr>
                <w:vertAlign w:val="superscript"/>
              </w:rPr>
              <w:t>rd</w:t>
            </w:r>
            <w:r>
              <w:t xml:space="preserve"> bullet. </w:t>
            </w:r>
          </w:p>
          <w:p w14:paraId="2B6ECA0D" w14:textId="77777777" w:rsidR="00335DBF" w:rsidRDefault="00335DBF" w:rsidP="00335DBF">
            <w:pPr>
              <w:pStyle w:val="0Maintext"/>
              <w:spacing w:after="0" w:afterAutospacing="0" w:line="240" w:lineRule="auto"/>
              <w:ind w:firstLine="0"/>
            </w:pPr>
          </w:p>
          <w:p w14:paraId="544A1D41" w14:textId="77777777" w:rsidR="00335DBF" w:rsidRDefault="00335DBF" w:rsidP="00335DBF">
            <w:pPr>
              <w:pStyle w:val="0Maintext"/>
              <w:spacing w:after="0" w:afterAutospacing="0" w:line="240" w:lineRule="auto"/>
              <w:ind w:firstLine="0"/>
            </w:pPr>
            <w:r>
              <w:t>For the 2</w:t>
            </w:r>
            <w:r>
              <w:rPr>
                <w:vertAlign w:val="superscript"/>
              </w:rPr>
              <w:t>nd</w:t>
            </w:r>
            <w:r>
              <w:t xml:space="preserve"> bullet, we’d like to clarify there can be two durations important for COT sharing:</w:t>
            </w:r>
          </w:p>
          <w:p w14:paraId="3A5119DC" w14:textId="77777777" w:rsidR="00335DBF" w:rsidRDefault="00335DBF">
            <w:pPr>
              <w:pStyle w:val="0Maintext"/>
              <w:numPr>
                <w:ilvl w:val="0"/>
                <w:numId w:val="43"/>
              </w:numPr>
              <w:spacing w:after="0" w:afterAutospacing="0" w:line="240" w:lineRule="auto"/>
            </w:pPr>
            <w:r>
              <w:t>the duration between the slot in which the SCI including this information is decoded and the end of MCOT associated with the CAPC level indicated in the same SCI.</w:t>
            </w:r>
          </w:p>
          <w:p w14:paraId="5459DF31" w14:textId="77777777" w:rsidR="00335DBF" w:rsidRDefault="00335DBF">
            <w:pPr>
              <w:pStyle w:val="0Maintext"/>
              <w:numPr>
                <w:ilvl w:val="0"/>
                <w:numId w:val="43"/>
              </w:numPr>
              <w:spacing w:after="0" w:afterAutospacing="0" w:line="240" w:lineRule="auto"/>
            </w:pPr>
            <w:r>
              <w:t xml:space="preserve">the duration between the slot in which the SCI including this information is decoded and the end of transmission burst (MCSt) the initiating UE performs within the COT. This can be indicated as part of “information on time and frequency resources”. </w:t>
            </w:r>
          </w:p>
          <w:p w14:paraId="16D44594" w14:textId="77777777" w:rsidR="00335DBF" w:rsidRDefault="00335DBF" w:rsidP="00335DBF">
            <w:pPr>
              <w:pStyle w:val="0Maintext"/>
              <w:spacing w:after="0" w:afterAutospacing="0" w:line="240" w:lineRule="auto"/>
              <w:ind w:firstLine="0"/>
            </w:pPr>
            <w:r>
              <w:t xml:space="preserve">Our understanding is “Remaining COT duration” listed in the proposal is #1 above. Since both #1 and #2 are necessary COT-sharing information, we think at least information of time resources of the transmissions in the COT should be listed (i.e., not in the FFS).  </w:t>
            </w:r>
          </w:p>
        </w:tc>
      </w:tr>
      <w:tr w:rsidR="00335DBF" w14:paraId="57ED57C1" w14:textId="77777777" w:rsidTr="006B2419">
        <w:tc>
          <w:tcPr>
            <w:tcW w:w="1555" w:type="dxa"/>
          </w:tcPr>
          <w:p w14:paraId="41D470EE" w14:textId="77777777" w:rsidR="00335DBF" w:rsidRDefault="00335DBF" w:rsidP="00335DBF">
            <w:pPr>
              <w:pStyle w:val="0Maintext"/>
              <w:spacing w:after="0" w:afterAutospacing="0"/>
              <w:ind w:firstLine="0"/>
            </w:pPr>
            <w:r>
              <w:t>Qualcomm</w:t>
            </w:r>
          </w:p>
        </w:tc>
        <w:tc>
          <w:tcPr>
            <w:tcW w:w="8076" w:type="dxa"/>
          </w:tcPr>
          <w:p w14:paraId="0DFD30A2" w14:textId="77777777" w:rsidR="00335DBF" w:rsidRDefault="00335DBF" w:rsidP="00335DBF">
            <w:pPr>
              <w:pStyle w:val="0Maintext"/>
              <w:spacing w:after="0" w:afterAutospacing="0" w:line="240" w:lineRule="auto"/>
              <w:ind w:firstLine="0"/>
              <w:rPr>
                <w:b/>
                <w:bCs/>
              </w:rPr>
            </w:pPr>
            <w:r>
              <w:rPr>
                <w:b/>
                <w:bCs/>
              </w:rPr>
              <w:t>We support the FL proposal, specifically Alt2 in the first sub-bullet, with some modifications</w:t>
            </w:r>
          </w:p>
          <w:p w14:paraId="453F65FB" w14:textId="77777777" w:rsidR="00335DBF" w:rsidRDefault="00335DBF" w:rsidP="00335DBF">
            <w:pPr>
              <w:pStyle w:val="0Maintext"/>
              <w:numPr>
                <w:ilvl w:val="0"/>
                <w:numId w:val="25"/>
              </w:numPr>
              <w:tabs>
                <w:tab w:val="left" w:pos="720"/>
              </w:tabs>
              <w:spacing w:after="0" w:afterAutospacing="0" w:line="240" w:lineRule="auto"/>
            </w:pPr>
            <w:r>
              <w:t>Include information on RB sets cleared with LBT</w:t>
            </w:r>
          </w:p>
          <w:p w14:paraId="2C3831B1" w14:textId="77777777" w:rsidR="00335DBF" w:rsidRDefault="00335DBF" w:rsidP="00335DBF">
            <w:pPr>
              <w:pStyle w:val="0Maintext"/>
              <w:numPr>
                <w:ilvl w:val="0"/>
                <w:numId w:val="25"/>
              </w:numPr>
              <w:tabs>
                <w:tab w:val="left" w:pos="720"/>
              </w:tabs>
              <w:spacing w:after="0" w:afterAutospacing="0" w:line="240" w:lineRule="auto"/>
            </w:pPr>
            <w:r>
              <w:t>L1 IDs addition in COT sharing information might be possible, but should be further discussed</w:t>
            </w:r>
          </w:p>
          <w:p w14:paraId="02D70F2C" w14:textId="77777777" w:rsidR="00335DBF" w:rsidRDefault="00335DBF" w:rsidP="00335DBF">
            <w:pPr>
              <w:pStyle w:val="0Maintext"/>
              <w:numPr>
                <w:ilvl w:val="0"/>
                <w:numId w:val="25"/>
              </w:numPr>
              <w:tabs>
                <w:tab w:val="left" w:pos="720"/>
              </w:tabs>
              <w:spacing w:after="0" w:afterAutospacing="0" w:line="240" w:lineRule="auto"/>
            </w:pPr>
            <w:r>
              <w:t>Capture shareable resources within the COT (e.g. offset and duration of shared region similarly to NR-U CG-UCI design)</w:t>
            </w:r>
          </w:p>
          <w:p w14:paraId="0F6DC37C" w14:textId="77777777" w:rsidR="00335DBF" w:rsidRDefault="00335DBF" w:rsidP="00335DBF">
            <w:pPr>
              <w:pStyle w:val="0Maintext"/>
              <w:numPr>
                <w:ilvl w:val="0"/>
                <w:numId w:val="25"/>
              </w:numPr>
              <w:tabs>
                <w:tab w:val="left" w:pos="720"/>
              </w:tabs>
              <w:spacing w:after="0" w:afterAutospacing="0" w:line="240" w:lineRule="auto"/>
            </w:pPr>
            <w:r>
              <w:t>capture number and configuration of CPE starting position(s) as FFS in the content of sharing information: the initiator could indicate one CPE so that all the responder will align, or more than one so that responders can go with prioritization (see our comment to Topic #4)</w:t>
            </w:r>
          </w:p>
          <w:p w14:paraId="00F11DE1" w14:textId="77777777" w:rsidR="00335DBF" w:rsidRDefault="00335DBF" w:rsidP="00335DBF">
            <w:pPr>
              <w:pStyle w:val="0Maintext"/>
              <w:numPr>
                <w:ilvl w:val="0"/>
                <w:numId w:val="25"/>
              </w:numPr>
              <w:tabs>
                <w:tab w:val="left" w:pos="720"/>
              </w:tabs>
              <w:spacing w:after="0" w:afterAutospacing="0" w:line="240" w:lineRule="auto"/>
            </w:pPr>
            <w:r>
              <w:t>transmissions (channels) allowed to start a shared COT beside PSCCH/PSSCH (e.g., PSFCH), could be discussed later (FFS in second main bullet)</w:t>
            </w:r>
          </w:p>
          <w:p w14:paraId="3D140333" w14:textId="77777777" w:rsidR="00335DBF" w:rsidRDefault="00335DBF" w:rsidP="00335DBF">
            <w:pPr>
              <w:pStyle w:val="0Maintext"/>
              <w:spacing w:after="0" w:afterAutospacing="0" w:line="240" w:lineRule="auto"/>
            </w:pPr>
          </w:p>
          <w:p w14:paraId="43CB99CA" w14:textId="77777777" w:rsidR="00335DBF" w:rsidRDefault="00335DBF" w:rsidP="00335DBF">
            <w:pPr>
              <w:autoSpaceDE w:val="0"/>
              <w:autoSpaceDN w:val="0"/>
              <w:jc w:val="both"/>
              <w:rPr>
                <w:rFonts w:ascii="Calibri" w:hAnsi="Calibri" w:cs="Calibri"/>
                <w:sz w:val="22"/>
              </w:rPr>
            </w:pPr>
            <w:r>
              <w:rPr>
                <w:rFonts w:ascii="Calibri" w:hAnsi="Calibri" w:cs="Calibri"/>
                <w:b/>
                <w:bCs/>
                <w:sz w:val="22"/>
                <w:highlight w:val="yellow"/>
              </w:rPr>
              <w:t>Proposal 5 (I):</w:t>
            </w:r>
          </w:p>
          <w:p w14:paraId="74D7ACA7" w14:textId="77777777" w:rsidR="00335DBF" w:rsidRDefault="00335DBF" w:rsidP="00335DBF">
            <w:pPr>
              <w:pStyle w:val="0Maintext"/>
              <w:numPr>
                <w:ilvl w:val="0"/>
                <w:numId w:val="25"/>
              </w:numPr>
              <w:tabs>
                <w:tab w:val="left" w:pos="720"/>
              </w:tabs>
              <w:spacing w:after="0" w:afterAutospacing="0" w:line="240" w:lineRule="auto"/>
              <w:rPr>
                <w:rFonts w:ascii="Calibri" w:hAnsi="Calibri" w:cs="Calibri"/>
                <w:sz w:val="22"/>
                <w:lang w:val="en-US"/>
              </w:rPr>
            </w:pPr>
            <w:r>
              <w:rPr>
                <w:rFonts w:ascii="Calibri" w:hAnsi="Calibri" w:cs="Calibri" w:hint="eastAsia"/>
                <w:sz w:val="22"/>
                <w:lang w:val="en-AU"/>
              </w:rPr>
              <w:t>For UE-to-UE COT sharing (at least for PSCCH/PSSCH</w:t>
            </w:r>
            <w:r>
              <w:rPr>
                <w:rFonts w:ascii="Calibri" w:hAnsi="Calibri" w:cs="Calibri"/>
                <w:sz w:val="22"/>
                <w:lang w:val="en-AU"/>
              </w:rPr>
              <w:t xml:space="preserve"> </w:t>
            </w:r>
            <w:r>
              <w:rPr>
                <w:rFonts w:ascii="Calibri" w:hAnsi="Calibri" w:cs="Calibri"/>
                <w:color w:val="FF0000"/>
                <w:sz w:val="22"/>
                <w:lang w:val="en-AU"/>
              </w:rPr>
              <w:t>from the initiator</w:t>
            </w:r>
            <w:r>
              <w:rPr>
                <w:rFonts w:ascii="Calibri" w:hAnsi="Calibri" w:cs="Calibri" w:hint="eastAsia"/>
                <w:sz w:val="22"/>
                <w:lang w:val="en-AU"/>
              </w:rPr>
              <w:t>),</w:t>
            </w:r>
          </w:p>
          <w:p w14:paraId="11076D72" w14:textId="77777777" w:rsidR="00335DBF" w:rsidRDefault="00335DBF" w:rsidP="00335DBF">
            <w:pPr>
              <w:pStyle w:val="0Maintext"/>
              <w:numPr>
                <w:ilvl w:val="1"/>
                <w:numId w:val="25"/>
              </w:numPr>
              <w:tabs>
                <w:tab w:val="left" w:pos="1440"/>
              </w:tabs>
              <w:spacing w:after="0" w:afterAutospacing="0" w:line="240" w:lineRule="auto"/>
              <w:rPr>
                <w:rFonts w:ascii="Calibri" w:hAnsi="Calibri" w:cs="Calibri"/>
                <w:sz w:val="22"/>
                <w:lang w:val="en-US"/>
              </w:rPr>
            </w:pPr>
            <w:r>
              <w:rPr>
                <w:rFonts w:ascii="Calibri" w:hAnsi="Calibri" w:cs="Calibri" w:hint="eastAsia"/>
                <w:sz w:val="22"/>
                <w:lang w:val="en-US"/>
              </w:rPr>
              <w:t>Selection between Alt. 1 and Alt. 2 from the last meeting (RAN1#110)</w:t>
            </w:r>
          </w:p>
          <w:p w14:paraId="64FE5BBE" w14:textId="77777777" w:rsidR="00335DBF" w:rsidRDefault="00335DBF" w:rsidP="00335DBF">
            <w:pPr>
              <w:pStyle w:val="0Maintext"/>
              <w:numPr>
                <w:ilvl w:val="2"/>
                <w:numId w:val="25"/>
              </w:numPr>
              <w:tabs>
                <w:tab w:val="left" w:pos="2160"/>
              </w:tabs>
              <w:spacing w:after="0" w:afterAutospacing="0" w:line="240" w:lineRule="auto"/>
              <w:rPr>
                <w:rFonts w:ascii="Calibri" w:hAnsi="Calibri" w:cs="Calibri"/>
                <w:sz w:val="22"/>
                <w:lang w:val="en-US"/>
              </w:rPr>
            </w:pPr>
            <w:r>
              <w:rPr>
                <w:rFonts w:ascii="Calibri" w:hAnsi="Calibri" w:cs="Calibri" w:hint="eastAsia"/>
                <w:sz w:val="22"/>
                <w:lang w:val="en-US"/>
              </w:rPr>
              <w:t xml:space="preserve">Alt. 1: A responding SL UE can utilize a COT shared by a COT initiating UE when the responding SL UE is a target receiver of the </w:t>
            </w:r>
            <w:r>
              <w:rPr>
                <w:rFonts w:ascii="Calibri" w:hAnsi="Calibri" w:cs="Calibri" w:hint="eastAsia"/>
                <w:sz w:val="22"/>
                <w:u w:val="single"/>
                <w:lang w:val="en-US"/>
              </w:rPr>
              <w:t>at least COT initiating UE</w:t>
            </w:r>
            <w:r>
              <w:rPr>
                <w:rFonts w:ascii="Calibri" w:hAnsi="Calibri" w:cs="Calibri" w:hint="eastAsia"/>
                <w:sz w:val="22"/>
                <w:u w:val="single"/>
                <w:lang w:val="en-US"/>
              </w:rPr>
              <w:t>’</w:t>
            </w:r>
            <w:r>
              <w:rPr>
                <w:rFonts w:ascii="Calibri" w:hAnsi="Calibri" w:cs="Calibri" w:hint="eastAsia"/>
                <w:sz w:val="22"/>
                <w:u w:val="single"/>
                <w:lang w:val="en-US"/>
              </w:rPr>
              <w:t xml:space="preserve">s PSSCH data transmission </w:t>
            </w:r>
            <w:r>
              <w:rPr>
                <w:rFonts w:ascii="Calibri" w:hAnsi="Calibri" w:cs="Calibri" w:hint="eastAsia"/>
                <w:sz w:val="22"/>
                <w:lang w:val="en-US"/>
              </w:rPr>
              <w:t>in the COT.</w:t>
            </w:r>
          </w:p>
          <w:p w14:paraId="0D12841C" w14:textId="77777777" w:rsidR="00335DBF" w:rsidRDefault="00335DBF" w:rsidP="00335DBF">
            <w:pPr>
              <w:pStyle w:val="0Maintext"/>
              <w:numPr>
                <w:ilvl w:val="2"/>
                <w:numId w:val="25"/>
              </w:numPr>
              <w:tabs>
                <w:tab w:val="left" w:pos="2160"/>
              </w:tabs>
              <w:spacing w:after="0" w:afterAutospacing="0" w:line="240" w:lineRule="auto"/>
              <w:rPr>
                <w:rFonts w:ascii="Calibri" w:hAnsi="Calibri" w:cs="Calibri"/>
                <w:sz w:val="22"/>
                <w:lang w:val="en-US"/>
              </w:rPr>
            </w:pPr>
            <w:r>
              <w:rPr>
                <w:rFonts w:ascii="Calibri" w:hAnsi="Calibri" w:cs="Calibri" w:hint="eastAsia"/>
                <w:sz w:val="22"/>
                <w:lang w:val="en-US"/>
              </w:rPr>
              <w:t xml:space="preserve">Alt. 2: A responding SL UE can utilize a COT shared by a COT initiating UE when the responding SL UE is a target receiver of the </w:t>
            </w:r>
            <w:r>
              <w:rPr>
                <w:rFonts w:ascii="Calibri" w:hAnsi="Calibri" w:cs="Calibri" w:hint="eastAsia"/>
                <w:sz w:val="22"/>
                <w:u w:val="single"/>
                <w:lang w:val="en-US"/>
              </w:rPr>
              <w:t>COT initiating UE</w:t>
            </w:r>
            <w:r>
              <w:rPr>
                <w:rFonts w:ascii="Calibri" w:hAnsi="Calibri" w:cs="Calibri" w:hint="eastAsia"/>
                <w:sz w:val="22"/>
                <w:u w:val="single"/>
                <w:lang w:val="en-US"/>
              </w:rPr>
              <w:t>’</w:t>
            </w:r>
            <w:r>
              <w:rPr>
                <w:rFonts w:ascii="Calibri" w:hAnsi="Calibri" w:cs="Calibri" w:hint="eastAsia"/>
                <w:sz w:val="22"/>
                <w:u w:val="single"/>
                <w:lang w:val="en-US"/>
              </w:rPr>
              <w:t xml:space="preserve">s transmission </w:t>
            </w:r>
            <w:r>
              <w:rPr>
                <w:rFonts w:ascii="Calibri" w:hAnsi="Calibri" w:cs="Calibri" w:hint="eastAsia"/>
                <w:sz w:val="22"/>
                <w:lang w:val="en-US"/>
              </w:rPr>
              <w:t>in the COT.</w:t>
            </w:r>
          </w:p>
          <w:p w14:paraId="1A62D1DC" w14:textId="77777777" w:rsidR="00335DBF" w:rsidRDefault="00335DBF" w:rsidP="00335DBF">
            <w:pPr>
              <w:pStyle w:val="0Maintext"/>
              <w:numPr>
                <w:ilvl w:val="1"/>
                <w:numId w:val="25"/>
              </w:numPr>
              <w:tabs>
                <w:tab w:val="left" w:pos="1440"/>
              </w:tabs>
              <w:spacing w:after="0" w:afterAutospacing="0" w:line="240" w:lineRule="auto"/>
              <w:rPr>
                <w:rFonts w:ascii="Calibri" w:hAnsi="Calibri" w:cs="Calibri"/>
                <w:sz w:val="22"/>
                <w:lang w:val="en-US"/>
              </w:rPr>
            </w:pPr>
            <w:r>
              <w:rPr>
                <w:rFonts w:ascii="Calibri" w:hAnsi="Calibri" w:cs="Calibri" w:hint="eastAsia"/>
                <w:sz w:val="22"/>
                <w:lang w:val="en-US"/>
              </w:rPr>
              <w:t>Contents of COT sharing information includes the followings:</w:t>
            </w:r>
          </w:p>
          <w:p w14:paraId="5C19946D" w14:textId="77777777" w:rsidR="00335DBF" w:rsidRDefault="00335DBF" w:rsidP="00335DBF">
            <w:pPr>
              <w:pStyle w:val="0Maintext"/>
              <w:numPr>
                <w:ilvl w:val="2"/>
                <w:numId w:val="25"/>
              </w:numPr>
              <w:tabs>
                <w:tab w:val="left" w:pos="2160"/>
              </w:tabs>
              <w:spacing w:after="0" w:afterAutospacing="0" w:line="240" w:lineRule="auto"/>
              <w:rPr>
                <w:rFonts w:ascii="Calibri" w:hAnsi="Calibri" w:cs="Calibri"/>
                <w:sz w:val="22"/>
                <w:lang w:val="en-US"/>
              </w:rPr>
            </w:pPr>
            <w:r>
              <w:rPr>
                <w:rFonts w:ascii="Calibri" w:hAnsi="Calibri" w:cs="Calibri" w:hint="eastAsia"/>
                <w:sz w:val="22"/>
              </w:rPr>
              <w:t>CAPC level</w:t>
            </w:r>
          </w:p>
          <w:p w14:paraId="5C5FF994" w14:textId="77777777" w:rsidR="00335DBF" w:rsidRDefault="00335DBF" w:rsidP="00335DBF">
            <w:pPr>
              <w:pStyle w:val="0Maintext"/>
              <w:numPr>
                <w:ilvl w:val="2"/>
                <w:numId w:val="25"/>
              </w:numPr>
              <w:tabs>
                <w:tab w:val="left" w:pos="2160"/>
              </w:tabs>
              <w:spacing w:after="0" w:afterAutospacing="0" w:line="240" w:lineRule="auto"/>
              <w:rPr>
                <w:rFonts w:ascii="Calibri" w:hAnsi="Calibri" w:cs="Calibri"/>
                <w:sz w:val="22"/>
                <w:lang w:val="en-US"/>
              </w:rPr>
            </w:pPr>
            <w:r>
              <w:rPr>
                <w:rFonts w:ascii="Calibri" w:hAnsi="Calibri" w:cs="Calibri" w:hint="eastAsia"/>
                <w:sz w:val="22"/>
              </w:rPr>
              <w:t>Remaining COT duration (e.g., number of SL slots or ms)</w:t>
            </w:r>
          </w:p>
          <w:p w14:paraId="68F696C1" w14:textId="77777777" w:rsidR="00335DBF" w:rsidRDefault="00335DBF" w:rsidP="00335DBF">
            <w:pPr>
              <w:pStyle w:val="0Maintext"/>
              <w:numPr>
                <w:ilvl w:val="2"/>
                <w:numId w:val="25"/>
              </w:numPr>
              <w:tabs>
                <w:tab w:val="left" w:pos="2160"/>
              </w:tabs>
              <w:spacing w:after="0" w:afterAutospacing="0" w:line="240" w:lineRule="auto"/>
              <w:rPr>
                <w:rFonts w:ascii="Calibri" w:hAnsi="Calibri" w:cs="Calibri"/>
                <w:sz w:val="22"/>
                <w:lang w:val="en-US"/>
              </w:rPr>
            </w:pPr>
            <w:r>
              <w:rPr>
                <w:rFonts w:ascii="Calibri" w:hAnsi="Calibri" w:cs="Calibri"/>
                <w:color w:val="FF0000"/>
                <w:sz w:val="22"/>
              </w:rPr>
              <w:t>RB sets within the COT</w:t>
            </w:r>
          </w:p>
          <w:p w14:paraId="57024AD8" w14:textId="77777777" w:rsidR="00335DBF" w:rsidRDefault="00335DBF" w:rsidP="00335DBF">
            <w:pPr>
              <w:pStyle w:val="0Maintext"/>
              <w:numPr>
                <w:ilvl w:val="2"/>
                <w:numId w:val="25"/>
              </w:numPr>
              <w:tabs>
                <w:tab w:val="left" w:pos="2160"/>
              </w:tabs>
              <w:spacing w:after="0" w:afterAutospacing="0" w:line="240" w:lineRule="auto"/>
              <w:rPr>
                <w:rFonts w:ascii="Calibri" w:hAnsi="Calibri" w:cs="Calibri"/>
                <w:color w:val="FF0000"/>
                <w:sz w:val="22"/>
                <w:lang w:val="en-US"/>
              </w:rPr>
            </w:pPr>
            <w:r>
              <w:rPr>
                <w:rFonts w:ascii="Calibri" w:hAnsi="Calibri" w:cs="Calibri"/>
                <w:color w:val="FF0000"/>
                <w:sz w:val="22"/>
                <w:lang w:val="en-US"/>
              </w:rPr>
              <w:lastRenderedPageBreak/>
              <w:t>Information on sharable region(s) in the COT (time and frequency)</w:t>
            </w:r>
          </w:p>
          <w:p w14:paraId="0DFE2D6B" w14:textId="77777777" w:rsidR="00335DBF" w:rsidRDefault="00335DBF" w:rsidP="00335DBF">
            <w:pPr>
              <w:pStyle w:val="0Maintext"/>
              <w:numPr>
                <w:ilvl w:val="2"/>
                <w:numId w:val="25"/>
              </w:numPr>
              <w:tabs>
                <w:tab w:val="left" w:pos="2160"/>
              </w:tabs>
              <w:spacing w:after="0" w:afterAutospacing="0" w:line="240" w:lineRule="auto"/>
              <w:rPr>
                <w:rFonts w:ascii="Calibri" w:hAnsi="Calibri" w:cs="Calibri"/>
                <w:sz w:val="22"/>
                <w:lang w:val="en-US"/>
              </w:rPr>
            </w:pPr>
            <w:r>
              <w:rPr>
                <w:rFonts w:ascii="Calibri" w:hAnsi="Calibri" w:cs="Calibri"/>
                <w:color w:val="FF0000"/>
                <w:sz w:val="22"/>
              </w:rPr>
              <w:t xml:space="preserve">FFS </w:t>
            </w:r>
            <w:r>
              <w:rPr>
                <w:rFonts w:ascii="Calibri" w:hAnsi="Calibri" w:cs="Calibri" w:hint="eastAsia"/>
                <w:sz w:val="22"/>
              </w:rPr>
              <w:t>L1 ID</w:t>
            </w:r>
            <w:r>
              <w:rPr>
                <w:rFonts w:ascii="Calibri" w:hAnsi="Calibri" w:cs="Calibri"/>
                <w:sz w:val="22"/>
              </w:rPr>
              <w:t xml:space="preserve"> (e.g., </w:t>
            </w:r>
            <w:r>
              <w:rPr>
                <w:rFonts w:ascii="Calibri" w:hAnsi="Calibri" w:cs="Calibri" w:hint="eastAsia"/>
                <w:sz w:val="22"/>
              </w:rPr>
              <w:t>destination ID and/or source ID</w:t>
            </w:r>
            <w:r>
              <w:rPr>
                <w:rFonts w:ascii="Calibri" w:hAnsi="Calibri" w:cs="Calibri"/>
                <w:sz w:val="22"/>
              </w:rPr>
              <w:t>)</w:t>
            </w:r>
          </w:p>
          <w:p w14:paraId="6B211964" w14:textId="77777777" w:rsidR="00335DBF" w:rsidRDefault="00335DBF" w:rsidP="00335DBF">
            <w:pPr>
              <w:pStyle w:val="0Maintext"/>
              <w:numPr>
                <w:ilvl w:val="2"/>
                <w:numId w:val="25"/>
              </w:numPr>
              <w:tabs>
                <w:tab w:val="left" w:pos="2160"/>
              </w:tabs>
              <w:spacing w:after="0" w:afterAutospacing="0" w:line="240" w:lineRule="auto"/>
              <w:rPr>
                <w:rFonts w:ascii="Calibri" w:hAnsi="Calibri" w:cs="Calibri"/>
                <w:sz w:val="22"/>
                <w:lang w:val="en-US"/>
              </w:rPr>
            </w:pPr>
            <w:r>
              <w:rPr>
                <w:rFonts w:ascii="Calibri" w:hAnsi="Calibri" w:cs="Calibri" w:hint="eastAsia"/>
                <w:sz w:val="22"/>
              </w:rPr>
              <w:t xml:space="preserve">FFS any others </w:t>
            </w:r>
            <w:r>
              <w:rPr>
                <w:rFonts w:ascii="Calibri" w:hAnsi="Calibri" w:cs="Calibri"/>
                <w:color w:val="FF0000"/>
                <w:sz w:val="22"/>
              </w:rPr>
              <w:t xml:space="preserve">and details </w:t>
            </w:r>
            <w:r>
              <w:rPr>
                <w:rFonts w:ascii="Calibri" w:hAnsi="Calibri" w:cs="Calibri" w:hint="eastAsia"/>
                <w:sz w:val="22"/>
              </w:rPr>
              <w:t xml:space="preserve">(e.g., </w:t>
            </w:r>
            <w:r>
              <w:rPr>
                <w:rFonts w:ascii="Calibri" w:hAnsi="Calibri" w:cs="Calibri" w:hint="eastAsia"/>
                <w:strike/>
                <w:color w:val="FF0000"/>
                <w:sz w:val="22"/>
              </w:rPr>
              <w:t>information on time and frequency resources</w:t>
            </w:r>
            <w:r>
              <w:rPr>
                <w:rFonts w:ascii="Calibri" w:hAnsi="Calibri" w:cs="Calibri"/>
                <w:sz w:val="22"/>
              </w:rPr>
              <w:t xml:space="preserve">, </w:t>
            </w:r>
            <w:r>
              <w:rPr>
                <w:rFonts w:ascii="Calibri" w:hAnsi="Calibri" w:cs="Calibri"/>
                <w:color w:val="FF0000"/>
                <w:sz w:val="22"/>
              </w:rPr>
              <w:t>number and configuration of CPE starting positions if supported, etc.</w:t>
            </w:r>
            <w:r>
              <w:rPr>
                <w:rFonts w:ascii="Calibri" w:hAnsi="Calibri" w:cs="Calibri" w:hint="eastAsia"/>
                <w:sz w:val="22"/>
              </w:rPr>
              <w:t>)</w:t>
            </w:r>
          </w:p>
          <w:p w14:paraId="6FD80205" w14:textId="77777777" w:rsidR="00335DBF" w:rsidRDefault="00335DBF" w:rsidP="00335DBF">
            <w:pPr>
              <w:pStyle w:val="0Maintext"/>
              <w:numPr>
                <w:ilvl w:val="1"/>
                <w:numId w:val="25"/>
              </w:numPr>
              <w:tabs>
                <w:tab w:val="left" w:pos="1440"/>
              </w:tabs>
              <w:spacing w:after="0" w:afterAutospacing="0" w:line="240" w:lineRule="auto"/>
              <w:rPr>
                <w:rFonts w:ascii="Calibri" w:hAnsi="Calibri" w:cs="Calibri"/>
                <w:sz w:val="22"/>
                <w:lang w:val="en-US"/>
              </w:rPr>
            </w:pPr>
            <w:r>
              <w:rPr>
                <w:rFonts w:ascii="Calibri" w:hAnsi="Calibri" w:cs="Calibri" w:hint="eastAsia"/>
                <w:sz w:val="22"/>
                <w:lang w:val="en-US"/>
              </w:rPr>
              <w:t>Container(s) for the COT sharing information (e.g., 1st SCI, 2nd SCI, MAC CE)</w:t>
            </w:r>
          </w:p>
          <w:p w14:paraId="4CD25AD9" w14:textId="77777777" w:rsidR="00335DBF" w:rsidRDefault="00335DBF" w:rsidP="00335DBF">
            <w:pPr>
              <w:pStyle w:val="0Maintext"/>
              <w:numPr>
                <w:ilvl w:val="2"/>
                <w:numId w:val="25"/>
              </w:numPr>
              <w:tabs>
                <w:tab w:val="left" w:pos="2160"/>
              </w:tabs>
              <w:spacing w:after="0" w:afterAutospacing="0" w:line="240" w:lineRule="auto"/>
              <w:rPr>
                <w:rFonts w:ascii="Calibri" w:hAnsi="Calibri" w:cs="Calibri"/>
                <w:sz w:val="22"/>
                <w:lang w:val="en-US"/>
              </w:rPr>
            </w:pPr>
            <w:r>
              <w:rPr>
                <w:rFonts w:ascii="Calibri" w:hAnsi="Calibri" w:cs="Calibri" w:hint="eastAsia"/>
                <w:sz w:val="22"/>
                <w:lang w:val="en-US"/>
              </w:rPr>
              <w:t>Option 1: SCI (e.g., 1</w:t>
            </w:r>
            <w:r>
              <w:rPr>
                <w:rFonts w:ascii="Calibri" w:hAnsi="Calibri" w:cs="Calibri" w:hint="eastAsia"/>
                <w:sz w:val="22"/>
                <w:vertAlign w:val="superscript"/>
                <w:lang w:val="en-US"/>
              </w:rPr>
              <w:t>st</w:t>
            </w:r>
            <w:r>
              <w:rPr>
                <w:rFonts w:ascii="Calibri" w:hAnsi="Calibri" w:cs="Calibri" w:hint="eastAsia"/>
                <w:sz w:val="22"/>
                <w:lang w:val="en-US"/>
              </w:rPr>
              <w:t xml:space="preserve"> and/or 2</w:t>
            </w:r>
            <w:r>
              <w:rPr>
                <w:rFonts w:ascii="Calibri" w:hAnsi="Calibri" w:cs="Calibri" w:hint="eastAsia"/>
                <w:sz w:val="22"/>
                <w:vertAlign w:val="superscript"/>
                <w:lang w:val="en-US"/>
              </w:rPr>
              <w:t>nd</w:t>
            </w:r>
            <w:r>
              <w:rPr>
                <w:rFonts w:ascii="Calibri" w:hAnsi="Calibri" w:cs="Calibri" w:hint="eastAsia"/>
                <w:sz w:val="22"/>
                <w:lang w:val="en-US"/>
              </w:rPr>
              <w:t xml:space="preserve"> stage SCI)</w:t>
            </w:r>
          </w:p>
          <w:p w14:paraId="3CF4195D" w14:textId="77777777" w:rsidR="00335DBF" w:rsidRDefault="00335DBF" w:rsidP="00335DBF">
            <w:pPr>
              <w:pStyle w:val="0Maintext"/>
              <w:numPr>
                <w:ilvl w:val="3"/>
                <w:numId w:val="25"/>
              </w:numPr>
              <w:tabs>
                <w:tab w:val="left" w:pos="2880"/>
              </w:tabs>
              <w:spacing w:after="0" w:afterAutospacing="0" w:line="240" w:lineRule="auto"/>
              <w:rPr>
                <w:rFonts w:ascii="Calibri" w:hAnsi="Calibri" w:cs="Calibri"/>
                <w:sz w:val="22"/>
                <w:lang w:val="en-US"/>
              </w:rPr>
            </w:pPr>
            <w:r>
              <w:rPr>
                <w:rFonts w:ascii="Calibri" w:hAnsi="Calibri" w:cs="Calibri" w:hint="eastAsia"/>
                <w:sz w:val="22"/>
                <w:lang w:val="en-US"/>
              </w:rPr>
              <w:t>FFS whether a new 1</w:t>
            </w:r>
            <w:r>
              <w:rPr>
                <w:rFonts w:ascii="Calibri" w:hAnsi="Calibri" w:cs="Calibri" w:hint="eastAsia"/>
                <w:sz w:val="22"/>
                <w:vertAlign w:val="superscript"/>
                <w:lang w:val="en-US"/>
              </w:rPr>
              <w:t>st</w:t>
            </w:r>
            <w:r>
              <w:rPr>
                <w:rFonts w:ascii="Calibri" w:hAnsi="Calibri" w:cs="Calibri" w:hint="eastAsia"/>
                <w:sz w:val="22"/>
                <w:lang w:val="en-US"/>
              </w:rPr>
              <w:t xml:space="preserve"> and/or 2</w:t>
            </w:r>
            <w:r>
              <w:rPr>
                <w:rFonts w:ascii="Calibri" w:hAnsi="Calibri" w:cs="Calibri" w:hint="eastAsia"/>
                <w:sz w:val="22"/>
                <w:vertAlign w:val="superscript"/>
                <w:lang w:val="en-US"/>
              </w:rPr>
              <w:t>nd</w:t>
            </w:r>
            <w:r>
              <w:rPr>
                <w:rFonts w:ascii="Calibri" w:hAnsi="Calibri" w:cs="Calibri" w:hint="eastAsia"/>
                <w:sz w:val="22"/>
                <w:lang w:val="en-US"/>
              </w:rPr>
              <w:t xml:space="preserve"> stage SCI format is needed (maybe consider together with SCI format(s) for SL-U and MCSt operation)</w:t>
            </w:r>
          </w:p>
          <w:p w14:paraId="7B7DD927" w14:textId="77777777" w:rsidR="00335DBF" w:rsidRDefault="00335DBF" w:rsidP="00335DBF">
            <w:pPr>
              <w:pStyle w:val="0Maintext"/>
              <w:numPr>
                <w:ilvl w:val="2"/>
                <w:numId w:val="25"/>
              </w:numPr>
              <w:tabs>
                <w:tab w:val="left" w:pos="2160"/>
              </w:tabs>
              <w:spacing w:after="0" w:afterAutospacing="0" w:line="240" w:lineRule="auto"/>
              <w:rPr>
                <w:rFonts w:ascii="Calibri" w:hAnsi="Calibri" w:cs="Calibri"/>
                <w:sz w:val="22"/>
                <w:lang w:val="en-US"/>
              </w:rPr>
            </w:pPr>
            <w:r>
              <w:rPr>
                <w:rFonts w:ascii="Calibri" w:hAnsi="Calibri" w:cs="Calibri" w:hint="eastAsia"/>
                <w:sz w:val="22"/>
                <w:lang w:val="en-US"/>
              </w:rPr>
              <w:t>Option 2: MAC CE</w:t>
            </w:r>
          </w:p>
          <w:p w14:paraId="26009B3D" w14:textId="77777777" w:rsidR="00335DBF" w:rsidRDefault="00335DBF" w:rsidP="00335DBF">
            <w:pPr>
              <w:pStyle w:val="0Maintext"/>
              <w:numPr>
                <w:ilvl w:val="0"/>
                <w:numId w:val="25"/>
              </w:numPr>
              <w:tabs>
                <w:tab w:val="left" w:pos="720"/>
              </w:tabs>
              <w:spacing w:after="0" w:afterAutospacing="0" w:line="240" w:lineRule="auto"/>
              <w:rPr>
                <w:rFonts w:ascii="Calibri" w:hAnsi="Calibri" w:cs="Calibri"/>
                <w:color w:val="FF0000"/>
                <w:sz w:val="22"/>
                <w:lang w:val="en-US"/>
              </w:rPr>
            </w:pPr>
            <w:r>
              <w:rPr>
                <w:rFonts w:ascii="Calibri" w:hAnsi="Calibri" w:cs="Calibri"/>
                <w:color w:val="FF0000"/>
                <w:sz w:val="22"/>
                <w:lang w:val="en-US"/>
              </w:rPr>
              <w:t>FFS UE-to-UE COT sharing started with PSFCH from the initiator</w:t>
            </w:r>
          </w:p>
          <w:p w14:paraId="0050468F" w14:textId="77777777" w:rsidR="00335DBF" w:rsidRDefault="00335DBF" w:rsidP="00335DBF">
            <w:pPr>
              <w:pStyle w:val="0Maintext"/>
              <w:spacing w:after="0" w:afterAutospacing="0" w:line="240" w:lineRule="auto"/>
              <w:ind w:firstLine="0"/>
              <w:rPr>
                <w:rFonts w:ascii="Calibri" w:hAnsi="Calibri" w:cs="Calibri"/>
                <w:color w:val="FF0000"/>
                <w:sz w:val="22"/>
                <w:lang w:val="en-US"/>
              </w:rPr>
            </w:pPr>
          </w:p>
          <w:p w14:paraId="22AF95CC" w14:textId="77777777" w:rsidR="00335DBF" w:rsidRDefault="00335DBF" w:rsidP="00335DBF">
            <w:pPr>
              <w:pStyle w:val="0Maintext"/>
              <w:spacing w:after="0" w:afterAutospacing="0" w:line="240" w:lineRule="auto"/>
              <w:ind w:firstLine="0"/>
              <w:rPr>
                <w:color w:val="000000" w:themeColor="text1"/>
                <w:highlight w:val="green"/>
              </w:rPr>
            </w:pPr>
            <w:r>
              <w:rPr>
                <w:rFonts w:ascii="Calibri" w:hAnsi="Calibri" w:cs="Calibri"/>
                <w:color w:val="000000" w:themeColor="text1"/>
                <w:sz w:val="22"/>
                <w:lang w:val="en-US"/>
              </w:rPr>
              <w:t xml:space="preserve">We would also like to bring up that </w:t>
            </w:r>
            <w:r>
              <w:rPr>
                <w:color w:val="000000" w:themeColor="text1"/>
              </w:rPr>
              <w:t>transmissions (channels) allowed to respond on a shared COT (PSCCH/PSSCH, PSFCH, S-SSB) should be captured in this or another discussion/proposal. To follow up on the previous agreement from RAN1 #110:</w:t>
            </w:r>
          </w:p>
          <w:p w14:paraId="45126F47" w14:textId="77777777" w:rsidR="00335DBF" w:rsidRDefault="00335DBF" w:rsidP="00335DBF">
            <w:pPr>
              <w:autoSpaceDE w:val="0"/>
              <w:autoSpaceDN w:val="0"/>
              <w:ind w:left="1080"/>
              <w:jc w:val="both"/>
              <w:rPr>
                <w:rFonts w:ascii="Times New Roman" w:hAnsi="Times New Roman"/>
                <w:i/>
                <w:iCs/>
                <w:szCs w:val="20"/>
              </w:rPr>
            </w:pPr>
            <w:r>
              <w:rPr>
                <w:rFonts w:ascii="Times New Roman" w:hAnsi="Times New Roman"/>
                <w:i/>
                <w:iCs/>
                <w:szCs w:val="20"/>
              </w:rPr>
              <w:t>“For Alt1 and Alt2: When a responding UE uses a shared COT for its transmission(s), the COT initiating UE is a target receiver of the responding UE’s transmission(s).</w:t>
            </w:r>
          </w:p>
          <w:p w14:paraId="6F43D98C" w14:textId="77777777" w:rsidR="00335DBF" w:rsidRDefault="00335DBF" w:rsidP="00335DBF">
            <w:pPr>
              <w:pStyle w:val="ListParagraph"/>
              <w:numPr>
                <w:ilvl w:val="2"/>
                <w:numId w:val="18"/>
              </w:numPr>
              <w:autoSpaceDE w:val="0"/>
              <w:autoSpaceDN w:val="0"/>
              <w:ind w:leftChars="0"/>
              <w:jc w:val="both"/>
              <w:rPr>
                <w:rFonts w:ascii="Times New Roman" w:hAnsi="Times New Roman"/>
                <w:i/>
                <w:iCs/>
                <w:szCs w:val="20"/>
              </w:rPr>
            </w:pPr>
            <w:r>
              <w:rPr>
                <w:rFonts w:ascii="Times New Roman" w:hAnsi="Times New Roman"/>
                <w:i/>
                <w:iCs/>
                <w:szCs w:val="20"/>
              </w:rPr>
              <w:t>FFS: details of the channel type of the responding UE’s transmission(s)”</w:t>
            </w:r>
          </w:p>
          <w:p w14:paraId="18FDB923" w14:textId="77777777" w:rsidR="00335DBF" w:rsidRDefault="00335DBF" w:rsidP="00335DBF">
            <w:pPr>
              <w:pStyle w:val="0Maintext"/>
              <w:spacing w:after="0" w:afterAutospacing="0" w:line="240" w:lineRule="auto"/>
              <w:ind w:firstLine="0"/>
              <w:rPr>
                <w:b/>
                <w:bCs/>
                <w:color w:val="000000" w:themeColor="text1"/>
                <w:highlight w:val="green"/>
              </w:rPr>
            </w:pPr>
            <w:r>
              <w:rPr>
                <w:b/>
                <w:bCs/>
                <w:color w:val="000000" w:themeColor="text1"/>
              </w:rPr>
              <w:t xml:space="preserve">The following could be considered by the FL as an additional fourth sub-bullet to </w:t>
            </w:r>
            <w:r>
              <w:rPr>
                <w:rFonts w:ascii="Calibri" w:hAnsi="Calibri" w:cs="Calibri"/>
                <w:b/>
                <w:bCs/>
                <w:sz w:val="22"/>
                <w:highlight w:val="yellow"/>
              </w:rPr>
              <w:t>Proposal 5 (I)</w:t>
            </w:r>
            <w:r>
              <w:rPr>
                <w:b/>
                <w:bCs/>
                <w:color w:val="000000" w:themeColor="text1"/>
              </w:rPr>
              <w:t>, or as a sketch for an additional proposal:</w:t>
            </w:r>
          </w:p>
          <w:p w14:paraId="58B42F22" w14:textId="77777777" w:rsidR="00335DBF" w:rsidRDefault="00335DBF" w:rsidP="00335DBF">
            <w:pPr>
              <w:pStyle w:val="0Maintext"/>
              <w:numPr>
                <w:ilvl w:val="1"/>
                <w:numId w:val="25"/>
              </w:numPr>
              <w:tabs>
                <w:tab w:val="clear" w:pos="1440"/>
              </w:tabs>
              <w:spacing w:after="0" w:afterAutospacing="0" w:line="240" w:lineRule="auto"/>
              <w:ind w:left="739"/>
              <w:rPr>
                <w:rFonts w:ascii="Calibri" w:hAnsi="Calibri" w:cs="Calibri"/>
                <w:color w:val="FF0000"/>
                <w:sz w:val="22"/>
                <w:lang w:val="en-US"/>
              </w:rPr>
            </w:pPr>
            <w:r>
              <w:rPr>
                <w:rFonts w:ascii="Calibri" w:hAnsi="Calibri" w:cs="Calibri"/>
                <w:color w:val="FF0000"/>
                <w:sz w:val="22"/>
                <w:lang w:val="en-US"/>
              </w:rPr>
              <w:t>The following transmissions from the responder UE are supported: PSFCH to the initiator, unicast PSCCH/PSSCH to initiator</w:t>
            </w:r>
          </w:p>
          <w:p w14:paraId="138106C4" w14:textId="77777777" w:rsidR="00335DBF" w:rsidRDefault="00335DBF" w:rsidP="00335DBF">
            <w:pPr>
              <w:pStyle w:val="0Maintext"/>
              <w:numPr>
                <w:ilvl w:val="2"/>
                <w:numId w:val="25"/>
              </w:numPr>
              <w:tabs>
                <w:tab w:val="clear" w:pos="2160"/>
              </w:tabs>
              <w:spacing w:after="0" w:afterAutospacing="0" w:line="240" w:lineRule="auto"/>
              <w:ind w:left="1306"/>
              <w:rPr>
                <w:rFonts w:ascii="Calibri" w:hAnsi="Calibri" w:cs="Calibri"/>
                <w:color w:val="FF0000"/>
                <w:sz w:val="22"/>
                <w:lang w:val="en-US"/>
              </w:rPr>
            </w:pPr>
            <w:r>
              <w:rPr>
                <w:rFonts w:ascii="Calibri" w:hAnsi="Calibri" w:cs="Calibri"/>
                <w:color w:val="FF0000"/>
                <w:sz w:val="22"/>
                <w:lang w:val="en-US"/>
              </w:rPr>
              <w:t>FFS: groupcast connection-based including the initiator, GC connection-less, broadcast,  S-SSB, PSFCH to a UE other than the initiator</w:t>
            </w:r>
          </w:p>
        </w:tc>
      </w:tr>
      <w:tr w:rsidR="00335DBF" w14:paraId="1DDB0017" w14:textId="77777777" w:rsidTr="006B2419">
        <w:tc>
          <w:tcPr>
            <w:tcW w:w="1555" w:type="dxa"/>
          </w:tcPr>
          <w:p w14:paraId="474C7D0D" w14:textId="77777777" w:rsidR="00335DBF" w:rsidRDefault="00335DBF" w:rsidP="00335DBF">
            <w:pPr>
              <w:pStyle w:val="0Maintext"/>
              <w:spacing w:after="0" w:afterAutospacing="0"/>
              <w:ind w:firstLine="0"/>
            </w:pPr>
            <w:r>
              <w:lastRenderedPageBreak/>
              <w:t>Intel</w:t>
            </w:r>
          </w:p>
        </w:tc>
        <w:tc>
          <w:tcPr>
            <w:tcW w:w="8076" w:type="dxa"/>
          </w:tcPr>
          <w:p w14:paraId="5C6631D0" w14:textId="77777777" w:rsidR="00335DBF" w:rsidRDefault="00335DBF" w:rsidP="00335DBF">
            <w:pPr>
              <w:pStyle w:val="0Maintext"/>
              <w:spacing w:after="0" w:afterAutospacing="0" w:line="240" w:lineRule="auto"/>
              <w:ind w:firstLine="0"/>
            </w:pPr>
            <w:r>
              <w:t>We are generally OK with the proposal, and prefer Alt.2:</w:t>
            </w:r>
          </w:p>
          <w:p w14:paraId="5791ED73" w14:textId="77777777" w:rsidR="00335DBF" w:rsidRDefault="00335DBF">
            <w:pPr>
              <w:pStyle w:val="0Maintext"/>
              <w:numPr>
                <w:ilvl w:val="0"/>
                <w:numId w:val="44"/>
              </w:numPr>
              <w:spacing w:after="0" w:afterAutospacing="0" w:line="240" w:lineRule="auto"/>
            </w:pPr>
            <w:r>
              <w:t xml:space="preserve">Alt.2 is clearly a more competitive solution compared to Alt-1 in terms of spectrum utilization, and allows substantial latency and LBT overhead reduction. </w:t>
            </w:r>
          </w:p>
          <w:p w14:paraId="144F3C68" w14:textId="77777777" w:rsidR="00335DBF" w:rsidRDefault="00335DBF">
            <w:pPr>
              <w:pStyle w:val="0Maintext"/>
              <w:numPr>
                <w:ilvl w:val="0"/>
                <w:numId w:val="44"/>
              </w:numPr>
              <w:spacing w:after="0" w:afterAutospacing="0" w:line="240" w:lineRule="auto"/>
            </w:pPr>
            <w:r>
              <w:t xml:space="preserve">Alt.2 may slightly increase congestion across UEs within the COT, but the set of beneficiaries is quite limited since whether a UE may be able to transmit within a COT is conditional on three aspects: </w:t>
            </w:r>
          </w:p>
          <w:p w14:paraId="3ECD1D46" w14:textId="77777777" w:rsidR="00335DBF" w:rsidRDefault="00335DBF">
            <w:pPr>
              <w:pStyle w:val="0Maintext"/>
              <w:numPr>
                <w:ilvl w:val="1"/>
                <w:numId w:val="44"/>
              </w:numPr>
              <w:spacing w:after="0" w:afterAutospacing="0" w:line="240" w:lineRule="auto"/>
            </w:pPr>
            <w:r>
              <w:t>same CAPC as the initiating device</w:t>
            </w:r>
          </w:p>
          <w:p w14:paraId="5DE8E8CF" w14:textId="77777777" w:rsidR="00335DBF" w:rsidRDefault="00335DBF">
            <w:pPr>
              <w:pStyle w:val="0Maintext"/>
              <w:numPr>
                <w:ilvl w:val="1"/>
                <w:numId w:val="44"/>
              </w:numPr>
              <w:spacing w:after="0" w:afterAutospacing="0" w:line="240" w:lineRule="auto"/>
            </w:pPr>
            <w:r>
              <w:t>candidate resources within the shared COT</w:t>
            </w:r>
          </w:p>
          <w:p w14:paraId="4B3839FF" w14:textId="77777777" w:rsidR="00335DBF" w:rsidRDefault="00335DBF">
            <w:pPr>
              <w:pStyle w:val="0Maintext"/>
              <w:numPr>
                <w:ilvl w:val="1"/>
                <w:numId w:val="44"/>
              </w:numPr>
              <w:spacing w:after="0" w:afterAutospacing="0" w:line="240" w:lineRule="auto"/>
            </w:pPr>
            <w:r>
              <w:t xml:space="preserve">responding device must be targeting the initiating device as receiver.  </w:t>
            </w:r>
          </w:p>
          <w:p w14:paraId="4715BB96" w14:textId="77777777" w:rsidR="00335DBF" w:rsidRDefault="00335DBF">
            <w:pPr>
              <w:pStyle w:val="0Maintext"/>
              <w:numPr>
                <w:ilvl w:val="0"/>
                <w:numId w:val="45"/>
              </w:numPr>
              <w:spacing w:after="0" w:afterAutospacing="0" w:line="240" w:lineRule="auto"/>
            </w:pPr>
            <w:r>
              <w:t>Alt.1 is a subset of Alt2, depending on how “targeting device” is defined.</w:t>
            </w:r>
          </w:p>
          <w:p w14:paraId="27CA3C11" w14:textId="77777777" w:rsidR="00335DBF" w:rsidRDefault="00335DBF" w:rsidP="00335DBF">
            <w:pPr>
              <w:pStyle w:val="0Maintext"/>
              <w:spacing w:after="0" w:afterAutospacing="0" w:line="240" w:lineRule="auto"/>
            </w:pPr>
          </w:p>
          <w:p w14:paraId="146F1219" w14:textId="77777777" w:rsidR="00335DBF" w:rsidRDefault="00335DBF" w:rsidP="00335DBF">
            <w:pPr>
              <w:pStyle w:val="0Maintext"/>
              <w:spacing w:after="0" w:afterAutospacing="0" w:line="240" w:lineRule="auto"/>
              <w:ind w:firstLine="0"/>
            </w:pPr>
            <w:r>
              <w:t xml:space="preserve">As for the COT sharing information content, we do not think the L1 ID is needed. This may only be needed in case UE-to-UE may be targeted for unicast transmissions. </w:t>
            </w:r>
          </w:p>
          <w:p w14:paraId="04160C39" w14:textId="77777777" w:rsidR="00335DBF" w:rsidRDefault="00335DBF" w:rsidP="00335DBF">
            <w:pPr>
              <w:pStyle w:val="0Maintext"/>
              <w:spacing w:after="0" w:afterAutospacing="0" w:line="240" w:lineRule="auto"/>
              <w:ind w:firstLine="0"/>
            </w:pPr>
          </w:p>
          <w:p w14:paraId="5CDF9097" w14:textId="77777777" w:rsidR="00335DBF" w:rsidRDefault="00335DBF" w:rsidP="00335DBF">
            <w:pPr>
              <w:pStyle w:val="0Maintext"/>
              <w:spacing w:after="0" w:afterAutospacing="0" w:line="240" w:lineRule="auto"/>
              <w:ind w:firstLine="0"/>
            </w:pPr>
            <w:r>
              <w:t xml:space="preserve">As for container, we prefer Option 1 considering that </w:t>
            </w:r>
          </w:p>
          <w:p w14:paraId="07BADF4E" w14:textId="77777777" w:rsidR="00335DBF" w:rsidRDefault="00335DBF">
            <w:pPr>
              <w:pStyle w:val="3GPPText"/>
              <w:numPr>
                <w:ilvl w:val="0"/>
                <w:numId w:val="46"/>
              </w:numPr>
              <w:spacing w:before="0" w:after="0"/>
              <w:rPr>
                <w:rFonts w:eastAsia="Malgun Gothic" w:cs="Batang"/>
                <w:sz w:val="20"/>
                <w:lang w:val="en-GB"/>
              </w:rPr>
            </w:pPr>
            <w:r>
              <w:rPr>
                <w:rFonts w:eastAsia="Malgun Gothic" w:cs="Batang"/>
                <w:sz w:val="20"/>
                <w:lang w:val="en-GB"/>
              </w:rPr>
              <w:t>a COT sharing information should be decoded by a potential responding UE as early as possible for a responding UE to timely prepare transmission and assess whether to acquire its own COT or transmit within another UE’s COT</w:t>
            </w:r>
          </w:p>
          <w:p w14:paraId="27155CC6" w14:textId="77777777" w:rsidR="00335DBF" w:rsidRDefault="00335DBF">
            <w:pPr>
              <w:pStyle w:val="3GPPText"/>
              <w:numPr>
                <w:ilvl w:val="0"/>
                <w:numId w:val="46"/>
              </w:numPr>
              <w:spacing w:before="0" w:after="0"/>
              <w:rPr>
                <w:rFonts w:eastAsia="Malgun Gothic" w:cs="Batang"/>
                <w:sz w:val="20"/>
                <w:lang w:val="en-GB"/>
              </w:rPr>
            </w:pPr>
            <w:r>
              <w:rPr>
                <w:rFonts w:eastAsia="Malgun Gothic" w:cs="Batang"/>
                <w:sz w:val="20"/>
                <w:lang w:val="en-GB"/>
              </w:rPr>
              <w:t xml:space="preserve">COT sharing information is a critical information aimed for better coordination and utilization of the spectrum, its transmission should be guaranteed the highest reliability. </w:t>
            </w:r>
          </w:p>
          <w:p w14:paraId="7994DC90" w14:textId="77777777" w:rsidR="00335DBF" w:rsidRDefault="00335DBF" w:rsidP="00335DBF">
            <w:pPr>
              <w:pStyle w:val="3GPPText"/>
              <w:spacing w:before="0" w:after="0"/>
              <w:rPr>
                <w:rFonts w:eastAsia="Malgun Gothic" w:cs="Batang"/>
                <w:sz w:val="20"/>
                <w:lang w:val="en-GB"/>
              </w:rPr>
            </w:pPr>
            <w:r>
              <w:rPr>
                <w:rFonts w:eastAsia="Malgun Gothic" w:cs="Batang"/>
                <w:sz w:val="20"/>
                <w:lang w:val="en-GB"/>
              </w:rPr>
              <w:t>With that said, we would like to propose the following update to the proposal:</w:t>
            </w:r>
          </w:p>
          <w:p w14:paraId="5EDE68D6" w14:textId="77777777" w:rsidR="00335DBF" w:rsidRDefault="00335DBF" w:rsidP="00335DBF">
            <w:pPr>
              <w:pStyle w:val="0Maintext"/>
              <w:numPr>
                <w:ilvl w:val="1"/>
                <w:numId w:val="25"/>
              </w:numPr>
              <w:tabs>
                <w:tab w:val="left" w:pos="1440"/>
              </w:tabs>
              <w:spacing w:after="0" w:afterAutospacing="0" w:line="240" w:lineRule="auto"/>
              <w:ind w:hanging="357"/>
              <w:rPr>
                <w:rFonts w:ascii="Calibri" w:hAnsi="Calibri" w:cs="Calibri"/>
                <w:sz w:val="22"/>
                <w:lang w:val="en-US"/>
              </w:rPr>
            </w:pPr>
            <w:r>
              <w:rPr>
                <w:rFonts w:ascii="Calibri" w:hAnsi="Calibri" w:cs="Calibri" w:hint="eastAsia"/>
                <w:sz w:val="22"/>
                <w:lang w:val="en-US"/>
              </w:rPr>
              <w:t>Contents of COT sharing information includes the followings:</w:t>
            </w:r>
          </w:p>
          <w:p w14:paraId="1568C292" w14:textId="77777777" w:rsidR="00335DBF" w:rsidRDefault="00335DBF" w:rsidP="00335DBF">
            <w:pPr>
              <w:pStyle w:val="0Maintext"/>
              <w:numPr>
                <w:ilvl w:val="2"/>
                <w:numId w:val="25"/>
              </w:numPr>
              <w:tabs>
                <w:tab w:val="left" w:pos="2160"/>
              </w:tabs>
              <w:spacing w:after="0" w:afterAutospacing="0" w:line="240" w:lineRule="auto"/>
              <w:ind w:hanging="357"/>
              <w:rPr>
                <w:rFonts w:ascii="Calibri" w:hAnsi="Calibri" w:cs="Calibri"/>
                <w:sz w:val="22"/>
                <w:lang w:val="en-US"/>
              </w:rPr>
            </w:pPr>
            <w:r>
              <w:rPr>
                <w:rFonts w:ascii="Calibri" w:hAnsi="Calibri" w:cs="Calibri" w:hint="eastAsia"/>
                <w:sz w:val="22"/>
              </w:rPr>
              <w:t>CAPC level</w:t>
            </w:r>
          </w:p>
          <w:p w14:paraId="6EFD12EF" w14:textId="77777777" w:rsidR="00335DBF" w:rsidRDefault="00335DBF" w:rsidP="00335DBF">
            <w:pPr>
              <w:pStyle w:val="0Maintext"/>
              <w:numPr>
                <w:ilvl w:val="2"/>
                <w:numId w:val="25"/>
              </w:numPr>
              <w:tabs>
                <w:tab w:val="left" w:pos="2160"/>
              </w:tabs>
              <w:spacing w:after="0" w:afterAutospacing="0" w:line="240" w:lineRule="auto"/>
              <w:ind w:hanging="357"/>
              <w:rPr>
                <w:rFonts w:ascii="Calibri" w:hAnsi="Calibri" w:cs="Calibri"/>
                <w:sz w:val="22"/>
                <w:lang w:val="en-US"/>
              </w:rPr>
            </w:pPr>
            <w:r>
              <w:rPr>
                <w:rFonts w:ascii="Calibri" w:hAnsi="Calibri" w:cs="Calibri" w:hint="eastAsia"/>
                <w:sz w:val="22"/>
              </w:rPr>
              <w:t>Remaining COT duration (e.g., number of SL slots or ms)</w:t>
            </w:r>
          </w:p>
          <w:p w14:paraId="7DCC47FE" w14:textId="77777777" w:rsidR="00335DBF" w:rsidRDefault="00335DBF" w:rsidP="00335DBF">
            <w:pPr>
              <w:pStyle w:val="0Maintext"/>
              <w:numPr>
                <w:ilvl w:val="2"/>
                <w:numId w:val="25"/>
              </w:numPr>
              <w:tabs>
                <w:tab w:val="left" w:pos="2160"/>
              </w:tabs>
              <w:spacing w:after="0" w:afterAutospacing="0" w:line="240" w:lineRule="auto"/>
              <w:ind w:hanging="357"/>
              <w:rPr>
                <w:rFonts w:ascii="Calibri" w:hAnsi="Calibri" w:cs="Calibri"/>
                <w:strike/>
                <w:color w:val="FF0000"/>
                <w:sz w:val="22"/>
                <w:lang w:val="en-US"/>
              </w:rPr>
            </w:pPr>
            <w:r>
              <w:rPr>
                <w:rFonts w:ascii="Calibri" w:hAnsi="Calibri" w:cs="Calibri" w:hint="eastAsia"/>
                <w:strike/>
                <w:color w:val="FF0000"/>
                <w:sz w:val="22"/>
              </w:rPr>
              <w:t>L1 ID</w:t>
            </w:r>
            <w:r>
              <w:rPr>
                <w:rFonts w:ascii="Calibri" w:hAnsi="Calibri" w:cs="Calibri"/>
                <w:strike/>
                <w:color w:val="FF0000"/>
                <w:sz w:val="22"/>
              </w:rPr>
              <w:t xml:space="preserve"> (e.g., </w:t>
            </w:r>
            <w:r>
              <w:rPr>
                <w:rFonts w:ascii="Calibri" w:hAnsi="Calibri" w:cs="Calibri" w:hint="eastAsia"/>
                <w:strike/>
                <w:color w:val="FF0000"/>
                <w:sz w:val="22"/>
              </w:rPr>
              <w:t>destination ID and/or source ID</w:t>
            </w:r>
            <w:r>
              <w:rPr>
                <w:rFonts w:ascii="Calibri" w:hAnsi="Calibri" w:cs="Calibri"/>
                <w:strike/>
                <w:color w:val="FF0000"/>
                <w:sz w:val="22"/>
              </w:rPr>
              <w:t>)</w:t>
            </w:r>
          </w:p>
          <w:p w14:paraId="20F2CE24" w14:textId="77777777" w:rsidR="00335DBF" w:rsidRDefault="00335DBF" w:rsidP="00335DBF">
            <w:pPr>
              <w:pStyle w:val="0Maintext"/>
              <w:numPr>
                <w:ilvl w:val="2"/>
                <w:numId w:val="25"/>
              </w:numPr>
              <w:tabs>
                <w:tab w:val="left" w:pos="2160"/>
              </w:tabs>
              <w:spacing w:after="0" w:afterAutospacing="0" w:line="240" w:lineRule="auto"/>
              <w:ind w:hanging="357"/>
              <w:rPr>
                <w:rFonts w:ascii="Calibri" w:hAnsi="Calibri" w:cs="Calibri"/>
                <w:sz w:val="22"/>
                <w:lang w:val="en-US"/>
              </w:rPr>
            </w:pPr>
            <w:r>
              <w:rPr>
                <w:rFonts w:ascii="Calibri" w:hAnsi="Calibri" w:cs="Calibri" w:hint="eastAsia"/>
                <w:sz w:val="22"/>
              </w:rPr>
              <w:t>FFS any others (e.g., information on time and frequency resources</w:t>
            </w:r>
            <w:r>
              <w:rPr>
                <w:rFonts w:ascii="Calibri" w:hAnsi="Calibri" w:cs="Calibri"/>
                <w:color w:val="FF0000"/>
                <w:sz w:val="22"/>
              </w:rPr>
              <w:t>, L1 ID</w:t>
            </w:r>
            <w:r>
              <w:rPr>
                <w:rFonts w:ascii="Calibri" w:hAnsi="Calibri" w:cs="Calibri" w:hint="eastAsia"/>
                <w:sz w:val="22"/>
              </w:rPr>
              <w:t>)</w:t>
            </w:r>
          </w:p>
        </w:tc>
      </w:tr>
      <w:tr w:rsidR="00335DBF" w14:paraId="16818856" w14:textId="77777777" w:rsidTr="006B2419">
        <w:tc>
          <w:tcPr>
            <w:tcW w:w="1555" w:type="dxa"/>
          </w:tcPr>
          <w:p w14:paraId="759F30FE" w14:textId="77777777" w:rsidR="00335DBF" w:rsidRDefault="00335DBF" w:rsidP="00335DBF">
            <w:pPr>
              <w:pStyle w:val="0Maintext"/>
              <w:spacing w:after="0" w:afterAutospacing="0"/>
              <w:ind w:firstLine="0"/>
            </w:pPr>
            <w:r>
              <w:t>Apple</w:t>
            </w:r>
          </w:p>
        </w:tc>
        <w:tc>
          <w:tcPr>
            <w:tcW w:w="8076" w:type="dxa"/>
          </w:tcPr>
          <w:p w14:paraId="77277AC7" w14:textId="77777777" w:rsidR="00335DBF" w:rsidRDefault="00335DBF" w:rsidP="00335DBF">
            <w:pPr>
              <w:jc w:val="both"/>
            </w:pPr>
            <w:r>
              <w:t>We support Alt. 1.</w:t>
            </w:r>
          </w:p>
          <w:p w14:paraId="409E23E5" w14:textId="77777777" w:rsidR="00335DBF" w:rsidRDefault="00335DBF" w:rsidP="00335DBF">
            <w:pPr>
              <w:pStyle w:val="NormalWeb"/>
              <w:spacing w:before="0" w:beforeAutospacing="0" w:after="0" w:afterAutospacing="0"/>
              <w:rPr>
                <w:rFonts w:ascii="Times New Roman" w:hAnsi="Times New Roman"/>
                <w:szCs w:val="24"/>
              </w:rPr>
            </w:pPr>
            <w:r>
              <w:rPr>
                <w:rFonts w:ascii="Times" w:eastAsia="Batang" w:hAnsi="Times" w:cs="Times New Roman"/>
                <w:color w:val="auto"/>
                <w:sz w:val="20"/>
                <w:szCs w:val="24"/>
                <w:lang w:val="en-GB" w:eastAsia="en-US"/>
              </w:rPr>
              <w:t xml:space="preserve">For content, additional information is Tx power used in EDT calculation. The EDT is scaled with Tx power, as specified in RS 37.213 section 4.2.3, also in EN 302 567, section 4.2.7.3.2.5. When </w:t>
            </w:r>
            <w:r>
              <w:rPr>
                <w:rFonts w:ascii="Times" w:eastAsia="Batang" w:hAnsi="Times" w:cs="Times New Roman"/>
                <w:color w:val="auto"/>
                <w:sz w:val="20"/>
                <w:szCs w:val="24"/>
                <w:lang w:val="en-GB" w:eastAsia="en-US"/>
              </w:rPr>
              <w:lastRenderedPageBreak/>
              <w:t>Tx power is low, more relaxed EDT can be used, resulting higher probability to acquire the COT. Therefore the shared COT transmission should limit to be lower than the Tx power. The same principle is used in Uu UL COT sharing where UE can be configured by</w:t>
            </w:r>
            <w:r>
              <w:t xml:space="preserve"> </w:t>
            </w:r>
            <w:r>
              <w:rPr>
                <w:rFonts w:ascii="Times" w:eastAsia="Batang" w:hAnsi="Times" w:cs="Times New Roman"/>
                <w:color w:val="auto"/>
                <w:sz w:val="20"/>
                <w:szCs w:val="24"/>
                <w:lang w:val="en-GB" w:eastAsia="en-US"/>
              </w:rPr>
              <w:t>NW using</w:t>
            </w:r>
            <w:r>
              <w:t xml:space="preserve"> </w:t>
            </w:r>
            <w:r>
              <w:rPr>
                <w:rFonts w:ascii="TimesNewRomanPS" w:hAnsi="TimesNewRomanPS"/>
                <w:i/>
                <w:iCs/>
                <w:sz w:val="20"/>
                <w:szCs w:val="20"/>
              </w:rPr>
              <w:t>ul-toDL-COT-SharingED-Threshold-r16</w:t>
            </w:r>
          </w:p>
          <w:p w14:paraId="0DD3EEEC" w14:textId="77777777" w:rsidR="00335DBF" w:rsidRDefault="00335DBF" w:rsidP="00335DBF">
            <w:pPr>
              <w:pStyle w:val="0Maintext"/>
              <w:spacing w:after="0" w:afterAutospacing="0" w:line="240" w:lineRule="auto"/>
              <w:ind w:firstLine="0"/>
            </w:pPr>
            <w:r>
              <w:t xml:space="preserve">For 3, support SCI.  </w:t>
            </w:r>
          </w:p>
        </w:tc>
      </w:tr>
      <w:tr w:rsidR="00335DBF" w14:paraId="12A72151" w14:textId="77777777" w:rsidTr="006B2419">
        <w:tc>
          <w:tcPr>
            <w:tcW w:w="1555" w:type="dxa"/>
          </w:tcPr>
          <w:p w14:paraId="0258125A" w14:textId="77777777" w:rsidR="00335DBF" w:rsidRDefault="00335DBF" w:rsidP="00335DBF">
            <w:pPr>
              <w:pStyle w:val="0Maintext"/>
              <w:spacing w:after="0" w:afterAutospacing="0"/>
              <w:ind w:firstLine="0"/>
            </w:pPr>
            <w:r>
              <w:rPr>
                <w:rFonts w:eastAsiaTheme="minorEastAsia" w:hint="eastAsia"/>
                <w:lang w:eastAsia="zh-CN"/>
              </w:rPr>
              <w:lastRenderedPageBreak/>
              <w:t>O</w:t>
            </w:r>
            <w:r>
              <w:rPr>
                <w:rFonts w:eastAsiaTheme="minorEastAsia"/>
                <w:lang w:eastAsia="zh-CN"/>
              </w:rPr>
              <w:t>PPO</w:t>
            </w:r>
          </w:p>
        </w:tc>
        <w:tc>
          <w:tcPr>
            <w:tcW w:w="8076" w:type="dxa"/>
          </w:tcPr>
          <w:p w14:paraId="07C4C8A3" w14:textId="77777777" w:rsidR="00335DBF" w:rsidRDefault="00335DBF" w:rsidP="00335DBF">
            <w:pPr>
              <w:pStyle w:val="0Maintext"/>
              <w:spacing w:after="0" w:afterAutospacing="0" w:line="240" w:lineRule="auto"/>
              <w:ind w:firstLine="0"/>
              <w:rPr>
                <w:rFonts w:eastAsiaTheme="minorEastAsia"/>
                <w:lang w:eastAsia="zh-CN"/>
              </w:rPr>
            </w:pPr>
            <w:r>
              <w:rPr>
                <w:rFonts w:eastAsiaTheme="minorEastAsia"/>
                <w:lang w:eastAsia="zh-CN"/>
              </w:rPr>
              <w:t>We support Alt 2 + Option 1</w:t>
            </w:r>
          </w:p>
          <w:p w14:paraId="2351C2B3" w14:textId="77777777" w:rsidR="00335DBF" w:rsidRDefault="00335DBF" w:rsidP="00335DBF">
            <w:pPr>
              <w:pStyle w:val="0Maintext"/>
              <w:spacing w:after="0" w:afterAutospacing="0" w:line="240" w:lineRule="auto"/>
              <w:ind w:firstLine="0"/>
            </w:pPr>
            <w:r>
              <w:rPr>
                <w:rFonts w:eastAsiaTheme="minorEastAsia"/>
                <w:lang w:eastAsia="zh-CN"/>
              </w:rPr>
              <w:t>Regarding IDCC’s comment about MCSt info, we think the info of MCSt can be seen as time/resource indication of transmission resource which should be carried in 1</w:t>
            </w:r>
            <w:r>
              <w:rPr>
                <w:rFonts w:eastAsiaTheme="minorEastAsia"/>
                <w:vertAlign w:val="superscript"/>
                <w:lang w:eastAsia="zh-CN"/>
              </w:rPr>
              <w:t>st</w:t>
            </w:r>
            <w:r>
              <w:rPr>
                <w:rFonts w:eastAsiaTheme="minorEastAsia"/>
                <w:lang w:eastAsia="zh-CN"/>
              </w:rPr>
              <w:t xml:space="preserve">  SCI to assist other UE’s sensing procedure. It cannot be seen as COT sharing info. </w:t>
            </w:r>
          </w:p>
        </w:tc>
      </w:tr>
      <w:tr w:rsidR="00335DBF" w14:paraId="04188225" w14:textId="77777777" w:rsidTr="006B2419">
        <w:tc>
          <w:tcPr>
            <w:tcW w:w="1555" w:type="dxa"/>
          </w:tcPr>
          <w:p w14:paraId="30B5D1EB" w14:textId="77777777" w:rsidR="00335DBF" w:rsidRDefault="00335DBF" w:rsidP="00335DBF">
            <w:pPr>
              <w:pStyle w:val="0Maintext"/>
              <w:spacing w:after="0" w:afterAutospacing="0"/>
              <w:ind w:firstLine="0"/>
            </w:pPr>
            <w:r>
              <w:t>CableLabs</w:t>
            </w:r>
          </w:p>
        </w:tc>
        <w:tc>
          <w:tcPr>
            <w:tcW w:w="8076" w:type="dxa"/>
          </w:tcPr>
          <w:p w14:paraId="4A42EA04" w14:textId="77777777" w:rsidR="00335DBF" w:rsidRDefault="00335DBF" w:rsidP="00335DBF">
            <w:pPr>
              <w:pStyle w:val="0Maintext"/>
              <w:spacing w:after="0" w:afterAutospacing="0" w:line="240" w:lineRule="auto"/>
              <w:ind w:firstLine="0"/>
            </w:pPr>
            <w:r>
              <w:t>We support Alternative 2.</w:t>
            </w:r>
          </w:p>
        </w:tc>
      </w:tr>
      <w:tr w:rsidR="00335DBF" w14:paraId="38C0F57B" w14:textId="77777777" w:rsidTr="006B2419">
        <w:tc>
          <w:tcPr>
            <w:tcW w:w="1555" w:type="dxa"/>
          </w:tcPr>
          <w:p w14:paraId="3B4589C7" w14:textId="77777777" w:rsidR="00335DBF" w:rsidRDefault="00335DBF" w:rsidP="00335DBF">
            <w:pPr>
              <w:pStyle w:val="0Maintext"/>
              <w:spacing w:after="0" w:afterAutospacing="0"/>
              <w:ind w:firstLine="0"/>
              <w:rPr>
                <w:lang w:eastAsia="ko-KR"/>
              </w:rPr>
            </w:pPr>
            <w:r>
              <w:rPr>
                <w:rFonts w:hint="eastAsia"/>
                <w:lang w:eastAsia="ko-KR"/>
              </w:rPr>
              <w:t>LGE</w:t>
            </w:r>
          </w:p>
        </w:tc>
        <w:tc>
          <w:tcPr>
            <w:tcW w:w="8076" w:type="dxa"/>
          </w:tcPr>
          <w:p w14:paraId="75C363F1" w14:textId="77777777" w:rsidR="00335DBF" w:rsidRDefault="00335DBF" w:rsidP="00335DBF">
            <w:pPr>
              <w:pStyle w:val="0Maintext"/>
              <w:spacing w:after="0" w:afterAutospacing="0" w:line="240" w:lineRule="auto"/>
              <w:ind w:firstLine="0"/>
              <w:rPr>
                <w:lang w:eastAsia="ko-KR"/>
              </w:rPr>
            </w:pPr>
            <w:r>
              <w:rPr>
                <w:rFonts w:hint="eastAsia"/>
                <w:lang w:eastAsia="ko-KR"/>
              </w:rPr>
              <w:t xml:space="preserve">We support Alt 1. </w:t>
            </w:r>
          </w:p>
          <w:p w14:paraId="63DE0DC8" w14:textId="77777777" w:rsidR="00335DBF" w:rsidRDefault="00335DBF" w:rsidP="00335DBF">
            <w:pPr>
              <w:pStyle w:val="0Maintext"/>
              <w:spacing w:after="0" w:afterAutospacing="0" w:line="240" w:lineRule="auto"/>
              <w:ind w:firstLine="0"/>
              <w:rPr>
                <w:lang w:eastAsia="ko-KR"/>
              </w:rPr>
            </w:pPr>
            <w:r>
              <w:rPr>
                <w:lang w:eastAsia="ko-KR"/>
              </w:rPr>
              <w:t xml:space="preserve">From our side, it is quite similar with IUC. To avoid excessive COT sharing triggered by a large number of UE operating in distributed manner, it would be more safe to allow that the UE can provide COT sharing information only if they has or transmits data to the target UE. </w:t>
            </w:r>
          </w:p>
          <w:p w14:paraId="58C3ADF6" w14:textId="77777777" w:rsidR="00335DBF" w:rsidRDefault="00335DBF" w:rsidP="00335DBF">
            <w:pPr>
              <w:pStyle w:val="0Maintext"/>
              <w:spacing w:after="0" w:afterAutospacing="0" w:line="240" w:lineRule="auto"/>
              <w:ind w:firstLine="0"/>
              <w:rPr>
                <w:lang w:eastAsia="ko-KR"/>
              </w:rPr>
            </w:pPr>
          </w:p>
          <w:p w14:paraId="65F59D51" w14:textId="77777777" w:rsidR="00335DBF" w:rsidRDefault="00335DBF" w:rsidP="00335DBF">
            <w:pPr>
              <w:pStyle w:val="0Maintext"/>
              <w:spacing w:after="0" w:afterAutospacing="0" w:line="240" w:lineRule="auto"/>
              <w:ind w:firstLine="0"/>
              <w:rPr>
                <w:lang w:eastAsia="ko-KR"/>
              </w:rPr>
            </w:pPr>
            <w:r>
              <w:rPr>
                <w:rFonts w:hint="eastAsia"/>
                <w:lang w:eastAsia="ko-KR"/>
              </w:rPr>
              <w:t xml:space="preserve">In this point of view, we do not need to </w:t>
            </w:r>
            <w:r>
              <w:rPr>
                <w:lang w:eastAsia="ko-KR"/>
              </w:rPr>
              <w:t>provide IDs separately for COT sharing information. The RX UE just check the L1 source ID/L1 destination ID already included in the 2</w:t>
            </w:r>
            <w:r>
              <w:rPr>
                <w:vertAlign w:val="superscript"/>
                <w:lang w:eastAsia="ko-KR"/>
              </w:rPr>
              <w:t>nd</w:t>
            </w:r>
            <w:r>
              <w:rPr>
                <w:lang w:eastAsia="ko-KR"/>
              </w:rPr>
              <w:t xml:space="preserve"> SCI. </w:t>
            </w:r>
          </w:p>
          <w:p w14:paraId="1AA11C4C" w14:textId="77777777" w:rsidR="00335DBF" w:rsidRDefault="00335DBF" w:rsidP="00335DBF">
            <w:pPr>
              <w:pStyle w:val="0Maintext"/>
              <w:numPr>
                <w:ilvl w:val="1"/>
                <w:numId w:val="25"/>
              </w:numPr>
              <w:tabs>
                <w:tab w:val="left" w:pos="1440"/>
              </w:tabs>
              <w:spacing w:after="0" w:afterAutospacing="0" w:line="240" w:lineRule="auto"/>
              <w:ind w:hanging="357"/>
              <w:rPr>
                <w:rFonts w:ascii="Calibri" w:hAnsi="Calibri" w:cs="Calibri"/>
                <w:sz w:val="22"/>
                <w:lang w:val="en-US"/>
              </w:rPr>
            </w:pPr>
            <w:r>
              <w:rPr>
                <w:rFonts w:ascii="Calibri" w:hAnsi="Calibri" w:cs="Calibri" w:hint="eastAsia"/>
                <w:sz w:val="22"/>
                <w:lang w:val="en-US"/>
              </w:rPr>
              <w:t>Contents of COT sharing information includes the followings:</w:t>
            </w:r>
          </w:p>
          <w:p w14:paraId="31C74A5B" w14:textId="77777777" w:rsidR="00335DBF" w:rsidRDefault="00335DBF" w:rsidP="00335DBF">
            <w:pPr>
              <w:pStyle w:val="0Maintext"/>
              <w:numPr>
                <w:ilvl w:val="2"/>
                <w:numId w:val="25"/>
              </w:numPr>
              <w:tabs>
                <w:tab w:val="left" w:pos="2160"/>
              </w:tabs>
              <w:spacing w:after="0" w:afterAutospacing="0" w:line="240" w:lineRule="auto"/>
              <w:ind w:hanging="357"/>
              <w:rPr>
                <w:rFonts w:ascii="Calibri" w:hAnsi="Calibri" w:cs="Calibri"/>
                <w:sz w:val="22"/>
                <w:lang w:val="en-US"/>
              </w:rPr>
            </w:pPr>
            <w:r>
              <w:rPr>
                <w:rFonts w:ascii="Calibri" w:hAnsi="Calibri" w:cs="Calibri" w:hint="eastAsia"/>
                <w:sz w:val="22"/>
              </w:rPr>
              <w:t>CAPC level</w:t>
            </w:r>
          </w:p>
          <w:p w14:paraId="457C481F" w14:textId="77777777" w:rsidR="00335DBF" w:rsidRDefault="00335DBF" w:rsidP="00335DBF">
            <w:pPr>
              <w:pStyle w:val="0Maintext"/>
              <w:numPr>
                <w:ilvl w:val="2"/>
                <w:numId w:val="25"/>
              </w:numPr>
              <w:tabs>
                <w:tab w:val="left" w:pos="2160"/>
              </w:tabs>
              <w:spacing w:after="0" w:afterAutospacing="0" w:line="240" w:lineRule="auto"/>
              <w:ind w:hanging="357"/>
              <w:rPr>
                <w:rFonts w:ascii="Calibri" w:hAnsi="Calibri" w:cs="Calibri"/>
                <w:sz w:val="22"/>
                <w:lang w:val="en-US"/>
              </w:rPr>
            </w:pPr>
            <w:r>
              <w:rPr>
                <w:rFonts w:ascii="Calibri" w:hAnsi="Calibri" w:cs="Calibri" w:hint="eastAsia"/>
                <w:sz w:val="22"/>
              </w:rPr>
              <w:t>Remaining COT duration (e.g., number of SL slots or ms)</w:t>
            </w:r>
          </w:p>
          <w:p w14:paraId="4BE7968B" w14:textId="77777777" w:rsidR="00335DBF" w:rsidRDefault="00335DBF" w:rsidP="00335DBF">
            <w:pPr>
              <w:pStyle w:val="0Maintext"/>
              <w:numPr>
                <w:ilvl w:val="2"/>
                <w:numId w:val="25"/>
              </w:numPr>
              <w:tabs>
                <w:tab w:val="left" w:pos="2160"/>
              </w:tabs>
              <w:spacing w:after="0" w:afterAutospacing="0" w:line="240" w:lineRule="auto"/>
              <w:ind w:hanging="357"/>
              <w:rPr>
                <w:rFonts w:ascii="Calibri" w:hAnsi="Calibri" w:cs="Calibri"/>
                <w:strike/>
                <w:sz w:val="22"/>
                <w:lang w:val="en-US"/>
              </w:rPr>
            </w:pPr>
            <w:r>
              <w:rPr>
                <w:rFonts w:ascii="Calibri" w:hAnsi="Calibri" w:cs="Calibri" w:hint="eastAsia"/>
                <w:strike/>
                <w:color w:val="FF0000"/>
                <w:sz w:val="22"/>
              </w:rPr>
              <w:t>L1 ID</w:t>
            </w:r>
            <w:r>
              <w:rPr>
                <w:rFonts w:ascii="Calibri" w:hAnsi="Calibri" w:cs="Calibri"/>
                <w:strike/>
                <w:color w:val="FF0000"/>
                <w:sz w:val="22"/>
              </w:rPr>
              <w:t xml:space="preserve"> (e.g., </w:t>
            </w:r>
            <w:r>
              <w:rPr>
                <w:rFonts w:ascii="Calibri" w:hAnsi="Calibri" w:cs="Calibri" w:hint="eastAsia"/>
                <w:strike/>
                <w:color w:val="FF0000"/>
                <w:sz w:val="22"/>
              </w:rPr>
              <w:t>destination ID and/or source ID</w:t>
            </w:r>
            <w:r>
              <w:rPr>
                <w:rFonts w:ascii="Calibri" w:hAnsi="Calibri" w:cs="Calibri"/>
                <w:strike/>
                <w:color w:val="FF0000"/>
                <w:sz w:val="22"/>
              </w:rPr>
              <w:t>)</w:t>
            </w:r>
          </w:p>
          <w:p w14:paraId="0E871EB4" w14:textId="77777777" w:rsidR="00335DBF" w:rsidRDefault="00335DBF" w:rsidP="00335DBF">
            <w:pPr>
              <w:pStyle w:val="0Maintext"/>
              <w:numPr>
                <w:ilvl w:val="2"/>
                <w:numId w:val="25"/>
              </w:numPr>
              <w:tabs>
                <w:tab w:val="left" w:pos="2160"/>
              </w:tabs>
              <w:spacing w:after="0" w:afterAutospacing="0" w:line="240" w:lineRule="auto"/>
              <w:ind w:hanging="357"/>
              <w:rPr>
                <w:rFonts w:ascii="Calibri" w:hAnsi="Calibri" w:cs="Calibri"/>
                <w:sz w:val="22"/>
                <w:lang w:val="en-US"/>
              </w:rPr>
            </w:pPr>
            <w:r>
              <w:rPr>
                <w:rFonts w:ascii="Calibri" w:hAnsi="Calibri" w:cs="Calibri" w:hint="eastAsia"/>
                <w:sz w:val="22"/>
              </w:rPr>
              <w:t>FFS any others (e.g., information on time and frequency resources</w:t>
            </w:r>
            <w:r>
              <w:rPr>
                <w:rFonts w:ascii="Calibri" w:hAnsi="Calibri" w:cs="Calibri"/>
                <w:sz w:val="22"/>
              </w:rPr>
              <w:t xml:space="preserve">, </w:t>
            </w:r>
            <w:r>
              <w:rPr>
                <w:rFonts w:ascii="Calibri" w:hAnsi="Calibri" w:cs="Calibri" w:hint="eastAsia"/>
                <w:color w:val="FF0000"/>
                <w:sz w:val="22"/>
              </w:rPr>
              <w:t>L1 ID</w:t>
            </w:r>
            <w:r>
              <w:rPr>
                <w:rFonts w:ascii="Calibri" w:hAnsi="Calibri" w:cs="Calibri"/>
                <w:color w:val="FF0000"/>
                <w:sz w:val="22"/>
              </w:rPr>
              <w:t xml:space="preserve"> (e.g., </w:t>
            </w:r>
            <w:r>
              <w:rPr>
                <w:rFonts w:ascii="Calibri" w:hAnsi="Calibri" w:cs="Calibri" w:hint="eastAsia"/>
                <w:color w:val="FF0000"/>
                <w:sz w:val="22"/>
              </w:rPr>
              <w:t>destination ID and/or source ID</w:t>
            </w:r>
            <w:r>
              <w:rPr>
                <w:rFonts w:ascii="Calibri" w:hAnsi="Calibri" w:cs="Calibri"/>
                <w:color w:val="FF0000"/>
                <w:sz w:val="22"/>
              </w:rPr>
              <w:t>)</w:t>
            </w:r>
            <w:r>
              <w:rPr>
                <w:rFonts w:ascii="Calibri" w:hAnsi="Calibri" w:cs="Calibri" w:hint="eastAsia"/>
                <w:sz w:val="22"/>
              </w:rPr>
              <w:t>)</w:t>
            </w:r>
          </w:p>
          <w:p w14:paraId="70B18873" w14:textId="77777777" w:rsidR="00335DBF" w:rsidRDefault="00335DBF" w:rsidP="00335DBF">
            <w:pPr>
              <w:pStyle w:val="0Maintext"/>
              <w:spacing w:after="0" w:afterAutospacing="0" w:line="240" w:lineRule="auto"/>
              <w:ind w:firstLine="0"/>
              <w:rPr>
                <w:lang w:val="en-US" w:eastAsia="ko-KR"/>
              </w:rPr>
            </w:pPr>
          </w:p>
          <w:p w14:paraId="65CC924B" w14:textId="77777777" w:rsidR="00335DBF" w:rsidRDefault="00335DBF" w:rsidP="00335DBF">
            <w:pPr>
              <w:pStyle w:val="0Maintext"/>
              <w:spacing w:after="0" w:afterAutospacing="0" w:line="240" w:lineRule="auto"/>
              <w:ind w:firstLine="0"/>
              <w:rPr>
                <w:lang w:val="en-US" w:eastAsia="ko-KR"/>
              </w:rPr>
            </w:pPr>
            <w:r>
              <w:rPr>
                <w:lang w:val="en-US" w:eastAsia="ko-KR"/>
              </w:rPr>
              <w:t>R</w:t>
            </w:r>
            <w:r>
              <w:rPr>
                <w:rFonts w:hint="eastAsia"/>
                <w:lang w:val="en-US" w:eastAsia="ko-KR"/>
              </w:rPr>
              <w:t xml:space="preserve">egarding </w:t>
            </w:r>
            <w:r>
              <w:rPr>
                <w:lang w:val="en-US" w:eastAsia="ko-KR"/>
              </w:rPr>
              <w:t xml:space="preserve">the container, considering the maximum COT duration could be 2 or 3 ms, Option 1 should be supported, and the necessity of MAC CE would be FFS for large maximum COT duration. </w:t>
            </w:r>
          </w:p>
          <w:p w14:paraId="74154473" w14:textId="77777777" w:rsidR="00335DBF" w:rsidRDefault="00335DBF" w:rsidP="00335DBF">
            <w:pPr>
              <w:pStyle w:val="0Maintext"/>
              <w:numPr>
                <w:ilvl w:val="1"/>
                <w:numId w:val="25"/>
              </w:numPr>
              <w:tabs>
                <w:tab w:val="left" w:pos="1440"/>
              </w:tabs>
              <w:spacing w:after="0" w:afterAutospacing="0" w:line="240" w:lineRule="auto"/>
              <w:ind w:hanging="357"/>
              <w:rPr>
                <w:rFonts w:ascii="Calibri" w:hAnsi="Calibri" w:cs="Calibri"/>
                <w:sz w:val="22"/>
                <w:lang w:val="en-US"/>
              </w:rPr>
            </w:pPr>
            <w:r>
              <w:rPr>
                <w:rFonts w:ascii="Calibri" w:hAnsi="Calibri" w:cs="Calibri" w:hint="eastAsia"/>
                <w:sz w:val="22"/>
                <w:lang w:val="en-US"/>
              </w:rPr>
              <w:t>Container(s) for the COT sharing information (e.g., 1st SCI, 2nd SCI, MAC CE)</w:t>
            </w:r>
          </w:p>
          <w:p w14:paraId="6EEFDD9F" w14:textId="77777777" w:rsidR="00335DBF" w:rsidRDefault="00335DBF" w:rsidP="00335DBF">
            <w:pPr>
              <w:pStyle w:val="0Maintext"/>
              <w:numPr>
                <w:ilvl w:val="2"/>
                <w:numId w:val="25"/>
              </w:numPr>
              <w:tabs>
                <w:tab w:val="left" w:pos="2160"/>
              </w:tabs>
              <w:spacing w:after="0" w:afterAutospacing="0" w:line="240" w:lineRule="auto"/>
              <w:ind w:hanging="357"/>
              <w:rPr>
                <w:rFonts w:ascii="Calibri" w:hAnsi="Calibri" w:cs="Calibri"/>
                <w:sz w:val="22"/>
                <w:lang w:val="en-US"/>
              </w:rPr>
            </w:pPr>
            <w:r>
              <w:rPr>
                <w:rFonts w:ascii="Calibri" w:hAnsi="Calibri" w:cs="Calibri" w:hint="eastAsia"/>
                <w:strike/>
                <w:color w:val="FF0000"/>
                <w:sz w:val="22"/>
                <w:lang w:val="en-US"/>
              </w:rPr>
              <w:t>Option 1:</w:t>
            </w:r>
            <w:r>
              <w:rPr>
                <w:rFonts w:ascii="Calibri" w:hAnsi="Calibri" w:cs="Calibri" w:hint="eastAsia"/>
                <w:color w:val="FF0000"/>
                <w:sz w:val="22"/>
                <w:lang w:val="en-US"/>
              </w:rPr>
              <w:t xml:space="preserve"> </w:t>
            </w:r>
            <w:r>
              <w:rPr>
                <w:rFonts w:ascii="Calibri" w:hAnsi="Calibri" w:cs="Calibri" w:hint="eastAsia"/>
                <w:sz w:val="22"/>
                <w:lang w:val="en-US"/>
              </w:rPr>
              <w:t>SCI (e.g., 1</w:t>
            </w:r>
            <w:r>
              <w:rPr>
                <w:rFonts w:ascii="Calibri" w:hAnsi="Calibri" w:cs="Calibri" w:hint="eastAsia"/>
                <w:sz w:val="22"/>
                <w:vertAlign w:val="superscript"/>
                <w:lang w:val="en-US"/>
              </w:rPr>
              <w:t>st</w:t>
            </w:r>
            <w:r>
              <w:rPr>
                <w:rFonts w:ascii="Calibri" w:hAnsi="Calibri" w:cs="Calibri" w:hint="eastAsia"/>
                <w:sz w:val="22"/>
                <w:lang w:val="en-US"/>
              </w:rPr>
              <w:t xml:space="preserve"> and/or 2</w:t>
            </w:r>
            <w:r>
              <w:rPr>
                <w:rFonts w:ascii="Calibri" w:hAnsi="Calibri" w:cs="Calibri" w:hint="eastAsia"/>
                <w:sz w:val="22"/>
                <w:vertAlign w:val="superscript"/>
                <w:lang w:val="en-US"/>
              </w:rPr>
              <w:t>nd</w:t>
            </w:r>
            <w:r>
              <w:rPr>
                <w:rFonts w:ascii="Calibri" w:hAnsi="Calibri" w:cs="Calibri" w:hint="eastAsia"/>
                <w:sz w:val="22"/>
                <w:lang w:val="en-US"/>
              </w:rPr>
              <w:t xml:space="preserve"> stage SCI)</w:t>
            </w:r>
          </w:p>
          <w:p w14:paraId="031601B2" w14:textId="77777777" w:rsidR="00335DBF" w:rsidRDefault="00335DBF" w:rsidP="00335DBF">
            <w:pPr>
              <w:pStyle w:val="0Maintext"/>
              <w:numPr>
                <w:ilvl w:val="3"/>
                <w:numId w:val="25"/>
              </w:numPr>
              <w:tabs>
                <w:tab w:val="left" w:pos="2880"/>
              </w:tabs>
              <w:spacing w:after="0" w:afterAutospacing="0" w:line="240" w:lineRule="auto"/>
              <w:ind w:hanging="357"/>
              <w:rPr>
                <w:rFonts w:ascii="Calibri" w:hAnsi="Calibri" w:cs="Calibri"/>
                <w:sz w:val="22"/>
                <w:lang w:val="en-US"/>
              </w:rPr>
            </w:pPr>
            <w:r>
              <w:rPr>
                <w:rFonts w:ascii="Calibri" w:hAnsi="Calibri" w:cs="Calibri" w:hint="eastAsia"/>
                <w:sz w:val="22"/>
                <w:lang w:val="en-US"/>
              </w:rPr>
              <w:t>FFS whether a new 1</w:t>
            </w:r>
            <w:r>
              <w:rPr>
                <w:rFonts w:ascii="Calibri" w:hAnsi="Calibri" w:cs="Calibri" w:hint="eastAsia"/>
                <w:sz w:val="22"/>
                <w:vertAlign w:val="superscript"/>
                <w:lang w:val="en-US"/>
              </w:rPr>
              <w:t>st</w:t>
            </w:r>
            <w:r>
              <w:rPr>
                <w:rFonts w:ascii="Calibri" w:hAnsi="Calibri" w:cs="Calibri" w:hint="eastAsia"/>
                <w:sz w:val="22"/>
                <w:lang w:val="en-US"/>
              </w:rPr>
              <w:t xml:space="preserve"> and/or 2</w:t>
            </w:r>
            <w:r>
              <w:rPr>
                <w:rFonts w:ascii="Calibri" w:hAnsi="Calibri" w:cs="Calibri" w:hint="eastAsia"/>
                <w:sz w:val="22"/>
                <w:vertAlign w:val="superscript"/>
                <w:lang w:val="en-US"/>
              </w:rPr>
              <w:t>nd</w:t>
            </w:r>
            <w:r>
              <w:rPr>
                <w:rFonts w:ascii="Calibri" w:hAnsi="Calibri" w:cs="Calibri" w:hint="eastAsia"/>
                <w:sz w:val="22"/>
                <w:lang w:val="en-US"/>
              </w:rPr>
              <w:t xml:space="preserve"> stage SCI format is needed (maybe consider together with SCI format(s) for SL-U and MCSt operation)</w:t>
            </w:r>
          </w:p>
          <w:p w14:paraId="7E4BB08C" w14:textId="77777777" w:rsidR="00335DBF" w:rsidRDefault="00335DBF" w:rsidP="00335DBF">
            <w:pPr>
              <w:pStyle w:val="0Maintext"/>
              <w:numPr>
                <w:ilvl w:val="2"/>
                <w:numId w:val="25"/>
              </w:numPr>
              <w:tabs>
                <w:tab w:val="left" w:pos="2160"/>
              </w:tabs>
              <w:spacing w:after="0" w:afterAutospacing="0" w:line="240" w:lineRule="auto"/>
              <w:rPr>
                <w:rFonts w:ascii="Calibri" w:hAnsi="Calibri" w:cs="Calibri"/>
                <w:sz w:val="22"/>
                <w:lang w:val="en-US"/>
              </w:rPr>
            </w:pPr>
            <w:r>
              <w:rPr>
                <w:rFonts w:ascii="Calibri" w:hAnsi="Calibri" w:cs="Calibri"/>
                <w:color w:val="FF0000"/>
                <w:sz w:val="22"/>
                <w:lang w:val="en-US"/>
              </w:rPr>
              <w:t xml:space="preserve">FFS: </w:t>
            </w:r>
            <w:r>
              <w:rPr>
                <w:rFonts w:ascii="Calibri" w:hAnsi="Calibri" w:cs="Calibri" w:hint="eastAsia"/>
                <w:strike/>
                <w:color w:val="FF0000"/>
                <w:sz w:val="22"/>
                <w:lang w:val="en-US"/>
              </w:rPr>
              <w:t>Option 2:</w:t>
            </w:r>
            <w:r>
              <w:rPr>
                <w:rFonts w:ascii="Calibri" w:hAnsi="Calibri" w:cs="Calibri" w:hint="eastAsia"/>
                <w:color w:val="FF0000"/>
                <w:sz w:val="22"/>
                <w:lang w:val="en-US"/>
              </w:rPr>
              <w:t xml:space="preserve"> </w:t>
            </w:r>
            <w:r>
              <w:rPr>
                <w:rFonts w:ascii="Calibri" w:hAnsi="Calibri" w:cs="Calibri" w:hint="eastAsia"/>
                <w:sz w:val="22"/>
                <w:lang w:val="en-US"/>
              </w:rPr>
              <w:t>MAC CE</w:t>
            </w:r>
          </w:p>
        </w:tc>
      </w:tr>
      <w:tr w:rsidR="00335DBF" w14:paraId="327EC477" w14:textId="77777777" w:rsidTr="006B2419">
        <w:tc>
          <w:tcPr>
            <w:tcW w:w="1555" w:type="dxa"/>
          </w:tcPr>
          <w:p w14:paraId="5D963B96" w14:textId="77777777" w:rsidR="00335DBF" w:rsidRDefault="00335DBF" w:rsidP="00335DBF">
            <w:pPr>
              <w:pStyle w:val="0Maintext"/>
              <w:spacing w:after="0" w:afterAutospacing="0"/>
              <w:ind w:firstLine="0"/>
              <w:rPr>
                <w:rFonts w:eastAsia="MS Mincho"/>
                <w:lang w:eastAsia="ja-JP"/>
              </w:rPr>
            </w:pPr>
            <w:r>
              <w:rPr>
                <w:rFonts w:eastAsia="MS Mincho" w:hint="eastAsia"/>
                <w:lang w:eastAsia="ja-JP"/>
              </w:rPr>
              <w:t>D</w:t>
            </w:r>
            <w:r>
              <w:rPr>
                <w:rFonts w:eastAsia="MS Mincho"/>
                <w:lang w:eastAsia="ja-JP"/>
              </w:rPr>
              <w:t>CM</w:t>
            </w:r>
          </w:p>
        </w:tc>
        <w:tc>
          <w:tcPr>
            <w:tcW w:w="8076" w:type="dxa"/>
          </w:tcPr>
          <w:p w14:paraId="6778C367" w14:textId="77777777" w:rsidR="00335DBF" w:rsidRDefault="00335DBF" w:rsidP="00335DBF">
            <w:pPr>
              <w:pStyle w:val="0Maintext"/>
              <w:spacing w:after="0" w:afterAutospacing="0" w:line="240" w:lineRule="auto"/>
              <w:ind w:firstLine="0"/>
              <w:rPr>
                <w:rFonts w:eastAsia="MS Mincho"/>
                <w:lang w:eastAsia="ja-JP"/>
              </w:rPr>
            </w:pPr>
            <w:r>
              <w:rPr>
                <w:rFonts w:eastAsia="MS Mincho" w:hint="eastAsia"/>
                <w:lang w:eastAsia="ja-JP"/>
              </w:rPr>
              <w:t>A</w:t>
            </w:r>
            <w:r>
              <w:rPr>
                <w:rFonts w:eastAsia="MS Mincho"/>
                <w:lang w:eastAsia="ja-JP"/>
              </w:rPr>
              <w:t>lt 2. In our reading, Alt 2 is not prohibited in the regulation document. Then why extra restriction is necessary is quite unclear for us.</w:t>
            </w:r>
          </w:p>
          <w:p w14:paraId="1EED456C" w14:textId="77777777" w:rsidR="00335DBF" w:rsidRDefault="00335DBF" w:rsidP="00335DBF">
            <w:pPr>
              <w:pStyle w:val="0Maintext"/>
              <w:spacing w:after="0" w:afterAutospacing="0" w:line="240" w:lineRule="auto"/>
              <w:ind w:firstLine="0"/>
              <w:rPr>
                <w:rFonts w:eastAsia="MS Mincho"/>
                <w:lang w:eastAsia="ja-JP"/>
              </w:rPr>
            </w:pPr>
            <w:r>
              <w:rPr>
                <w:rFonts w:eastAsia="MS Mincho" w:hint="eastAsia"/>
                <w:lang w:eastAsia="ja-JP"/>
              </w:rPr>
              <w:t>O</w:t>
            </w:r>
            <w:r>
              <w:rPr>
                <w:rFonts w:eastAsia="MS Mincho"/>
                <w:lang w:eastAsia="ja-JP"/>
              </w:rPr>
              <w:t>ption 1. Otherwise, NACK TX cannot be performed within the COT since MAC-CE is not decoded successfully.</w:t>
            </w:r>
          </w:p>
          <w:p w14:paraId="0F8D1582" w14:textId="77777777" w:rsidR="00335DBF" w:rsidRDefault="00335DBF" w:rsidP="00335DBF">
            <w:pPr>
              <w:pStyle w:val="0Maintext"/>
              <w:spacing w:after="0" w:afterAutospacing="0" w:line="240" w:lineRule="auto"/>
              <w:ind w:firstLine="0"/>
              <w:rPr>
                <w:rFonts w:eastAsia="MS Mincho"/>
                <w:lang w:eastAsia="ja-JP"/>
              </w:rPr>
            </w:pPr>
            <w:r>
              <w:rPr>
                <w:rFonts w:eastAsia="MS Mincho"/>
                <w:lang w:eastAsia="ja-JP"/>
              </w:rPr>
              <w:t>For contents, how COT duration-relative information is indicated should be studied further in order to reduce overhead. This point should be FFS.</w:t>
            </w:r>
          </w:p>
        </w:tc>
      </w:tr>
      <w:tr w:rsidR="00335DBF" w14:paraId="1790EBB4" w14:textId="77777777" w:rsidTr="006B2419">
        <w:tc>
          <w:tcPr>
            <w:tcW w:w="1555" w:type="dxa"/>
          </w:tcPr>
          <w:p w14:paraId="4443D176" w14:textId="77777777" w:rsidR="00335DBF" w:rsidRDefault="00335DBF" w:rsidP="00335DBF">
            <w:pPr>
              <w:pStyle w:val="0Maintext"/>
              <w:spacing w:after="0" w:afterAutospacing="0"/>
              <w:ind w:firstLine="0"/>
              <w:rPr>
                <w:rFonts w:eastAsia="MS Mincho"/>
                <w:lang w:eastAsia="ja-JP"/>
              </w:rPr>
            </w:pPr>
            <w:r>
              <w:rPr>
                <w:rFonts w:eastAsiaTheme="minorEastAsia" w:hint="eastAsia"/>
                <w:lang w:eastAsia="zh-CN"/>
              </w:rPr>
              <w:t>S</w:t>
            </w:r>
            <w:r>
              <w:rPr>
                <w:rFonts w:eastAsiaTheme="minorEastAsia"/>
                <w:lang w:eastAsia="zh-CN"/>
              </w:rPr>
              <w:t>preadtrum</w:t>
            </w:r>
          </w:p>
        </w:tc>
        <w:tc>
          <w:tcPr>
            <w:tcW w:w="8076" w:type="dxa"/>
          </w:tcPr>
          <w:p w14:paraId="78C77999" w14:textId="77777777" w:rsidR="00335DBF" w:rsidRDefault="00335DBF" w:rsidP="00335DBF">
            <w:pPr>
              <w:pStyle w:val="0Maintext"/>
              <w:spacing w:after="0" w:afterAutospacing="0" w:line="240" w:lineRule="auto"/>
              <w:ind w:firstLine="0"/>
              <w:rPr>
                <w:rFonts w:eastAsiaTheme="minorEastAsia"/>
                <w:lang w:eastAsia="zh-CN"/>
              </w:rPr>
            </w:pPr>
            <w:r>
              <w:rPr>
                <w:rFonts w:eastAsiaTheme="minorEastAsia" w:hint="eastAsia"/>
                <w:lang w:eastAsia="zh-CN"/>
              </w:rPr>
              <w:t>W</w:t>
            </w:r>
            <w:r>
              <w:rPr>
                <w:rFonts w:eastAsiaTheme="minorEastAsia"/>
                <w:lang w:eastAsia="zh-CN"/>
              </w:rPr>
              <w:t>e prefer alt 2 + option 1. At least for PSFCH transmission of responding UE, alt 2 should be supported.</w:t>
            </w:r>
            <w:r>
              <w:t xml:space="preserve"> </w:t>
            </w:r>
            <w:r>
              <w:rPr>
                <w:rFonts w:eastAsiaTheme="minorEastAsia"/>
                <w:lang w:eastAsia="zh-CN"/>
              </w:rPr>
              <w:t>Because PSFCH transmissions from different UEs can FDM, and PSFCH resources are determined through the mapping with corresponding PSSCHs. There is no PSFCH resources collision between different UEs. Alt.2 can improve the probability of successful channel access of non-target data receiver’s PSFCH transmissions.</w:t>
            </w:r>
          </w:p>
        </w:tc>
      </w:tr>
      <w:tr w:rsidR="00335DBF" w14:paraId="39DFCD70" w14:textId="77777777" w:rsidTr="006B2419">
        <w:tc>
          <w:tcPr>
            <w:tcW w:w="1555" w:type="dxa"/>
          </w:tcPr>
          <w:p w14:paraId="2DAF1B74" w14:textId="77777777" w:rsidR="00335DBF" w:rsidRDefault="00335DBF" w:rsidP="00335DBF">
            <w:pPr>
              <w:pStyle w:val="0Maintext"/>
              <w:spacing w:after="0" w:afterAutospacing="0"/>
              <w:ind w:firstLine="0"/>
              <w:rPr>
                <w:rFonts w:eastAsiaTheme="minorEastAsia"/>
                <w:lang w:eastAsia="zh-CN"/>
              </w:rPr>
            </w:pPr>
            <w:r>
              <w:rPr>
                <w:rFonts w:eastAsia="MS Mincho" w:hint="eastAsia"/>
                <w:lang w:eastAsia="ja-JP"/>
              </w:rPr>
              <w:t>S</w:t>
            </w:r>
            <w:r>
              <w:rPr>
                <w:rFonts w:eastAsia="MS Mincho"/>
                <w:lang w:eastAsia="ja-JP"/>
              </w:rPr>
              <w:t>ony</w:t>
            </w:r>
          </w:p>
        </w:tc>
        <w:tc>
          <w:tcPr>
            <w:tcW w:w="8076" w:type="dxa"/>
          </w:tcPr>
          <w:p w14:paraId="31BCFA6C" w14:textId="77777777" w:rsidR="00335DBF" w:rsidRDefault="00335DBF" w:rsidP="00335DBF">
            <w:pPr>
              <w:pStyle w:val="0Maintext"/>
              <w:spacing w:after="0" w:afterAutospacing="0" w:line="240" w:lineRule="auto"/>
              <w:ind w:firstLine="0"/>
              <w:rPr>
                <w:rFonts w:eastAsiaTheme="minorEastAsia"/>
                <w:lang w:eastAsia="zh-CN"/>
              </w:rPr>
            </w:pPr>
            <w:r>
              <w:rPr>
                <w:rFonts w:eastAsia="MS Mincho" w:hint="eastAsia"/>
                <w:lang w:eastAsia="ja-JP"/>
              </w:rPr>
              <w:t>W</w:t>
            </w:r>
            <w:r>
              <w:rPr>
                <w:rFonts w:eastAsia="MS Mincho"/>
                <w:lang w:eastAsia="ja-JP"/>
              </w:rPr>
              <w:t>e support Alt.2 for first sub-bullet and option 1 for third sub-bullet.</w:t>
            </w:r>
          </w:p>
        </w:tc>
      </w:tr>
      <w:tr w:rsidR="00335DBF" w14:paraId="39C2F106" w14:textId="77777777" w:rsidTr="006B2419">
        <w:tc>
          <w:tcPr>
            <w:tcW w:w="1555" w:type="dxa"/>
          </w:tcPr>
          <w:p w14:paraId="59D9111C" w14:textId="77777777" w:rsidR="00335DBF" w:rsidRDefault="00335DBF" w:rsidP="00335DBF">
            <w:pPr>
              <w:pStyle w:val="0Maintext"/>
              <w:spacing w:after="0" w:afterAutospacing="0"/>
              <w:ind w:firstLine="0"/>
              <w:rPr>
                <w:rFonts w:cs="Times New Roman"/>
              </w:rPr>
            </w:pPr>
            <w:r>
              <w:rPr>
                <w:rFonts w:eastAsiaTheme="minorEastAsia" w:cs="Times New Roman"/>
                <w:lang w:eastAsia="zh-CN"/>
              </w:rPr>
              <w:t>CMCC</w:t>
            </w:r>
          </w:p>
        </w:tc>
        <w:tc>
          <w:tcPr>
            <w:tcW w:w="8076" w:type="dxa"/>
          </w:tcPr>
          <w:p w14:paraId="77724DB0" w14:textId="77777777" w:rsidR="00335DBF" w:rsidRDefault="00335DBF" w:rsidP="00335DBF">
            <w:pPr>
              <w:pStyle w:val="0Maintext"/>
              <w:spacing w:after="0" w:afterAutospacing="0" w:line="240" w:lineRule="auto"/>
              <w:ind w:firstLine="0"/>
              <w:rPr>
                <w:rFonts w:eastAsiaTheme="minorEastAsia"/>
                <w:lang w:eastAsia="zh-CN"/>
              </w:rPr>
            </w:pPr>
            <w:r>
              <w:rPr>
                <w:rFonts w:eastAsiaTheme="minorEastAsia" w:hint="eastAsia"/>
                <w:lang w:eastAsia="zh-CN"/>
              </w:rPr>
              <w:t>W</w:t>
            </w:r>
            <w:r>
              <w:rPr>
                <w:rFonts w:eastAsiaTheme="minorEastAsia"/>
                <w:lang w:eastAsia="zh-CN"/>
              </w:rPr>
              <w:t>e support Alt.1 to follow the principle in NR-U.</w:t>
            </w:r>
          </w:p>
          <w:p w14:paraId="771B5611" w14:textId="77777777" w:rsidR="00335DBF" w:rsidRDefault="00335DBF" w:rsidP="00335DBF">
            <w:pPr>
              <w:pStyle w:val="0Maintext"/>
              <w:spacing w:after="0" w:afterAutospacing="0" w:line="240" w:lineRule="auto"/>
              <w:ind w:firstLine="0"/>
              <w:rPr>
                <w:rFonts w:eastAsiaTheme="minorEastAsia"/>
                <w:lang w:eastAsia="zh-CN"/>
              </w:rPr>
            </w:pPr>
          </w:p>
          <w:p w14:paraId="6EC1B133" w14:textId="77777777" w:rsidR="00335DBF" w:rsidRDefault="00335DBF" w:rsidP="00335DBF">
            <w:pPr>
              <w:pStyle w:val="0Maintext"/>
              <w:spacing w:after="0" w:afterAutospacing="0" w:line="240" w:lineRule="auto"/>
              <w:ind w:firstLine="0"/>
              <w:rPr>
                <w:rFonts w:eastAsiaTheme="minorEastAsia"/>
                <w:lang w:eastAsia="zh-CN"/>
              </w:rPr>
            </w:pPr>
            <w:r>
              <w:rPr>
                <w:rFonts w:eastAsiaTheme="minorEastAsia" w:hint="eastAsia"/>
                <w:lang w:eastAsia="zh-CN"/>
              </w:rPr>
              <w:t>F</w:t>
            </w:r>
            <w:r>
              <w:rPr>
                <w:rFonts w:eastAsiaTheme="minorEastAsia"/>
                <w:lang w:eastAsia="zh-CN"/>
              </w:rPr>
              <w:t xml:space="preserve">or the contents of COT sharing information, besides the remaining COT duration, we think that the </w:t>
            </w:r>
            <w:r>
              <w:rPr>
                <w:rFonts w:eastAsiaTheme="minorEastAsia"/>
                <w:i/>
                <w:lang w:eastAsia="zh-CN"/>
              </w:rPr>
              <w:t>offset</w:t>
            </w:r>
            <w:r>
              <w:rPr>
                <w:rFonts w:eastAsiaTheme="minorEastAsia"/>
                <w:lang w:eastAsia="zh-CN"/>
              </w:rPr>
              <w:t xml:space="preserve"> which is used to indicate the starting point of responding UE’s transmission should also be included, which is similar to CG-UCI design in NR-U. Moreover, communication range can also be considered to solve the hidden issue and limit the UEs which can be a responding UE. Therefore, we propose to do the following modification:</w:t>
            </w:r>
          </w:p>
          <w:p w14:paraId="17B7E871" w14:textId="77777777" w:rsidR="00335DBF" w:rsidRDefault="00335DBF" w:rsidP="00335DBF">
            <w:pPr>
              <w:pStyle w:val="0Maintext"/>
              <w:numPr>
                <w:ilvl w:val="1"/>
                <w:numId w:val="25"/>
              </w:numPr>
              <w:tabs>
                <w:tab w:val="left" w:pos="1440"/>
              </w:tabs>
              <w:spacing w:after="0" w:afterAutospacing="0" w:line="240" w:lineRule="auto"/>
              <w:ind w:hanging="357"/>
              <w:rPr>
                <w:rFonts w:ascii="Calibri" w:hAnsi="Calibri" w:cs="Calibri"/>
                <w:sz w:val="22"/>
                <w:lang w:val="en-US"/>
              </w:rPr>
            </w:pPr>
            <w:r>
              <w:rPr>
                <w:rFonts w:ascii="Calibri" w:hAnsi="Calibri" w:cs="Calibri" w:hint="eastAsia"/>
                <w:sz w:val="22"/>
                <w:lang w:val="en-US"/>
              </w:rPr>
              <w:t>Contents of COT sharing information includes the followings:</w:t>
            </w:r>
          </w:p>
          <w:p w14:paraId="055CF4B8" w14:textId="77777777" w:rsidR="00335DBF" w:rsidRDefault="00335DBF" w:rsidP="00335DBF">
            <w:pPr>
              <w:pStyle w:val="0Maintext"/>
              <w:numPr>
                <w:ilvl w:val="2"/>
                <w:numId w:val="25"/>
              </w:numPr>
              <w:tabs>
                <w:tab w:val="left" w:pos="2160"/>
              </w:tabs>
              <w:spacing w:after="0" w:afterAutospacing="0" w:line="240" w:lineRule="auto"/>
              <w:ind w:hanging="357"/>
              <w:rPr>
                <w:rFonts w:ascii="Calibri" w:hAnsi="Calibri" w:cs="Calibri"/>
                <w:sz w:val="22"/>
                <w:lang w:val="en-US"/>
              </w:rPr>
            </w:pPr>
            <w:r>
              <w:rPr>
                <w:rFonts w:ascii="Calibri" w:hAnsi="Calibri" w:cs="Calibri" w:hint="eastAsia"/>
                <w:sz w:val="22"/>
              </w:rPr>
              <w:t>CAPC level</w:t>
            </w:r>
          </w:p>
          <w:p w14:paraId="5A24FD20" w14:textId="77777777" w:rsidR="00335DBF" w:rsidRDefault="00335DBF" w:rsidP="00335DBF">
            <w:pPr>
              <w:pStyle w:val="0Maintext"/>
              <w:numPr>
                <w:ilvl w:val="2"/>
                <w:numId w:val="25"/>
              </w:numPr>
              <w:tabs>
                <w:tab w:val="left" w:pos="2160"/>
              </w:tabs>
              <w:spacing w:after="0" w:afterAutospacing="0" w:line="240" w:lineRule="auto"/>
              <w:ind w:hanging="357"/>
              <w:rPr>
                <w:rFonts w:ascii="Calibri" w:hAnsi="Calibri" w:cs="Calibri"/>
                <w:sz w:val="22"/>
                <w:lang w:val="en-US"/>
              </w:rPr>
            </w:pPr>
            <w:r>
              <w:rPr>
                <w:rFonts w:ascii="Calibri" w:hAnsi="Calibri" w:cs="Calibri" w:hint="eastAsia"/>
                <w:sz w:val="22"/>
              </w:rPr>
              <w:t xml:space="preserve">Remaining COT duration </w:t>
            </w:r>
            <w:bookmarkStart w:id="118" w:name="OLE_LINK241"/>
            <w:bookmarkStart w:id="119" w:name="OLE_LINK242"/>
            <w:r>
              <w:rPr>
                <w:rFonts w:ascii="Calibri" w:hAnsi="Calibri" w:cs="Calibri" w:hint="eastAsia"/>
                <w:sz w:val="22"/>
              </w:rPr>
              <w:t>(e.g., number of SL slots or ms)</w:t>
            </w:r>
            <w:bookmarkEnd w:id="118"/>
            <w:bookmarkEnd w:id="119"/>
          </w:p>
          <w:p w14:paraId="580F9D00" w14:textId="77777777" w:rsidR="00335DBF" w:rsidRDefault="00335DBF" w:rsidP="00335DBF">
            <w:pPr>
              <w:pStyle w:val="0Maintext"/>
              <w:numPr>
                <w:ilvl w:val="2"/>
                <w:numId w:val="25"/>
              </w:numPr>
              <w:tabs>
                <w:tab w:val="left" w:pos="2160"/>
              </w:tabs>
              <w:spacing w:after="0" w:afterAutospacing="0" w:line="240" w:lineRule="auto"/>
              <w:ind w:hanging="357"/>
              <w:rPr>
                <w:rFonts w:ascii="Calibri" w:hAnsi="Calibri" w:cs="Calibri"/>
                <w:color w:val="FF0000"/>
                <w:sz w:val="22"/>
                <w:lang w:val="en-US"/>
              </w:rPr>
            </w:pPr>
            <w:r>
              <w:rPr>
                <w:rFonts w:ascii="Calibri" w:eastAsiaTheme="minorEastAsia" w:hAnsi="Calibri" w:cs="Calibri"/>
                <w:color w:val="FF0000"/>
                <w:sz w:val="22"/>
                <w:lang w:val="en-US" w:eastAsia="zh-CN"/>
              </w:rPr>
              <w:t>R</w:t>
            </w:r>
            <w:r>
              <w:rPr>
                <w:rFonts w:ascii="Calibri" w:eastAsiaTheme="minorEastAsia" w:hAnsi="Calibri" w:cs="Calibri" w:hint="eastAsia"/>
                <w:color w:val="FF0000"/>
                <w:sz w:val="22"/>
                <w:lang w:val="en-US" w:eastAsia="zh-CN"/>
              </w:rPr>
              <w:t>esponding</w:t>
            </w:r>
            <w:r>
              <w:rPr>
                <w:rFonts w:ascii="Calibri" w:eastAsiaTheme="minorEastAsia" w:hAnsi="Calibri" w:cs="Calibri"/>
                <w:color w:val="FF0000"/>
                <w:sz w:val="22"/>
                <w:lang w:val="en-US" w:eastAsia="zh-CN"/>
              </w:rPr>
              <w:t xml:space="preserve"> </w:t>
            </w:r>
            <w:r>
              <w:rPr>
                <w:rFonts w:ascii="Calibri" w:eastAsiaTheme="minorEastAsia" w:hAnsi="Calibri" w:cs="Calibri" w:hint="eastAsia"/>
                <w:color w:val="FF0000"/>
                <w:sz w:val="22"/>
                <w:lang w:val="en-US" w:eastAsia="zh-CN"/>
              </w:rPr>
              <w:t>UE</w:t>
            </w:r>
            <w:r>
              <w:rPr>
                <w:rFonts w:ascii="Calibri" w:eastAsiaTheme="minorEastAsia" w:hAnsi="Calibri" w:cs="Calibri"/>
                <w:color w:val="FF0000"/>
                <w:sz w:val="22"/>
                <w:lang w:val="en-US" w:eastAsia="zh-CN"/>
              </w:rPr>
              <w:t xml:space="preserve">’s transmission starting offset </w:t>
            </w:r>
            <w:r>
              <w:rPr>
                <w:rFonts w:ascii="Calibri" w:hAnsi="Calibri" w:cs="Calibri" w:hint="eastAsia"/>
                <w:color w:val="FF0000"/>
                <w:sz w:val="22"/>
              </w:rPr>
              <w:t>(e.g., number of SL slots or ms)</w:t>
            </w:r>
          </w:p>
          <w:p w14:paraId="6A06E3D0" w14:textId="77777777" w:rsidR="00335DBF" w:rsidRDefault="00335DBF" w:rsidP="00335DBF">
            <w:pPr>
              <w:pStyle w:val="0Maintext"/>
              <w:numPr>
                <w:ilvl w:val="2"/>
                <w:numId w:val="25"/>
              </w:numPr>
              <w:tabs>
                <w:tab w:val="left" w:pos="2160"/>
              </w:tabs>
              <w:spacing w:after="0" w:afterAutospacing="0" w:line="240" w:lineRule="auto"/>
              <w:ind w:hanging="357"/>
              <w:rPr>
                <w:rFonts w:ascii="Calibri" w:hAnsi="Calibri" w:cs="Calibri"/>
                <w:sz w:val="22"/>
                <w:lang w:val="en-US"/>
              </w:rPr>
            </w:pPr>
            <w:r>
              <w:rPr>
                <w:rFonts w:ascii="Calibri" w:hAnsi="Calibri" w:cs="Calibri" w:hint="eastAsia"/>
                <w:sz w:val="22"/>
              </w:rPr>
              <w:t>L1 ID</w:t>
            </w:r>
            <w:r>
              <w:rPr>
                <w:rFonts w:ascii="Calibri" w:hAnsi="Calibri" w:cs="Calibri"/>
                <w:sz w:val="22"/>
              </w:rPr>
              <w:t xml:space="preserve"> (e.g., </w:t>
            </w:r>
            <w:r>
              <w:rPr>
                <w:rFonts w:ascii="Calibri" w:hAnsi="Calibri" w:cs="Calibri" w:hint="eastAsia"/>
                <w:sz w:val="22"/>
              </w:rPr>
              <w:t>destination ID and/or source ID</w:t>
            </w:r>
            <w:r>
              <w:rPr>
                <w:rFonts w:ascii="Calibri" w:hAnsi="Calibri" w:cs="Calibri"/>
                <w:sz w:val="22"/>
              </w:rPr>
              <w:t>)</w:t>
            </w:r>
          </w:p>
          <w:p w14:paraId="255E8219" w14:textId="77777777" w:rsidR="00335DBF" w:rsidRDefault="00335DBF" w:rsidP="00335DBF">
            <w:pPr>
              <w:pStyle w:val="0Maintext"/>
              <w:numPr>
                <w:ilvl w:val="2"/>
                <w:numId w:val="25"/>
              </w:numPr>
              <w:tabs>
                <w:tab w:val="left" w:pos="2160"/>
              </w:tabs>
              <w:spacing w:after="0" w:afterAutospacing="0" w:line="240" w:lineRule="auto"/>
              <w:ind w:hanging="357"/>
              <w:rPr>
                <w:rFonts w:ascii="Calibri" w:hAnsi="Calibri" w:cs="Calibri"/>
                <w:sz w:val="22"/>
                <w:lang w:val="en-US"/>
              </w:rPr>
            </w:pPr>
            <w:r>
              <w:rPr>
                <w:rFonts w:ascii="Calibri" w:hAnsi="Calibri" w:cs="Calibri" w:hint="eastAsia"/>
                <w:sz w:val="22"/>
              </w:rPr>
              <w:lastRenderedPageBreak/>
              <w:t>FFS any others (e.g., information on time and frequency resources</w:t>
            </w:r>
            <w:r>
              <w:rPr>
                <w:rFonts w:ascii="Calibri" w:hAnsi="Calibri" w:cs="Calibri"/>
                <w:sz w:val="22"/>
              </w:rPr>
              <w:t>,</w:t>
            </w:r>
            <w:r>
              <w:rPr>
                <w:rFonts w:ascii="Calibri" w:hAnsi="Calibri" w:cs="Calibri"/>
                <w:color w:val="FF0000"/>
                <w:sz w:val="22"/>
              </w:rPr>
              <w:t xml:space="preserve"> </w:t>
            </w:r>
            <w:r>
              <w:rPr>
                <w:rFonts w:eastAsiaTheme="minorEastAsia" w:cs="Times New Roman"/>
                <w:color w:val="FF0000"/>
                <w:sz w:val="22"/>
                <w:lang w:eastAsia="zh-CN"/>
              </w:rPr>
              <w:t>communication range</w:t>
            </w:r>
            <w:r>
              <w:rPr>
                <w:rFonts w:ascii="Calibri" w:hAnsi="Calibri" w:cs="Calibri" w:hint="eastAsia"/>
                <w:sz w:val="22"/>
              </w:rPr>
              <w:t>)</w:t>
            </w:r>
          </w:p>
          <w:p w14:paraId="35B1C343" w14:textId="77777777" w:rsidR="00335DBF" w:rsidRDefault="00335DBF" w:rsidP="00335DBF">
            <w:pPr>
              <w:pStyle w:val="0Maintext"/>
              <w:spacing w:after="0" w:afterAutospacing="0" w:line="240" w:lineRule="auto"/>
              <w:ind w:firstLine="0"/>
              <w:rPr>
                <w:rFonts w:eastAsiaTheme="minorEastAsia"/>
                <w:lang w:val="en-US" w:eastAsia="zh-CN"/>
              </w:rPr>
            </w:pPr>
          </w:p>
          <w:p w14:paraId="7F9CB46F" w14:textId="77777777" w:rsidR="00335DBF" w:rsidRDefault="00335DBF" w:rsidP="00335DBF">
            <w:pPr>
              <w:pStyle w:val="0Maintext"/>
              <w:spacing w:after="0" w:afterAutospacing="0" w:line="240" w:lineRule="auto"/>
              <w:ind w:firstLine="0"/>
              <w:rPr>
                <w:rFonts w:eastAsiaTheme="minorEastAsia"/>
                <w:lang w:val="en-US" w:eastAsia="zh-CN"/>
              </w:rPr>
            </w:pPr>
            <w:r>
              <w:rPr>
                <w:rFonts w:eastAsiaTheme="minorEastAsia" w:hint="eastAsia"/>
                <w:lang w:val="en-US" w:eastAsia="zh-CN"/>
              </w:rPr>
              <w:t>F</w:t>
            </w:r>
            <w:r>
              <w:rPr>
                <w:rFonts w:eastAsiaTheme="minorEastAsia"/>
                <w:lang w:val="en-US" w:eastAsia="zh-CN"/>
              </w:rPr>
              <w:t>or the container, we prefer option 1 (SCI), MAC CE is not feasible due to the longer latency.</w:t>
            </w:r>
          </w:p>
        </w:tc>
      </w:tr>
      <w:tr w:rsidR="00335DBF" w14:paraId="56CCEA0B" w14:textId="77777777" w:rsidTr="006B2419">
        <w:tc>
          <w:tcPr>
            <w:tcW w:w="1555" w:type="dxa"/>
          </w:tcPr>
          <w:p w14:paraId="06A53FD6" w14:textId="77777777" w:rsidR="00335DBF" w:rsidRDefault="00335DBF" w:rsidP="00335DBF">
            <w:pPr>
              <w:pStyle w:val="0Maintext"/>
              <w:spacing w:after="0" w:afterAutospacing="0"/>
              <w:ind w:firstLine="0"/>
              <w:rPr>
                <w:rFonts w:eastAsiaTheme="minorEastAsia" w:cs="Times New Roman"/>
                <w:lang w:eastAsia="zh-CN"/>
              </w:rPr>
            </w:pPr>
            <w:r>
              <w:rPr>
                <w:rFonts w:eastAsiaTheme="minorEastAsia" w:hint="eastAsia"/>
                <w:lang w:eastAsia="zh-CN"/>
              </w:rPr>
              <w:lastRenderedPageBreak/>
              <w:t>F</w:t>
            </w:r>
            <w:r>
              <w:rPr>
                <w:rFonts w:eastAsiaTheme="minorEastAsia"/>
                <w:lang w:eastAsia="zh-CN"/>
              </w:rPr>
              <w:t>ujitsu</w:t>
            </w:r>
          </w:p>
        </w:tc>
        <w:tc>
          <w:tcPr>
            <w:tcW w:w="8076" w:type="dxa"/>
          </w:tcPr>
          <w:p w14:paraId="0C8EA141" w14:textId="77777777" w:rsidR="00335DBF" w:rsidRDefault="00335DBF" w:rsidP="00335DBF">
            <w:pPr>
              <w:pStyle w:val="0Maintext"/>
              <w:spacing w:after="0" w:afterAutospacing="0" w:line="240" w:lineRule="auto"/>
              <w:ind w:firstLine="0"/>
              <w:rPr>
                <w:rFonts w:eastAsiaTheme="minorEastAsia"/>
                <w:lang w:eastAsia="zh-CN"/>
              </w:rPr>
            </w:pPr>
            <w:r>
              <w:rPr>
                <w:rFonts w:eastAsiaTheme="minorEastAsia" w:hint="eastAsia"/>
                <w:lang w:eastAsia="zh-CN"/>
              </w:rPr>
              <w:t>W</w:t>
            </w:r>
            <w:r>
              <w:rPr>
                <w:rFonts w:eastAsiaTheme="minorEastAsia"/>
                <w:lang w:eastAsia="zh-CN"/>
              </w:rPr>
              <w:t>e are fine with the proposal and prefer Alt. 1.</w:t>
            </w:r>
          </w:p>
        </w:tc>
      </w:tr>
      <w:tr w:rsidR="00335DBF" w14:paraId="36DB7027" w14:textId="77777777" w:rsidTr="006B2419">
        <w:tc>
          <w:tcPr>
            <w:tcW w:w="1555" w:type="dxa"/>
          </w:tcPr>
          <w:p w14:paraId="0E3B8104" w14:textId="77777777" w:rsidR="00335DBF" w:rsidRDefault="00335DBF" w:rsidP="00335DBF">
            <w:pPr>
              <w:pStyle w:val="0Maintext"/>
              <w:spacing w:after="0" w:afterAutospacing="0"/>
              <w:ind w:firstLine="0"/>
              <w:rPr>
                <w:rFonts w:eastAsia="MS Mincho"/>
                <w:lang w:eastAsia="ja-JP"/>
              </w:rPr>
            </w:pPr>
            <w:r>
              <w:rPr>
                <w:rFonts w:eastAsia="MS Mincho" w:hint="eastAsia"/>
                <w:lang w:eastAsia="ja-JP"/>
              </w:rPr>
              <w:t>P</w:t>
            </w:r>
            <w:r>
              <w:rPr>
                <w:rFonts w:eastAsia="MS Mincho"/>
                <w:lang w:eastAsia="ja-JP"/>
              </w:rPr>
              <w:t>anasonic</w:t>
            </w:r>
          </w:p>
        </w:tc>
        <w:tc>
          <w:tcPr>
            <w:tcW w:w="8076" w:type="dxa"/>
          </w:tcPr>
          <w:p w14:paraId="1BD121D7" w14:textId="77777777" w:rsidR="00335DBF" w:rsidRDefault="00335DBF" w:rsidP="00335DBF">
            <w:pPr>
              <w:pStyle w:val="0Maintext"/>
              <w:spacing w:after="0" w:afterAutospacing="0" w:line="240" w:lineRule="auto"/>
              <w:ind w:firstLine="0"/>
              <w:rPr>
                <w:rFonts w:eastAsiaTheme="minorEastAsia"/>
                <w:lang w:eastAsia="zh-CN"/>
              </w:rPr>
            </w:pPr>
            <w:r>
              <w:rPr>
                <w:rFonts w:eastAsiaTheme="minorEastAsia"/>
                <w:lang w:eastAsia="zh-CN"/>
              </w:rPr>
              <w:t>In last meeting, followings were agreed.</w:t>
            </w:r>
          </w:p>
          <w:p w14:paraId="410BEF1A" w14:textId="77777777" w:rsidR="00335DBF" w:rsidRDefault="00335DBF" w:rsidP="00335DBF">
            <w:pPr>
              <w:pStyle w:val="0Maintext"/>
              <w:spacing w:after="0" w:afterAutospacing="0" w:line="240" w:lineRule="auto"/>
              <w:rPr>
                <w:rFonts w:eastAsiaTheme="minorEastAsia"/>
                <w:lang w:eastAsia="zh-CN"/>
              </w:rPr>
            </w:pPr>
            <w:r>
              <w:rPr>
                <w:rFonts w:eastAsiaTheme="minorEastAsia"/>
                <w:lang w:eastAsia="zh-CN"/>
              </w:rPr>
              <w:t>o</w:t>
            </w:r>
            <w:r>
              <w:rPr>
                <w:rFonts w:eastAsiaTheme="minorEastAsia"/>
                <w:lang w:eastAsia="zh-CN"/>
              </w:rPr>
              <w:tab/>
              <w:t>For Alt1 and Alt2: When a responding UE uses a shared COT for its transmission(s), the COT initiating UE is a target receiver of the responding UE’s transmission(s).</w:t>
            </w:r>
          </w:p>
          <w:p w14:paraId="01E0828E" w14:textId="77777777" w:rsidR="00335DBF" w:rsidRDefault="00335DBF" w:rsidP="00335DBF">
            <w:pPr>
              <w:pStyle w:val="0Maintext"/>
              <w:spacing w:after="0" w:afterAutospacing="0" w:line="240" w:lineRule="auto"/>
              <w:rPr>
                <w:rFonts w:eastAsiaTheme="minorEastAsia"/>
                <w:lang w:eastAsia="zh-CN"/>
              </w:rPr>
            </w:pPr>
            <w:r>
              <w:rPr>
                <w:rFonts w:eastAsiaTheme="minorEastAsia"/>
                <w:lang w:eastAsia="zh-CN"/>
              </w:rPr>
              <w:t></w:t>
            </w:r>
            <w:r>
              <w:rPr>
                <w:rFonts w:eastAsiaTheme="minorEastAsia"/>
                <w:lang w:eastAsia="zh-CN"/>
              </w:rPr>
              <w:tab/>
              <w:t>FFS: details of the channel type of the responding UE’s transmission(s)</w:t>
            </w:r>
          </w:p>
          <w:p w14:paraId="1CFD275A" w14:textId="77777777" w:rsidR="00335DBF" w:rsidRDefault="00335DBF" w:rsidP="00335DBF">
            <w:pPr>
              <w:pStyle w:val="0Maintext"/>
              <w:spacing w:after="0" w:afterAutospacing="0" w:line="240" w:lineRule="auto"/>
              <w:ind w:firstLine="0"/>
              <w:jc w:val="left"/>
              <w:rPr>
                <w:rFonts w:eastAsiaTheme="minorEastAsia"/>
                <w:lang w:eastAsia="zh-CN"/>
              </w:rPr>
            </w:pPr>
            <w:r>
              <w:rPr>
                <w:rFonts w:eastAsiaTheme="minorEastAsia"/>
                <w:lang w:eastAsia="zh-CN"/>
              </w:rPr>
              <w:t>If the COT initiating UE is the target receiver of any channel from a responding UE, how to confirm the COT initiating UE is a target receiver is unclear. It should be clarified whether responding UE can transmit PSFCH/PSSCH/PSCCH to other than the COT initiating UE or not. If it is not allowed, we support alt 1. The COT is only used for transmission and reception of the COT initiating UE. If it is allowed, we support alt 2. The COT could be also used for transmission from a responding UE to other than the COT initiating UE.</w:t>
            </w:r>
            <w:r>
              <w:rPr>
                <w:rFonts w:eastAsiaTheme="minorEastAsia"/>
                <w:lang w:eastAsia="zh-CN"/>
              </w:rPr>
              <w:br/>
              <w:t>For container, we supprot Option 1.</w:t>
            </w:r>
          </w:p>
        </w:tc>
      </w:tr>
      <w:tr w:rsidR="00335DBF" w14:paraId="601BADC6" w14:textId="77777777" w:rsidTr="006B2419">
        <w:tc>
          <w:tcPr>
            <w:tcW w:w="1555" w:type="dxa"/>
          </w:tcPr>
          <w:p w14:paraId="1B6A6B73" w14:textId="77777777" w:rsidR="00335DBF" w:rsidRDefault="00335DBF" w:rsidP="00335DBF">
            <w:pPr>
              <w:pStyle w:val="0Maintext"/>
              <w:spacing w:after="0" w:afterAutospacing="0"/>
              <w:ind w:firstLine="0"/>
            </w:pPr>
            <w:r>
              <w:t>Nokia, NSB</w:t>
            </w:r>
          </w:p>
        </w:tc>
        <w:tc>
          <w:tcPr>
            <w:tcW w:w="8076" w:type="dxa"/>
          </w:tcPr>
          <w:p w14:paraId="5CA8E81A" w14:textId="77777777" w:rsidR="00335DBF" w:rsidRDefault="00335DBF" w:rsidP="00335DBF">
            <w:pPr>
              <w:pStyle w:val="0Maintext"/>
              <w:spacing w:after="0" w:afterAutospacing="0" w:line="240" w:lineRule="auto"/>
              <w:ind w:firstLine="0"/>
            </w:pPr>
            <w:r>
              <w:t>In our view both alternatives are applicable to SL. However, when considering that SL has different cast types, then we note that in the case of broadcast Alt.1 and Alt.2 can be seen as has having the same effect; while in the case of unicast Alt.1 would be more restrictive than Alt.2. Therefore, Alt.2 appears to lead to a more consistent behaviour across all cast types.</w:t>
            </w:r>
          </w:p>
          <w:p w14:paraId="56DD18AB" w14:textId="77777777" w:rsidR="00335DBF" w:rsidRDefault="00335DBF" w:rsidP="00335DBF">
            <w:pPr>
              <w:pStyle w:val="0Maintext"/>
              <w:spacing w:after="0" w:afterAutospacing="0" w:line="240" w:lineRule="auto"/>
              <w:ind w:firstLine="0"/>
            </w:pPr>
          </w:p>
          <w:p w14:paraId="7B082F2F" w14:textId="77777777" w:rsidR="00335DBF" w:rsidRDefault="00335DBF" w:rsidP="00335DBF">
            <w:pPr>
              <w:pStyle w:val="0Maintext"/>
              <w:spacing w:after="0" w:afterAutospacing="0" w:line="240" w:lineRule="auto"/>
              <w:ind w:firstLine="0"/>
            </w:pPr>
            <w:r>
              <w:t>Regarding the COT sharing information, we note that in the case of multiple RB sets in a resource pool, it might be useful to indicate for which RB set is the COT applicable.</w:t>
            </w:r>
          </w:p>
          <w:p w14:paraId="040720D4" w14:textId="77777777" w:rsidR="00335DBF" w:rsidRDefault="00335DBF" w:rsidP="00335DBF">
            <w:pPr>
              <w:pStyle w:val="0Maintext"/>
              <w:spacing w:after="0" w:afterAutospacing="0" w:line="240" w:lineRule="auto"/>
              <w:ind w:firstLine="0"/>
            </w:pPr>
          </w:p>
          <w:p w14:paraId="20831725" w14:textId="77777777" w:rsidR="00335DBF" w:rsidRDefault="00335DBF" w:rsidP="00335DBF">
            <w:pPr>
              <w:pStyle w:val="0Maintext"/>
              <w:spacing w:after="0" w:afterAutospacing="0" w:line="240" w:lineRule="auto"/>
              <w:ind w:firstLine="0"/>
              <w:rPr>
                <w:rFonts w:eastAsia="MS Mincho"/>
                <w:lang w:eastAsia="ja-JP"/>
              </w:rPr>
            </w:pPr>
            <w:r>
              <w:t>Finally, regarding the container, we note that it will depend on the alternative selected for the COT sharing, so this part of the discussion can be tackled after that.</w:t>
            </w:r>
          </w:p>
        </w:tc>
      </w:tr>
      <w:tr w:rsidR="00335DBF" w14:paraId="7F07408A" w14:textId="77777777" w:rsidTr="006B2419">
        <w:tc>
          <w:tcPr>
            <w:tcW w:w="1555" w:type="dxa"/>
          </w:tcPr>
          <w:p w14:paraId="20E65BC6" w14:textId="77777777" w:rsidR="00335DBF" w:rsidRDefault="00335DBF" w:rsidP="00335DBF">
            <w:pPr>
              <w:pStyle w:val="0Maintext"/>
              <w:spacing w:after="0" w:afterAutospacing="0"/>
              <w:ind w:firstLine="0"/>
            </w:pPr>
            <w:r>
              <w:rPr>
                <w:rFonts w:asciiTheme="minorEastAsia" w:eastAsiaTheme="minorEastAsia" w:hAnsiTheme="minorEastAsia"/>
                <w:lang w:eastAsia="zh-CN"/>
              </w:rPr>
              <w:t>V</w:t>
            </w:r>
            <w:r>
              <w:rPr>
                <w:rFonts w:asciiTheme="minorEastAsia" w:eastAsiaTheme="minorEastAsia" w:hAnsiTheme="minorEastAsia" w:hint="eastAsia"/>
                <w:lang w:eastAsia="zh-CN"/>
              </w:rPr>
              <w:t>ivo</w:t>
            </w:r>
          </w:p>
        </w:tc>
        <w:tc>
          <w:tcPr>
            <w:tcW w:w="8076" w:type="dxa"/>
          </w:tcPr>
          <w:p w14:paraId="405B8269" w14:textId="77777777" w:rsidR="00335DBF" w:rsidRDefault="00335DBF" w:rsidP="00335DBF">
            <w:pPr>
              <w:pStyle w:val="0Maintext"/>
              <w:spacing w:after="0" w:afterAutospacing="0" w:line="240" w:lineRule="auto"/>
              <w:ind w:firstLine="0"/>
              <w:rPr>
                <w:rFonts w:eastAsiaTheme="minorEastAsia"/>
                <w:lang w:eastAsia="zh-CN"/>
              </w:rPr>
            </w:pPr>
            <w:r>
              <w:rPr>
                <w:rFonts w:eastAsiaTheme="minorEastAsia" w:hint="eastAsia"/>
                <w:lang w:eastAsia="zh-CN"/>
              </w:rPr>
              <w:t>For</w:t>
            </w:r>
            <w:r>
              <w:rPr>
                <w:rFonts w:eastAsiaTheme="minorEastAsia"/>
                <w:lang w:eastAsia="zh-CN"/>
              </w:rPr>
              <w:t xml:space="preserve"> the first bullet, we prefer Alt.2</w:t>
            </w:r>
          </w:p>
          <w:p w14:paraId="11A6DAED" w14:textId="77777777" w:rsidR="00335DBF" w:rsidRDefault="00335DBF" w:rsidP="00335DBF">
            <w:pPr>
              <w:pStyle w:val="0Maintext"/>
              <w:spacing w:after="0" w:afterAutospacing="0" w:line="240" w:lineRule="auto"/>
              <w:ind w:firstLine="0"/>
              <w:rPr>
                <w:rFonts w:eastAsiaTheme="minorEastAsia"/>
                <w:lang w:eastAsia="zh-CN"/>
              </w:rPr>
            </w:pPr>
          </w:p>
          <w:p w14:paraId="49297556" w14:textId="77777777" w:rsidR="00335DBF" w:rsidRDefault="00335DBF" w:rsidP="00335DBF">
            <w:pPr>
              <w:pStyle w:val="0Maintext"/>
              <w:spacing w:after="0" w:afterAutospacing="0" w:line="240" w:lineRule="auto"/>
              <w:ind w:firstLine="0"/>
              <w:rPr>
                <w:rFonts w:eastAsiaTheme="minorEastAsia"/>
                <w:lang w:eastAsia="zh-CN"/>
              </w:rPr>
            </w:pPr>
            <w:r>
              <w:rPr>
                <w:rFonts w:eastAsiaTheme="minorEastAsia"/>
                <w:lang w:eastAsia="zh-CN"/>
              </w:rPr>
              <w:t>Regarding the content, the ID information is conveyed by legacy SCI-2, the time/frequency resource information is conveyed by the SCI-2 as well. We prefer to list the new information besides that contained in legacy SCI-1 and SCI-2. A</w:t>
            </w:r>
            <w:r>
              <w:rPr>
                <w:rFonts w:eastAsiaTheme="minorEastAsia" w:hint="eastAsia"/>
                <w:lang w:eastAsia="zh-CN"/>
              </w:rPr>
              <w:t>fter</w:t>
            </w:r>
            <w:r>
              <w:rPr>
                <w:rFonts w:eastAsiaTheme="minorEastAsia"/>
                <w:lang w:eastAsia="zh-CN"/>
              </w:rPr>
              <w:t xml:space="preserve"> deciding the container, we decides which information in legacy SCI can be reused.</w:t>
            </w:r>
          </w:p>
          <w:p w14:paraId="568749C5" w14:textId="77777777" w:rsidR="00335DBF" w:rsidRDefault="00335DBF" w:rsidP="00335DBF">
            <w:pPr>
              <w:pStyle w:val="0Maintext"/>
              <w:spacing w:after="0" w:afterAutospacing="0" w:line="240" w:lineRule="auto"/>
              <w:ind w:firstLine="0"/>
              <w:rPr>
                <w:rFonts w:eastAsiaTheme="minorEastAsia"/>
                <w:lang w:eastAsia="zh-CN"/>
              </w:rPr>
            </w:pPr>
            <w:r>
              <w:rPr>
                <w:rFonts w:eastAsiaTheme="minorEastAsia"/>
                <w:lang w:eastAsia="zh-CN"/>
              </w:rPr>
              <w:t>By the way, the start of the shared COT should be indicated as well, since some of the remaing COT may be used for the COT initiating UE.</w:t>
            </w:r>
          </w:p>
          <w:p w14:paraId="1F25E921" w14:textId="77777777" w:rsidR="00335DBF" w:rsidRDefault="00335DBF" w:rsidP="00335DBF">
            <w:pPr>
              <w:pStyle w:val="0Maintext"/>
              <w:numPr>
                <w:ilvl w:val="1"/>
                <w:numId w:val="25"/>
              </w:numPr>
              <w:tabs>
                <w:tab w:val="left" w:pos="1440"/>
              </w:tabs>
              <w:spacing w:after="0" w:afterAutospacing="0" w:line="240" w:lineRule="auto"/>
              <w:rPr>
                <w:rFonts w:ascii="Calibri" w:hAnsi="Calibri" w:cs="Calibri"/>
                <w:sz w:val="22"/>
                <w:lang w:val="en-US"/>
              </w:rPr>
            </w:pPr>
            <w:r>
              <w:rPr>
                <w:rFonts w:ascii="Calibri" w:hAnsi="Calibri" w:cs="Calibri" w:hint="eastAsia"/>
                <w:sz w:val="22"/>
                <w:lang w:val="en-US"/>
              </w:rPr>
              <w:t>Contents of COT sharing information includes the followings:</w:t>
            </w:r>
          </w:p>
          <w:p w14:paraId="0C6D534F" w14:textId="77777777" w:rsidR="00335DBF" w:rsidRDefault="00335DBF" w:rsidP="00335DBF">
            <w:pPr>
              <w:pStyle w:val="0Maintext"/>
              <w:numPr>
                <w:ilvl w:val="2"/>
                <w:numId w:val="25"/>
              </w:numPr>
              <w:tabs>
                <w:tab w:val="left" w:pos="2160"/>
              </w:tabs>
              <w:spacing w:after="0" w:afterAutospacing="0" w:line="240" w:lineRule="auto"/>
              <w:rPr>
                <w:rFonts w:ascii="Calibri" w:hAnsi="Calibri" w:cs="Calibri"/>
                <w:sz w:val="22"/>
                <w:lang w:val="en-US"/>
              </w:rPr>
            </w:pPr>
            <w:r>
              <w:rPr>
                <w:rFonts w:ascii="Calibri" w:hAnsi="Calibri" w:cs="Calibri" w:hint="eastAsia"/>
                <w:sz w:val="22"/>
              </w:rPr>
              <w:t>CAPC level</w:t>
            </w:r>
            <w:r>
              <w:rPr>
                <w:rFonts w:ascii="Calibri" w:hAnsi="Calibri" w:cs="Calibri"/>
                <w:sz w:val="22"/>
              </w:rPr>
              <w:t xml:space="preserve"> </w:t>
            </w:r>
            <w:r>
              <w:rPr>
                <w:rFonts w:ascii="Calibri" w:hAnsi="Calibri" w:cs="Calibri"/>
                <w:color w:val="FF0000"/>
                <w:sz w:val="22"/>
              </w:rPr>
              <w:t>which was</w:t>
            </w:r>
            <w:r>
              <w:rPr>
                <w:rFonts w:ascii="Calibri" w:hAnsi="Calibri" w:cs="Calibri"/>
                <w:sz w:val="22"/>
              </w:rPr>
              <w:t xml:space="preserve"> </w:t>
            </w:r>
            <w:r>
              <w:rPr>
                <w:rFonts w:ascii="Calibri" w:hAnsi="Calibri" w:cs="Calibri"/>
                <w:color w:val="FF0000"/>
                <w:sz w:val="22"/>
              </w:rPr>
              <w:t>used to initiate the COT</w:t>
            </w:r>
          </w:p>
          <w:p w14:paraId="5921B9A4" w14:textId="77777777" w:rsidR="00335DBF" w:rsidRDefault="00335DBF" w:rsidP="00335DBF">
            <w:pPr>
              <w:pStyle w:val="0Maintext"/>
              <w:numPr>
                <w:ilvl w:val="2"/>
                <w:numId w:val="25"/>
              </w:numPr>
              <w:tabs>
                <w:tab w:val="left" w:pos="2160"/>
              </w:tabs>
              <w:spacing w:after="0" w:afterAutospacing="0" w:line="240" w:lineRule="auto"/>
              <w:rPr>
                <w:rFonts w:ascii="Calibri" w:hAnsi="Calibri" w:cs="Calibri"/>
                <w:color w:val="FF0000"/>
                <w:sz w:val="22"/>
                <w:lang w:val="en-US"/>
              </w:rPr>
            </w:pPr>
            <w:r>
              <w:rPr>
                <w:rFonts w:ascii="Calibri" w:hAnsi="Calibri" w:cs="Calibri"/>
                <w:color w:val="FF0000"/>
                <w:sz w:val="22"/>
              </w:rPr>
              <w:t>An Offset to indicate the start of the shared COT</w:t>
            </w:r>
          </w:p>
          <w:p w14:paraId="7DDBAE67" w14:textId="77777777" w:rsidR="00335DBF" w:rsidRDefault="00335DBF" w:rsidP="00335DBF">
            <w:pPr>
              <w:pStyle w:val="0Maintext"/>
              <w:numPr>
                <w:ilvl w:val="2"/>
                <w:numId w:val="25"/>
              </w:numPr>
              <w:tabs>
                <w:tab w:val="left" w:pos="2160"/>
              </w:tabs>
              <w:spacing w:after="0" w:afterAutospacing="0" w:line="240" w:lineRule="auto"/>
              <w:rPr>
                <w:rFonts w:ascii="Calibri" w:hAnsi="Calibri" w:cs="Calibri"/>
                <w:color w:val="FF0000"/>
                <w:sz w:val="22"/>
                <w:lang w:val="en-US"/>
              </w:rPr>
            </w:pPr>
            <w:r>
              <w:rPr>
                <w:rFonts w:ascii="Calibri" w:hAnsi="Calibri" w:cs="Calibri"/>
                <w:color w:val="FF0000"/>
                <w:sz w:val="22"/>
                <w:lang w:val="en-US"/>
              </w:rPr>
              <w:t>Duration of the shared COT</w:t>
            </w:r>
            <w:r>
              <w:rPr>
                <w:rFonts w:ascii="Calibri" w:hAnsi="Calibri" w:cs="Calibri"/>
                <w:strike/>
                <w:color w:val="FF0000"/>
                <w:sz w:val="22"/>
                <w:lang w:val="en-US"/>
              </w:rPr>
              <w:t xml:space="preserve"> </w:t>
            </w:r>
            <w:r>
              <w:rPr>
                <w:rFonts w:ascii="Calibri" w:hAnsi="Calibri" w:cs="Calibri" w:hint="eastAsia"/>
                <w:strike/>
                <w:color w:val="FF0000"/>
                <w:sz w:val="22"/>
              </w:rPr>
              <w:t>Remaining COT duration (e.g., number of SL slots or ms)</w:t>
            </w:r>
          </w:p>
          <w:p w14:paraId="6FBE9FD9" w14:textId="77777777" w:rsidR="00335DBF" w:rsidRDefault="00335DBF" w:rsidP="00335DBF">
            <w:pPr>
              <w:pStyle w:val="0Maintext"/>
              <w:numPr>
                <w:ilvl w:val="2"/>
                <w:numId w:val="25"/>
              </w:numPr>
              <w:tabs>
                <w:tab w:val="left" w:pos="2160"/>
              </w:tabs>
              <w:spacing w:after="0" w:afterAutospacing="0" w:line="240" w:lineRule="auto"/>
              <w:rPr>
                <w:rFonts w:ascii="Calibri" w:hAnsi="Calibri" w:cs="Calibri"/>
                <w:sz w:val="22"/>
                <w:lang w:val="en-US"/>
              </w:rPr>
            </w:pPr>
            <w:r>
              <w:rPr>
                <w:rFonts w:ascii="Calibri" w:eastAsiaTheme="minorEastAsia" w:hAnsi="Calibri" w:cs="Calibri" w:hint="eastAsia"/>
                <w:sz w:val="22"/>
                <w:lang w:val="en-US" w:eastAsia="zh-CN"/>
              </w:rPr>
              <w:t>F</w:t>
            </w:r>
            <w:r>
              <w:rPr>
                <w:rFonts w:ascii="Calibri" w:eastAsiaTheme="minorEastAsia" w:hAnsi="Calibri" w:cs="Calibri"/>
                <w:sz w:val="22"/>
                <w:lang w:val="en-US" w:eastAsia="zh-CN"/>
              </w:rPr>
              <w:t>FS other information</w:t>
            </w:r>
          </w:p>
        </w:tc>
      </w:tr>
      <w:tr w:rsidR="00335DBF" w14:paraId="7BA0563C" w14:textId="77777777" w:rsidTr="006B2419">
        <w:tc>
          <w:tcPr>
            <w:tcW w:w="1555" w:type="dxa"/>
          </w:tcPr>
          <w:p w14:paraId="5443DFF3" w14:textId="77777777" w:rsidR="00335DBF" w:rsidRDefault="00335DBF" w:rsidP="00335DBF">
            <w:pPr>
              <w:pStyle w:val="0Maintext"/>
              <w:spacing w:after="0" w:afterAutospacing="0"/>
              <w:ind w:firstLine="0"/>
              <w:rPr>
                <w:rFonts w:asciiTheme="minorEastAsia" w:eastAsiaTheme="minorEastAsia" w:hAnsiTheme="minorEastAsia"/>
                <w:lang w:eastAsia="zh-CN"/>
              </w:rPr>
            </w:pPr>
            <w:r>
              <w:rPr>
                <w:rFonts w:hint="eastAsia"/>
                <w:lang w:eastAsia="ko-KR"/>
              </w:rPr>
              <w:t>W</w:t>
            </w:r>
            <w:r>
              <w:rPr>
                <w:lang w:eastAsia="ko-KR"/>
              </w:rPr>
              <w:t>ILUS</w:t>
            </w:r>
          </w:p>
        </w:tc>
        <w:tc>
          <w:tcPr>
            <w:tcW w:w="8076" w:type="dxa"/>
          </w:tcPr>
          <w:p w14:paraId="4AF343D2" w14:textId="77777777" w:rsidR="00335DBF" w:rsidRDefault="00335DBF" w:rsidP="00335DBF">
            <w:pPr>
              <w:pStyle w:val="0Maintext"/>
              <w:spacing w:after="0" w:afterAutospacing="0" w:line="240" w:lineRule="auto"/>
              <w:ind w:firstLine="0"/>
              <w:rPr>
                <w:lang w:eastAsia="ko-KR"/>
              </w:rPr>
            </w:pPr>
            <w:r>
              <w:rPr>
                <w:rFonts w:hint="eastAsia"/>
                <w:lang w:eastAsia="ko-KR"/>
              </w:rPr>
              <w:t>W</w:t>
            </w:r>
            <w:r>
              <w:rPr>
                <w:lang w:eastAsia="ko-KR"/>
              </w:rPr>
              <w:t>e support Alt 2 in the 1</w:t>
            </w:r>
            <w:r>
              <w:rPr>
                <w:vertAlign w:val="superscript"/>
                <w:lang w:eastAsia="ko-KR"/>
              </w:rPr>
              <w:t>st</w:t>
            </w:r>
            <w:r>
              <w:rPr>
                <w:lang w:eastAsia="ko-KR"/>
              </w:rPr>
              <w:t xml:space="preserve"> bullet and Option 1 in  the 3</w:t>
            </w:r>
            <w:r>
              <w:rPr>
                <w:vertAlign w:val="superscript"/>
                <w:lang w:eastAsia="ko-KR"/>
              </w:rPr>
              <w:t>rd</w:t>
            </w:r>
            <w:r>
              <w:rPr>
                <w:lang w:eastAsia="ko-KR"/>
              </w:rPr>
              <w:t xml:space="preserve"> bullet. </w:t>
            </w:r>
          </w:p>
          <w:p w14:paraId="717DA142" w14:textId="77777777" w:rsidR="00335DBF" w:rsidRDefault="00335DBF" w:rsidP="00335DBF">
            <w:pPr>
              <w:pStyle w:val="0Maintext"/>
              <w:spacing w:after="0" w:afterAutospacing="0" w:line="240" w:lineRule="auto"/>
              <w:ind w:firstLine="0"/>
              <w:rPr>
                <w:rFonts w:eastAsiaTheme="minorEastAsia"/>
                <w:lang w:eastAsia="zh-CN"/>
              </w:rPr>
            </w:pPr>
            <w:r>
              <w:rPr>
                <w:lang w:eastAsia="ko-KR"/>
              </w:rPr>
              <w:t>For the COT sharing information, available RB set information should be additionally included as contents of COT sharing information similar to NR-U.</w:t>
            </w:r>
          </w:p>
        </w:tc>
      </w:tr>
      <w:tr w:rsidR="00335DBF" w14:paraId="3C0E10F3" w14:textId="77777777" w:rsidTr="006B2419">
        <w:tc>
          <w:tcPr>
            <w:tcW w:w="1555" w:type="dxa"/>
          </w:tcPr>
          <w:p w14:paraId="51194657" w14:textId="77777777" w:rsidR="00335DBF" w:rsidRDefault="00335DBF" w:rsidP="00335DBF">
            <w:pPr>
              <w:pStyle w:val="0Maintext"/>
              <w:spacing w:after="0" w:afterAutospacing="0"/>
              <w:ind w:firstLine="0"/>
              <w:rPr>
                <w:lang w:eastAsia="ko-KR"/>
              </w:rPr>
            </w:pPr>
            <w:r>
              <w:rPr>
                <w:rFonts w:hint="eastAsia"/>
              </w:rPr>
              <w:t>S</w:t>
            </w:r>
            <w:r>
              <w:t>amsung</w:t>
            </w:r>
          </w:p>
        </w:tc>
        <w:tc>
          <w:tcPr>
            <w:tcW w:w="8076" w:type="dxa"/>
          </w:tcPr>
          <w:p w14:paraId="51AC4BE6" w14:textId="77777777" w:rsidR="00335DBF" w:rsidRDefault="00335DBF" w:rsidP="00335DBF">
            <w:pPr>
              <w:pStyle w:val="0Maintext"/>
              <w:spacing w:after="0" w:afterAutospacing="0" w:line="240" w:lineRule="auto"/>
              <w:ind w:firstLine="0"/>
              <w:rPr>
                <w:rFonts w:eastAsiaTheme="minorEastAsia" w:cs="Times New Roman"/>
                <w:lang w:eastAsia="zh-CN"/>
              </w:rPr>
            </w:pPr>
            <w:r>
              <w:rPr>
                <w:rFonts w:eastAsiaTheme="minorEastAsia" w:cs="Times New Roman"/>
                <w:lang w:eastAsia="zh-CN"/>
              </w:rPr>
              <w:t>1</w:t>
            </w:r>
            <w:r>
              <w:rPr>
                <w:rFonts w:eastAsiaTheme="minorEastAsia" w:cs="Times New Roman"/>
                <w:vertAlign w:val="superscript"/>
                <w:lang w:eastAsia="zh-CN"/>
              </w:rPr>
              <w:t>st</w:t>
            </w:r>
            <w:r>
              <w:rPr>
                <w:rFonts w:eastAsiaTheme="minorEastAsia" w:cs="Times New Roman"/>
                <w:lang w:eastAsia="zh-CN"/>
              </w:rPr>
              <w:t xml:space="preserve"> bullet: we prefer Alt 2.</w:t>
            </w:r>
          </w:p>
          <w:p w14:paraId="59E89DA8" w14:textId="77777777" w:rsidR="00335DBF" w:rsidRDefault="00335DBF" w:rsidP="00335DBF">
            <w:pPr>
              <w:pStyle w:val="0Maintext"/>
              <w:spacing w:after="0" w:afterAutospacing="0" w:line="240" w:lineRule="auto"/>
              <w:ind w:firstLine="0"/>
              <w:rPr>
                <w:rFonts w:eastAsiaTheme="minorEastAsia" w:cs="Times New Roman"/>
                <w:lang w:eastAsia="zh-CN"/>
              </w:rPr>
            </w:pPr>
            <w:r>
              <w:rPr>
                <w:rFonts w:eastAsiaTheme="minorEastAsia" w:cs="Times New Roman"/>
                <w:lang w:eastAsia="zh-CN"/>
              </w:rPr>
              <w:t>2</w:t>
            </w:r>
            <w:r>
              <w:rPr>
                <w:rFonts w:eastAsiaTheme="minorEastAsia" w:cs="Times New Roman"/>
                <w:vertAlign w:val="superscript"/>
                <w:lang w:eastAsia="zh-CN"/>
              </w:rPr>
              <w:t>nd</w:t>
            </w:r>
            <w:r>
              <w:rPr>
                <w:rFonts w:eastAsiaTheme="minorEastAsia" w:cs="Times New Roman"/>
                <w:lang w:eastAsia="zh-CN"/>
              </w:rPr>
              <w:t xml:space="preserve"> bullet: </w:t>
            </w:r>
          </w:p>
          <w:p w14:paraId="4BF50D79" w14:textId="77777777" w:rsidR="00335DBF" w:rsidRDefault="00335DBF">
            <w:pPr>
              <w:pStyle w:val="ListParagraph"/>
              <w:numPr>
                <w:ilvl w:val="0"/>
                <w:numId w:val="47"/>
              </w:numPr>
              <w:ind w:leftChars="0"/>
              <w:jc w:val="both"/>
              <w:rPr>
                <w:rFonts w:ascii="Times New Roman" w:hAnsi="Times New Roman"/>
                <w:szCs w:val="20"/>
              </w:rPr>
            </w:pPr>
            <w:r>
              <w:rPr>
                <w:rFonts w:ascii="Times New Roman" w:hAnsi="Times New Roman"/>
                <w:szCs w:val="20"/>
              </w:rPr>
              <w:t xml:space="preserve">First sub-bullet should be channel access type and CAPC (when applicable). If only say CAPC, it implies only Type 1 can be indicated. </w:t>
            </w:r>
          </w:p>
          <w:p w14:paraId="1312B3D3" w14:textId="77777777" w:rsidR="00335DBF" w:rsidRDefault="00335DBF">
            <w:pPr>
              <w:pStyle w:val="ListParagraph"/>
              <w:numPr>
                <w:ilvl w:val="0"/>
                <w:numId w:val="47"/>
              </w:numPr>
              <w:ind w:leftChars="0"/>
              <w:jc w:val="both"/>
              <w:rPr>
                <w:rFonts w:ascii="Times New Roman" w:hAnsi="Times New Roman"/>
                <w:szCs w:val="20"/>
              </w:rPr>
            </w:pPr>
            <w:r>
              <w:rPr>
                <w:rFonts w:ascii="Times New Roman" w:hAnsi="Times New Roman"/>
                <w:szCs w:val="20"/>
              </w:rPr>
              <w:t>We also need CPE, naturally combined with channel access type</w:t>
            </w:r>
          </w:p>
          <w:p w14:paraId="4F896976" w14:textId="77777777" w:rsidR="00335DBF" w:rsidRDefault="00335DBF">
            <w:pPr>
              <w:pStyle w:val="ListParagraph"/>
              <w:numPr>
                <w:ilvl w:val="0"/>
                <w:numId w:val="47"/>
              </w:numPr>
              <w:ind w:leftChars="0"/>
              <w:jc w:val="both"/>
              <w:rPr>
                <w:rFonts w:ascii="Times New Roman" w:hAnsi="Times New Roman"/>
                <w:szCs w:val="20"/>
              </w:rPr>
            </w:pPr>
            <w:r>
              <w:rPr>
                <w:rFonts w:ascii="Times New Roman" w:hAnsi="Times New Roman"/>
                <w:szCs w:val="20"/>
              </w:rPr>
              <w:t xml:space="preserve">If we have remaining COT information, we should also have available RB-set information. One for time domain, one for frequency domain. </w:t>
            </w:r>
          </w:p>
          <w:p w14:paraId="659FBC77" w14:textId="77777777" w:rsidR="00335DBF" w:rsidRDefault="00335DBF" w:rsidP="00335DBF">
            <w:pPr>
              <w:pStyle w:val="0Maintext"/>
              <w:spacing w:after="0" w:afterAutospacing="0" w:line="240" w:lineRule="auto"/>
              <w:ind w:firstLine="0"/>
              <w:rPr>
                <w:lang w:eastAsia="ko-KR"/>
              </w:rPr>
            </w:pPr>
            <w:r>
              <w:rPr>
                <w:rFonts w:eastAsiaTheme="minorEastAsia" w:cs="Times New Roman"/>
                <w:lang w:eastAsia="zh-CN"/>
              </w:rPr>
              <w:t>3</w:t>
            </w:r>
            <w:r>
              <w:rPr>
                <w:rFonts w:eastAsiaTheme="minorEastAsia" w:cs="Times New Roman"/>
                <w:vertAlign w:val="superscript"/>
                <w:lang w:eastAsia="zh-CN"/>
              </w:rPr>
              <w:t>rd</w:t>
            </w:r>
            <w:r>
              <w:rPr>
                <w:rFonts w:eastAsiaTheme="minorEastAsia" w:cs="Times New Roman"/>
                <w:lang w:eastAsia="zh-CN"/>
              </w:rPr>
              <w:t xml:space="preserve"> bullet: we prefer opt 1.</w:t>
            </w:r>
            <w:r>
              <w:t xml:space="preserve"> </w:t>
            </w:r>
            <w:r>
              <w:rPr>
                <w:rFonts w:eastAsiaTheme="minorEastAsia" w:cs="Times New Roman"/>
                <w:lang w:eastAsia="zh-CN"/>
              </w:rPr>
              <w:t>If the indication includes LBT information, it cannot be carried by MAC CE, since LBT is varying with a finer time resolution than MAC CE.</w:t>
            </w:r>
          </w:p>
        </w:tc>
      </w:tr>
      <w:tr w:rsidR="00335DBF" w14:paraId="72784524" w14:textId="77777777" w:rsidTr="006B2419">
        <w:tc>
          <w:tcPr>
            <w:tcW w:w="1555" w:type="dxa"/>
          </w:tcPr>
          <w:p w14:paraId="02AD0D74" w14:textId="77777777" w:rsidR="00335DBF" w:rsidRDefault="00335DBF" w:rsidP="00335DBF">
            <w:pPr>
              <w:pStyle w:val="0Maintext"/>
              <w:spacing w:after="0" w:afterAutospacing="0"/>
              <w:ind w:firstLine="0"/>
              <w:rPr>
                <w:rFonts w:eastAsiaTheme="minorEastAsia"/>
                <w:lang w:eastAsia="zh-CN"/>
              </w:rPr>
            </w:pPr>
            <w:r>
              <w:rPr>
                <w:rFonts w:eastAsiaTheme="minorEastAsia"/>
                <w:lang w:eastAsia="zh-CN"/>
              </w:rPr>
              <w:t>NEC</w:t>
            </w:r>
          </w:p>
        </w:tc>
        <w:tc>
          <w:tcPr>
            <w:tcW w:w="8076" w:type="dxa"/>
          </w:tcPr>
          <w:p w14:paraId="43E9C015" w14:textId="77777777" w:rsidR="00335DBF" w:rsidRDefault="00335DBF" w:rsidP="00335DBF">
            <w:pPr>
              <w:pStyle w:val="0Maintext"/>
              <w:spacing w:after="0" w:afterAutospacing="0" w:line="240" w:lineRule="auto"/>
              <w:ind w:firstLine="0"/>
              <w:rPr>
                <w:rFonts w:eastAsiaTheme="minorEastAsia"/>
                <w:lang w:eastAsia="zh-CN"/>
              </w:rPr>
            </w:pPr>
            <w:r>
              <w:rPr>
                <w:rFonts w:eastAsiaTheme="minorEastAsia"/>
                <w:lang w:eastAsia="zh-CN"/>
              </w:rPr>
              <w:t>We generally agree with the proposal.</w:t>
            </w:r>
          </w:p>
          <w:p w14:paraId="797AAE29" w14:textId="77777777" w:rsidR="00335DBF" w:rsidRDefault="00335DBF" w:rsidP="00335DBF">
            <w:pPr>
              <w:pStyle w:val="0Maintext"/>
              <w:spacing w:after="0" w:afterAutospacing="0" w:line="240" w:lineRule="auto"/>
              <w:ind w:firstLine="0"/>
              <w:rPr>
                <w:rFonts w:eastAsiaTheme="minorEastAsia"/>
                <w:lang w:eastAsia="zh-CN"/>
              </w:rPr>
            </w:pPr>
            <w:r>
              <w:rPr>
                <w:rFonts w:eastAsiaTheme="minorEastAsia"/>
                <w:lang w:eastAsia="zh-CN"/>
              </w:rPr>
              <w:t>For the 1</w:t>
            </w:r>
            <w:r>
              <w:rPr>
                <w:rFonts w:eastAsiaTheme="minorEastAsia"/>
                <w:vertAlign w:val="superscript"/>
                <w:lang w:eastAsia="zh-CN"/>
              </w:rPr>
              <w:t>st</w:t>
            </w:r>
            <w:r>
              <w:rPr>
                <w:rFonts w:eastAsiaTheme="minorEastAsia"/>
                <w:lang w:eastAsia="zh-CN"/>
              </w:rPr>
              <w:t xml:space="preserve"> bullet, Alt 2 is preferred, and for the 3</w:t>
            </w:r>
            <w:r>
              <w:rPr>
                <w:rFonts w:eastAsiaTheme="minorEastAsia"/>
                <w:vertAlign w:val="superscript"/>
                <w:lang w:eastAsia="zh-CN"/>
              </w:rPr>
              <w:t>rd</w:t>
            </w:r>
            <w:r>
              <w:rPr>
                <w:rFonts w:eastAsiaTheme="minorEastAsia"/>
                <w:lang w:eastAsia="zh-CN"/>
              </w:rPr>
              <w:t xml:space="preserve"> bullet, option 1 is preferred.</w:t>
            </w:r>
          </w:p>
        </w:tc>
      </w:tr>
      <w:tr w:rsidR="00335DBF" w14:paraId="27A6484A" w14:textId="77777777" w:rsidTr="006B2419">
        <w:tc>
          <w:tcPr>
            <w:tcW w:w="1555" w:type="dxa"/>
          </w:tcPr>
          <w:p w14:paraId="0B0165CD" w14:textId="77777777" w:rsidR="00335DBF" w:rsidRDefault="00335DBF" w:rsidP="00335DBF">
            <w:pPr>
              <w:pStyle w:val="0Maintext"/>
              <w:spacing w:after="0" w:afterAutospacing="0"/>
              <w:ind w:firstLine="0"/>
            </w:pPr>
            <w:r>
              <w:rPr>
                <w:rFonts w:hint="eastAsia"/>
                <w:lang w:eastAsia="ko-KR"/>
              </w:rPr>
              <w:t>ETRI</w:t>
            </w:r>
          </w:p>
        </w:tc>
        <w:tc>
          <w:tcPr>
            <w:tcW w:w="8076" w:type="dxa"/>
          </w:tcPr>
          <w:p w14:paraId="4FAB165B" w14:textId="77777777" w:rsidR="00335DBF" w:rsidRDefault="00335DBF" w:rsidP="00335DBF">
            <w:pPr>
              <w:pStyle w:val="0Maintext"/>
              <w:spacing w:after="0" w:afterAutospacing="0" w:line="240" w:lineRule="auto"/>
              <w:ind w:firstLine="0"/>
              <w:rPr>
                <w:lang w:eastAsia="ko-KR"/>
              </w:rPr>
            </w:pPr>
            <w:r>
              <w:rPr>
                <w:rFonts w:hint="eastAsia"/>
                <w:lang w:eastAsia="ko-KR"/>
              </w:rPr>
              <w:t>WE</w:t>
            </w:r>
            <w:r>
              <w:rPr>
                <w:lang w:eastAsia="ko-KR"/>
              </w:rPr>
              <w:t xml:space="preserve"> </w:t>
            </w:r>
            <w:r>
              <w:rPr>
                <w:rFonts w:hint="eastAsia"/>
                <w:lang w:eastAsia="ko-KR"/>
              </w:rPr>
              <w:t>agree</w:t>
            </w:r>
            <w:r>
              <w:rPr>
                <w:lang w:eastAsia="ko-KR"/>
              </w:rPr>
              <w:t xml:space="preserve"> </w:t>
            </w:r>
            <w:r>
              <w:rPr>
                <w:rFonts w:hint="eastAsia"/>
                <w:lang w:eastAsia="ko-KR"/>
              </w:rPr>
              <w:t>with</w:t>
            </w:r>
            <w:r>
              <w:rPr>
                <w:lang w:eastAsia="ko-KR"/>
              </w:rPr>
              <w:t xml:space="preserve"> </w:t>
            </w:r>
            <w:r>
              <w:rPr>
                <w:rFonts w:hint="eastAsia"/>
                <w:lang w:eastAsia="ko-KR"/>
              </w:rPr>
              <w:t>Nokia.</w:t>
            </w:r>
            <w:r>
              <w:rPr>
                <w:lang w:eastAsia="ko-KR"/>
              </w:rPr>
              <w:t xml:space="preserve"> </w:t>
            </w:r>
            <w:r>
              <w:rPr>
                <w:rFonts w:hint="eastAsia"/>
                <w:lang w:eastAsia="ko-KR"/>
              </w:rPr>
              <w:t>Both</w:t>
            </w:r>
            <w:r>
              <w:rPr>
                <w:lang w:eastAsia="ko-KR"/>
              </w:rPr>
              <w:t xml:space="preserve"> </w:t>
            </w:r>
            <w:r>
              <w:rPr>
                <w:rFonts w:hint="eastAsia"/>
                <w:lang w:eastAsia="ko-KR"/>
              </w:rPr>
              <w:t>alternatives</w:t>
            </w:r>
            <w:r>
              <w:rPr>
                <w:lang w:eastAsia="ko-KR"/>
              </w:rPr>
              <w:t xml:space="preserve"> </w:t>
            </w:r>
            <w:r>
              <w:rPr>
                <w:rFonts w:hint="eastAsia"/>
                <w:lang w:eastAsia="ko-KR"/>
              </w:rPr>
              <w:t>are</w:t>
            </w:r>
            <w:r>
              <w:rPr>
                <w:lang w:eastAsia="ko-KR"/>
              </w:rPr>
              <w:t xml:space="preserve"> </w:t>
            </w:r>
            <w:r>
              <w:rPr>
                <w:rFonts w:hint="eastAsia"/>
                <w:lang w:eastAsia="ko-KR"/>
              </w:rPr>
              <w:t>possible.</w:t>
            </w:r>
            <w:r>
              <w:rPr>
                <w:lang w:eastAsia="ko-KR"/>
              </w:rPr>
              <w:t xml:space="preserve"> </w:t>
            </w:r>
            <w:r>
              <w:rPr>
                <w:rFonts w:hint="eastAsia"/>
                <w:lang w:eastAsia="ko-KR"/>
              </w:rPr>
              <w:t>If</w:t>
            </w:r>
            <w:r>
              <w:rPr>
                <w:lang w:eastAsia="ko-KR"/>
              </w:rPr>
              <w:t xml:space="preserve"> </w:t>
            </w:r>
            <w:r>
              <w:rPr>
                <w:rFonts w:hint="eastAsia"/>
                <w:lang w:eastAsia="ko-KR"/>
              </w:rPr>
              <w:t>one</w:t>
            </w:r>
            <w:r>
              <w:rPr>
                <w:lang w:eastAsia="ko-KR"/>
              </w:rPr>
              <w:t xml:space="preserve"> </w:t>
            </w:r>
            <w:r>
              <w:rPr>
                <w:rFonts w:hint="eastAsia"/>
                <w:lang w:eastAsia="ko-KR"/>
              </w:rPr>
              <w:t>of</w:t>
            </w:r>
            <w:r>
              <w:rPr>
                <w:lang w:eastAsia="ko-KR"/>
              </w:rPr>
              <w:t xml:space="preserve"> </w:t>
            </w:r>
            <w:r>
              <w:rPr>
                <w:rFonts w:hint="eastAsia"/>
                <w:lang w:eastAsia="ko-KR"/>
              </w:rPr>
              <w:t>both</w:t>
            </w:r>
            <w:r>
              <w:rPr>
                <w:lang w:eastAsia="ko-KR"/>
              </w:rPr>
              <w:t xml:space="preserve"> </w:t>
            </w:r>
            <w:r>
              <w:rPr>
                <w:rFonts w:hint="eastAsia"/>
                <w:lang w:eastAsia="ko-KR"/>
              </w:rPr>
              <w:t>should</w:t>
            </w:r>
            <w:r>
              <w:rPr>
                <w:lang w:eastAsia="ko-KR"/>
              </w:rPr>
              <w:t xml:space="preserve"> </w:t>
            </w:r>
            <w:r>
              <w:rPr>
                <w:rFonts w:hint="eastAsia"/>
                <w:lang w:eastAsia="ko-KR"/>
              </w:rPr>
              <w:t>be</w:t>
            </w:r>
            <w:r>
              <w:rPr>
                <w:lang w:eastAsia="ko-KR"/>
              </w:rPr>
              <w:t xml:space="preserve"> </w:t>
            </w:r>
            <w:r>
              <w:rPr>
                <w:rFonts w:hint="eastAsia"/>
                <w:lang w:eastAsia="ko-KR"/>
              </w:rPr>
              <w:t>selected,</w:t>
            </w:r>
            <w:r>
              <w:rPr>
                <w:lang w:eastAsia="ko-KR"/>
              </w:rPr>
              <w:t xml:space="preserve"> </w:t>
            </w:r>
            <w:r>
              <w:rPr>
                <w:rFonts w:hint="eastAsia"/>
                <w:lang w:eastAsia="ko-KR"/>
              </w:rPr>
              <w:t>we</w:t>
            </w:r>
            <w:r>
              <w:rPr>
                <w:lang w:eastAsia="ko-KR"/>
              </w:rPr>
              <w:t xml:space="preserve"> </w:t>
            </w:r>
            <w:r>
              <w:rPr>
                <w:rFonts w:hint="eastAsia"/>
                <w:lang w:eastAsia="ko-KR"/>
              </w:rPr>
              <w:t>prefer</w:t>
            </w:r>
            <w:r>
              <w:rPr>
                <w:lang w:eastAsia="ko-KR"/>
              </w:rPr>
              <w:t xml:space="preserve"> </w:t>
            </w:r>
            <w:r>
              <w:rPr>
                <w:rFonts w:hint="eastAsia"/>
                <w:lang w:eastAsia="ko-KR"/>
              </w:rPr>
              <w:t>to</w:t>
            </w:r>
            <w:r>
              <w:rPr>
                <w:lang w:eastAsia="ko-KR"/>
              </w:rPr>
              <w:t xml:space="preserve"> </w:t>
            </w:r>
            <w:r>
              <w:rPr>
                <w:rFonts w:hint="eastAsia"/>
                <w:lang w:eastAsia="ko-KR"/>
              </w:rPr>
              <w:t>Alt</w:t>
            </w:r>
            <w:r>
              <w:rPr>
                <w:lang w:eastAsia="ko-KR"/>
              </w:rPr>
              <w:t xml:space="preserve"> </w:t>
            </w:r>
            <w:r>
              <w:rPr>
                <w:rFonts w:hint="eastAsia"/>
                <w:lang w:eastAsia="ko-KR"/>
              </w:rPr>
              <w:t>2.</w:t>
            </w:r>
          </w:p>
          <w:p w14:paraId="71857354" w14:textId="77777777" w:rsidR="00335DBF" w:rsidRDefault="00335DBF" w:rsidP="00335DBF">
            <w:pPr>
              <w:pStyle w:val="0Maintext"/>
              <w:spacing w:after="0" w:afterAutospacing="0" w:line="240" w:lineRule="auto"/>
              <w:ind w:firstLine="0"/>
              <w:rPr>
                <w:rFonts w:eastAsiaTheme="minorEastAsia" w:cs="Times New Roman"/>
                <w:lang w:eastAsia="zh-CN"/>
              </w:rPr>
            </w:pPr>
            <w:r>
              <w:rPr>
                <w:rFonts w:hint="eastAsia"/>
                <w:lang w:eastAsia="ko-KR"/>
              </w:rPr>
              <w:t>Regarding</w:t>
            </w:r>
            <w:r>
              <w:rPr>
                <w:lang w:eastAsia="ko-KR"/>
              </w:rPr>
              <w:t xml:space="preserve"> </w:t>
            </w:r>
            <w:r>
              <w:rPr>
                <w:rFonts w:hint="eastAsia"/>
                <w:lang w:eastAsia="ko-KR"/>
              </w:rPr>
              <w:t>the</w:t>
            </w:r>
            <w:r>
              <w:rPr>
                <w:lang w:eastAsia="ko-KR"/>
              </w:rPr>
              <w:t xml:space="preserve"> </w:t>
            </w:r>
            <w:r>
              <w:rPr>
                <w:rFonts w:hint="eastAsia"/>
                <w:lang w:eastAsia="ko-KR"/>
              </w:rPr>
              <w:t>container,</w:t>
            </w:r>
            <w:r>
              <w:rPr>
                <w:lang w:eastAsia="ko-KR"/>
              </w:rPr>
              <w:t xml:space="preserve"> </w:t>
            </w:r>
            <w:r>
              <w:rPr>
                <w:rFonts w:hint="eastAsia"/>
                <w:lang w:eastAsia="ko-KR"/>
              </w:rPr>
              <w:t>we</w:t>
            </w:r>
            <w:r>
              <w:rPr>
                <w:lang w:eastAsia="ko-KR"/>
              </w:rPr>
              <w:t xml:space="preserve"> </w:t>
            </w:r>
            <w:r>
              <w:rPr>
                <w:rFonts w:hint="eastAsia"/>
                <w:lang w:eastAsia="ko-KR"/>
              </w:rPr>
              <w:t>prefer</w:t>
            </w:r>
            <w:r>
              <w:rPr>
                <w:lang w:eastAsia="ko-KR"/>
              </w:rPr>
              <w:t xml:space="preserve"> </w:t>
            </w:r>
            <w:r>
              <w:rPr>
                <w:rFonts w:hint="eastAsia"/>
                <w:lang w:eastAsia="ko-KR"/>
              </w:rPr>
              <w:t>to</w:t>
            </w:r>
            <w:r>
              <w:rPr>
                <w:lang w:eastAsia="ko-KR"/>
              </w:rPr>
              <w:t xml:space="preserve"> </w:t>
            </w:r>
            <w:r>
              <w:rPr>
                <w:rFonts w:hint="eastAsia"/>
                <w:lang w:eastAsia="ko-KR"/>
              </w:rPr>
              <w:t>option</w:t>
            </w:r>
            <w:r>
              <w:rPr>
                <w:lang w:eastAsia="ko-KR"/>
              </w:rPr>
              <w:t xml:space="preserve"> </w:t>
            </w:r>
            <w:r>
              <w:rPr>
                <w:rFonts w:hint="eastAsia"/>
                <w:lang w:eastAsia="ko-KR"/>
              </w:rPr>
              <w:t>1</w:t>
            </w:r>
            <w:r>
              <w:rPr>
                <w:lang w:eastAsia="ko-KR"/>
              </w:rPr>
              <w:t xml:space="preserve"> </w:t>
            </w:r>
            <w:r>
              <w:rPr>
                <w:rFonts w:hint="eastAsia"/>
                <w:lang w:eastAsia="ko-KR"/>
              </w:rPr>
              <w:t>(SCI),</w:t>
            </w:r>
            <w:r>
              <w:rPr>
                <w:lang w:eastAsia="ko-KR"/>
              </w:rPr>
              <w:t xml:space="preserve"> </w:t>
            </w:r>
            <w:r>
              <w:rPr>
                <w:rFonts w:hint="eastAsia"/>
                <w:lang w:eastAsia="ko-KR"/>
              </w:rPr>
              <w:t>but</w:t>
            </w:r>
            <w:r>
              <w:rPr>
                <w:lang w:eastAsia="ko-KR"/>
              </w:rPr>
              <w:t xml:space="preserve"> </w:t>
            </w:r>
            <w:r>
              <w:rPr>
                <w:rFonts w:hint="eastAsia"/>
                <w:lang w:eastAsia="ko-KR"/>
              </w:rPr>
              <w:t>option</w:t>
            </w:r>
            <w:r>
              <w:rPr>
                <w:lang w:eastAsia="ko-KR"/>
              </w:rPr>
              <w:t xml:space="preserve"> </w:t>
            </w:r>
            <w:r>
              <w:rPr>
                <w:rFonts w:hint="eastAsia"/>
                <w:lang w:eastAsia="ko-KR"/>
              </w:rPr>
              <w:t>2</w:t>
            </w:r>
            <w:r>
              <w:rPr>
                <w:lang w:eastAsia="ko-KR"/>
              </w:rPr>
              <w:t xml:space="preserve"> </w:t>
            </w:r>
            <w:r>
              <w:rPr>
                <w:rFonts w:hint="eastAsia"/>
                <w:lang w:eastAsia="ko-KR"/>
              </w:rPr>
              <w:t>should</w:t>
            </w:r>
            <w:r>
              <w:rPr>
                <w:lang w:eastAsia="ko-KR"/>
              </w:rPr>
              <w:t xml:space="preserve"> </w:t>
            </w:r>
            <w:r>
              <w:rPr>
                <w:rFonts w:hint="eastAsia"/>
                <w:lang w:eastAsia="ko-KR"/>
              </w:rPr>
              <w:t>be</w:t>
            </w:r>
            <w:r>
              <w:rPr>
                <w:lang w:eastAsia="ko-KR"/>
              </w:rPr>
              <w:t xml:space="preserve"> </w:t>
            </w:r>
            <w:r>
              <w:rPr>
                <w:rFonts w:hint="eastAsia"/>
                <w:lang w:eastAsia="ko-KR"/>
              </w:rPr>
              <w:t>further</w:t>
            </w:r>
            <w:r>
              <w:rPr>
                <w:lang w:eastAsia="ko-KR"/>
              </w:rPr>
              <w:t xml:space="preserve"> </w:t>
            </w:r>
            <w:r>
              <w:rPr>
                <w:rFonts w:hint="eastAsia"/>
                <w:lang w:eastAsia="ko-KR"/>
              </w:rPr>
              <w:t>studied</w:t>
            </w:r>
            <w:r>
              <w:rPr>
                <w:lang w:eastAsia="ko-KR"/>
              </w:rPr>
              <w:t xml:space="preserve"> </w:t>
            </w:r>
            <w:r>
              <w:rPr>
                <w:rFonts w:hint="eastAsia"/>
                <w:lang w:eastAsia="ko-KR"/>
              </w:rPr>
              <w:t>considering</w:t>
            </w:r>
            <w:r>
              <w:rPr>
                <w:lang w:eastAsia="ko-KR"/>
              </w:rPr>
              <w:t xml:space="preserve"> </w:t>
            </w:r>
            <w:r>
              <w:rPr>
                <w:rFonts w:hint="eastAsia"/>
                <w:lang w:eastAsia="ko-KR"/>
              </w:rPr>
              <w:t>payload</w:t>
            </w:r>
            <w:r>
              <w:rPr>
                <w:lang w:eastAsia="ko-KR"/>
              </w:rPr>
              <w:t xml:space="preserve"> </w:t>
            </w:r>
            <w:r>
              <w:rPr>
                <w:rFonts w:hint="eastAsia"/>
                <w:lang w:eastAsia="ko-KR"/>
              </w:rPr>
              <w:t>size.</w:t>
            </w:r>
          </w:p>
        </w:tc>
      </w:tr>
      <w:tr w:rsidR="00335DBF" w14:paraId="3351A018" w14:textId="77777777" w:rsidTr="006B2419">
        <w:tc>
          <w:tcPr>
            <w:tcW w:w="1555" w:type="dxa"/>
          </w:tcPr>
          <w:p w14:paraId="31301294" w14:textId="77777777" w:rsidR="00335DBF" w:rsidRDefault="00335DBF" w:rsidP="00335DBF">
            <w:pPr>
              <w:pStyle w:val="0Maintext"/>
              <w:spacing w:after="0" w:afterAutospacing="0"/>
              <w:ind w:firstLine="0"/>
            </w:pPr>
            <w:r>
              <w:t>xiaomi</w:t>
            </w:r>
          </w:p>
        </w:tc>
        <w:tc>
          <w:tcPr>
            <w:tcW w:w="8076" w:type="dxa"/>
          </w:tcPr>
          <w:p w14:paraId="1C458D7C" w14:textId="77777777" w:rsidR="00335DBF" w:rsidRDefault="00335DBF" w:rsidP="00335DBF">
            <w:pPr>
              <w:pStyle w:val="0Maintext"/>
              <w:spacing w:after="0" w:afterAutospacing="0" w:line="240" w:lineRule="auto"/>
              <w:ind w:firstLine="0"/>
              <w:rPr>
                <w:rFonts w:eastAsiaTheme="minorEastAsia"/>
                <w:lang w:val="en-US" w:eastAsia="zh-CN"/>
              </w:rPr>
            </w:pPr>
            <w:r>
              <w:rPr>
                <w:rFonts w:eastAsiaTheme="minorEastAsia"/>
                <w:lang w:eastAsia="zh-CN"/>
              </w:rPr>
              <w:t>For the first sub-bullet, we support the Alt1</w:t>
            </w:r>
            <w:r>
              <w:rPr>
                <w:rFonts w:eastAsiaTheme="minorEastAsia"/>
                <w:lang w:val="en-US" w:eastAsia="zh-CN"/>
              </w:rPr>
              <w:t>.</w:t>
            </w:r>
          </w:p>
        </w:tc>
      </w:tr>
      <w:tr w:rsidR="00335DBF" w14:paraId="1093C007" w14:textId="77777777" w:rsidTr="006B2419">
        <w:tc>
          <w:tcPr>
            <w:tcW w:w="1555" w:type="dxa"/>
          </w:tcPr>
          <w:p w14:paraId="5D778E96" w14:textId="77777777" w:rsidR="00335DBF" w:rsidRDefault="00335DBF" w:rsidP="00335DBF">
            <w:pPr>
              <w:pStyle w:val="0Maintext"/>
              <w:spacing w:after="0" w:afterAutospacing="0"/>
              <w:ind w:firstLine="0"/>
            </w:pPr>
            <w:r>
              <w:rPr>
                <w:rFonts w:eastAsiaTheme="minorEastAsia" w:hint="eastAsia"/>
                <w:lang w:eastAsia="zh-CN"/>
              </w:rPr>
              <w:lastRenderedPageBreak/>
              <w:t>C</w:t>
            </w:r>
            <w:r>
              <w:rPr>
                <w:rFonts w:eastAsiaTheme="minorEastAsia"/>
                <w:lang w:eastAsia="zh-CN"/>
              </w:rPr>
              <w:t>ATT/GH</w:t>
            </w:r>
          </w:p>
        </w:tc>
        <w:tc>
          <w:tcPr>
            <w:tcW w:w="8076" w:type="dxa"/>
          </w:tcPr>
          <w:p w14:paraId="4EA5F07A" w14:textId="77777777" w:rsidR="00335DBF" w:rsidRDefault="00335DBF" w:rsidP="00335DBF">
            <w:pPr>
              <w:pStyle w:val="0Maintext"/>
              <w:spacing w:after="0" w:afterAutospacing="0" w:line="240" w:lineRule="auto"/>
              <w:ind w:firstLine="0"/>
              <w:rPr>
                <w:rFonts w:eastAsiaTheme="minorEastAsia"/>
                <w:lang w:eastAsia="zh-CN"/>
              </w:rPr>
            </w:pPr>
            <w:r>
              <w:rPr>
                <w:rFonts w:eastAsiaTheme="minorEastAsia" w:hint="eastAsia"/>
                <w:lang w:eastAsia="zh-CN"/>
              </w:rPr>
              <w:t>F</w:t>
            </w:r>
            <w:r>
              <w:rPr>
                <w:rFonts w:eastAsiaTheme="minorEastAsia"/>
                <w:lang w:eastAsia="zh-CN"/>
              </w:rPr>
              <w:t>or the first sub-bullet, we support Alt.1 which says “</w:t>
            </w:r>
            <w:r>
              <w:rPr>
                <w:rFonts w:eastAsiaTheme="minorEastAsia"/>
                <w:b/>
                <w:lang w:eastAsia="zh-CN"/>
              </w:rPr>
              <w:t>at least</w:t>
            </w:r>
            <w:r>
              <w:rPr>
                <w:rFonts w:eastAsiaTheme="minorEastAsia"/>
                <w:lang w:eastAsia="zh-CN"/>
              </w:rPr>
              <w:t xml:space="preserve"> COT initiating UE’s PSSCH data transmission”. Other transmissions can be further discussed based on Alt.1.</w:t>
            </w:r>
          </w:p>
          <w:p w14:paraId="4F0745F2" w14:textId="77777777" w:rsidR="00335DBF" w:rsidRDefault="00335DBF" w:rsidP="00335DBF">
            <w:pPr>
              <w:pStyle w:val="0Maintext"/>
              <w:spacing w:after="0" w:afterAutospacing="0" w:line="240" w:lineRule="auto"/>
              <w:ind w:firstLine="0"/>
              <w:rPr>
                <w:rFonts w:eastAsiaTheme="minorEastAsia"/>
                <w:lang w:eastAsia="zh-CN"/>
              </w:rPr>
            </w:pPr>
          </w:p>
          <w:p w14:paraId="651335A5" w14:textId="77777777" w:rsidR="00335DBF" w:rsidRDefault="00335DBF" w:rsidP="00335DBF">
            <w:pPr>
              <w:pStyle w:val="0Maintext"/>
              <w:spacing w:after="0" w:afterAutospacing="0" w:line="240" w:lineRule="auto"/>
              <w:ind w:firstLine="0"/>
              <w:rPr>
                <w:rFonts w:eastAsiaTheme="minorEastAsia"/>
                <w:lang w:eastAsia="zh-CN"/>
              </w:rPr>
            </w:pPr>
            <w:r>
              <w:rPr>
                <w:rFonts w:eastAsiaTheme="minorEastAsia"/>
                <w:lang w:eastAsia="zh-CN"/>
              </w:rPr>
              <w:t xml:space="preserve">We are generally fine with the second sub-bullet. Regarding the destination ID and/or source ID, we think both L1 and L2 ID can be included in the COT sharing information. </w:t>
            </w:r>
          </w:p>
          <w:p w14:paraId="2CFDE7E3" w14:textId="77777777" w:rsidR="00335DBF" w:rsidRDefault="00335DBF" w:rsidP="00335DBF">
            <w:pPr>
              <w:pStyle w:val="0Maintext"/>
              <w:spacing w:after="0" w:afterAutospacing="0" w:line="240" w:lineRule="auto"/>
              <w:ind w:firstLine="0"/>
              <w:rPr>
                <w:rFonts w:eastAsiaTheme="minorEastAsia"/>
                <w:lang w:eastAsia="zh-CN"/>
              </w:rPr>
            </w:pPr>
          </w:p>
          <w:p w14:paraId="23B5CD5A" w14:textId="77777777" w:rsidR="00335DBF" w:rsidRDefault="00335DBF" w:rsidP="00335DBF">
            <w:pPr>
              <w:pStyle w:val="0Maintext"/>
              <w:spacing w:after="0" w:afterAutospacing="0" w:line="240" w:lineRule="auto"/>
              <w:ind w:firstLine="0"/>
              <w:rPr>
                <w:rFonts w:eastAsiaTheme="minorEastAsia"/>
                <w:lang w:eastAsia="zh-CN"/>
              </w:rPr>
            </w:pPr>
            <w:r>
              <w:rPr>
                <w:rFonts w:eastAsiaTheme="minorEastAsia"/>
                <w:lang w:eastAsia="zh-CN"/>
              </w:rPr>
              <w:t>For the third sub-bullet, we think it is too early to determine the container for the COT sharing information since the contents and the size of the COT sharing information is still under discussion. It is preferred to leave these options for further discussion.</w:t>
            </w:r>
          </w:p>
        </w:tc>
      </w:tr>
      <w:tr w:rsidR="00335DBF" w14:paraId="6D157CC1" w14:textId="77777777" w:rsidTr="006B2419">
        <w:tc>
          <w:tcPr>
            <w:tcW w:w="1555" w:type="dxa"/>
          </w:tcPr>
          <w:p w14:paraId="0F3A8737" w14:textId="29FDF8A0" w:rsidR="00335DBF" w:rsidRDefault="00335DBF" w:rsidP="00335DBF">
            <w:pPr>
              <w:pStyle w:val="0Maintext"/>
              <w:spacing w:after="0" w:afterAutospacing="0"/>
              <w:ind w:firstLine="0"/>
              <w:rPr>
                <w:rFonts w:eastAsiaTheme="minorEastAsia"/>
                <w:lang w:eastAsia="zh-CN"/>
              </w:rPr>
            </w:pPr>
            <w:r>
              <w:rPr>
                <w:rFonts w:eastAsiaTheme="minorEastAsia" w:hint="eastAsia"/>
                <w:lang w:eastAsia="zh-CN"/>
              </w:rPr>
              <w:t>ZTE,</w:t>
            </w:r>
            <w:r>
              <w:rPr>
                <w:rFonts w:eastAsiaTheme="minorEastAsia"/>
                <w:lang w:eastAsia="zh-CN"/>
              </w:rPr>
              <w:t xml:space="preserve"> </w:t>
            </w:r>
            <w:r>
              <w:rPr>
                <w:rFonts w:eastAsiaTheme="minorEastAsia" w:hint="eastAsia"/>
                <w:lang w:eastAsia="zh-CN"/>
              </w:rPr>
              <w:t>Sanechips</w:t>
            </w:r>
          </w:p>
        </w:tc>
        <w:tc>
          <w:tcPr>
            <w:tcW w:w="8076" w:type="dxa"/>
          </w:tcPr>
          <w:p w14:paraId="53620512" w14:textId="77777777" w:rsidR="00335DBF" w:rsidRDefault="00335DBF" w:rsidP="00335DBF">
            <w:pPr>
              <w:pStyle w:val="0Maintext"/>
              <w:spacing w:after="0" w:afterAutospacing="0" w:line="240" w:lineRule="auto"/>
              <w:ind w:firstLine="0"/>
              <w:rPr>
                <w:rFonts w:eastAsiaTheme="minorEastAsia"/>
                <w:lang w:eastAsia="zh-CN"/>
              </w:rPr>
            </w:pPr>
            <w:r>
              <w:rPr>
                <w:rFonts w:eastAsiaTheme="minorEastAsia" w:hint="eastAsia"/>
                <w:lang w:eastAsia="zh-CN"/>
              </w:rPr>
              <w:t>Our preference would be Alt 1 and in case Alt 2 is used, we may need to further discuss the exact definition of the L1 ID itself, i.e. whether the legacy source/destination ID shall be sufficient. Some may interpret the source/destination ID as only between the RRC connected UE while others may interpret it alternatively as any detected source/destination ID.</w:t>
            </w:r>
          </w:p>
          <w:p w14:paraId="7269774D" w14:textId="77777777" w:rsidR="00335DBF" w:rsidRDefault="00335DBF" w:rsidP="00335DBF">
            <w:pPr>
              <w:pStyle w:val="0Maintext"/>
              <w:numPr>
                <w:ilvl w:val="1"/>
                <w:numId w:val="25"/>
              </w:numPr>
              <w:tabs>
                <w:tab w:val="left" w:pos="1440"/>
              </w:tabs>
              <w:spacing w:after="0" w:afterAutospacing="0" w:line="240" w:lineRule="auto"/>
              <w:ind w:hanging="357"/>
              <w:rPr>
                <w:rFonts w:ascii="Calibri" w:hAnsi="Calibri" w:cs="Calibri"/>
                <w:sz w:val="22"/>
                <w:lang w:val="en-US"/>
              </w:rPr>
            </w:pPr>
            <w:r>
              <w:rPr>
                <w:rFonts w:ascii="Calibri" w:hAnsi="Calibri" w:cs="Calibri" w:hint="eastAsia"/>
                <w:sz w:val="22"/>
                <w:lang w:val="en-US"/>
              </w:rPr>
              <w:t>Contents of COT sharing information includes the followings:</w:t>
            </w:r>
          </w:p>
          <w:p w14:paraId="5312B72A" w14:textId="77777777" w:rsidR="00335DBF" w:rsidRDefault="00335DBF" w:rsidP="00335DBF">
            <w:pPr>
              <w:pStyle w:val="0Maintext"/>
              <w:numPr>
                <w:ilvl w:val="2"/>
                <w:numId w:val="25"/>
              </w:numPr>
              <w:tabs>
                <w:tab w:val="left" w:pos="2160"/>
              </w:tabs>
              <w:spacing w:after="0" w:afterAutospacing="0" w:line="240" w:lineRule="auto"/>
              <w:ind w:hanging="357"/>
              <w:rPr>
                <w:rFonts w:ascii="Calibri" w:hAnsi="Calibri" w:cs="Calibri"/>
                <w:sz w:val="22"/>
                <w:lang w:val="en-US"/>
              </w:rPr>
            </w:pPr>
            <w:r>
              <w:rPr>
                <w:rFonts w:ascii="Calibri" w:hAnsi="Calibri" w:cs="Calibri" w:hint="eastAsia"/>
                <w:sz w:val="22"/>
              </w:rPr>
              <w:t>CAPC level</w:t>
            </w:r>
          </w:p>
          <w:p w14:paraId="10099935" w14:textId="77777777" w:rsidR="00335DBF" w:rsidRDefault="00335DBF" w:rsidP="00335DBF">
            <w:pPr>
              <w:pStyle w:val="0Maintext"/>
              <w:numPr>
                <w:ilvl w:val="2"/>
                <w:numId w:val="25"/>
              </w:numPr>
              <w:tabs>
                <w:tab w:val="left" w:pos="2160"/>
              </w:tabs>
              <w:spacing w:after="0" w:afterAutospacing="0" w:line="240" w:lineRule="auto"/>
              <w:ind w:hanging="357"/>
              <w:rPr>
                <w:rFonts w:ascii="Calibri" w:hAnsi="Calibri" w:cs="Calibri"/>
                <w:sz w:val="22"/>
                <w:lang w:val="en-US"/>
              </w:rPr>
            </w:pPr>
            <w:r>
              <w:rPr>
                <w:rFonts w:ascii="Calibri" w:hAnsi="Calibri" w:cs="Calibri" w:hint="eastAsia"/>
                <w:sz w:val="22"/>
              </w:rPr>
              <w:t>Remaining COT duration (e.g., number of SL slots or ms)</w:t>
            </w:r>
          </w:p>
          <w:p w14:paraId="5B473CA7" w14:textId="77777777" w:rsidR="00335DBF" w:rsidRDefault="00335DBF" w:rsidP="00335DBF">
            <w:pPr>
              <w:pStyle w:val="0Maintext"/>
              <w:numPr>
                <w:ilvl w:val="2"/>
                <w:numId w:val="25"/>
              </w:numPr>
              <w:tabs>
                <w:tab w:val="left" w:pos="2160"/>
              </w:tabs>
              <w:spacing w:after="0" w:afterAutospacing="0" w:line="240" w:lineRule="auto"/>
              <w:ind w:hanging="357"/>
              <w:rPr>
                <w:rFonts w:ascii="Calibri" w:hAnsi="Calibri" w:cs="Calibri"/>
                <w:sz w:val="22"/>
                <w:lang w:val="en-US"/>
              </w:rPr>
            </w:pPr>
            <w:r>
              <w:rPr>
                <w:rFonts w:ascii="Calibri" w:hAnsi="Calibri" w:cs="Calibri" w:hint="eastAsia"/>
                <w:sz w:val="22"/>
              </w:rPr>
              <w:t>L1 ID</w:t>
            </w:r>
            <w:r>
              <w:rPr>
                <w:rFonts w:ascii="Calibri" w:hAnsi="Calibri" w:cs="Calibri"/>
                <w:sz w:val="22"/>
              </w:rPr>
              <w:t xml:space="preserve"> (e.g., </w:t>
            </w:r>
            <w:r>
              <w:rPr>
                <w:rFonts w:ascii="Calibri" w:eastAsiaTheme="minorEastAsia" w:hAnsi="Calibri" w:cs="Calibri" w:hint="eastAsia"/>
                <w:color w:val="FF0000"/>
                <w:sz w:val="22"/>
                <w:lang w:eastAsia="zh-CN"/>
              </w:rPr>
              <w:t>whether</w:t>
            </w:r>
            <w:r>
              <w:rPr>
                <w:rFonts w:ascii="Calibri" w:eastAsiaTheme="minorEastAsia" w:hAnsi="Calibri" w:cs="Calibri" w:hint="eastAsia"/>
                <w:sz w:val="22"/>
                <w:lang w:eastAsia="zh-CN"/>
              </w:rPr>
              <w:t xml:space="preserve"> </w:t>
            </w:r>
            <w:r>
              <w:rPr>
                <w:rFonts w:ascii="Calibri" w:eastAsiaTheme="minorEastAsia" w:hAnsi="Calibri" w:cs="Calibri" w:hint="eastAsia"/>
                <w:color w:val="FF0000"/>
                <w:sz w:val="22"/>
                <w:lang w:eastAsia="zh-CN"/>
              </w:rPr>
              <w:t>legacy</w:t>
            </w:r>
            <w:r>
              <w:rPr>
                <w:rFonts w:ascii="Calibri" w:eastAsiaTheme="minorEastAsia" w:hAnsi="Calibri" w:cs="Calibri" w:hint="eastAsia"/>
                <w:sz w:val="22"/>
                <w:lang w:eastAsia="zh-CN"/>
              </w:rPr>
              <w:t xml:space="preserve"> </w:t>
            </w:r>
            <w:r>
              <w:rPr>
                <w:rFonts w:ascii="Calibri" w:hAnsi="Calibri" w:cs="Calibri" w:hint="eastAsia"/>
                <w:sz w:val="22"/>
              </w:rPr>
              <w:t>destination ID and/or source ID</w:t>
            </w:r>
            <w:r>
              <w:rPr>
                <w:rFonts w:ascii="Calibri" w:eastAsiaTheme="minorEastAsia" w:hAnsi="Calibri" w:cs="Calibri" w:hint="eastAsia"/>
                <w:sz w:val="22"/>
                <w:lang w:eastAsia="zh-CN"/>
              </w:rPr>
              <w:t xml:space="preserve"> </w:t>
            </w:r>
            <w:r>
              <w:rPr>
                <w:rFonts w:ascii="Calibri" w:eastAsiaTheme="minorEastAsia" w:hAnsi="Calibri" w:cs="Calibri" w:hint="eastAsia"/>
                <w:color w:val="FF0000"/>
                <w:sz w:val="22"/>
                <w:lang w:eastAsia="zh-CN"/>
              </w:rPr>
              <w:t>is sufficient</w:t>
            </w:r>
            <w:r>
              <w:rPr>
                <w:rFonts w:ascii="Calibri" w:hAnsi="Calibri" w:cs="Calibri"/>
                <w:sz w:val="22"/>
              </w:rPr>
              <w:t>)</w:t>
            </w:r>
          </w:p>
          <w:p w14:paraId="1D6CAC2A" w14:textId="5424FCAA" w:rsidR="00335DBF" w:rsidRPr="00335DBF" w:rsidRDefault="00335DBF" w:rsidP="00335DBF">
            <w:pPr>
              <w:pStyle w:val="0Maintext"/>
              <w:numPr>
                <w:ilvl w:val="2"/>
                <w:numId w:val="25"/>
              </w:numPr>
              <w:tabs>
                <w:tab w:val="left" w:pos="2160"/>
              </w:tabs>
              <w:spacing w:after="0" w:afterAutospacing="0" w:line="240" w:lineRule="auto"/>
              <w:ind w:hanging="357"/>
              <w:rPr>
                <w:rFonts w:ascii="Calibri" w:hAnsi="Calibri" w:cs="Calibri"/>
                <w:sz w:val="22"/>
                <w:lang w:val="en-US"/>
              </w:rPr>
            </w:pPr>
            <w:r>
              <w:rPr>
                <w:rFonts w:ascii="Calibri" w:hAnsi="Calibri" w:cs="Calibri" w:hint="eastAsia"/>
                <w:sz w:val="22"/>
              </w:rPr>
              <w:t>FFS any others (e.g., information on time and frequency resources)</w:t>
            </w:r>
          </w:p>
        </w:tc>
      </w:tr>
      <w:tr w:rsidR="00335DBF" w14:paraId="49FF26E8" w14:textId="77777777" w:rsidTr="006B2419">
        <w:tc>
          <w:tcPr>
            <w:tcW w:w="1555" w:type="dxa"/>
          </w:tcPr>
          <w:p w14:paraId="6C5FEC79" w14:textId="77777777" w:rsidR="00335DBF" w:rsidRDefault="00335DBF" w:rsidP="00335DBF">
            <w:pPr>
              <w:pStyle w:val="0Maintext"/>
              <w:spacing w:after="0" w:afterAutospacing="0"/>
              <w:ind w:firstLine="0"/>
              <w:rPr>
                <w:rFonts w:eastAsia="MS Mincho"/>
                <w:lang w:eastAsia="ja-JP"/>
              </w:rPr>
            </w:pPr>
            <w:r>
              <w:rPr>
                <w:rFonts w:eastAsiaTheme="minorEastAsia" w:hint="eastAsia"/>
                <w:lang w:eastAsia="zh-CN"/>
              </w:rPr>
              <w:t>Sharp</w:t>
            </w:r>
          </w:p>
        </w:tc>
        <w:tc>
          <w:tcPr>
            <w:tcW w:w="8076" w:type="dxa"/>
          </w:tcPr>
          <w:p w14:paraId="36FFE19B" w14:textId="77777777" w:rsidR="00335DBF" w:rsidRDefault="00335DBF" w:rsidP="00335DBF">
            <w:pPr>
              <w:pStyle w:val="0Maintext"/>
              <w:spacing w:after="0" w:afterAutospacing="0" w:line="240" w:lineRule="auto"/>
              <w:ind w:firstLine="0"/>
              <w:rPr>
                <w:rFonts w:eastAsiaTheme="minorEastAsia"/>
                <w:lang w:eastAsia="zh-CN"/>
              </w:rPr>
            </w:pPr>
            <w:r>
              <w:rPr>
                <w:rFonts w:eastAsiaTheme="minorEastAsia"/>
                <w:lang w:eastAsia="zh-CN"/>
              </w:rPr>
              <w:t>W</w:t>
            </w:r>
            <w:r>
              <w:rPr>
                <w:rFonts w:eastAsiaTheme="minorEastAsia" w:hint="eastAsia"/>
                <w:lang w:eastAsia="zh-CN"/>
              </w:rPr>
              <w:t>e think RAN1 should first clarify the implication of a shared COT in the frequency domain. For example, in the second bullet, and in some companies</w:t>
            </w:r>
            <w:r>
              <w:rPr>
                <w:rFonts w:eastAsiaTheme="minorEastAsia"/>
                <w:lang w:eastAsia="zh-CN"/>
              </w:rPr>
              <w:t>’</w:t>
            </w:r>
            <w:r>
              <w:rPr>
                <w:rFonts w:eastAsiaTheme="minorEastAsia" w:hint="eastAsia"/>
                <w:lang w:eastAsia="zh-CN"/>
              </w:rPr>
              <w:t xml:space="preserve"> proposed changes, it seems the COT initiating UE is free to indicate the frequency domain resources to be shared. In that case what would be full set of resourcesg from which to indicate (e.g. all RBs in the resource pool)? </w:t>
            </w:r>
            <w:r>
              <w:rPr>
                <w:rFonts w:eastAsiaTheme="minorEastAsia"/>
                <w:lang w:eastAsia="zh-CN"/>
              </w:rPr>
              <w:t>A</w:t>
            </w:r>
            <w:r>
              <w:rPr>
                <w:rFonts w:eastAsiaTheme="minorEastAsia" w:hint="eastAsia"/>
                <w:lang w:eastAsia="zh-CN"/>
              </w:rPr>
              <w:t xml:space="preserve">nd what would be the implication on other (i.e. not </w:t>
            </w:r>
            <w:r>
              <w:rPr>
                <w:rFonts w:eastAsiaTheme="minorEastAsia"/>
                <w:lang w:eastAsia="zh-CN"/>
              </w:rPr>
              <w:t>indicated</w:t>
            </w:r>
            <w:r>
              <w:rPr>
                <w:rFonts w:eastAsiaTheme="minorEastAsia" w:hint="eastAsia"/>
                <w:lang w:eastAsia="zh-CN"/>
              </w:rPr>
              <w:t>) frequency domain resources?</w:t>
            </w:r>
          </w:p>
          <w:p w14:paraId="117ED6B2" w14:textId="77777777" w:rsidR="00335DBF" w:rsidRDefault="00335DBF" w:rsidP="00335DBF">
            <w:pPr>
              <w:pStyle w:val="0Maintext"/>
              <w:spacing w:after="0" w:afterAutospacing="0" w:line="240" w:lineRule="auto"/>
              <w:ind w:firstLine="0"/>
              <w:rPr>
                <w:rFonts w:eastAsia="MS Mincho"/>
                <w:lang w:eastAsia="ja-JP"/>
              </w:rPr>
            </w:pPr>
            <w:r>
              <w:rPr>
                <w:rFonts w:eastAsiaTheme="minorEastAsia" w:hint="eastAsia"/>
                <w:lang w:eastAsia="zh-CN"/>
              </w:rPr>
              <w:t xml:space="preserve">On the first sub-bullet, we support Alt-2. On the third </w:t>
            </w:r>
            <w:r>
              <w:rPr>
                <w:rFonts w:eastAsiaTheme="minorEastAsia"/>
                <w:lang w:eastAsia="zh-CN"/>
              </w:rPr>
              <w:t>sub</w:t>
            </w:r>
            <w:r>
              <w:rPr>
                <w:rFonts w:eastAsiaTheme="minorEastAsia" w:hint="eastAsia"/>
                <w:lang w:eastAsia="zh-CN"/>
              </w:rPr>
              <w:t>-bullet, we think it can be decided when it is clearer in RAN1 what the payload of the indication looks like.</w:t>
            </w:r>
          </w:p>
        </w:tc>
      </w:tr>
      <w:tr w:rsidR="00335DBF" w14:paraId="476A0BE8" w14:textId="77777777" w:rsidTr="006B2419">
        <w:tc>
          <w:tcPr>
            <w:tcW w:w="1555" w:type="dxa"/>
          </w:tcPr>
          <w:p w14:paraId="5C846D9E" w14:textId="77777777" w:rsidR="00335DBF" w:rsidRDefault="00335DBF" w:rsidP="00335DBF">
            <w:pPr>
              <w:pStyle w:val="0Maintext"/>
              <w:spacing w:after="0" w:afterAutospacing="0"/>
              <w:ind w:firstLine="0"/>
              <w:rPr>
                <w:rFonts w:eastAsiaTheme="minorEastAsia"/>
                <w:lang w:eastAsia="zh-CN"/>
              </w:rPr>
            </w:pPr>
            <w:r>
              <w:rPr>
                <w:rFonts w:eastAsia="SimSun" w:hint="eastAsia"/>
                <w:lang w:val="en-US" w:eastAsia="zh-CN"/>
              </w:rPr>
              <w:t>Transsion</w:t>
            </w:r>
          </w:p>
        </w:tc>
        <w:tc>
          <w:tcPr>
            <w:tcW w:w="8076" w:type="dxa"/>
          </w:tcPr>
          <w:p w14:paraId="5F6E3058" w14:textId="77777777" w:rsidR="00335DBF" w:rsidRDefault="00335DBF" w:rsidP="00335DBF">
            <w:pPr>
              <w:pStyle w:val="0Maintext"/>
              <w:spacing w:after="0" w:afterAutospacing="0" w:line="240" w:lineRule="auto"/>
              <w:ind w:firstLine="0"/>
              <w:rPr>
                <w:rFonts w:eastAsia="SimSun"/>
                <w:lang w:val="en-US" w:eastAsia="zh-CN"/>
              </w:rPr>
            </w:pPr>
            <w:r>
              <w:rPr>
                <w:rFonts w:eastAsia="SimSun" w:hint="eastAsia"/>
                <w:lang w:val="en-US" w:eastAsia="zh-CN"/>
              </w:rPr>
              <w:t>We support Alt 1 in the 1</w:t>
            </w:r>
            <w:r>
              <w:rPr>
                <w:rFonts w:eastAsia="SimSun" w:hint="eastAsia"/>
                <w:vertAlign w:val="superscript"/>
                <w:lang w:val="en-US" w:eastAsia="zh-CN"/>
              </w:rPr>
              <w:t>st</w:t>
            </w:r>
            <w:r>
              <w:rPr>
                <w:rFonts w:eastAsia="SimSun" w:hint="eastAsia"/>
                <w:lang w:val="en-US" w:eastAsia="zh-CN"/>
              </w:rPr>
              <w:t xml:space="preserve"> bullet  and option 1 in the 3</w:t>
            </w:r>
            <w:r>
              <w:rPr>
                <w:rFonts w:eastAsia="SimSun" w:hint="eastAsia"/>
                <w:vertAlign w:val="superscript"/>
                <w:lang w:val="en-US" w:eastAsia="zh-CN"/>
              </w:rPr>
              <w:t>rd</w:t>
            </w:r>
            <w:r>
              <w:rPr>
                <w:rFonts w:eastAsia="SimSun" w:hint="eastAsia"/>
                <w:lang w:val="en-US" w:eastAsia="zh-CN"/>
              </w:rPr>
              <w:t xml:space="preserve"> bullet</w:t>
            </w:r>
          </w:p>
          <w:p w14:paraId="21419A07" w14:textId="77777777" w:rsidR="00335DBF" w:rsidRDefault="00335DBF" w:rsidP="00335DBF">
            <w:pPr>
              <w:pStyle w:val="0Maintext"/>
              <w:spacing w:after="0" w:afterAutospacing="0" w:line="240" w:lineRule="auto"/>
              <w:ind w:firstLine="0"/>
              <w:rPr>
                <w:rFonts w:eastAsia="SimSun"/>
                <w:lang w:val="en-US" w:eastAsia="zh-CN"/>
              </w:rPr>
            </w:pPr>
            <w:r>
              <w:rPr>
                <w:rFonts w:eastAsia="SimSun" w:hint="eastAsia"/>
                <w:lang w:val="en-US" w:eastAsia="zh-CN"/>
              </w:rPr>
              <w:t xml:space="preserve">Regarding the first bullet, Alt 2 </w:t>
            </w:r>
            <w:r>
              <w:rPr>
                <w:rFonts w:hint="eastAsia"/>
                <w:lang w:val="en-US" w:eastAsia="zh-CN"/>
              </w:rPr>
              <w:t>will make the channel competition more intense, instead, Alt1 can coexist more fairly with other RATs.</w:t>
            </w:r>
          </w:p>
          <w:p w14:paraId="6CBED442" w14:textId="77777777" w:rsidR="00335DBF" w:rsidRDefault="00335DBF" w:rsidP="00335DBF">
            <w:pPr>
              <w:pStyle w:val="0Maintext"/>
              <w:spacing w:after="0" w:afterAutospacing="0" w:line="240" w:lineRule="auto"/>
              <w:ind w:firstLine="0"/>
              <w:rPr>
                <w:rFonts w:eastAsia="SimSun"/>
                <w:lang w:val="en-US" w:eastAsia="zh-CN"/>
              </w:rPr>
            </w:pPr>
            <w:r>
              <w:rPr>
                <w:rFonts w:eastAsia="SimSun" w:hint="eastAsia"/>
                <w:lang w:val="en-US" w:eastAsia="zh-CN"/>
              </w:rPr>
              <w:t>Regarding the second bullet, since the responding SL UE is the target receiver of the initiating COT UE</w:t>
            </w:r>
            <w:r>
              <w:rPr>
                <w:rFonts w:eastAsia="SimSun"/>
                <w:lang w:val="en-US" w:eastAsia="zh-CN"/>
              </w:rPr>
              <w:t>’</w:t>
            </w:r>
            <w:r>
              <w:rPr>
                <w:rFonts w:eastAsia="SimSun" w:hint="eastAsia"/>
                <w:lang w:val="en-US" w:eastAsia="zh-CN"/>
              </w:rPr>
              <w:t>s PSSCH, the L1 IDs of the responding SL UE are already contained in the SCI. Therefore, the L1 ID should be FFS.</w:t>
            </w:r>
          </w:p>
          <w:p w14:paraId="6FE1E062" w14:textId="77777777" w:rsidR="00335DBF" w:rsidRDefault="00335DBF" w:rsidP="00335DBF">
            <w:pPr>
              <w:pStyle w:val="0Maintext"/>
              <w:spacing w:after="0" w:afterAutospacing="0" w:line="240" w:lineRule="auto"/>
              <w:ind w:firstLine="0"/>
              <w:rPr>
                <w:rFonts w:eastAsiaTheme="minorEastAsia"/>
                <w:lang w:eastAsia="zh-CN"/>
              </w:rPr>
            </w:pPr>
            <w:r>
              <w:rPr>
                <w:rFonts w:eastAsia="SimSun" w:hint="eastAsia"/>
                <w:lang w:val="en-US" w:eastAsia="zh-CN"/>
              </w:rPr>
              <w:t xml:space="preserve">Regarding the third bullet, the application time of MAC CE is longer than that of SCI, therefore, Option 1 can provide more timely COT information to the receiving SL UE. </w:t>
            </w:r>
          </w:p>
        </w:tc>
      </w:tr>
      <w:tr w:rsidR="00335DBF" w14:paraId="092899F9" w14:textId="77777777" w:rsidTr="006B2419">
        <w:tc>
          <w:tcPr>
            <w:tcW w:w="1555" w:type="dxa"/>
          </w:tcPr>
          <w:p w14:paraId="4A57AA4F" w14:textId="77777777" w:rsidR="00335DBF" w:rsidRDefault="00335DBF" w:rsidP="00335DBF">
            <w:pPr>
              <w:pStyle w:val="0Maintext"/>
              <w:spacing w:after="0" w:afterAutospacing="0"/>
              <w:ind w:firstLine="0"/>
              <w:rPr>
                <w:rFonts w:eastAsia="SimSun"/>
                <w:lang w:val="en-US" w:eastAsia="zh-CN"/>
              </w:rPr>
            </w:pPr>
            <w:r>
              <w:t>Ericsson</w:t>
            </w:r>
          </w:p>
        </w:tc>
        <w:tc>
          <w:tcPr>
            <w:tcW w:w="8076" w:type="dxa"/>
          </w:tcPr>
          <w:p w14:paraId="202D692D" w14:textId="77777777" w:rsidR="00335DBF" w:rsidRDefault="00335DBF" w:rsidP="00335DBF">
            <w:pPr>
              <w:pStyle w:val="0Maintext"/>
              <w:spacing w:after="0" w:afterAutospacing="0" w:line="240" w:lineRule="auto"/>
              <w:ind w:firstLine="0"/>
              <w:rPr>
                <w:rFonts w:eastAsia="SimSun"/>
                <w:lang w:val="en-US" w:eastAsia="zh-CN"/>
              </w:rPr>
            </w:pPr>
            <w:r>
              <w:t>We are supportive of Alt.1.</w:t>
            </w:r>
          </w:p>
        </w:tc>
      </w:tr>
      <w:tr w:rsidR="00335DBF" w14:paraId="783B2E4F" w14:textId="77777777" w:rsidTr="006B2419">
        <w:tc>
          <w:tcPr>
            <w:tcW w:w="1555" w:type="dxa"/>
          </w:tcPr>
          <w:p w14:paraId="75A7A8E4" w14:textId="77777777" w:rsidR="00335DBF" w:rsidRDefault="00335DBF" w:rsidP="00335DBF">
            <w:pPr>
              <w:pStyle w:val="0Maintext"/>
              <w:spacing w:after="0" w:afterAutospacing="0"/>
              <w:ind w:firstLine="0"/>
            </w:pPr>
            <w:r>
              <w:rPr>
                <w:rFonts w:hint="eastAsia"/>
              </w:rPr>
              <w:t>I</w:t>
            </w:r>
            <w:r>
              <w:t>TL</w:t>
            </w:r>
          </w:p>
        </w:tc>
        <w:tc>
          <w:tcPr>
            <w:tcW w:w="8076" w:type="dxa"/>
          </w:tcPr>
          <w:p w14:paraId="3C071EF3" w14:textId="77777777" w:rsidR="00335DBF" w:rsidRDefault="00335DBF" w:rsidP="00335DBF">
            <w:pPr>
              <w:pStyle w:val="0Maintext"/>
              <w:spacing w:after="0" w:afterAutospacing="0" w:line="240" w:lineRule="auto"/>
              <w:ind w:firstLine="0"/>
            </w:pPr>
            <w:r>
              <w:rPr>
                <w:rFonts w:eastAsiaTheme="minorEastAsia" w:hint="eastAsia"/>
                <w:lang w:eastAsia="zh-CN"/>
              </w:rPr>
              <w:t>W</w:t>
            </w:r>
            <w:r>
              <w:rPr>
                <w:rFonts w:eastAsiaTheme="minorEastAsia"/>
                <w:lang w:eastAsia="zh-CN"/>
              </w:rPr>
              <w:t>e are fine with the proposal and prefer Alt. 1.</w:t>
            </w:r>
          </w:p>
        </w:tc>
      </w:tr>
      <w:tr w:rsidR="00335DBF" w14:paraId="090FB3A4" w14:textId="77777777" w:rsidTr="006B2419">
        <w:tc>
          <w:tcPr>
            <w:tcW w:w="1555" w:type="dxa"/>
          </w:tcPr>
          <w:p w14:paraId="116C8B55" w14:textId="77777777" w:rsidR="00335DBF" w:rsidRDefault="00335DBF" w:rsidP="00335DBF">
            <w:pPr>
              <w:pStyle w:val="0Maintext"/>
              <w:spacing w:after="0" w:afterAutospacing="0"/>
              <w:ind w:firstLine="0"/>
            </w:pPr>
            <w:r>
              <w:rPr>
                <w:rFonts w:eastAsiaTheme="minorEastAsia"/>
                <w:lang w:eastAsia="zh-CN"/>
              </w:rPr>
              <w:t>Fraunhofer</w:t>
            </w:r>
          </w:p>
        </w:tc>
        <w:tc>
          <w:tcPr>
            <w:tcW w:w="8076" w:type="dxa"/>
          </w:tcPr>
          <w:p w14:paraId="0C29EE76" w14:textId="77777777" w:rsidR="00335DBF" w:rsidRDefault="00335DBF" w:rsidP="00335DBF">
            <w:pPr>
              <w:pStyle w:val="0Maintext"/>
              <w:spacing w:after="0" w:afterAutospacing="0" w:line="240" w:lineRule="auto"/>
              <w:ind w:firstLine="0"/>
              <w:rPr>
                <w:rFonts w:eastAsiaTheme="minorEastAsia"/>
                <w:lang w:eastAsia="zh-CN"/>
              </w:rPr>
            </w:pPr>
            <w:r>
              <w:rPr>
                <w:rFonts w:eastAsiaTheme="minorEastAsia"/>
                <w:lang w:eastAsia="zh-CN"/>
              </w:rPr>
              <w:t>For the first sub-bullet, we support Alt 2.</w:t>
            </w:r>
          </w:p>
          <w:p w14:paraId="3FADC948" w14:textId="77777777" w:rsidR="00335DBF" w:rsidRDefault="00335DBF" w:rsidP="00335DBF">
            <w:pPr>
              <w:pStyle w:val="0Maintext"/>
              <w:spacing w:after="0" w:afterAutospacing="0" w:line="240" w:lineRule="auto"/>
              <w:ind w:firstLine="0"/>
              <w:rPr>
                <w:rFonts w:eastAsiaTheme="minorEastAsia"/>
                <w:lang w:eastAsia="zh-CN"/>
              </w:rPr>
            </w:pPr>
            <w:r>
              <w:rPr>
                <w:rFonts w:eastAsiaTheme="minorEastAsia"/>
                <w:lang w:eastAsia="zh-CN"/>
              </w:rPr>
              <w:t>For the third sub-bullet, we support Option 1.</w:t>
            </w:r>
          </w:p>
        </w:tc>
      </w:tr>
      <w:tr w:rsidR="00335DBF" w14:paraId="0E8E3A2A" w14:textId="77777777" w:rsidTr="006B2419">
        <w:tc>
          <w:tcPr>
            <w:tcW w:w="1555" w:type="dxa"/>
          </w:tcPr>
          <w:p w14:paraId="3A6B3DF2" w14:textId="77777777" w:rsidR="00335DBF" w:rsidRDefault="00335DBF" w:rsidP="00335DBF">
            <w:pPr>
              <w:pStyle w:val="0Maintext"/>
              <w:spacing w:after="0" w:afterAutospacing="0"/>
              <w:ind w:firstLine="0"/>
              <w:rPr>
                <w:rFonts w:eastAsiaTheme="minorEastAsia"/>
                <w:lang w:eastAsia="zh-CN"/>
              </w:rPr>
            </w:pPr>
            <w:r>
              <w:rPr>
                <w:rFonts w:eastAsiaTheme="minorEastAsia"/>
                <w:lang w:eastAsia="zh-CN"/>
              </w:rPr>
              <w:t>MediaTek</w:t>
            </w:r>
          </w:p>
        </w:tc>
        <w:tc>
          <w:tcPr>
            <w:tcW w:w="8076" w:type="dxa"/>
          </w:tcPr>
          <w:p w14:paraId="3F343C90" w14:textId="77777777" w:rsidR="00335DBF" w:rsidRDefault="00335DBF" w:rsidP="00335DBF">
            <w:pPr>
              <w:pStyle w:val="0Maintext"/>
              <w:spacing w:after="0" w:afterAutospacing="0" w:line="240" w:lineRule="auto"/>
              <w:ind w:firstLine="0"/>
              <w:rPr>
                <w:rFonts w:eastAsiaTheme="minorEastAsia"/>
                <w:lang w:eastAsia="zh-CN"/>
              </w:rPr>
            </w:pPr>
            <w:r>
              <w:rPr>
                <w:rFonts w:eastAsiaTheme="minorEastAsia" w:hint="eastAsia"/>
                <w:lang w:eastAsia="zh-CN"/>
              </w:rPr>
              <w:t>F</w:t>
            </w:r>
            <w:r>
              <w:rPr>
                <w:rFonts w:eastAsiaTheme="minorEastAsia"/>
                <w:lang w:eastAsia="zh-CN"/>
              </w:rPr>
              <w:t>or the first sub-bullet, Alt 1 is preferred.</w:t>
            </w:r>
          </w:p>
          <w:p w14:paraId="52043D5F" w14:textId="77777777" w:rsidR="00335DBF" w:rsidRDefault="00335DBF" w:rsidP="00335DBF">
            <w:pPr>
              <w:pStyle w:val="0Maintext"/>
              <w:spacing w:after="0" w:afterAutospacing="0" w:line="240" w:lineRule="auto"/>
              <w:ind w:firstLine="0"/>
              <w:rPr>
                <w:rFonts w:eastAsiaTheme="minorEastAsia"/>
                <w:lang w:eastAsia="zh-CN"/>
              </w:rPr>
            </w:pPr>
          </w:p>
          <w:p w14:paraId="07B35648" w14:textId="77777777" w:rsidR="00335DBF" w:rsidRDefault="00335DBF" w:rsidP="00335DBF">
            <w:pPr>
              <w:pStyle w:val="0Maintext"/>
              <w:spacing w:after="0" w:afterAutospacing="0" w:line="240" w:lineRule="auto"/>
              <w:ind w:firstLine="0"/>
              <w:rPr>
                <w:rFonts w:eastAsiaTheme="minorEastAsia"/>
                <w:lang w:eastAsia="zh-CN"/>
              </w:rPr>
            </w:pPr>
            <w:r>
              <w:rPr>
                <w:rFonts w:eastAsiaTheme="minorEastAsia"/>
                <w:lang w:eastAsia="zh-CN"/>
              </w:rPr>
              <w:t xml:space="preserve">For the second sub-bullet, considering the COT sharing behaviour, we think  </w:t>
            </w:r>
            <w:r w:rsidRPr="007B6F76">
              <w:rPr>
                <w:rFonts w:eastAsiaTheme="minorEastAsia"/>
                <w:lang w:eastAsia="zh-CN"/>
              </w:rPr>
              <w:t>the resource configuration within the COT (resource for the</w:t>
            </w:r>
            <w:r>
              <w:rPr>
                <w:rFonts w:eastAsiaTheme="minorEastAsia"/>
                <w:lang w:eastAsia="zh-CN"/>
              </w:rPr>
              <w:t xml:space="preserve"> COT initiating UE and COT sharing UE</w:t>
            </w:r>
            <w:r w:rsidRPr="007B6F76">
              <w:rPr>
                <w:rFonts w:eastAsiaTheme="minorEastAsia"/>
                <w:lang w:eastAsia="zh-CN"/>
              </w:rPr>
              <w:t>, PSFCH resource allocation within the COT</w:t>
            </w:r>
            <w:r>
              <w:rPr>
                <w:rFonts w:eastAsiaTheme="minorEastAsia"/>
                <w:lang w:eastAsia="zh-CN"/>
              </w:rPr>
              <w:t>) should be included in the COT sharing information.</w:t>
            </w:r>
          </w:p>
          <w:p w14:paraId="0601C9CC" w14:textId="77777777" w:rsidR="00335DBF" w:rsidRPr="00BE6393" w:rsidRDefault="00335DBF" w:rsidP="00335DBF">
            <w:pPr>
              <w:pStyle w:val="0Maintext"/>
              <w:numPr>
                <w:ilvl w:val="1"/>
                <w:numId w:val="25"/>
              </w:numPr>
              <w:spacing w:after="0" w:afterAutospacing="0" w:line="240" w:lineRule="auto"/>
              <w:ind w:hanging="357"/>
              <w:rPr>
                <w:rFonts w:ascii="Calibri" w:hAnsi="Calibri" w:cs="Calibri"/>
                <w:sz w:val="22"/>
                <w:lang w:val="en-US" w:eastAsia="x-none"/>
              </w:rPr>
            </w:pPr>
            <w:r w:rsidRPr="00BE6393">
              <w:rPr>
                <w:rFonts w:ascii="Calibri" w:hAnsi="Calibri" w:cs="Calibri" w:hint="eastAsia"/>
                <w:sz w:val="22"/>
                <w:lang w:val="en-US" w:eastAsia="x-none"/>
              </w:rPr>
              <w:t>Contents of COT sharing information includes the followings:</w:t>
            </w:r>
          </w:p>
          <w:p w14:paraId="0DA74F16" w14:textId="77777777" w:rsidR="00335DBF" w:rsidRPr="00BE6393" w:rsidRDefault="00335DBF" w:rsidP="00335DBF">
            <w:pPr>
              <w:pStyle w:val="0Maintext"/>
              <w:numPr>
                <w:ilvl w:val="2"/>
                <w:numId w:val="25"/>
              </w:numPr>
              <w:spacing w:after="0" w:afterAutospacing="0" w:line="240" w:lineRule="auto"/>
              <w:ind w:hanging="357"/>
              <w:rPr>
                <w:rFonts w:ascii="Calibri" w:hAnsi="Calibri" w:cs="Calibri"/>
                <w:sz w:val="22"/>
                <w:lang w:val="en-US" w:eastAsia="x-none"/>
              </w:rPr>
            </w:pPr>
            <w:r w:rsidRPr="00BE6393">
              <w:rPr>
                <w:rFonts w:ascii="Calibri" w:hAnsi="Calibri" w:cs="Calibri" w:hint="eastAsia"/>
                <w:sz w:val="22"/>
                <w:lang w:eastAsia="x-none"/>
              </w:rPr>
              <w:t>CAPC level</w:t>
            </w:r>
          </w:p>
          <w:p w14:paraId="6691A667" w14:textId="77777777" w:rsidR="00335DBF" w:rsidRPr="007B6F76" w:rsidRDefault="00335DBF" w:rsidP="00335DBF">
            <w:pPr>
              <w:pStyle w:val="0Maintext"/>
              <w:numPr>
                <w:ilvl w:val="2"/>
                <w:numId w:val="25"/>
              </w:numPr>
              <w:spacing w:after="0" w:afterAutospacing="0" w:line="240" w:lineRule="auto"/>
              <w:ind w:hanging="357"/>
              <w:rPr>
                <w:rFonts w:ascii="Calibri" w:hAnsi="Calibri" w:cs="Calibri"/>
                <w:sz w:val="22"/>
                <w:lang w:val="en-US" w:eastAsia="x-none"/>
              </w:rPr>
            </w:pPr>
            <w:r w:rsidRPr="00BE6393">
              <w:rPr>
                <w:rFonts w:ascii="Calibri" w:hAnsi="Calibri" w:cs="Calibri" w:hint="eastAsia"/>
                <w:sz w:val="22"/>
                <w:lang w:eastAsia="x-none"/>
              </w:rPr>
              <w:t>Remaining COT duration (e.g., number of SL slots or ms)</w:t>
            </w:r>
          </w:p>
          <w:p w14:paraId="7CA9AC15" w14:textId="77777777" w:rsidR="00335DBF" w:rsidRPr="007B6F76" w:rsidRDefault="00335DBF" w:rsidP="00335DBF">
            <w:pPr>
              <w:pStyle w:val="0Maintext"/>
              <w:numPr>
                <w:ilvl w:val="2"/>
                <w:numId w:val="25"/>
              </w:numPr>
              <w:spacing w:after="0" w:afterAutospacing="0" w:line="240" w:lineRule="auto"/>
              <w:ind w:hanging="357"/>
              <w:rPr>
                <w:rFonts w:ascii="Calibri" w:hAnsi="Calibri" w:cs="Calibri"/>
                <w:color w:val="FF0000"/>
                <w:sz w:val="22"/>
                <w:lang w:val="en-US" w:eastAsia="x-none"/>
              </w:rPr>
            </w:pPr>
            <w:r w:rsidRPr="007B6F76">
              <w:rPr>
                <w:rFonts w:ascii="Calibri" w:eastAsiaTheme="minorEastAsia" w:hAnsi="Calibri" w:cs="Calibri"/>
                <w:color w:val="FF0000"/>
                <w:sz w:val="22"/>
                <w:lang w:eastAsia="zh-CN"/>
              </w:rPr>
              <w:t xml:space="preserve">Configuration of the sharable (time/frequency) resource(s) </w:t>
            </w:r>
            <w:r>
              <w:rPr>
                <w:rFonts w:ascii="Calibri" w:eastAsiaTheme="minorEastAsia" w:hAnsi="Calibri" w:cs="Calibri"/>
                <w:color w:val="FF0000"/>
                <w:sz w:val="22"/>
                <w:lang w:eastAsia="zh-CN"/>
              </w:rPr>
              <w:t>within</w:t>
            </w:r>
            <w:r w:rsidRPr="007B6F76">
              <w:rPr>
                <w:rFonts w:ascii="Calibri" w:eastAsiaTheme="minorEastAsia" w:hAnsi="Calibri" w:cs="Calibri"/>
                <w:color w:val="FF0000"/>
                <w:sz w:val="22"/>
                <w:lang w:eastAsia="zh-CN"/>
              </w:rPr>
              <w:t xml:space="preserve"> the COT.</w:t>
            </w:r>
          </w:p>
          <w:p w14:paraId="143BACB3" w14:textId="77777777" w:rsidR="00335DBF" w:rsidRDefault="00335DBF" w:rsidP="00335DBF">
            <w:pPr>
              <w:pStyle w:val="0Maintext"/>
              <w:numPr>
                <w:ilvl w:val="2"/>
                <w:numId w:val="25"/>
              </w:numPr>
              <w:spacing w:after="0" w:afterAutospacing="0" w:line="240" w:lineRule="auto"/>
              <w:ind w:hanging="357"/>
              <w:rPr>
                <w:rFonts w:ascii="Calibri" w:hAnsi="Calibri" w:cs="Calibri"/>
                <w:sz w:val="22"/>
                <w:lang w:val="en-US" w:eastAsia="x-none"/>
              </w:rPr>
            </w:pPr>
            <w:r w:rsidRPr="00BE6393">
              <w:rPr>
                <w:rFonts w:ascii="Calibri" w:hAnsi="Calibri" w:cs="Calibri" w:hint="eastAsia"/>
                <w:sz w:val="22"/>
                <w:lang w:eastAsia="x-none"/>
              </w:rPr>
              <w:t>L1 ID</w:t>
            </w:r>
            <w:r>
              <w:rPr>
                <w:rFonts w:ascii="Calibri" w:hAnsi="Calibri" w:cs="Calibri"/>
                <w:sz w:val="22"/>
                <w:lang w:eastAsia="x-none"/>
              </w:rPr>
              <w:t xml:space="preserve"> (e.g., </w:t>
            </w:r>
            <w:r w:rsidRPr="00BE6393">
              <w:rPr>
                <w:rFonts w:ascii="Calibri" w:hAnsi="Calibri" w:cs="Calibri" w:hint="eastAsia"/>
                <w:sz w:val="22"/>
                <w:lang w:eastAsia="x-none"/>
              </w:rPr>
              <w:t>destination ID and/or source ID</w:t>
            </w:r>
            <w:r>
              <w:rPr>
                <w:rFonts w:ascii="Calibri" w:hAnsi="Calibri" w:cs="Calibri"/>
                <w:sz w:val="22"/>
                <w:lang w:eastAsia="x-none"/>
              </w:rPr>
              <w:t>)</w:t>
            </w:r>
          </w:p>
          <w:p w14:paraId="505D074C" w14:textId="77777777" w:rsidR="00335DBF" w:rsidRPr="00803ABE" w:rsidRDefault="00335DBF" w:rsidP="00335DBF">
            <w:pPr>
              <w:pStyle w:val="0Maintext"/>
              <w:numPr>
                <w:ilvl w:val="2"/>
                <w:numId w:val="25"/>
              </w:numPr>
              <w:spacing w:after="0" w:afterAutospacing="0" w:line="240" w:lineRule="auto"/>
              <w:ind w:hanging="357"/>
              <w:rPr>
                <w:rFonts w:ascii="Calibri" w:hAnsi="Calibri" w:cs="Calibri"/>
                <w:sz w:val="22"/>
                <w:lang w:val="en-US" w:eastAsia="x-none"/>
              </w:rPr>
            </w:pPr>
            <w:r w:rsidRPr="007B6F76">
              <w:rPr>
                <w:rFonts w:ascii="Calibri" w:hAnsi="Calibri" w:cs="Calibri" w:hint="eastAsia"/>
                <w:sz w:val="22"/>
                <w:lang w:eastAsia="x-none"/>
              </w:rPr>
              <w:t xml:space="preserve">FFS any others </w:t>
            </w:r>
            <w:r w:rsidRPr="00B74371">
              <w:rPr>
                <w:rFonts w:ascii="Calibri" w:hAnsi="Calibri" w:cs="Calibri" w:hint="eastAsia"/>
                <w:sz w:val="22"/>
                <w:lang w:eastAsia="x-none"/>
              </w:rPr>
              <w:t>(e.g., information on time and frequency resources)</w:t>
            </w:r>
          </w:p>
          <w:p w14:paraId="1BEDD843" w14:textId="77777777" w:rsidR="00335DBF" w:rsidRDefault="00335DBF" w:rsidP="00335DBF">
            <w:pPr>
              <w:pStyle w:val="0Maintext"/>
              <w:spacing w:after="0" w:afterAutospacing="0" w:line="240" w:lineRule="auto"/>
              <w:ind w:firstLine="0"/>
              <w:rPr>
                <w:rFonts w:eastAsiaTheme="minorEastAsia"/>
                <w:lang w:eastAsia="zh-CN"/>
              </w:rPr>
            </w:pPr>
            <w:r>
              <w:rPr>
                <w:rFonts w:eastAsiaTheme="minorEastAsia" w:hint="eastAsia"/>
                <w:lang w:eastAsia="zh-CN"/>
              </w:rPr>
              <w:t>F</w:t>
            </w:r>
            <w:r>
              <w:rPr>
                <w:rFonts w:eastAsiaTheme="minorEastAsia"/>
                <w:lang w:eastAsia="zh-CN"/>
              </w:rPr>
              <w:t>or the third sub-bullet, Option 1 is preferred.</w:t>
            </w:r>
          </w:p>
        </w:tc>
      </w:tr>
      <w:tr w:rsidR="00335DBF" w14:paraId="1F8CBC72" w14:textId="77777777" w:rsidTr="006B2419">
        <w:tc>
          <w:tcPr>
            <w:tcW w:w="1555" w:type="dxa"/>
          </w:tcPr>
          <w:p w14:paraId="015A1D1A" w14:textId="77777777" w:rsidR="00335DBF" w:rsidRDefault="00335DBF" w:rsidP="00335DBF">
            <w:pPr>
              <w:pStyle w:val="0Maintext"/>
              <w:spacing w:after="0" w:afterAutospacing="0"/>
              <w:ind w:firstLine="0"/>
              <w:rPr>
                <w:rFonts w:eastAsiaTheme="minorEastAsia"/>
                <w:lang w:eastAsia="zh-CN"/>
              </w:rPr>
            </w:pPr>
            <w:r>
              <w:rPr>
                <w:rFonts w:eastAsiaTheme="minorEastAsia"/>
                <w:lang w:eastAsia="zh-CN"/>
              </w:rPr>
              <w:t>JHUAPL</w:t>
            </w:r>
          </w:p>
        </w:tc>
        <w:tc>
          <w:tcPr>
            <w:tcW w:w="8076" w:type="dxa"/>
          </w:tcPr>
          <w:p w14:paraId="791B18A0" w14:textId="77777777" w:rsidR="00335DBF" w:rsidRDefault="00335DBF" w:rsidP="00335DBF">
            <w:pPr>
              <w:pStyle w:val="0Maintext"/>
              <w:spacing w:after="0" w:afterAutospacing="0" w:line="240" w:lineRule="auto"/>
              <w:ind w:firstLine="0"/>
              <w:rPr>
                <w:rFonts w:eastAsiaTheme="minorEastAsia"/>
                <w:lang w:eastAsia="zh-CN"/>
              </w:rPr>
            </w:pPr>
            <w:r>
              <w:rPr>
                <w:rFonts w:eastAsiaTheme="minorEastAsia" w:cs="Times New Roman"/>
                <w:lang w:eastAsia="zh-CN"/>
              </w:rPr>
              <w:t>We support Alt 2; Alt 1 is too restrictive.  Support Option 1 for the Container of COT sharing information.</w:t>
            </w:r>
          </w:p>
        </w:tc>
      </w:tr>
      <w:tr w:rsidR="00335DBF" w14:paraId="4D31430F" w14:textId="77777777" w:rsidTr="006B2419">
        <w:tc>
          <w:tcPr>
            <w:tcW w:w="1555" w:type="dxa"/>
          </w:tcPr>
          <w:p w14:paraId="75262C44" w14:textId="77777777" w:rsidR="00335DBF" w:rsidRDefault="00335DBF" w:rsidP="00335DBF">
            <w:pPr>
              <w:pStyle w:val="0Maintext"/>
              <w:spacing w:after="0" w:afterAutospacing="0"/>
              <w:ind w:firstLine="0"/>
              <w:rPr>
                <w:rFonts w:eastAsiaTheme="minorEastAsia"/>
                <w:lang w:eastAsia="zh-CN"/>
              </w:rPr>
            </w:pPr>
            <w:r>
              <w:t>Lenovo</w:t>
            </w:r>
          </w:p>
        </w:tc>
        <w:tc>
          <w:tcPr>
            <w:tcW w:w="8076" w:type="dxa"/>
          </w:tcPr>
          <w:p w14:paraId="547D1826" w14:textId="77777777" w:rsidR="00335DBF" w:rsidRDefault="00335DBF" w:rsidP="00335DBF">
            <w:pPr>
              <w:pStyle w:val="0Maintext"/>
              <w:spacing w:after="0" w:afterAutospacing="0" w:line="240" w:lineRule="auto"/>
              <w:ind w:firstLine="0"/>
              <w:rPr>
                <w:rFonts w:eastAsiaTheme="minorEastAsia" w:cs="Times New Roman"/>
                <w:lang w:eastAsia="zh-CN"/>
              </w:rPr>
            </w:pPr>
            <w:r>
              <w:rPr>
                <w:rFonts w:eastAsiaTheme="minorEastAsia" w:cs="Times New Roman"/>
                <w:lang w:eastAsia="zh-CN"/>
              </w:rPr>
              <w:t>We think Alt 1 is too restrictive. A COT initiating UE will not be aware of other UE's buffer status for SL, so it has no good criteria for selecting which Rx UE to target in the initiating PSSCH for good COT sharing. On the other hand Alt. 2 alone is too permissive. We think additional limitations need to be established, such as explicit sharing destination IDs, RSRP range or zone ID.</w:t>
            </w:r>
          </w:p>
          <w:p w14:paraId="5E1455ED" w14:textId="77777777" w:rsidR="00335DBF" w:rsidRDefault="00335DBF" w:rsidP="00335DBF">
            <w:pPr>
              <w:pStyle w:val="0Maintext"/>
              <w:spacing w:after="0" w:afterAutospacing="0" w:line="240" w:lineRule="auto"/>
              <w:ind w:firstLine="0"/>
              <w:rPr>
                <w:rFonts w:eastAsiaTheme="minorEastAsia" w:cs="Times New Roman"/>
                <w:lang w:eastAsia="zh-CN"/>
              </w:rPr>
            </w:pPr>
            <w:r>
              <w:rPr>
                <w:rFonts w:eastAsiaTheme="minorEastAsia" w:cs="Times New Roman"/>
                <w:lang w:eastAsia="zh-CN"/>
              </w:rPr>
              <w:lastRenderedPageBreak/>
              <w:t>The container discussion is premature in our view. Before being able to make a good decision between SCI, MAC CE, or a combination of the two, we need to have an adequate view on the payload that needs to be supported. Therefore the container discussion needs to be postponed until more details of the COT sharing information are agreed.</w:t>
            </w:r>
          </w:p>
        </w:tc>
      </w:tr>
    </w:tbl>
    <w:tbl>
      <w:tblPr>
        <w:tblStyle w:val="TableGrid4"/>
        <w:tblW w:w="9631" w:type="dxa"/>
        <w:tblLayout w:type="fixed"/>
        <w:tblLook w:val="04A0" w:firstRow="1" w:lastRow="0" w:firstColumn="1" w:lastColumn="0" w:noHBand="0" w:noVBand="1"/>
      </w:tblPr>
      <w:tblGrid>
        <w:gridCol w:w="1555"/>
        <w:gridCol w:w="8076"/>
      </w:tblGrid>
      <w:tr w:rsidR="00335DBF" w14:paraId="1CEA762E" w14:textId="77777777" w:rsidTr="006B2419">
        <w:tc>
          <w:tcPr>
            <w:tcW w:w="1555" w:type="dxa"/>
          </w:tcPr>
          <w:p w14:paraId="75E667BE" w14:textId="77777777" w:rsidR="00335DBF" w:rsidRDefault="00335DBF" w:rsidP="00335DBF">
            <w:pPr>
              <w:pStyle w:val="0Maintext"/>
              <w:spacing w:after="0" w:afterAutospacing="0"/>
              <w:ind w:firstLine="0"/>
            </w:pPr>
            <w:r>
              <w:lastRenderedPageBreak/>
              <w:t>Futurewei</w:t>
            </w:r>
          </w:p>
        </w:tc>
        <w:tc>
          <w:tcPr>
            <w:tcW w:w="8076" w:type="dxa"/>
          </w:tcPr>
          <w:p w14:paraId="2326E74D" w14:textId="77777777" w:rsidR="00335DBF" w:rsidRDefault="00335DBF" w:rsidP="00335DBF">
            <w:pPr>
              <w:pStyle w:val="0Maintext"/>
              <w:spacing w:after="0" w:afterAutospacing="0"/>
              <w:ind w:firstLine="0"/>
            </w:pPr>
            <w:r>
              <w:t>We are fine with the Proposal. We prefer Alt 1, which is clearer. We note that in the actual formulation Alt 1 does not forbid other scenarios for COT sharing that may be further defined. In other words, does not contain the word “only” before “when”.</w:t>
            </w:r>
          </w:p>
          <w:p w14:paraId="26843171" w14:textId="77777777" w:rsidR="00335DBF" w:rsidRDefault="00335DBF" w:rsidP="00335DBF">
            <w:pPr>
              <w:pStyle w:val="0Maintext"/>
              <w:spacing w:after="0" w:afterAutospacing="0"/>
              <w:ind w:firstLine="0"/>
            </w:pPr>
            <w:r>
              <w:t xml:space="preserve">However, we recognize that Alt 1 does not solve all situations. For instance, whether if S-SSB transmission may or not be part of COT sharing. Or if a PSFCH outside of COT can be sent for a PSSCH inside of COT in a COT initiated by a different UE than the PSSCH transmitter, etc. </w:t>
            </w:r>
          </w:p>
          <w:p w14:paraId="386985EE" w14:textId="77777777" w:rsidR="00335DBF" w:rsidRDefault="00335DBF" w:rsidP="00335DBF">
            <w:pPr>
              <w:pStyle w:val="0Maintext"/>
              <w:spacing w:after="0" w:afterAutospacing="0"/>
              <w:ind w:firstLine="0"/>
            </w:pPr>
            <w:r>
              <w:t>For Alt 2 we may need additional clarifications. What target receiver means? Does a UE that receives a S-SSB is a target receiver?</w:t>
            </w:r>
          </w:p>
          <w:p w14:paraId="4343D90C" w14:textId="77777777" w:rsidR="00335DBF" w:rsidRDefault="00335DBF" w:rsidP="00335DBF">
            <w:pPr>
              <w:pStyle w:val="0Maintext"/>
              <w:spacing w:after="0" w:afterAutospacing="0"/>
              <w:ind w:firstLine="0"/>
            </w:pPr>
            <w:r>
              <w:t xml:space="preserve">Or for instance, if a SL UE, due to hidden node, finds that two or more SL UE in its neighbourhood already initiated COTs, which one should share, given that COTs may be started with broadcast transmissions? In addition, for Alt 2, more details are needed to decide when a SL UE shares an existing COT rather than start its own COT. </w:t>
            </w:r>
          </w:p>
        </w:tc>
      </w:tr>
      <w:tr w:rsidR="00335DBF" w14:paraId="71E335E0" w14:textId="77777777" w:rsidTr="006B2419">
        <w:tc>
          <w:tcPr>
            <w:tcW w:w="1555" w:type="dxa"/>
          </w:tcPr>
          <w:p w14:paraId="69C48DDD" w14:textId="77777777" w:rsidR="00335DBF" w:rsidRDefault="00335DBF" w:rsidP="00335DBF">
            <w:pPr>
              <w:pStyle w:val="0Maintext"/>
              <w:spacing w:after="0" w:afterAutospacing="0"/>
              <w:ind w:firstLine="0"/>
            </w:pPr>
            <w:r>
              <w:t>NSC</w:t>
            </w:r>
          </w:p>
        </w:tc>
        <w:tc>
          <w:tcPr>
            <w:tcW w:w="8076" w:type="dxa"/>
          </w:tcPr>
          <w:p w14:paraId="3483383E" w14:textId="77777777" w:rsidR="00335DBF" w:rsidRDefault="00335DBF" w:rsidP="00335DBF">
            <w:pPr>
              <w:pStyle w:val="0Maintext"/>
              <w:spacing w:after="0" w:afterAutospacing="0"/>
              <w:ind w:firstLine="0"/>
            </w:pPr>
            <w:r>
              <w:t>We support Alt2, since it covers scenraios such as</w:t>
            </w:r>
          </w:p>
          <w:p w14:paraId="29117E03" w14:textId="77777777" w:rsidR="00335DBF" w:rsidRDefault="00335DBF">
            <w:pPr>
              <w:pStyle w:val="ListParagraph"/>
              <w:numPr>
                <w:ilvl w:val="0"/>
                <w:numId w:val="48"/>
              </w:numPr>
              <w:ind w:leftChars="0"/>
              <w:contextualSpacing/>
            </w:pPr>
            <w:r>
              <w:t>Responding UE sends PSFCH in response to a PSSCH.</w:t>
            </w:r>
          </w:p>
          <w:p w14:paraId="1F1C0A9D" w14:textId="77777777" w:rsidR="00335DBF" w:rsidRDefault="00335DBF">
            <w:pPr>
              <w:pStyle w:val="ListParagraph"/>
              <w:numPr>
                <w:ilvl w:val="0"/>
                <w:numId w:val="48"/>
              </w:numPr>
              <w:ind w:leftChars="0"/>
              <w:contextualSpacing/>
            </w:pPr>
            <w:r>
              <w:t>Responding UE sends CSI report in response to a CSI request in 2</w:t>
            </w:r>
            <w:r w:rsidRPr="00C50ADB">
              <w:rPr>
                <w:vertAlign w:val="superscript"/>
              </w:rPr>
              <w:t>nd</w:t>
            </w:r>
            <w:r>
              <w:t>-stage SCI.</w:t>
            </w:r>
          </w:p>
          <w:p w14:paraId="11CFF47E" w14:textId="77777777" w:rsidR="00335DBF" w:rsidRDefault="00335DBF">
            <w:pPr>
              <w:pStyle w:val="ListParagraph"/>
              <w:numPr>
                <w:ilvl w:val="0"/>
                <w:numId w:val="48"/>
              </w:numPr>
              <w:ind w:leftChars="0"/>
              <w:contextualSpacing/>
            </w:pPr>
            <w:r>
              <w:t>Responding UE sends CSI feedback in response to a SL CSI-RS transmission.</w:t>
            </w:r>
          </w:p>
        </w:tc>
      </w:tr>
      <w:tr w:rsidR="008334B3" w:rsidRPr="001947CE" w14:paraId="1BFAE0B0" w14:textId="77777777" w:rsidTr="008334B3">
        <w:tc>
          <w:tcPr>
            <w:tcW w:w="1555" w:type="dxa"/>
          </w:tcPr>
          <w:p w14:paraId="56984993" w14:textId="77777777" w:rsidR="008334B3" w:rsidRPr="00C64910" w:rsidRDefault="008334B3" w:rsidP="006B2419">
            <w:pPr>
              <w:pStyle w:val="0Maintext"/>
              <w:spacing w:after="0" w:afterAutospacing="0"/>
              <w:ind w:firstLine="0"/>
              <w:rPr>
                <w:rFonts w:cs="Times New Roman"/>
              </w:rPr>
            </w:pPr>
            <w:r w:rsidRPr="00C64910">
              <w:rPr>
                <w:rFonts w:eastAsiaTheme="minorEastAsia" w:cs="Times New Roman"/>
                <w:lang w:eastAsia="zh-CN"/>
              </w:rPr>
              <w:t>Huawei, HiSilicon</w:t>
            </w:r>
          </w:p>
        </w:tc>
        <w:tc>
          <w:tcPr>
            <w:tcW w:w="8076" w:type="dxa"/>
          </w:tcPr>
          <w:p w14:paraId="2B4B6532" w14:textId="77777777" w:rsidR="008334B3" w:rsidRDefault="008334B3" w:rsidP="006B2419">
            <w:pPr>
              <w:autoSpaceDE w:val="0"/>
              <w:autoSpaceDN w:val="0"/>
              <w:jc w:val="both"/>
              <w:rPr>
                <w:rFonts w:ascii="Times New Roman" w:eastAsiaTheme="minorEastAsia" w:hAnsi="Times New Roman"/>
                <w:szCs w:val="20"/>
                <w:lang w:eastAsia="zh-CN"/>
              </w:rPr>
            </w:pPr>
            <w:r>
              <w:rPr>
                <w:rFonts w:ascii="Times New Roman" w:eastAsiaTheme="minorEastAsia" w:hAnsi="Times New Roman"/>
                <w:szCs w:val="20"/>
                <w:lang w:eastAsia="zh-CN"/>
              </w:rPr>
              <w:t>For the first bullet, w</w:t>
            </w:r>
            <w:r w:rsidRPr="00C64910">
              <w:rPr>
                <w:rFonts w:ascii="Times New Roman" w:eastAsiaTheme="minorEastAsia" w:hAnsi="Times New Roman"/>
                <w:szCs w:val="20"/>
                <w:lang w:eastAsia="zh-CN"/>
              </w:rPr>
              <w:t>e support Alt2.</w:t>
            </w:r>
          </w:p>
          <w:p w14:paraId="0675EC02" w14:textId="77777777" w:rsidR="008334B3" w:rsidRDefault="008334B3" w:rsidP="006B2419">
            <w:pPr>
              <w:autoSpaceDE w:val="0"/>
              <w:autoSpaceDN w:val="0"/>
              <w:jc w:val="both"/>
              <w:rPr>
                <w:rFonts w:ascii="Times New Roman" w:eastAsiaTheme="minorEastAsia" w:hAnsi="Times New Roman"/>
                <w:szCs w:val="20"/>
                <w:lang w:eastAsia="zh-CN"/>
              </w:rPr>
            </w:pPr>
          </w:p>
          <w:p w14:paraId="74EBCF15" w14:textId="77777777" w:rsidR="008334B3" w:rsidRDefault="008334B3" w:rsidP="006B2419">
            <w:pPr>
              <w:autoSpaceDE w:val="0"/>
              <w:autoSpaceDN w:val="0"/>
              <w:jc w:val="both"/>
              <w:rPr>
                <w:rFonts w:ascii="Times New Roman" w:eastAsiaTheme="minorEastAsia" w:hAnsi="Times New Roman"/>
                <w:szCs w:val="20"/>
                <w:lang w:eastAsia="zh-CN"/>
              </w:rPr>
            </w:pPr>
            <w:r>
              <w:rPr>
                <w:rFonts w:ascii="Times New Roman" w:eastAsiaTheme="minorEastAsia" w:hAnsi="Times New Roman" w:hint="eastAsia"/>
                <w:szCs w:val="20"/>
                <w:lang w:eastAsia="zh-CN"/>
              </w:rPr>
              <w:t>F</w:t>
            </w:r>
            <w:r>
              <w:rPr>
                <w:rFonts w:ascii="Times New Roman" w:eastAsiaTheme="minorEastAsia" w:hAnsi="Times New Roman"/>
                <w:szCs w:val="20"/>
                <w:lang w:eastAsia="zh-CN"/>
              </w:rPr>
              <w:t xml:space="preserve">irst, as per regulation, </w:t>
            </w:r>
            <w:r w:rsidRPr="00CA7942">
              <w:rPr>
                <w:rFonts w:ascii="Times New Roman" w:eastAsiaTheme="minorEastAsia" w:hAnsi="Times New Roman"/>
                <w:szCs w:val="20"/>
                <w:lang w:eastAsia="zh-CN"/>
              </w:rPr>
              <w:t>there is no restriction on responding device that they have to be the target receiver of initiating device’s data transmission.</w:t>
            </w:r>
            <w:r>
              <w:rPr>
                <w:rFonts w:ascii="Times New Roman" w:eastAsiaTheme="minorEastAsia" w:hAnsi="Times New Roman"/>
                <w:szCs w:val="20"/>
                <w:lang w:eastAsia="zh-CN"/>
              </w:rPr>
              <w:t xml:space="preserve"> And sencond, in NR-U, about the </w:t>
            </w:r>
            <w:r w:rsidRPr="00CA7942">
              <w:rPr>
                <w:rFonts w:ascii="Times New Roman" w:eastAsiaTheme="minorEastAsia" w:hAnsi="Times New Roman"/>
                <w:szCs w:val="20"/>
                <w:lang w:eastAsia="zh-CN"/>
              </w:rPr>
              <w:t>COT initiating UE’s transmission</w:t>
            </w:r>
            <w:r>
              <w:rPr>
                <w:rFonts w:ascii="Times New Roman" w:eastAsiaTheme="minorEastAsia" w:hAnsi="Times New Roman"/>
                <w:szCs w:val="20"/>
                <w:lang w:eastAsia="zh-CN"/>
              </w:rPr>
              <w:t>, it is specified as “</w:t>
            </w:r>
            <w:r w:rsidRPr="008F35BB">
              <w:rPr>
                <w:i/>
                <w:color w:val="000000" w:themeColor="text1"/>
                <w:lang w:eastAsia="zh-CN"/>
              </w:rPr>
              <w:t>the gNB may transmit a transmission that follow</w:t>
            </w:r>
            <w:r w:rsidRPr="008626BA">
              <w:rPr>
                <w:i/>
                <w:color w:val="000000" w:themeColor="text1"/>
                <w:lang w:eastAsia="zh-CN"/>
              </w:rPr>
              <w:t xml:space="preserve">s a </w:t>
            </w:r>
            <w:r w:rsidRPr="005154EB">
              <w:rPr>
                <w:i/>
                <w:color w:val="000000" w:themeColor="text1"/>
                <w:u w:val="single"/>
                <w:lang w:eastAsia="zh-CN"/>
              </w:rPr>
              <w:t xml:space="preserve">UL transmission on scheduled resources </w:t>
            </w:r>
            <w:r w:rsidRPr="005154EB">
              <w:rPr>
                <w:i/>
                <w:color w:val="000000" w:themeColor="text1"/>
                <w:lang w:eastAsia="zh-CN"/>
              </w:rPr>
              <w:t>or a PUSCH transmission on configured resources</w:t>
            </w:r>
            <w:r w:rsidRPr="008F35BB">
              <w:rPr>
                <w:i/>
                <w:color w:val="000000" w:themeColor="text1"/>
                <w:lang w:eastAsia="zh-CN"/>
              </w:rPr>
              <w:t xml:space="preserve"> by the UE</w:t>
            </w:r>
            <w:r>
              <w:rPr>
                <w:rFonts w:ascii="Times New Roman" w:eastAsiaTheme="minorEastAsia" w:hAnsi="Times New Roman"/>
                <w:szCs w:val="20"/>
                <w:lang w:eastAsia="zh-CN"/>
              </w:rPr>
              <w:t>”,</w:t>
            </w:r>
            <w:r w:rsidRPr="00CA7942">
              <w:rPr>
                <w:rFonts w:ascii="Times New Roman" w:eastAsiaTheme="minorEastAsia" w:hAnsi="Times New Roman"/>
                <w:szCs w:val="20"/>
                <w:lang w:eastAsia="zh-CN"/>
              </w:rPr>
              <w:t>the UE is not required to transmit UL data to the gNB</w:t>
            </w:r>
            <w:r>
              <w:rPr>
                <w:rFonts w:ascii="Times New Roman" w:eastAsiaTheme="minorEastAsia" w:hAnsi="Times New Roman"/>
                <w:szCs w:val="20"/>
                <w:lang w:eastAsia="zh-CN"/>
              </w:rPr>
              <w:t xml:space="preserve"> for sharing the COT to gNB. And more compared to Alt1, Alt2 is more flexible and can improve</w:t>
            </w:r>
            <w:r w:rsidRPr="00CA7942">
              <w:rPr>
                <w:rFonts w:ascii="Times New Roman" w:eastAsiaTheme="minorEastAsia" w:hAnsi="Times New Roman"/>
                <w:szCs w:val="20"/>
                <w:lang w:eastAsia="zh-CN"/>
              </w:rPr>
              <w:t xml:space="preserve"> system performance.</w:t>
            </w:r>
            <w:r>
              <w:rPr>
                <w:rFonts w:ascii="Times New Roman" w:eastAsiaTheme="minorEastAsia" w:hAnsi="Times New Roman"/>
                <w:szCs w:val="20"/>
                <w:lang w:eastAsia="zh-CN"/>
              </w:rPr>
              <w:t xml:space="preserve"> The simulation results in Figure 24 of our contribution </w:t>
            </w:r>
            <w:r w:rsidRPr="0072145E">
              <w:rPr>
                <w:rFonts w:ascii="Times New Roman" w:eastAsiaTheme="minorEastAsia" w:hAnsi="Times New Roman"/>
                <w:szCs w:val="20"/>
                <w:lang w:eastAsia="zh-CN"/>
              </w:rPr>
              <w:t>R1-2208448</w:t>
            </w:r>
            <w:r>
              <w:rPr>
                <w:rFonts w:ascii="Times New Roman" w:eastAsiaTheme="minorEastAsia" w:hAnsi="Times New Roman"/>
                <w:szCs w:val="20"/>
                <w:lang w:eastAsia="zh-CN"/>
              </w:rPr>
              <w:t xml:space="preserve"> proves that, </w:t>
            </w:r>
            <w:r w:rsidRPr="0072145E">
              <w:rPr>
                <w:rFonts w:ascii="Times New Roman" w:eastAsiaTheme="minorEastAsia" w:hAnsi="Times New Roman"/>
                <w:szCs w:val="20"/>
                <w:lang w:eastAsia="zh-CN"/>
              </w:rPr>
              <w:t>UPT is increased by 83% approximately for XR traffic with solution of multi-slot consecutive transmissions and reservation and priority-based COT sharing.</w:t>
            </w:r>
            <w:r>
              <w:rPr>
                <w:rFonts w:ascii="Times New Roman" w:eastAsiaTheme="minorEastAsia" w:hAnsi="Times New Roman"/>
                <w:szCs w:val="20"/>
                <w:lang w:eastAsia="zh-CN"/>
              </w:rPr>
              <w:t xml:space="preserve"> Therefore, we think Alt2 is better.</w:t>
            </w:r>
          </w:p>
          <w:p w14:paraId="157447FA" w14:textId="77777777" w:rsidR="008334B3" w:rsidRPr="00CA7942" w:rsidRDefault="008334B3" w:rsidP="006B2419">
            <w:pPr>
              <w:autoSpaceDE w:val="0"/>
              <w:autoSpaceDN w:val="0"/>
              <w:jc w:val="both"/>
              <w:rPr>
                <w:rFonts w:ascii="Times New Roman" w:eastAsiaTheme="minorEastAsia" w:hAnsi="Times New Roman"/>
                <w:szCs w:val="20"/>
                <w:lang w:eastAsia="zh-CN"/>
              </w:rPr>
            </w:pPr>
          </w:p>
          <w:p w14:paraId="28F9F24D" w14:textId="77777777" w:rsidR="008334B3" w:rsidRDefault="008334B3" w:rsidP="006B2419">
            <w:pPr>
              <w:autoSpaceDE w:val="0"/>
              <w:autoSpaceDN w:val="0"/>
              <w:jc w:val="both"/>
              <w:rPr>
                <w:rFonts w:ascii="Times New Roman" w:eastAsiaTheme="minorEastAsia" w:hAnsi="Times New Roman"/>
                <w:szCs w:val="20"/>
                <w:lang w:eastAsia="zh-CN"/>
              </w:rPr>
            </w:pPr>
            <w:r w:rsidRPr="00C64910">
              <w:rPr>
                <w:rFonts w:ascii="Times New Roman" w:eastAsiaTheme="minorEastAsia" w:hAnsi="Times New Roman"/>
                <w:szCs w:val="20"/>
                <w:lang w:eastAsia="zh-CN"/>
              </w:rPr>
              <w:t xml:space="preserve">For the second bullet, we are </w:t>
            </w:r>
            <w:r>
              <w:rPr>
                <w:rFonts w:ascii="Times New Roman" w:eastAsiaTheme="minorEastAsia" w:hAnsi="Times New Roman"/>
                <w:szCs w:val="20"/>
                <w:lang w:eastAsia="zh-CN"/>
              </w:rPr>
              <w:t>generally fine, but for the CAPC level, we think it can be not only used when COT is shared, for other case that COT is not shared, it could be also used, such as indicating PSFCH CAPC value.</w:t>
            </w:r>
          </w:p>
          <w:p w14:paraId="17D13B75" w14:textId="77777777" w:rsidR="008334B3" w:rsidRPr="00C64910" w:rsidRDefault="008334B3" w:rsidP="006B2419">
            <w:pPr>
              <w:autoSpaceDE w:val="0"/>
              <w:autoSpaceDN w:val="0"/>
              <w:jc w:val="both"/>
              <w:rPr>
                <w:rFonts w:ascii="Times New Roman" w:eastAsiaTheme="minorEastAsia" w:hAnsi="Times New Roman"/>
                <w:szCs w:val="20"/>
                <w:lang w:eastAsia="zh-CN"/>
              </w:rPr>
            </w:pPr>
          </w:p>
          <w:p w14:paraId="50E2B5EB" w14:textId="77777777" w:rsidR="008334B3" w:rsidRDefault="008334B3" w:rsidP="006B2419">
            <w:pPr>
              <w:pStyle w:val="0Maintext"/>
              <w:spacing w:after="0" w:afterAutospacing="0"/>
              <w:ind w:firstLine="0"/>
              <w:rPr>
                <w:rFonts w:eastAsiaTheme="minorEastAsia" w:cs="Times New Roman"/>
                <w:lang w:eastAsia="zh-CN"/>
              </w:rPr>
            </w:pPr>
            <w:r w:rsidRPr="00C64910">
              <w:rPr>
                <w:rFonts w:eastAsiaTheme="minorEastAsia" w:cs="Times New Roman"/>
                <w:lang w:eastAsia="zh-CN"/>
              </w:rPr>
              <w:t>For the third bullet, both options should be considered, and it is too early to discuss the container for the COT sharing information, and the bullet should be discussed after the contents of COT sharing information has been determined.</w:t>
            </w:r>
          </w:p>
          <w:p w14:paraId="2469DDFA" w14:textId="77777777" w:rsidR="008334B3" w:rsidRDefault="008334B3" w:rsidP="006B2419">
            <w:pPr>
              <w:pStyle w:val="0Maintext"/>
              <w:spacing w:after="0" w:afterAutospacing="0"/>
              <w:ind w:firstLine="0"/>
              <w:rPr>
                <w:rFonts w:cs="Times New Roman"/>
              </w:rPr>
            </w:pPr>
          </w:p>
          <w:p w14:paraId="0C757EFD" w14:textId="77777777" w:rsidR="008334B3" w:rsidRDefault="008334B3" w:rsidP="006B2419">
            <w:pPr>
              <w:pStyle w:val="0Maintext"/>
              <w:spacing w:after="0" w:afterAutospacing="0"/>
              <w:ind w:firstLine="0"/>
              <w:rPr>
                <w:rFonts w:cs="Times New Roman"/>
              </w:rPr>
            </w:pPr>
            <w:r>
              <w:rPr>
                <w:rFonts w:cs="Times New Roman"/>
              </w:rPr>
              <w:t>Therefore, we suggest following changes on the proposal.</w:t>
            </w:r>
          </w:p>
          <w:p w14:paraId="1295681C" w14:textId="77777777" w:rsidR="008334B3" w:rsidRPr="00BE6393" w:rsidRDefault="008334B3" w:rsidP="006B2419">
            <w:pPr>
              <w:pStyle w:val="0Maintext"/>
              <w:numPr>
                <w:ilvl w:val="1"/>
                <w:numId w:val="25"/>
              </w:numPr>
              <w:spacing w:after="60" w:afterAutospacing="0" w:line="240" w:lineRule="auto"/>
              <w:ind w:hanging="357"/>
              <w:rPr>
                <w:rFonts w:ascii="Calibri" w:hAnsi="Calibri" w:cs="Calibri"/>
                <w:sz w:val="22"/>
                <w:lang w:val="en-US" w:eastAsia="x-none"/>
              </w:rPr>
            </w:pPr>
            <w:r w:rsidRPr="00BE6393">
              <w:rPr>
                <w:rFonts w:ascii="Calibri" w:hAnsi="Calibri" w:cs="Calibri" w:hint="eastAsia"/>
                <w:sz w:val="22"/>
                <w:lang w:val="en-US" w:eastAsia="x-none"/>
              </w:rPr>
              <w:t>Contents of COT sharing information includes the followings:</w:t>
            </w:r>
          </w:p>
          <w:p w14:paraId="08C7B67E" w14:textId="77777777" w:rsidR="008334B3" w:rsidRPr="00BE6393" w:rsidRDefault="008334B3" w:rsidP="006B2419">
            <w:pPr>
              <w:pStyle w:val="0Maintext"/>
              <w:numPr>
                <w:ilvl w:val="2"/>
                <w:numId w:val="25"/>
              </w:numPr>
              <w:spacing w:after="60" w:afterAutospacing="0" w:line="240" w:lineRule="auto"/>
              <w:ind w:hanging="357"/>
              <w:rPr>
                <w:rFonts w:ascii="Calibri" w:hAnsi="Calibri" w:cs="Calibri"/>
                <w:sz w:val="22"/>
                <w:lang w:val="en-US" w:eastAsia="x-none"/>
              </w:rPr>
            </w:pPr>
            <w:r w:rsidRPr="00BE6393">
              <w:rPr>
                <w:rFonts w:ascii="Calibri" w:hAnsi="Calibri" w:cs="Calibri" w:hint="eastAsia"/>
                <w:sz w:val="22"/>
                <w:lang w:eastAsia="x-none"/>
              </w:rPr>
              <w:t>CAPC level</w:t>
            </w:r>
            <w:r>
              <w:rPr>
                <w:rFonts w:ascii="Calibri" w:hAnsi="Calibri" w:cs="Calibri"/>
                <w:sz w:val="22"/>
                <w:lang w:eastAsia="x-none"/>
              </w:rPr>
              <w:t xml:space="preserve"> </w:t>
            </w:r>
            <w:r w:rsidRPr="001947CE">
              <w:rPr>
                <w:rFonts w:ascii="Calibri" w:hAnsi="Calibri" w:cs="Calibri"/>
                <w:color w:val="00B050"/>
                <w:sz w:val="22"/>
                <w:lang w:eastAsia="x-none"/>
              </w:rPr>
              <w:t>(it is also indicated when a COT is not shared)</w:t>
            </w:r>
          </w:p>
          <w:p w14:paraId="70B0BBB7" w14:textId="77777777" w:rsidR="008334B3" w:rsidRPr="00BE6393" w:rsidRDefault="008334B3" w:rsidP="006B2419">
            <w:pPr>
              <w:pStyle w:val="0Maintext"/>
              <w:numPr>
                <w:ilvl w:val="2"/>
                <w:numId w:val="25"/>
              </w:numPr>
              <w:spacing w:after="60" w:afterAutospacing="0" w:line="240" w:lineRule="auto"/>
              <w:ind w:hanging="357"/>
              <w:rPr>
                <w:rFonts w:ascii="Calibri" w:hAnsi="Calibri" w:cs="Calibri"/>
                <w:sz w:val="22"/>
                <w:lang w:val="en-US" w:eastAsia="x-none"/>
              </w:rPr>
            </w:pPr>
            <w:r w:rsidRPr="00BE6393">
              <w:rPr>
                <w:rFonts w:ascii="Calibri" w:hAnsi="Calibri" w:cs="Calibri" w:hint="eastAsia"/>
                <w:sz w:val="22"/>
                <w:lang w:eastAsia="x-none"/>
              </w:rPr>
              <w:t>Remaining COT duration (e.g., number of SL slots or ms)</w:t>
            </w:r>
          </w:p>
          <w:p w14:paraId="471E414F" w14:textId="77777777" w:rsidR="008334B3" w:rsidRPr="00BE6393" w:rsidRDefault="008334B3" w:rsidP="006B2419">
            <w:pPr>
              <w:pStyle w:val="0Maintext"/>
              <w:numPr>
                <w:ilvl w:val="2"/>
                <w:numId w:val="25"/>
              </w:numPr>
              <w:spacing w:after="60" w:afterAutospacing="0" w:line="240" w:lineRule="auto"/>
              <w:ind w:hanging="357"/>
              <w:rPr>
                <w:rFonts w:ascii="Calibri" w:hAnsi="Calibri" w:cs="Calibri"/>
                <w:sz w:val="22"/>
                <w:lang w:val="en-US" w:eastAsia="x-none"/>
              </w:rPr>
            </w:pPr>
            <w:r w:rsidRPr="00BE6393">
              <w:rPr>
                <w:rFonts w:ascii="Calibri" w:hAnsi="Calibri" w:cs="Calibri" w:hint="eastAsia"/>
                <w:sz w:val="22"/>
                <w:lang w:eastAsia="x-none"/>
              </w:rPr>
              <w:t>L1 ID</w:t>
            </w:r>
            <w:r>
              <w:rPr>
                <w:rFonts w:ascii="Calibri" w:hAnsi="Calibri" w:cs="Calibri"/>
                <w:sz w:val="22"/>
                <w:lang w:eastAsia="x-none"/>
              </w:rPr>
              <w:t xml:space="preserve"> (e.g., </w:t>
            </w:r>
            <w:r w:rsidRPr="00BE6393">
              <w:rPr>
                <w:rFonts w:ascii="Calibri" w:hAnsi="Calibri" w:cs="Calibri" w:hint="eastAsia"/>
                <w:sz w:val="22"/>
                <w:lang w:eastAsia="x-none"/>
              </w:rPr>
              <w:t>destination ID and/or source ID</w:t>
            </w:r>
            <w:r>
              <w:rPr>
                <w:rFonts w:ascii="Calibri" w:hAnsi="Calibri" w:cs="Calibri"/>
                <w:sz w:val="22"/>
                <w:lang w:eastAsia="x-none"/>
              </w:rPr>
              <w:t>)</w:t>
            </w:r>
          </w:p>
          <w:p w14:paraId="481D02A2" w14:textId="3AEC8D89" w:rsidR="008334B3" w:rsidRPr="00D9221C" w:rsidRDefault="008334B3" w:rsidP="00D9221C">
            <w:pPr>
              <w:pStyle w:val="0Maintext"/>
              <w:numPr>
                <w:ilvl w:val="2"/>
                <w:numId w:val="25"/>
              </w:numPr>
              <w:spacing w:after="60" w:afterAutospacing="0" w:line="240" w:lineRule="auto"/>
              <w:ind w:hanging="357"/>
              <w:rPr>
                <w:rFonts w:ascii="Calibri" w:hAnsi="Calibri" w:cs="Calibri"/>
                <w:sz w:val="22"/>
                <w:lang w:val="en-US" w:eastAsia="x-none"/>
              </w:rPr>
            </w:pPr>
            <w:r w:rsidRPr="00BE6393">
              <w:rPr>
                <w:rFonts w:ascii="Calibri" w:hAnsi="Calibri" w:cs="Calibri" w:hint="eastAsia"/>
                <w:sz w:val="22"/>
                <w:lang w:eastAsia="x-none"/>
              </w:rPr>
              <w:t>FFS any others (e.g., information on time and frequency resources)</w:t>
            </w:r>
          </w:p>
        </w:tc>
      </w:tr>
    </w:tbl>
    <w:p w14:paraId="04EBA00C" w14:textId="77777777" w:rsidR="00BE6393" w:rsidRPr="008334B3" w:rsidRDefault="00BE6393" w:rsidP="00BE6393">
      <w:pPr>
        <w:pStyle w:val="0Maintext"/>
        <w:spacing w:after="0" w:afterAutospacing="0" w:line="240" w:lineRule="auto"/>
        <w:ind w:firstLine="0"/>
        <w:rPr>
          <w:rFonts w:ascii="Calibri" w:hAnsi="Calibri" w:cs="Calibri"/>
          <w:sz w:val="22"/>
          <w:lang w:val="en-US" w:eastAsia="x-none"/>
        </w:rPr>
      </w:pPr>
    </w:p>
    <w:p w14:paraId="42656035" w14:textId="4963BE5E" w:rsidR="00BE6393" w:rsidRDefault="00BE6393" w:rsidP="00BE6393">
      <w:pPr>
        <w:pStyle w:val="Heading3"/>
      </w:pPr>
      <w:r>
        <w:t xml:space="preserve">FL Proposal for round </w:t>
      </w:r>
      <w:r w:rsidR="00F468D5">
        <w:t>2</w:t>
      </w:r>
      <w:r>
        <w:t xml:space="preserve"> </w:t>
      </w:r>
      <w:r w:rsidR="00F468D5">
        <w:t>discussion</w:t>
      </w:r>
    </w:p>
    <w:p w14:paraId="35737F88" w14:textId="23410BE0" w:rsidR="00962640" w:rsidRPr="00D567B9" w:rsidRDefault="00962640" w:rsidP="00962640">
      <w:pPr>
        <w:autoSpaceDE w:val="0"/>
        <w:autoSpaceDN w:val="0"/>
        <w:spacing w:before="120" w:after="120"/>
        <w:jc w:val="both"/>
        <w:rPr>
          <w:rFonts w:ascii="Calibri" w:hAnsi="Calibri" w:cs="Calibri"/>
          <w:sz w:val="22"/>
          <w:u w:val="single"/>
        </w:rPr>
      </w:pPr>
      <w:r w:rsidRPr="00D567B9">
        <w:rPr>
          <w:rFonts w:ascii="Calibri" w:hAnsi="Calibri" w:cs="Calibri"/>
          <w:sz w:val="22"/>
          <w:u w:val="single"/>
        </w:rPr>
        <w:t xml:space="preserve">FL </w:t>
      </w:r>
      <w:r>
        <w:rPr>
          <w:rFonts w:ascii="Calibri" w:hAnsi="Calibri" w:cs="Calibri"/>
          <w:sz w:val="22"/>
          <w:u w:val="single"/>
        </w:rPr>
        <w:t>responses</w:t>
      </w:r>
      <w:r w:rsidRPr="00D567B9">
        <w:rPr>
          <w:rFonts w:ascii="Calibri" w:hAnsi="Calibri" w:cs="Calibri"/>
          <w:sz w:val="22"/>
          <w:u w:val="single"/>
        </w:rPr>
        <w:t xml:space="preserve"> based on </w:t>
      </w:r>
      <w:r>
        <w:rPr>
          <w:rFonts w:ascii="Calibri" w:hAnsi="Calibri" w:cs="Calibri"/>
          <w:sz w:val="22"/>
          <w:u w:val="single"/>
        </w:rPr>
        <w:t>Round 1 inputs on Proposal 5 (I)</w:t>
      </w:r>
      <w:r w:rsidRPr="00D567B9">
        <w:rPr>
          <w:rFonts w:ascii="Calibri" w:hAnsi="Calibri" w:cs="Calibri"/>
          <w:sz w:val="22"/>
          <w:u w:val="single"/>
        </w:rPr>
        <w:t>:</w:t>
      </w:r>
    </w:p>
    <w:p w14:paraId="7732551F" w14:textId="6AB6D269" w:rsidR="00962640" w:rsidRDefault="00962640" w:rsidP="00962640">
      <w:pPr>
        <w:pStyle w:val="ListParagraph"/>
        <w:numPr>
          <w:ilvl w:val="0"/>
          <w:numId w:val="18"/>
        </w:numPr>
        <w:autoSpaceDE w:val="0"/>
        <w:autoSpaceDN w:val="0"/>
        <w:spacing w:before="120"/>
        <w:ind w:leftChars="0"/>
        <w:jc w:val="both"/>
        <w:rPr>
          <w:rFonts w:ascii="Calibri" w:hAnsi="Calibri" w:cs="Calibri"/>
          <w:sz w:val="22"/>
        </w:rPr>
      </w:pPr>
      <w:r>
        <w:rPr>
          <w:rFonts w:ascii="Calibri" w:hAnsi="Calibri" w:cs="Calibri"/>
          <w:sz w:val="22"/>
        </w:rPr>
        <w:t>COT sharing principle – who can be a responding UE</w:t>
      </w:r>
    </w:p>
    <w:p w14:paraId="2AF05FD2" w14:textId="6AF90A7C" w:rsidR="00962640" w:rsidRDefault="00962640" w:rsidP="00962640">
      <w:pPr>
        <w:pStyle w:val="ListParagraph"/>
        <w:numPr>
          <w:ilvl w:val="1"/>
          <w:numId w:val="18"/>
        </w:numPr>
        <w:autoSpaceDE w:val="0"/>
        <w:autoSpaceDN w:val="0"/>
        <w:spacing w:before="120"/>
        <w:ind w:leftChars="0"/>
        <w:jc w:val="both"/>
        <w:rPr>
          <w:rFonts w:ascii="Calibri" w:hAnsi="Calibri" w:cs="Calibri"/>
          <w:sz w:val="22"/>
        </w:rPr>
      </w:pPr>
      <w:r>
        <w:rPr>
          <w:rFonts w:ascii="Calibri" w:hAnsi="Calibri" w:cs="Calibri"/>
          <w:sz w:val="22"/>
        </w:rPr>
        <w:t xml:space="preserve">Alt. 1: IDCC, </w:t>
      </w:r>
      <w:r w:rsidR="003452EE">
        <w:rPr>
          <w:rFonts w:ascii="Calibri" w:hAnsi="Calibri" w:cs="Calibri"/>
          <w:sz w:val="22"/>
        </w:rPr>
        <w:t>Apple, LGE</w:t>
      </w:r>
      <w:r w:rsidR="0041311E">
        <w:rPr>
          <w:rFonts w:ascii="Calibri" w:hAnsi="Calibri" w:cs="Calibri"/>
          <w:sz w:val="22"/>
        </w:rPr>
        <w:t xml:space="preserve">, CMCC, Fujitsu, </w:t>
      </w:r>
      <w:r w:rsidR="0041311E" w:rsidRPr="0041311E">
        <w:rPr>
          <w:rFonts w:ascii="Calibri" w:hAnsi="Calibri" w:cs="Calibri"/>
          <w:sz w:val="22"/>
        </w:rPr>
        <w:t>Panasonic</w:t>
      </w:r>
      <w:r w:rsidR="00630745">
        <w:rPr>
          <w:rFonts w:ascii="Calibri" w:hAnsi="Calibri" w:cs="Calibri"/>
          <w:sz w:val="22"/>
        </w:rPr>
        <w:t xml:space="preserve">, xiaomi, CATT/GH, ZTE/SC, </w:t>
      </w:r>
      <w:r w:rsidR="00067664">
        <w:rPr>
          <w:rFonts w:ascii="Calibri" w:hAnsi="Calibri" w:cs="Calibri"/>
          <w:sz w:val="22"/>
        </w:rPr>
        <w:t>Transsion, Ericsson, ITL, MediaTek</w:t>
      </w:r>
      <w:r w:rsidR="006537C7">
        <w:rPr>
          <w:rFonts w:ascii="Calibri" w:hAnsi="Calibri" w:cs="Calibri"/>
          <w:sz w:val="22"/>
        </w:rPr>
        <w:t xml:space="preserve"> (15)</w:t>
      </w:r>
    </w:p>
    <w:p w14:paraId="6238D6F0" w14:textId="3FEE0A6D" w:rsidR="00962640" w:rsidRDefault="00962640" w:rsidP="00962640">
      <w:pPr>
        <w:pStyle w:val="ListParagraph"/>
        <w:numPr>
          <w:ilvl w:val="1"/>
          <w:numId w:val="18"/>
        </w:numPr>
        <w:autoSpaceDE w:val="0"/>
        <w:autoSpaceDN w:val="0"/>
        <w:spacing w:before="120"/>
        <w:ind w:leftChars="0"/>
        <w:jc w:val="both"/>
        <w:rPr>
          <w:rFonts w:ascii="Calibri" w:hAnsi="Calibri" w:cs="Calibri"/>
          <w:sz w:val="22"/>
        </w:rPr>
      </w:pPr>
      <w:r>
        <w:rPr>
          <w:rFonts w:ascii="Calibri" w:hAnsi="Calibri" w:cs="Calibri"/>
          <w:sz w:val="22"/>
        </w:rPr>
        <w:lastRenderedPageBreak/>
        <w:t xml:space="preserve">Alt. 2: Qualcomm, </w:t>
      </w:r>
      <w:r w:rsidR="003452EE">
        <w:rPr>
          <w:rFonts w:ascii="Calibri" w:hAnsi="Calibri" w:cs="Calibri"/>
          <w:sz w:val="22"/>
        </w:rPr>
        <w:t xml:space="preserve">Intel, OPPO, CableLabs, </w:t>
      </w:r>
      <w:r w:rsidR="0041311E">
        <w:rPr>
          <w:rFonts w:ascii="Calibri" w:hAnsi="Calibri" w:cs="Calibri"/>
          <w:sz w:val="22"/>
        </w:rPr>
        <w:t>DCM, Spreadtrum, Sony, Nokia/NSB, vivo, WILUS, Samsung, NEC</w:t>
      </w:r>
      <w:r w:rsidR="00630745">
        <w:rPr>
          <w:rFonts w:ascii="Calibri" w:hAnsi="Calibri" w:cs="Calibri"/>
          <w:sz w:val="22"/>
        </w:rPr>
        <w:t xml:space="preserve">, ETRI, Sharp, </w:t>
      </w:r>
      <w:r w:rsidR="00067664" w:rsidRPr="00067664">
        <w:rPr>
          <w:rFonts w:ascii="Calibri" w:hAnsi="Calibri" w:cs="Calibri"/>
          <w:sz w:val="22"/>
        </w:rPr>
        <w:t>Fraunhofer</w:t>
      </w:r>
      <w:r w:rsidR="00067664">
        <w:rPr>
          <w:rFonts w:ascii="Calibri" w:hAnsi="Calibri" w:cs="Calibri"/>
          <w:sz w:val="22"/>
        </w:rPr>
        <w:t xml:space="preserve">, </w:t>
      </w:r>
      <w:r w:rsidR="00067664" w:rsidRPr="00067664">
        <w:rPr>
          <w:rFonts w:ascii="Calibri" w:hAnsi="Calibri" w:cs="Calibri"/>
          <w:sz w:val="22"/>
        </w:rPr>
        <w:t>JHUAPL</w:t>
      </w:r>
      <w:r w:rsidR="00067664">
        <w:rPr>
          <w:rFonts w:ascii="Calibri" w:hAnsi="Calibri" w:cs="Calibri"/>
          <w:sz w:val="22"/>
        </w:rPr>
        <w:t>, HW/HiSi</w:t>
      </w:r>
      <w:r w:rsidR="006537C7">
        <w:rPr>
          <w:rFonts w:ascii="Calibri" w:hAnsi="Calibri" w:cs="Calibri"/>
          <w:sz w:val="22"/>
        </w:rPr>
        <w:t xml:space="preserve"> (19)</w:t>
      </w:r>
    </w:p>
    <w:p w14:paraId="33DC15B6" w14:textId="0BC3C27C" w:rsidR="00962640" w:rsidRDefault="00962640" w:rsidP="00962640">
      <w:pPr>
        <w:pStyle w:val="ListParagraph"/>
        <w:numPr>
          <w:ilvl w:val="0"/>
          <w:numId w:val="18"/>
        </w:numPr>
        <w:autoSpaceDE w:val="0"/>
        <w:autoSpaceDN w:val="0"/>
        <w:spacing w:before="120"/>
        <w:ind w:leftChars="0"/>
        <w:jc w:val="both"/>
        <w:rPr>
          <w:rFonts w:ascii="Calibri" w:hAnsi="Calibri" w:cs="Calibri"/>
          <w:sz w:val="22"/>
        </w:rPr>
      </w:pPr>
      <w:r>
        <w:rPr>
          <w:rFonts w:ascii="Calibri" w:hAnsi="Calibri" w:cs="Calibri"/>
          <w:sz w:val="22"/>
        </w:rPr>
        <w:t>Container for carrying COT sharing information</w:t>
      </w:r>
    </w:p>
    <w:p w14:paraId="20BF7BC9" w14:textId="0B41FEAB" w:rsidR="00962640" w:rsidRDefault="00962640" w:rsidP="00962640">
      <w:pPr>
        <w:pStyle w:val="ListParagraph"/>
        <w:numPr>
          <w:ilvl w:val="1"/>
          <w:numId w:val="18"/>
        </w:numPr>
        <w:autoSpaceDE w:val="0"/>
        <w:autoSpaceDN w:val="0"/>
        <w:spacing w:before="120"/>
        <w:ind w:leftChars="0"/>
        <w:jc w:val="both"/>
        <w:rPr>
          <w:rFonts w:ascii="Calibri" w:hAnsi="Calibri" w:cs="Calibri"/>
          <w:sz w:val="22"/>
        </w:rPr>
      </w:pPr>
      <w:r>
        <w:rPr>
          <w:rFonts w:ascii="Calibri" w:hAnsi="Calibri" w:cs="Calibri"/>
          <w:sz w:val="22"/>
        </w:rPr>
        <w:t xml:space="preserve">Option 1: IDCC, </w:t>
      </w:r>
      <w:r w:rsidR="003452EE">
        <w:rPr>
          <w:rFonts w:ascii="Calibri" w:hAnsi="Calibri" w:cs="Calibri"/>
          <w:sz w:val="22"/>
        </w:rPr>
        <w:t xml:space="preserve">Intel, Apple, OPPO, </w:t>
      </w:r>
      <w:r w:rsidR="0041311E">
        <w:rPr>
          <w:rFonts w:ascii="Calibri" w:hAnsi="Calibri" w:cs="Calibri"/>
          <w:sz w:val="22"/>
        </w:rPr>
        <w:t xml:space="preserve">LGE, DCM, Spreadtrum, Sony, CMCC, </w:t>
      </w:r>
      <w:r w:rsidR="0041311E" w:rsidRPr="0041311E">
        <w:rPr>
          <w:rFonts w:ascii="Calibri" w:hAnsi="Calibri" w:cs="Calibri"/>
          <w:sz w:val="22"/>
        </w:rPr>
        <w:t>Panasonic</w:t>
      </w:r>
      <w:r w:rsidR="0041311E">
        <w:rPr>
          <w:rFonts w:ascii="Calibri" w:hAnsi="Calibri" w:cs="Calibri"/>
          <w:sz w:val="22"/>
        </w:rPr>
        <w:t xml:space="preserve">, WILUS, Samsung, </w:t>
      </w:r>
      <w:r w:rsidR="004A1638">
        <w:rPr>
          <w:rFonts w:ascii="Calibri" w:hAnsi="Calibri" w:cs="Calibri"/>
          <w:sz w:val="22"/>
        </w:rPr>
        <w:t xml:space="preserve">NEC, </w:t>
      </w:r>
      <w:r w:rsidR="00630745">
        <w:rPr>
          <w:rFonts w:ascii="Calibri" w:hAnsi="Calibri" w:cs="Calibri"/>
          <w:sz w:val="22"/>
        </w:rPr>
        <w:t>ETRI</w:t>
      </w:r>
      <w:r w:rsidR="00067664">
        <w:rPr>
          <w:rFonts w:ascii="Calibri" w:hAnsi="Calibri" w:cs="Calibri"/>
          <w:sz w:val="22"/>
        </w:rPr>
        <w:t xml:space="preserve">, Transsion, </w:t>
      </w:r>
      <w:r w:rsidR="00067664" w:rsidRPr="00067664">
        <w:rPr>
          <w:rFonts w:ascii="Calibri" w:hAnsi="Calibri" w:cs="Calibri"/>
          <w:sz w:val="22"/>
        </w:rPr>
        <w:t>Fraunhofer</w:t>
      </w:r>
      <w:r w:rsidR="00067664">
        <w:rPr>
          <w:rFonts w:ascii="Calibri" w:hAnsi="Calibri" w:cs="Calibri"/>
          <w:sz w:val="22"/>
        </w:rPr>
        <w:t xml:space="preserve">, </w:t>
      </w:r>
      <w:r w:rsidR="00067664" w:rsidRPr="00067664">
        <w:rPr>
          <w:rFonts w:ascii="Calibri" w:hAnsi="Calibri" w:cs="Calibri"/>
          <w:sz w:val="22"/>
        </w:rPr>
        <w:t>JHUAPL</w:t>
      </w:r>
      <w:r w:rsidR="00067664">
        <w:rPr>
          <w:rFonts w:ascii="Calibri" w:hAnsi="Calibri" w:cs="Calibri"/>
          <w:sz w:val="22"/>
        </w:rPr>
        <w:t>, NSC</w:t>
      </w:r>
    </w:p>
    <w:p w14:paraId="340456E9" w14:textId="41E8AD6B" w:rsidR="00962640" w:rsidRDefault="00962640" w:rsidP="00962640">
      <w:pPr>
        <w:pStyle w:val="ListParagraph"/>
        <w:numPr>
          <w:ilvl w:val="1"/>
          <w:numId w:val="18"/>
        </w:numPr>
        <w:autoSpaceDE w:val="0"/>
        <w:autoSpaceDN w:val="0"/>
        <w:spacing w:before="120"/>
        <w:ind w:leftChars="0"/>
        <w:jc w:val="both"/>
        <w:rPr>
          <w:rFonts w:ascii="Calibri" w:hAnsi="Calibri" w:cs="Calibri"/>
          <w:sz w:val="22"/>
        </w:rPr>
      </w:pPr>
      <w:r>
        <w:rPr>
          <w:rFonts w:ascii="Calibri" w:hAnsi="Calibri" w:cs="Calibri"/>
          <w:sz w:val="22"/>
        </w:rPr>
        <w:t xml:space="preserve">Option 2: </w:t>
      </w:r>
    </w:p>
    <w:p w14:paraId="1651B738" w14:textId="28FEB8A8" w:rsidR="00962640" w:rsidRDefault="00962640" w:rsidP="00962640">
      <w:pPr>
        <w:pStyle w:val="ListParagraph"/>
        <w:numPr>
          <w:ilvl w:val="0"/>
          <w:numId w:val="18"/>
        </w:numPr>
        <w:autoSpaceDE w:val="0"/>
        <w:autoSpaceDN w:val="0"/>
        <w:spacing w:before="120"/>
        <w:ind w:leftChars="0"/>
        <w:jc w:val="both"/>
        <w:rPr>
          <w:rFonts w:ascii="Calibri" w:hAnsi="Calibri" w:cs="Calibri"/>
          <w:sz w:val="22"/>
        </w:rPr>
      </w:pPr>
      <w:r>
        <w:rPr>
          <w:rFonts w:ascii="Calibri" w:hAnsi="Calibri" w:cs="Calibri"/>
          <w:sz w:val="22"/>
        </w:rPr>
        <w:t>Other COT sharing information:</w:t>
      </w:r>
    </w:p>
    <w:p w14:paraId="4EFED8E0" w14:textId="7DCF5C1B" w:rsidR="00962640" w:rsidRPr="0041311E" w:rsidRDefault="00962640" w:rsidP="00962640">
      <w:pPr>
        <w:pStyle w:val="ListParagraph"/>
        <w:numPr>
          <w:ilvl w:val="1"/>
          <w:numId w:val="18"/>
        </w:numPr>
        <w:autoSpaceDE w:val="0"/>
        <w:autoSpaceDN w:val="0"/>
        <w:spacing w:before="120"/>
        <w:ind w:leftChars="0"/>
        <w:jc w:val="both"/>
        <w:rPr>
          <w:rFonts w:ascii="Calibri" w:hAnsi="Calibri" w:cs="Calibri"/>
          <w:color w:val="000000" w:themeColor="text1"/>
          <w:sz w:val="22"/>
        </w:rPr>
      </w:pPr>
      <w:r w:rsidRPr="0041311E">
        <w:rPr>
          <w:rFonts w:ascii="Calibri" w:hAnsi="Calibri" w:cs="Calibri"/>
          <w:color w:val="000000" w:themeColor="text1"/>
          <w:sz w:val="22"/>
        </w:rPr>
        <w:t>RB sets within the COT</w:t>
      </w:r>
    </w:p>
    <w:p w14:paraId="170D789D" w14:textId="1F2F62C3" w:rsidR="00962640" w:rsidRPr="0041311E" w:rsidRDefault="00962640" w:rsidP="00962640">
      <w:pPr>
        <w:pStyle w:val="ListParagraph"/>
        <w:numPr>
          <w:ilvl w:val="1"/>
          <w:numId w:val="18"/>
        </w:numPr>
        <w:autoSpaceDE w:val="0"/>
        <w:autoSpaceDN w:val="0"/>
        <w:spacing w:before="120"/>
        <w:ind w:leftChars="0"/>
        <w:jc w:val="both"/>
        <w:rPr>
          <w:rFonts w:ascii="Calibri" w:hAnsi="Calibri" w:cs="Calibri"/>
          <w:color w:val="000000" w:themeColor="text1"/>
          <w:sz w:val="22"/>
        </w:rPr>
      </w:pPr>
      <w:r w:rsidRPr="0041311E">
        <w:rPr>
          <w:rFonts w:ascii="Calibri" w:hAnsi="Calibri" w:cs="Calibri"/>
          <w:color w:val="000000" w:themeColor="text1"/>
          <w:sz w:val="22"/>
          <w:lang w:val="en-US"/>
        </w:rPr>
        <w:t>Information on sharable region(s) in the COT (time and frequency)</w:t>
      </w:r>
    </w:p>
    <w:p w14:paraId="77EC9B98" w14:textId="4BA26176" w:rsidR="003452EE" w:rsidRPr="0041311E" w:rsidRDefault="003452EE" w:rsidP="00962640">
      <w:pPr>
        <w:pStyle w:val="ListParagraph"/>
        <w:numPr>
          <w:ilvl w:val="1"/>
          <w:numId w:val="18"/>
        </w:numPr>
        <w:autoSpaceDE w:val="0"/>
        <w:autoSpaceDN w:val="0"/>
        <w:spacing w:before="120"/>
        <w:ind w:leftChars="0"/>
        <w:jc w:val="both"/>
        <w:rPr>
          <w:rFonts w:ascii="Calibri" w:hAnsi="Calibri" w:cs="Calibri"/>
          <w:color w:val="000000" w:themeColor="text1"/>
          <w:sz w:val="22"/>
        </w:rPr>
      </w:pPr>
      <w:r w:rsidRPr="0041311E">
        <w:rPr>
          <w:rFonts w:ascii="Calibri" w:hAnsi="Calibri" w:cs="Calibri"/>
          <w:color w:val="000000" w:themeColor="text1"/>
          <w:sz w:val="22"/>
        </w:rPr>
        <w:t>Tx power used in EDT calculation</w:t>
      </w:r>
    </w:p>
    <w:p w14:paraId="2F81D3A5" w14:textId="140E9CB8" w:rsidR="0041311E" w:rsidRPr="0041311E" w:rsidRDefault="0041311E" w:rsidP="00962640">
      <w:pPr>
        <w:pStyle w:val="ListParagraph"/>
        <w:numPr>
          <w:ilvl w:val="1"/>
          <w:numId w:val="18"/>
        </w:numPr>
        <w:autoSpaceDE w:val="0"/>
        <w:autoSpaceDN w:val="0"/>
        <w:spacing w:before="120"/>
        <w:ind w:leftChars="0"/>
        <w:jc w:val="both"/>
        <w:rPr>
          <w:rFonts w:ascii="Calibri" w:hAnsi="Calibri" w:cs="Calibri"/>
          <w:color w:val="000000" w:themeColor="text1"/>
          <w:sz w:val="22"/>
        </w:rPr>
      </w:pPr>
      <w:r w:rsidRPr="0041311E">
        <w:rPr>
          <w:rFonts w:ascii="Calibri" w:eastAsiaTheme="minorEastAsia" w:hAnsi="Calibri" w:cs="Calibri"/>
          <w:color w:val="000000" w:themeColor="text1"/>
          <w:sz w:val="22"/>
          <w:lang w:val="en-US" w:eastAsia="zh-CN"/>
        </w:rPr>
        <w:t>R</w:t>
      </w:r>
      <w:r w:rsidRPr="0041311E">
        <w:rPr>
          <w:rFonts w:ascii="Calibri" w:eastAsiaTheme="minorEastAsia" w:hAnsi="Calibri" w:cs="Calibri" w:hint="eastAsia"/>
          <w:color w:val="000000" w:themeColor="text1"/>
          <w:sz w:val="22"/>
          <w:lang w:val="en-US" w:eastAsia="zh-CN"/>
        </w:rPr>
        <w:t>esponding</w:t>
      </w:r>
      <w:r w:rsidRPr="0041311E">
        <w:rPr>
          <w:rFonts w:ascii="Calibri" w:eastAsiaTheme="minorEastAsia" w:hAnsi="Calibri" w:cs="Calibri"/>
          <w:color w:val="000000" w:themeColor="text1"/>
          <w:sz w:val="22"/>
          <w:lang w:val="en-US" w:eastAsia="zh-CN"/>
        </w:rPr>
        <w:t xml:space="preserve"> </w:t>
      </w:r>
      <w:r w:rsidRPr="0041311E">
        <w:rPr>
          <w:rFonts w:ascii="Calibri" w:eastAsiaTheme="minorEastAsia" w:hAnsi="Calibri" w:cs="Calibri" w:hint="eastAsia"/>
          <w:color w:val="000000" w:themeColor="text1"/>
          <w:sz w:val="22"/>
          <w:lang w:val="en-US" w:eastAsia="zh-CN"/>
        </w:rPr>
        <w:t>UE</w:t>
      </w:r>
      <w:r w:rsidRPr="0041311E">
        <w:rPr>
          <w:rFonts w:ascii="Calibri" w:eastAsiaTheme="minorEastAsia" w:hAnsi="Calibri" w:cs="Calibri"/>
          <w:color w:val="000000" w:themeColor="text1"/>
          <w:sz w:val="22"/>
          <w:lang w:val="en-US" w:eastAsia="zh-CN"/>
        </w:rPr>
        <w:t xml:space="preserve">’s transmission starting offset </w:t>
      </w:r>
      <w:r w:rsidRPr="0041311E">
        <w:rPr>
          <w:rFonts w:ascii="Calibri" w:hAnsi="Calibri" w:cs="Calibri" w:hint="eastAsia"/>
          <w:color w:val="000000" w:themeColor="text1"/>
          <w:sz w:val="22"/>
        </w:rPr>
        <w:t>(e.g., number of SL slots or ms)</w:t>
      </w:r>
    </w:p>
    <w:p w14:paraId="0F9EEBF4" w14:textId="3A3529B6" w:rsidR="0041311E" w:rsidRDefault="0041311E" w:rsidP="00962640">
      <w:pPr>
        <w:pStyle w:val="ListParagraph"/>
        <w:numPr>
          <w:ilvl w:val="1"/>
          <w:numId w:val="18"/>
        </w:numPr>
        <w:autoSpaceDE w:val="0"/>
        <w:autoSpaceDN w:val="0"/>
        <w:spacing w:before="120"/>
        <w:ind w:leftChars="0"/>
        <w:jc w:val="both"/>
        <w:rPr>
          <w:rFonts w:ascii="Calibri" w:hAnsi="Calibri" w:cs="Calibri"/>
          <w:color w:val="000000" w:themeColor="text1"/>
          <w:sz w:val="22"/>
        </w:rPr>
      </w:pPr>
      <w:r w:rsidRPr="0041311E">
        <w:rPr>
          <w:rFonts w:ascii="Calibri" w:hAnsi="Calibri" w:cs="Calibri"/>
          <w:color w:val="000000" w:themeColor="text1"/>
          <w:sz w:val="22"/>
        </w:rPr>
        <w:t>communication range</w:t>
      </w:r>
    </w:p>
    <w:p w14:paraId="248DF825" w14:textId="6A19871E" w:rsidR="0041311E" w:rsidRDefault="0041311E" w:rsidP="00962640">
      <w:pPr>
        <w:pStyle w:val="ListParagraph"/>
        <w:numPr>
          <w:ilvl w:val="1"/>
          <w:numId w:val="18"/>
        </w:numPr>
        <w:autoSpaceDE w:val="0"/>
        <w:autoSpaceDN w:val="0"/>
        <w:spacing w:before="120"/>
        <w:ind w:leftChars="0"/>
        <w:jc w:val="both"/>
        <w:rPr>
          <w:rFonts w:ascii="Calibri" w:hAnsi="Calibri" w:cs="Calibri"/>
          <w:color w:val="000000" w:themeColor="text1"/>
          <w:sz w:val="22"/>
        </w:rPr>
      </w:pPr>
      <w:r>
        <w:rPr>
          <w:rFonts w:ascii="Calibri" w:hAnsi="Calibri" w:cs="Calibri"/>
          <w:color w:val="000000" w:themeColor="text1"/>
          <w:sz w:val="22"/>
        </w:rPr>
        <w:t>Starting offset</w:t>
      </w:r>
      <w:r w:rsidRPr="0041311E">
        <w:rPr>
          <w:rFonts w:ascii="Calibri" w:hAnsi="Calibri" w:cs="Calibri"/>
          <w:color w:val="000000" w:themeColor="text1"/>
          <w:sz w:val="22"/>
        </w:rPr>
        <w:t xml:space="preserve"> </w:t>
      </w:r>
      <w:r>
        <w:rPr>
          <w:rFonts w:ascii="Calibri" w:hAnsi="Calibri" w:cs="Calibri"/>
          <w:color w:val="000000" w:themeColor="text1"/>
          <w:sz w:val="22"/>
        </w:rPr>
        <w:t>of</w:t>
      </w:r>
      <w:r w:rsidRPr="0041311E">
        <w:rPr>
          <w:rFonts w:ascii="Calibri" w:hAnsi="Calibri" w:cs="Calibri"/>
          <w:color w:val="000000" w:themeColor="text1"/>
          <w:sz w:val="22"/>
        </w:rPr>
        <w:t xml:space="preserve"> the shared COT</w:t>
      </w:r>
    </w:p>
    <w:p w14:paraId="66961D3D" w14:textId="1B354B7B" w:rsidR="008B24DB" w:rsidRDefault="008B24DB" w:rsidP="003452EE">
      <w:pPr>
        <w:pStyle w:val="ListParagraph"/>
        <w:numPr>
          <w:ilvl w:val="0"/>
          <w:numId w:val="18"/>
        </w:numPr>
        <w:autoSpaceDE w:val="0"/>
        <w:autoSpaceDN w:val="0"/>
        <w:spacing w:before="120"/>
        <w:ind w:leftChars="0"/>
        <w:jc w:val="both"/>
        <w:rPr>
          <w:rFonts w:ascii="Calibri" w:hAnsi="Calibri" w:cs="Calibri"/>
          <w:sz w:val="22"/>
        </w:rPr>
      </w:pPr>
      <w:r>
        <w:rPr>
          <w:rFonts w:ascii="Calibri" w:hAnsi="Calibri" w:cs="Calibri"/>
          <w:sz w:val="22"/>
        </w:rPr>
        <w:t xml:space="preserve">Currently the views on the selection between Alt. 1 and Alt. 2 are still very divergent (15 vs. 19). Observing from the inputs, generally companies felt that Alt. 1 is more aligned with NR-U operation and Alt. 2 potentially opens up the opportunity of allowing the COT to be shared for other uses such as </w:t>
      </w:r>
      <w:r w:rsidR="006866EE">
        <w:rPr>
          <w:rFonts w:ascii="Calibri" w:hAnsi="Calibri" w:cs="Calibri"/>
          <w:sz w:val="22"/>
        </w:rPr>
        <w:t>a receiver UE of a different unicast session or a receiver UE of a different groupcast session transmitting PSFCH</w:t>
      </w:r>
      <w:r w:rsidR="00946E1F">
        <w:rPr>
          <w:rFonts w:ascii="Calibri" w:hAnsi="Calibri" w:cs="Calibri"/>
          <w:sz w:val="22"/>
        </w:rPr>
        <w:t xml:space="preserve"> back to the COT initiator UE. Since the formulation of Alt. 2 from the last meeting (copied at the beginning of this topic) still has two FFS’s on “how to determine a SL UE is a target receiver” and “details of the channel type of the COT initiating UE’s transmission”, it means the door is not completely wide open. We can still further discuss the exact details later. Therefore, I propose to take Alt. 2 to move forward.</w:t>
      </w:r>
    </w:p>
    <w:p w14:paraId="4640FBA4" w14:textId="13C42397" w:rsidR="003452EE" w:rsidRDefault="003452EE" w:rsidP="003452EE">
      <w:pPr>
        <w:pStyle w:val="ListParagraph"/>
        <w:numPr>
          <w:ilvl w:val="0"/>
          <w:numId w:val="18"/>
        </w:numPr>
        <w:autoSpaceDE w:val="0"/>
        <w:autoSpaceDN w:val="0"/>
        <w:spacing w:before="120"/>
        <w:ind w:leftChars="0"/>
        <w:jc w:val="both"/>
        <w:rPr>
          <w:rFonts w:ascii="Calibri" w:hAnsi="Calibri" w:cs="Calibri"/>
          <w:sz w:val="22"/>
        </w:rPr>
      </w:pPr>
      <w:r>
        <w:rPr>
          <w:rFonts w:ascii="Calibri" w:hAnsi="Calibri" w:cs="Calibri"/>
          <w:sz w:val="22"/>
        </w:rPr>
        <w:t>It should be clarified the L1 ID for the COT sharing information content could be the existing destination ID and/or source ID from the 2</w:t>
      </w:r>
      <w:r w:rsidRPr="003452EE">
        <w:rPr>
          <w:rFonts w:ascii="Calibri" w:hAnsi="Calibri" w:cs="Calibri"/>
          <w:sz w:val="22"/>
          <w:vertAlign w:val="superscript"/>
        </w:rPr>
        <w:t>nd</w:t>
      </w:r>
      <w:r>
        <w:rPr>
          <w:rFonts w:ascii="Calibri" w:hAnsi="Calibri" w:cs="Calibri"/>
          <w:sz w:val="22"/>
        </w:rPr>
        <w:t xml:space="preserve"> stage SCI, when SCI is decided to be the container for carrying the COT sharing information. Nothing needs to be repeated</w:t>
      </w:r>
      <w:r w:rsidR="0041311E">
        <w:rPr>
          <w:rFonts w:ascii="Calibri" w:hAnsi="Calibri" w:cs="Calibri"/>
          <w:sz w:val="22"/>
        </w:rPr>
        <w:t>.</w:t>
      </w:r>
    </w:p>
    <w:p w14:paraId="19EABF0C" w14:textId="214EF65E" w:rsidR="00962640" w:rsidRDefault="00962640" w:rsidP="00BE6393">
      <w:pPr>
        <w:rPr>
          <w:lang w:eastAsia="x-none"/>
        </w:rPr>
      </w:pPr>
    </w:p>
    <w:p w14:paraId="639DE190" w14:textId="6A99D358" w:rsidR="00962640" w:rsidRPr="00C65E36" w:rsidRDefault="00962640" w:rsidP="00962640">
      <w:pPr>
        <w:autoSpaceDE w:val="0"/>
        <w:autoSpaceDN w:val="0"/>
        <w:spacing w:before="120"/>
        <w:jc w:val="both"/>
        <w:rPr>
          <w:rFonts w:ascii="Calibri" w:hAnsi="Calibri" w:cs="Calibri"/>
          <w:sz w:val="22"/>
        </w:rPr>
      </w:pPr>
      <w:r w:rsidRPr="00C65E36">
        <w:rPr>
          <w:rFonts w:ascii="Calibri" w:hAnsi="Calibri" w:cs="Calibri"/>
          <w:b/>
          <w:bCs/>
          <w:sz w:val="22"/>
          <w:highlight w:val="yellow"/>
        </w:rPr>
        <w:t xml:space="preserve">Proposal </w:t>
      </w:r>
      <w:r>
        <w:rPr>
          <w:rFonts w:ascii="Calibri" w:hAnsi="Calibri" w:cs="Calibri"/>
          <w:b/>
          <w:bCs/>
          <w:sz w:val="22"/>
          <w:highlight w:val="yellow"/>
        </w:rPr>
        <w:t>5</w:t>
      </w:r>
      <w:r w:rsidRPr="00C65E36">
        <w:rPr>
          <w:rFonts w:ascii="Calibri" w:hAnsi="Calibri" w:cs="Calibri"/>
          <w:b/>
          <w:bCs/>
          <w:sz w:val="22"/>
          <w:highlight w:val="yellow"/>
        </w:rPr>
        <w:t xml:space="preserve"> (I</w:t>
      </w:r>
      <w:r>
        <w:rPr>
          <w:rFonts w:ascii="Calibri" w:hAnsi="Calibri" w:cs="Calibri"/>
          <w:b/>
          <w:bCs/>
          <w:sz w:val="22"/>
          <w:highlight w:val="yellow"/>
        </w:rPr>
        <w:t>I</w:t>
      </w:r>
      <w:r w:rsidRPr="00C65E36">
        <w:rPr>
          <w:rFonts w:ascii="Calibri" w:hAnsi="Calibri" w:cs="Calibri"/>
          <w:b/>
          <w:bCs/>
          <w:sz w:val="22"/>
          <w:highlight w:val="yellow"/>
        </w:rPr>
        <w:t>):</w:t>
      </w:r>
    </w:p>
    <w:p w14:paraId="3AE33CAF" w14:textId="094BB61F" w:rsidR="00962640" w:rsidRPr="00BE6393" w:rsidRDefault="00962640" w:rsidP="00962640">
      <w:pPr>
        <w:pStyle w:val="0Maintext"/>
        <w:numPr>
          <w:ilvl w:val="0"/>
          <w:numId w:val="25"/>
        </w:numPr>
        <w:spacing w:after="60" w:afterAutospacing="0" w:line="240" w:lineRule="auto"/>
        <w:ind w:hanging="357"/>
        <w:rPr>
          <w:rFonts w:ascii="Calibri" w:hAnsi="Calibri" w:cs="Calibri"/>
          <w:sz w:val="22"/>
          <w:lang w:val="en-US" w:eastAsia="x-none"/>
        </w:rPr>
      </w:pPr>
      <w:r w:rsidRPr="00BE6393">
        <w:rPr>
          <w:rFonts w:ascii="Calibri" w:hAnsi="Calibri" w:cs="Calibri" w:hint="eastAsia"/>
          <w:sz w:val="22"/>
          <w:lang w:val="en-AU" w:eastAsia="x-none"/>
        </w:rPr>
        <w:t>For UE-to-UE COT sharing (at least for PSCCH/PSSCH</w:t>
      </w:r>
      <w:r>
        <w:rPr>
          <w:rFonts w:ascii="Calibri" w:hAnsi="Calibri" w:cs="Calibri"/>
          <w:sz w:val="22"/>
          <w:lang w:val="en-AU" w:eastAsia="x-none"/>
        </w:rPr>
        <w:t xml:space="preserve"> </w:t>
      </w:r>
      <w:r w:rsidRPr="00962640">
        <w:rPr>
          <w:rFonts w:ascii="Calibri" w:hAnsi="Calibri" w:cs="Calibri"/>
          <w:color w:val="FF0000"/>
          <w:sz w:val="22"/>
          <w:lang w:val="en-AU" w:eastAsia="x-none"/>
        </w:rPr>
        <w:t>from the initiator</w:t>
      </w:r>
      <w:r w:rsidRPr="00BE6393">
        <w:rPr>
          <w:rFonts w:ascii="Calibri" w:hAnsi="Calibri" w:cs="Calibri" w:hint="eastAsia"/>
          <w:sz w:val="22"/>
          <w:lang w:val="en-AU" w:eastAsia="x-none"/>
        </w:rPr>
        <w:t>),</w:t>
      </w:r>
    </w:p>
    <w:p w14:paraId="3A9BEA94" w14:textId="6FBE380D" w:rsidR="00962640" w:rsidRPr="00BE6393" w:rsidRDefault="00962640" w:rsidP="00962640">
      <w:pPr>
        <w:pStyle w:val="0Maintext"/>
        <w:numPr>
          <w:ilvl w:val="1"/>
          <w:numId w:val="25"/>
        </w:numPr>
        <w:spacing w:after="60" w:afterAutospacing="0" w:line="240" w:lineRule="auto"/>
        <w:ind w:hanging="357"/>
        <w:rPr>
          <w:rFonts w:ascii="Calibri" w:hAnsi="Calibri" w:cs="Calibri"/>
          <w:sz w:val="22"/>
          <w:lang w:val="en-US" w:eastAsia="x-none"/>
        </w:rPr>
      </w:pPr>
      <w:r w:rsidRPr="00516882">
        <w:rPr>
          <w:rFonts w:ascii="Calibri" w:hAnsi="Calibri" w:cs="Calibri" w:hint="eastAsia"/>
          <w:color w:val="FF0000"/>
          <w:sz w:val="22"/>
          <w:lang w:val="en-US" w:eastAsia="x-none"/>
        </w:rPr>
        <w:t>Alt. 2 from RAN1#110</w:t>
      </w:r>
      <w:r w:rsidR="00946E1F" w:rsidRPr="00516882">
        <w:rPr>
          <w:rFonts w:ascii="Calibri" w:hAnsi="Calibri" w:cs="Calibri"/>
          <w:color w:val="FF0000"/>
          <w:sz w:val="22"/>
          <w:lang w:val="en-US" w:eastAsia="x-none"/>
        </w:rPr>
        <w:t xml:space="preserve"> meeting is </w:t>
      </w:r>
      <w:r w:rsidR="00516882">
        <w:rPr>
          <w:rFonts w:ascii="Calibri" w:hAnsi="Calibri" w:cs="Calibri"/>
          <w:color w:val="FF0000"/>
          <w:sz w:val="22"/>
          <w:lang w:val="en-US" w:eastAsia="x-none"/>
        </w:rPr>
        <w:t>taken</w:t>
      </w:r>
      <w:r w:rsidR="00946E1F" w:rsidRPr="00516882">
        <w:rPr>
          <w:rFonts w:ascii="Calibri" w:hAnsi="Calibri" w:cs="Calibri"/>
          <w:color w:val="FF0000"/>
          <w:sz w:val="22"/>
          <w:lang w:val="en-US" w:eastAsia="x-none"/>
        </w:rPr>
        <w:t xml:space="preserve"> as the baseline </w:t>
      </w:r>
      <w:r w:rsidR="00516882" w:rsidRPr="00516882">
        <w:rPr>
          <w:rFonts w:ascii="Calibri" w:hAnsi="Calibri" w:cs="Calibri"/>
          <w:color w:val="FF0000"/>
          <w:sz w:val="22"/>
          <w:lang w:val="en-US" w:eastAsia="x-none"/>
        </w:rPr>
        <w:t>to work on the remaining details.</w:t>
      </w:r>
    </w:p>
    <w:p w14:paraId="5F39DACF" w14:textId="4EB0786F" w:rsidR="00962640" w:rsidRDefault="00962640" w:rsidP="00962640">
      <w:pPr>
        <w:pStyle w:val="0Maintext"/>
        <w:numPr>
          <w:ilvl w:val="2"/>
          <w:numId w:val="25"/>
        </w:numPr>
        <w:spacing w:after="60" w:afterAutospacing="0" w:line="240" w:lineRule="auto"/>
        <w:ind w:hanging="357"/>
        <w:rPr>
          <w:rFonts w:ascii="Calibri" w:hAnsi="Calibri" w:cs="Calibri"/>
          <w:sz w:val="22"/>
          <w:lang w:val="en-US" w:eastAsia="x-none"/>
        </w:rPr>
      </w:pPr>
      <w:r w:rsidRPr="00BE6393">
        <w:rPr>
          <w:rFonts w:ascii="Calibri" w:hAnsi="Calibri" w:cs="Calibri" w:hint="eastAsia"/>
          <w:sz w:val="22"/>
          <w:lang w:val="en-US" w:eastAsia="x-none"/>
        </w:rPr>
        <w:t xml:space="preserve">Alt. 2: A responding SL UE can utilize a COT shared by a COT initiating UE when the responding SL UE is a target receiver of the </w:t>
      </w:r>
      <w:r w:rsidRPr="00516882">
        <w:rPr>
          <w:rFonts w:ascii="Calibri" w:hAnsi="Calibri" w:cs="Calibri" w:hint="eastAsia"/>
          <w:sz w:val="22"/>
          <w:lang w:val="en-US" w:eastAsia="x-none"/>
        </w:rPr>
        <w:t>COT initiating UE</w:t>
      </w:r>
      <w:r w:rsidRPr="00516882">
        <w:rPr>
          <w:rFonts w:ascii="Calibri" w:hAnsi="Calibri" w:cs="Calibri" w:hint="eastAsia"/>
          <w:sz w:val="22"/>
          <w:lang w:val="en-US" w:eastAsia="x-none"/>
        </w:rPr>
        <w:t>’</w:t>
      </w:r>
      <w:r w:rsidRPr="00516882">
        <w:rPr>
          <w:rFonts w:ascii="Calibri" w:hAnsi="Calibri" w:cs="Calibri" w:hint="eastAsia"/>
          <w:sz w:val="22"/>
          <w:lang w:val="en-US" w:eastAsia="x-none"/>
        </w:rPr>
        <w:t>s transmission</w:t>
      </w:r>
      <w:r w:rsidRPr="00BE6393">
        <w:rPr>
          <w:rFonts w:ascii="Calibri" w:hAnsi="Calibri" w:cs="Calibri" w:hint="eastAsia"/>
          <w:sz w:val="22"/>
          <w:u w:val="single"/>
          <w:lang w:val="en-US" w:eastAsia="x-none"/>
        </w:rPr>
        <w:t xml:space="preserve"> </w:t>
      </w:r>
      <w:r w:rsidRPr="00BE6393">
        <w:rPr>
          <w:rFonts w:ascii="Calibri" w:hAnsi="Calibri" w:cs="Calibri" w:hint="eastAsia"/>
          <w:sz w:val="22"/>
          <w:lang w:val="en-US" w:eastAsia="x-none"/>
        </w:rPr>
        <w:t>in the COT.</w:t>
      </w:r>
    </w:p>
    <w:p w14:paraId="63091835" w14:textId="2F9DED06" w:rsidR="00516882" w:rsidRPr="00516882" w:rsidRDefault="00516882" w:rsidP="00516882">
      <w:pPr>
        <w:pStyle w:val="0Maintext"/>
        <w:numPr>
          <w:ilvl w:val="3"/>
          <w:numId w:val="25"/>
        </w:numPr>
        <w:spacing w:after="60" w:afterAutospacing="0" w:line="240" w:lineRule="auto"/>
        <w:rPr>
          <w:rFonts w:asciiTheme="minorHAnsi" w:hAnsiTheme="minorHAnsi" w:cstheme="minorHAnsi"/>
          <w:sz w:val="22"/>
          <w:szCs w:val="22"/>
          <w:lang w:val="en-US" w:eastAsia="x-none"/>
        </w:rPr>
      </w:pPr>
      <w:r w:rsidRPr="00516882">
        <w:rPr>
          <w:rFonts w:asciiTheme="minorHAnsi" w:hAnsiTheme="minorHAnsi" w:cstheme="minorHAnsi"/>
          <w:sz w:val="22"/>
          <w:szCs w:val="22"/>
        </w:rPr>
        <w:t>When the responding UE uses the shared COT for its transmission has an equal or smaller CAPC value than the CAPC value indicated in a shared COT information</w:t>
      </w:r>
    </w:p>
    <w:p w14:paraId="1B72A884" w14:textId="77777777" w:rsidR="00516882" w:rsidRPr="00516882" w:rsidRDefault="00516882" w:rsidP="00516882">
      <w:pPr>
        <w:pStyle w:val="ListParagraph"/>
        <w:numPr>
          <w:ilvl w:val="3"/>
          <w:numId w:val="25"/>
        </w:numPr>
        <w:autoSpaceDE w:val="0"/>
        <w:autoSpaceDN w:val="0"/>
        <w:ind w:leftChars="0"/>
        <w:jc w:val="both"/>
        <w:rPr>
          <w:rFonts w:asciiTheme="minorHAnsi" w:hAnsiTheme="minorHAnsi" w:cstheme="minorHAnsi"/>
          <w:sz w:val="22"/>
          <w:szCs w:val="22"/>
        </w:rPr>
      </w:pPr>
      <w:r w:rsidRPr="00516882">
        <w:rPr>
          <w:rFonts w:asciiTheme="minorHAnsi" w:hAnsiTheme="minorHAnsi" w:cstheme="minorHAnsi"/>
          <w:sz w:val="22"/>
          <w:szCs w:val="22"/>
        </w:rPr>
        <w:t>FFS how to determine a SL UE is a target receiver</w:t>
      </w:r>
    </w:p>
    <w:p w14:paraId="18B79BB5" w14:textId="77777777" w:rsidR="00516882" w:rsidRPr="00516882" w:rsidRDefault="00516882" w:rsidP="00516882">
      <w:pPr>
        <w:pStyle w:val="ListParagraph"/>
        <w:numPr>
          <w:ilvl w:val="3"/>
          <w:numId w:val="25"/>
        </w:numPr>
        <w:autoSpaceDE w:val="0"/>
        <w:autoSpaceDN w:val="0"/>
        <w:ind w:leftChars="0"/>
        <w:jc w:val="both"/>
        <w:rPr>
          <w:rFonts w:asciiTheme="minorHAnsi" w:hAnsiTheme="minorHAnsi" w:cstheme="minorHAnsi"/>
          <w:sz w:val="22"/>
          <w:szCs w:val="22"/>
        </w:rPr>
      </w:pPr>
      <w:r w:rsidRPr="00516882">
        <w:rPr>
          <w:rFonts w:asciiTheme="minorHAnsi" w:hAnsiTheme="minorHAnsi" w:cstheme="minorHAnsi"/>
          <w:sz w:val="22"/>
          <w:szCs w:val="22"/>
        </w:rPr>
        <w:t>FFS: details of the channel type of the COT initiating UE’s transmission</w:t>
      </w:r>
    </w:p>
    <w:p w14:paraId="589AC2B0" w14:textId="240EA45C" w:rsidR="00516882" w:rsidRPr="00516882" w:rsidRDefault="00516882" w:rsidP="00516882">
      <w:pPr>
        <w:pStyle w:val="ListParagraph"/>
        <w:numPr>
          <w:ilvl w:val="3"/>
          <w:numId w:val="25"/>
        </w:numPr>
        <w:autoSpaceDE w:val="0"/>
        <w:autoSpaceDN w:val="0"/>
        <w:ind w:leftChars="0"/>
        <w:jc w:val="both"/>
        <w:rPr>
          <w:rFonts w:asciiTheme="minorHAnsi" w:hAnsiTheme="minorHAnsi" w:cstheme="minorHAnsi"/>
          <w:sz w:val="22"/>
          <w:szCs w:val="22"/>
        </w:rPr>
      </w:pPr>
      <w:r w:rsidRPr="00516882">
        <w:rPr>
          <w:rFonts w:asciiTheme="minorHAnsi" w:hAnsiTheme="minorHAnsi" w:cstheme="minorHAnsi"/>
          <w:sz w:val="22"/>
          <w:szCs w:val="22"/>
        </w:rPr>
        <w:t>FFS any additional conditions</w:t>
      </w:r>
    </w:p>
    <w:p w14:paraId="498C16E2" w14:textId="77777777" w:rsidR="00962640" w:rsidRPr="00BE6393" w:rsidRDefault="00962640" w:rsidP="00962640">
      <w:pPr>
        <w:pStyle w:val="0Maintext"/>
        <w:numPr>
          <w:ilvl w:val="1"/>
          <w:numId w:val="25"/>
        </w:numPr>
        <w:spacing w:after="60" w:afterAutospacing="0" w:line="240" w:lineRule="auto"/>
        <w:ind w:hanging="357"/>
        <w:rPr>
          <w:rFonts w:ascii="Calibri" w:hAnsi="Calibri" w:cs="Calibri"/>
          <w:sz w:val="22"/>
          <w:lang w:val="en-US" w:eastAsia="x-none"/>
        </w:rPr>
      </w:pPr>
      <w:r w:rsidRPr="00BE6393">
        <w:rPr>
          <w:rFonts w:ascii="Calibri" w:hAnsi="Calibri" w:cs="Calibri" w:hint="eastAsia"/>
          <w:sz w:val="22"/>
          <w:lang w:val="en-US" w:eastAsia="x-none"/>
        </w:rPr>
        <w:t>Contents of COT sharing information includes the followings:</w:t>
      </w:r>
    </w:p>
    <w:p w14:paraId="1E56B438" w14:textId="295F9496" w:rsidR="00962640" w:rsidRPr="00067664" w:rsidRDefault="00962640" w:rsidP="00962640">
      <w:pPr>
        <w:pStyle w:val="0Maintext"/>
        <w:numPr>
          <w:ilvl w:val="2"/>
          <w:numId w:val="25"/>
        </w:numPr>
        <w:spacing w:after="60" w:afterAutospacing="0" w:line="240" w:lineRule="auto"/>
        <w:ind w:hanging="357"/>
        <w:rPr>
          <w:rFonts w:ascii="Calibri" w:hAnsi="Calibri" w:cs="Calibri"/>
          <w:sz w:val="22"/>
          <w:lang w:val="en-US" w:eastAsia="x-none"/>
        </w:rPr>
      </w:pPr>
      <w:r w:rsidRPr="00BE6393">
        <w:rPr>
          <w:rFonts w:ascii="Calibri" w:hAnsi="Calibri" w:cs="Calibri" w:hint="eastAsia"/>
          <w:sz w:val="22"/>
          <w:lang w:eastAsia="x-none"/>
        </w:rPr>
        <w:t>CAPC level</w:t>
      </w:r>
    </w:p>
    <w:p w14:paraId="52D40ED1" w14:textId="0B28B008" w:rsidR="00067664" w:rsidRPr="00067664" w:rsidRDefault="00067664" w:rsidP="00067664">
      <w:pPr>
        <w:pStyle w:val="0Maintext"/>
        <w:numPr>
          <w:ilvl w:val="3"/>
          <w:numId w:val="25"/>
        </w:numPr>
        <w:spacing w:after="60" w:afterAutospacing="0" w:line="240" w:lineRule="auto"/>
        <w:rPr>
          <w:rFonts w:ascii="Calibri" w:hAnsi="Calibri" w:cs="Calibri"/>
          <w:color w:val="FF0000"/>
          <w:sz w:val="22"/>
          <w:lang w:val="en-US" w:eastAsia="x-none"/>
        </w:rPr>
      </w:pPr>
      <w:r w:rsidRPr="00067664">
        <w:rPr>
          <w:rFonts w:ascii="Calibri" w:hAnsi="Calibri" w:cs="Calibri"/>
          <w:color w:val="FF0000"/>
          <w:sz w:val="22"/>
          <w:lang w:eastAsia="x-none"/>
        </w:rPr>
        <w:t>FFS where this is also indicated when a COT is not shared</w:t>
      </w:r>
    </w:p>
    <w:p w14:paraId="7F4C9332" w14:textId="77777777" w:rsidR="00962640" w:rsidRPr="00BE6393" w:rsidRDefault="00962640" w:rsidP="00962640">
      <w:pPr>
        <w:pStyle w:val="0Maintext"/>
        <w:numPr>
          <w:ilvl w:val="2"/>
          <w:numId w:val="25"/>
        </w:numPr>
        <w:spacing w:after="60" w:afterAutospacing="0" w:line="240" w:lineRule="auto"/>
        <w:ind w:hanging="357"/>
        <w:rPr>
          <w:rFonts w:ascii="Calibri" w:hAnsi="Calibri" w:cs="Calibri"/>
          <w:sz w:val="22"/>
          <w:lang w:val="en-US" w:eastAsia="x-none"/>
        </w:rPr>
      </w:pPr>
      <w:r w:rsidRPr="00BE6393">
        <w:rPr>
          <w:rFonts w:ascii="Calibri" w:hAnsi="Calibri" w:cs="Calibri" w:hint="eastAsia"/>
          <w:sz w:val="22"/>
          <w:lang w:eastAsia="x-none"/>
        </w:rPr>
        <w:t>Remaining COT duration (e.g., number of SL slots or ms)</w:t>
      </w:r>
    </w:p>
    <w:p w14:paraId="37B7D09D" w14:textId="3E4DC497" w:rsidR="00962640" w:rsidRPr="00BE6393" w:rsidRDefault="00962640" w:rsidP="00962640">
      <w:pPr>
        <w:pStyle w:val="0Maintext"/>
        <w:numPr>
          <w:ilvl w:val="2"/>
          <w:numId w:val="25"/>
        </w:numPr>
        <w:spacing w:after="60" w:afterAutospacing="0" w:line="240" w:lineRule="auto"/>
        <w:ind w:hanging="357"/>
        <w:rPr>
          <w:rFonts w:ascii="Calibri" w:hAnsi="Calibri" w:cs="Calibri"/>
          <w:sz w:val="22"/>
          <w:lang w:val="en-US" w:eastAsia="x-none"/>
        </w:rPr>
      </w:pPr>
      <w:r w:rsidRPr="00BE6393">
        <w:rPr>
          <w:rFonts w:ascii="Calibri" w:hAnsi="Calibri" w:cs="Calibri" w:hint="eastAsia"/>
          <w:sz w:val="22"/>
          <w:lang w:eastAsia="x-none"/>
        </w:rPr>
        <w:t>L1 ID</w:t>
      </w:r>
      <w:r>
        <w:rPr>
          <w:rFonts w:ascii="Calibri" w:hAnsi="Calibri" w:cs="Calibri"/>
          <w:sz w:val="22"/>
          <w:lang w:eastAsia="x-none"/>
        </w:rPr>
        <w:t xml:space="preserve"> (e.g., </w:t>
      </w:r>
      <w:r w:rsidR="00630745" w:rsidRPr="00630745">
        <w:rPr>
          <w:rFonts w:ascii="Calibri" w:hAnsi="Calibri" w:cs="Calibri"/>
          <w:color w:val="FF0000"/>
          <w:sz w:val="22"/>
          <w:lang w:eastAsia="x-none"/>
        </w:rPr>
        <w:t xml:space="preserve">legacy </w:t>
      </w:r>
      <w:r w:rsidRPr="00BE6393">
        <w:rPr>
          <w:rFonts w:ascii="Calibri" w:hAnsi="Calibri" w:cs="Calibri" w:hint="eastAsia"/>
          <w:sz w:val="22"/>
          <w:lang w:eastAsia="x-none"/>
        </w:rPr>
        <w:t>destination ID and/or source ID</w:t>
      </w:r>
      <w:r>
        <w:rPr>
          <w:rFonts w:ascii="Calibri" w:hAnsi="Calibri" w:cs="Calibri"/>
          <w:sz w:val="22"/>
          <w:lang w:eastAsia="x-none"/>
        </w:rPr>
        <w:t>)</w:t>
      </w:r>
    </w:p>
    <w:p w14:paraId="21CADCCC" w14:textId="61E65465" w:rsidR="00962640" w:rsidRPr="00BE6393" w:rsidRDefault="00962640" w:rsidP="00962640">
      <w:pPr>
        <w:pStyle w:val="0Maintext"/>
        <w:numPr>
          <w:ilvl w:val="2"/>
          <w:numId w:val="25"/>
        </w:numPr>
        <w:spacing w:after="60" w:afterAutospacing="0" w:line="240" w:lineRule="auto"/>
        <w:ind w:hanging="357"/>
        <w:rPr>
          <w:rFonts w:ascii="Calibri" w:hAnsi="Calibri" w:cs="Calibri"/>
          <w:sz w:val="22"/>
          <w:lang w:val="en-US" w:eastAsia="x-none"/>
        </w:rPr>
      </w:pPr>
      <w:r w:rsidRPr="00BE6393">
        <w:rPr>
          <w:rFonts w:ascii="Calibri" w:hAnsi="Calibri" w:cs="Calibri" w:hint="eastAsia"/>
          <w:sz w:val="22"/>
          <w:lang w:eastAsia="x-none"/>
        </w:rPr>
        <w:t xml:space="preserve">FFS any others </w:t>
      </w:r>
      <w:r w:rsidR="003452EE" w:rsidRPr="003452EE">
        <w:rPr>
          <w:rFonts w:ascii="Calibri" w:hAnsi="Calibri" w:cs="Calibri"/>
          <w:color w:val="FF0000"/>
          <w:sz w:val="22"/>
          <w:lang w:eastAsia="x-none"/>
        </w:rPr>
        <w:t xml:space="preserve">and details </w:t>
      </w:r>
      <w:r w:rsidRPr="00BE6393">
        <w:rPr>
          <w:rFonts w:ascii="Calibri" w:hAnsi="Calibri" w:cs="Calibri" w:hint="eastAsia"/>
          <w:sz w:val="22"/>
          <w:lang w:eastAsia="x-none"/>
        </w:rPr>
        <w:t>(e.g., information on time and frequency resources)</w:t>
      </w:r>
    </w:p>
    <w:p w14:paraId="7E8535B4" w14:textId="6337F2B5" w:rsidR="00962640" w:rsidRPr="00BE6393" w:rsidRDefault="00962640" w:rsidP="00962640">
      <w:pPr>
        <w:pStyle w:val="0Maintext"/>
        <w:numPr>
          <w:ilvl w:val="1"/>
          <w:numId w:val="25"/>
        </w:numPr>
        <w:spacing w:after="60" w:afterAutospacing="0" w:line="240" w:lineRule="auto"/>
        <w:ind w:hanging="357"/>
        <w:rPr>
          <w:rFonts w:ascii="Calibri" w:hAnsi="Calibri" w:cs="Calibri"/>
          <w:sz w:val="22"/>
          <w:lang w:val="en-US" w:eastAsia="x-none"/>
        </w:rPr>
      </w:pPr>
      <w:r w:rsidRPr="00BE6393">
        <w:rPr>
          <w:rFonts w:ascii="Calibri" w:hAnsi="Calibri" w:cs="Calibri" w:hint="eastAsia"/>
          <w:sz w:val="22"/>
          <w:lang w:val="en-US" w:eastAsia="x-none"/>
        </w:rPr>
        <w:t>Container</w:t>
      </w:r>
      <w:r w:rsidRPr="008B24DB">
        <w:rPr>
          <w:rFonts w:ascii="Calibri" w:hAnsi="Calibri" w:cs="Calibri" w:hint="eastAsia"/>
          <w:strike/>
          <w:color w:val="FF0000"/>
          <w:sz w:val="22"/>
          <w:lang w:val="en-US" w:eastAsia="x-none"/>
        </w:rPr>
        <w:t>(s)</w:t>
      </w:r>
      <w:r w:rsidRPr="00BE6393">
        <w:rPr>
          <w:rFonts w:ascii="Calibri" w:hAnsi="Calibri" w:cs="Calibri" w:hint="eastAsia"/>
          <w:sz w:val="22"/>
          <w:lang w:val="en-US" w:eastAsia="x-none"/>
        </w:rPr>
        <w:t xml:space="preserve"> for the COT sharing information</w:t>
      </w:r>
      <w:r w:rsidR="006537C7">
        <w:rPr>
          <w:rFonts w:ascii="Calibri" w:hAnsi="Calibri" w:cs="Calibri"/>
          <w:sz w:val="22"/>
          <w:lang w:val="en-US" w:eastAsia="x-none"/>
        </w:rPr>
        <w:t xml:space="preserve"> </w:t>
      </w:r>
      <w:r w:rsidR="006537C7" w:rsidRPr="006537C7">
        <w:rPr>
          <w:rFonts w:ascii="Calibri" w:hAnsi="Calibri" w:cs="Calibri"/>
          <w:color w:val="FF0000"/>
          <w:sz w:val="22"/>
          <w:lang w:val="en-US" w:eastAsia="x-none"/>
        </w:rPr>
        <w:t>is</w:t>
      </w:r>
    </w:p>
    <w:p w14:paraId="576A320D" w14:textId="77777777" w:rsidR="00962640" w:rsidRPr="00BE6393" w:rsidRDefault="00962640" w:rsidP="00962640">
      <w:pPr>
        <w:pStyle w:val="0Maintext"/>
        <w:numPr>
          <w:ilvl w:val="2"/>
          <w:numId w:val="25"/>
        </w:numPr>
        <w:spacing w:after="60" w:afterAutospacing="0" w:line="240" w:lineRule="auto"/>
        <w:ind w:hanging="357"/>
        <w:rPr>
          <w:rFonts w:ascii="Calibri" w:hAnsi="Calibri" w:cs="Calibri"/>
          <w:sz w:val="22"/>
          <w:lang w:val="en-US" w:eastAsia="x-none"/>
        </w:rPr>
      </w:pPr>
      <w:r w:rsidRPr="00067664">
        <w:rPr>
          <w:rFonts w:ascii="Calibri" w:hAnsi="Calibri" w:cs="Calibri" w:hint="eastAsia"/>
          <w:strike/>
          <w:color w:val="FF0000"/>
          <w:sz w:val="22"/>
          <w:lang w:val="en-US" w:eastAsia="x-none"/>
        </w:rPr>
        <w:lastRenderedPageBreak/>
        <w:t>Option 1:</w:t>
      </w:r>
      <w:r w:rsidRPr="00067664">
        <w:rPr>
          <w:rFonts w:ascii="Calibri" w:hAnsi="Calibri" w:cs="Calibri" w:hint="eastAsia"/>
          <w:color w:val="FF0000"/>
          <w:sz w:val="22"/>
          <w:lang w:val="en-US" w:eastAsia="x-none"/>
        </w:rPr>
        <w:t xml:space="preserve"> </w:t>
      </w:r>
      <w:r w:rsidRPr="00BE6393">
        <w:rPr>
          <w:rFonts w:ascii="Calibri" w:hAnsi="Calibri" w:cs="Calibri" w:hint="eastAsia"/>
          <w:sz w:val="22"/>
          <w:lang w:val="en-US" w:eastAsia="x-none"/>
        </w:rPr>
        <w:t>SCI (e.g., 1</w:t>
      </w:r>
      <w:r w:rsidRPr="00BE6393">
        <w:rPr>
          <w:rFonts w:ascii="Calibri" w:hAnsi="Calibri" w:cs="Calibri" w:hint="eastAsia"/>
          <w:sz w:val="22"/>
          <w:vertAlign w:val="superscript"/>
          <w:lang w:val="en-US" w:eastAsia="x-none"/>
        </w:rPr>
        <w:t>st</w:t>
      </w:r>
      <w:r w:rsidRPr="00BE6393">
        <w:rPr>
          <w:rFonts w:ascii="Calibri" w:hAnsi="Calibri" w:cs="Calibri" w:hint="eastAsia"/>
          <w:sz w:val="22"/>
          <w:lang w:val="en-US" w:eastAsia="x-none"/>
        </w:rPr>
        <w:t xml:space="preserve"> and/or 2</w:t>
      </w:r>
      <w:r w:rsidRPr="00BE6393">
        <w:rPr>
          <w:rFonts w:ascii="Calibri" w:hAnsi="Calibri" w:cs="Calibri" w:hint="eastAsia"/>
          <w:sz w:val="22"/>
          <w:vertAlign w:val="superscript"/>
          <w:lang w:val="en-US" w:eastAsia="x-none"/>
        </w:rPr>
        <w:t>nd</w:t>
      </w:r>
      <w:r w:rsidRPr="00BE6393">
        <w:rPr>
          <w:rFonts w:ascii="Calibri" w:hAnsi="Calibri" w:cs="Calibri" w:hint="eastAsia"/>
          <w:sz w:val="22"/>
          <w:lang w:val="en-US" w:eastAsia="x-none"/>
        </w:rPr>
        <w:t xml:space="preserve"> stage SCI)</w:t>
      </w:r>
    </w:p>
    <w:p w14:paraId="200EF9B6" w14:textId="77777777" w:rsidR="00962640" w:rsidRDefault="00962640" w:rsidP="00962640">
      <w:pPr>
        <w:pStyle w:val="0Maintext"/>
        <w:numPr>
          <w:ilvl w:val="3"/>
          <w:numId w:val="25"/>
        </w:numPr>
        <w:spacing w:after="60" w:afterAutospacing="0" w:line="240" w:lineRule="auto"/>
        <w:ind w:hanging="357"/>
        <w:rPr>
          <w:rFonts w:ascii="Calibri" w:hAnsi="Calibri" w:cs="Calibri"/>
          <w:sz w:val="22"/>
          <w:lang w:val="en-US" w:eastAsia="x-none"/>
        </w:rPr>
      </w:pPr>
      <w:r w:rsidRPr="00BE6393">
        <w:rPr>
          <w:rFonts w:ascii="Calibri" w:hAnsi="Calibri" w:cs="Calibri" w:hint="eastAsia"/>
          <w:sz w:val="22"/>
          <w:lang w:val="en-US" w:eastAsia="x-none"/>
        </w:rPr>
        <w:t>FFS whether a new 1</w:t>
      </w:r>
      <w:r w:rsidRPr="00BE6393">
        <w:rPr>
          <w:rFonts w:ascii="Calibri" w:hAnsi="Calibri" w:cs="Calibri" w:hint="eastAsia"/>
          <w:sz w:val="22"/>
          <w:vertAlign w:val="superscript"/>
          <w:lang w:val="en-US" w:eastAsia="x-none"/>
        </w:rPr>
        <w:t>st</w:t>
      </w:r>
      <w:r w:rsidRPr="00BE6393">
        <w:rPr>
          <w:rFonts w:ascii="Calibri" w:hAnsi="Calibri" w:cs="Calibri" w:hint="eastAsia"/>
          <w:sz w:val="22"/>
          <w:lang w:val="en-US" w:eastAsia="x-none"/>
        </w:rPr>
        <w:t xml:space="preserve"> and/or 2</w:t>
      </w:r>
      <w:r w:rsidRPr="00BE6393">
        <w:rPr>
          <w:rFonts w:ascii="Calibri" w:hAnsi="Calibri" w:cs="Calibri" w:hint="eastAsia"/>
          <w:sz w:val="22"/>
          <w:vertAlign w:val="superscript"/>
          <w:lang w:val="en-US" w:eastAsia="x-none"/>
        </w:rPr>
        <w:t>nd</w:t>
      </w:r>
      <w:r w:rsidRPr="00BE6393">
        <w:rPr>
          <w:rFonts w:ascii="Calibri" w:hAnsi="Calibri" w:cs="Calibri" w:hint="eastAsia"/>
          <w:sz w:val="22"/>
          <w:lang w:val="en-US" w:eastAsia="x-none"/>
        </w:rPr>
        <w:t xml:space="preserve"> stage SCI format is needed (maybe consider together with SCI format(s) for SL-U and MCSt operation)</w:t>
      </w:r>
    </w:p>
    <w:p w14:paraId="798E7E8D" w14:textId="2DBD4F59" w:rsidR="00962640" w:rsidRPr="00067664" w:rsidRDefault="00962640" w:rsidP="00962640">
      <w:pPr>
        <w:pStyle w:val="0Maintext"/>
        <w:numPr>
          <w:ilvl w:val="2"/>
          <w:numId w:val="25"/>
        </w:numPr>
        <w:spacing w:after="120" w:afterAutospacing="0" w:line="240" w:lineRule="auto"/>
        <w:rPr>
          <w:rFonts w:ascii="Calibri" w:hAnsi="Calibri" w:cs="Calibri"/>
          <w:strike/>
          <w:color w:val="FF0000"/>
          <w:sz w:val="22"/>
          <w:lang w:val="en-US" w:eastAsia="x-none"/>
        </w:rPr>
      </w:pPr>
      <w:r w:rsidRPr="00067664">
        <w:rPr>
          <w:rFonts w:ascii="Calibri" w:hAnsi="Calibri" w:cs="Calibri" w:hint="eastAsia"/>
          <w:strike/>
          <w:color w:val="FF0000"/>
          <w:sz w:val="22"/>
          <w:lang w:val="en-US" w:eastAsia="x-none"/>
        </w:rPr>
        <w:t>Option 2: MAC CE</w:t>
      </w:r>
    </w:p>
    <w:p w14:paraId="5299CDAA" w14:textId="75DBF0C8" w:rsidR="003452EE" w:rsidRDefault="003452EE" w:rsidP="003452EE">
      <w:pPr>
        <w:pStyle w:val="0Maintext"/>
        <w:numPr>
          <w:ilvl w:val="0"/>
          <w:numId w:val="25"/>
        </w:numPr>
        <w:spacing w:after="120" w:afterAutospacing="0" w:line="240" w:lineRule="auto"/>
        <w:rPr>
          <w:rFonts w:ascii="Calibri" w:hAnsi="Calibri" w:cs="Calibri"/>
          <w:sz w:val="22"/>
          <w:lang w:val="en-US" w:eastAsia="x-none"/>
        </w:rPr>
      </w:pPr>
      <w:r>
        <w:rPr>
          <w:rFonts w:ascii="Calibri" w:hAnsi="Calibri" w:cs="Calibri"/>
          <w:color w:val="FF0000"/>
          <w:sz w:val="22"/>
          <w:lang w:val="en-US"/>
        </w:rPr>
        <w:t>FFS UE-to-UE COT sharing started with S-SSB or PSFCH from the initiator</w:t>
      </w:r>
    </w:p>
    <w:p w14:paraId="6D4E2FA4" w14:textId="28A35871" w:rsidR="00962640" w:rsidRDefault="00962640" w:rsidP="00BE6393">
      <w:pPr>
        <w:rPr>
          <w:lang w:eastAsia="x-none"/>
        </w:rPr>
      </w:pPr>
    </w:p>
    <w:tbl>
      <w:tblPr>
        <w:tblStyle w:val="TableGrid"/>
        <w:tblW w:w="9631" w:type="dxa"/>
        <w:tblLayout w:type="fixed"/>
        <w:tblLook w:val="04A0" w:firstRow="1" w:lastRow="0" w:firstColumn="1" w:lastColumn="0" w:noHBand="0" w:noVBand="1"/>
      </w:tblPr>
      <w:tblGrid>
        <w:gridCol w:w="1555"/>
        <w:gridCol w:w="8076"/>
      </w:tblGrid>
      <w:tr w:rsidR="00962640" w14:paraId="68988AA4" w14:textId="77777777" w:rsidTr="005A0613">
        <w:tc>
          <w:tcPr>
            <w:tcW w:w="1555" w:type="dxa"/>
          </w:tcPr>
          <w:p w14:paraId="07EBDEE3" w14:textId="77777777" w:rsidR="00962640" w:rsidRDefault="00962640" w:rsidP="006B2419">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8076" w:type="dxa"/>
          </w:tcPr>
          <w:p w14:paraId="7ED265CE" w14:textId="77777777" w:rsidR="00962640" w:rsidRDefault="00962640" w:rsidP="006B2419">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961C87" w14:paraId="42BDB716" w14:textId="77777777" w:rsidTr="005A0613">
        <w:tc>
          <w:tcPr>
            <w:tcW w:w="1555" w:type="dxa"/>
          </w:tcPr>
          <w:p w14:paraId="3F0BAAB1" w14:textId="0FDF010E" w:rsidR="00961C87" w:rsidRDefault="00961C87" w:rsidP="00961C87">
            <w:pPr>
              <w:pStyle w:val="0Maintext"/>
              <w:spacing w:after="0" w:afterAutospacing="0"/>
              <w:ind w:firstLine="0"/>
            </w:pPr>
            <w:r>
              <w:rPr>
                <w:rFonts w:hint="eastAsia"/>
                <w:lang w:eastAsia="ko-KR"/>
              </w:rPr>
              <w:t>LGE</w:t>
            </w:r>
          </w:p>
        </w:tc>
        <w:tc>
          <w:tcPr>
            <w:tcW w:w="8076" w:type="dxa"/>
          </w:tcPr>
          <w:p w14:paraId="79383758" w14:textId="77777777" w:rsidR="00961C87" w:rsidRDefault="00961C87" w:rsidP="00961C87">
            <w:pPr>
              <w:pStyle w:val="0Maintext"/>
              <w:spacing w:after="0" w:afterAutospacing="0"/>
              <w:ind w:firstLine="0"/>
              <w:rPr>
                <w:lang w:eastAsia="ko-KR"/>
              </w:rPr>
            </w:pPr>
            <w:r>
              <w:rPr>
                <w:rFonts w:hint="eastAsia"/>
                <w:lang w:eastAsia="ko-KR"/>
              </w:rPr>
              <w:t xml:space="preserve">Regardless of whether we go to Alt 1 or Alt 2, from our side, it is important </w:t>
            </w:r>
            <w:r>
              <w:rPr>
                <w:lang w:eastAsia="ko-KR"/>
              </w:rPr>
              <w:t xml:space="preserve">how to ensure the COT responded UE will transmit SL channel(s) to the COT initiator UE within the shared COT duration. </w:t>
            </w:r>
          </w:p>
          <w:p w14:paraId="7CB0332F" w14:textId="77777777" w:rsidR="00961C87" w:rsidRDefault="00961C87" w:rsidP="00961C87">
            <w:pPr>
              <w:pStyle w:val="0Maintext"/>
              <w:spacing w:after="0" w:afterAutospacing="0"/>
              <w:ind w:firstLine="0"/>
              <w:rPr>
                <w:lang w:eastAsia="ko-KR"/>
              </w:rPr>
            </w:pPr>
          </w:p>
          <w:p w14:paraId="0EA89AF9" w14:textId="77777777" w:rsidR="00961C87" w:rsidRDefault="00961C87" w:rsidP="00961C87">
            <w:pPr>
              <w:pStyle w:val="0Maintext"/>
              <w:spacing w:after="0" w:afterAutospacing="0"/>
              <w:ind w:firstLine="0"/>
              <w:rPr>
                <w:lang w:eastAsia="ko-KR"/>
              </w:rPr>
            </w:pPr>
            <w:r>
              <w:rPr>
                <w:lang w:eastAsia="ko-KR"/>
              </w:rPr>
              <w:t>In Alt 1, this things can be simply guaranteed. For instance, for unicast, the COT responded UE’s transmission will use the source ID of the COT initiator UE’s PSSCH as the destination ID. For groupcast or broadcast, the COT responded UE’s transmission will use the destination ID of the COT initiator UE’s PSSCH as the destination ID.</w:t>
            </w:r>
          </w:p>
          <w:p w14:paraId="754DF089" w14:textId="77777777" w:rsidR="00961C87" w:rsidRDefault="00961C87" w:rsidP="00961C87">
            <w:pPr>
              <w:pStyle w:val="0Maintext"/>
              <w:spacing w:after="0" w:afterAutospacing="0"/>
              <w:ind w:firstLine="0"/>
              <w:rPr>
                <w:lang w:eastAsia="ko-KR"/>
              </w:rPr>
            </w:pPr>
          </w:p>
          <w:p w14:paraId="4A11ACCF" w14:textId="77777777" w:rsidR="00961C87" w:rsidRDefault="00961C87" w:rsidP="00961C87">
            <w:pPr>
              <w:pStyle w:val="0Maintext"/>
              <w:spacing w:after="0" w:afterAutospacing="0"/>
              <w:ind w:firstLine="0"/>
              <w:rPr>
                <w:lang w:eastAsia="ko-KR"/>
              </w:rPr>
            </w:pPr>
            <w:r>
              <w:rPr>
                <w:rFonts w:hint="eastAsia"/>
                <w:lang w:eastAsia="ko-KR"/>
              </w:rPr>
              <w:t xml:space="preserve">In Alt 2, if the COT sharing </w:t>
            </w:r>
            <w:r>
              <w:rPr>
                <w:lang w:eastAsia="ko-KR"/>
              </w:rPr>
              <w:t>information</w:t>
            </w:r>
            <w:r>
              <w:rPr>
                <w:rFonts w:hint="eastAsia"/>
                <w:lang w:eastAsia="ko-KR"/>
              </w:rPr>
              <w:t xml:space="preserve"> </w:t>
            </w:r>
            <w:r>
              <w:rPr>
                <w:lang w:eastAsia="ko-KR"/>
              </w:rPr>
              <w:t xml:space="preserve">is conveyed with unicast data of the COT initiator UE, and if the COT responded UE is not the intended UE of the unicast data, it is still necessary to ensure the COT responded UE will transmit SL channel(s) to the COT initiator UE within the shared COT duration. Since source ID of the COT initiator UE will be different across different unicast session or cast type, it is not always possible that the COT responded UE simply use the source ID of PSSCH conveying COT sharing information for its destination ID. In other words, even though the COT responded UE uses the source ID of the COT initiator UE’s data transmission as its destination ID, the COT responded UE’s transmission would not target the COT initiator UE. </w:t>
            </w:r>
          </w:p>
          <w:p w14:paraId="231F508D" w14:textId="77777777" w:rsidR="00961C87" w:rsidRDefault="00961C87" w:rsidP="00961C87">
            <w:pPr>
              <w:pStyle w:val="0Maintext"/>
              <w:spacing w:after="0" w:afterAutospacing="0"/>
              <w:ind w:firstLine="0"/>
              <w:rPr>
                <w:lang w:eastAsia="ko-KR"/>
              </w:rPr>
            </w:pPr>
            <w:r>
              <w:rPr>
                <w:lang w:eastAsia="ko-KR"/>
              </w:rPr>
              <w:t xml:space="preserve">If the additional ID is used to distinguish UE, and if the COT responded UE uses this new ID, then it will definitely have RAN2 impact. </w:t>
            </w:r>
          </w:p>
          <w:p w14:paraId="0361F26A" w14:textId="77777777" w:rsidR="00961C87" w:rsidRDefault="00961C87" w:rsidP="00961C87">
            <w:pPr>
              <w:pStyle w:val="0Maintext"/>
              <w:spacing w:after="0" w:afterAutospacing="0"/>
              <w:ind w:firstLine="0"/>
              <w:rPr>
                <w:lang w:eastAsia="ko-KR"/>
              </w:rPr>
            </w:pPr>
          </w:p>
          <w:p w14:paraId="3DA01E78" w14:textId="5F9D8108" w:rsidR="00961C87" w:rsidRDefault="00961C87" w:rsidP="00961C87">
            <w:pPr>
              <w:pStyle w:val="0Maintext"/>
              <w:spacing w:after="0" w:afterAutospacing="0"/>
              <w:ind w:firstLine="0"/>
            </w:pPr>
            <w:r>
              <w:rPr>
                <w:lang w:eastAsia="ko-KR"/>
              </w:rPr>
              <w:t>In short, for Alt 2, at least, we need more discussion on “</w:t>
            </w:r>
            <w:r w:rsidRPr="002725DE">
              <w:rPr>
                <w:color w:val="FF0000"/>
                <w:lang w:eastAsia="ko-KR"/>
              </w:rPr>
              <w:t>how to ensure the COT responded UE will transmit SL channel(s) to the COT initiator UE within the shared COT duration</w:t>
            </w:r>
            <w:r>
              <w:rPr>
                <w:lang w:eastAsia="ko-KR"/>
              </w:rPr>
              <w:t xml:space="preserve">” </w:t>
            </w:r>
          </w:p>
        </w:tc>
      </w:tr>
      <w:tr w:rsidR="00201A4C" w14:paraId="4F837102" w14:textId="77777777" w:rsidTr="005A0613">
        <w:tc>
          <w:tcPr>
            <w:tcW w:w="1555" w:type="dxa"/>
          </w:tcPr>
          <w:p w14:paraId="0325AA80" w14:textId="3A9EB667" w:rsidR="00201A4C" w:rsidRDefault="00201A4C" w:rsidP="00201A4C">
            <w:pPr>
              <w:pStyle w:val="0Maintext"/>
              <w:spacing w:after="0" w:afterAutospacing="0"/>
              <w:ind w:firstLine="0"/>
            </w:pPr>
            <w:r>
              <w:rPr>
                <w:rFonts w:eastAsiaTheme="minorEastAsia" w:hint="eastAsia"/>
                <w:lang w:eastAsia="zh-CN"/>
              </w:rPr>
              <w:t>O</w:t>
            </w:r>
            <w:r>
              <w:rPr>
                <w:rFonts w:eastAsiaTheme="minorEastAsia"/>
                <w:lang w:eastAsia="zh-CN"/>
              </w:rPr>
              <w:t>PPO</w:t>
            </w:r>
          </w:p>
        </w:tc>
        <w:tc>
          <w:tcPr>
            <w:tcW w:w="8076" w:type="dxa"/>
          </w:tcPr>
          <w:p w14:paraId="570AAC5E" w14:textId="75C853B3" w:rsidR="00201A4C" w:rsidRDefault="00201A4C" w:rsidP="00201A4C">
            <w:pPr>
              <w:pStyle w:val="0Maintext"/>
              <w:spacing w:after="0" w:afterAutospacing="0"/>
              <w:ind w:firstLine="0"/>
            </w:pPr>
            <w:r>
              <w:rPr>
                <w:rFonts w:eastAsiaTheme="minorEastAsia" w:hint="eastAsia"/>
                <w:lang w:eastAsia="zh-CN"/>
              </w:rPr>
              <w:t>s</w:t>
            </w:r>
            <w:r>
              <w:rPr>
                <w:rFonts w:eastAsiaTheme="minorEastAsia"/>
                <w:lang w:eastAsia="zh-CN"/>
              </w:rPr>
              <w:t>upport</w:t>
            </w:r>
          </w:p>
        </w:tc>
      </w:tr>
      <w:tr w:rsidR="00D6367A" w:rsidRPr="00D6367A" w14:paraId="090CF991" w14:textId="77777777" w:rsidTr="005A0613">
        <w:tc>
          <w:tcPr>
            <w:tcW w:w="1555" w:type="dxa"/>
          </w:tcPr>
          <w:p w14:paraId="009348ED" w14:textId="39FF263D" w:rsidR="00D6367A" w:rsidRPr="00D6367A" w:rsidRDefault="00D6367A" w:rsidP="00D6367A">
            <w:pPr>
              <w:pStyle w:val="0Maintext"/>
              <w:spacing w:after="0" w:afterAutospacing="0"/>
              <w:ind w:firstLine="0"/>
            </w:pPr>
            <w:r w:rsidRPr="00C30C02">
              <w:t>DCM</w:t>
            </w:r>
          </w:p>
        </w:tc>
        <w:tc>
          <w:tcPr>
            <w:tcW w:w="8076" w:type="dxa"/>
          </w:tcPr>
          <w:p w14:paraId="2D614E7E" w14:textId="0C6AC7F5" w:rsidR="00D6367A" w:rsidRPr="00D6367A" w:rsidRDefault="00D6367A" w:rsidP="00D6367A">
            <w:pPr>
              <w:pStyle w:val="0Maintext"/>
              <w:spacing w:after="0" w:afterAutospacing="0"/>
              <w:ind w:firstLine="0"/>
            </w:pPr>
            <w:r w:rsidRPr="00C30C02">
              <w:t>OK with the current proposal, and the LGE’s suggestion would be good point.</w:t>
            </w:r>
          </w:p>
        </w:tc>
      </w:tr>
      <w:tr w:rsidR="009F0301" w14:paraId="162028C3" w14:textId="77777777" w:rsidTr="005A0613">
        <w:tc>
          <w:tcPr>
            <w:tcW w:w="1555" w:type="dxa"/>
          </w:tcPr>
          <w:p w14:paraId="51CEDAB9" w14:textId="6D2B196C" w:rsidR="009F0301" w:rsidRPr="009F0301" w:rsidRDefault="009F0301" w:rsidP="009F0301">
            <w:pPr>
              <w:pStyle w:val="0Maintext"/>
              <w:spacing w:after="0" w:afterAutospacing="0"/>
              <w:ind w:firstLine="0"/>
            </w:pPr>
            <w:r>
              <w:rPr>
                <w:rFonts w:eastAsiaTheme="minorEastAsia" w:hint="eastAsia"/>
                <w:lang w:eastAsia="zh-CN"/>
              </w:rPr>
              <w:t>F</w:t>
            </w:r>
            <w:r>
              <w:rPr>
                <w:rFonts w:eastAsiaTheme="minorEastAsia"/>
                <w:lang w:eastAsia="zh-CN"/>
              </w:rPr>
              <w:t>ujitsu</w:t>
            </w:r>
          </w:p>
        </w:tc>
        <w:tc>
          <w:tcPr>
            <w:tcW w:w="8076" w:type="dxa"/>
          </w:tcPr>
          <w:p w14:paraId="07A9BF65" w14:textId="6CCBC86A" w:rsidR="009F0301" w:rsidRDefault="004467FB" w:rsidP="009F0301">
            <w:pPr>
              <w:pStyle w:val="0Maintext"/>
              <w:spacing w:after="0" w:afterAutospacing="0"/>
              <w:ind w:firstLine="0"/>
            </w:pPr>
            <w:r>
              <w:rPr>
                <w:rFonts w:eastAsiaTheme="minorEastAsia" w:hint="eastAsia"/>
                <w:lang w:eastAsia="zh-CN"/>
              </w:rPr>
              <w:t>W</w:t>
            </w:r>
            <w:r>
              <w:rPr>
                <w:rFonts w:eastAsiaTheme="minorEastAsia"/>
                <w:lang w:eastAsia="zh-CN"/>
              </w:rPr>
              <w:t>e can compromise to Alt. 2 although o</w:t>
            </w:r>
            <w:r w:rsidR="009F0301">
              <w:rPr>
                <w:rFonts w:eastAsiaTheme="minorEastAsia"/>
                <w:lang w:eastAsia="zh-CN"/>
              </w:rPr>
              <w:t>ur first preference is Alt. 1.</w:t>
            </w:r>
          </w:p>
        </w:tc>
      </w:tr>
      <w:tr w:rsidR="00B91A1D" w14:paraId="41A0552F" w14:textId="77777777" w:rsidTr="005A0613">
        <w:tc>
          <w:tcPr>
            <w:tcW w:w="1555" w:type="dxa"/>
          </w:tcPr>
          <w:p w14:paraId="6AC8749D" w14:textId="11587193" w:rsidR="00B91A1D" w:rsidRDefault="00B91A1D" w:rsidP="00B91A1D">
            <w:pPr>
              <w:pStyle w:val="0Maintext"/>
              <w:spacing w:after="0" w:afterAutospacing="0"/>
              <w:ind w:firstLine="0"/>
            </w:pPr>
            <w:r>
              <w:rPr>
                <w:rFonts w:eastAsiaTheme="minorEastAsia" w:hint="eastAsia"/>
                <w:lang w:eastAsia="zh-CN"/>
              </w:rPr>
              <w:t>C</w:t>
            </w:r>
            <w:r>
              <w:rPr>
                <w:rFonts w:eastAsiaTheme="minorEastAsia"/>
                <w:lang w:eastAsia="zh-CN"/>
              </w:rPr>
              <w:t>MCC</w:t>
            </w:r>
          </w:p>
        </w:tc>
        <w:tc>
          <w:tcPr>
            <w:tcW w:w="8076" w:type="dxa"/>
          </w:tcPr>
          <w:p w14:paraId="0909CCFA" w14:textId="77777777" w:rsidR="00B91A1D" w:rsidRDefault="00B91A1D" w:rsidP="00B91A1D">
            <w:pPr>
              <w:pStyle w:val="0Maintext"/>
              <w:spacing w:after="0" w:afterAutospacing="0"/>
              <w:ind w:firstLine="0"/>
              <w:rPr>
                <w:rFonts w:eastAsiaTheme="minorEastAsia"/>
                <w:lang w:eastAsia="zh-CN"/>
              </w:rPr>
            </w:pPr>
            <w:r>
              <w:rPr>
                <w:rFonts w:eastAsiaTheme="minorEastAsia" w:hint="eastAsia"/>
                <w:lang w:eastAsia="zh-CN"/>
              </w:rPr>
              <w:t>N</w:t>
            </w:r>
            <w:r>
              <w:rPr>
                <w:rFonts w:eastAsiaTheme="minorEastAsia"/>
                <w:lang w:eastAsia="zh-CN"/>
              </w:rPr>
              <w:t>ot agree.</w:t>
            </w:r>
          </w:p>
          <w:p w14:paraId="58094B9D" w14:textId="77777777" w:rsidR="00B91A1D" w:rsidRDefault="00B91A1D" w:rsidP="00B91A1D">
            <w:pPr>
              <w:pStyle w:val="0Maintext"/>
              <w:spacing w:after="0" w:afterAutospacing="0"/>
              <w:ind w:firstLine="0"/>
              <w:rPr>
                <w:rFonts w:eastAsiaTheme="minorEastAsia"/>
                <w:lang w:eastAsia="zh-CN"/>
              </w:rPr>
            </w:pPr>
          </w:p>
          <w:p w14:paraId="77A6BA19" w14:textId="77777777" w:rsidR="00B91A1D" w:rsidRDefault="00B91A1D" w:rsidP="00B91A1D">
            <w:pPr>
              <w:pStyle w:val="0Maintext"/>
              <w:spacing w:after="0" w:afterAutospacing="0"/>
              <w:ind w:firstLine="0"/>
              <w:rPr>
                <w:rFonts w:eastAsiaTheme="minorEastAsia"/>
                <w:lang w:eastAsia="zh-CN"/>
              </w:rPr>
            </w:pPr>
            <w:r>
              <w:rPr>
                <w:rFonts w:eastAsiaTheme="minorEastAsia" w:hint="eastAsia"/>
                <w:lang w:eastAsia="zh-CN"/>
              </w:rPr>
              <w:t>F</w:t>
            </w:r>
            <w:r>
              <w:rPr>
                <w:rFonts w:eastAsiaTheme="minorEastAsia"/>
                <w:lang w:eastAsia="zh-CN"/>
              </w:rPr>
              <w:t>rom our perspective, how alt 2 can work and what is the benefit compared to Alt 1 is not so clear at this stage, because there is an FFS “</w:t>
            </w:r>
            <w:r w:rsidRPr="007E4A85">
              <w:rPr>
                <w:rFonts w:eastAsiaTheme="minorEastAsia"/>
                <w:lang w:eastAsia="zh-CN"/>
              </w:rPr>
              <w:t>how to determine a SL UE is a target receiver</w:t>
            </w:r>
            <w:r>
              <w:rPr>
                <w:rFonts w:eastAsiaTheme="minorEastAsia"/>
                <w:lang w:eastAsia="zh-CN"/>
              </w:rPr>
              <w:t>”, one further issue is, if there are too many UEs can be responding UEs this case, how to determine which one(s) are the COT sharing target, one potential solution is by using communication range restriction to limit this number, so it should be indicated in the container.</w:t>
            </w:r>
          </w:p>
          <w:p w14:paraId="523E38C8" w14:textId="77777777" w:rsidR="00B91A1D" w:rsidRDefault="00B91A1D" w:rsidP="00B91A1D">
            <w:pPr>
              <w:pStyle w:val="0Maintext"/>
              <w:spacing w:after="0" w:afterAutospacing="0"/>
              <w:ind w:firstLine="0"/>
              <w:rPr>
                <w:rFonts w:eastAsiaTheme="minorEastAsia"/>
                <w:lang w:eastAsia="zh-CN"/>
              </w:rPr>
            </w:pPr>
          </w:p>
          <w:p w14:paraId="3815397B" w14:textId="77777777" w:rsidR="00B91A1D" w:rsidRDefault="00B91A1D" w:rsidP="00B91A1D">
            <w:pPr>
              <w:pStyle w:val="0Maintext"/>
              <w:spacing w:after="0" w:afterAutospacing="0"/>
              <w:ind w:firstLine="0"/>
              <w:rPr>
                <w:rFonts w:eastAsiaTheme="minorEastAsia"/>
                <w:lang w:eastAsia="zh-CN"/>
              </w:rPr>
            </w:pPr>
            <w:r>
              <w:rPr>
                <w:rFonts w:eastAsiaTheme="minorEastAsia"/>
                <w:lang w:eastAsia="zh-CN"/>
              </w:rPr>
              <w:t xml:space="preserve">On the other hand, with this FFS, Alt 2 should still have the possibility to fall back to Alt 1, if we determine that </w:t>
            </w:r>
            <w:r w:rsidRPr="007818EF">
              <w:rPr>
                <w:rFonts w:eastAsiaTheme="minorEastAsia"/>
                <w:lang w:eastAsia="zh-CN"/>
              </w:rPr>
              <w:t xml:space="preserve">a SL UE </w:t>
            </w:r>
            <w:r>
              <w:rPr>
                <w:rFonts w:eastAsiaTheme="minorEastAsia"/>
                <w:lang w:eastAsia="zh-CN"/>
              </w:rPr>
              <w:t>can be</w:t>
            </w:r>
            <w:r w:rsidRPr="007818EF">
              <w:rPr>
                <w:rFonts w:eastAsiaTheme="minorEastAsia"/>
                <w:lang w:eastAsia="zh-CN"/>
              </w:rPr>
              <w:t xml:space="preserve"> a target receiver</w:t>
            </w:r>
            <w:r>
              <w:rPr>
                <w:rFonts w:eastAsiaTheme="minorEastAsia"/>
                <w:lang w:eastAsia="zh-CN"/>
              </w:rPr>
              <w:t xml:space="preserve"> only when it is </w:t>
            </w:r>
            <w:r w:rsidRPr="007818EF">
              <w:rPr>
                <w:rFonts w:eastAsiaTheme="minorEastAsia"/>
                <w:lang w:eastAsia="zh-CN"/>
              </w:rPr>
              <w:t>the target data SCH receiver</w:t>
            </w:r>
            <w:r>
              <w:rPr>
                <w:rFonts w:eastAsiaTheme="minorEastAsia"/>
                <w:lang w:eastAsia="zh-CN"/>
              </w:rPr>
              <w:t xml:space="preserve">. </w:t>
            </w:r>
          </w:p>
          <w:p w14:paraId="214B01F2" w14:textId="77777777" w:rsidR="00B91A1D" w:rsidRDefault="00B91A1D" w:rsidP="00B91A1D">
            <w:pPr>
              <w:pStyle w:val="0Maintext"/>
              <w:spacing w:after="0" w:afterAutospacing="0"/>
              <w:ind w:firstLine="0"/>
              <w:rPr>
                <w:rFonts w:eastAsiaTheme="minorEastAsia"/>
                <w:lang w:eastAsia="zh-CN"/>
              </w:rPr>
            </w:pPr>
          </w:p>
          <w:p w14:paraId="272E9895" w14:textId="559667B8" w:rsidR="00B91A1D" w:rsidRDefault="00B91A1D" w:rsidP="00B91A1D">
            <w:pPr>
              <w:pStyle w:val="0Maintext"/>
              <w:spacing w:after="0" w:afterAutospacing="0"/>
              <w:ind w:firstLine="0"/>
            </w:pPr>
            <w:r>
              <w:rPr>
                <w:rFonts w:eastAsiaTheme="minorEastAsia"/>
                <w:lang w:eastAsia="zh-CN"/>
              </w:rPr>
              <w:t>So, a better logic is that Alt 1 at least should be agreed as a usual case, as a good compromise, whether other case can be supported for UE-to-</w:t>
            </w:r>
            <w:r>
              <w:rPr>
                <w:rFonts w:eastAsiaTheme="minorEastAsia" w:hint="eastAsia"/>
                <w:lang w:eastAsia="zh-CN"/>
              </w:rPr>
              <w:t>UE</w:t>
            </w:r>
            <w:r>
              <w:rPr>
                <w:rFonts w:eastAsiaTheme="minorEastAsia"/>
                <w:lang w:eastAsia="zh-CN"/>
              </w:rPr>
              <w:t xml:space="preserve"> </w:t>
            </w:r>
            <w:r>
              <w:rPr>
                <w:rFonts w:eastAsiaTheme="minorEastAsia" w:hint="eastAsia"/>
                <w:lang w:eastAsia="zh-CN"/>
              </w:rPr>
              <w:t>COT</w:t>
            </w:r>
            <w:r>
              <w:rPr>
                <w:rFonts w:eastAsiaTheme="minorEastAsia"/>
                <w:lang w:eastAsia="zh-CN"/>
              </w:rPr>
              <w:t xml:space="preserve"> </w:t>
            </w:r>
            <w:r>
              <w:rPr>
                <w:rFonts w:eastAsiaTheme="minorEastAsia" w:hint="eastAsia"/>
                <w:lang w:eastAsia="zh-CN"/>
              </w:rPr>
              <w:t>sharing</w:t>
            </w:r>
            <w:r>
              <w:rPr>
                <w:rFonts w:eastAsiaTheme="minorEastAsia"/>
                <w:lang w:eastAsia="zh-CN"/>
              </w:rPr>
              <w:t xml:space="preserve"> can be FFS as some special cases, e.g., a receiver in a different session transmit PSFCH to the COT initiator.</w:t>
            </w:r>
          </w:p>
        </w:tc>
      </w:tr>
      <w:tr w:rsidR="009A6BDC" w14:paraId="79F7AF88" w14:textId="77777777" w:rsidTr="005A0613">
        <w:tc>
          <w:tcPr>
            <w:tcW w:w="1555" w:type="dxa"/>
          </w:tcPr>
          <w:p w14:paraId="347F6022" w14:textId="0D4C7D84" w:rsidR="009A6BDC" w:rsidRDefault="009A6BDC" w:rsidP="009A6BDC">
            <w:pPr>
              <w:pStyle w:val="0Maintext"/>
              <w:spacing w:after="0" w:afterAutospacing="0"/>
              <w:ind w:firstLine="0"/>
              <w:rPr>
                <w:rFonts w:eastAsiaTheme="minorEastAsia"/>
                <w:lang w:eastAsia="zh-CN"/>
              </w:rPr>
            </w:pPr>
            <w:r>
              <w:rPr>
                <w:rFonts w:eastAsiaTheme="minorEastAsia" w:hint="eastAsia"/>
                <w:lang w:eastAsia="zh-CN"/>
              </w:rPr>
              <w:t>v</w:t>
            </w:r>
            <w:r>
              <w:rPr>
                <w:rFonts w:eastAsiaTheme="minorEastAsia"/>
                <w:lang w:eastAsia="zh-CN"/>
              </w:rPr>
              <w:t>ivo</w:t>
            </w:r>
          </w:p>
        </w:tc>
        <w:tc>
          <w:tcPr>
            <w:tcW w:w="8076" w:type="dxa"/>
          </w:tcPr>
          <w:p w14:paraId="4A77F61D" w14:textId="77777777" w:rsidR="009A6BDC" w:rsidRDefault="009A6BDC" w:rsidP="009A6BDC">
            <w:pPr>
              <w:pStyle w:val="0Maintext"/>
              <w:spacing w:after="0" w:afterAutospacing="0" w:line="240" w:lineRule="auto"/>
              <w:ind w:firstLine="0"/>
              <w:rPr>
                <w:rFonts w:eastAsiaTheme="minorEastAsia"/>
                <w:lang w:eastAsia="zh-CN"/>
              </w:rPr>
            </w:pPr>
            <w:r>
              <w:rPr>
                <w:rFonts w:eastAsiaTheme="minorEastAsia"/>
                <w:lang w:eastAsia="zh-CN"/>
              </w:rPr>
              <w:t>The start of the shared COT should be indicated as well, since some of the remaining COT may be used for the COT initiating UE. So, we suggest the following change</w:t>
            </w:r>
          </w:p>
          <w:p w14:paraId="7729831C" w14:textId="77777777" w:rsidR="009A6BDC" w:rsidRDefault="009A6BDC" w:rsidP="009A6BDC">
            <w:pPr>
              <w:pStyle w:val="0Maintext"/>
              <w:numPr>
                <w:ilvl w:val="1"/>
                <w:numId w:val="25"/>
              </w:numPr>
              <w:spacing w:after="0" w:afterAutospacing="0" w:line="240" w:lineRule="auto"/>
              <w:rPr>
                <w:rFonts w:ascii="Calibri" w:hAnsi="Calibri" w:cs="Calibri"/>
                <w:sz w:val="22"/>
                <w:lang w:val="en-US"/>
              </w:rPr>
            </w:pPr>
            <w:r>
              <w:rPr>
                <w:rFonts w:ascii="Calibri" w:hAnsi="Calibri" w:cs="Calibri" w:hint="eastAsia"/>
                <w:sz w:val="22"/>
                <w:lang w:val="en-US"/>
              </w:rPr>
              <w:t>Contents of COT sharing information includes the followings:</w:t>
            </w:r>
          </w:p>
          <w:p w14:paraId="0E97BB71" w14:textId="77777777" w:rsidR="009A6BDC" w:rsidRPr="007E030D" w:rsidRDefault="009A6BDC" w:rsidP="009A6BDC">
            <w:pPr>
              <w:pStyle w:val="ListParagraph"/>
              <w:numPr>
                <w:ilvl w:val="2"/>
                <w:numId w:val="25"/>
              </w:numPr>
              <w:autoSpaceDE w:val="0"/>
              <w:autoSpaceDN w:val="0"/>
              <w:spacing w:before="120"/>
              <w:ind w:leftChars="0"/>
              <w:jc w:val="both"/>
              <w:rPr>
                <w:rFonts w:ascii="Calibri" w:eastAsia="Malgun Gothic" w:hAnsi="Calibri" w:cs="Calibri"/>
                <w:color w:val="FF0000"/>
                <w:sz w:val="22"/>
                <w:szCs w:val="20"/>
                <w:lang w:eastAsia="en-US"/>
              </w:rPr>
            </w:pPr>
            <w:r w:rsidRPr="007E030D">
              <w:rPr>
                <w:rFonts w:ascii="Calibri" w:eastAsia="Malgun Gothic" w:hAnsi="Calibri" w:cs="Calibri"/>
                <w:color w:val="FF0000"/>
                <w:sz w:val="22"/>
                <w:szCs w:val="20"/>
                <w:lang w:eastAsia="en-US"/>
              </w:rPr>
              <w:t>Starting offset of the shared COT</w:t>
            </w:r>
          </w:p>
          <w:p w14:paraId="1597C1EF" w14:textId="6DFE91AD" w:rsidR="009A6BDC" w:rsidRDefault="009A6BDC" w:rsidP="009A6BDC">
            <w:pPr>
              <w:pStyle w:val="0Maintext"/>
              <w:spacing w:after="0" w:afterAutospacing="0"/>
              <w:ind w:firstLine="0"/>
              <w:rPr>
                <w:rFonts w:eastAsiaTheme="minorEastAsia"/>
                <w:lang w:eastAsia="zh-CN"/>
              </w:rPr>
            </w:pPr>
            <w:r>
              <w:rPr>
                <w:rFonts w:eastAsiaTheme="minorEastAsia"/>
                <w:lang w:eastAsia="zh-CN"/>
              </w:rPr>
              <w:t>ID information does not belong to COT sharing information, we still think the ID information should be removed.</w:t>
            </w:r>
          </w:p>
        </w:tc>
      </w:tr>
      <w:tr w:rsidR="00C55F84" w14:paraId="78614F47" w14:textId="77777777" w:rsidTr="005A0613">
        <w:tc>
          <w:tcPr>
            <w:tcW w:w="1555" w:type="dxa"/>
          </w:tcPr>
          <w:p w14:paraId="794F113A" w14:textId="25AD5E40" w:rsidR="00C55F84" w:rsidRDefault="00C55F84" w:rsidP="009A6BDC">
            <w:pPr>
              <w:pStyle w:val="0Maintext"/>
              <w:spacing w:after="0" w:afterAutospacing="0"/>
              <w:ind w:firstLine="0"/>
              <w:rPr>
                <w:rFonts w:eastAsiaTheme="minorEastAsia"/>
                <w:lang w:eastAsia="zh-CN"/>
              </w:rPr>
            </w:pPr>
            <w:r>
              <w:rPr>
                <w:rFonts w:eastAsiaTheme="minorEastAsia" w:hint="eastAsia"/>
                <w:lang w:eastAsia="zh-CN"/>
              </w:rPr>
              <w:lastRenderedPageBreak/>
              <w:t>Sharp</w:t>
            </w:r>
          </w:p>
        </w:tc>
        <w:tc>
          <w:tcPr>
            <w:tcW w:w="8076" w:type="dxa"/>
          </w:tcPr>
          <w:p w14:paraId="6954E1A4" w14:textId="362220D4" w:rsidR="00C55F84" w:rsidRDefault="00C55F84" w:rsidP="009A6BDC">
            <w:pPr>
              <w:pStyle w:val="0Maintext"/>
              <w:spacing w:after="0" w:afterAutospacing="0" w:line="240" w:lineRule="auto"/>
              <w:ind w:firstLine="0"/>
              <w:rPr>
                <w:rFonts w:eastAsiaTheme="minorEastAsia"/>
                <w:lang w:eastAsia="zh-CN"/>
              </w:rPr>
            </w:pPr>
            <w:r>
              <w:rPr>
                <w:rFonts w:eastAsiaTheme="minorEastAsia" w:hint="eastAsia"/>
                <w:lang w:eastAsia="zh-CN"/>
              </w:rPr>
              <w:t>We propose to add an FFS for Alt2 on impacts to UEs not satisfying the conditions to utilize a shared COT.</w:t>
            </w:r>
          </w:p>
        </w:tc>
      </w:tr>
      <w:tr w:rsidR="001E5BBA" w14:paraId="5FDA1F54" w14:textId="77777777" w:rsidTr="005A0613">
        <w:tc>
          <w:tcPr>
            <w:tcW w:w="1555" w:type="dxa"/>
          </w:tcPr>
          <w:p w14:paraId="1241A576" w14:textId="25CF65B3" w:rsidR="001E5BBA" w:rsidRDefault="001E5BBA" w:rsidP="001E5BBA">
            <w:pPr>
              <w:pStyle w:val="0Maintext"/>
              <w:spacing w:after="0" w:afterAutospacing="0"/>
              <w:ind w:firstLine="0"/>
              <w:rPr>
                <w:rFonts w:eastAsiaTheme="minorEastAsia"/>
                <w:lang w:eastAsia="zh-CN"/>
              </w:rPr>
            </w:pPr>
            <w:r>
              <w:rPr>
                <w:rFonts w:eastAsiaTheme="minorEastAsia"/>
                <w:lang w:eastAsia="zh-CN"/>
              </w:rPr>
              <w:t>Lenovo</w:t>
            </w:r>
          </w:p>
        </w:tc>
        <w:tc>
          <w:tcPr>
            <w:tcW w:w="8076" w:type="dxa"/>
          </w:tcPr>
          <w:p w14:paraId="207D53E7" w14:textId="77777777" w:rsidR="001E5BBA" w:rsidRDefault="001E5BBA" w:rsidP="001E5BBA">
            <w:pPr>
              <w:pStyle w:val="0Maintext"/>
              <w:spacing w:after="0" w:afterAutospacing="0"/>
              <w:ind w:firstLine="0"/>
              <w:rPr>
                <w:rFonts w:eastAsiaTheme="minorEastAsia"/>
                <w:lang w:eastAsia="zh-CN"/>
              </w:rPr>
            </w:pPr>
            <w:r>
              <w:rPr>
                <w:rFonts w:eastAsiaTheme="minorEastAsia"/>
                <w:lang w:eastAsia="zh-CN"/>
              </w:rPr>
              <w:t>We still feel that an agreement on the COT sharing information container before reaching consensus on the content is not a good approach.</w:t>
            </w:r>
          </w:p>
          <w:p w14:paraId="7B7558BC" w14:textId="03089086" w:rsidR="001E5BBA" w:rsidRDefault="001E5BBA" w:rsidP="001E5BBA">
            <w:pPr>
              <w:pStyle w:val="0Maintext"/>
              <w:spacing w:after="0" w:afterAutospacing="0" w:line="240" w:lineRule="auto"/>
              <w:ind w:firstLine="0"/>
              <w:rPr>
                <w:rFonts w:eastAsiaTheme="minorEastAsia"/>
                <w:lang w:eastAsia="zh-CN"/>
              </w:rPr>
            </w:pPr>
            <w:r>
              <w:rPr>
                <w:rFonts w:eastAsiaTheme="minorEastAsia"/>
                <w:lang w:eastAsia="zh-CN"/>
              </w:rPr>
              <w:t>We are fine to proceed with other parts of the proposal.</w:t>
            </w:r>
          </w:p>
        </w:tc>
      </w:tr>
      <w:tr w:rsidR="00650E3B" w14:paraId="703A158B" w14:textId="77777777" w:rsidTr="005A0613">
        <w:tc>
          <w:tcPr>
            <w:tcW w:w="1555" w:type="dxa"/>
          </w:tcPr>
          <w:p w14:paraId="3D48EA5C" w14:textId="77777777" w:rsidR="00650E3B" w:rsidRPr="003C4B13" w:rsidRDefault="00650E3B" w:rsidP="000F6488">
            <w:pPr>
              <w:pStyle w:val="0Maintext"/>
              <w:spacing w:after="0" w:afterAutospacing="0"/>
              <w:ind w:firstLine="0"/>
              <w:rPr>
                <w:rFonts w:eastAsiaTheme="minorEastAsia"/>
                <w:lang w:eastAsia="zh-CN"/>
              </w:rPr>
            </w:pPr>
            <w:r>
              <w:rPr>
                <w:rFonts w:eastAsiaTheme="minorEastAsia" w:hint="eastAsia"/>
                <w:lang w:eastAsia="zh-CN"/>
              </w:rPr>
              <w:t>x</w:t>
            </w:r>
            <w:r>
              <w:rPr>
                <w:rFonts w:eastAsiaTheme="minorEastAsia"/>
                <w:lang w:eastAsia="zh-CN"/>
              </w:rPr>
              <w:t>iaomi</w:t>
            </w:r>
          </w:p>
        </w:tc>
        <w:tc>
          <w:tcPr>
            <w:tcW w:w="8076" w:type="dxa"/>
          </w:tcPr>
          <w:p w14:paraId="3153A051" w14:textId="77777777" w:rsidR="00650E3B" w:rsidRPr="003C4B13" w:rsidRDefault="00650E3B" w:rsidP="000F6488">
            <w:pPr>
              <w:pStyle w:val="0Maintext"/>
              <w:spacing w:after="0" w:afterAutospacing="0"/>
              <w:ind w:firstLine="0"/>
              <w:rPr>
                <w:rFonts w:eastAsiaTheme="minorEastAsia"/>
                <w:lang w:eastAsia="zh-CN"/>
              </w:rPr>
            </w:pPr>
            <w:r>
              <w:rPr>
                <w:rFonts w:eastAsiaTheme="minorEastAsia"/>
                <w:lang w:eastAsia="zh-CN"/>
              </w:rPr>
              <w:t xml:space="preserve">We support the FL’s </w:t>
            </w:r>
            <w:r>
              <w:rPr>
                <w:rFonts w:eastAsiaTheme="minorEastAsia" w:hint="eastAsia"/>
                <w:lang w:eastAsia="zh-CN"/>
              </w:rPr>
              <w:t>pr</w:t>
            </w:r>
            <w:r>
              <w:rPr>
                <w:rFonts w:eastAsiaTheme="minorEastAsia"/>
                <w:lang w:eastAsia="zh-CN"/>
              </w:rPr>
              <w:t>oposal.</w:t>
            </w:r>
          </w:p>
        </w:tc>
      </w:tr>
      <w:tr w:rsidR="00D0325D" w14:paraId="068F747B" w14:textId="77777777" w:rsidTr="005A0613">
        <w:tc>
          <w:tcPr>
            <w:tcW w:w="1555" w:type="dxa"/>
          </w:tcPr>
          <w:p w14:paraId="2F44CF25" w14:textId="77777777" w:rsidR="00D0325D" w:rsidRPr="0029448E" w:rsidRDefault="00D0325D" w:rsidP="000F6488">
            <w:r w:rsidRPr="0029448E">
              <w:t>NEC</w:t>
            </w:r>
          </w:p>
        </w:tc>
        <w:tc>
          <w:tcPr>
            <w:tcW w:w="8076" w:type="dxa"/>
          </w:tcPr>
          <w:p w14:paraId="7DCB97E7" w14:textId="77777777" w:rsidR="00D0325D" w:rsidRDefault="00D0325D" w:rsidP="000F6488">
            <w:r w:rsidRPr="0029448E">
              <w:t>We are fine with the proposal.</w:t>
            </w:r>
          </w:p>
        </w:tc>
      </w:tr>
      <w:tr w:rsidR="00E41CC5" w14:paraId="12A716D8" w14:textId="77777777" w:rsidTr="005A0613">
        <w:tc>
          <w:tcPr>
            <w:tcW w:w="1555" w:type="dxa"/>
          </w:tcPr>
          <w:p w14:paraId="0E0F1529" w14:textId="029FEE1C" w:rsidR="00E41CC5" w:rsidRPr="0029448E" w:rsidRDefault="00E41CC5" w:rsidP="00E41CC5">
            <w:r>
              <w:rPr>
                <w:rFonts w:eastAsiaTheme="minorEastAsia"/>
                <w:lang w:eastAsia="zh-CN"/>
              </w:rPr>
              <w:t>Fraunhofer</w:t>
            </w:r>
          </w:p>
        </w:tc>
        <w:tc>
          <w:tcPr>
            <w:tcW w:w="8076" w:type="dxa"/>
          </w:tcPr>
          <w:p w14:paraId="4C7E5581" w14:textId="77777777" w:rsidR="00E41CC5" w:rsidRDefault="00E41CC5" w:rsidP="00E41CC5">
            <w:pPr>
              <w:pStyle w:val="0Maintext"/>
              <w:spacing w:after="0" w:afterAutospacing="0" w:line="240" w:lineRule="auto"/>
              <w:ind w:firstLine="0"/>
              <w:rPr>
                <w:rFonts w:eastAsiaTheme="minorEastAsia"/>
                <w:lang w:eastAsia="zh-CN"/>
              </w:rPr>
            </w:pPr>
            <w:r>
              <w:rPr>
                <w:rFonts w:eastAsiaTheme="minorEastAsia"/>
                <w:lang w:eastAsia="zh-CN"/>
              </w:rPr>
              <w:t>We support the FL’s proposal.</w:t>
            </w:r>
          </w:p>
          <w:p w14:paraId="25A30B96" w14:textId="77777777" w:rsidR="00E41CC5" w:rsidRDefault="00E41CC5" w:rsidP="00E41CC5">
            <w:pPr>
              <w:pStyle w:val="0Maintext"/>
              <w:spacing w:after="0" w:afterAutospacing="0" w:line="240" w:lineRule="auto"/>
              <w:ind w:firstLine="0"/>
              <w:rPr>
                <w:rFonts w:eastAsiaTheme="minorEastAsia"/>
                <w:lang w:eastAsia="zh-CN"/>
              </w:rPr>
            </w:pPr>
            <w:r>
              <w:rPr>
                <w:rFonts w:eastAsiaTheme="minorEastAsia"/>
                <w:lang w:eastAsia="zh-CN"/>
              </w:rPr>
              <w:t xml:space="preserve">Just some editorial changes: </w:t>
            </w:r>
          </w:p>
          <w:p w14:paraId="7B003C2D" w14:textId="77777777" w:rsidR="00E41CC5" w:rsidRDefault="00E41CC5">
            <w:pPr>
              <w:pStyle w:val="0Maintext"/>
              <w:numPr>
                <w:ilvl w:val="0"/>
                <w:numId w:val="41"/>
              </w:numPr>
              <w:spacing w:after="0" w:afterAutospacing="0" w:line="240" w:lineRule="auto"/>
              <w:rPr>
                <w:rFonts w:eastAsiaTheme="minorEastAsia"/>
                <w:lang w:eastAsia="zh-CN"/>
              </w:rPr>
            </w:pPr>
            <w:r>
              <w:rPr>
                <w:rFonts w:eastAsiaTheme="minorEastAsia"/>
                <w:lang w:eastAsia="zh-CN"/>
              </w:rPr>
              <w:t>Rogue underscore: "</w:t>
            </w:r>
            <w:r w:rsidRPr="00516882">
              <w:rPr>
                <w:rFonts w:ascii="Calibri" w:hAnsi="Calibri" w:cs="Calibri" w:hint="eastAsia"/>
                <w:sz w:val="22"/>
                <w:lang w:val="en-US" w:eastAsia="x-none"/>
              </w:rPr>
              <w:t xml:space="preserve"> transmission</w:t>
            </w:r>
            <w:r w:rsidRPr="00C816EE">
              <w:rPr>
                <w:rFonts w:ascii="Calibri" w:hAnsi="Calibri" w:cs="Calibri" w:hint="eastAsia"/>
                <w:color w:val="FF0000"/>
                <w:sz w:val="22"/>
                <w:u w:val="single"/>
                <w:lang w:val="en-US" w:eastAsia="x-none"/>
              </w:rPr>
              <w:t xml:space="preserve"> </w:t>
            </w:r>
            <w:r w:rsidRPr="00BE6393">
              <w:rPr>
                <w:rFonts w:ascii="Calibri" w:hAnsi="Calibri" w:cs="Calibri" w:hint="eastAsia"/>
                <w:sz w:val="22"/>
                <w:lang w:val="en-US" w:eastAsia="x-none"/>
              </w:rPr>
              <w:t>in</w:t>
            </w:r>
            <w:r>
              <w:rPr>
                <w:rFonts w:ascii="Calibri" w:hAnsi="Calibri" w:cs="Calibri"/>
                <w:sz w:val="22"/>
                <w:lang w:val="en-US" w:eastAsia="x-none"/>
              </w:rPr>
              <w:t>”</w:t>
            </w:r>
          </w:p>
          <w:p w14:paraId="73AB6DFA" w14:textId="17D0C243" w:rsidR="00E41CC5" w:rsidRPr="00E41CC5" w:rsidRDefault="00E41CC5">
            <w:pPr>
              <w:pStyle w:val="0Maintext"/>
              <w:numPr>
                <w:ilvl w:val="0"/>
                <w:numId w:val="41"/>
              </w:numPr>
              <w:spacing w:after="0" w:afterAutospacing="0" w:line="240" w:lineRule="auto"/>
              <w:rPr>
                <w:rFonts w:eastAsiaTheme="minorEastAsia"/>
                <w:lang w:eastAsia="zh-CN"/>
              </w:rPr>
            </w:pPr>
            <w:r w:rsidRPr="00C816EE">
              <w:rPr>
                <w:rFonts w:asciiTheme="minorHAnsi" w:hAnsiTheme="minorHAnsi" w:cstheme="minorHAnsi"/>
                <w:strike/>
                <w:color w:val="FF0000"/>
                <w:sz w:val="22"/>
                <w:szCs w:val="22"/>
              </w:rPr>
              <w:t>When</w:t>
            </w:r>
            <w:r w:rsidRPr="00C816EE">
              <w:rPr>
                <w:rFonts w:asciiTheme="minorHAnsi" w:hAnsiTheme="minorHAnsi" w:cstheme="minorHAnsi"/>
                <w:color w:val="FF0000"/>
                <w:sz w:val="22"/>
                <w:szCs w:val="22"/>
              </w:rPr>
              <w:t xml:space="preserve"> </w:t>
            </w:r>
            <w:r w:rsidR="006F1BE0" w:rsidRPr="006F1BE0">
              <w:rPr>
                <w:rFonts w:asciiTheme="minorHAnsi" w:hAnsiTheme="minorHAnsi" w:cstheme="minorHAnsi"/>
                <w:color w:val="FF0000"/>
                <w:sz w:val="22"/>
                <w:szCs w:val="22"/>
              </w:rPr>
              <w:t>T</w:t>
            </w:r>
            <w:r w:rsidRPr="00516882">
              <w:rPr>
                <w:rFonts w:asciiTheme="minorHAnsi" w:hAnsiTheme="minorHAnsi" w:cstheme="minorHAnsi"/>
                <w:sz w:val="22"/>
                <w:szCs w:val="22"/>
              </w:rPr>
              <w:t xml:space="preserve">he responding UE uses the shared COT for its transmission </w:t>
            </w:r>
            <w:r w:rsidRPr="00C816EE">
              <w:rPr>
                <w:rFonts w:asciiTheme="minorHAnsi" w:hAnsiTheme="minorHAnsi" w:cstheme="minorHAnsi"/>
                <w:color w:val="FF0000"/>
                <w:sz w:val="22"/>
                <w:szCs w:val="22"/>
              </w:rPr>
              <w:t xml:space="preserve">which </w:t>
            </w:r>
            <w:r w:rsidRPr="00516882">
              <w:rPr>
                <w:rFonts w:asciiTheme="minorHAnsi" w:hAnsiTheme="minorHAnsi" w:cstheme="minorHAnsi"/>
                <w:sz w:val="22"/>
                <w:szCs w:val="22"/>
              </w:rPr>
              <w:t>has an equal</w:t>
            </w:r>
            <w:r>
              <w:rPr>
                <w:rFonts w:asciiTheme="minorHAnsi" w:hAnsiTheme="minorHAnsi" w:cstheme="minorHAnsi"/>
                <w:sz w:val="22"/>
                <w:szCs w:val="22"/>
              </w:rPr>
              <w:t xml:space="preserve"> … </w:t>
            </w:r>
          </w:p>
        </w:tc>
      </w:tr>
      <w:tr w:rsidR="005A0613" w14:paraId="1347C055" w14:textId="77777777" w:rsidTr="005A0613">
        <w:tc>
          <w:tcPr>
            <w:tcW w:w="1555" w:type="dxa"/>
          </w:tcPr>
          <w:p w14:paraId="1BB743BB" w14:textId="77777777" w:rsidR="005A0613" w:rsidRPr="00D6367A" w:rsidRDefault="005A0613" w:rsidP="000F6488">
            <w:pPr>
              <w:pStyle w:val="0Maintext"/>
              <w:spacing w:after="0" w:afterAutospacing="0"/>
              <w:ind w:firstLine="0"/>
            </w:pPr>
            <w:r>
              <w:rPr>
                <w:rFonts w:eastAsiaTheme="minorEastAsia"/>
                <w:lang w:eastAsia="zh-CN"/>
              </w:rPr>
              <w:t>Nokia, NSB</w:t>
            </w:r>
          </w:p>
        </w:tc>
        <w:tc>
          <w:tcPr>
            <w:tcW w:w="8076" w:type="dxa"/>
          </w:tcPr>
          <w:p w14:paraId="60AE217E" w14:textId="77777777" w:rsidR="005A0613" w:rsidRDefault="005A0613" w:rsidP="000F6488">
            <w:pPr>
              <w:pStyle w:val="0Maintext"/>
              <w:spacing w:after="0" w:afterAutospacing="0"/>
              <w:ind w:firstLine="0"/>
            </w:pPr>
            <w:r>
              <w:t>We are ok with proposal.</w:t>
            </w:r>
          </w:p>
        </w:tc>
      </w:tr>
      <w:tr w:rsidR="00862B80" w14:paraId="2FA402AC" w14:textId="77777777" w:rsidTr="005A0613">
        <w:tc>
          <w:tcPr>
            <w:tcW w:w="1555" w:type="dxa"/>
          </w:tcPr>
          <w:p w14:paraId="7DC2A287" w14:textId="49ECFF2F" w:rsidR="00862B80" w:rsidRDefault="00862B80" w:rsidP="000F6488">
            <w:pPr>
              <w:pStyle w:val="0Maintext"/>
              <w:spacing w:after="0" w:afterAutospacing="0"/>
              <w:ind w:firstLine="0"/>
              <w:rPr>
                <w:rFonts w:eastAsiaTheme="minorEastAsia"/>
                <w:lang w:eastAsia="zh-CN"/>
              </w:rPr>
            </w:pPr>
            <w:r>
              <w:rPr>
                <w:rFonts w:eastAsiaTheme="minorEastAsia"/>
                <w:lang w:eastAsia="zh-CN"/>
              </w:rPr>
              <w:t xml:space="preserve">Intel </w:t>
            </w:r>
          </w:p>
        </w:tc>
        <w:tc>
          <w:tcPr>
            <w:tcW w:w="8076" w:type="dxa"/>
          </w:tcPr>
          <w:p w14:paraId="2B99DBC2" w14:textId="5C96C894" w:rsidR="00862B80" w:rsidRDefault="00862B80" w:rsidP="000F6488">
            <w:pPr>
              <w:pStyle w:val="0Maintext"/>
              <w:spacing w:after="0" w:afterAutospacing="0"/>
              <w:ind w:firstLine="0"/>
            </w:pPr>
            <w:r>
              <w:t xml:space="preserve">We are OK with the proposal. </w:t>
            </w:r>
            <w:r w:rsidR="004404AE">
              <w:t xml:space="preserve">However, another aspect that should be also discussed is also on whether </w:t>
            </w:r>
            <w:r w:rsidR="009910D6">
              <w:t xml:space="preserve">or not </w:t>
            </w:r>
            <w:r w:rsidR="008C443B">
              <w:t>a responding UE may also redundantly carry this information as well</w:t>
            </w:r>
            <w:r w:rsidR="00BF5E2E">
              <w:t xml:space="preserve">. Due to half-duplex issue, the COT information may be missed, and the COT may remain under-utilized. </w:t>
            </w:r>
            <w:r w:rsidR="002C5419">
              <w:t>Therefore, the proposal could be updated as follows:</w:t>
            </w:r>
          </w:p>
          <w:p w14:paraId="51949C47" w14:textId="77777777" w:rsidR="004404AE" w:rsidRPr="00BE6393" w:rsidRDefault="004404AE" w:rsidP="004404AE">
            <w:pPr>
              <w:pStyle w:val="0Maintext"/>
              <w:numPr>
                <w:ilvl w:val="1"/>
                <w:numId w:val="25"/>
              </w:numPr>
              <w:spacing w:after="60" w:afterAutospacing="0" w:line="240" w:lineRule="auto"/>
              <w:ind w:hanging="357"/>
              <w:rPr>
                <w:rFonts w:ascii="Calibri" w:hAnsi="Calibri" w:cs="Calibri"/>
                <w:sz w:val="22"/>
                <w:lang w:val="en-US" w:eastAsia="x-none"/>
              </w:rPr>
            </w:pPr>
            <w:r w:rsidRPr="00BE6393">
              <w:rPr>
                <w:rFonts w:ascii="Calibri" w:hAnsi="Calibri" w:cs="Calibri" w:hint="eastAsia"/>
                <w:sz w:val="22"/>
                <w:lang w:val="en-US" w:eastAsia="x-none"/>
              </w:rPr>
              <w:t>Contents of COT sharing information includes the followings:</w:t>
            </w:r>
          </w:p>
          <w:p w14:paraId="4D3C2D74" w14:textId="77777777" w:rsidR="004404AE" w:rsidRPr="00067664" w:rsidRDefault="004404AE" w:rsidP="004404AE">
            <w:pPr>
              <w:pStyle w:val="0Maintext"/>
              <w:numPr>
                <w:ilvl w:val="2"/>
                <w:numId w:val="25"/>
              </w:numPr>
              <w:spacing w:after="60" w:afterAutospacing="0" w:line="240" w:lineRule="auto"/>
              <w:ind w:hanging="357"/>
              <w:rPr>
                <w:rFonts w:ascii="Calibri" w:hAnsi="Calibri" w:cs="Calibri"/>
                <w:sz w:val="22"/>
                <w:lang w:val="en-US" w:eastAsia="x-none"/>
              </w:rPr>
            </w:pPr>
            <w:r w:rsidRPr="00BE6393">
              <w:rPr>
                <w:rFonts w:ascii="Calibri" w:hAnsi="Calibri" w:cs="Calibri" w:hint="eastAsia"/>
                <w:sz w:val="22"/>
                <w:lang w:eastAsia="x-none"/>
              </w:rPr>
              <w:t>CAPC level</w:t>
            </w:r>
          </w:p>
          <w:p w14:paraId="18A896EE" w14:textId="77777777" w:rsidR="004404AE" w:rsidRPr="00067664" w:rsidRDefault="004404AE" w:rsidP="004404AE">
            <w:pPr>
              <w:pStyle w:val="0Maintext"/>
              <w:numPr>
                <w:ilvl w:val="3"/>
                <w:numId w:val="25"/>
              </w:numPr>
              <w:spacing w:after="60" w:afterAutospacing="0" w:line="240" w:lineRule="auto"/>
              <w:rPr>
                <w:rFonts w:ascii="Calibri" w:hAnsi="Calibri" w:cs="Calibri"/>
                <w:color w:val="FF0000"/>
                <w:sz w:val="22"/>
                <w:lang w:val="en-US" w:eastAsia="x-none"/>
              </w:rPr>
            </w:pPr>
            <w:r w:rsidRPr="00067664">
              <w:rPr>
                <w:rFonts w:ascii="Calibri" w:hAnsi="Calibri" w:cs="Calibri"/>
                <w:color w:val="FF0000"/>
                <w:sz w:val="22"/>
                <w:lang w:eastAsia="x-none"/>
              </w:rPr>
              <w:t>FFS where this is also indicated when a COT is not shared</w:t>
            </w:r>
          </w:p>
          <w:p w14:paraId="16B2EF7F" w14:textId="77777777" w:rsidR="004404AE" w:rsidRPr="00BE6393" w:rsidRDefault="004404AE" w:rsidP="004404AE">
            <w:pPr>
              <w:pStyle w:val="0Maintext"/>
              <w:numPr>
                <w:ilvl w:val="2"/>
                <w:numId w:val="25"/>
              </w:numPr>
              <w:spacing w:after="60" w:afterAutospacing="0" w:line="240" w:lineRule="auto"/>
              <w:ind w:hanging="357"/>
              <w:rPr>
                <w:rFonts w:ascii="Calibri" w:hAnsi="Calibri" w:cs="Calibri"/>
                <w:sz w:val="22"/>
                <w:lang w:val="en-US" w:eastAsia="x-none"/>
              </w:rPr>
            </w:pPr>
            <w:r w:rsidRPr="00BE6393">
              <w:rPr>
                <w:rFonts w:ascii="Calibri" w:hAnsi="Calibri" w:cs="Calibri" w:hint="eastAsia"/>
                <w:sz w:val="22"/>
                <w:lang w:eastAsia="x-none"/>
              </w:rPr>
              <w:t>Remaining COT duration (e.g., number of SL slots or ms)</w:t>
            </w:r>
          </w:p>
          <w:p w14:paraId="699A961A" w14:textId="77777777" w:rsidR="004404AE" w:rsidRPr="00BE6393" w:rsidRDefault="004404AE" w:rsidP="004404AE">
            <w:pPr>
              <w:pStyle w:val="0Maintext"/>
              <w:numPr>
                <w:ilvl w:val="2"/>
                <w:numId w:val="25"/>
              </w:numPr>
              <w:spacing w:after="60" w:afterAutospacing="0" w:line="240" w:lineRule="auto"/>
              <w:ind w:hanging="357"/>
              <w:rPr>
                <w:rFonts w:ascii="Calibri" w:hAnsi="Calibri" w:cs="Calibri"/>
                <w:sz w:val="22"/>
                <w:lang w:val="en-US" w:eastAsia="x-none"/>
              </w:rPr>
            </w:pPr>
            <w:r w:rsidRPr="00BE6393">
              <w:rPr>
                <w:rFonts w:ascii="Calibri" w:hAnsi="Calibri" w:cs="Calibri" w:hint="eastAsia"/>
                <w:sz w:val="22"/>
                <w:lang w:eastAsia="x-none"/>
              </w:rPr>
              <w:t>L1 ID</w:t>
            </w:r>
            <w:r>
              <w:rPr>
                <w:rFonts w:ascii="Calibri" w:hAnsi="Calibri" w:cs="Calibri"/>
                <w:sz w:val="22"/>
                <w:lang w:eastAsia="x-none"/>
              </w:rPr>
              <w:t xml:space="preserve"> (e.g., </w:t>
            </w:r>
            <w:r w:rsidRPr="00630745">
              <w:rPr>
                <w:rFonts w:ascii="Calibri" w:hAnsi="Calibri" w:cs="Calibri"/>
                <w:color w:val="FF0000"/>
                <w:sz w:val="22"/>
                <w:lang w:eastAsia="x-none"/>
              </w:rPr>
              <w:t xml:space="preserve">legacy </w:t>
            </w:r>
            <w:r w:rsidRPr="00BE6393">
              <w:rPr>
                <w:rFonts w:ascii="Calibri" w:hAnsi="Calibri" w:cs="Calibri" w:hint="eastAsia"/>
                <w:sz w:val="22"/>
                <w:lang w:eastAsia="x-none"/>
              </w:rPr>
              <w:t>destination ID and/or source ID</w:t>
            </w:r>
            <w:r>
              <w:rPr>
                <w:rFonts w:ascii="Calibri" w:hAnsi="Calibri" w:cs="Calibri"/>
                <w:sz w:val="22"/>
                <w:lang w:eastAsia="x-none"/>
              </w:rPr>
              <w:t>)</w:t>
            </w:r>
          </w:p>
          <w:p w14:paraId="2EE20344" w14:textId="73678CEE" w:rsidR="00862B80" w:rsidRDefault="004404AE" w:rsidP="002C5419">
            <w:pPr>
              <w:pStyle w:val="0Maintext"/>
              <w:numPr>
                <w:ilvl w:val="2"/>
                <w:numId w:val="25"/>
              </w:numPr>
              <w:spacing w:after="60" w:afterAutospacing="0" w:line="240" w:lineRule="auto"/>
              <w:ind w:hanging="357"/>
            </w:pPr>
            <w:r w:rsidRPr="00BE6393">
              <w:rPr>
                <w:rFonts w:ascii="Calibri" w:hAnsi="Calibri" w:cs="Calibri" w:hint="eastAsia"/>
                <w:sz w:val="22"/>
                <w:lang w:eastAsia="x-none"/>
              </w:rPr>
              <w:t xml:space="preserve">FFS any others </w:t>
            </w:r>
            <w:r w:rsidRPr="003452EE">
              <w:rPr>
                <w:rFonts w:ascii="Calibri" w:hAnsi="Calibri" w:cs="Calibri"/>
                <w:color w:val="FF0000"/>
                <w:sz w:val="22"/>
                <w:lang w:eastAsia="x-none"/>
              </w:rPr>
              <w:t xml:space="preserve">and details </w:t>
            </w:r>
            <w:r w:rsidRPr="00BE6393">
              <w:rPr>
                <w:rFonts w:ascii="Calibri" w:hAnsi="Calibri" w:cs="Calibri" w:hint="eastAsia"/>
                <w:sz w:val="22"/>
                <w:lang w:eastAsia="x-none"/>
              </w:rPr>
              <w:t>(e.g., information on time and frequency resources</w:t>
            </w:r>
            <w:r w:rsidR="002C5419">
              <w:rPr>
                <w:rFonts w:ascii="Calibri" w:hAnsi="Calibri" w:cs="Calibri"/>
                <w:sz w:val="22"/>
                <w:lang w:eastAsia="x-none"/>
              </w:rPr>
              <w:t xml:space="preserve">, </w:t>
            </w:r>
            <w:r w:rsidR="002C5419" w:rsidRPr="002C5419">
              <w:rPr>
                <w:rFonts w:ascii="Calibri" w:hAnsi="Calibri" w:cs="Calibri"/>
                <w:sz w:val="22"/>
                <w:highlight w:val="yellow"/>
                <w:lang w:eastAsia="x-none"/>
              </w:rPr>
              <w:t>whether this should be redundantly carried by the responding device</w:t>
            </w:r>
            <w:r w:rsidRPr="00BE6393">
              <w:rPr>
                <w:rFonts w:ascii="Calibri" w:hAnsi="Calibri" w:cs="Calibri" w:hint="eastAsia"/>
                <w:sz w:val="22"/>
                <w:lang w:eastAsia="x-none"/>
              </w:rPr>
              <w:t>)</w:t>
            </w:r>
          </w:p>
        </w:tc>
      </w:tr>
      <w:tr w:rsidR="004744D6" w14:paraId="24FB8E0F" w14:textId="77777777" w:rsidTr="005A0613">
        <w:tc>
          <w:tcPr>
            <w:tcW w:w="1555" w:type="dxa"/>
          </w:tcPr>
          <w:p w14:paraId="74CDD841" w14:textId="7DDB2B35" w:rsidR="004744D6" w:rsidRDefault="004744D6" w:rsidP="004744D6">
            <w:pPr>
              <w:pStyle w:val="0Maintext"/>
              <w:spacing w:after="0" w:afterAutospacing="0"/>
              <w:ind w:firstLine="0"/>
              <w:rPr>
                <w:rFonts w:eastAsiaTheme="minorEastAsia"/>
                <w:lang w:eastAsia="zh-CN"/>
              </w:rPr>
            </w:pPr>
            <w:r>
              <w:rPr>
                <w:rFonts w:eastAsiaTheme="minorEastAsia"/>
                <w:lang w:eastAsia="zh-CN"/>
              </w:rPr>
              <w:t>InterDigital</w:t>
            </w:r>
          </w:p>
        </w:tc>
        <w:tc>
          <w:tcPr>
            <w:tcW w:w="8076" w:type="dxa"/>
          </w:tcPr>
          <w:p w14:paraId="17EE1DD7" w14:textId="5C158F2E" w:rsidR="004744D6" w:rsidRDefault="004744D6" w:rsidP="004744D6">
            <w:pPr>
              <w:pStyle w:val="0Maintext"/>
              <w:spacing w:after="0" w:afterAutospacing="0"/>
              <w:ind w:firstLine="0"/>
            </w:pPr>
            <w:r>
              <w:rPr>
                <w:rFonts w:eastAsiaTheme="minorEastAsia"/>
                <w:lang w:eastAsia="zh-CN"/>
              </w:rPr>
              <w:t>We support the proposal</w:t>
            </w:r>
          </w:p>
        </w:tc>
      </w:tr>
      <w:tr w:rsidR="00C71D3F" w14:paraId="43AEA7FD" w14:textId="77777777" w:rsidTr="005A0613">
        <w:tc>
          <w:tcPr>
            <w:tcW w:w="1555" w:type="dxa"/>
          </w:tcPr>
          <w:p w14:paraId="677956DB" w14:textId="3D851C88" w:rsidR="00C71D3F" w:rsidRDefault="00C71D3F" w:rsidP="004744D6">
            <w:pPr>
              <w:pStyle w:val="0Maintext"/>
              <w:spacing w:after="0" w:afterAutospacing="0"/>
              <w:ind w:firstLine="0"/>
              <w:rPr>
                <w:rFonts w:eastAsiaTheme="minorEastAsia"/>
                <w:lang w:eastAsia="zh-CN"/>
              </w:rPr>
            </w:pPr>
            <w:r>
              <w:rPr>
                <w:rFonts w:eastAsiaTheme="minorEastAsia"/>
                <w:lang w:eastAsia="zh-CN"/>
              </w:rPr>
              <w:t>Qualcomm</w:t>
            </w:r>
          </w:p>
        </w:tc>
        <w:tc>
          <w:tcPr>
            <w:tcW w:w="8076" w:type="dxa"/>
          </w:tcPr>
          <w:p w14:paraId="18AEC4BE" w14:textId="77777777" w:rsidR="005A7558" w:rsidRDefault="005A7558" w:rsidP="005A7558">
            <w:pPr>
              <w:pStyle w:val="0Maintext"/>
              <w:spacing w:after="0" w:afterAutospacing="0" w:line="240" w:lineRule="auto"/>
              <w:ind w:firstLine="0"/>
              <w:rPr>
                <w:b/>
                <w:bCs/>
              </w:rPr>
            </w:pPr>
            <w:r>
              <w:rPr>
                <w:b/>
                <w:bCs/>
              </w:rPr>
              <w:t>We support the spirit of the FL proposal, but we do have some concerns that we’d like to address:</w:t>
            </w:r>
          </w:p>
          <w:p w14:paraId="03BE7705" w14:textId="77777777" w:rsidR="005A7558" w:rsidRDefault="005A7558" w:rsidP="005A7558">
            <w:pPr>
              <w:pStyle w:val="0Maintext"/>
              <w:numPr>
                <w:ilvl w:val="0"/>
                <w:numId w:val="25"/>
              </w:numPr>
              <w:tabs>
                <w:tab w:val="left" w:pos="720"/>
              </w:tabs>
              <w:spacing w:after="0" w:afterAutospacing="0" w:line="240" w:lineRule="auto"/>
            </w:pPr>
            <w:r>
              <w:t>COT sharing info:</w:t>
            </w:r>
          </w:p>
          <w:p w14:paraId="3CE8A94F" w14:textId="77777777" w:rsidR="005A7558" w:rsidRDefault="005A7558" w:rsidP="005A7558">
            <w:pPr>
              <w:pStyle w:val="0Maintext"/>
              <w:numPr>
                <w:ilvl w:val="1"/>
                <w:numId w:val="25"/>
              </w:numPr>
              <w:tabs>
                <w:tab w:val="left" w:pos="720"/>
              </w:tabs>
              <w:spacing w:after="0" w:afterAutospacing="0" w:line="240" w:lineRule="auto"/>
            </w:pPr>
            <w:r>
              <w:t>Include information on RB sets cleared with LBT (necessary as the COT duration, it is supported in COT-SI in DCI 2_0 of R16 NR-U and should be supported in SL-U as well)</w:t>
            </w:r>
          </w:p>
          <w:p w14:paraId="44B41D85" w14:textId="77777777" w:rsidR="005A7558" w:rsidRDefault="005A7558" w:rsidP="005A7558">
            <w:pPr>
              <w:pStyle w:val="0Maintext"/>
              <w:numPr>
                <w:ilvl w:val="1"/>
                <w:numId w:val="25"/>
              </w:numPr>
              <w:tabs>
                <w:tab w:val="left" w:pos="720"/>
              </w:tabs>
              <w:spacing w:after="0" w:afterAutospacing="0" w:line="240" w:lineRule="auto"/>
            </w:pPr>
            <w:r>
              <w:t>L1 IDs addition in COT sharing information might be possible, but should be further discussed, since the legacy IDs can or cannot be COT sharing information according to Alt2. (we suggest to move this part in FFS)</w:t>
            </w:r>
          </w:p>
          <w:p w14:paraId="4CDD42FE" w14:textId="77777777" w:rsidR="005A7558" w:rsidRPr="00C7034E" w:rsidRDefault="005A7558" w:rsidP="005A7558">
            <w:pPr>
              <w:pStyle w:val="ListParagraph"/>
              <w:numPr>
                <w:ilvl w:val="1"/>
                <w:numId w:val="18"/>
              </w:numPr>
              <w:autoSpaceDE w:val="0"/>
              <w:autoSpaceDN w:val="0"/>
              <w:spacing w:before="120"/>
              <w:ind w:leftChars="0"/>
              <w:jc w:val="both"/>
              <w:rPr>
                <w:rFonts w:ascii="Calibri" w:hAnsi="Calibri" w:cs="Calibri"/>
                <w:color w:val="000000" w:themeColor="text1"/>
                <w:sz w:val="22"/>
              </w:rPr>
            </w:pPr>
            <w:r>
              <w:t>Capture shareable resources within the COT (e.g. offset and duration of shared region similarly to NR-U CG-UCI design). Note that this is the same as  “</w:t>
            </w:r>
            <w:r w:rsidRPr="00C7034E">
              <w:rPr>
                <w:rFonts w:ascii="Calibri" w:eastAsiaTheme="minorEastAsia" w:hAnsi="Calibri" w:cs="Calibri"/>
                <w:i/>
                <w:iCs/>
                <w:color w:val="000000" w:themeColor="text1"/>
                <w:sz w:val="22"/>
                <w:lang w:val="en-US" w:eastAsia="zh-CN"/>
              </w:rPr>
              <w:t>R</w:t>
            </w:r>
            <w:r w:rsidRPr="00C7034E">
              <w:rPr>
                <w:rFonts w:ascii="Calibri" w:eastAsiaTheme="minorEastAsia" w:hAnsi="Calibri" w:cs="Calibri" w:hint="eastAsia"/>
                <w:i/>
                <w:iCs/>
                <w:color w:val="000000" w:themeColor="text1"/>
                <w:sz w:val="22"/>
                <w:lang w:val="en-US" w:eastAsia="zh-CN"/>
              </w:rPr>
              <w:t>esponding</w:t>
            </w:r>
            <w:r w:rsidRPr="00C7034E">
              <w:rPr>
                <w:rFonts w:ascii="Calibri" w:eastAsiaTheme="minorEastAsia" w:hAnsi="Calibri" w:cs="Calibri"/>
                <w:i/>
                <w:iCs/>
                <w:color w:val="000000" w:themeColor="text1"/>
                <w:sz w:val="22"/>
                <w:lang w:val="en-US" w:eastAsia="zh-CN"/>
              </w:rPr>
              <w:t xml:space="preserve"> </w:t>
            </w:r>
            <w:r w:rsidRPr="00C7034E">
              <w:rPr>
                <w:rFonts w:ascii="Calibri" w:eastAsiaTheme="minorEastAsia" w:hAnsi="Calibri" w:cs="Calibri" w:hint="eastAsia"/>
                <w:i/>
                <w:iCs/>
                <w:color w:val="000000" w:themeColor="text1"/>
                <w:sz w:val="22"/>
                <w:lang w:val="en-US" w:eastAsia="zh-CN"/>
              </w:rPr>
              <w:t>UE</w:t>
            </w:r>
            <w:r w:rsidRPr="00C7034E">
              <w:rPr>
                <w:rFonts w:ascii="Calibri" w:eastAsiaTheme="minorEastAsia" w:hAnsi="Calibri" w:cs="Calibri"/>
                <w:i/>
                <w:iCs/>
                <w:color w:val="000000" w:themeColor="text1"/>
                <w:sz w:val="22"/>
                <w:lang w:val="en-US" w:eastAsia="zh-CN"/>
              </w:rPr>
              <w:t>’s transmission starting offset</w:t>
            </w:r>
            <w:r w:rsidRPr="00C7034E">
              <w:rPr>
                <w:rFonts w:ascii="Calibri" w:eastAsiaTheme="minorEastAsia" w:hAnsi="Calibri" w:cs="Calibri"/>
                <w:color w:val="000000" w:themeColor="text1"/>
                <w:sz w:val="22"/>
                <w:lang w:val="en-US" w:eastAsia="zh-CN"/>
              </w:rPr>
              <w:t>”</w:t>
            </w:r>
            <w:r>
              <w:rPr>
                <w:rFonts w:ascii="Calibri" w:eastAsiaTheme="minorEastAsia" w:hAnsi="Calibri" w:cs="Calibri"/>
                <w:color w:val="000000" w:themeColor="text1"/>
                <w:sz w:val="22"/>
                <w:lang w:val="en-US" w:eastAsia="zh-CN"/>
              </w:rPr>
              <w:t xml:space="preserve"> and “</w:t>
            </w:r>
            <w:r w:rsidRPr="00C7034E">
              <w:rPr>
                <w:rFonts w:ascii="Calibri" w:hAnsi="Calibri" w:cs="Calibri"/>
                <w:i/>
                <w:iCs/>
                <w:color w:val="000000" w:themeColor="text1"/>
                <w:sz w:val="22"/>
              </w:rPr>
              <w:t>Starting offset of the shared COT</w:t>
            </w:r>
            <w:r>
              <w:rPr>
                <w:rFonts w:ascii="Calibri" w:hAnsi="Calibri" w:cs="Calibri"/>
                <w:color w:val="000000" w:themeColor="text1"/>
                <w:sz w:val="22"/>
              </w:rPr>
              <w:t>” mentioned by other companies.</w:t>
            </w:r>
          </w:p>
          <w:p w14:paraId="5F5FF5A5" w14:textId="77777777" w:rsidR="005A7558" w:rsidRDefault="005A7558" w:rsidP="005A7558">
            <w:pPr>
              <w:pStyle w:val="0Maintext"/>
              <w:numPr>
                <w:ilvl w:val="0"/>
                <w:numId w:val="25"/>
              </w:numPr>
              <w:spacing w:after="0" w:afterAutospacing="0" w:line="240" w:lineRule="auto"/>
            </w:pPr>
            <w:r>
              <w:t>COT shared via an S-SSB transmission from initiator seems unlikely, but we can live with the for progress since it is FFS (though we’d prefer to remove it, and keep only studying starting a shared COT with PSFCH)</w:t>
            </w:r>
          </w:p>
          <w:p w14:paraId="7F5F9FF1" w14:textId="77777777" w:rsidR="005A7558" w:rsidRDefault="005A7558" w:rsidP="005A7558">
            <w:pPr>
              <w:pStyle w:val="0Maintext"/>
              <w:spacing w:after="0" w:afterAutospacing="0" w:line="240" w:lineRule="auto"/>
            </w:pPr>
          </w:p>
          <w:p w14:paraId="1287DB10" w14:textId="77777777" w:rsidR="005A7558" w:rsidRPr="000915E6" w:rsidRDefault="005A7558" w:rsidP="005A7558">
            <w:pPr>
              <w:pStyle w:val="0Maintext"/>
              <w:spacing w:after="0" w:afterAutospacing="0" w:line="240" w:lineRule="auto"/>
              <w:ind w:firstLine="0"/>
              <w:rPr>
                <w:b/>
                <w:bCs/>
              </w:rPr>
            </w:pPr>
            <w:r w:rsidRPr="000915E6">
              <w:rPr>
                <w:b/>
                <w:bCs/>
              </w:rPr>
              <w:t>Proposed version:</w:t>
            </w:r>
          </w:p>
          <w:p w14:paraId="6B8CF196" w14:textId="77777777" w:rsidR="005A7558" w:rsidRPr="00C65E36" w:rsidRDefault="005A7558" w:rsidP="005A7558">
            <w:pPr>
              <w:autoSpaceDE w:val="0"/>
              <w:autoSpaceDN w:val="0"/>
              <w:spacing w:before="120"/>
              <w:jc w:val="both"/>
              <w:rPr>
                <w:rFonts w:ascii="Calibri" w:hAnsi="Calibri" w:cs="Calibri"/>
                <w:sz w:val="22"/>
              </w:rPr>
            </w:pPr>
            <w:r w:rsidRPr="00C65E36">
              <w:rPr>
                <w:rFonts w:ascii="Calibri" w:hAnsi="Calibri" w:cs="Calibri"/>
                <w:b/>
                <w:bCs/>
                <w:sz w:val="22"/>
                <w:highlight w:val="yellow"/>
              </w:rPr>
              <w:t xml:space="preserve">Proposal </w:t>
            </w:r>
            <w:r>
              <w:rPr>
                <w:rFonts w:ascii="Calibri" w:hAnsi="Calibri" w:cs="Calibri"/>
                <w:b/>
                <w:bCs/>
                <w:sz w:val="22"/>
                <w:highlight w:val="yellow"/>
              </w:rPr>
              <w:t>5</w:t>
            </w:r>
            <w:r w:rsidRPr="00C65E36">
              <w:rPr>
                <w:rFonts w:ascii="Calibri" w:hAnsi="Calibri" w:cs="Calibri"/>
                <w:b/>
                <w:bCs/>
                <w:sz w:val="22"/>
                <w:highlight w:val="yellow"/>
              </w:rPr>
              <w:t xml:space="preserve"> (I</w:t>
            </w:r>
            <w:r>
              <w:rPr>
                <w:rFonts w:ascii="Calibri" w:hAnsi="Calibri" w:cs="Calibri"/>
                <w:b/>
                <w:bCs/>
                <w:sz w:val="22"/>
                <w:highlight w:val="yellow"/>
              </w:rPr>
              <w:t>I</w:t>
            </w:r>
            <w:r w:rsidRPr="00C65E36">
              <w:rPr>
                <w:rFonts w:ascii="Calibri" w:hAnsi="Calibri" w:cs="Calibri"/>
                <w:b/>
                <w:bCs/>
                <w:sz w:val="22"/>
                <w:highlight w:val="yellow"/>
              </w:rPr>
              <w:t>):</w:t>
            </w:r>
          </w:p>
          <w:p w14:paraId="191D01DB" w14:textId="77777777" w:rsidR="005A7558" w:rsidRPr="00BE6393" w:rsidRDefault="005A7558" w:rsidP="005A7558">
            <w:pPr>
              <w:pStyle w:val="0Maintext"/>
              <w:numPr>
                <w:ilvl w:val="0"/>
                <w:numId w:val="25"/>
              </w:numPr>
              <w:spacing w:after="60" w:afterAutospacing="0" w:line="240" w:lineRule="auto"/>
              <w:ind w:hanging="357"/>
              <w:rPr>
                <w:rFonts w:ascii="Calibri" w:hAnsi="Calibri" w:cs="Calibri"/>
                <w:sz w:val="22"/>
                <w:lang w:val="en-US" w:eastAsia="x-none"/>
              </w:rPr>
            </w:pPr>
            <w:r w:rsidRPr="00BE6393">
              <w:rPr>
                <w:rFonts w:ascii="Calibri" w:hAnsi="Calibri" w:cs="Calibri" w:hint="eastAsia"/>
                <w:sz w:val="22"/>
                <w:lang w:val="en-AU" w:eastAsia="x-none"/>
              </w:rPr>
              <w:t>For UE-to-UE COT sharing (at least for PSCCH/PSSCH</w:t>
            </w:r>
            <w:r>
              <w:rPr>
                <w:rFonts w:ascii="Calibri" w:hAnsi="Calibri" w:cs="Calibri"/>
                <w:sz w:val="22"/>
                <w:lang w:val="en-AU" w:eastAsia="x-none"/>
              </w:rPr>
              <w:t xml:space="preserve"> </w:t>
            </w:r>
            <w:r w:rsidRPr="00962640">
              <w:rPr>
                <w:rFonts w:ascii="Calibri" w:hAnsi="Calibri" w:cs="Calibri"/>
                <w:color w:val="FF0000"/>
                <w:sz w:val="22"/>
                <w:lang w:val="en-AU" w:eastAsia="x-none"/>
              </w:rPr>
              <w:t>from the initiator</w:t>
            </w:r>
            <w:r w:rsidRPr="00BE6393">
              <w:rPr>
                <w:rFonts w:ascii="Calibri" w:hAnsi="Calibri" w:cs="Calibri" w:hint="eastAsia"/>
                <w:sz w:val="22"/>
                <w:lang w:val="en-AU" w:eastAsia="x-none"/>
              </w:rPr>
              <w:t>),</w:t>
            </w:r>
          </w:p>
          <w:p w14:paraId="08DCDF0A" w14:textId="77777777" w:rsidR="005A7558" w:rsidRPr="00BE6393" w:rsidRDefault="005A7558" w:rsidP="005A7558">
            <w:pPr>
              <w:pStyle w:val="0Maintext"/>
              <w:numPr>
                <w:ilvl w:val="1"/>
                <w:numId w:val="25"/>
              </w:numPr>
              <w:spacing w:after="60" w:afterAutospacing="0" w:line="240" w:lineRule="auto"/>
              <w:ind w:hanging="357"/>
              <w:rPr>
                <w:rFonts w:ascii="Calibri" w:hAnsi="Calibri" w:cs="Calibri"/>
                <w:sz w:val="22"/>
                <w:lang w:val="en-US" w:eastAsia="x-none"/>
              </w:rPr>
            </w:pPr>
            <w:r w:rsidRPr="00516882">
              <w:rPr>
                <w:rFonts w:ascii="Calibri" w:hAnsi="Calibri" w:cs="Calibri" w:hint="eastAsia"/>
                <w:color w:val="FF0000"/>
                <w:sz w:val="22"/>
                <w:lang w:val="en-US" w:eastAsia="x-none"/>
              </w:rPr>
              <w:t>Alt. 2 from RAN1#110</w:t>
            </w:r>
            <w:r w:rsidRPr="00516882">
              <w:rPr>
                <w:rFonts w:ascii="Calibri" w:hAnsi="Calibri" w:cs="Calibri"/>
                <w:color w:val="FF0000"/>
                <w:sz w:val="22"/>
                <w:lang w:val="en-US" w:eastAsia="x-none"/>
              </w:rPr>
              <w:t xml:space="preserve"> meeting is </w:t>
            </w:r>
            <w:r>
              <w:rPr>
                <w:rFonts w:ascii="Calibri" w:hAnsi="Calibri" w:cs="Calibri"/>
                <w:color w:val="FF0000"/>
                <w:sz w:val="22"/>
                <w:lang w:val="en-US" w:eastAsia="x-none"/>
              </w:rPr>
              <w:t>taken</w:t>
            </w:r>
            <w:r w:rsidRPr="00516882">
              <w:rPr>
                <w:rFonts w:ascii="Calibri" w:hAnsi="Calibri" w:cs="Calibri"/>
                <w:color w:val="FF0000"/>
                <w:sz w:val="22"/>
                <w:lang w:val="en-US" w:eastAsia="x-none"/>
              </w:rPr>
              <w:t xml:space="preserve"> as the baseline to work on the remaining details.</w:t>
            </w:r>
          </w:p>
          <w:p w14:paraId="1C654A1E" w14:textId="77777777" w:rsidR="005A7558" w:rsidRDefault="005A7558" w:rsidP="005A7558">
            <w:pPr>
              <w:pStyle w:val="0Maintext"/>
              <w:numPr>
                <w:ilvl w:val="2"/>
                <w:numId w:val="25"/>
              </w:numPr>
              <w:spacing w:after="60" w:afterAutospacing="0" w:line="240" w:lineRule="auto"/>
              <w:ind w:hanging="357"/>
              <w:rPr>
                <w:rFonts w:ascii="Calibri" w:hAnsi="Calibri" w:cs="Calibri"/>
                <w:sz w:val="22"/>
                <w:lang w:val="en-US" w:eastAsia="x-none"/>
              </w:rPr>
            </w:pPr>
            <w:r w:rsidRPr="00BE6393">
              <w:rPr>
                <w:rFonts w:ascii="Calibri" w:hAnsi="Calibri" w:cs="Calibri" w:hint="eastAsia"/>
                <w:sz w:val="22"/>
                <w:lang w:val="en-US" w:eastAsia="x-none"/>
              </w:rPr>
              <w:t xml:space="preserve">Alt. 2: A responding SL UE can utilize a COT shared by a COT initiating UE when the responding SL UE is a target receiver of the </w:t>
            </w:r>
            <w:r w:rsidRPr="00516882">
              <w:rPr>
                <w:rFonts w:ascii="Calibri" w:hAnsi="Calibri" w:cs="Calibri" w:hint="eastAsia"/>
                <w:sz w:val="22"/>
                <w:lang w:val="en-US" w:eastAsia="x-none"/>
              </w:rPr>
              <w:t>COT initiating UE</w:t>
            </w:r>
            <w:r w:rsidRPr="00516882">
              <w:rPr>
                <w:rFonts w:ascii="Calibri" w:hAnsi="Calibri" w:cs="Calibri" w:hint="eastAsia"/>
                <w:sz w:val="22"/>
                <w:lang w:val="en-US" w:eastAsia="x-none"/>
              </w:rPr>
              <w:t>’</w:t>
            </w:r>
            <w:r w:rsidRPr="00516882">
              <w:rPr>
                <w:rFonts w:ascii="Calibri" w:hAnsi="Calibri" w:cs="Calibri" w:hint="eastAsia"/>
                <w:sz w:val="22"/>
                <w:lang w:val="en-US" w:eastAsia="x-none"/>
              </w:rPr>
              <w:t>s transmission</w:t>
            </w:r>
            <w:r w:rsidRPr="00BE6393">
              <w:rPr>
                <w:rFonts w:ascii="Calibri" w:hAnsi="Calibri" w:cs="Calibri" w:hint="eastAsia"/>
                <w:sz w:val="22"/>
                <w:u w:val="single"/>
                <w:lang w:val="en-US" w:eastAsia="x-none"/>
              </w:rPr>
              <w:t xml:space="preserve"> </w:t>
            </w:r>
            <w:r w:rsidRPr="00BE6393">
              <w:rPr>
                <w:rFonts w:ascii="Calibri" w:hAnsi="Calibri" w:cs="Calibri" w:hint="eastAsia"/>
                <w:sz w:val="22"/>
                <w:lang w:val="en-US" w:eastAsia="x-none"/>
              </w:rPr>
              <w:t>in the COT.</w:t>
            </w:r>
          </w:p>
          <w:p w14:paraId="74D91F50" w14:textId="77777777" w:rsidR="005A7558" w:rsidRPr="00516882" w:rsidRDefault="005A7558" w:rsidP="005A7558">
            <w:pPr>
              <w:pStyle w:val="0Maintext"/>
              <w:numPr>
                <w:ilvl w:val="3"/>
                <w:numId w:val="25"/>
              </w:numPr>
              <w:spacing w:after="60" w:afterAutospacing="0" w:line="240" w:lineRule="auto"/>
              <w:rPr>
                <w:rFonts w:asciiTheme="minorHAnsi" w:hAnsiTheme="minorHAnsi" w:cstheme="minorHAnsi"/>
                <w:sz w:val="22"/>
                <w:szCs w:val="22"/>
                <w:lang w:val="en-US" w:eastAsia="x-none"/>
              </w:rPr>
            </w:pPr>
            <w:r w:rsidRPr="00516882">
              <w:rPr>
                <w:rFonts w:asciiTheme="minorHAnsi" w:hAnsiTheme="minorHAnsi" w:cstheme="minorHAnsi"/>
                <w:sz w:val="22"/>
                <w:szCs w:val="22"/>
              </w:rPr>
              <w:lastRenderedPageBreak/>
              <w:t>When the responding UE uses the shared COT for its transmission has an equal or smaller CAPC value than the CAPC value indicated in a shared COT information</w:t>
            </w:r>
          </w:p>
          <w:p w14:paraId="489325AA" w14:textId="77777777" w:rsidR="005A7558" w:rsidRPr="00516882" w:rsidRDefault="005A7558" w:rsidP="005A7558">
            <w:pPr>
              <w:pStyle w:val="ListParagraph"/>
              <w:numPr>
                <w:ilvl w:val="3"/>
                <w:numId w:val="25"/>
              </w:numPr>
              <w:autoSpaceDE w:val="0"/>
              <w:autoSpaceDN w:val="0"/>
              <w:ind w:leftChars="0"/>
              <w:jc w:val="both"/>
              <w:rPr>
                <w:rFonts w:asciiTheme="minorHAnsi" w:hAnsiTheme="minorHAnsi" w:cstheme="minorHAnsi"/>
                <w:sz w:val="22"/>
                <w:szCs w:val="22"/>
              </w:rPr>
            </w:pPr>
            <w:r w:rsidRPr="00516882">
              <w:rPr>
                <w:rFonts w:asciiTheme="minorHAnsi" w:hAnsiTheme="minorHAnsi" w:cstheme="minorHAnsi"/>
                <w:sz w:val="22"/>
                <w:szCs w:val="22"/>
              </w:rPr>
              <w:t>FFS how to determine a SL UE is a target receiver</w:t>
            </w:r>
          </w:p>
          <w:p w14:paraId="5018D049" w14:textId="77777777" w:rsidR="005A7558" w:rsidRPr="00516882" w:rsidRDefault="005A7558" w:rsidP="005A7558">
            <w:pPr>
              <w:pStyle w:val="ListParagraph"/>
              <w:numPr>
                <w:ilvl w:val="3"/>
                <w:numId w:val="25"/>
              </w:numPr>
              <w:autoSpaceDE w:val="0"/>
              <w:autoSpaceDN w:val="0"/>
              <w:ind w:leftChars="0"/>
              <w:jc w:val="both"/>
              <w:rPr>
                <w:rFonts w:asciiTheme="minorHAnsi" w:hAnsiTheme="minorHAnsi" w:cstheme="minorHAnsi"/>
                <w:sz w:val="22"/>
                <w:szCs w:val="22"/>
              </w:rPr>
            </w:pPr>
            <w:r w:rsidRPr="00516882">
              <w:rPr>
                <w:rFonts w:asciiTheme="minorHAnsi" w:hAnsiTheme="minorHAnsi" w:cstheme="minorHAnsi"/>
                <w:sz w:val="22"/>
                <w:szCs w:val="22"/>
              </w:rPr>
              <w:t>FFS: details of the channel type of the COT initiating UE’s transmission</w:t>
            </w:r>
          </w:p>
          <w:p w14:paraId="62FB5F14" w14:textId="77777777" w:rsidR="005A7558" w:rsidRPr="00516882" w:rsidRDefault="005A7558" w:rsidP="005A7558">
            <w:pPr>
              <w:pStyle w:val="ListParagraph"/>
              <w:numPr>
                <w:ilvl w:val="3"/>
                <w:numId w:val="25"/>
              </w:numPr>
              <w:autoSpaceDE w:val="0"/>
              <w:autoSpaceDN w:val="0"/>
              <w:ind w:leftChars="0"/>
              <w:jc w:val="both"/>
              <w:rPr>
                <w:rFonts w:asciiTheme="minorHAnsi" w:hAnsiTheme="minorHAnsi" w:cstheme="minorHAnsi"/>
                <w:sz w:val="22"/>
                <w:szCs w:val="22"/>
              </w:rPr>
            </w:pPr>
            <w:r w:rsidRPr="00516882">
              <w:rPr>
                <w:rFonts w:asciiTheme="minorHAnsi" w:hAnsiTheme="minorHAnsi" w:cstheme="minorHAnsi"/>
                <w:sz w:val="22"/>
                <w:szCs w:val="22"/>
              </w:rPr>
              <w:t>FFS any additional conditions</w:t>
            </w:r>
          </w:p>
          <w:p w14:paraId="607B64F2" w14:textId="77777777" w:rsidR="005A7558" w:rsidRPr="00BE6393" w:rsidRDefault="005A7558" w:rsidP="005A7558">
            <w:pPr>
              <w:pStyle w:val="0Maintext"/>
              <w:numPr>
                <w:ilvl w:val="1"/>
                <w:numId w:val="25"/>
              </w:numPr>
              <w:spacing w:after="60" w:afterAutospacing="0" w:line="240" w:lineRule="auto"/>
              <w:ind w:hanging="357"/>
              <w:rPr>
                <w:rFonts w:ascii="Calibri" w:hAnsi="Calibri" w:cs="Calibri"/>
                <w:sz w:val="22"/>
                <w:lang w:val="en-US" w:eastAsia="x-none"/>
              </w:rPr>
            </w:pPr>
            <w:r w:rsidRPr="00BE6393">
              <w:rPr>
                <w:rFonts w:ascii="Calibri" w:hAnsi="Calibri" w:cs="Calibri" w:hint="eastAsia"/>
                <w:sz w:val="22"/>
                <w:lang w:val="en-US" w:eastAsia="x-none"/>
              </w:rPr>
              <w:t>Contents of COT sharing information includes the followings:</w:t>
            </w:r>
          </w:p>
          <w:p w14:paraId="78DC7A38" w14:textId="77777777" w:rsidR="005A7558" w:rsidRPr="00067664" w:rsidRDefault="005A7558" w:rsidP="005A7558">
            <w:pPr>
              <w:pStyle w:val="0Maintext"/>
              <w:numPr>
                <w:ilvl w:val="2"/>
                <w:numId w:val="25"/>
              </w:numPr>
              <w:spacing w:after="60" w:afterAutospacing="0" w:line="240" w:lineRule="auto"/>
              <w:ind w:hanging="357"/>
              <w:rPr>
                <w:rFonts w:ascii="Calibri" w:hAnsi="Calibri" w:cs="Calibri"/>
                <w:sz w:val="22"/>
                <w:lang w:val="en-US" w:eastAsia="x-none"/>
              </w:rPr>
            </w:pPr>
            <w:r w:rsidRPr="00BE6393">
              <w:rPr>
                <w:rFonts w:ascii="Calibri" w:hAnsi="Calibri" w:cs="Calibri" w:hint="eastAsia"/>
                <w:sz w:val="22"/>
                <w:lang w:eastAsia="x-none"/>
              </w:rPr>
              <w:t>CAPC level</w:t>
            </w:r>
          </w:p>
          <w:p w14:paraId="3D499C2C" w14:textId="77777777" w:rsidR="005A7558" w:rsidRPr="00067664" w:rsidRDefault="005A7558" w:rsidP="005A7558">
            <w:pPr>
              <w:pStyle w:val="0Maintext"/>
              <w:numPr>
                <w:ilvl w:val="3"/>
                <w:numId w:val="25"/>
              </w:numPr>
              <w:spacing w:after="60" w:afterAutospacing="0" w:line="240" w:lineRule="auto"/>
              <w:rPr>
                <w:rFonts w:ascii="Calibri" w:hAnsi="Calibri" w:cs="Calibri"/>
                <w:color w:val="FF0000"/>
                <w:sz w:val="22"/>
                <w:lang w:val="en-US" w:eastAsia="x-none"/>
              </w:rPr>
            </w:pPr>
            <w:r w:rsidRPr="00067664">
              <w:rPr>
                <w:rFonts w:ascii="Calibri" w:hAnsi="Calibri" w:cs="Calibri"/>
                <w:color w:val="FF0000"/>
                <w:sz w:val="22"/>
                <w:lang w:eastAsia="x-none"/>
              </w:rPr>
              <w:t>FFS where this is also indicated when a COT is not shared</w:t>
            </w:r>
          </w:p>
          <w:p w14:paraId="4BF91821" w14:textId="77777777" w:rsidR="005A7558" w:rsidRPr="00415D4B" w:rsidRDefault="005A7558" w:rsidP="005A7558">
            <w:pPr>
              <w:pStyle w:val="0Maintext"/>
              <w:numPr>
                <w:ilvl w:val="2"/>
                <w:numId w:val="25"/>
              </w:numPr>
              <w:spacing w:after="60" w:afterAutospacing="0" w:line="240" w:lineRule="auto"/>
              <w:ind w:hanging="357"/>
              <w:rPr>
                <w:rFonts w:ascii="Calibri" w:hAnsi="Calibri" w:cs="Calibri"/>
                <w:sz w:val="22"/>
                <w:lang w:val="en-US" w:eastAsia="x-none"/>
              </w:rPr>
            </w:pPr>
            <w:r w:rsidRPr="00BE6393">
              <w:rPr>
                <w:rFonts w:ascii="Calibri" w:hAnsi="Calibri" w:cs="Calibri" w:hint="eastAsia"/>
                <w:sz w:val="22"/>
                <w:lang w:eastAsia="x-none"/>
              </w:rPr>
              <w:t>Remaining COT duration (e.g., number of SL slots or ms)</w:t>
            </w:r>
          </w:p>
          <w:p w14:paraId="2E1F8328" w14:textId="77777777" w:rsidR="005A7558" w:rsidRPr="00B46201" w:rsidRDefault="005A7558" w:rsidP="005A7558">
            <w:pPr>
              <w:pStyle w:val="0Maintext"/>
              <w:numPr>
                <w:ilvl w:val="2"/>
                <w:numId w:val="25"/>
              </w:numPr>
              <w:spacing w:after="60" w:afterAutospacing="0" w:line="240" w:lineRule="auto"/>
              <w:ind w:hanging="357"/>
              <w:rPr>
                <w:rFonts w:ascii="Calibri" w:hAnsi="Calibri" w:cs="Calibri"/>
                <w:sz w:val="22"/>
                <w:lang w:val="en-US" w:eastAsia="x-none"/>
              </w:rPr>
            </w:pPr>
            <w:r>
              <w:rPr>
                <w:rFonts w:ascii="Calibri" w:hAnsi="Calibri" w:cs="Calibri"/>
                <w:sz w:val="22"/>
                <w:lang w:eastAsia="x-none"/>
              </w:rPr>
              <w:t>RB sets included in the COT (e.g., RB set bitmap)</w:t>
            </w:r>
          </w:p>
          <w:p w14:paraId="09F74EDB" w14:textId="77777777" w:rsidR="005A7558" w:rsidRDefault="005A7558" w:rsidP="005A7558">
            <w:pPr>
              <w:pStyle w:val="0Maintext"/>
              <w:numPr>
                <w:ilvl w:val="2"/>
                <w:numId w:val="25"/>
              </w:numPr>
              <w:spacing w:after="60" w:afterAutospacing="0" w:line="240" w:lineRule="auto"/>
              <w:ind w:hanging="357"/>
              <w:rPr>
                <w:rFonts w:ascii="Calibri" w:hAnsi="Calibri" w:cs="Calibri"/>
                <w:sz w:val="22"/>
                <w:lang w:val="en-US" w:eastAsia="x-none"/>
              </w:rPr>
            </w:pPr>
          </w:p>
          <w:p w14:paraId="6F98D94F" w14:textId="77777777" w:rsidR="005A7558" w:rsidRPr="00415D4B" w:rsidRDefault="005A7558" w:rsidP="005A7558">
            <w:pPr>
              <w:pStyle w:val="0Maintext"/>
              <w:numPr>
                <w:ilvl w:val="2"/>
                <w:numId w:val="25"/>
              </w:numPr>
              <w:spacing w:after="60" w:afterAutospacing="0" w:line="240" w:lineRule="auto"/>
              <w:ind w:hanging="357"/>
              <w:rPr>
                <w:rFonts w:ascii="Calibri" w:hAnsi="Calibri" w:cs="Calibri"/>
                <w:sz w:val="22"/>
                <w:lang w:val="en-US" w:eastAsia="x-none"/>
              </w:rPr>
            </w:pPr>
            <w:r>
              <w:rPr>
                <w:rFonts w:ascii="Calibri" w:hAnsi="Calibri" w:cs="Calibri"/>
                <w:sz w:val="22"/>
                <w:lang w:eastAsia="x-none"/>
              </w:rPr>
              <w:t xml:space="preserve">Start/end of the shared region </w:t>
            </w:r>
            <w:r w:rsidRPr="00BE6393">
              <w:rPr>
                <w:rFonts w:ascii="Calibri" w:hAnsi="Calibri" w:cs="Calibri" w:hint="eastAsia"/>
                <w:sz w:val="22"/>
                <w:lang w:eastAsia="x-none"/>
              </w:rPr>
              <w:t>(e.g., number of SL slots or ms)</w:t>
            </w:r>
          </w:p>
          <w:p w14:paraId="55D59CEA" w14:textId="77777777" w:rsidR="005A7558" w:rsidRPr="00C553F3" w:rsidRDefault="005A7558" w:rsidP="005A7558">
            <w:pPr>
              <w:pStyle w:val="0Maintext"/>
              <w:numPr>
                <w:ilvl w:val="2"/>
                <w:numId w:val="25"/>
              </w:numPr>
              <w:spacing w:after="60" w:afterAutospacing="0" w:line="240" w:lineRule="auto"/>
              <w:ind w:hanging="357"/>
              <w:rPr>
                <w:rFonts w:ascii="Calibri" w:hAnsi="Calibri" w:cs="Calibri"/>
                <w:sz w:val="22"/>
                <w:lang w:val="en-US" w:eastAsia="x-none"/>
              </w:rPr>
            </w:pPr>
            <w:r>
              <w:rPr>
                <w:rFonts w:ascii="Calibri" w:hAnsi="Calibri" w:cs="Calibri"/>
                <w:sz w:val="22"/>
                <w:lang w:eastAsia="x-none"/>
              </w:rPr>
              <w:t>Frequency information on the shared region COT</w:t>
            </w:r>
          </w:p>
          <w:p w14:paraId="7EF1A887" w14:textId="77777777" w:rsidR="005A7558" w:rsidRPr="00BE6393" w:rsidRDefault="005A7558" w:rsidP="005A7558">
            <w:pPr>
              <w:pStyle w:val="0Maintext"/>
              <w:numPr>
                <w:ilvl w:val="2"/>
                <w:numId w:val="25"/>
              </w:numPr>
              <w:spacing w:after="60" w:afterAutospacing="0" w:line="240" w:lineRule="auto"/>
              <w:ind w:hanging="357"/>
              <w:rPr>
                <w:rFonts w:ascii="Calibri" w:hAnsi="Calibri" w:cs="Calibri"/>
                <w:sz w:val="22"/>
                <w:lang w:val="en-US" w:eastAsia="x-none"/>
              </w:rPr>
            </w:pPr>
            <w:r w:rsidRPr="00BE6393">
              <w:rPr>
                <w:rFonts w:ascii="Calibri" w:hAnsi="Calibri" w:cs="Calibri" w:hint="eastAsia"/>
                <w:sz w:val="22"/>
                <w:lang w:eastAsia="x-none"/>
              </w:rPr>
              <w:t xml:space="preserve">FFS any others </w:t>
            </w:r>
            <w:r w:rsidRPr="003452EE">
              <w:rPr>
                <w:rFonts w:ascii="Calibri" w:hAnsi="Calibri" w:cs="Calibri"/>
                <w:color w:val="FF0000"/>
                <w:sz w:val="22"/>
                <w:lang w:eastAsia="x-none"/>
              </w:rPr>
              <w:t xml:space="preserve">and details </w:t>
            </w:r>
            <w:r w:rsidRPr="00BE6393">
              <w:rPr>
                <w:rFonts w:ascii="Calibri" w:hAnsi="Calibri" w:cs="Calibri" w:hint="eastAsia"/>
                <w:sz w:val="22"/>
                <w:lang w:eastAsia="x-none"/>
              </w:rPr>
              <w:t>(e.g., information on time and frequency resources</w:t>
            </w:r>
            <w:r>
              <w:rPr>
                <w:rFonts w:ascii="Calibri" w:hAnsi="Calibri" w:cs="Calibri"/>
                <w:sz w:val="22"/>
                <w:lang w:eastAsia="x-none"/>
              </w:rPr>
              <w:t>, L1 destination ID and/or source ID</w:t>
            </w:r>
            <w:r w:rsidRPr="00BE6393">
              <w:rPr>
                <w:rFonts w:ascii="Calibri" w:hAnsi="Calibri" w:cs="Calibri" w:hint="eastAsia"/>
                <w:sz w:val="22"/>
                <w:lang w:eastAsia="x-none"/>
              </w:rPr>
              <w:t>)</w:t>
            </w:r>
          </w:p>
          <w:p w14:paraId="17DB35FC" w14:textId="77777777" w:rsidR="005A7558" w:rsidRPr="00BE6393" w:rsidRDefault="005A7558" w:rsidP="005A7558">
            <w:pPr>
              <w:pStyle w:val="0Maintext"/>
              <w:numPr>
                <w:ilvl w:val="1"/>
                <w:numId w:val="25"/>
              </w:numPr>
              <w:spacing w:after="60" w:afterAutospacing="0" w:line="240" w:lineRule="auto"/>
              <w:ind w:hanging="357"/>
              <w:rPr>
                <w:rFonts w:ascii="Calibri" w:hAnsi="Calibri" w:cs="Calibri"/>
                <w:sz w:val="22"/>
                <w:lang w:val="en-US" w:eastAsia="x-none"/>
              </w:rPr>
            </w:pPr>
            <w:r w:rsidRPr="00BE6393">
              <w:rPr>
                <w:rFonts w:ascii="Calibri" w:hAnsi="Calibri" w:cs="Calibri" w:hint="eastAsia"/>
                <w:sz w:val="22"/>
                <w:lang w:val="en-US" w:eastAsia="x-none"/>
              </w:rPr>
              <w:t>Container</w:t>
            </w:r>
            <w:r w:rsidRPr="008B24DB">
              <w:rPr>
                <w:rFonts w:ascii="Calibri" w:hAnsi="Calibri" w:cs="Calibri" w:hint="eastAsia"/>
                <w:strike/>
                <w:color w:val="FF0000"/>
                <w:sz w:val="22"/>
                <w:lang w:val="en-US" w:eastAsia="x-none"/>
              </w:rPr>
              <w:t>(s)</w:t>
            </w:r>
            <w:r w:rsidRPr="00BE6393">
              <w:rPr>
                <w:rFonts w:ascii="Calibri" w:hAnsi="Calibri" w:cs="Calibri" w:hint="eastAsia"/>
                <w:sz w:val="22"/>
                <w:lang w:val="en-US" w:eastAsia="x-none"/>
              </w:rPr>
              <w:t xml:space="preserve"> for the COT sharing information</w:t>
            </w:r>
            <w:r>
              <w:rPr>
                <w:rFonts w:ascii="Calibri" w:hAnsi="Calibri" w:cs="Calibri"/>
                <w:sz w:val="22"/>
                <w:lang w:val="en-US" w:eastAsia="x-none"/>
              </w:rPr>
              <w:t xml:space="preserve"> </w:t>
            </w:r>
            <w:r w:rsidRPr="006537C7">
              <w:rPr>
                <w:rFonts w:ascii="Calibri" w:hAnsi="Calibri" w:cs="Calibri"/>
                <w:color w:val="FF0000"/>
                <w:sz w:val="22"/>
                <w:lang w:val="en-US" w:eastAsia="x-none"/>
              </w:rPr>
              <w:t>is</w:t>
            </w:r>
          </w:p>
          <w:p w14:paraId="4FB2D099" w14:textId="77777777" w:rsidR="005A7558" w:rsidRPr="00BE6393" w:rsidRDefault="005A7558" w:rsidP="005A7558">
            <w:pPr>
              <w:pStyle w:val="0Maintext"/>
              <w:numPr>
                <w:ilvl w:val="2"/>
                <w:numId w:val="25"/>
              </w:numPr>
              <w:spacing w:after="60" w:afterAutospacing="0" w:line="240" w:lineRule="auto"/>
              <w:ind w:hanging="357"/>
              <w:rPr>
                <w:rFonts w:ascii="Calibri" w:hAnsi="Calibri" w:cs="Calibri"/>
                <w:sz w:val="22"/>
                <w:lang w:val="en-US" w:eastAsia="x-none"/>
              </w:rPr>
            </w:pPr>
            <w:r w:rsidRPr="00067664">
              <w:rPr>
                <w:rFonts w:ascii="Calibri" w:hAnsi="Calibri" w:cs="Calibri" w:hint="eastAsia"/>
                <w:strike/>
                <w:color w:val="FF0000"/>
                <w:sz w:val="22"/>
                <w:lang w:val="en-US" w:eastAsia="x-none"/>
              </w:rPr>
              <w:t>Option 1:</w:t>
            </w:r>
            <w:r w:rsidRPr="00067664">
              <w:rPr>
                <w:rFonts w:ascii="Calibri" w:hAnsi="Calibri" w:cs="Calibri" w:hint="eastAsia"/>
                <w:color w:val="FF0000"/>
                <w:sz w:val="22"/>
                <w:lang w:val="en-US" w:eastAsia="x-none"/>
              </w:rPr>
              <w:t xml:space="preserve"> </w:t>
            </w:r>
            <w:r w:rsidRPr="00BE6393">
              <w:rPr>
                <w:rFonts w:ascii="Calibri" w:hAnsi="Calibri" w:cs="Calibri" w:hint="eastAsia"/>
                <w:sz w:val="22"/>
                <w:lang w:val="en-US" w:eastAsia="x-none"/>
              </w:rPr>
              <w:t>SCI (e.g., 1</w:t>
            </w:r>
            <w:r w:rsidRPr="00BE6393">
              <w:rPr>
                <w:rFonts w:ascii="Calibri" w:hAnsi="Calibri" w:cs="Calibri" w:hint="eastAsia"/>
                <w:sz w:val="22"/>
                <w:vertAlign w:val="superscript"/>
                <w:lang w:val="en-US" w:eastAsia="x-none"/>
              </w:rPr>
              <w:t>st</w:t>
            </w:r>
            <w:r w:rsidRPr="00BE6393">
              <w:rPr>
                <w:rFonts w:ascii="Calibri" w:hAnsi="Calibri" w:cs="Calibri" w:hint="eastAsia"/>
                <w:sz w:val="22"/>
                <w:lang w:val="en-US" w:eastAsia="x-none"/>
              </w:rPr>
              <w:t xml:space="preserve"> and/or 2</w:t>
            </w:r>
            <w:r w:rsidRPr="00BE6393">
              <w:rPr>
                <w:rFonts w:ascii="Calibri" w:hAnsi="Calibri" w:cs="Calibri" w:hint="eastAsia"/>
                <w:sz w:val="22"/>
                <w:vertAlign w:val="superscript"/>
                <w:lang w:val="en-US" w:eastAsia="x-none"/>
              </w:rPr>
              <w:t>nd</w:t>
            </w:r>
            <w:r w:rsidRPr="00BE6393">
              <w:rPr>
                <w:rFonts w:ascii="Calibri" w:hAnsi="Calibri" w:cs="Calibri" w:hint="eastAsia"/>
                <w:sz w:val="22"/>
                <w:lang w:val="en-US" w:eastAsia="x-none"/>
              </w:rPr>
              <w:t xml:space="preserve"> stage SCI)</w:t>
            </w:r>
          </w:p>
          <w:p w14:paraId="19F9656F" w14:textId="77777777" w:rsidR="005A7558" w:rsidRDefault="005A7558" w:rsidP="005A7558">
            <w:pPr>
              <w:pStyle w:val="0Maintext"/>
              <w:numPr>
                <w:ilvl w:val="3"/>
                <w:numId w:val="25"/>
              </w:numPr>
              <w:spacing w:after="60" w:afterAutospacing="0" w:line="240" w:lineRule="auto"/>
              <w:ind w:hanging="357"/>
              <w:rPr>
                <w:rFonts w:ascii="Calibri" w:hAnsi="Calibri" w:cs="Calibri"/>
                <w:sz w:val="22"/>
                <w:lang w:val="en-US" w:eastAsia="x-none"/>
              </w:rPr>
            </w:pPr>
            <w:r w:rsidRPr="00BE6393">
              <w:rPr>
                <w:rFonts w:ascii="Calibri" w:hAnsi="Calibri" w:cs="Calibri" w:hint="eastAsia"/>
                <w:sz w:val="22"/>
                <w:lang w:val="en-US" w:eastAsia="x-none"/>
              </w:rPr>
              <w:t>FFS whether a new 1</w:t>
            </w:r>
            <w:r w:rsidRPr="00BE6393">
              <w:rPr>
                <w:rFonts w:ascii="Calibri" w:hAnsi="Calibri" w:cs="Calibri" w:hint="eastAsia"/>
                <w:sz w:val="22"/>
                <w:vertAlign w:val="superscript"/>
                <w:lang w:val="en-US" w:eastAsia="x-none"/>
              </w:rPr>
              <w:t>st</w:t>
            </w:r>
            <w:r w:rsidRPr="00BE6393">
              <w:rPr>
                <w:rFonts w:ascii="Calibri" w:hAnsi="Calibri" w:cs="Calibri" w:hint="eastAsia"/>
                <w:sz w:val="22"/>
                <w:lang w:val="en-US" w:eastAsia="x-none"/>
              </w:rPr>
              <w:t xml:space="preserve"> and/or 2</w:t>
            </w:r>
            <w:r w:rsidRPr="00BE6393">
              <w:rPr>
                <w:rFonts w:ascii="Calibri" w:hAnsi="Calibri" w:cs="Calibri" w:hint="eastAsia"/>
                <w:sz w:val="22"/>
                <w:vertAlign w:val="superscript"/>
                <w:lang w:val="en-US" w:eastAsia="x-none"/>
              </w:rPr>
              <w:t>nd</w:t>
            </w:r>
            <w:r w:rsidRPr="00BE6393">
              <w:rPr>
                <w:rFonts w:ascii="Calibri" w:hAnsi="Calibri" w:cs="Calibri" w:hint="eastAsia"/>
                <w:sz w:val="22"/>
                <w:lang w:val="en-US" w:eastAsia="x-none"/>
              </w:rPr>
              <w:t xml:space="preserve"> stage SCI format is needed (maybe consider together with SCI format(s) for SL-U and MCSt operation)</w:t>
            </w:r>
          </w:p>
          <w:p w14:paraId="0FB523BA" w14:textId="77777777" w:rsidR="005A7558" w:rsidRPr="00067664" w:rsidRDefault="005A7558" w:rsidP="005A7558">
            <w:pPr>
              <w:pStyle w:val="0Maintext"/>
              <w:numPr>
                <w:ilvl w:val="2"/>
                <w:numId w:val="25"/>
              </w:numPr>
              <w:spacing w:after="120" w:afterAutospacing="0" w:line="240" w:lineRule="auto"/>
              <w:rPr>
                <w:rFonts w:ascii="Calibri" w:hAnsi="Calibri" w:cs="Calibri"/>
                <w:strike/>
                <w:color w:val="FF0000"/>
                <w:sz w:val="22"/>
                <w:lang w:val="en-US" w:eastAsia="x-none"/>
              </w:rPr>
            </w:pPr>
            <w:r w:rsidRPr="00067664">
              <w:rPr>
                <w:rFonts w:ascii="Calibri" w:hAnsi="Calibri" w:cs="Calibri" w:hint="eastAsia"/>
                <w:strike/>
                <w:color w:val="FF0000"/>
                <w:sz w:val="22"/>
                <w:lang w:val="en-US" w:eastAsia="x-none"/>
              </w:rPr>
              <w:t>Option 2: MAC CE</w:t>
            </w:r>
          </w:p>
          <w:p w14:paraId="350609B1" w14:textId="3328463A" w:rsidR="00C71D3F" w:rsidRDefault="005A7558" w:rsidP="005A7558">
            <w:pPr>
              <w:pStyle w:val="0Maintext"/>
              <w:spacing w:after="0" w:afterAutospacing="0"/>
              <w:ind w:firstLine="0"/>
              <w:rPr>
                <w:rFonts w:eastAsiaTheme="minorEastAsia"/>
                <w:lang w:eastAsia="zh-CN"/>
              </w:rPr>
            </w:pPr>
            <w:r>
              <w:rPr>
                <w:rFonts w:ascii="Calibri" w:hAnsi="Calibri" w:cs="Calibri"/>
                <w:color w:val="FF0000"/>
                <w:sz w:val="22"/>
                <w:lang w:val="en-US"/>
              </w:rPr>
              <w:t>FFS UE-to-UE COT sharing started with PSFCH from the initiator</w:t>
            </w:r>
          </w:p>
        </w:tc>
      </w:tr>
      <w:tr w:rsidR="00EF1662" w14:paraId="301E4F17" w14:textId="77777777" w:rsidTr="005A0613">
        <w:tc>
          <w:tcPr>
            <w:tcW w:w="1555" w:type="dxa"/>
          </w:tcPr>
          <w:p w14:paraId="6AC566E6" w14:textId="0168DC49" w:rsidR="00EF1662" w:rsidRDefault="00EF1662" w:rsidP="004744D6">
            <w:pPr>
              <w:pStyle w:val="0Maintext"/>
              <w:spacing w:after="0" w:afterAutospacing="0"/>
              <w:ind w:firstLine="0"/>
              <w:rPr>
                <w:rFonts w:eastAsiaTheme="minorEastAsia"/>
                <w:lang w:eastAsia="zh-CN"/>
              </w:rPr>
            </w:pPr>
            <w:r>
              <w:rPr>
                <w:rFonts w:eastAsiaTheme="minorEastAsia"/>
                <w:lang w:eastAsia="zh-CN"/>
              </w:rPr>
              <w:lastRenderedPageBreak/>
              <w:t>Apple</w:t>
            </w:r>
          </w:p>
        </w:tc>
        <w:tc>
          <w:tcPr>
            <w:tcW w:w="8076" w:type="dxa"/>
          </w:tcPr>
          <w:p w14:paraId="0811E0FA" w14:textId="77777777" w:rsidR="00EF1662" w:rsidRDefault="00EF1662" w:rsidP="005A7558">
            <w:pPr>
              <w:pStyle w:val="0Maintext"/>
              <w:spacing w:after="0" w:afterAutospacing="0" w:line="240" w:lineRule="auto"/>
              <w:ind w:firstLine="0"/>
            </w:pPr>
            <w:r w:rsidRPr="00EF1662">
              <w:t>D</w:t>
            </w:r>
            <w:r>
              <w:t xml:space="preserve">o not support. </w:t>
            </w:r>
          </w:p>
          <w:p w14:paraId="1604E226" w14:textId="77777777" w:rsidR="00EF1662" w:rsidRDefault="00EF1662" w:rsidP="005A7558">
            <w:pPr>
              <w:pStyle w:val="0Maintext"/>
              <w:spacing w:after="0" w:afterAutospacing="0" w:line="240" w:lineRule="auto"/>
              <w:ind w:firstLine="0"/>
            </w:pPr>
          </w:p>
          <w:p w14:paraId="4B1DC81E" w14:textId="4D428D06" w:rsidR="00EF1662" w:rsidRPr="00EF1662" w:rsidRDefault="00EF1662" w:rsidP="00EF1662">
            <w:pPr>
              <w:autoSpaceDE w:val="0"/>
              <w:autoSpaceDN w:val="0"/>
              <w:jc w:val="both"/>
              <w:rPr>
                <w:rFonts w:asciiTheme="minorHAnsi" w:hAnsiTheme="minorHAnsi" w:cstheme="minorHAnsi"/>
                <w:sz w:val="22"/>
                <w:szCs w:val="22"/>
              </w:rPr>
            </w:pPr>
            <w:r>
              <w:t>For Alt 2, the “</w:t>
            </w:r>
            <w:r w:rsidRPr="00EF1662">
              <w:rPr>
                <w:rFonts w:asciiTheme="minorHAnsi" w:hAnsiTheme="minorHAnsi" w:cstheme="minorHAnsi"/>
                <w:sz w:val="22"/>
                <w:szCs w:val="22"/>
              </w:rPr>
              <w:t>FFS how to determine a SL UE is a target receiver</w:t>
            </w:r>
            <w:r>
              <w:rPr>
                <w:rFonts w:asciiTheme="minorHAnsi" w:hAnsiTheme="minorHAnsi" w:cstheme="minorHAnsi"/>
                <w:sz w:val="22"/>
                <w:szCs w:val="22"/>
              </w:rPr>
              <w:t>”</w:t>
            </w:r>
            <w:r w:rsidR="003517D3">
              <w:rPr>
                <w:rFonts w:asciiTheme="minorHAnsi" w:hAnsiTheme="minorHAnsi" w:cstheme="minorHAnsi"/>
                <w:sz w:val="22"/>
                <w:szCs w:val="22"/>
              </w:rPr>
              <w:t xml:space="preserve"> needs to be clarified and agreed upon first, since this is the keyword of alt2. We agree with LG’s comment “</w:t>
            </w:r>
            <w:r w:rsidR="003517D3">
              <w:rPr>
                <w:lang w:eastAsia="ko-KR"/>
              </w:rPr>
              <w:t>“</w:t>
            </w:r>
            <w:r w:rsidR="003517D3" w:rsidRPr="002725DE">
              <w:rPr>
                <w:color w:val="FF0000"/>
                <w:lang w:eastAsia="ko-KR"/>
              </w:rPr>
              <w:t>how to ensure the COT responded UE will transmit SL channel(s) to the COT initiator UE within the shared COT duration</w:t>
            </w:r>
            <w:r w:rsidR="003517D3">
              <w:rPr>
                <w:lang w:eastAsia="ko-KR"/>
              </w:rPr>
              <w:t>”</w:t>
            </w:r>
            <w:r w:rsidR="003517D3">
              <w:rPr>
                <w:rFonts w:asciiTheme="minorHAnsi" w:hAnsiTheme="minorHAnsi" w:cstheme="minorHAnsi"/>
                <w:sz w:val="22"/>
                <w:szCs w:val="22"/>
              </w:rPr>
              <w:t xml:space="preserve">. This is required by regulation. </w:t>
            </w:r>
          </w:p>
          <w:p w14:paraId="320976C6" w14:textId="509302D6" w:rsidR="00EF1662" w:rsidRPr="00EF1662" w:rsidRDefault="00EF1662" w:rsidP="005A7558">
            <w:pPr>
              <w:pStyle w:val="0Maintext"/>
              <w:spacing w:after="0" w:afterAutospacing="0" w:line="240" w:lineRule="auto"/>
              <w:ind w:firstLine="0"/>
            </w:pPr>
          </w:p>
        </w:tc>
      </w:tr>
      <w:tr w:rsidR="000F6488" w14:paraId="0463FE68" w14:textId="77777777" w:rsidTr="005A0613">
        <w:tc>
          <w:tcPr>
            <w:tcW w:w="1555" w:type="dxa"/>
          </w:tcPr>
          <w:p w14:paraId="2754DC86" w14:textId="193BE05D" w:rsidR="000F6488" w:rsidRDefault="000F6488" w:rsidP="004744D6">
            <w:pPr>
              <w:pStyle w:val="0Maintext"/>
              <w:spacing w:after="0" w:afterAutospacing="0"/>
              <w:ind w:firstLine="0"/>
              <w:rPr>
                <w:rFonts w:eastAsiaTheme="minorEastAsia"/>
                <w:lang w:eastAsia="zh-CN"/>
              </w:rPr>
            </w:pPr>
            <w:r>
              <w:rPr>
                <w:rFonts w:eastAsiaTheme="minorEastAsia" w:hint="eastAsia"/>
                <w:lang w:eastAsia="zh-CN"/>
              </w:rPr>
              <w:t>Spreadtrum</w:t>
            </w:r>
          </w:p>
        </w:tc>
        <w:tc>
          <w:tcPr>
            <w:tcW w:w="8076" w:type="dxa"/>
          </w:tcPr>
          <w:p w14:paraId="7D9CD352" w14:textId="1D35BF34" w:rsidR="000F6488" w:rsidRPr="000F6488" w:rsidRDefault="000F6488" w:rsidP="005A7558">
            <w:pPr>
              <w:pStyle w:val="0Maintext"/>
              <w:spacing w:after="0" w:afterAutospacing="0" w:line="240" w:lineRule="auto"/>
              <w:ind w:firstLine="0"/>
              <w:rPr>
                <w:rFonts w:eastAsiaTheme="minorEastAsia"/>
                <w:lang w:eastAsia="zh-CN"/>
              </w:rPr>
            </w:pPr>
            <w:r>
              <w:rPr>
                <w:rFonts w:eastAsiaTheme="minorEastAsia" w:hint="eastAsia"/>
                <w:lang w:eastAsia="zh-CN"/>
              </w:rPr>
              <w:t>W</w:t>
            </w:r>
            <w:r>
              <w:rPr>
                <w:rFonts w:eastAsiaTheme="minorEastAsia"/>
                <w:lang w:eastAsia="zh-CN"/>
              </w:rPr>
              <w:t>e are fine with the proposal.</w:t>
            </w:r>
          </w:p>
        </w:tc>
      </w:tr>
      <w:tr w:rsidR="004B3EDD" w14:paraId="30766014" w14:textId="77777777" w:rsidTr="005A0613">
        <w:tc>
          <w:tcPr>
            <w:tcW w:w="1555" w:type="dxa"/>
          </w:tcPr>
          <w:p w14:paraId="07A3F4D5" w14:textId="5480931E" w:rsidR="004B3EDD" w:rsidRPr="004B3EDD" w:rsidRDefault="004B3EDD" w:rsidP="004744D6">
            <w:pPr>
              <w:pStyle w:val="0Maintext"/>
              <w:spacing w:after="0" w:afterAutospacing="0"/>
              <w:ind w:firstLine="0"/>
              <w:rPr>
                <w:rFonts w:eastAsia="MS Mincho"/>
                <w:lang w:eastAsia="ja-JP"/>
              </w:rPr>
            </w:pPr>
            <w:r>
              <w:rPr>
                <w:rFonts w:eastAsia="MS Mincho" w:hint="eastAsia"/>
                <w:lang w:eastAsia="ja-JP"/>
              </w:rPr>
              <w:t>P</w:t>
            </w:r>
            <w:r>
              <w:rPr>
                <w:rFonts w:eastAsia="MS Mincho"/>
                <w:lang w:eastAsia="ja-JP"/>
              </w:rPr>
              <w:t>anasonic</w:t>
            </w:r>
          </w:p>
        </w:tc>
        <w:tc>
          <w:tcPr>
            <w:tcW w:w="8076" w:type="dxa"/>
          </w:tcPr>
          <w:p w14:paraId="37F44135" w14:textId="62831A5E" w:rsidR="004B3EDD" w:rsidRDefault="004B3EDD" w:rsidP="005A7558">
            <w:pPr>
              <w:pStyle w:val="0Maintext"/>
              <w:spacing w:after="0" w:afterAutospacing="0" w:line="240" w:lineRule="auto"/>
              <w:ind w:firstLine="0"/>
              <w:rPr>
                <w:rFonts w:eastAsiaTheme="minorEastAsia"/>
                <w:lang w:eastAsia="zh-CN"/>
              </w:rPr>
            </w:pPr>
            <w:r w:rsidRPr="004B3EDD">
              <w:rPr>
                <w:rFonts w:eastAsiaTheme="minorEastAsia"/>
                <w:lang w:eastAsia="zh-CN"/>
              </w:rPr>
              <w:t>We agree with LGE’s view. “How to ensure the COT responded UE will transmit SL channel(s) to the COT initiator UE within the shared COT duration” should be discussed. It is unclear whether PSFCH from responded UE to other than COT initiated UE,  S-SSB can be transmitted within shared COT in alt 2.</w:t>
            </w:r>
          </w:p>
        </w:tc>
      </w:tr>
      <w:tr w:rsidR="006E0E7B" w14:paraId="311CA36D" w14:textId="77777777" w:rsidTr="005A0613">
        <w:tc>
          <w:tcPr>
            <w:tcW w:w="1555" w:type="dxa"/>
          </w:tcPr>
          <w:p w14:paraId="07118707" w14:textId="6DD513E3" w:rsidR="006E0E7B" w:rsidRPr="006E0E7B" w:rsidRDefault="006E0E7B" w:rsidP="006E0E7B">
            <w:pPr>
              <w:pStyle w:val="0Maintext"/>
              <w:spacing w:after="0" w:afterAutospacing="0"/>
              <w:ind w:firstLine="0"/>
              <w:rPr>
                <w:rFonts w:eastAsiaTheme="minorEastAsia"/>
                <w:lang w:eastAsia="zh-CN"/>
              </w:rPr>
            </w:pPr>
            <w:r>
              <w:rPr>
                <w:rFonts w:eastAsiaTheme="minorEastAsia" w:hint="eastAsia"/>
                <w:lang w:eastAsia="zh-CN"/>
              </w:rPr>
              <w:t>S</w:t>
            </w:r>
            <w:r>
              <w:rPr>
                <w:rFonts w:eastAsiaTheme="minorEastAsia"/>
                <w:lang w:eastAsia="zh-CN"/>
              </w:rPr>
              <w:t>amsung</w:t>
            </w:r>
          </w:p>
        </w:tc>
        <w:tc>
          <w:tcPr>
            <w:tcW w:w="8076" w:type="dxa"/>
          </w:tcPr>
          <w:p w14:paraId="4A3631E8" w14:textId="77777777" w:rsidR="006E0E7B" w:rsidRDefault="006E0E7B" w:rsidP="006E0E7B">
            <w:pPr>
              <w:rPr>
                <w:rFonts w:eastAsiaTheme="minorEastAsia"/>
                <w:lang w:eastAsia="zh-CN"/>
              </w:rPr>
            </w:pPr>
            <w:r>
              <w:rPr>
                <w:rFonts w:eastAsiaTheme="minorEastAsia" w:hint="eastAsia"/>
                <w:lang w:eastAsia="zh-CN"/>
              </w:rPr>
              <w:t>W</w:t>
            </w:r>
            <w:r>
              <w:rPr>
                <w:rFonts w:eastAsiaTheme="minorEastAsia"/>
                <w:lang w:eastAsia="zh-CN"/>
              </w:rPr>
              <w:t>e are generally with some modifications as follows:</w:t>
            </w:r>
          </w:p>
          <w:p w14:paraId="1C2575FD" w14:textId="77777777" w:rsidR="006E0E7B" w:rsidRPr="00BE6393" w:rsidRDefault="006E0E7B" w:rsidP="006E0E7B">
            <w:pPr>
              <w:pStyle w:val="0Maintext"/>
              <w:numPr>
                <w:ilvl w:val="1"/>
                <w:numId w:val="25"/>
              </w:numPr>
              <w:spacing w:after="60" w:afterAutospacing="0" w:line="240" w:lineRule="auto"/>
              <w:ind w:hanging="357"/>
              <w:rPr>
                <w:rFonts w:ascii="Calibri" w:hAnsi="Calibri" w:cs="Calibri"/>
                <w:sz w:val="22"/>
                <w:lang w:val="en-US" w:eastAsia="x-none"/>
              </w:rPr>
            </w:pPr>
            <w:r w:rsidRPr="00BE6393">
              <w:rPr>
                <w:rFonts w:ascii="Calibri" w:hAnsi="Calibri" w:cs="Calibri" w:hint="eastAsia"/>
                <w:sz w:val="22"/>
                <w:lang w:val="en-US" w:eastAsia="x-none"/>
              </w:rPr>
              <w:t>Contents of COT sharing information includes the followings:</w:t>
            </w:r>
          </w:p>
          <w:p w14:paraId="642C232E" w14:textId="77777777" w:rsidR="006E0E7B" w:rsidRPr="00067664" w:rsidRDefault="006E0E7B" w:rsidP="006E0E7B">
            <w:pPr>
              <w:pStyle w:val="0Maintext"/>
              <w:numPr>
                <w:ilvl w:val="2"/>
                <w:numId w:val="25"/>
              </w:numPr>
              <w:spacing w:after="60" w:afterAutospacing="0" w:line="240" w:lineRule="auto"/>
              <w:ind w:hanging="357"/>
              <w:rPr>
                <w:rFonts w:ascii="Calibri" w:hAnsi="Calibri" w:cs="Calibri"/>
                <w:sz w:val="22"/>
                <w:lang w:val="en-US" w:eastAsia="x-none"/>
              </w:rPr>
            </w:pPr>
            <w:r w:rsidRPr="00BE6393">
              <w:rPr>
                <w:rFonts w:ascii="Calibri" w:hAnsi="Calibri" w:cs="Calibri" w:hint="eastAsia"/>
                <w:sz w:val="22"/>
                <w:lang w:eastAsia="x-none"/>
              </w:rPr>
              <w:t>CAPC level</w:t>
            </w:r>
            <w:r>
              <w:rPr>
                <w:rFonts w:ascii="Calibri" w:hAnsi="Calibri" w:cs="Calibri"/>
                <w:color w:val="4472C4" w:themeColor="accent5"/>
                <w:sz w:val="22"/>
                <w:lang w:eastAsia="x-none"/>
              </w:rPr>
              <w:t xml:space="preserve"> and </w:t>
            </w:r>
            <w:r w:rsidRPr="00B21402">
              <w:rPr>
                <w:rFonts w:ascii="Calibri" w:hAnsi="Calibri" w:cs="Calibri"/>
                <w:color w:val="4472C4" w:themeColor="accent5"/>
                <w:sz w:val="22"/>
                <w:lang w:eastAsia="x-none"/>
              </w:rPr>
              <w:t>channel access type</w:t>
            </w:r>
            <w:r>
              <w:rPr>
                <w:rFonts w:ascii="Calibri" w:hAnsi="Calibri" w:cs="Calibri"/>
                <w:color w:val="4472C4" w:themeColor="accent5"/>
                <w:sz w:val="22"/>
                <w:lang w:eastAsia="x-none"/>
              </w:rPr>
              <w:t xml:space="preserve"> </w:t>
            </w:r>
          </w:p>
          <w:p w14:paraId="0C4E855D" w14:textId="77777777" w:rsidR="006E0E7B" w:rsidRPr="00067664" w:rsidRDefault="006E0E7B" w:rsidP="006E0E7B">
            <w:pPr>
              <w:pStyle w:val="0Maintext"/>
              <w:numPr>
                <w:ilvl w:val="3"/>
                <w:numId w:val="25"/>
              </w:numPr>
              <w:spacing w:after="60" w:afterAutospacing="0" w:line="240" w:lineRule="auto"/>
              <w:rPr>
                <w:rFonts w:ascii="Calibri" w:hAnsi="Calibri" w:cs="Calibri"/>
                <w:color w:val="FF0000"/>
                <w:sz w:val="22"/>
                <w:lang w:val="en-US" w:eastAsia="x-none"/>
              </w:rPr>
            </w:pPr>
            <w:r w:rsidRPr="00067664">
              <w:rPr>
                <w:rFonts w:ascii="Calibri" w:hAnsi="Calibri" w:cs="Calibri"/>
                <w:color w:val="FF0000"/>
                <w:sz w:val="22"/>
                <w:lang w:eastAsia="x-none"/>
              </w:rPr>
              <w:t>FFS where this is also indicated when a COT is not shared</w:t>
            </w:r>
          </w:p>
          <w:p w14:paraId="3B5EF89B" w14:textId="77777777" w:rsidR="006E0E7B" w:rsidRPr="00BE6393" w:rsidRDefault="006E0E7B" w:rsidP="006E0E7B">
            <w:pPr>
              <w:pStyle w:val="0Maintext"/>
              <w:numPr>
                <w:ilvl w:val="2"/>
                <w:numId w:val="25"/>
              </w:numPr>
              <w:spacing w:after="60" w:afterAutospacing="0" w:line="240" w:lineRule="auto"/>
              <w:rPr>
                <w:rFonts w:ascii="Calibri" w:hAnsi="Calibri" w:cs="Calibri"/>
                <w:sz w:val="22"/>
                <w:lang w:val="en-US" w:eastAsia="x-none"/>
              </w:rPr>
            </w:pPr>
            <w:r w:rsidRPr="00BE6393">
              <w:rPr>
                <w:rFonts w:ascii="Calibri" w:hAnsi="Calibri" w:cs="Calibri" w:hint="eastAsia"/>
                <w:sz w:val="22"/>
                <w:lang w:eastAsia="x-none"/>
              </w:rPr>
              <w:t>Remaining COT duration (e.g., number of SL slots or ms)</w:t>
            </w:r>
            <w:r>
              <w:rPr>
                <w:rFonts w:ascii="Calibri" w:hAnsi="Calibri" w:cs="Calibri"/>
                <w:sz w:val="22"/>
                <w:lang w:eastAsia="x-none"/>
              </w:rPr>
              <w:t xml:space="preserve"> </w:t>
            </w:r>
            <w:r w:rsidRPr="00B21402">
              <w:rPr>
                <w:rFonts w:ascii="Calibri" w:hAnsi="Calibri" w:cs="Calibri"/>
                <w:color w:val="4472C4" w:themeColor="accent5"/>
                <w:sz w:val="22"/>
                <w:lang w:eastAsia="x-none"/>
              </w:rPr>
              <w:t>and available RB-set information</w:t>
            </w:r>
          </w:p>
          <w:p w14:paraId="45743883" w14:textId="77777777" w:rsidR="006E0E7B" w:rsidRPr="00BE6393" w:rsidRDefault="006E0E7B" w:rsidP="006E0E7B">
            <w:pPr>
              <w:pStyle w:val="0Maintext"/>
              <w:numPr>
                <w:ilvl w:val="2"/>
                <w:numId w:val="25"/>
              </w:numPr>
              <w:spacing w:after="60" w:afterAutospacing="0" w:line="240" w:lineRule="auto"/>
              <w:ind w:hanging="357"/>
              <w:rPr>
                <w:rFonts w:ascii="Calibri" w:hAnsi="Calibri" w:cs="Calibri"/>
                <w:sz w:val="22"/>
                <w:lang w:val="en-US" w:eastAsia="x-none"/>
              </w:rPr>
            </w:pPr>
            <w:r w:rsidRPr="00BE6393">
              <w:rPr>
                <w:rFonts w:ascii="Calibri" w:hAnsi="Calibri" w:cs="Calibri" w:hint="eastAsia"/>
                <w:sz w:val="22"/>
                <w:lang w:eastAsia="x-none"/>
              </w:rPr>
              <w:t>L1 ID</w:t>
            </w:r>
            <w:r>
              <w:rPr>
                <w:rFonts w:ascii="Calibri" w:hAnsi="Calibri" w:cs="Calibri"/>
                <w:sz w:val="22"/>
                <w:lang w:eastAsia="x-none"/>
              </w:rPr>
              <w:t xml:space="preserve"> (e.g., </w:t>
            </w:r>
            <w:r w:rsidRPr="00630745">
              <w:rPr>
                <w:rFonts w:ascii="Calibri" w:hAnsi="Calibri" w:cs="Calibri"/>
                <w:color w:val="FF0000"/>
                <w:sz w:val="22"/>
                <w:lang w:eastAsia="x-none"/>
              </w:rPr>
              <w:t xml:space="preserve">legacy </w:t>
            </w:r>
            <w:r w:rsidRPr="00BE6393">
              <w:rPr>
                <w:rFonts w:ascii="Calibri" w:hAnsi="Calibri" w:cs="Calibri" w:hint="eastAsia"/>
                <w:sz w:val="22"/>
                <w:lang w:eastAsia="x-none"/>
              </w:rPr>
              <w:t>destination ID and/or source ID</w:t>
            </w:r>
            <w:r>
              <w:rPr>
                <w:rFonts w:ascii="Calibri" w:hAnsi="Calibri" w:cs="Calibri"/>
                <w:sz w:val="22"/>
                <w:lang w:eastAsia="x-none"/>
              </w:rPr>
              <w:t>)</w:t>
            </w:r>
          </w:p>
          <w:p w14:paraId="16A8CA24" w14:textId="77777777" w:rsidR="006E0E7B" w:rsidRPr="00BE6393" w:rsidRDefault="006E0E7B" w:rsidP="006E0E7B">
            <w:pPr>
              <w:pStyle w:val="0Maintext"/>
              <w:numPr>
                <w:ilvl w:val="2"/>
                <w:numId w:val="25"/>
              </w:numPr>
              <w:spacing w:after="60" w:afterAutospacing="0" w:line="240" w:lineRule="auto"/>
              <w:ind w:hanging="357"/>
              <w:rPr>
                <w:rFonts w:ascii="Calibri" w:hAnsi="Calibri" w:cs="Calibri"/>
                <w:sz w:val="22"/>
                <w:lang w:val="en-US" w:eastAsia="x-none"/>
              </w:rPr>
            </w:pPr>
            <w:r w:rsidRPr="00BE6393">
              <w:rPr>
                <w:rFonts w:ascii="Calibri" w:hAnsi="Calibri" w:cs="Calibri" w:hint="eastAsia"/>
                <w:sz w:val="22"/>
                <w:lang w:eastAsia="x-none"/>
              </w:rPr>
              <w:t xml:space="preserve">FFS any others </w:t>
            </w:r>
            <w:r w:rsidRPr="003452EE">
              <w:rPr>
                <w:rFonts w:ascii="Calibri" w:hAnsi="Calibri" w:cs="Calibri"/>
                <w:color w:val="FF0000"/>
                <w:sz w:val="22"/>
                <w:lang w:eastAsia="x-none"/>
              </w:rPr>
              <w:t xml:space="preserve">and details </w:t>
            </w:r>
            <w:r w:rsidRPr="00BE6393">
              <w:rPr>
                <w:rFonts w:ascii="Calibri" w:hAnsi="Calibri" w:cs="Calibri" w:hint="eastAsia"/>
                <w:sz w:val="22"/>
                <w:lang w:eastAsia="x-none"/>
              </w:rPr>
              <w:t>(e.g., information on time and frequency resources)</w:t>
            </w:r>
          </w:p>
          <w:p w14:paraId="645F84AB" w14:textId="77777777" w:rsidR="006E0E7B" w:rsidRDefault="006E0E7B" w:rsidP="006E0E7B">
            <w:pPr>
              <w:rPr>
                <w:rFonts w:eastAsiaTheme="minorEastAsia"/>
                <w:lang w:val="en-US" w:eastAsia="zh-CN"/>
              </w:rPr>
            </w:pPr>
            <w:r>
              <w:rPr>
                <w:rFonts w:eastAsiaTheme="minorEastAsia" w:hint="eastAsia"/>
                <w:lang w:val="en-US" w:eastAsia="zh-CN"/>
              </w:rPr>
              <w:t>W</w:t>
            </w:r>
            <w:r>
              <w:rPr>
                <w:rFonts w:eastAsiaTheme="minorEastAsia"/>
                <w:lang w:val="en-US" w:eastAsia="zh-CN"/>
              </w:rPr>
              <w:t>e think the blue marked information are necessary for COT sharing, thus should not be handled in the last FFS sub-bullet.</w:t>
            </w:r>
          </w:p>
          <w:p w14:paraId="4675D296" w14:textId="77777777" w:rsidR="006E0E7B" w:rsidRPr="004B3EDD" w:rsidRDefault="006E0E7B" w:rsidP="006E0E7B">
            <w:pPr>
              <w:pStyle w:val="0Maintext"/>
              <w:spacing w:after="0" w:afterAutospacing="0" w:line="240" w:lineRule="auto"/>
              <w:ind w:firstLine="0"/>
              <w:rPr>
                <w:rFonts w:eastAsiaTheme="minorEastAsia"/>
                <w:lang w:eastAsia="zh-CN"/>
              </w:rPr>
            </w:pPr>
          </w:p>
        </w:tc>
      </w:tr>
      <w:tr w:rsidR="00B85BBD" w:rsidRPr="00AE14F3" w14:paraId="677E50F8" w14:textId="77777777" w:rsidTr="000437DD">
        <w:tc>
          <w:tcPr>
            <w:tcW w:w="1555" w:type="dxa"/>
          </w:tcPr>
          <w:p w14:paraId="2AD6D3F1" w14:textId="77777777" w:rsidR="00B85BBD" w:rsidRDefault="00B85BBD" w:rsidP="000437DD">
            <w:pPr>
              <w:pStyle w:val="0Maintext"/>
              <w:spacing w:after="0" w:afterAutospacing="0"/>
              <w:ind w:firstLine="0"/>
              <w:rPr>
                <w:rFonts w:eastAsiaTheme="minorEastAsia"/>
                <w:lang w:eastAsia="zh-CN"/>
              </w:rPr>
            </w:pPr>
            <w:r>
              <w:rPr>
                <w:rFonts w:eastAsiaTheme="minorEastAsia"/>
                <w:lang w:eastAsia="zh-CN"/>
              </w:rPr>
              <w:t>Futurewei</w:t>
            </w:r>
          </w:p>
        </w:tc>
        <w:tc>
          <w:tcPr>
            <w:tcW w:w="8076" w:type="dxa"/>
          </w:tcPr>
          <w:p w14:paraId="0E8D8D9C" w14:textId="50E9FD83" w:rsidR="00B85BBD" w:rsidRPr="00AE14F3" w:rsidRDefault="00B85BBD" w:rsidP="000437DD">
            <w:pPr>
              <w:pStyle w:val="0Maintext"/>
              <w:spacing w:after="0" w:afterAutospacing="0" w:line="240" w:lineRule="auto"/>
              <w:ind w:firstLine="0"/>
            </w:pPr>
            <w:r w:rsidRPr="00AE14F3">
              <w:t xml:space="preserve">As we mentioned in the previous round our preference is Alt 1. </w:t>
            </w:r>
            <w:r>
              <w:t xml:space="preserve">  However, if there is a mechanism to ensure that any transmission of the responder device is confined to the COT, we could consider Alt 2. We also would like to understand how a UE determine that is a target receiver.  We would </w:t>
            </w:r>
            <w:r>
              <w:lastRenderedPageBreak/>
              <w:t xml:space="preserve">like to avoid the situation where a UE becomes a target receiver for another UE target receiver. This may imply that each UE must indicate in their transmissions if they are COT initiator or respectively COT responder (target receiver). </w:t>
            </w:r>
          </w:p>
        </w:tc>
      </w:tr>
      <w:tr w:rsidR="00663172" w:rsidRPr="00AE14F3" w14:paraId="1061541C" w14:textId="77777777" w:rsidTr="000437DD">
        <w:tc>
          <w:tcPr>
            <w:tcW w:w="1555" w:type="dxa"/>
          </w:tcPr>
          <w:p w14:paraId="5787722A" w14:textId="2E281ED7" w:rsidR="00663172" w:rsidRDefault="00663172" w:rsidP="00663172">
            <w:pPr>
              <w:pStyle w:val="0Maintext"/>
              <w:spacing w:after="0" w:afterAutospacing="0"/>
              <w:ind w:firstLine="0"/>
              <w:rPr>
                <w:rFonts w:eastAsiaTheme="minorEastAsia"/>
                <w:lang w:eastAsia="zh-CN"/>
              </w:rPr>
            </w:pPr>
            <w:r>
              <w:rPr>
                <w:rFonts w:eastAsiaTheme="minorEastAsia" w:hint="eastAsia"/>
                <w:lang w:eastAsia="zh-CN"/>
              </w:rPr>
              <w:lastRenderedPageBreak/>
              <w:t>C</w:t>
            </w:r>
            <w:r>
              <w:rPr>
                <w:rFonts w:eastAsiaTheme="minorEastAsia"/>
                <w:lang w:eastAsia="zh-CN"/>
              </w:rPr>
              <w:t>ATT/GH</w:t>
            </w:r>
          </w:p>
        </w:tc>
        <w:tc>
          <w:tcPr>
            <w:tcW w:w="8076" w:type="dxa"/>
          </w:tcPr>
          <w:p w14:paraId="5433ECB4" w14:textId="77777777" w:rsidR="00663172" w:rsidRDefault="00663172" w:rsidP="00663172">
            <w:pPr>
              <w:pStyle w:val="0Maintext"/>
              <w:spacing w:after="0" w:afterAutospacing="0"/>
              <w:ind w:firstLine="0"/>
              <w:rPr>
                <w:rFonts w:eastAsiaTheme="minorEastAsia"/>
                <w:lang w:eastAsia="zh-CN"/>
              </w:rPr>
            </w:pPr>
            <w:bookmarkStart w:id="120" w:name="OLE_LINK20"/>
            <w:bookmarkStart w:id="121" w:name="OLE_LINK22"/>
            <w:r>
              <w:rPr>
                <w:rFonts w:eastAsiaTheme="minorEastAsia" w:hint="eastAsia"/>
                <w:lang w:eastAsia="zh-CN"/>
              </w:rPr>
              <w:t>W</w:t>
            </w:r>
            <w:r>
              <w:rPr>
                <w:rFonts w:eastAsiaTheme="minorEastAsia"/>
                <w:lang w:eastAsia="zh-CN"/>
              </w:rPr>
              <w:t xml:space="preserve">e still think Alt.1 is the better way forward. </w:t>
            </w:r>
          </w:p>
          <w:p w14:paraId="670CA3FC" w14:textId="77777777" w:rsidR="00663172" w:rsidRDefault="00663172" w:rsidP="00663172">
            <w:pPr>
              <w:pStyle w:val="0Maintext"/>
              <w:spacing w:after="0" w:afterAutospacing="0"/>
              <w:ind w:firstLine="0"/>
              <w:rPr>
                <w:rFonts w:eastAsiaTheme="minorEastAsia"/>
                <w:lang w:eastAsia="zh-CN"/>
              </w:rPr>
            </w:pPr>
            <w:r>
              <w:rPr>
                <w:rFonts w:eastAsiaTheme="minorEastAsia"/>
                <w:lang w:eastAsia="zh-CN"/>
              </w:rPr>
              <w:t xml:space="preserve">Considering it is still unclear whether </w:t>
            </w:r>
            <w:r w:rsidRPr="00172E38">
              <w:rPr>
                <w:rFonts w:eastAsiaTheme="minorEastAsia"/>
                <w:lang w:eastAsia="zh-CN"/>
              </w:rPr>
              <w:t xml:space="preserve">UE-to-UE COT sharing </w:t>
            </w:r>
            <w:r>
              <w:rPr>
                <w:rFonts w:eastAsiaTheme="minorEastAsia"/>
                <w:lang w:eastAsia="zh-CN"/>
              </w:rPr>
              <w:t xml:space="preserve">mechanism can be </w:t>
            </w:r>
            <w:r w:rsidRPr="00172E38">
              <w:rPr>
                <w:rFonts w:eastAsiaTheme="minorEastAsia"/>
                <w:lang w:eastAsia="zh-CN"/>
              </w:rPr>
              <w:t>started with S-SSB or PSFCH</w:t>
            </w:r>
            <w:r>
              <w:rPr>
                <w:rFonts w:eastAsiaTheme="minorEastAsia"/>
                <w:lang w:eastAsia="zh-CN"/>
              </w:rPr>
              <w:t>, using “</w:t>
            </w:r>
            <w:r w:rsidRPr="00944C4D">
              <w:rPr>
                <w:rFonts w:eastAsiaTheme="minorEastAsia"/>
                <w:b/>
                <w:lang w:eastAsia="zh-CN"/>
              </w:rPr>
              <w:t xml:space="preserve">at least </w:t>
            </w:r>
            <w:r w:rsidRPr="00172E38">
              <w:rPr>
                <w:rFonts w:eastAsiaTheme="minorEastAsia"/>
                <w:lang w:eastAsia="zh-CN"/>
              </w:rPr>
              <w:t>COT initiating UE’s PSSCH data transmission</w:t>
            </w:r>
            <w:r>
              <w:rPr>
                <w:rFonts w:eastAsiaTheme="minorEastAsia"/>
                <w:lang w:eastAsia="zh-CN"/>
              </w:rPr>
              <w:t>” as Alt.1 is more proper.</w:t>
            </w:r>
          </w:p>
          <w:p w14:paraId="6AFBD848" w14:textId="77777777" w:rsidR="00663172" w:rsidRDefault="00663172" w:rsidP="00663172">
            <w:pPr>
              <w:pStyle w:val="0Maintext"/>
              <w:spacing w:after="0" w:afterAutospacing="0"/>
              <w:ind w:firstLine="0"/>
              <w:rPr>
                <w:rFonts w:eastAsiaTheme="minorEastAsia"/>
                <w:lang w:eastAsia="zh-CN"/>
              </w:rPr>
            </w:pPr>
          </w:p>
          <w:p w14:paraId="0233982B" w14:textId="5AA524E9" w:rsidR="00663172" w:rsidRPr="00AE14F3" w:rsidRDefault="00663172" w:rsidP="00663172">
            <w:pPr>
              <w:pStyle w:val="0Maintext"/>
              <w:spacing w:after="0" w:afterAutospacing="0" w:line="240" w:lineRule="auto"/>
              <w:ind w:firstLine="0"/>
            </w:pPr>
            <w:r>
              <w:rPr>
                <w:rFonts w:eastAsiaTheme="minorEastAsia"/>
                <w:lang w:eastAsia="zh-CN"/>
              </w:rPr>
              <w:t>We are fine with the remaining part of the proposal.</w:t>
            </w:r>
            <w:bookmarkEnd w:id="120"/>
            <w:bookmarkEnd w:id="121"/>
          </w:p>
        </w:tc>
      </w:tr>
      <w:tr w:rsidR="00126C60" w14:paraId="50B349BC" w14:textId="77777777" w:rsidTr="00126C60">
        <w:tc>
          <w:tcPr>
            <w:tcW w:w="1555" w:type="dxa"/>
          </w:tcPr>
          <w:p w14:paraId="428E909D" w14:textId="77777777" w:rsidR="00126C60" w:rsidRDefault="00126C60" w:rsidP="0096086B">
            <w:pPr>
              <w:pStyle w:val="0Maintext"/>
              <w:spacing w:after="0" w:afterAutospacing="0"/>
              <w:ind w:firstLine="0"/>
              <w:rPr>
                <w:rFonts w:eastAsiaTheme="minorEastAsia"/>
                <w:lang w:eastAsia="zh-CN"/>
              </w:rPr>
            </w:pPr>
            <w:r>
              <w:rPr>
                <w:rFonts w:eastAsiaTheme="minorEastAsia" w:hint="eastAsia"/>
                <w:lang w:val="en-US" w:eastAsia="zh-CN"/>
              </w:rPr>
              <w:t>Transsion</w:t>
            </w:r>
          </w:p>
        </w:tc>
        <w:tc>
          <w:tcPr>
            <w:tcW w:w="8076" w:type="dxa"/>
          </w:tcPr>
          <w:p w14:paraId="724EB644" w14:textId="77777777" w:rsidR="00126C60" w:rsidRDefault="00126C60" w:rsidP="0096086B">
            <w:pPr>
              <w:pStyle w:val="0Maintext"/>
              <w:spacing w:after="0" w:afterAutospacing="0" w:line="240" w:lineRule="auto"/>
              <w:ind w:firstLine="0"/>
              <w:rPr>
                <w:rFonts w:eastAsiaTheme="minorEastAsia"/>
                <w:lang w:eastAsia="zh-CN"/>
              </w:rPr>
            </w:pPr>
            <w:r>
              <w:rPr>
                <w:rFonts w:eastAsia="SimSun" w:hint="eastAsia"/>
                <w:lang w:val="en-US" w:eastAsia="zh-CN"/>
              </w:rPr>
              <w:t>We agree with LG</w:t>
            </w:r>
            <w:r>
              <w:rPr>
                <w:rFonts w:eastAsia="SimSun"/>
                <w:lang w:val="en-US" w:eastAsia="zh-CN"/>
              </w:rPr>
              <w:t>’</w:t>
            </w:r>
            <w:r>
              <w:rPr>
                <w:rFonts w:eastAsia="SimSun" w:hint="eastAsia"/>
                <w:lang w:val="en-US" w:eastAsia="zh-CN"/>
              </w:rPr>
              <w:t xml:space="preserve">s comment on </w:t>
            </w:r>
            <w:r>
              <w:t>how a UE determine that is a target receiver</w:t>
            </w:r>
            <w:r>
              <w:rPr>
                <w:rFonts w:eastAsia="SimSun" w:hint="eastAsia"/>
                <w:lang w:val="en-US" w:eastAsia="zh-CN"/>
              </w:rPr>
              <w:t>.</w:t>
            </w:r>
          </w:p>
        </w:tc>
      </w:tr>
      <w:tr w:rsidR="00126C60" w:rsidRPr="00E85092" w14:paraId="1CF78EE6" w14:textId="77777777" w:rsidTr="00126C60">
        <w:tc>
          <w:tcPr>
            <w:tcW w:w="1555" w:type="dxa"/>
          </w:tcPr>
          <w:p w14:paraId="09209508" w14:textId="77777777" w:rsidR="00126C60" w:rsidRDefault="00126C60" w:rsidP="0096086B">
            <w:pPr>
              <w:pStyle w:val="0Maintext"/>
              <w:spacing w:after="0" w:afterAutospacing="0"/>
              <w:ind w:firstLine="0"/>
            </w:pPr>
            <w:r w:rsidRPr="00BE2B11">
              <w:rPr>
                <w:rFonts w:eastAsiaTheme="minorEastAsia" w:cs="Times New Roman"/>
                <w:lang w:eastAsia="zh-CN"/>
              </w:rPr>
              <w:t>Huawei, HiSilicon</w:t>
            </w:r>
          </w:p>
        </w:tc>
        <w:tc>
          <w:tcPr>
            <w:tcW w:w="8076" w:type="dxa"/>
          </w:tcPr>
          <w:p w14:paraId="4201FE51" w14:textId="77777777" w:rsidR="00126C60" w:rsidRDefault="00126C60" w:rsidP="0096086B">
            <w:pPr>
              <w:autoSpaceDE w:val="0"/>
              <w:autoSpaceDN w:val="0"/>
              <w:jc w:val="both"/>
              <w:rPr>
                <w:rFonts w:ascii="Times New Roman" w:eastAsiaTheme="minorEastAsia" w:hAnsi="Times New Roman"/>
                <w:szCs w:val="20"/>
                <w:lang w:eastAsia="zh-CN"/>
              </w:rPr>
            </w:pPr>
            <w:r w:rsidRPr="00BE2B11">
              <w:rPr>
                <w:rFonts w:ascii="Times New Roman" w:eastAsiaTheme="minorEastAsia" w:hAnsi="Times New Roman"/>
                <w:szCs w:val="20"/>
                <w:lang w:eastAsia="zh-CN"/>
              </w:rPr>
              <w:t>We</w:t>
            </w:r>
            <w:r>
              <w:rPr>
                <w:rFonts w:ascii="Times New Roman" w:eastAsiaTheme="minorEastAsia" w:hAnsi="Times New Roman"/>
                <w:szCs w:val="20"/>
                <w:lang w:eastAsia="zh-CN"/>
              </w:rPr>
              <w:t xml:space="preserve"> are generally fine for the proposal.</w:t>
            </w:r>
          </w:p>
          <w:p w14:paraId="61863BEC" w14:textId="77777777" w:rsidR="00126C60" w:rsidRDefault="00126C60" w:rsidP="0096086B">
            <w:pPr>
              <w:autoSpaceDE w:val="0"/>
              <w:autoSpaceDN w:val="0"/>
              <w:jc w:val="both"/>
              <w:rPr>
                <w:rFonts w:ascii="Times New Roman" w:eastAsiaTheme="minorEastAsia" w:hAnsi="Times New Roman"/>
                <w:szCs w:val="20"/>
                <w:lang w:eastAsia="zh-CN"/>
              </w:rPr>
            </w:pPr>
            <w:r>
              <w:rPr>
                <w:rFonts w:ascii="Times New Roman" w:eastAsiaTheme="minorEastAsia" w:hAnsi="Times New Roman"/>
                <w:szCs w:val="20"/>
                <w:lang w:eastAsia="zh-CN"/>
              </w:rPr>
              <w:t>To relieve concerns from LGE and CMCC, initiating COT UE can find other UEs reservation and share the COT to those UEs who reserve the resource within the COT through COT sharing information. Specifically, take an example in below figure, UE2 and UE3 reserved resources from slot n+2 ~ slot n+5, when UE1 performs transmission and initiate a COT in slot n, it has known the reservation from UE2 and UE3 based on the decoding of their PSCCH and will share corresponding slots to both UEs. UE ID related information of UE2 and UE3 are carried in the COT indication information, then UE2 and UE3 know it can share the COT. Therefore, this procedure can guarantee responding UE use the COT.</w:t>
            </w:r>
          </w:p>
          <w:p w14:paraId="75B5A60C" w14:textId="77777777" w:rsidR="00126C60" w:rsidRDefault="00126C60" w:rsidP="0096086B">
            <w:pPr>
              <w:autoSpaceDE w:val="0"/>
              <w:autoSpaceDN w:val="0"/>
              <w:jc w:val="both"/>
              <w:rPr>
                <w:rFonts w:ascii="Times New Roman" w:eastAsiaTheme="minorEastAsia" w:hAnsi="Times New Roman"/>
                <w:szCs w:val="20"/>
                <w:lang w:eastAsia="zh-CN"/>
              </w:rPr>
            </w:pPr>
            <w:r w:rsidRPr="008F35BB">
              <w:rPr>
                <w:noProof/>
                <w:lang w:eastAsia="zh-CN"/>
              </w:rPr>
              <w:drawing>
                <wp:inline distT="0" distB="0" distL="0" distR="0" wp14:anchorId="42E59B99" wp14:editId="7D8F0ACE">
                  <wp:extent cx="4858139" cy="1417240"/>
                  <wp:effectExtent l="0" t="0" r="0" b="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4866352" cy="1419636"/>
                          </a:xfrm>
                          <a:prstGeom prst="rect">
                            <a:avLst/>
                          </a:prstGeom>
                        </pic:spPr>
                      </pic:pic>
                    </a:graphicData>
                  </a:graphic>
                </wp:inline>
              </w:drawing>
            </w:r>
          </w:p>
          <w:p w14:paraId="54B007FB" w14:textId="77777777" w:rsidR="00126C60" w:rsidRDefault="00126C60" w:rsidP="0096086B">
            <w:pPr>
              <w:autoSpaceDE w:val="0"/>
              <w:autoSpaceDN w:val="0"/>
              <w:jc w:val="both"/>
              <w:rPr>
                <w:rFonts w:ascii="Times New Roman" w:eastAsiaTheme="minorEastAsia" w:hAnsi="Times New Roman"/>
                <w:szCs w:val="20"/>
                <w:lang w:eastAsia="zh-CN"/>
              </w:rPr>
            </w:pPr>
          </w:p>
          <w:p w14:paraId="002EF823" w14:textId="77777777" w:rsidR="00126C60" w:rsidRDefault="00126C60" w:rsidP="0096086B">
            <w:pPr>
              <w:autoSpaceDE w:val="0"/>
              <w:autoSpaceDN w:val="0"/>
              <w:jc w:val="both"/>
              <w:rPr>
                <w:rFonts w:ascii="Times New Roman" w:eastAsiaTheme="minorEastAsia" w:hAnsi="Times New Roman"/>
                <w:szCs w:val="20"/>
                <w:lang w:eastAsia="zh-CN"/>
              </w:rPr>
            </w:pPr>
            <w:r>
              <w:rPr>
                <w:rFonts w:ascii="Times New Roman" w:eastAsiaTheme="minorEastAsia" w:hAnsi="Times New Roman"/>
                <w:szCs w:val="20"/>
                <w:lang w:eastAsia="zh-CN"/>
              </w:rPr>
              <w:t>On the point from QC that to delete ID from COT indication information, we disagree. UE ID information matters whether the COT can be shared successfully and is also essential for responding UE identify whether they can use the COT. If the wording “L1 ID” is too specific, we can simply say UE ID related information.</w:t>
            </w:r>
          </w:p>
          <w:p w14:paraId="24F202ED" w14:textId="77777777" w:rsidR="00126C60" w:rsidRDefault="00126C60" w:rsidP="0096086B">
            <w:pPr>
              <w:autoSpaceDE w:val="0"/>
              <w:autoSpaceDN w:val="0"/>
              <w:jc w:val="both"/>
              <w:rPr>
                <w:rFonts w:ascii="Times New Roman" w:eastAsiaTheme="minorEastAsia" w:hAnsi="Times New Roman"/>
                <w:szCs w:val="20"/>
                <w:lang w:eastAsia="zh-CN"/>
              </w:rPr>
            </w:pPr>
            <w:r>
              <w:rPr>
                <w:rFonts w:ascii="Times New Roman" w:eastAsiaTheme="minorEastAsia" w:hAnsi="Times New Roman"/>
                <w:szCs w:val="20"/>
                <w:lang w:eastAsia="zh-CN"/>
              </w:rPr>
              <w:t xml:space="preserve">On the container part, considering that how many bits are needed for the containers </w:t>
            </w:r>
            <w:r w:rsidRPr="00302AB5">
              <w:rPr>
                <w:rFonts w:ascii="Times New Roman" w:eastAsiaTheme="minorEastAsia" w:hAnsi="Times New Roman"/>
                <w:szCs w:val="20"/>
                <w:lang w:eastAsia="zh-CN"/>
              </w:rPr>
              <w:t xml:space="preserve">is still not clear </w:t>
            </w:r>
            <w:r>
              <w:rPr>
                <w:rFonts w:ascii="Times New Roman" w:eastAsiaTheme="minorEastAsia" w:hAnsi="Times New Roman"/>
                <w:szCs w:val="20"/>
                <w:lang w:eastAsia="zh-CN"/>
              </w:rPr>
              <w:t xml:space="preserve">and SCI </w:t>
            </w:r>
            <w:r w:rsidRPr="00302AB5">
              <w:rPr>
                <w:rFonts w:ascii="Times New Roman" w:eastAsiaTheme="minorEastAsia" w:hAnsi="Times New Roman"/>
                <w:szCs w:val="20"/>
                <w:lang w:eastAsia="zh-CN"/>
              </w:rPr>
              <w:t>may n</w:t>
            </w:r>
            <w:r>
              <w:rPr>
                <w:rFonts w:ascii="Times New Roman" w:eastAsiaTheme="minorEastAsia" w:hAnsi="Times New Roman"/>
                <w:szCs w:val="20"/>
                <w:lang w:eastAsia="zh-CN"/>
              </w:rPr>
              <w:t>ot</w:t>
            </w:r>
            <w:r w:rsidRPr="00302AB5">
              <w:rPr>
                <w:rFonts w:ascii="Times New Roman" w:eastAsiaTheme="minorEastAsia" w:hAnsi="Times New Roman"/>
                <w:szCs w:val="20"/>
                <w:lang w:eastAsia="zh-CN"/>
              </w:rPr>
              <w:t xml:space="preserve"> </w:t>
            </w:r>
            <w:r>
              <w:rPr>
                <w:rFonts w:ascii="Times New Roman" w:eastAsiaTheme="minorEastAsia" w:hAnsi="Times New Roman"/>
                <w:szCs w:val="20"/>
                <w:lang w:eastAsia="zh-CN"/>
              </w:rPr>
              <w:t xml:space="preserve">have enough bits to carry all the COT sharing information, thus Option 2 can be FFS, and determine whether it is necessary after the whole design is complete. </w:t>
            </w:r>
          </w:p>
          <w:p w14:paraId="7366F804" w14:textId="77777777" w:rsidR="00126C60" w:rsidRDefault="00126C60" w:rsidP="0096086B">
            <w:pPr>
              <w:pStyle w:val="0Maintext"/>
              <w:spacing w:after="0" w:afterAutospacing="0"/>
              <w:ind w:firstLine="0"/>
              <w:rPr>
                <w:rFonts w:cs="Times New Roman"/>
              </w:rPr>
            </w:pPr>
            <w:r>
              <w:rPr>
                <w:rFonts w:cs="Times New Roman"/>
              </w:rPr>
              <w:t>Therefore, we suggest following changes on the proposal.</w:t>
            </w:r>
          </w:p>
          <w:p w14:paraId="5045A956" w14:textId="77777777" w:rsidR="00126C60" w:rsidRPr="00BE6393" w:rsidRDefault="00126C60" w:rsidP="00126C60">
            <w:pPr>
              <w:pStyle w:val="0Maintext"/>
              <w:numPr>
                <w:ilvl w:val="1"/>
                <w:numId w:val="25"/>
              </w:numPr>
              <w:spacing w:after="60" w:afterAutospacing="0" w:line="240" w:lineRule="auto"/>
              <w:ind w:hanging="357"/>
              <w:rPr>
                <w:rFonts w:ascii="Calibri" w:hAnsi="Calibri" w:cs="Calibri"/>
                <w:sz w:val="22"/>
                <w:lang w:val="en-US" w:eastAsia="x-none"/>
              </w:rPr>
            </w:pPr>
            <w:r w:rsidRPr="00BE6393">
              <w:rPr>
                <w:rFonts w:ascii="Calibri" w:hAnsi="Calibri" w:cs="Calibri" w:hint="eastAsia"/>
                <w:sz w:val="22"/>
                <w:lang w:val="en-US" w:eastAsia="x-none"/>
              </w:rPr>
              <w:t>Container</w:t>
            </w:r>
            <w:r w:rsidRPr="008B24DB">
              <w:rPr>
                <w:rFonts w:ascii="Calibri" w:hAnsi="Calibri" w:cs="Calibri" w:hint="eastAsia"/>
                <w:strike/>
                <w:color w:val="FF0000"/>
                <w:sz w:val="22"/>
                <w:lang w:val="en-US" w:eastAsia="x-none"/>
              </w:rPr>
              <w:t>(s)</w:t>
            </w:r>
            <w:r w:rsidRPr="00BE6393">
              <w:rPr>
                <w:rFonts w:ascii="Calibri" w:hAnsi="Calibri" w:cs="Calibri" w:hint="eastAsia"/>
                <w:sz w:val="22"/>
                <w:lang w:val="en-US" w:eastAsia="x-none"/>
              </w:rPr>
              <w:t xml:space="preserve"> for the COT sharing information</w:t>
            </w:r>
            <w:r>
              <w:rPr>
                <w:rFonts w:ascii="Calibri" w:hAnsi="Calibri" w:cs="Calibri"/>
                <w:sz w:val="22"/>
                <w:lang w:val="en-US" w:eastAsia="x-none"/>
              </w:rPr>
              <w:t xml:space="preserve"> </w:t>
            </w:r>
            <w:r w:rsidRPr="006537C7">
              <w:rPr>
                <w:rFonts w:ascii="Calibri" w:hAnsi="Calibri" w:cs="Calibri"/>
                <w:color w:val="FF0000"/>
                <w:sz w:val="22"/>
                <w:lang w:val="en-US" w:eastAsia="x-none"/>
              </w:rPr>
              <w:t>is</w:t>
            </w:r>
          </w:p>
          <w:p w14:paraId="1B7E3A10" w14:textId="77777777" w:rsidR="00126C60" w:rsidRPr="00BE6393" w:rsidRDefault="00126C60" w:rsidP="00126C60">
            <w:pPr>
              <w:pStyle w:val="0Maintext"/>
              <w:numPr>
                <w:ilvl w:val="2"/>
                <w:numId w:val="25"/>
              </w:numPr>
              <w:spacing w:after="60" w:afterAutospacing="0" w:line="240" w:lineRule="auto"/>
              <w:ind w:hanging="357"/>
              <w:rPr>
                <w:rFonts w:ascii="Calibri" w:hAnsi="Calibri" w:cs="Calibri"/>
                <w:sz w:val="22"/>
                <w:lang w:val="en-US" w:eastAsia="x-none"/>
              </w:rPr>
            </w:pPr>
            <w:r w:rsidRPr="00067664">
              <w:rPr>
                <w:rFonts w:ascii="Calibri" w:hAnsi="Calibri" w:cs="Calibri" w:hint="eastAsia"/>
                <w:strike/>
                <w:color w:val="FF0000"/>
                <w:sz w:val="22"/>
                <w:lang w:val="en-US" w:eastAsia="x-none"/>
              </w:rPr>
              <w:t>Option 1:</w:t>
            </w:r>
            <w:r w:rsidRPr="00067664">
              <w:rPr>
                <w:rFonts w:ascii="Calibri" w:hAnsi="Calibri" w:cs="Calibri" w:hint="eastAsia"/>
                <w:color w:val="FF0000"/>
                <w:sz w:val="22"/>
                <w:lang w:val="en-US" w:eastAsia="x-none"/>
              </w:rPr>
              <w:t xml:space="preserve"> </w:t>
            </w:r>
            <w:r w:rsidRPr="00BE6393">
              <w:rPr>
                <w:rFonts w:ascii="Calibri" w:hAnsi="Calibri" w:cs="Calibri" w:hint="eastAsia"/>
                <w:sz w:val="22"/>
                <w:lang w:val="en-US" w:eastAsia="x-none"/>
              </w:rPr>
              <w:t>SCI (e.g., 1</w:t>
            </w:r>
            <w:r w:rsidRPr="00BE6393">
              <w:rPr>
                <w:rFonts w:ascii="Calibri" w:hAnsi="Calibri" w:cs="Calibri" w:hint="eastAsia"/>
                <w:sz w:val="22"/>
                <w:vertAlign w:val="superscript"/>
                <w:lang w:val="en-US" w:eastAsia="x-none"/>
              </w:rPr>
              <w:t>st</w:t>
            </w:r>
            <w:r w:rsidRPr="00BE6393">
              <w:rPr>
                <w:rFonts w:ascii="Calibri" w:hAnsi="Calibri" w:cs="Calibri" w:hint="eastAsia"/>
                <w:sz w:val="22"/>
                <w:lang w:val="en-US" w:eastAsia="x-none"/>
              </w:rPr>
              <w:t xml:space="preserve"> and/or 2</w:t>
            </w:r>
            <w:r w:rsidRPr="00BE6393">
              <w:rPr>
                <w:rFonts w:ascii="Calibri" w:hAnsi="Calibri" w:cs="Calibri" w:hint="eastAsia"/>
                <w:sz w:val="22"/>
                <w:vertAlign w:val="superscript"/>
                <w:lang w:val="en-US" w:eastAsia="x-none"/>
              </w:rPr>
              <w:t>nd</w:t>
            </w:r>
            <w:r w:rsidRPr="00BE6393">
              <w:rPr>
                <w:rFonts w:ascii="Calibri" w:hAnsi="Calibri" w:cs="Calibri" w:hint="eastAsia"/>
                <w:sz w:val="22"/>
                <w:lang w:val="en-US" w:eastAsia="x-none"/>
              </w:rPr>
              <w:t xml:space="preserve"> stage SCI)</w:t>
            </w:r>
          </w:p>
          <w:p w14:paraId="548627EA" w14:textId="77777777" w:rsidR="00126C60" w:rsidRDefault="00126C60" w:rsidP="00126C60">
            <w:pPr>
              <w:pStyle w:val="0Maintext"/>
              <w:numPr>
                <w:ilvl w:val="3"/>
                <w:numId w:val="25"/>
              </w:numPr>
              <w:spacing w:after="60" w:afterAutospacing="0" w:line="240" w:lineRule="auto"/>
              <w:ind w:hanging="357"/>
              <w:rPr>
                <w:rFonts w:ascii="Calibri" w:hAnsi="Calibri" w:cs="Calibri"/>
                <w:sz w:val="22"/>
                <w:lang w:val="en-US" w:eastAsia="x-none"/>
              </w:rPr>
            </w:pPr>
            <w:r w:rsidRPr="00BE6393">
              <w:rPr>
                <w:rFonts w:ascii="Calibri" w:hAnsi="Calibri" w:cs="Calibri" w:hint="eastAsia"/>
                <w:sz w:val="22"/>
                <w:lang w:val="en-US" w:eastAsia="x-none"/>
              </w:rPr>
              <w:t>FFS whether a new 1</w:t>
            </w:r>
            <w:r w:rsidRPr="00BE6393">
              <w:rPr>
                <w:rFonts w:ascii="Calibri" w:hAnsi="Calibri" w:cs="Calibri" w:hint="eastAsia"/>
                <w:sz w:val="22"/>
                <w:vertAlign w:val="superscript"/>
                <w:lang w:val="en-US" w:eastAsia="x-none"/>
              </w:rPr>
              <w:t>st</w:t>
            </w:r>
            <w:r w:rsidRPr="00BE6393">
              <w:rPr>
                <w:rFonts w:ascii="Calibri" w:hAnsi="Calibri" w:cs="Calibri" w:hint="eastAsia"/>
                <w:sz w:val="22"/>
                <w:lang w:val="en-US" w:eastAsia="x-none"/>
              </w:rPr>
              <w:t xml:space="preserve"> and/or 2</w:t>
            </w:r>
            <w:r w:rsidRPr="00BE6393">
              <w:rPr>
                <w:rFonts w:ascii="Calibri" w:hAnsi="Calibri" w:cs="Calibri" w:hint="eastAsia"/>
                <w:sz w:val="22"/>
                <w:vertAlign w:val="superscript"/>
                <w:lang w:val="en-US" w:eastAsia="x-none"/>
              </w:rPr>
              <w:t>nd</w:t>
            </w:r>
            <w:r w:rsidRPr="00BE6393">
              <w:rPr>
                <w:rFonts w:ascii="Calibri" w:hAnsi="Calibri" w:cs="Calibri" w:hint="eastAsia"/>
                <w:sz w:val="22"/>
                <w:lang w:val="en-US" w:eastAsia="x-none"/>
              </w:rPr>
              <w:t xml:space="preserve"> stage SCI format is needed (maybe consider together with SCI format(s) for SL-U and MCSt operation)</w:t>
            </w:r>
          </w:p>
          <w:p w14:paraId="39B62D60" w14:textId="77777777" w:rsidR="00126C60" w:rsidRPr="00E85092" w:rsidRDefault="00126C60" w:rsidP="00126C60">
            <w:pPr>
              <w:pStyle w:val="0Maintext"/>
              <w:numPr>
                <w:ilvl w:val="2"/>
                <w:numId w:val="25"/>
              </w:numPr>
              <w:spacing w:after="120" w:afterAutospacing="0" w:line="240" w:lineRule="auto"/>
              <w:rPr>
                <w:rFonts w:ascii="Calibri" w:hAnsi="Calibri" w:cs="Calibri"/>
                <w:color w:val="00B050"/>
                <w:sz w:val="22"/>
                <w:lang w:val="en-US" w:eastAsia="x-none"/>
              </w:rPr>
            </w:pPr>
            <w:r w:rsidRPr="00067664">
              <w:rPr>
                <w:rFonts w:ascii="Calibri" w:hAnsi="Calibri" w:cs="Calibri" w:hint="eastAsia"/>
                <w:strike/>
                <w:color w:val="FF0000"/>
                <w:sz w:val="22"/>
                <w:lang w:val="en-US" w:eastAsia="x-none"/>
              </w:rPr>
              <w:t>Option 2: MAC CE</w:t>
            </w:r>
            <w:r w:rsidRPr="00302AB5">
              <w:rPr>
                <w:rFonts w:ascii="Calibri" w:hAnsi="Calibri" w:cs="Calibri"/>
                <w:color w:val="00B050"/>
                <w:sz w:val="22"/>
                <w:lang w:val="en-US" w:eastAsia="x-none"/>
              </w:rPr>
              <w:t xml:space="preserve"> FFS: </w:t>
            </w:r>
            <w:r>
              <w:rPr>
                <w:rFonts w:ascii="Calibri" w:hAnsi="Calibri" w:cs="Calibri"/>
                <w:color w:val="00B050"/>
                <w:sz w:val="22"/>
                <w:lang w:val="en-US" w:eastAsia="x-none"/>
              </w:rPr>
              <w:t>whether the MAC CE is necessary after the contents of COT sharing information have been</w:t>
            </w:r>
            <w:r w:rsidRPr="00302AB5">
              <w:rPr>
                <w:rFonts w:ascii="Calibri" w:hAnsi="Calibri" w:cs="Calibri"/>
                <w:color w:val="00B050"/>
                <w:sz w:val="22"/>
                <w:lang w:val="en-US" w:eastAsia="x-none"/>
              </w:rPr>
              <w:t xml:space="preserve"> determined</w:t>
            </w:r>
            <w:r>
              <w:rPr>
                <w:rFonts w:ascii="Calibri" w:hAnsi="Calibri" w:cs="Calibri"/>
                <w:color w:val="00B050"/>
                <w:sz w:val="22"/>
                <w:lang w:val="en-US" w:eastAsia="x-none"/>
              </w:rPr>
              <w:t>.</w:t>
            </w:r>
          </w:p>
        </w:tc>
      </w:tr>
      <w:tr w:rsidR="00126C60" w:rsidRPr="00E85092" w14:paraId="21AE9DBA" w14:textId="77777777" w:rsidTr="00126C60">
        <w:tc>
          <w:tcPr>
            <w:tcW w:w="1555" w:type="dxa"/>
          </w:tcPr>
          <w:p w14:paraId="6031CAEB" w14:textId="77777777" w:rsidR="00126C60" w:rsidRPr="006B331E" w:rsidRDefault="00126C60" w:rsidP="0096086B">
            <w:pPr>
              <w:pStyle w:val="0Maintext"/>
              <w:spacing w:after="0" w:afterAutospacing="0" w:line="240" w:lineRule="auto"/>
              <w:ind w:firstLine="0"/>
              <w:rPr>
                <w:rFonts w:eastAsia="SimSun"/>
                <w:lang w:val="en-US" w:eastAsia="zh-CN"/>
              </w:rPr>
            </w:pPr>
            <w:r w:rsidRPr="006B331E">
              <w:rPr>
                <w:rFonts w:eastAsia="SimSun" w:hint="eastAsia"/>
                <w:lang w:val="en-US" w:eastAsia="zh-CN"/>
              </w:rPr>
              <w:t>ETRI</w:t>
            </w:r>
          </w:p>
        </w:tc>
        <w:tc>
          <w:tcPr>
            <w:tcW w:w="8076" w:type="dxa"/>
          </w:tcPr>
          <w:p w14:paraId="71429081" w14:textId="77777777" w:rsidR="00126C60" w:rsidRPr="006B331E" w:rsidRDefault="00126C60" w:rsidP="0096086B">
            <w:pPr>
              <w:autoSpaceDE w:val="0"/>
              <w:autoSpaceDN w:val="0"/>
              <w:jc w:val="both"/>
              <w:rPr>
                <w:rFonts w:ascii="Times New Roman" w:eastAsia="SimSun" w:hAnsi="Times New Roman" w:cs="Batang"/>
                <w:szCs w:val="20"/>
                <w:lang w:val="en-US" w:eastAsia="zh-CN"/>
              </w:rPr>
            </w:pPr>
            <w:r w:rsidRPr="006B331E">
              <w:rPr>
                <w:rFonts w:ascii="Times New Roman" w:eastAsia="SimSun" w:hAnsi="Times New Roman" w:cs="Batang" w:hint="eastAsia"/>
                <w:szCs w:val="20"/>
                <w:lang w:val="en-US" w:eastAsia="zh-CN"/>
              </w:rPr>
              <w:t>We</w:t>
            </w:r>
            <w:r w:rsidRPr="006B331E">
              <w:rPr>
                <w:rFonts w:ascii="Times New Roman" w:eastAsia="SimSun" w:hAnsi="Times New Roman" w:cs="Batang"/>
                <w:szCs w:val="20"/>
                <w:lang w:val="en-US" w:eastAsia="zh-CN"/>
              </w:rPr>
              <w:t xml:space="preserve"> </w:t>
            </w:r>
            <w:r w:rsidRPr="006B331E">
              <w:rPr>
                <w:rFonts w:ascii="Times New Roman" w:eastAsia="SimSun" w:hAnsi="Times New Roman" w:cs="Batang" w:hint="eastAsia"/>
                <w:szCs w:val="20"/>
                <w:lang w:val="en-US" w:eastAsia="zh-CN"/>
              </w:rPr>
              <w:t>are</w:t>
            </w:r>
            <w:r w:rsidRPr="006B331E">
              <w:rPr>
                <w:rFonts w:ascii="Times New Roman" w:eastAsia="SimSun" w:hAnsi="Times New Roman" w:cs="Batang"/>
                <w:szCs w:val="20"/>
                <w:lang w:val="en-US" w:eastAsia="zh-CN"/>
              </w:rPr>
              <w:t xml:space="preserve"> </w:t>
            </w:r>
            <w:r w:rsidRPr="006B331E">
              <w:rPr>
                <w:rFonts w:ascii="Times New Roman" w:eastAsia="SimSun" w:hAnsi="Times New Roman" w:cs="Batang" w:hint="eastAsia"/>
                <w:szCs w:val="20"/>
                <w:lang w:val="en-US" w:eastAsia="zh-CN"/>
              </w:rPr>
              <w:t>fine</w:t>
            </w:r>
            <w:r w:rsidRPr="006B331E">
              <w:rPr>
                <w:rFonts w:ascii="Times New Roman" w:eastAsia="SimSun" w:hAnsi="Times New Roman" w:cs="Batang"/>
                <w:szCs w:val="20"/>
                <w:lang w:val="en-US" w:eastAsia="zh-CN"/>
              </w:rPr>
              <w:t xml:space="preserve"> </w:t>
            </w:r>
            <w:r w:rsidRPr="006B331E">
              <w:rPr>
                <w:rFonts w:ascii="Times New Roman" w:eastAsia="SimSun" w:hAnsi="Times New Roman" w:cs="Batang" w:hint="eastAsia"/>
                <w:szCs w:val="20"/>
                <w:lang w:val="en-US" w:eastAsia="zh-CN"/>
              </w:rPr>
              <w:t>with</w:t>
            </w:r>
            <w:r w:rsidRPr="006B331E">
              <w:rPr>
                <w:rFonts w:ascii="Times New Roman" w:eastAsia="SimSun" w:hAnsi="Times New Roman" w:cs="Batang"/>
                <w:szCs w:val="20"/>
                <w:lang w:val="en-US" w:eastAsia="zh-CN"/>
              </w:rPr>
              <w:t xml:space="preserve"> </w:t>
            </w:r>
            <w:r w:rsidRPr="006B331E">
              <w:rPr>
                <w:rFonts w:ascii="Times New Roman" w:eastAsia="SimSun" w:hAnsi="Times New Roman" w:cs="Batang" w:hint="eastAsia"/>
                <w:szCs w:val="20"/>
                <w:lang w:val="en-US" w:eastAsia="zh-CN"/>
              </w:rPr>
              <w:t>the</w:t>
            </w:r>
            <w:r w:rsidRPr="006B331E">
              <w:rPr>
                <w:rFonts w:ascii="Times New Roman" w:eastAsia="SimSun" w:hAnsi="Times New Roman" w:cs="Batang"/>
                <w:szCs w:val="20"/>
                <w:lang w:val="en-US" w:eastAsia="zh-CN"/>
              </w:rPr>
              <w:t xml:space="preserve"> </w:t>
            </w:r>
            <w:r w:rsidRPr="006B331E">
              <w:rPr>
                <w:rFonts w:ascii="Times New Roman" w:eastAsia="SimSun" w:hAnsi="Times New Roman" w:cs="Batang" w:hint="eastAsia"/>
                <w:szCs w:val="20"/>
                <w:lang w:val="en-US" w:eastAsia="zh-CN"/>
              </w:rPr>
              <w:t>proposal.</w:t>
            </w:r>
          </w:p>
        </w:tc>
      </w:tr>
      <w:tr w:rsidR="0049089E" w:rsidRPr="00E85092" w14:paraId="1FE156CA" w14:textId="77777777" w:rsidTr="0049089E">
        <w:tc>
          <w:tcPr>
            <w:tcW w:w="1555" w:type="dxa"/>
          </w:tcPr>
          <w:p w14:paraId="604B1A40" w14:textId="77777777" w:rsidR="0049089E" w:rsidRPr="006B331E" w:rsidRDefault="0049089E" w:rsidP="004711C5">
            <w:pPr>
              <w:pStyle w:val="0Maintext"/>
              <w:spacing w:after="0" w:afterAutospacing="0" w:line="240" w:lineRule="auto"/>
              <w:ind w:firstLine="0"/>
              <w:rPr>
                <w:rFonts w:eastAsia="SimSun"/>
                <w:lang w:val="en-US" w:eastAsia="zh-CN"/>
              </w:rPr>
            </w:pPr>
            <w:r>
              <w:t>Ericsson</w:t>
            </w:r>
          </w:p>
        </w:tc>
        <w:tc>
          <w:tcPr>
            <w:tcW w:w="8076" w:type="dxa"/>
          </w:tcPr>
          <w:p w14:paraId="3C3AFB4B" w14:textId="77777777" w:rsidR="0049089E" w:rsidRDefault="0049089E" w:rsidP="004711C5">
            <w:r>
              <w:t xml:space="preserve">We do not support the proposal. </w:t>
            </w:r>
          </w:p>
          <w:p w14:paraId="3DC73FA4" w14:textId="77777777" w:rsidR="0049089E" w:rsidRPr="006B331E" w:rsidRDefault="0049089E" w:rsidP="004711C5">
            <w:pPr>
              <w:autoSpaceDE w:val="0"/>
              <w:autoSpaceDN w:val="0"/>
              <w:jc w:val="both"/>
              <w:rPr>
                <w:rFonts w:ascii="Times New Roman" w:eastAsia="SimSun" w:hAnsi="Times New Roman" w:cs="Batang"/>
                <w:szCs w:val="20"/>
                <w:lang w:val="en-US" w:eastAsia="zh-CN"/>
              </w:rPr>
            </w:pPr>
            <w:r>
              <w:t>In our view, we should support Alt.1 which is the closest operation to SL-U. By using Alt.1, we are reusing a mechanism much similar to the one used in NR-U which is in our view a fair compromise (since it is more cooperative with other technologies such as WiFi).</w:t>
            </w:r>
          </w:p>
        </w:tc>
      </w:tr>
      <w:tr w:rsidR="0049089E" w:rsidRPr="00E85092" w14:paraId="37737A70" w14:textId="77777777" w:rsidTr="0049089E">
        <w:tc>
          <w:tcPr>
            <w:tcW w:w="1555" w:type="dxa"/>
          </w:tcPr>
          <w:p w14:paraId="22CB3F8D" w14:textId="77777777" w:rsidR="0049089E" w:rsidRDefault="0049089E" w:rsidP="004711C5">
            <w:pPr>
              <w:pStyle w:val="0Maintext"/>
              <w:spacing w:after="0" w:afterAutospacing="0" w:line="240" w:lineRule="auto"/>
              <w:ind w:firstLine="0"/>
            </w:pPr>
            <w:r>
              <w:rPr>
                <w:rFonts w:eastAsiaTheme="minorEastAsia" w:hint="eastAsia"/>
                <w:lang w:val="en-US" w:eastAsia="zh-CN"/>
              </w:rPr>
              <w:t>M</w:t>
            </w:r>
            <w:r>
              <w:rPr>
                <w:rFonts w:eastAsiaTheme="minorEastAsia"/>
                <w:lang w:val="en-US" w:eastAsia="zh-CN"/>
              </w:rPr>
              <w:t>ediaTek</w:t>
            </w:r>
          </w:p>
        </w:tc>
        <w:tc>
          <w:tcPr>
            <w:tcW w:w="8076" w:type="dxa"/>
          </w:tcPr>
          <w:p w14:paraId="6A51D897" w14:textId="77777777" w:rsidR="0049089E" w:rsidRDefault="0049089E" w:rsidP="0049089E">
            <w:pPr>
              <w:pStyle w:val="0Maintext"/>
              <w:spacing w:after="0" w:afterAutospacing="0" w:line="240" w:lineRule="auto"/>
              <w:ind w:firstLine="0"/>
              <w:rPr>
                <w:rFonts w:eastAsia="SimSun"/>
                <w:lang w:val="en-US" w:eastAsia="zh-CN"/>
              </w:rPr>
            </w:pPr>
            <w:r>
              <w:rPr>
                <w:rFonts w:eastAsia="SimSun"/>
                <w:lang w:val="en-US" w:eastAsia="zh-CN"/>
              </w:rPr>
              <w:t>For the contents of COT sharing information, we share the same opinions as some other companies:</w:t>
            </w:r>
          </w:p>
          <w:p w14:paraId="60EF06EC" w14:textId="77777777" w:rsidR="0049089E" w:rsidRDefault="0049089E">
            <w:pPr>
              <w:pStyle w:val="0Maintext"/>
              <w:numPr>
                <w:ilvl w:val="0"/>
                <w:numId w:val="59"/>
              </w:numPr>
              <w:spacing w:after="0" w:afterAutospacing="0" w:line="240" w:lineRule="auto"/>
              <w:rPr>
                <w:rFonts w:eastAsia="SimSun"/>
                <w:lang w:val="en-US" w:eastAsia="zh-CN"/>
              </w:rPr>
            </w:pPr>
            <w:r>
              <w:rPr>
                <w:rFonts w:eastAsia="SimSun" w:hint="eastAsia"/>
                <w:lang w:val="en-US" w:eastAsia="zh-CN"/>
              </w:rPr>
              <w:t>I</w:t>
            </w:r>
            <w:r>
              <w:rPr>
                <w:rFonts w:eastAsia="SimSun"/>
                <w:lang w:val="en-US" w:eastAsia="zh-CN"/>
              </w:rPr>
              <w:t xml:space="preserve">t may be too early to say </w:t>
            </w:r>
            <w:r w:rsidRPr="00A61224">
              <w:rPr>
                <w:rFonts w:eastAsia="SimSun"/>
                <w:lang w:val="en-US" w:eastAsia="zh-CN"/>
              </w:rPr>
              <w:t>L1 ID</w:t>
            </w:r>
            <w:r>
              <w:rPr>
                <w:rFonts w:eastAsia="SimSun"/>
                <w:lang w:val="en-US" w:eastAsia="zh-CN"/>
              </w:rPr>
              <w:t xml:space="preserve"> should be included in the COT sharing info, thus better to be removed into the FFS part.</w:t>
            </w:r>
          </w:p>
          <w:p w14:paraId="4CE9856B" w14:textId="77777777" w:rsidR="0049089E" w:rsidRDefault="0049089E">
            <w:pPr>
              <w:pStyle w:val="0Maintext"/>
              <w:numPr>
                <w:ilvl w:val="0"/>
                <w:numId w:val="59"/>
              </w:numPr>
              <w:spacing w:after="0" w:afterAutospacing="0" w:line="240" w:lineRule="auto"/>
              <w:rPr>
                <w:rFonts w:eastAsia="SimSun"/>
                <w:lang w:val="en-US" w:eastAsia="zh-CN"/>
              </w:rPr>
            </w:pPr>
            <w:r>
              <w:rPr>
                <w:rFonts w:eastAsia="SimSun" w:hint="eastAsia"/>
                <w:lang w:val="en-US" w:eastAsia="zh-CN"/>
              </w:rPr>
              <w:t>W</w:t>
            </w:r>
            <w:r>
              <w:rPr>
                <w:rFonts w:eastAsia="SimSun"/>
                <w:lang w:val="en-US" w:eastAsia="zh-CN"/>
              </w:rPr>
              <w:t xml:space="preserve">e think the </w:t>
            </w:r>
            <w:r w:rsidRPr="00A61224">
              <w:rPr>
                <w:rFonts w:eastAsia="SimSun"/>
                <w:lang w:val="en-US" w:eastAsia="zh-CN"/>
              </w:rPr>
              <w:t>sharable resource(s)</w:t>
            </w:r>
            <w:r>
              <w:rPr>
                <w:rFonts w:eastAsia="SimSun"/>
                <w:lang w:val="en-US" w:eastAsia="zh-CN"/>
              </w:rPr>
              <w:t xml:space="preserve"> within the COT is a key information to enable the COT sharing behavior work and should be added in the COT sharing information.</w:t>
            </w:r>
          </w:p>
          <w:p w14:paraId="35B0331D" w14:textId="77777777" w:rsidR="0049089E" w:rsidRDefault="0049089E">
            <w:pPr>
              <w:pStyle w:val="0Maintext"/>
              <w:numPr>
                <w:ilvl w:val="0"/>
                <w:numId w:val="59"/>
              </w:numPr>
              <w:spacing w:after="0" w:afterAutospacing="0" w:line="240" w:lineRule="auto"/>
              <w:rPr>
                <w:rFonts w:eastAsia="SimSun"/>
                <w:lang w:val="en-US" w:eastAsia="zh-CN"/>
              </w:rPr>
            </w:pPr>
            <w:r>
              <w:rPr>
                <w:rFonts w:eastAsia="SimSun" w:hint="eastAsia"/>
                <w:lang w:val="en-US" w:eastAsia="zh-CN"/>
              </w:rPr>
              <w:t>F</w:t>
            </w:r>
            <w:r>
              <w:rPr>
                <w:rFonts w:eastAsia="SimSun"/>
                <w:lang w:val="en-US" w:eastAsia="zh-CN"/>
              </w:rPr>
              <w:t xml:space="preserve">or the </w:t>
            </w:r>
            <w:r w:rsidRPr="00A61224">
              <w:rPr>
                <w:rFonts w:eastAsia="SimSun"/>
                <w:lang w:val="en-US" w:eastAsia="zh-CN"/>
              </w:rPr>
              <w:t>channel access type</w:t>
            </w:r>
            <w:r>
              <w:rPr>
                <w:rFonts w:eastAsia="SimSun"/>
                <w:lang w:val="en-US" w:eastAsia="zh-CN"/>
              </w:rPr>
              <w:t xml:space="preserve">, we share the same opinion as </w:t>
            </w:r>
            <w:r w:rsidRPr="00A61224">
              <w:rPr>
                <w:rFonts w:eastAsia="SimSun"/>
                <w:lang w:val="en-US" w:eastAsia="zh-CN"/>
              </w:rPr>
              <w:t>Samsung</w:t>
            </w:r>
            <w:r>
              <w:rPr>
                <w:rFonts w:eastAsia="SimSun"/>
                <w:lang w:val="en-US" w:eastAsia="zh-CN"/>
              </w:rPr>
              <w:t xml:space="preserve"> that it should be included in the COT sharing information.</w:t>
            </w:r>
          </w:p>
          <w:p w14:paraId="43A59FD3" w14:textId="77777777" w:rsidR="0049089E" w:rsidRDefault="0049089E" w:rsidP="0049089E">
            <w:pPr>
              <w:pStyle w:val="0Maintext"/>
              <w:spacing w:after="0" w:afterAutospacing="0" w:line="240" w:lineRule="auto"/>
              <w:ind w:firstLine="0"/>
              <w:rPr>
                <w:rFonts w:eastAsia="SimSun"/>
                <w:lang w:val="en-US" w:eastAsia="zh-CN"/>
              </w:rPr>
            </w:pPr>
            <w:r>
              <w:rPr>
                <w:rFonts w:eastAsia="SimSun"/>
                <w:lang w:val="en-US" w:eastAsia="zh-CN"/>
              </w:rPr>
              <w:t>So we have the following proposal:</w:t>
            </w:r>
          </w:p>
          <w:p w14:paraId="43F135A6" w14:textId="77777777" w:rsidR="0049089E" w:rsidRDefault="0049089E" w:rsidP="0049089E">
            <w:pPr>
              <w:pStyle w:val="0Maintext"/>
              <w:numPr>
                <w:ilvl w:val="1"/>
                <w:numId w:val="25"/>
              </w:numPr>
              <w:tabs>
                <w:tab w:val="left" w:pos="1440"/>
              </w:tabs>
              <w:spacing w:after="0" w:afterAutospacing="0" w:line="240" w:lineRule="auto"/>
              <w:ind w:hanging="357"/>
              <w:rPr>
                <w:rFonts w:ascii="Calibri" w:hAnsi="Calibri" w:cs="Calibri"/>
                <w:sz w:val="22"/>
                <w:lang w:val="en-US" w:eastAsia="zh-CN"/>
              </w:rPr>
            </w:pPr>
            <w:r>
              <w:rPr>
                <w:rFonts w:ascii="Calibri" w:hAnsi="Calibri" w:cs="Calibri" w:hint="eastAsia"/>
                <w:sz w:val="22"/>
                <w:lang w:val="en-US" w:eastAsia="zh-CN"/>
              </w:rPr>
              <w:t>Contents of COT sharing information includes the followings:</w:t>
            </w:r>
          </w:p>
          <w:p w14:paraId="17A3EC89" w14:textId="77777777" w:rsidR="0049089E" w:rsidRDefault="0049089E" w:rsidP="0049089E">
            <w:pPr>
              <w:pStyle w:val="0Maintext"/>
              <w:numPr>
                <w:ilvl w:val="2"/>
                <w:numId w:val="25"/>
              </w:numPr>
              <w:tabs>
                <w:tab w:val="left" w:pos="2160"/>
              </w:tabs>
              <w:spacing w:after="0" w:afterAutospacing="0" w:line="240" w:lineRule="auto"/>
              <w:ind w:hanging="357"/>
              <w:rPr>
                <w:rFonts w:ascii="Calibri" w:hAnsi="Calibri" w:cs="Calibri"/>
                <w:sz w:val="22"/>
                <w:lang w:val="en-US" w:eastAsia="zh-CN"/>
              </w:rPr>
            </w:pPr>
            <w:r>
              <w:rPr>
                <w:rFonts w:ascii="Calibri" w:hAnsi="Calibri" w:cs="Calibri" w:hint="eastAsia"/>
                <w:sz w:val="22"/>
                <w:lang w:eastAsia="zh-CN"/>
              </w:rPr>
              <w:lastRenderedPageBreak/>
              <w:t>CAPC level</w:t>
            </w:r>
            <w:r>
              <w:rPr>
                <w:rFonts w:ascii="Calibri" w:hAnsi="Calibri" w:cs="Calibri"/>
                <w:sz w:val="22"/>
                <w:lang w:eastAsia="zh-CN"/>
              </w:rPr>
              <w:t xml:space="preserve"> </w:t>
            </w:r>
            <w:r w:rsidRPr="00A61224">
              <w:rPr>
                <w:rFonts w:ascii="Calibri" w:hAnsi="Calibri" w:cs="Calibri"/>
                <w:sz w:val="22"/>
                <w:highlight w:val="yellow"/>
                <w:lang w:eastAsia="zh-CN"/>
              </w:rPr>
              <w:t>and channel access type</w:t>
            </w:r>
          </w:p>
          <w:p w14:paraId="06B60556" w14:textId="77777777" w:rsidR="0049089E" w:rsidRDefault="0049089E" w:rsidP="0049089E">
            <w:pPr>
              <w:pStyle w:val="0Maintext"/>
              <w:numPr>
                <w:ilvl w:val="3"/>
                <w:numId w:val="25"/>
              </w:numPr>
              <w:tabs>
                <w:tab w:val="left" w:pos="2880"/>
              </w:tabs>
              <w:spacing w:after="0" w:afterAutospacing="0" w:line="240" w:lineRule="auto"/>
              <w:rPr>
                <w:rFonts w:ascii="Calibri" w:hAnsi="Calibri" w:cs="Calibri"/>
                <w:color w:val="FF0000"/>
                <w:sz w:val="22"/>
                <w:lang w:val="en-US" w:eastAsia="zh-CN"/>
              </w:rPr>
            </w:pPr>
            <w:r>
              <w:rPr>
                <w:rFonts w:ascii="Calibri" w:hAnsi="Calibri" w:cs="Calibri"/>
                <w:color w:val="FF0000"/>
                <w:sz w:val="22"/>
                <w:lang w:eastAsia="zh-CN"/>
              </w:rPr>
              <w:t xml:space="preserve">FFS </w:t>
            </w:r>
            <w:r w:rsidRPr="00AC3B3A">
              <w:rPr>
                <w:rFonts w:ascii="Calibri" w:hAnsi="Calibri" w:cs="Calibri"/>
                <w:color w:val="FF0000"/>
                <w:sz w:val="22"/>
                <w:highlight w:val="yellow"/>
                <w:lang w:eastAsia="zh-CN"/>
              </w:rPr>
              <w:t>whether CAPC level and/or channel access type</w:t>
            </w:r>
            <w:r>
              <w:rPr>
                <w:rFonts w:ascii="Calibri" w:hAnsi="Calibri" w:cs="Calibri"/>
                <w:color w:val="FF0000"/>
                <w:sz w:val="22"/>
                <w:lang w:eastAsia="zh-CN"/>
              </w:rPr>
              <w:t xml:space="preserve"> is also indicated when a COT is not shared</w:t>
            </w:r>
          </w:p>
          <w:p w14:paraId="0FF76540" w14:textId="77777777" w:rsidR="0049089E" w:rsidRPr="00A61224" w:rsidRDefault="0049089E" w:rsidP="0049089E">
            <w:pPr>
              <w:pStyle w:val="0Maintext"/>
              <w:numPr>
                <w:ilvl w:val="2"/>
                <w:numId w:val="25"/>
              </w:numPr>
              <w:tabs>
                <w:tab w:val="left" w:pos="2160"/>
              </w:tabs>
              <w:spacing w:after="0" w:afterAutospacing="0" w:line="240" w:lineRule="auto"/>
              <w:ind w:hanging="357"/>
              <w:rPr>
                <w:rFonts w:ascii="Calibri" w:hAnsi="Calibri" w:cs="Calibri"/>
                <w:sz w:val="22"/>
                <w:lang w:val="en-US" w:eastAsia="zh-CN"/>
              </w:rPr>
            </w:pPr>
            <w:r>
              <w:rPr>
                <w:rFonts w:ascii="Calibri" w:hAnsi="Calibri" w:cs="Calibri" w:hint="eastAsia"/>
                <w:sz w:val="22"/>
                <w:lang w:eastAsia="zh-CN"/>
              </w:rPr>
              <w:t>Remaining COT duration (e.g., number of SL slots or ms)</w:t>
            </w:r>
          </w:p>
          <w:p w14:paraId="20F3F3C9" w14:textId="77777777" w:rsidR="0049089E" w:rsidRPr="00A61224" w:rsidRDefault="0049089E" w:rsidP="0049089E">
            <w:pPr>
              <w:pStyle w:val="ListParagraph"/>
              <w:numPr>
                <w:ilvl w:val="2"/>
                <w:numId w:val="25"/>
              </w:numPr>
              <w:tabs>
                <w:tab w:val="left" w:pos="2160"/>
              </w:tabs>
              <w:ind w:leftChars="0"/>
              <w:rPr>
                <w:rFonts w:ascii="Calibri" w:eastAsia="Malgun Gothic" w:hAnsi="Calibri" w:cs="Calibri"/>
                <w:sz w:val="22"/>
                <w:szCs w:val="20"/>
                <w:highlight w:val="yellow"/>
                <w:lang w:val="en-US"/>
              </w:rPr>
            </w:pPr>
            <w:r w:rsidRPr="00A61224">
              <w:rPr>
                <w:rFonts w:ascii="Calibri" w:eastAsia="Malgun Gothic" w:hAnsi="Calibri" w:cs="Calibri"/>
                <w:sz w:val="22"/>
                <w:szCs w:val="20"/>
                <w:highlight w:val="yellow"/>
                <w:lang w:val="en-US"/>
              </w:rPr>
              <w:t>Configuration of the sharable (time/frequency) resource(s)</w:t>
            </w:r>
          </w:p>
          <w:p w14:paraId="49DC2DF3" w14:textId="77777777" w:rsidR="0049089E" w:rsidRPr="00A61224" w:rsidRDefault="0049089E" w:rsidP="0049089E">
            <w:pPr>
              <w:pStyle w:val="0Maintext"/>
              <w:numPr>
                <w:ilvl w:val="2"/>
                <w:numId w:val="25"/>
              </w:numPr>
              <w:tabs>
                <w:tab w:val="left" w:pos="2160"/>
              </w:tabs>
              <w:spacing w:after="0" w:afterAutospacing="0" w:line="240" w:lineRule="auto"/>
              <w:ind w:hanging="357"/>
              <w:rPr>
                <w:rFonts w:ascii="Calibri" w:hAnsi="Calibri" w:cs="Calibri"/>
                <w:strike/>
                <w:sz w:val="22"/>
                <w:highlight w:val="yellow"/>
                <w:lang w:val="en-US" w:eastAsia="zh-CN"/>
              </w:rPr>
            </w:pPr>
            <w:r w:rsidRPr="00A61224">
              <w:rPr>
                <w:rFonts w:ascii="Calibri" w:hAnsi="Calibri" w:cs="Calibri" w:hint="eastAsia"/>
                <w:strike/>
                <w:sz w:val="22"/>
                <w:highlight w:val="yellow"/>
                <w:lang w:eastAsia="zh-CN"/>
              </w:rPr>
              <w:t>L1 ID</w:t>
            </w:r>
            <w:r w:rsidRPr="00A61224">
              <w:rPr>
                <w:rFonts w:ascii="Calibri" w:hAnsi="Calibri" w:cs="Calibri"/>
                <w:strike/>
                <w:sz w:val="22"/>
                <w:highlight w:val="yellow"/>
                <w:lang w:eastAsia="zh-CN"/>
              </w:rPr>
              <w:t xml:space="preserve"> (e.g., </w:t>
            </w:r>
            <w:r w:rsidRPr="00A61224">
              <w:rPr>
                <w:rFonts w:ascii="Calibri" w:hAnsi="Calibri" w:cs="Calibri"/>
                <w:strike/>
                <w:color w:val="FF0000"/>
                <w:sz w:val="22"/>
                <w:highlight w:val="yellow"/>
                <w:lang w:eastAsia="zh-CN"/>
              </w:rPr>
              <w:t xml:space="preserve">legacy </w:t>
            </w:r>
            <w:r w:rsidRPr="00A61224">
              <w:rPr>
                <w:rFonts w:ascii="Calibri" w:hAnsi="Calibri" w:cs="Calibri" w:hint="eastAsia"/>
                <w:strike/>
                <w:sz w:val="22"/>
                <w:highlight w:val="yellow"/>
                <w:lang w:eastAsia="zh-CN"/>
              </w:rPr>
              <w:t>destination ID and/or source ID</w:t>
            </w:r>
            <w:r w:rsidRPr="00A61224">
              <w:rPr>
                <w:rFonts w:ascii="Calibri" w:hAnsi="Calibri" w:cs="Calibri"/>
                <w:strike/>
                <w:sz w:val="22"/>
                <w:highlight w:val="yellow"/>
                <w:lang w:eastAsia="zh-CN"/>
              </w:rPr>
              <w:t>)</w:t>
            </w:r>
          </w:p>
          <w:p w14:paraId="6C4F40BD" w14:textId="15AFFB0C" w:rsidR="0049089E" w:rsidRPr="0049089E" w:rsidRDefault="0049089E" w:rsidP="0049089E">
            <w:pPr>
              <w:pStyle w:val="0Maintext"/>
              <w:numPr>
                <w:ilvl w:val="2"/>
                <w:numId w:val="25"/>
              </w:numPr>
              <w:tabs>
                <w:tab w:val="left" w:pos="2160"/>
              </w:tabs>
              <w:spacing w:after="0" w:afterAutospacing="0" w:line="240" w:lineRule="auto"/>
              <w:ind w:hanging="357"/>
              <w:rPr>
                <w:rFonts w:ascii="Calibri" w:hAnsi="Calibri" w:cs="Calibri"/>
                <w:sz w:val="22"/>
                <w:lang w:val="en-US" w:eastAsia="zh-CN"/>
              </w:rPr>
            </w:pPr>
            <w:r>
              <w:rPr>
                <w:rFonts w:ascii="Calibri" w:hAnsi="Calibri" w:cs="Calibri" w:hint="eastAsia"/>
                <w:sz w:val="22"/>
                <w:lang w:eastAsia="zh-CN"/>
              </w:rPr>
              <w:t xml:space="preserve">FFS any others </w:t>
            </w:r>
            <w:r>
              <w:rPr>
                <w:rFonts w:ascii="Calibri" w:hAnsi="Calibri" w:cs="Calibri"/>
                <w:color w:val="FF0000"/>
                <w:sz w:val="22"/>
                <w:lang w:eastAsia="zh-CN"/>
              </w:rPr>
              <w:t xml:space="preserve">and details </w:t>
            </w:r>
            <w:r>
              <w:rPr>
                <w:rFonts w:ascii="Calibri" w:hAnsi="Calibri" w:cs="Calibri" w:hint="eastAsia"/>
                <w:sz w:val="22"/>
                <w:lang w:eastAsia="zh-CN"/>
              </w:rPr>
              <w:t>(e.g., information on time and frequency resources</w:t>
            </w:r>
            <w:r>
              <w:rPr>
                <w:rFonts w:ascii="Calibri" w:hAnsi="Calibri" w:cs="Calibri"/>
                <w:sz w:val="22"/>
                <w:lang w:eastAsia="zh-CN"/>
              </w:rPr>
              <w:t xml:space="preserve">, </w:t>
            </w:r>
            <w:r w:rsidRPr="00A61224">
              <w:rPr>
                <w:rFonts w:ascii="Calibri" w:hAnsi="Calibri" w:cs="Calibri"/>
                <w:sz w:val="22"/>
                <w:highlight w:val="yellow"/>
                <w:lang w:eastAsia="zh-CN"/>
              </w:rPr>
              <w:t>L1 destination ID and/or source ID</w:t>
            </w:r>
            <w:r>
              <w:rPr>
                <w:rFonts w:ascii="Calibri" w:hAnsi="Calibri" w:cs="Calibri" w:hint="eastAsia"/>
                <w:sz w:val="22"/>
                <w:lang w:eastAsia="zh-CN"/>
              </w:rPr>
              <w:t>)</w:t>
            </w:r>
          </w:p>
        </w:tc>
      </w:tr>
    </w:tbl>
    <w:p w14:paraId="1D84BA4D" w14:textId="77777777" w:rsidR="00962640" w:rsidRDefault="00962640" w:rsidP="00BE6393">
      <w:pPr>
        <w:rPr>
          <w:lang w:eastAsia="x-none"/>
        </w:rPr>
      </w:pPr>
    </w:p>
    <w:p w14:paraId="3F0E43E1" w14:textId="77777777" w:rsidR="00962640" w:rsidRPr="00BE6393" w:rsidRDefault="00962640" w:rsidP="00BE6393">
      <w:pPr>
        <w:rPr>
          <w:lang w:eastAsia="x-none"/>
        </w:rPr>
      </w:pPr>
    </w:p>
    <w:p w14:paraId="36780D16" w14:textId="77777777" w:rsidR="00962640" w:rsidRDefault="00962640">
      <w:pPr>
        <w:rPr>
          <w:rFonts w:ascii="Arial" w:hAnsi="Arial"/>
          <w:b/>
          <w:bCs/>
          <w:i/>
          <w:iCs/>
          <w:color w:val="000000" w:themeColor="text1"/>
          <w:sz w:val="24"/>
          <w:szCs w:val="28"/>
          <w:lang w:eastAsia="x-none"/>
        </w:rPr>
      </w:pPr>
      <w:r>
        <w:rPr>
          <w:color w:val="000000" w:themeColor="text1"/>
        </w:rPr>
        <w:br w:type="page"/>
      </w:r>
    </w:p>
    <w:p w14:paraId="57A4AEDD" w14:textId="3EF0C9BC" w:rsidR="00B318BE" w:rsidRPr="00EB3830" w:rsidRDefault="005379E4" w:rsidP="00B318BE">
      <w:pPr>
        <w:pStyle w:val="Heading2"/>
        <w:rPr>
          <w:color w:val="000000" w:themeColor="text1"/>
        </w:rPr>
      </w:pPr>
      <w:r>
        <w:rPr>
          <w:color w:val="000000" w:themeColor="text1"/>
        </w:rPr>
        <w:lastRenderedPageBreak/>
        <w:t>[</w:t>
      </w:r>
      <w:r w:rsidR="00732E96">
        <w:rPr>
          <w:color w:val="000000" w:themeColor="text1"/>
        </w:rPr>
        <w:t>ACTIVE</w:t>
      </w:r>
      <w:r>
        <w:rPr>
          <w:color w:val="000000" w:themeColor="text1"/>
        </w:rPr>
        <w:t xml:space="preserve">] </w:t>
      </w:r>
      <w:bookmarkStart w:id="122" w:name="_Hlk103069936"/>
      <w:r w:rsidR="00B318BE" w:rsidRPr="00EB3830">
        <w:rPr>
          <w:color w:val="000000" w:themeColor="text1"/>
        </w:rPr>
        <w:t>Topic #</w:t>
      </w:r>
      <w:r w:rsidR="00BE6393">
        <w:rPr>
          <w:color w:val="000000" w:themeColor="text1"/>
        </w:rPr>
        <w:t>6</w:t>
      </w:r>
      <w:r w:rsidR="00B318BE" w:rsidRPr="00EB3830">
        <w:rPr>
          <w:color w:val="000000" w:themeColor="text1"/>
        </w:rPr>
        <w:t xml:space="preserve">: </w:t>
      </w:r>
      <w:bookmarkEnd w:id="122"/>
      <w:r w:rsidR="001D6E06" w:rsidRPr="00E235F3">
        <w:rPr>
          <w:color w:val="000000" w:themeColor="text1"/>
        </w:rPr>
        <w:t>Multi-channel access</w:t>
      </w:r>
    </w:p>
    <w:p w14:paraId="6705DCD0" w14:textId="5BC99C31" w:rsidR="005C1306" w:rsidRDefault="00263428" w:rsidP="00E8497D">
      <w:pPr>
        <w:spacing w:before="120"/>
        <w:jc w:val="both"/>
        <w:rPr>
          <w:rFonts w:asciiTheme="minorHAnsi" w:hAnsiTheme="minorHAnsi" w:cstheme="minorHAnsi"/>
          <w:color w:val="000000" w:themeColor="text1"/>
          <w:sz w:val="22"/>
          <w:szCs w:val="22"/>
        </w:rPr>
      </w:pPr>
      <w:bookmarkStart w:id="123" w:name="_Hlk103069956"/>
      <w:r w:rsidRPr="00E8497D">
        <w:rPr>
          <w:rFonts w:asciiTheme="minorHAnsi" w:hAnsiTheme="minorHAnsi" w:cstheme="minorHAnsi"/>
          <w:b/>
          <w:bCs/>
          <w:color w:val="000000" w:themeColor="text1"/>
          <w:sz w:val="22"/>
          <w:szCs w:val="22"/>
          <w:u w:val="single"/>
        </w:rPr>
        <w:t>Background:</w:t>
      </w:r>
      <w:r w:rsidR="00E8497D" w:rsidRPr="00E8497D">
        <w:rPr>
          <w:rFonts w:asciiTheme="minorHAnsi" w:hAnsiTheme="minorHAnsi" w:cstheme="minorHAnsi"/>
          <w:color w:val="000000" w:themeColor="text1"/>
          <w:sz w:val="22"/>
          <w:szCs w:val="22"/>
        </w:rPr>
        <w:t xml:space="preserve"> </w:t>
      </w:r>
    </w:p>
    <w:p w14:paraId="69DA300F" w14:textId="29022A38" w:rsidR="004C0325" w:rsidRPr="00A40585" w:rsidRDefault="004C0325" w:rsidP="004C0325">
      <w:pPr>
        <w:autoSpaceDE w:val="0"/>
        <w:autoSpaceDN w:val="0"/>
        <w:spacing w:after="120"/>
        <w:jc w:val="both"/>
        <w:rPr>
          <w:rFonts w:ascii="Calibri" w:hAnsi="Calibri" w:cs="Calibri"/>
          <w:color w:val="000000" w:themeColor="text1"/>
          <w:sz w:val="22"/>
          <w:szCs w:val="22"/>
        </w:rPr>
      </w:pPr>
      <w:r w:rsidRPr="00A40585">
        <w:rPr>
          <w:rFonts w:ascii="Calibri" w:hAnsi="Calibri" w:cs="Calibri"/>
          <w:color w:val="000000" w:themeColor="text1"/>
          <w:sz w:val="22"/>
          <w:szCs w:val="22"/>
        </w:rPr>
        <w:t xml:space="preserve">In the </w:t>
      </w:r>
      <w:r w:rsidR="00A40585" w:rsidRPr="00A40585">
        <w:rPr>
          <w:rFonts w:ascii="Calibri" w:hAnsi="Calibri" w:cs="Calibri"/>
          <w:color w:val="000000" w:themeColor="text1"/>
          <w:sz w:val="22"/>
          <w:szCs w:val="22"/>
        </w:rPr>
        <w:t>RAN1#109-e</w:t>
      </w:r>
      <w:r w:rsidRPr="00A40585">
        <w:rPr>
          <w:rFonts w:ascii="Calibri" w:hAnsi="Calibri" w:cs="Calibri"/>
          <w:color w:val="000000" w:themeColor="text1"/>
          <w:sz w:val="22"/>
          <w:szCs w:val="22"/>
        </w:rPr>
        <w:t xml:space="preserve"> meeting, it was agreed to support channel access procedure for </w:t>
      </w:r>
      <w:r w:rsidR="008B500F" w:rsidRPr="00A40585">
        <w:rPr>
          <w:rFonts w:ascii="Calibri" w:hAnsi="Calibri" w:cs="Calibri"/>
          <w:color w:val="000000" w:themeColor="text1"/>
          <w:sz w:val="22"/>
          <w:szCs w:val="22"/>
        </w:rPr>
        <w:t xml:space="preserve">transmission on </w:t>
      </w:r>
      <w:r w:rsidRPr="00A40585">
        <w:rPr>
          <w:rFonts w:ascii="Calibri" w:hAnsi="Calibri" w:cs="Calibri"/>
          <w:color w:val="000000" w:themeColor="text1"/>
          <w:sz w:val="22"/>
          <w:szCs w:val="22"/>
        </w:rPr>
        <w:t>multiple channel</w:t>
      </w:r>
      <w:r w:rsidR="008B500F" w:rsidRPr="00A40585">
        <w:rPr>
          <w:rFonts w:ascii="Calibri" w:hAnsi="Calibri" w:cs="Calibri"/>
          <w:color w:val="000000" w:themeColor="text1"/>
          <w:sz w:val="22"/>
          <w:szCs w:val="22"/>
        </w:rPr>
        <w:t>s</w:t>
      </w:r>
      <w:r w:rsidRPr="00A40585">
        <w:rPr>
          <w:rFonts w:ascii="Calibri" w:hAnsi="Calibri" w:cs="Calibri"/>
          <w:color w:val="000000" w:themeColor="text1"/>
          <w:sz w:val="22"/>
          <w:szCs w:val="22"/>
        </w:rPr>
        <w:t xml:space="preserve"> in a shared carrier as followed.</w:t>
      </w:r>
    </w:p>
    <w:tbl>
      <w:tblPr>
        <w:tblStyle w:val="TableGrid"/>
        <w:tblW w:w="0" w:type="auto"/>
        <w:tblLook w:val="04A0" w:firstRow="1" w:lastRow="0" w:firstColumn="1" w:lastColumn="0" w:noHBand="0" w:noVBand="1"/>
      </w:tblPr>
      <w:tblGrid>
        <w:gridCol w:w="9631"/>
      </w:tblGrid>
      <w:tr w:rsidR="004C0325" w14:paraId="4C7793C4" w14:textId="77777777" w:rsidTr="004C0325">
        <w:tc>
          <w:tcPr>
            <w:tcW w:w="9631" w:type="dxa"/>
          </w:tcPr>
          <w:p w14:paraId="056F98E5" w14:textId="77777777" w:rsidR="008B500F" w:rsidRPr="003F56DF" w:rsidRDefault="008B500F" w:rsidP="008B500F">
            <w:pPr>
              <w:autoSpaceDE w:val="0"/>
              <w:autoSpaceDN w:val="0"/>
              <w:spacing w:before="60"/>
              <w:jc w:val="both"/>
              <w:rPr>
                <w:rFonts w:cs="Times"/>
                <w:b/>
                <w:bCs/>
              </w:rPr>
            </w:pPr>
            <w:r w:rsidRPr="003F56DF">
              <w:rPr>
                <w:rFonts w:cs="Times"/>
                <w:b/>
                <w:bCs/>
                <w:highlight w:val="green"/>
              </w:rPr>
              <w:t>Agreement</w:t>
            </w:r>
          </w:p>
          <w:p w14:paraId="2549389F" w14:textId="77777777" w:rsidR="008B500F" w:rsidRPr="003F56DF" w:rsidRDefault="008B500F" w:rsidP="008B500F">
            <w:pPr>
              <w:pStyle w:val="ListParagraph"/>
              <w:autoSpaceDE w:val="0"/>
              <w:autoSpaceDN w:val="0"/>
              <w:ind w:leftChars="0" w:left="0"/>
              <w:jc w:val="both"/>
              <w:rPr>
                <w:rFonts w:cs="Times"/>
              </w:rPr>
            </w:pPr>
            <w:r w:rsidRPr="003F56DF">
              <w:rPr>
                <w:rFonts w:cs="Times"/>
                <w:szCs w:val="28"/>
              </w:rPr>
              <w:t xml:space="preserve">Channel access procedures for transmission(s) on multiple channels are supported for NR sidelink operation </w:t>
            </w:r>
            <w:r w:rsidRPr="003F56DF">
              <w:rPr>
                <w:rFonts w:cs="Times"/>
                <w:szCs w:val="22"/>
              </w:rPr>
              <w:t>as defined by TS37.213 for NR-U (wherever applicable)</w:t>
            </w:r>
          </w:p>
          <w:p w14:paraId="04D07726" w14:textId="65DC7295" w:rsidR="004C0325" w:rsidRPr="008B500F" w:rsidRDefault="008B500F">
            <w:pPr>
              <w:pStyle w:val="ListParagraph"/>
              <w:numPr>
                <w:ilvl w:val="0"/>
                <w:numId w:val="18"/>
              </w:numPr>
              <w:autoSpaceDE w:val="0"/>
              <w:autoSpaceDN w:val="0"/>
              <w:spacing w:after="60"/>
              <w:ind w:leftChars="0"/>
              <w:jc w:val="both"/>
              <w:rPr>
                <w:rFonts w:cs="Times"/>
                <w:color w:val="000000"/>
              </w:rPr>
            </w:pPr>
            <w:r w:rsidRPr="003F56DF">
              <w:rPr>
                <w:rFonts w:cs="Times"/>
                <w:color w:val="000000"/>
              </w:rPr>
              <w:t xml:space="preserve">FFS </w:t>
            </w:r>
            <w:r w:rsidRPr="003F56DF">
              <w:rPr>
                <w:rFonts w:cs="Times"/>
              </w:rPr>
              <w:t xml:space="preserve">whether the downlink, uplink and/or semi-static multiple channel access procedure(s) (if </w:t>
            </w:r>
            <w:r w:rsidRPr="003F56DF">
              <w:rPr>
                <w:rFonts w:cs="Times"/>
                <w:color w:val="000000"/>
              </w:rPr>
              <w:t xml:space="preserve">supported) from NR-U should be used as a baseline and whether/how they are applied in SL </w:t>
            </w:r>
            <w:r w:rsidRPr="003F56DF">
              <w:rPr>
                <w:rFonts w:cs="Times"/>
              </w:rPr>
              <w:t>mode 1 and mode 2 operation</w:t>
            </w:r>
          </w:p>
        </w:tc>
      </w:tr>
    </w:tbl>
    <w:p w14:paraId="2FEFA336" w14:textId="78FD9E18" w:rsidR="004C0325" w:rsidRPr="00A40585" w:rsidRDefault="008B500F" w:rsidP="004C0325">
      <w:pPr>
        <w:autoSpaceDE w:val="0"/>
        <w:autoSpaceDN w:val="0"/>
        <w:spacing w:before="120" w:after="120"/>
        <w:jc w:val="both"/>
        <w:rPr>
          <w:rFonts w:ascii="Calibri" w:hAnsi="Calibri" w:cs="Calibri"/>
          <w:color w:val="000000" w:themeColor="text1"/>
          <w:sz w:val="22"/>
          <w:szCs w:val="22"/>
        </w:rPr>
      </w:pPr>
      <w:r w:rsidRPr="00A40585">
        <w:rPr>
          <w:rFonts w:ascii="Calibri" w:hAnsi="Calibri" w:cs="Calibri"/>
          <w:color w:val="000000" w:themeColor="text1"/>
          <w:sz w:val="22"/>
          <w:szCs w:val="22"/>
        </w:rPr>
        <w:t xml:space="preserve">According to the </w:t>
      </w:r>
      <w:r w:rsidR="00FD6A94" w:rsidRPr="00A40585">
        <w:rPr>
          <w:rFonts w:ascii="Calibri" w:hAnsi="Calibri" w:cs="Calibri"/>
          <w:color w:val="000000" w:themeColor="text1"/>
          <w:sz w:val="22"/>
          <w:szCs w:val="22"/>
        </w:rPr>
        <w:t>access procedures for multiple channels</w:t>
      </w:r>
      <w:r w:rsidR="00E75F8C" w:rsidRPr="00A40585">
        <w:rPr>
          <w:rFonts w:ascii="Calibri" w:hAnsi="Calibri" w:cs="Calibri"/>
          <w:color w:val="000000" w:themeColor="text1"/>
          <w:sz w:val="22"/>
          <w:szCs w:val="22"/>
        </w:rPr>
        <w:t xml:space="preserve"> defined in NR-U, the DL multiple channel access procedure(s) </w:t>
      </w:r>
      <w:r w:rsidR="000B7D17" w:rsidRPr="00A40585">
        <w:rPr>
          <w:rFonts w:ascii="Calibri" w:hAnsi="Calibri" w:cs="Calibri"/>
          <w:color w:val="000000" w:themeColor="text1"/>
          <w:sz w:val="22"/>
          <w:szCs w:val="22"/>
        </w:rPr>
        <w:t>requires UE to perform LBT sensing independently on each unlicensed channel (RB</w:t>
      </w:r>
      <w:r w:rsidR="00A40585">
        <w:rPr>
          <w:rFonts w:ascii="Calibri" w:hAnsi="Calibri" w:cs="Calibri"/>
          <w:color w:val="000000" w:themeColor="text1"/>
          <w:sz w:val="22"/>
          <w:szCs w:val="22"/>
        </w:rPr>
        <w:t xml:space="preserve"> </w:t>
      </w:r>
      <w:r w:rsidR="000B7D17" w:rsidRPr="00A40585">
        <w:rPr>
          <w:rFonts w:ascii="Calibri" w:hAnsi="Calibri" w:cs="Calibri"/>
          <w:color w:val="000000" w:themeColor="text1"/>
          <w:sz w:val="22"/>
          <w:szCs w:val="22"/>
        </w:rPr>
        <w:t xml:space="preserve">set) for which the UE is intended to transmit. The UE transmit on the channel(s) where the channel access procedure is a success. </w:t>
      </w:r>
      <w:r w:rsidR="001206F5" w:rsidRPr="00A40585">
        <w:rPr>
          <w:rFonts w:ascii="Calibri" w:hAnsi="Calibri" w:cs="Calibri"/>
          <w:color w:val="000000" w:themeColor="text1"/>
          <w:sz w:val="22"/>
          <w:szCs w:val="22"/>
        </w:rPr>
        <w:t>On the other hand, the UL multiple channel access procedure requires UE to perform LBT sensing all the unlicensed channels (RB</w:t>
      </w:r>
      <w:r w:rsidR="00A40585">
        <w:rPr>
          <w:rFonts w:ascii="Calibri" w:hAnsi="Calibri" w:cs="Calibri"/>
          <w:color w:val="000000" w:themeColor="text1"/>
          <w:sz w:val="22"/>
          <w:szCs w:val="22"/>
        </w:rPr>
        <w:t xml:space="preserve"> </w:t>
      </w:r>
      <w:r w:rsidR="001206F5" w:rsidRPr="00A40585">
        <w:rPr>
          <w:rFonts w:ascii="Calibri" w:hAnsi="Calibri" w:cs="Calibri"/>
          <w:color w:val="000000" w:themeColor="text1"/>
          <w:sz w:val="22"/>
          <w:szCs w:val="22"/>
        </w:rPr>
        <w:t>sets) for which the UE is intended to transmit. And only if the channel access procedures are successful for all the channels are successful, then the UE can transmit. Otherwise, the UE does not transmit on any channel</w:t>
      </w:r>
      <w:r w:rsidR="00A4386B" w:rsidRPr="00A40585">
        <w:rPr>
          <w:rFonts w:ascii="Calibri" w:hAnsi="Calibri" w:cs="Calibri"/>
          <w:color w:val="000000" w:themeColor="text1"/>
          <w:sz w:val="22"/>
          <w:szCs w:val="22"/>
        </w:rPr>
        <w:t xml:space="preserve"> (i.e., “all-or-nothing” access)</w:t>
      </w:r>
      <w:r w:rsidR="001206F5" w:rsidRPr="00A40585">
        <w:rPr>
          <w:rFonts w:ascii="Calibri" w:hAnsi="Calibri" w:cs="Calibri"/>
          <w:color w:val="000000" w:themeColor="text1"/>
          <w:sz w:val="22"/>
          <w:szCs w:val="22"/>
        </w:rPr>
        <w:t>.</w:t>
      </w:r>
    </w:p>
    <w:p w14:paraId="297CD8DC" w14:textId="75ADC265" w:rsidR="00A4386B" w:rsidRPr="00EE1D45" w:rsidRDefault="00A4386B" w:rsidP="004C0325">
      <w:pPr>
        <w:autoSpaceDE w:val="0"/>
        <w:autoSpaceDN w:val="0"/>
        <w:spacing w:before="120" w:after="120"/>
        <w:jc w:val="both"/>
        <w:rPr>
          <w:rFonts w:ascii="Calibri" w:hAnsi="Calibri" w:cs="Calibri"/>
          <w:color w:val="000000" w:themeColor="text1"/>
          <w:sz w:val="22"/>
          <w:szCs w:val="22"/>
        </w:rPr>
      </w:pPr>
      <w:r w:rsidRPr="00EE1D45">
        <w:rPr>
          <w:rFonts w:ascii="Calibri" w:hAnsi="Calibri" w:cs="Calibri"/>
          <w:color w:val="000000" w:themeColor="text1"/>
          <w:sz w:val="22"/>
          <w:szCs w:val="22"/>
        </w:rPr>
        <w:t>According to the contribution summary in Section 4.</w:t>
      </w:r>
      <w:r w:rsidR="00EE1D45" w:rsidRPr="00EE1D45">
        <w:rPr>
          <w:rFonts w:ascii="Calibri" w:hAnsi="Calibri" w:cs="Calibri"/>
          <w:color w:val="000000" w:themeColor="text1"/>
          <w:sz w:val="22"/>
          <w:szCs w:val="22"/>
        </w:rPr>
        <w:t>4</w:t>
      </w:r>
      <w:r w:rsidRPr="00EE1D45">
        <w:rPr>
          <w:rFonts w:ascii="Calibri" w:hAnsi="Calibri" w:cs="Calibri"/>
          <w:color w:val="000000" w:themeColor="text1"/>
          <w:sz w:val="22"/>
          <w:szCs w:val="22"/>
        </w:rPr>
        <w:t xml:space="preserve">, </w:t>
      </w:r>
      <w:r w:rsidR="00A3423B" w:rsidRPr="00EE1D45">
        <w:rPr>
          <w:rFonts w:ascii="Calibri" w:hAnsi="Calibri" w:cs="Calibri"/>
          <w:color w:val="000000" w:themeColor="text1"/>
          <w:sz w:val="22"/>
          <w:szCs w:val="22"/>
        </w:rPr>
        <w:t xml:space="preserve">although the UL channel access procedures from NR-U has </w:t>
      </w:r>
      <w:r w:rsidR="00EE1D45">
        <w:rPr>
          <w:rFonts w:ascii="Calibri" w:hAnsi="Calibri" w:cs="Calibri"/>
          <w:color w:val="000000" w:themeColor="text1"/>
          <w:sz w:val="22"/>
          <w:szCs w:val="22"/>
        </w:rPr>
        <w:t>the same</w:t>
      </w:r>
      <w:r w:rsidR="00A3423B" w:rsidRPr="00EE1D45">
        <w:rPr>
          <w:rFonts w:ascii="Calibri" w:hAnsi="Calibri" w:cs="Calibri"/>
          <w:color w:val="000000" w:themeColor="text1"/>
          <w:sz w:val="22"/>
          <w:szCs w:val="22"/>
        </w:rPr>
        <w:t xml:space="preserve"> </w:t>
      </w:r>
      <w:r w:rsidR="00EE1D45">
        <w:rPr>
          <w:rFonts w:ascii="Calibri" w:hAnsi="Calibri" w:cs="Calibri"/>
          <w:color w:val="000000" w:themeColor="text1"/>
          <w:sz w:val="22"/>
          <w:szCs w:val="22"/>
        </w:rPr>
        <w:t xml:space="preserve">amount of </w:t>
      </w:r>
      <w:r w:rsidR="00A3423B" w:rsidRPr="00EE1D45">
        <w:rPr>
          <w:rFonts w:ascii="Calibri" w:hAnsi="Calibri" w:cs="Calibri"/>
          <w:color w:val="000000" w:themeColor="text1"/>
          <w:sz w:val="22"/>
          <w:szCs w:val="22"/>
        </w:rPr>
        <w:t xml:space="preserve">support </w:t>
      </w:r>
      <w:r w:rsidR="00EE1D45">
        <w:rPr>
          <w:rFonts w:ascii="Calibri" w:hAnsi="Calibri" w:cs="Calibri"/>
          <w:color w:val="000000" w:themeColor="text1"/>
          <w:sz w:val="22"/>
          <w:szCs w:val="22"/>
        </w:rPr>
        <w:t>as</w:t>
      </w:r>
      <w:r w:rsidR="00A3423B" w:rsidRPr="00EE1D45">
        <w:rPr>
          <w:rFonts w:ascii="Calibri" w:hAnsi="Calibri" w:cs="Calibri"/>
          <w:color w:val="000000" w:themeColor="text1"/>
          <w:sz w:val="22"/>
          <w:szCs w:val="22"/>
        </w:rPr>
        <w:t xml:space="preserve"> the DL </w:t>
      </w:r>
      <w:r w:rsidR="00620337" w:rsidRPr="00EE1D45">
        <w:rPr>
          <w:rFonts w:ascii="Calibri" w:hAnsi="Calibri" w:cs="Calibri"/>
          <w:color w:val="000000" w:themeColor="text1"/>
          <w:sz w:val="22"/>
          <w:szCs w:val="22"/>
        </w:rPr>
        <w:t>counterpart</w:t>
      </w:r>
      <w:r w:rsidR="00A3423B" w:rsidRPr="00EE1D45">
        <w:rPr>
          <w:rFonts w:ascii="Calibri" w:hAnsi="Calibri" w:cs="Calibri"/>
          <w:color w:val="000000" w:themeColor="text1"/>
          <w:sz w:val="22"/>
          <w:szCs w:val="22"/>
        </w:rPr>
        <w:t xml:space="preserve">, </w:t>
      </w:r>
      <w:r w:rsidR="00EE1D45">
        <w:rPr>
          <w:rFonts w:ascii="Calibri" w:hAnsi="Calibri" w:cs="Calibri"/>
          <w:color w:val="000000" w:themeColor="text1"/>
          <w:sz w:val="22"/>
          <w:szCs w:val="22"/>
        </w:rPr>
        <w:t>some</w:t>
      </w:r>
      <w:r w:rsidR="00A3423B" w:rsidRPr="00EE1D45">
        <w:rPr>
          <w:rFonts w:ascii="Calibri" w:hAnsi="Calibri" w:cs="Calibri"/>
          <w:color w:val="000000" w:themeColor="text1"/>
          <w:sz w:val="22"/>
          <w:szCs w:val="22"/>
        </w:rPr>
        <w:t xml:space="preserve"> have </w:t>
      </w:r>
      <w:r w:rsidR="00EE1D45">
        <w:rPr>
          <w:rFonts w:ascii="Calibri" w:hAnsi="Calibri" w:cs="Calibri"/>
          <w:color w:val="000000" w:themeColor="text1"/>
          <w:sz w:val="22"/>
          <w:szCs w:val="22"/>
        </w:rPr>
        <w:t xml:space="preserve">also </w:t>
      </w:r>
      <w:r w:rsidR="00A3423B" w:rsidRPr="00EE1D45">
        <w:rPr>
          <w:rFonts w:ascii="Calibri" w:hAnsi="Calibri" w:cs="Calibri"/>
          <w:color w:val="000000" w:themeColor="text1"/>
          <w:sz w:val="22"/>
          <w:szCs w:val="22"/>
        </w:rPr>
        <w:t xml:space="preserve">expressed that both should be supported for different </w:t>
      </w:r>
      <w:r w:rsidR="00620337" w:rsidRPr="00EE1D45">
        <w:rPr>
          <w:rFonts w:ascii="Calibri" w:hAnsi="Calibri" w:cs="Calibri"/>
          <w:color w:val="000000" w:themeColor="text1"/>
          <w:sz w:val="22"/>
          <w:szCs w:val="22"/>
        </w:rPr>
        <w:t>transmission</w:t>
      </w:r>
      <w:r w:rsidR="00A3423B" w:rsidRPr="00EE1D45">
        <w:rPr>
          <w:rFonts w:ascii="Calibri" w:hAnsi="Calibri" w:cs="Calibri"/>
          <w:color w:val="000000" w:themeColor="text1"/>
          <w:sz w:val="22"/>
          <w:szCs w:val="22"/>
        </w:rPr>
        <w:t xml:space="preserve"> scenario</w:t>
      </w:r>
      <w:r w:rsidR="00620337" w:rsidRPr="00EE1D45">
        <w:rPr>
          <w:rFonts w:ascii="Calibri" w:hAnsi="Calibri" w:cs="Calibri"/>
          <w:color w:val="000000" w:themeColor="text1"/>
          <w:sz w:val="22"/>
          <w:szCs w:val="22"/>
        </w:rPr>
        <w:t>s</w:t>
      </w:r>
      <w:r w:rsidR="00A3423B" w:rsidRPr="00EE1D45">
        <w:rPr>
          <w:rFonts w:ascii="Calibri" w:hAnsi="Calibri" w:cs="Calibri"/>
          <w:color w:val="000000" w:themeColor="text1"/>
          <w:sz w:val="22"/>
          <w:szCs w:val="22"/>
        </w:rPr>
        <w:t xml:space="preserve">. For example, when UE has a wideband transmission (large packet) that requires frequency </w:t>
      </w:r>
      <w:r w:rsidR="00620337" w:rsidRPr="00EE1D45">
        <w:rPr>
          <w:rFonts w:ascii="Calibri" w:hAnsi="Calibri" w:cs="Calibri"/>
          <w:color w:val="000000" w:themeColor="text1"/>
          <w:sz w:val="22"/>
          <w:szCs w:val="22"/>
        </w:rPr>
        <w:t>resources from more than one RB</w:t>
      </w:r>
      <w:r w:rsidR="00EE1D45">
        <w:rPr>
          <w:rFonts w:ascii="Calibri" w:hAnsi="Calibri" w:cs="Calibri"/>
          <w:color w:val="000000" w:themeColor="text1"/>
          <w:sz w:val="22"/>
          <w:szCs w:val="22"/>
        </w:rPr>
        <w:t xml:space="preserve"> </w:t>
      </w:r>
      <w:r w:rsidR="00620337" w:rsidRPr="00EE1D45">
        <w:rPr>
          <w:rFonts w:ascii="Calibri" w:hAnsi="Calibri" w:cs="Calibri"/>
          <w:color w:val="000000" w:themeColor="text1"/>
          <w:sz w:val="22"/>
          <w:szCs w:val="22"/>
        </w:rPr>
        <w:t xml:space="preserve">set, the UE would select and encode data for transmission over multiple channels. In this case, if channel access procedure for one of the channels </w:t>
      </w:r>
      <w:r w:rsidR="00C03235" w:rsidRPr="00EE1D45">
        <w:rPr>
          <w:rFonts w:ascii="Calibri" w:hAnsi="Calibri" w:cs="Calibri"/>
          <w:color w:val="000000" w:themeColor="text1"/>
          <w:sz w:val="22"/>
          <w:szCs w:val="22"/>
        </w:rPr>
        <w:t xml:space="preserve">is successful </w:t>
      </w:r>
      <w:r w:rsidR="00620337" w:rsidRPr="00EE1D45">
        <w:rPr>
          <w:rFonts w:ascii="Calibri" w:hAnsi="Calibri" w:cs="Calibri"/>
          <w:color w:val="000000" w:themeColor="text1"/>
          <w:sz w:val="22"/>
          <w:szCs w:val="22"/>
        </w:rPr>
        <w:t xml:space="preserve">but others have failed, </w:t>
      </w:r>
      <w:r w:rsidR="00C03235" w:rsidRPr="00EE1D45">
        <w:rPr>
          <w:rFonts w:ascii="Calibri" w:hAnsi="Calibri" w:cs="Calibri"/>
          <w:color w:val="000000" w:themeColor="text1"/>
          <w:sz w:val="22"/>
          <w:szCs w:val="22"/>
        </w:rPr>
        <w:t>the UE would not want to transmit only on just one channel. Hence, the UL channel access procedure makes sense. On the other hand, when UE is transmitting different data on each channel, even if LBT sensing on one of the channels is failed, it make</w:t>
      </w:r>
      <w:r w:rsidR="00E235F3" w:rsidRPr="00EE1D45">
        <w:rPr>
          <w:rFonts w:ascii="Calibri" w:hAnsi="Calibri" w:cs="Calibri"/>
          <w:color w:val="000000" w:themeColor="text1"/>
          <w:sz w:val="22"/>
          <w:szCs w:val="22"/>
        </w:rPr>
        <w:t>s</w:t>
      </w:r>
      <w:r w:rsidR="00C03235" w:rsidRPr="00EE1D45">
        <w:rPr>
          <w:rFonts w:ascii="Calibri" w:hAnsi="Calibri" w:cs="Calibri"/>
          <w:color w:val="000000" w:themeColor="text1"/>
          <w:sz w:val="22"/>
          <w:szCs w:val="22"/>
        </w:rPr>
        <w:t xml:space="preserve"> sense for the UE to transmit on </w:t>
      </w:r>
      <w:r w:rsidR="00883868" w:rsidRPr="00EE1D45">
        <w:rPr>
          <w:rFonts w:ascii="Calibri" w:hAnsi="Calibri" w:cs="Calibri"/>
          <w:color w:val="000000" w:themeColor="text1"/>
          <w:sz w:val="22"/>
          <w:szCs w:val="22"/>
        </w:rPr>
        <w:t>other channels where LBT sensing is a success. Hence the use of the DL multiple channel access procedure(s).</w:t>
      </w:r>
    </w:p>
    <w:p w14:paraId="2FE4B0F3" w14:textId="710A5743" w:rsidR="00710810" w:rsidRPr="00EE1D45" w:rsidRDefault="00EE1D45" w:rsidP="00E235F3">
      <w:pPr>
        <w:autoSpaceDE w:val="0"/>
        <w:autoSpaceDN w:val="0"/>
        <w:spacing w:before="120" w:after="120"/>
        <w:jc w:val="both"/>
        <w:rPr>
          <w:rFonts w:ascii="Calibri" w:hAnsi="Calibri" w:cs="Calibri"/>
          <w:color w:val="000000" w:themeColor="text1"/>
          <w:sz w:val="22"/>
        </w:rPr>
      </w:pPr>
      <w:r w:rsidRPr="00EE1D45">
        <w:rPr>
          <w:rFonts w:ascii="Calibri" w:hAnsi="Calibri" w:cs="Calibri"/>
          <w:color w:val="000000" w:themeColor="text1"/>
          <w:sz w:val="22"/>
          <w:szCs w:val="22"/>
        </w:rPr>
        <w:t>Please indicate below which of the listed option should be adopted for SL-U.</w:t>
      </w:r>
    </w:p>
    <w:p w14:paraId="586EBAD4" w14:textId="7AB54153" w:rsidR="00957C70" w:rsidRPr="008F5EAB" w:rsidRDefault="00EC21DD" w:rsidP="00957C70">
      <w:pPr>
        <w:pStyle w:val="Heading3"/>
      </w:pPr>
      <w:r>
        <w:t>FL Proposal for round 1 discussion</w:t>
      </w:r>
    </w:p>
    <w:bookmarkEnd w:id="123"/>
    <w:p w14:paraId="1D2A4706" w14:textId="145E2418" w:rsidR="00AC4DEE" w:rsidRPr="00C65E36" w:rsidRDefault="00AC4DEE" w:rsidP="00FA6950">
      <w:pPr>
        <w:autoSpaceDE w:val="0"/>
        <w:autoSpaceDN w:val="0"/>
        <w:spacing w:before="120"/>
        <w:jc w:val="both"/>
        <w:rPr>
          <w:rFonts w:ascii="Calibri" w:hAnsi="Calibri" w:cs="Calibri"/>
          <w:sz w:val="22"/>
        </w:rPr>
      </w:pPr>
      <w:r w:rsidRPr="003E3D41">
        <w:rPr>
          <w:rFonts w:ascii="Calibri" w:hAnsi="Calibri" w:cs="Calibri"/>
          <w:b/>
          <w:bCs/>
          <w:sz w:val="22"/>
        </w:rPr>
        <w:t xml:space="preserve">Proposal </w:t>
      </w:r>
      <w:r w:rsidR="00957C70" w:rsidRPr="003E3D41">
        <w:rPr>
          <w:rFonts w:ascii="Calibri" w:hAnsi="Calibri" w:cs="Calibri"/>
          <w:b/>
          <w:bCs/>
          <w:sz w:val="22"/>
        </w:rPr>
        <w:t>6</w:t>
      </w:r>
      <w:r w:rsidRPr="003E3D41">
        <w:rPr>
          <w:rFonts w:ascii="Calibri" w:hAnsi="Calibri" w:cs="Calibri"/>
          <w:b/>
          <w:bCs/>
          <w:sz w:val="22"/>
        </w:rPr>
        <w:t xml:space="preserve"> (I):</w:t>
      </w:r>
    </w:p>
    <w:p w14:paraId="0C7B6F9E" w14:textId="77777777" w:rsidR="00957C70" w:rsidRPr="00957C70" w:rsidRDefault="00957C70">
      <w:pPr>
        <w:numPr>
          <w:ilvl w:val="0"/>
          <w:numId w:val="26"/>
        </w:numPr>
        <w:autoSpaceDE w:val="0"/>
        <w:autoSpaceDN w:val="0"/>
        <w:spacing w:after="60"/>
        <w:jc w:val="both"/>
        <w:rPr>
          <w:rFonts w:ascii="Calibri" w:hAnsi="Calibri" w:cs="Calibri"/>
          <w:sz w:val="22"/>
          <w:lang w:val="en-US" w:eastAsia="x-none"/>
        </w:rPr>
      </w:pPr>
      <w:r w:rsidRPr="00957C70">
        <w:rPr>
          <w:rFonts w:ascii="Calibri" w:hAnsi="Calibri" w:cs="Calibri" w:hint="eastAsia"/>
          <w:sz w:val="22"/>
          <w:lang w:val="en-US" w:eastAsia="x-none"/>
        </w:rPr>
        <w:t>For multiple channel access in SL-U,</w:t>
      </w:r>
    </w:p>
    <w:p w14:paraId="7675AA48" w14:textId="73A9468B" w:rsidR="00957C70" w:rsidRPr="00957C70" w:rsidRDefault="00957C70">
      <w:pPr>
        <w:numPr>
          <w:ilvl w:val="1"/>
          <w:numId w:val="26"/>
        </w:numPr>
        <w:autoSpaceDE w:val="0"/>
        <w:autoSpaceDN w:val="0"/>
        <w:spacing w:after="60"/>
        <w:jc w:val="both"/>
        <w:rPr>
          <w:rFonts w:ascii="Calibri" w:hAnsi="Calibri" w:cs="Calibri"/>
          <w:sz w:val="22"/>
          <w:lang w:val="en-US" w:eastAsia="x-none"/>
        </w:rPr>
      </w:pPr>
      <w:r w:rsidRPr="00957C70">
        <w:rPr>
          <w:rFonts w:ascii="Calibri" w:hAnsi="Calibri" w:cs="Calibri" w:hint="eastAsia"/>
          <w:sz w:val="22"/>
          <w:lang w:val="en-US" w:eastAsia="x-none"/>
        </w:rPr>
        <w:t>Option 1: NR-U DL (Type A and Type B) channel access procedures are supported for SL-U</w:t>
      </w:r>
    </w:p>
    <w:p w14:paraId="1B127A9A" w14:textId="40044911" w:rsidR="00957C70" w:rsidRPr="00957C70" w:rsidRDefault="00957C70">
      <w:pPr>
        <w:numPr>
          <w:ilvl w:val="1"/>
          <w:numId w:val="26"/>
        </w:numPr>
        <w:autoSpaceDE w:val="0"/>
        <w:autoSpaceDN w:val="0"/>
        <w:spacing w:after="60"/>
        <w:jc w:val="both"/>
        <w:rPr>
          <w:rFonts w:ascii="Calibri" w:hAnsi="Calibri" w:cs="Calibri"/>
          <w:sz w:val="22"/>
          <w:lang w:val="en-US" w:eastAsia="x-none"/>
        </w:rPr>
      </w:pPr>
      <w:r w:rsidRPr="00957C70">
        <w:rPr>
          <w:rFonts w:ascii="Calibri" w:hAnsi="Calibri" w:cs="Calibri" w:hint="eastAsia"/>
          <w:sz w:val="22"/>
          <w:lang w:val="en-US" w:eastAsia="x-none"/>
        </w:rPr>
        <w:t>Option 2: NR-U UL channel access procedure is supported for SL-U</w:t>
      </w:r>
    </w:p>
    <w:p w14:paraId="4DD16F11" w14:textId="1E593B20" w:rsidR="00957C70" w:rsidRDefault="00957C70">
      <w:pPr>
        <w:numPr>
          <w:ilvl w:val="1"/>
          <w:numId w:val="26"/>
        </w:numPr>
        <w:autoSpaceDE w:val="0"/>
        <w:autoSpaceDN w:val="0"/>
        <w:spacing w:after="60"/>
        <w:jc w:val="both"/>
        <w:rPr>
          <w:rFonts w:ascii="Calibri" w:hAnsi="Calibri" w:cs="Calibri"/>
          <w:sz w:val="22"/>
          <w:lang w:val="en-US" w:eastAsia="x-none"/>
        </w:rPr>
      </w:pPr>
      <w:r w:rsidRPr="00957C70">
        <w:rPr>
          <w:rFonts w:ascii="Calibri" w:hAnsi="Calibri" w:cs="Calibri" w:hint="eastAsia"/>
          <w:sz w:val="22"/>
          <w:lang w:val="en-US" w:eastAsia="x-none"/>
        </w:rPr>
        <w:t xml:space="preserve">Option 3: Option 1 </w:t>
      </w:r>
      <w:r w:rsidR="00F468D5">
        <w:rPr>
          <w:rFonts w:ascii="Calibri" w:hAnsi="Calibri" w:cs="Calibri"/>
          <w:sz w:val="22"/>
          <w:lang w:val="en-US" w:eastAsia="x-none"/>
        </w:rPr>
        <w:t>+</w:t>
      </w:r>
      <w:r w:rsidRPr="00957C70">
        <w:rPr>
          <w:rFonts w:ascii="Calibri" w:hAnsi="Calibri" w:cs="Calibri" w:hint="eastAsia"/>
          <w:sz w:val="22"/>
          <w:lang w:val="en-US" w:eastAsia="x-none"/>
        </w:rPr>
        <w:t xml:space="preserve"> Option 2</w:t>
      </w:r>
    </w:p>
    <w:p w14:paraId="1D9819EB" w14:textId="769EAD06" w:rsidR="00957C70" w:rsidRPr="00957C70" w:rsidRDefault="00957C70">
      <w:pPr>
        <w:numPr>
          <w:ilvl w:val="1"/>
          <w:numId w:val="26"/>
        </w:numPr>
        <w:autoSpaceDE w:val="0"/>
        <w:autoSpaceDN w:val="0"/>
        <w:spacing w:after="120"/>
        <w:jc w:val="both"/>
        <w:rPr>
          <w:rFonts w:ascii="Calibri" w:hAnsi="Calibri" w:cs="Calibri"/>
          <w:sz w:val="22"/>
          <w:lang w:val="en-US" w:eastAsia="x-none"/>
        </w:rPr>
      </w:pPr>
      <w:r w:rsidRPr="00957C70">
        <w:rPr>
          <w:rFonts w:ascii="Calibri" w:hAnsi="Calibri" w:cs="Calibri" w:hint="eastAsia"/>
          <w:sz w:val="22"/>
          <w:lang w:val="en-AU" w:eastAsia="x-none"/>
        </w:rPr>
        <w:t>FFS any necessary enhancement and modification for SL-U operation</w:t>
      </w:r>
    </w:p>
    <w:p w14:paraId="4060B4D1" w14:textId="6CF4E288" w:rsidR="00957C70" w:rsidRDefault="00957C70" w:rsidP="00957C70">
      <w:pPr>
        <w:autoSpaceDE w:val="0"/>
        <w:autoSpaceDN w:val="0"/>
        <w:jc w:val="both"/>
        <w:rPr>
          <w:rFonts w:ascii="Calibri" w:hAnsi="Calibri" w:cs="Calibri"/>
          <w:sz w:val="22"/>
          <w:lang w:val="en-US" w:eastAsia="x-none"/>
        </w:rPr>
      </w:pPr>
    </w:p>
    <w:tbl>
      <w:tblPr>
        <w:tblStyle w:val="TableGrid"/>
        <w:tblW w:w="9631" w:type="dxa"/>
        <w:tblLayout w:type="fixed"/>
        <w:tblLook w:val="04A0" w:firstRow="1" w:lastRow="0" w:firstColumn="1" w:lastColumn="0" w:noHBand="0" w:noVBand="1"/>
      </w:tblPr>
      <w:tblGrid>
        <w:gridCol w:w="1555"/>
        <w:gridCol w:w="8076"/>
      </w:tblGrid>
      <w:tr w:rsidR="00EC21DD" w14:paraId="2A5C5D9F" w14:textId="77777777" w:rsidTr="006B2419">
        <w:tc>
          <w:tcPr>
            <w:tcW w:w="1555" w:type="dxa"/>
          </w:tcPr>
          <w:p w14:paraId="5B4095AA" w14:textId="77777777" w:rsidR="00EC21DD" w:rsidRDefault="00EC21DD" w:rsidP="006B2419">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8076" w:type="dxa"/>
          </w:tcPr>
          <w:p w14:paraId="57BA8A66" w14:textId="77777777" w:rsidR="00EC21DD" w:rsidRDefault="00EC21DD" w:rsidP="006B2419">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335DBF" w14:paraId="738770D6" w14:textId="77777777" w:rsidTr="006B2419">
        <w:tc>
          <w:tcPr>
            <w:tcW w:w="1555" w:type="dxa"/>
          </w:tcPr>
          <w:p w14:paraId="16E771F3" w14:textId="77777777" w:rsidR="00335DBF" w:rsidRDefault="00335DBF" w:rsidP="00335DBF">
            <w:pPr>
              <w:pStyle w:val="0Maintext"/>
              <w:spacing w:after="0" w:afterAutospacing="0" w:line="240" w:lineRule="auto"/>
              <w:ind w:firstLine="0"/>
            </w:pPr>
            <w:r>
              <w:t>IDCC</w:t>
            </w:r>
          </w:p>
        </w:tc>
        <w:tc>
          <w:tcPr>
            <w:tcW w:w="8076" w:type="dxa"/>
          </w:tcPr>
          <w:p w14:paraId="480B45F4" w14:textId="77777777" w:rsidR="00335DBF" w:rsidRDefault="00335DBF" w:rsidP="00335DBF">
            <w:pPr>
              <w:pStyle w:val="0Maintext"/>
              <w:spacing w:after="0" w:afterAutospacing="0" w:line="240" w:lineRule="auto"/>
              <w:ind w:firstLine="0"/>
            </w:pPr>
            <w:r>
              <w:t xml:space="preserve">We support Option 3. Given the multiple SLs with different service and types of data supported by one UE, the flexibility to transmit in the channel(s) where LBT is successful can be beneficial.  </w:t>
            </w:r>
          </w:p>
        </w:tc>
      </w:tr>
      <w:tr w:rsidR="00335DBF" w14:paraId="26574036" w14:textId="77777777" w:rsidTr="006B2419">
        <w:tc>
          <w:tcPr>
            <w:tcW w:w="1555" w:type="dxa"/>
          </w:tcPr>
          <w:p w14:paraId="2E00C1B9" w14:textId="77777777" w:rsidR="00335DBF" w:rsidRDefault="00335DBF" w:rsidP="00335DBF">
            <w:pPr>
              <w:pStyle w:val="0Maintext"/>
              <w:spacing w:after="0" w:afterAutospacing="0" w:line="240" w:lineRule="auto"/>
              <w:ind w:firstLine="0"/>
            </w:pPr>
            <w:r>
              <w:t>Qualcomm</w:t>
            </w:r>
          </w:p>
        </w:tc>
        <w:tc>
          <w:tcPr>
            <w:tcW w:w="8076" w:type="dxa"/>
          </w:tcPr>
          <w:p w14:paraId="6E1492F9" w14:textId="77777777" w:rsidR="00335DBF" w:rsidRDefault="00335DBF" w:rsidP="00335DBF">
            <w:pPr>
              <w:autoSpaceDE w:val="0"/>
              <w:autoSpaceDN w:val="0"/>
              <w:jc w:val="both"/>
              <w:rPr>
                <w:rFonts w:ascii="Calibri" w:hAnsi="Calibri" w:cs="Calibri"/>
                <w:sz w:val="22"/>
                <w:lang w:val="en-US"/>
              </w:rPr>
            </w:pPr>
            <w:r>
              <w:rPr>
                <w:rFonts w:ascii="Calibri" w:hAnsi="Calibri" w:cs="Calibri"/>
                <w:b/>
                <w:bCs/>
                <w:sz w:val="22"/>
                <w:lang w:val="en-US"/>
              </w:rPr>
              <w:t>We prefer Option 3.</w:t>
            </w:r>
            <w:r>
              <w:rPr>
                <w:rFonts w:ascii="Calibri" w:hAnsi="Calibri" w:cs="Calibri"/>
                <w:sz w:val="22"/>
                <w:lang w:val="en-US"/>
              </w:rPr>
              <w:t xml:space="preserve"> We indeed believe that there are cases for UL procedures (e.g. a grant for single PSSCH spanning multiple RB sets) and for DL procedures (e.g. preparing an encoding for single PSSCH within one RB set, but decide which RB set based on LBT outcome on multiple RB sets)</w:t>
            </w:r>
          </w:p>
        </w:tc>
      </w:tr>
      <w:tr w:rsidR="00335DBF" w14:paraId="4A534541" w14:textId="77777777" w:rsidTr="006B2419">
        <w:tc>
          <w:tcPr>
            <w:tcW w:w="1555" w:type="dxa"/>
          </w:tcPr>
          <w:p w14:paraId="7C4724DD" w14:textId="77777777" w:rsidR="00335DBF" w:rsidRDefault="00335DBF" w:rsidP="00335DBF">
            <w:pPr>
              <w:pStyle w:val="0Maintext"/>
              <w:spacing w:after="0" w:afterAutospacing="0" w:line="240" w:lineRule="auto"/>
              <w:ind w:firstLine="0"/>
            </w:pPr>
            <w:r>
              <w:t>Intel</w:t>
            </w:r>
          </w:p>
        </w:tc>
        <w:tc>
          <w:tcPr>
            <w:tcW w:w="8076" w:type="dxa"/>
          </w:tcPr>
          <w:p w14:paraId="505E3CE7" w14:textId="77777777" w:rsidR="00335DBF" w:rsidRDefault="00335DBF" w:rsidP="00335DBF">
            <w:pPr>
              <w:pStyle w:val="0Maintext"/>
              <w:spacing w:after="0" w:afterAutospacing="0" w:line="240" w:lineRule="auto"/>
              <w:ind w:firstLine="0"/>
            </w:pPr>
            <w:r>
              <w:t>We are OK with the proposal and prefer Option 2.</w:t>
            </w:r>
          </w:p>
        </w:tc>
      </w:tr>
      <w:tr w:rsidR="00335DBF" w14:paraId="09996286" w14:textId="77777777" w:rsidTr="006B2419">
        <w:tc>
          <w:tcPr>
            <w:tcW w:w="1555" w:type="dxa"/>
          </w:tcPr>
          <w:p w14:paraId="7794B88F" w14:textId="77777777" w:rsidR="00335DBF" w:rsidRDefault="00335DBF" w:rsidP="00335DBF">
            <w:pPr>
              <w:pStyle w:val="0Maintext"/>
              <w:spacing w:after="0" w:afterAutospacing="0" w:line="240" w:lineRule="auto"/>
              <w:ind w:firstLine="0"/>
            </w:pPr>
            <w:r>
              <w:t>Apple</w:t>
            </w:r>
          </w:p>
        </w:tc>
        <w:tc>
          <w:tcPr>
            <w:tcW w:w="8076" w:type="dxa"/>
          </w:tcPr>
          <w:p w14:paraId="1F794002" w14:textId="77777777" w:rsidR="00335DBF" w:rsidRDefault="00335DBF" w:rsidP="00335DBF">
            <w:pPr>
              <w:pStyle w:val="0Maintext"/>
              <w:spacing w:after="0" w:afterAutospacing="0" w:line="240" w:lineRule="auto"/>
              <w:ind w:firstLine="0"/>
            </w:pPr>
            <w:r>
              <w:rPr>
                <w:rFonts w:asciiTheme="minorHAnsi" w:hAnsiTheme="minorHAnsi" w:cstheme="minorHAnsi"/>
                <w:sz w:val="22"/>
                <w:szCs w:val="22"/>
              </w:rPr>
              <w:t>Support option 2. Option 1 and 3 are very complex for transmission UE and receiving UE. For transmission UE, UE needs to prepare/adjust TB based on sensing result. For receiving UE, the UE needs to blind detect which RB set transmit.</w:t>
            </w:r>
          </w:p>
        </w:tc>
      </w:tr>
      <w:tr w:rsidR="00335DBF" w14:paraId="01B7997D" w14:textId="77777777" w:rsidTr="006B2419">
        <w:tc>
          <w:tcPr>
            <w:tcW w:w="1555" w:type="dxa"/>
          </w:tcPr>
          <w:p w14:paraId="5C656154" w14:textId="77777777" w:rsidR="00335DBF" w:rsidRDefault="00335DBF" w:rsidP="00335DBF">
            <w:pPr>
              <w:pStyle w:val="0Maintext"/>
              <w:spacing w:after="0" w:afterAutospacing="0" w:line="240" w:lineRule="auto"/>
              <w:ind w:firstLine="0"/>
            </w:pPr>
            <w:r>
              <w:rPr>
                <w:rFonts w:eastAsiaTheme="minorEastAsia" w:hint="eastAsia"/>
                <w:lang w:eastAsia="zh-CN"/>
              </w:rPr>
              <w:t>O</w:t>
            </w:r>
            <w:r>
              <w:rPr>
                <w:rFonts w:eastAsiaTheme="minorEastAsia"/>
                <w:lang w:eastAsia="zh-CN"/>
              </w:rPr>
              <w:t>PPO</w:t>
            </w:r>
          </w:p>
        </w:tc>
        <w:tc>
          <w:tcPr>
            <w:tcW w:w="8076" w:type="dxa"/>
          </w:tcPr>
          <w:p w14:paraId="3853CBA0" w14:textId="77777777" w:rsidR="00335DBF" w:rsidRDefault="00335DBF" w:rsidP="00335DBF">
            <w:pPr>
              <w:pStyle w:val="0Maintext"/>
              <w:spacing w:after="0" w:afterAutospacing="0" w:line="240" w:lineRule="auto"/>
              <w:ind w:firstLine="0"/>
            </w:pPr>
            <w:r>
              <w:rPr>
                <w:rFonts w:eastAsiaTheme="minorEastAsia"/>
                <w:lang w:eastAsia="zh-CN"/>
              </w:rPr>
              <w:t xml:space="preserve">We support Option3, but we think it is better to clarify the channels to be used for option 1 and option 2 respectively. For example, for PSCCH/PSSCH, option 2 should be applied. For S-SSB(if one S-SSB is configured per RB set) and PSFCH (whose resource is within one RB set per PSFCH), option 1 should be applied. </w:t>
            </w:r>
          </w:p>
        </w:tc>
      </w:tr>
      <w:tr w:rsidR="00335DBF" w14:paraId="1E186B25" w14:textId="77777777" w:rsidTr="006B2419">
        <w:tc>
          <w:tcPr>
            <w:tcW w:w="1555" w:type="dxa"/>
          </w:tcPr>
          <w:p w14:paraId="7B87F426" w14:textId="77777777" w:rsidR="00335DBF" w:rsidRDefault="00335DBF" w:rsidP="00335DBF">
            <w:pPr>
              <w:pStyle w:val="0Maintext"/>
              <w:spacing w:after="0" w:afterAutospacing="0" w:line="240" w:lineRule="auto"/>
              <w:ind w:firstLine="0"/>
            </w:pPr>
            <w:r>
              <w:t>CableLabs</w:t>
            </w:r>
          </w:p>
        </w:tc>
        <w:tc>
          <w:tcPr>
            <w:tcW w:w="8076" w:type="dxa"/>
          </w:tcPr>
          <w:p w14:paraId="29AE484D" w14:textId="77777777" w:rsidR="00335DBF" w:rsidRDefault="00335DBF" w:rsidP="00335DBF">
            <w:pPr>
              <w:pStyle w:val="0Maintext"/>
              <w:spacing w:after="0" w:afterAutospacing="0" w:line="240" w:lineRule="auto"/>
              <w:ind w:firstLine="0"/>
            </w:pPr>
            <w:r>
              <w:t>Support option 2</w:t>
            </w:r>
          </w:p>
        </w:tc>
      </w:tr>
      <w:tr w:rsidR="00335DBF" w14:paraId="49F8316F" w14:textId="77777777" w:rsidTr="006B2419">
        <w:tc>
          <w:tcPr>
            <w:tcW w:w="1555" w:type="dxa"/>
          </w:tcPr>
          <w:p w14:paraId="29D3349F" w14:textId="77777777" w:rsidR="00335DBF" w:rsidRDefault="00335DBF" w:rsidP="00335DBF">
            <w:pPr>
              <w:pStyle w:val="0Maintext"/>
              <w:spacing w:after="0" w:afterAutospacing="0" w:line="240" w:lineRule="auto"/>
              <w:ind w:firstLine="0"/>
              <w:rPr>
                <w:lang w:eastAsia="ko-KR"/>
              </w:rPr>
            </w:pPr>
            <w:r>
              <w:rPr>
                <w:rFonts w:hint="eastAsia"/>
                <w:lang w:eastAsia="ko-KR"/>
              </w:rPr>
              <w:lastRenderedPageBreak/>
              <w:t>LGE</w:t>
            </w:r>
          </w:p>
        </w:tc>
        <w:tc>
          <w:tcPr>
            <w:tcW w:w="8076" w:type="dxa"/>
          </w:tcPr>
          <w:p w14:paraId="26968ADC" w14:textId="77777777" w:rsidR="00335DBF" w:rsidRDefault="00335DBF" w:rsidP="00335DBF">
            <w:pPr>
              <w:pStyle w:val="0Maintext"/>
              <w:spacing w:after="0" w:afterAutospacing="0" w:line="240" w:lineRule="auto"/>
              <w:ind w:firstLine="0"/>
              <w:rPr>
                <w:lang w:eastAsia="ko-KR"/>
              </w:rPr>
            </w:pPr>
            <w:r>
              <w:rPr>
                <w:rFonts w:hint="eastAsia"/>
                <w:lang w:eastAsia="ko-KR"/>
              </w:rPr>
              <w:t xml:space="preserve">We support Option </w:t>
            </w:r>
            <w:r>
              <w:rPr>
                <w:b/>
                <w:color w:val="FF0000"/>
                <w:lang w:eastAsia="ko-KR"/>
              </w:rPr>
              <w:t>3</w:t>
            </w:r>
            <w:r>
              <w:rPr>
                <w:rFonts w:hint="eastAsia"/>
                <w:lang w:eastAsia="ko-KR"/>
              </w:rPr>
              <w:t xml:space="preserve">. </w:t>
            </w:r>
            <w:r>
              <w:rPr>
                <w:lang w:eastAsia="ko-KR"/>
              </w:rPr>
              <w:t xml:space="preserve">To clarify the purpose of this proposal, it would be better to add something like “down-select one of followings” in the main bullet. </w:t>
            </w:r>
          </w:p>
          <w:p w14:paraId="7859DE41" w14:textId="77777777" w:rsidR="00335DBF" w:rsidRDefault="00335DBF" w:rsidP="00335DBF">
            <w:pPr>
              <w:pStyle w:val="0Maintext"/>
              <w:spacing w:after="0" w:afterAutospacing="0" w:line="240" w:lineRule="auto"/>
              <w:ind w:firstLine="0"/>
              <w:rPr>
                <w:lang w:eastAsia="ko-KR"/>
              </w:rPr>
            </w:pPr>
            <w:r>
              <w:rPr>
                <w:lang w:eastAsia="ko-KR"/>
              </w:rPr>
              <w:t xml:space="preserve">Actually, we prefer to discuss it for PSFCH and PSCCH/PSSCH separately. </w:t>
            </w:r>
          </w:p>
          <w:p w14:paraId="2AB056A1" w14:textId="77777777" w:rsidR="00335DBF" w:rsidRDefault="00335DBF" w:rsidP="00335DBF">
            <w:pPr>
              <w:pStyle w:val="0Maintext"/>
              <w:spacing w:after="0" w:afterAutospacing="0" w:line="240" w:lineRule="auto"/>
              <w:ind w:firstLine="0"/>
              <w:rPr>
                <w:lang w:eastAsia="ko-KR"/>
              </w:rPr>
            </w:pPr>
            <w:r>
              <w:rPr>
                <w:lang w:eastAsia="ko-KR"/>
              </w:rPr>
              <w:t xml:space="preserve">At least for PSFCH, we can easily agree to consider NR-U DL multi-channel access procedure as a baseline. </w:t>
            </w:r>
          </w:p>
        </w:tc>
      </w:tr>
      <w:tr w:rsidR="00335DBF" w14:paraId="0B03BA3E" w14:textId="77777777" w:rsidTr="006B2419">
        <w:tc>
          <w:tcPr>
            <w:tcW w:w="1555" w:type="dxa"/>
          </w:tcPr>
          <w:p w14:paraId="518D4C16" w14:textId="77777777" w:rsidR="00335DBF" w:rsidRDefault="00335DBF" w:rsidP="00335DBF">
            <w:pPr>
              <w:pStyle w:val="0Maintext"/>
              <w:spacing w:after="0" w:afterAutospacing="0" w:line="240" w:lineRule="auto"/>
              <w:ind w:firstLine="0"/>
              <w:rPr>
                <w:rFonts w:eastAsia="MS Mincho"/>
                <w:lang w:eastAsia="ja-JP"/>
              </w:rPr>
            </w:pPr>
            <w:r>
              <w:rPr>
                <w:rFonts w:eastAsia="MS Mincho" w:hint="eastAsia"/>
                <w:lang w:eastAsia="ja-JP"/>
              </w:rPr>
              <w:t>D</w:t>
            </w:r>
            <w:r>
              <w:rPr>
                <w:rFonts w:eastAsia="MS Mincho"/>
                <w:lang w:eastAsia="ja-JP"/>
              </w:rPr>
              <w:t>CM</w:t>
            </w:r>
          </w:p>
        </w:tc>
        <w:tc>
          <w:tcPr>
            <w:tcW w:w="8076" w:type="dxa"/>
          </w:tcPr>
          <w:p w14:paraId="34ACBCE3" w14:textId="77777777" w:rsidR="00335DBF" w:rsidRDefault="00335DBF" w:rsidP="00335DBF">
            <w:pPr>
              <w:pStyle w:val="0Maintext"/>
              <w:spacing w:after="0" w:afterAutospacing="0" w:line="240" w:lineRule="auto"/>
              <w:ind w:firstLine="0"/>
              <w:rPr>
                <w:rFonts w:eastAsia="MS Mincho"/>
                <w:lang w:eastAsia="ja-JP"/>
              </w:rPr>
            </w:pPr>
            <w:r>
              <w:rPr>
                <w:rFonts w:eastAsia="MS Mincho" w:hint="eastAsia"/>
                <w:lang w:eastAsia="ja-JP"/>
              </w:rPr>
              <w:t>W</w:t>
            </w:r>
            <w:r>
              <w:rPr>
                <w:rFonts w:eastAsia="MS Mincho"/>
                <w:lang w:eastAsia="ja-JP"/>
              </w:rPr>
              <w:t>e noticed that companies’ intention of ‘DL multiple channel access’ ‘UL multiple channel access’ is not aligned. The procedure includes:</w:t>
            </w:r>
          </w:p>
          <w:p w14:paraId="61D72296" w14:textId="77777777" w:rsidR="00335DBF" w:rsidRDefault="00335DBF" w:rsidP="00335DBF">
            <w:pPr>
              <w:pStyle w:val="0Maintext"/>
              <w:numPr>
                <w:ilvl w:val="0"/>
                <w:numId w:val="20"/>
              </w:numPr>
              <w:spacing w:after="0" w:afterAutospacing="0" w:line="240" w:lineRule="auto"/>
              <w:rPr>
                <w:rFonts w:eastAsia="MS Mincho"/>
                <w:lang w:eastAsia="ja-JP"/>
              </w:rPr>
            </w:pPr>
            <w:r>
              <w:rPr>
                <w:rFonts w:eastAsia="MS Mincho"/>
                <w:lang w:eastAsia="ja-JP"/>
              </w:rPr>
              <w:t>How to perform LBT for a wideband transmission</w:t>
            </w:r>
          </w:p>
          <w:p w14:paraId="1556B155" w14:textId="77777777" w:rsidR="00335DBF" w:rsidRDefault="00335DBF" w:rsidP="00335DBF">
            <w:pPr>
              <w:pStyle w:val="0Maintext"/>
              <w:numPr>
                <w:ilvl w:val="0"/>
                <w:numId w:val="20"/>
              </w:numPr>
              <w:spacing w:after="0" w:afterAutospacing="0" w:line="240" w:lineRule="auto"/>
              <w:rPr>
                <w:rFonts w:eastAsia="MS Mincho"/>
                <w:lang w:eastAsia="ja-JP"/>
              </w:rPr>
            </w:pPr>
            <w:r>
              <w:rPr>
                <w:rFonts w:eastAsia="MS Mincho"/>
                <w:lang w:eastAsia="ja-JP"/>
              </w:rPr>
              <w:t>When to allow transmission (including partial vs full)</w:t>
            </w:r>
          </w:p>
          <w:p w14:paraId="39DDBF61" w14:textId="77777777" w:rsidR="00335DBF" w:rsidRDefault="00335DBF" w:rsidP="00335DBF">
            <w:pPr>
              <w:pStyle w:val="0Maintext"/>
              <w:spacing w:after="0" w:afterAutospacing="0" w:line="240" w:lineRule="auto"/>
              <w:ind w:firstLine="0"/>
              <w:rPr>
                <w:rFonts w:eastAsia="MS Mincho"/>
                <w:lang w:eastAsia="ja-JP"/>
              </w:rPr>
            </w:pPr>
            <w:r>
              <w:rPr>
                <w:rFonts w:eastAsia="MS Mincho" w:hint="eastAsia"/>
                <w:lang w:eastAsia="ja-JP"/>
              </w:rPr>
              <w:t>I</w:t>
            </w:r>
            <w:r>
              <w:rPr>
                <w:rFonts w:eastAsia="MS Mincho"/>
                <w:lang w:eastAsia="ja-JP"/>
              </w:rPr>
              <w:t>n our view, DL mechanism should be used for the first point, but UL mechanism should be used for the 2nd point. Thus we do not think this option list is sufficient.</w:t>
            </w:r>
          </w:p>
        </w:tc>
      </w:tr>
      <w:tr w:rsidR="00335DBF" w14:paraId="296239F5" w14:textId="77777777" w:rsidTr="006B2419">
        <w:tc>
          <w:tcPr>
            <w:tcW w:w="1555" w:type="dxa"/>
          </w:tcPr>
          <w:p w14:paraId="290C935F" w14:textId="77777777" w:rsidR="00335DBF" w:rsidRDefault="00335DBF" w:rsidP="00335DBF">
            <w:pPr>
              <w:pStyle w:val="0Maintext"/>
              <w:spacing w:after="0" w:afterAutospacing="0" w:line="240" w:lineRule="auto"/>
              <w:ind w:firstLine="0"/>
              <w:rPr>
                <w:rFonts w:eastAsia="MS Mincho"/>
                <w:lang w:eastAsia="ja-JP"/>
              </w:rPr>
            </w:pPr>
            <w:r>
              <w:rPr>
                <w:rFonts w:eastAsiaTheme="minorEastAsia" w:hint="eastAsia"/>
                <w:lang w:eastAsia="zh-CN"/>
              </w:rPr>
              <w:t>S</w:t>
            </w:r>
            <w:r>
              <w:rPr>
                <w:rFonts w:eastAsiaTheme="minorEastAsia"/>
                <w:lang w:eastAsia="zh-CN"/>
              </w:rPr>
              <w:t>preadtrum</w:t>
            </w:r>
          </w:p>
        </w:tc>
        <w:tc>
          <w:tcPr>
            <w:tcW w:w="8076" w:type="dxa"/>
          </w:tcPr>
          <w:p w14:paraId="627E7BDA" w14:textId="77777777" w:rsidR="00335DBF" w:rsidRDefault="00335DBF" w:rsidP="00335DBF">
            <w:pPr>
              <w:pStyle w:val="0Maintext"/>
              <w:spacing w:after="0" w:afterAutospacing="0" w:line="240" w:lineRule="auto"/>
              <w:ind w:firstLine="0"/>
              <w:rPr>
                <w:rFonts w:eastAsia="MS Mincho"/>
                <w:lang w:eastAsia="ja-JP"/>
              </w:rPr>
            </w:pPr>
            <w:r>
              <w:rPr>
                <w:rFonts w:eastAsiaTheme="minorEastAsia" w:hint="eastAsia"/>
                <w:lang w:eastAsia="zh-CN"/>
              </w:rPr>
              <w:t>W</w:t>
            </w:r>
            <w:r>
              <w:rPr>
                <w:rFonts w:eastAsiaTheme="minorEastAsia"/>
                <w:lang w:eastAsia="zh-CN"/>
              </w:rPr>
              <w:t>e prefer option 2.</w:t>
            </w:r>
          </w:p>
        </w:tc>
      </w:tr>
      <w:tr w:rsidR="00335DBF" w14:paraId="4A2962F2" w14:textId="77777777" w:rsidTr="006B2419">
        <w:tc>
          <w:tcPr>
            <w:tcW w:w="1555" w:type="dxa"/>
          </w:tcPr>
          <w:p w14:paraId="385624BA" w14:textId="77777777" w:rsidR="00335DBF" w:rsidRDefault="00335DBF" w:rsidP="00335DBF">
            <w:pPr>
              <w:pStyle w:val="0Maintext"/>
              <w:spacing w:after="0" w:afterAutospacing="0" w:line="240" w:lineRule="auto"/>
              <w:ind w:firstLine="0"/>
              <w:rPr>
                <w:rFonts w:eastAsiaTheme="minorEastAsia"/>
                <w:lang w:eastAsia="zh-CN"/>
              </w:rPr>
            </w:pPr>
            <w:r>
              <w:rPr>
                <w:rFonts w:eastAsiaTheme="minorEastAsia"/>
                <w:lang w:eastAsia="zh-CN"/>
              </w:rPr>
              <w:t>CMCC</w:t>
            </w:r>
          </w:p>
        </w:tc>
        <w:tc>
          <w:tcPr>
            <w:tcW w:w="8076" w:type="dxa"/>
          </w:tcPr>
          <w:p w14:paraId="5BCBBA4D" w14:textId="77777777" w:rsidR="00335DBF" w:rsidRDefault="00335DBF" w:rsidP="00335DBF">
            <w:pPr>
              <w:pStyle w:val="0Maintext"/>
              <w:spacing w:after="0" w:afterAutospacing="0" w:line="240" w:lineRule="auto"/>
              <w:ind w:firstLine="0"/>
              <w:rPr>
                <w:rFonts w:eastAsiaTheme="minorEastAsia"/>
                <w:lang w:eastAsia="zh-CN"/>
              </w:rPr>
            </w:pPr>
            <w:r>
              <w:rPr>
                <w:rFonts w:eastAsiaTheme="minorEastAsia"/>
                <w:lang w:eastAsia="zh-CN"/>
              </w:rPr>
              <w:t xml:space="preserve">We support option 3. However, for PSCCH/PSSCH, we think only option 2 (UL) is feasible due to DL procedure will cause too much complexity from both Tx and Rx UE’s perspective; To be specific, Tx UE cannot prepare and transmit more than one TBs </w:t>
            </w:r>
            <w:bookmarkStart w:id="124" w:name="OLE_LINK243"/>
            <w:bookmarkStart w:id="125" w:name="OLE_LINK244"/>
            <w:r>
              <w:rPr>
                <w:rFonts w:eastAsiaTheme="minorEastAsia"/>
                <w:lang w:eastAsia="zh-CN"/>
              </w:rPr>
              <w:t>simultaneously</w:t>
            </w:r>
            <w:bookmarkEnd w:id="124"/>
            <w:bookmarkEnd w:id="125"/>
            <w:r>
              <w:rPr>
                <w:rFonts w:eastAsiaTheme="minorEastAsia"/>
                <w:lang w:eastAsia="zh-CN"/>
              </w:rPr>
              <w:t>, and Rx UE may need to do blind detection should also be avoided.</w:t>
            </w:r>
          </w:p>
          <w:p w14:paraId="31B707CC" w14:textId="77777777" w:rsidR="00335DBF" w:rsidRDefault="00335DBF" w:rsidP="00335DBF">
            <w:pPr>
              <w:pStyle w:val="0Maintext"/>
              <w:spacing w:after="0" w:afterAutospacing="0" w:line="240" w:lineRule="auto"/>
              <w:ind w:firstLine="0"/>
              <w:rPr>
                <w:rFonts w:eastAsiaTheme="minorEastAsia"/>
                <w:lang w:eastAsia="zh-CN"/>
              </w:rPr>
            </w:pPr>
          </w:p>
          <w:p w14:paraId="55B2DF32" w14:textId="77777777" w:rsidR="00335DBF" w:rsidRDefault="00335DBF" w:rsidP="00335DBF">
            <w:pPr>
              <w:pStyle w:val="0Maintext"/>
              <w:spacing w:after="0" w:afterAutospacing="0" w:line="240" w:lineRule="auto"/>
              <w:ind w:firstLine="0"/>
              <w:rPr>
                <w:rFonts w:eastAsiaTheme="minorEastAsia"/>
                <w:lang w:eastAsia="zh-CN"/>
              </w:rPr>
            </w:pPr>
            <w:r>
              <w:rPr>
                <w:rFonts w:eastAsiaTheme="minorEastAsia"/>
                <w:lang w:eastAsia="zh-CN"/>
              </w:rPr>
              <w:t>For PSFCH, we think it should be further discuss whether/when UL or DL mechanism is feasible because even in Rel-16, a UE can transmit multiple PSFCHs simultaneously to different Tx UEs.</w:t>
            </w:r>
          </w:p>
        </w:tc>
      </w:tr>
      <w:tr w:rsidR="00335DBF" w14:paraId="0381001E" w14:textId="77777777" w:rsidTr="006B2419">
        <w:tc>
          <w:tcPr>
            <w:tcW w:w="1555" w:type="dxa"/>
          </w:tcPr>
          <w:p w14:paraId="30C5B954" w14:textId="77777777" w:rsidR="00335DBF" w:rsidRDefault="00335DBF" w:rsidP="00335DBF">
            <w:pPr>
              <w:pStyle w:val="0Maintext"/>
              <w:spacing w:after="0" w:afterAutospacing="0" w:line="240" w:lineRule="auto"/>
              <w:ind w:firstLine="0"/>
              <w:rPr>
                <w:rFonts w:eastAsia="MS Mincho"/>
                <w:lang w:eastAsia="ja-JP"/>
              </w:rPr>
            </w:pPr>
            <w:r>
              <w:rPr>
                <w:rFonts w:eastAsia="MS Mincho" w:hint="eastAsia"/>
                <w:lang w:eastAsia="ja-JP"/>
              </w:rPr>
              <w:t>P</w:t>
            </w:r>
            <w:r>
              <w:rPr>
                <w:rFonts w:eastAsia="MS Mincho"/>
                <w:lang w:eastAsia="ja-JP"/>
              </w:rPr>
              <w:t>anasonic</w:t>
            </w:r>
          </w:p>
        </w:tc>
        <w:tc>
          <w:tcPr>
            <w:tcW w:w="8076" w:type="dxa"/>
          </w:tcPr>
          <w:p w14:paraId="2C639612" w14:textId="77777777" w:rsidR="00335DBF" w:rsidRDefault="00335DBF" w:rsidP="00335DBF">
            <w:pPr>
              <w:pStyle w:val="0Maintext"/>
              <w:spacing w:after="0" w:afterAutospacing="0" w:line="240" w:lineRule="auto"/>
              <w:ind w:firstLine="0"/>
              <w:rPr>
                <w:rFonts w:eastAsia="MS Mincho"/>
                <w:lang w:eastAsia="ja-JP"/>
              </w:rPr>
            </w:pPr>
            <w:r>
              <w:rPr>
                <w:rFonts w:eastAsia="MS Mincho" w:hint="eastAsia"/>
                <w:lang w:eastAsia="ja-JP"/>
              </w:rPr>
              <w:t>W</w:t>
            </w:r>
            <w:r>
              <w:rPr>
                <w:rFonts w:eastAsia="MS Mincho"/>
                <w:lang w:eastAsia="ja-JP"/>
              </w:rPr>
              <w:t>e support option 2.</w:t>
            </w:r>
          </w:p>
        </w:tc>
      </w:tr>
      <w:tr w:rsidR="00335DBF" w14:paraId="0DEA4BB8" w14:textId="77777777" w:rsidTr="006B2419">
        <w:tc>
          <w:tcPr>
            <w:tcW w:w="1555" w:type="dxa"/>
          </w:tcPr>
          <w:p w14:paraId="06EE2EA2" w14:textId="77777777" w:rsidR="00335DBF" w:rsidRDefault="00335DBF" w:rsidP="00335DBF">
            <w:pPr>
              <w:pStyle w:val="0Maintext"/>
              <w:spacing w:after="0" w:afterAutospacing="0" w:line="240" w:lineRule="auto"/>
              <w:ind w:firstLine="0"/>
            </w:pPr>
            <w:r>
              <w:t>Nokia, NSB</w:t>
            </w:r>
          </w:p>
        </w:tc>
        <w:tc>
          <w:tcPr>
            <w:tcW w:w="8076" w:type="dxa"/>
          </w:tcPr>
          <w:p w14:paraId="7A7FA503" w14:textId="77777777" w:rsidR="00335DBF" w:rsidRDefault="00335DBF" w:rsidP="00335DBF">
            <w:pPr>
              <w:pStyle w:val="0Maintext"/>
              <w:spacing w:after="0" w:afterAutospacing="0" w:line="240" w:lineRule="auto"/>
              <w:ind w:firstLine="0"/>
              <w:rPr>
                <w:rFonts w:eastAsia="MS Mincho"/>
                <w:lang w:eastAsia="ja-JP"/>
              </w:rPr>
            </w:pPr>
            <w:r>
              <w:rPr>
                <w:rFonts w:eastAsia="MS Mincho"/>
                <w:lang w:eastAsia="ja-JP"/>
              </w:rPr>
              <w:t>We are fine to support both DL and UL procedures, i.e. Option 3.</w:t>
            </w:r>
          </w:p>
        </w:tc>
      </w:tr>
      <w:tr w:rsidR="00335DBF" w14:paraId="1C6C709A" w14:textId="77777777" w:rsidTr="006B2419">
        <w:tc>
          <w:tcPr>
            <w:tcW w:w="1555" w:type="dxa"/>
          </w:tcPr>
          <w:p w14:paraId="70678D69" w14:textId="77777777" w:rsidR="00335DBF" w:rsidRDefault="00335DBF" w:rsidP="00335DBF">
            <w:pPr>
              <w:pStyle w:val="0Maintext"/>
              <w:spacing w:after="0" w:afterAutospacing="0" w:line="240" w:lineRule="auto"/>
              <w:ind w:firstLine="0"/>
            </w:pPr>
            <w:r>
              <w:rPr>
                <w:rFonts w:eastAsiaTheme="minorEastAsia" w:hint="eastAsia"/>
                <w:lang w:eastAsia="zh-CN"/>
              </w:rPr>
              <w:t>V</w:t>
            </w:r>
            <w:r>
              <w:rPr>
                <w:rFonts w:eastAsiaTheme="minorEastAsia"/>
                <w:lang w:eastAsia="zh-CN"/>
              </w:rPr>
              <w:t>IVO</w:t>
            </w:r>
          </w:p>
        </w:tc>
        <w:tc>
          <w:tcPr>
            <w:tcW w:w="8076" w:type="dxa"/>
          </w:tcPr>
          <w:p w14:paraId="4FA8DE7E" w14:textId="77777777" w:rsidR="00335DBF" w:rsidRDefault="00335DBF" w:rsidP="00335DBF">
            <w:pPr>
              <w:pStyle w:val="0Maintext"/>
              <w:spacing w:after="0" w:afterAutospacing="0" w:line="240" w:lineRule="auto"/>
              <w:ind w:firstLine="0"/>
              <w:rPr>
                <w:rFonts w:eastAsia="MS Mincho"/>
                <w:lang w:eastAsia="ja-JP"/>
              </w:rPr>
            </w:pPr>
            <w:r>
              <w:rPr>
                <w:rFonts w:eastAsiaTheme="minorEastAsia"/>
                <w:lang w:eastAsia="zh-CN"/>
              </w:rPr>
              <w:t>We prefer option 1, which is sufficient flexible</w:t>
            </w:r>
          </w:p>
        </w:tc>
      </w:tr>
      <w:tr w:rsidR="00335DBF" w14:paraId="74937438" w14:textId="77777777" w:rsidTr="006B2419">
        <w:tc>
          <w:tcPr>
            <w:tcW w:w="1555" w:type="dxa"/>
          </w:tcPr>
          <w:p w14:paraId="07287BD8" w14:textId="77777777" w:rsidR="00335DBF" w:rsidRDefault="00335DBF" w:rsidP="00335DBF">
            <w:pPr>
              <w:pStyle w:val="0Maintext"/>
              <w:spacing w:after="0" w:afterAutospacing="0" w:line="240" w:lineRule="auto"/>
              <w:ind w:firstLine="0"/>
              <w:rPr>
                <w:rFonts w:eastAsiaTheme="minorEastAsia"/>
                <w:lang w:eastAsia="zh-CN"/>
              </w:rPr>
            </w:pPr>
            <w:r>
              <w:rPr>
                <w:rFonts w:hint="eastAsia"/>
                <w:lang w:eastAsia="ko-KR"/>
              </w:rPr>
              <w:t>W</w:t>
            </w:r>
            <w:r>
              <w:rPr>
                <w:lang w:eastAsia="ko-KR"/>
              </w:rPr>
              <w:t>ILUS</w:t>
            </w:r>
          </w:p>
        </w:tc>
        <w:tc>
          <w:tcPr>
            <w:tcW w:w="8076" w:type="dxa"/>
          </w:tcPr>
          <w:p w14:paraId="3723D447" w14:textId="77777777" w:rsidR="00335DBF" w:rsidRDefault="00335DBF" w:rsidP="00335DBF">
            <w:pPr>
              <w:pStyle w:val="0Maintext"/>
              <w:spacing w:after="0" w:afterAutospacing="0" w:line="240" w:lineRule="auto"/>
              <w:ind w:firstLine="0"/>
              <w:rPr>
                <w:rFonts w:eastAsiaTheme="minorEastAsia"/>
                <w:lang w:eastAsia="zh-CN"/>
              </w:rPr>
            </w:pPr>
            <w:r>
              <w:rPr>
                <w:rFonts w:hint="eastAsia"/>
                <w:lang w:eastAsia="ko-KR"/>
              </w:rPr>
              <w:t>W</w:t>
            </w:r>
            <w:r>
              <w:rPr>
                <w:lang w:eastAsia="ko-KR"/>
              </w:rPr>
              <w:t xml:space="preserve">e generally fine with this proposal. Considering that it is a general proposal without any limitation on the SL channel, we support option 3. </w:t>
            </w:r>
          </w:p>
        </w:tc>
      </w:tr>
      <w:tr w:rsidR="00335DBF" w14:paraId="6F41E8A0" w14:textId="77777777" w:rsidTr="006B2419">
        <w:tc>
          <w:tcPr>
            <w:tcW w:w="1555" w:type="dxa"/>
          </w:tcPr>
          <w:p w14:paraId="57DE6CAC" w14:textId="77777777" w:rsidR="00335DBF" w:rsidRDefault="00335DBF" w:rsidP="00335DBF">
            <w:pPr>
              <w:pStyle w:val="0Maintext"/>
              <w:spacing w:after="0" w:afterAutospacing="0" w:line="240" w:lineRule="auto"/>
              <w:ind w:firstLine="0"/>
              <w:rPr>
                <w:lang w:eastAsia="ko-KR"/>
              </w:rPr>
            </w:pPr>
            <w:r>
              <w:rPr>
                <w:rFonts w:eastAsiaTheme="minorEastAsia" w:hint="eastAsia"/>
                <w:lang w:eastAsia="zh-CN"/>
              </w:rPr>
              <w:t>S</w:t>
            </w:r>
            <w:r>
              <w:rPr>
                <w:rFonts w:eastAsiaTheme="minorEastAsia"/>
                <w:lang w:eastAsia="zh-CN"/>
              </w:rPr>
              <w:t>amsung</w:t>
            </w:r>
          </w:p>
        </w:tc>
        <w:tc>
          <w:tcPr>
            <w:tcW w:w="8076" w:type="dxa"/>
          </w:tcPr>
          <w:p w14:paraId="0AFBE4B8" w14:textId="77777777" w:rsidR="00335DBF" w:rsidRDefault="00335DBF" w:rsidP="00335DBF">
            <w:pPr>
              <w:pStyle w:val="0Maintext"/>
              <w:spacing w:after="0" w:afterAutospacing="0" w:line="240" w:lineRule="auto"/>
              <w:ind w:firstLine="0"/>
              <w:rPr>
                <w:rFonts w:eastAsiaTheme="minorEastAsia"/>
                <w:lang w:val="en-US" w:eastAsia="zh-CN"/>
              </w:rPr>
            </w:pPr>
            <w:r>
              <w:rPr>
                <w:rFonts w:eastAsiaTheme="minorEastAsia"/>
                <w:lang w:val="en-US" w:eastAsia="zh-CN"/>
              </w:rPr>
              <w:t xml:space="preserve">The only difference between UL and DL is, what’s the UE behaviour if some channel fails the LBT procedure, and the difference comes from RAN4 (there was a LS from RAN4 on the restriction on UL RB set selection). So similar thing can be done: list Option 1 and Option 2, and ask RAN4 to down select. We didn’t see a need to support both. </w:t>
            </w:r>
          </w:p>
          <w:p w14:paraId="7C821F56" w14:textId="77777777" w:rsidR="00335DBF" w:rsidRDefault="00335DBF" w:rsidP="00335DBF">
            <w:pPr>
              <w:pStyle w:val="0Maintext"/>
              <w:spacing w:after="0" w:afterAutospacing="0" w:line="240" w:lineRule="auto"/>
              <w:ind w:firstLine="0"/>
              <w:rPr>
                <w:rFonts w:eastAsiaTheme="minorEastAsia"/>
                <w:lang w:val="en-US" w:eastAsia="zh-CN"/>
              </w:rPr>
            </w:pPr>
            <w:r>
              <w:rPr>
                <w:rFonts w:eastAsiaTheme="minorEastAsia"/>
                <w:lang w:val="en-US" w:eastAsia="zh-CN"/>
              </w:rPr>
              <w:t>Also, it needs to clarify the proposal is for dynamic mode, since it mentioned Type A and Type B, which are the terms for dynamic mode.  We suggest the following update:</w:t>
            </w:r>
          </w:p>
          <w:p w14:paraId="26F924CC" w14:textId="77777777" w:rsidR="00335DBF" w:rsidRDefault="00335DBF" w:rsidP="00335DBF">
            <w:pPr>
              <w:autoSpaceDE w:val="0"/>
              <w:autoSpaceDN w:val="0"/>
              <w:jc w:val="both"/>
              <w:rPr>
                <w:rFonts w:ascii="Calibri" w:hAnsi="Calibri" w:cs="Calibri"/>
                <w:sz w:val="22"/>
              </w:rPr>
            </w:pPr>
            <w:r>
              <w:rPr>
                <w:rFonts w:ascii="Calibri" w:hAnsi="Calibri" w:cs="Calibri"/>
                <w:b/>
                <w:bCs/>
                <w:sz w:val="22"/>
                <w:highlight w:val="yellow"/>
              </w:rPr>
              <w:t>Proposal 6 (I):</w:t>
            </w:r>
          </w:p>
          <w:p w14:paraId="3F057802" w14:textId="77777777" w:rsidR="00335DBF" w:rsidRDefault="00335DBF" w:rsidP="00335DBF">
            <w:pPr>
              <w:numPr>
                <w:ilvl w:val="0"/>
                <w:numId w:val="26"/>
              </w:numPr>
              <w:tabs>
                <w:tab w:val="left" w:pos="720"/>
              </w:tabs>
              <w:autoSpaceDE w:val="0"/>
              <w:autoSpaceDN w:val="0"/>
              <w:jc w:val="both"/>
              <w:rPr>
                <w:rFonts w:ascii="Calibri" w:hAnsi="Calibri" w:cs="Calibri"/>
                <w:sz w:val="22"/>
                <w:lang w:val="en-US"/>
              </w:rPr>
            </w:pPr>
            <w:r>
              <w:rPr>
                <w:rFonts w:ascii="Calibri" w:hAnsi="Calibri" w:cs="Calibri" w:hint="eastAsia"/>
                <w:sz w:val="22"/>
                <w:lang w:val="en-US"/>
              </w:rPr>
              <w:t xml:space="preserve">For </w:t>
            </w:r>
            <w:r>
              <w:rPr>
                <w:rFonts w:ascii="Calibri" w:hAnsi="Calibri" w:cs="Calibri"/>
                <w:color w:val="FF0000"/>
                <w:sz w:val="22"/>
                <w:lang w:val="en-US"/>
              </w:rPr>
              <w:t xml:space="preserve">dynamic mode </w:t>
            </w:r>
            <w:r>
              <w:rPr>
                <w:rFonts w:ascii="Calibri" w:hAnsi="Calibri" w:cs="Calibri" w:hint="eastAsia"/>
                <w:sz w:val="22"/>
                <w:lang w:val="en-US"/>
              </w:rPr>
              <w:t>multiple channel access in SL-U,</w:t>
            </w:r>
            <w:r>
              <w:rPr>
                <w:rFonts w:ascii="Calibri" w:hAnsi="Calibri" w:cs="Calibri"/>
                <w:sz w:val="22"/>
                <w:lang w:val="en-US"/>
              </w:rPr>
              <w:t xml:space="preserve"> </w:t>
            </w:r>
            <w:r>
              <w:rPr>
                <w:rFonts w:ascii="Calibri" w:hAnsi="Calibri" w:cs="Calibri"/>
                <w:color w:val="FF0000"/>
                <w:sz w:val="22"/>
                <w:lang w:val="en-US"/>
              </w:rPr>
              <w:t>ask RAN4 to down-select between</w:t>
            </w:r>
          </w:p>
          <w:p w14:paraId="4FD9ACA8" w14:textId="77777777" w:rsidR="00335DBF" w:rsidRDefault="00335DBF" w:rsidP="00335DBF">
            <w:pPr>
              <w:numPr>
                <w:ilvl w:val="1"/>
                <w:numId w:val="26"/>
              </w:numPr>
              <w:tabs>
                <w:tab w:val="left" w:pos="1440"/>
              </w:tabs>
              <w:autoSpaceDE w:val="0"/>
              <w:autoSpaceDN w:val="0"/>
              <w:jc w:val="both"/>
              <w:rPr>
                <w:rFonts w:ascii="Calibri" w:hAnsi="Calibri" w:cs="Calibri"/>
                <w:sz w:val="22"/>
                <w:lang w:val="en-US"/>
              </w:rPr>
            </w:pPr>
            <w:r>
              <w:rPr>
                <w:rFonts w:ascii="Calibri" w:hAnsi="Calibri" w:cs="Calibri" w:hint="eastAsia"/>
                <w:sz w:val="22"/>
                <w:lang w:val="en-US"/>
              </w:rPr>
              <w:t xml:space="preserve">Option 1: NR-U </w:t>
            </w:r>
            <w:r>
              <w:rPr>
                <w:rFonts w:ascii="Calibri" w:hAnsi="Calibri" w:cs="Calibri" w:hint="eastAsia"/>
                <w:strike/>
                <w:color w:val="FF0000"/>
                <w:sz w:val="22"/>
                <w:lang w:val="en-US"/>
              </w:rPr>
              <w:t>DL (</w:t>
            </w:r>
            <w:r>
              <w:rPr>
                <w:rFonts w:ascii="Calibri" w:hAnsi="Calibri" w:cs="Calibri" w:hint="eastAsia"/>
                <w:sz w:val="22"/>
                <w:lang w:val="en-US"/>
              </w:rPr>
              <w:t>Type A and Type B</w:t>
            </w:r>
            <w:r>
              <w:rPr>
                <w:rFonts w:ascii="Calibri" w:hAnsi="Calibri" w:cs="Calibri" w:hint="eastAsia"/>
                <w:strike/>
                <w:color w:val="FF0000"/>
                <w:sz w:val="22"/>
                <w:lang w:val="en-US"/>
              </w:rPr>
              <w:t>)</w:t>
            </w:r>
            <w:r>
              <w:rPr>
                <w:rFonts w:ascii="Calibri" w:hAnsi="Calibri" w:cs="Calibri" w:hint="eastAsia"/>
                <w:sz w:val="22"/>
                <w:lang w:val="en-US"/>
              </w:rPr>
              <w:t xml:space="preserve"> channel access procedures are supported for SL-U</w:t>
            </w:r>
          </w:p>
          <w:p w14:paraId="6CC19141" w14:textId="77777777" w:rsidR="00335DBF" w:rsidRDefault="00335DBF" w:rsidP="00335DBF">
            <w:pPr>
              <w:numPr>
                <w:ilvl w:val="1"/>
                <w:numId w:val="26"/>
              </w:numPr>
              <w:tabs>
                <w:tab w:val="left" w:pos="1440"/>
              </w:tabs>
              <w:autoSpaceDE w:val="0"/>
              <w:autoSpaceDN w:val="0"/>
              <w:jc w:val="both"/>
              <w:rPr>
                <w:rFonts w:ascii="Calibri" w:hAnsi="Calibri" w:cs="Calibri"/>
                <w:sz w:val="22"/>
                <w:lang w:val="en-US"/>
              </w:rPr>
            </w:pPr>
            <w:r>
              <w:rPr>
                <w:rFonts w:ascii="Calibri" w:hAnsi="Calibri" w:cs="Calibri" w:hint="eastAsia"/>
                <w:sz w:val="22"/>
                <w:lang w:val="en-US"/>
              </w:rPr>
              <w:t>Option 2: NR-U UL channel access procedure is supported for SL-U</w:t>
            </w:r>
          </w:p>
          <w:p w14:paraId="58EE5DDA" w14:textId="77777777" w:rsidR="00335DBF" w:rsidRDefault="00335DBF" w:rsidP="00335DBF">
            <w:pPr>
              <w:numPr>
                <w:ilvl w:val="1"/>
                <w:numId w:val="26"/>
              </w:numPr>
              <w:tabs>
                <w:tab w:val="left" w:pos="1440"/>
              </w:tabs>
              <w:autoSpaceDE w:val="0"/>
              <w:autoSpaceDN w:val="0"/>
              <w:jc w:val="both"/>
              <w:rPr>
                <w:rFonts w:ascii="Calibri" w:hAnsi="Calibri" w:cs="Calibri"/>
                <w:strike/>
                <w:color w:val="FF0000"/>
                <w:sz w:val="22"/>
                <w:lang w:val="en-US"/>
              </w:rPr>
            </w:pPr>
            <w:r>
              <w:rPr>
                <w:rFonts w:ascii="Calibri" w:hAnsi="Calibri" w:cs="Calibri" w:hint="eastAsia"/>
                <w:strike/>
                <w:color w:val="FF0000"/>
                <w:sz w:val="22"/>
                <w:lang w:val="en-US"/>
              </w:rPr>
              <w:t xml:space="preserve">Option 3: Option 1 </w:t>
            </w:r>
            <w:r>
              <w:rPr>
                <w:rFonts w:ascii="Calibri" w:hAnsi="Calibri" w:cs="Calibri"/>
                <w:strike/>
                <w:color w:val="FF0000"/>
                <w:sz w:val="22"/>
                <w:lang w:val="en-US"/>
              </w:rPr>
              <w:t>+</w:t>
            </w:r>
            <w:r>
              <w:rPr>
                <w:rFonts w:ascii="Calibri" w:hAnsi="Calibri" w:cs="Calibri" w:hint="eastAsia"/>
                <w:strike/>
                <w:color w:val="FF0000"/>
                <w:sz w:val="22"/>
                <w:lang w:val="en-US"/>
              </w:rPr>
              <w:t xml:space="preserve"> Option 2</w:t>
            </w:r>
          </w:p>
          <w:p w14:paraId="4B935C1F" w14:textId="77777777" w:rsidR="00335DBF" w:rsidRDefault="00335DBF" w:rsidP="00335DBF">
            <w:pPr>
              <w:numPr>
                <w:ilvl w:val="1"/>
                <w:numId w:val="26"/>
              </w:numPr>
              <w:tabs>
                <w:tab w:val="left" w:pos="1440"/>
              </w:tabs>
              <w:autoSpaceDE w:val="0"/>
              <w:autoSpaceDN w:val="0"/>
              <w:jc w:val="both"/>
              <w:rPr>
                <w:rFonts w:ascii="Calibri" w:hAnsi="Calibri" w:cs="Calibri"/>
                <w:strike/>
                <w:color w:val="FF0000"/>
                <w:sz w:val="22"/>
                <w:lang w:val="en-US"/>
              </w:rPr>
            </w:pPr>
            <w:r>
              <w:rPr>
                <w:rFonts w:ascii="Calibri" w:hAnsi="Calibri" w:cs="Calibri" w:hint="eastAsia"/>
                <w:strike/>
                <w:color w:val="FF0000"/>
                <w:sz w:val="22"/>
                <w:lang w:val="en-AU"/>
              </w:rPr>
              <w:t>FFS any necessary enhancement and modification for SL-U operation</w:t>
            </w:r>
          </w:p>
        </w:tc>
      </w:tr>
      <w:tr w:rsidR="00335DBF" w14:paraId="13BDAC4A" w14:textId="77777777" w:rsidTr="006B2419">
        <w:tc>
          <w:tcPr>
            <w:tcW w:w="1555" w:type="dxa"/>
          </w:tcPr>
          <w:p w14:paraId="4E863A62" w14:textId="77777777" w:rsidR="00335DBF" w:rsidRDefault="00335DBF" w:rsidP="00335DBF">
            <w:pPr>
              <w:pStyle w:val="0Maintext"/>
              <w:spacing w:after="0" w:afterAutospacing="0" w:line="240" w:lineRule="auto"/>
              <w:ind w:firstLine="0"/>
              <w:rPr>
                <w:rFonts w:eastAsiaTheme="minorEastAsia"/>
                <w:lang w:eastAsia="zh-CN"/>
              </w:rPr>
            </w:pPr>
            <w:r>
              <w:rPr>
                <w:rFonts w:eastAsiaTheme="minorEastAsia"/>
                <w:lang w:eastAsia="zh-CN"/>
              </w:rPr>
              <w:t>NEC</w:t>
            </w:r>
          </w:p>
        </w:tc>
        <w:tc>
          <w:tcPr>
            <w:tcW w:w="8076" w:type="dxa"/>
          </w:tcPr>
          <w:p w14:paraId="0E7AAFF9" w14:textId="77777777" w:rsidR="00335DBF" w:rsidRDefault="00335DBF" w:rsidP="00335DBF">
            <w:pPr>
              <w:pStyle w:val="0Maintext"/>
              <w:spacing w:after="0" w:afterAutospacing="0" w:line="240" w:lineRule="auto"/>
              <w:ind w:firstLine="0"/>
            </w:pPr>
            <w:r>
              <w:rPr>
                <w:rFonts w:eastAsiaTheme="minorEastAsia"/>
                <w:lang w:eastAsia="zh-CN"/>
              </w:rPr>
              <w:t>We generally agree with the proposal, and option 2 is preferred.</w:t>
            </w:r>
          </w:p>
        </w:tc>
      </w:tr>
      <w:tr w:rsidR="00335DBF" w14:paraId="244C34BA" w14:textId="77777777" w:rsidTr="006B2419">
        <w:tc>
          <w:tcPr>
            <w:tcW w:w="1555" w:type="dxa"/>
          </w:tcPr>
          <w:p w14:paraId="6E875BA3" w14:textId="77777777" w:rsidR="00335DBF" w:rsidRDefault="00335DBF" w:rsidP="00335DBF">
            <w:pPr>
              <w:pStyle w:val="0Maintext"/>
              <w:spacing w:after="0" w:afterAutospacing="0" w:line="240" w:lineRule="auto"/>
              <w:ind w:firstLine="0"/>
            </w:pPr>
            <w:r>
              <w:t>xiaomi</w:t>
            </w:r>
          </w:p>
        </w:tc>
        <w:tc>
          <w:tcPr>
            <w:tcW w:w="8076" w:type="dxa"/>
          </w:tcPr>
          <w:p w14:paraId="59D3645D" w14:textId="77777777" w:rsidR="00335DBF" w:rsidRDefault="00335DBF" w:rsidP="00335DBF">
            <w:pPr>
              <w:pStyle w:val="0Maintext"/>
              <w:spacing w:after="0" w:afterAutospacing="0" w:line="240" w:lineRule="auto"/>
              <w:ind w:firstLine="0"/>
            </w:pPr>
            <w:r>
              <w:t>We support option2.</w:t>
            </w:r>
          </w:p>
          <w:p w14:paraId="1DBE3035" w14:textId="77777777" w:rsidR="00335DBF" w:rsidRDefault="00335DBF" w:rsidP="00335DBF">
            <w:pPr>
              <w:pStyle w:val="0Maintext"/>
              <w:spacing w:after="0" w:afterAutospacing="0" w:line="240" w:lineRule="auto"/>
              <w:ind w:firstLine="0"/>
            </w:pPr>
            <w:r>
              <w:t xml:space="preserve">We share the similar view with apple, the complexity of blind detecting increases for option1 and option3 to determine which RB sets are used to transmission. </w:t>
            </w:r>
          </w:p>
        </w:tc>
      </w:tr>
      <w:tr w:rsidR="00335DBF" w14:paraId="2BB0132D" w14:textId="77777777" w:rsidTr="006B2419">
        <w:tc>
          <w:tcPr>
            <w:tcW w:w="1555" w:type="dxa"/>
          </w:tcPr>
          <w:p w14:paraId="1A8F8463" w14:textId="77777777" w:rsidR="00335DBF" w:rsidRDefault="00335DBF" w:rsidP="00335DBF">
            <w:pPr>
              <w:pStyle w:val="0Maintext"/>
              <w:spacing w:after="0" w:afterAutospacing="0" w:line="240" w:lineRule="auto"/>
              <w:ind w:firstLine="0"/>
            </w:pPr>
            <w:r>
              <w:rPr>
                <w:rFonts w:eastAsiaTheme="minorEastAsia" w:hint="eastAsia"/>
                <w:lang w:eastAsia="zh-CN"/>
              </w:rPr>
              <w:t>C</w:t>
            </w:r>
            <w:r>
              <w:rPr>
                <w:rFonts w:eastAsiaTheme="minorEastAsia"/>
                <w:lang w:eastAsia="zh-CN"/>
              </w:rPr>
              <w:t>ATT/GH</w:t>
            </w:r>
          </w:p>
        </w:tc>
        <w:tc>
          <w:tcPr>
            <w:tcW w:w="8076" w:type="dxa"/>
          </w:tcPr>
          <w:p w14:paraId="0ED68204" w14:textId="77777777" w:rsidR="00335DBF" w:rsidRDefault="00335DBF" w:rsidP="00335DBF">
            <w:pPr>
              <w:pStyle w:val="0Maintext"/>
              <w:spacing w:after="0" w:afterAutospacing="0" w:line="240" w:lineRule="auto"/>
              <w:ind w:firstLine="0"/>
              <w:rPr>
                <w:rFonts w:eastAsiaTheme="minorEastAsia"/>
                <w:lang w:eastAsia="zh-CN"/>
              </w:rPr>
            </w:pPr>
            <w:r>
              <w:rPr>
                <w:rFonts w:eastAsiaTheme="minorEastAsia" w:hint="eastAsia"/>
                <w:lang w:eastAsia="zh-CN"/>
              </w:rPr>
              <w:t>W</w:t>
            </w:r>
            <w:r>
              <w:rPr>
                <w:rFonts w:eastAsiaTheme="minorEastAsia"/>
                <w:lang w:eastAsia="zh-CN"/>
              </w:rPr>
              <w:t>e support Option 3.</w:t>
            </w:r>
          </w:p>
          <w:p w14:paraId="564681D5" w14:textId="77777777" w:rsidR="00335DBF" w:rsidRDefault="00335DBF" w:rsidP="00335DBF">
            <w:pPr>
              <w:pStyle w:val="0Maintext"/>
              <w:spacing w:after="0" w:afterAutospacing="0" w:line="240" w:lineRule="auto"/>
              <w:ind w:firstLine="0"/>
              <w:rPr>
                <w:rFonts w:eastAsiaTheme="minorEastAsia"/>
                <w:lang w:eastAsia="zh-CN"/>
              </w:rPr>
            </w:pPr>
            <w:r>
              <w:rPr>
                <w:rFonts w:eastAsiaTheme="minorEastAsia"/>
                <w:lang w:eastAsia="zh-CN"/>
              </w:rPr>
              <w:t>For PSCCH/PSSCH, NR-U UL channel access procedure is supported since these transmissions can only be performed when LBT is successful in all sub-band. For PSFCH, NR-U DL channel access procedures are preferred since PSFCH can be transmitted in the sub-band that channel access procedures are successful.</w:t>
            </w:r>
          </w:p>
          <w:p w14:paraId="69EFB2ED" w14:textId="77777777" w:rsidR="00335DBF" w:rsidRDefault="00335DBF" w:rsidP="00335DBF">
            <w:pPr>
              <w:pStyle w:val="0Maintext"/>
              <w:spacing w:after="0" w:afterAutospacing="0" w:line="240" w:lineRule="auto"/>
              <w:ind w:firstLine="0"/>
            </w:pPr>
            <w:r>
              <w:rPr>
                <w:rFonts w:eastAsiaTheme="minorEastAsia"/>
                <w:lang w:eastAsia="zh-CN"/>
              </w:rPr>
              <w:t>We can also accept leaving the condition of using option 1 and/or option 2 as FFS.</w:t>
            </w:r>
          </w:p>
        </w:tc>
      </w:tr>
      <w:tr w:rsidR="00335DBF" w14:paraId="5632C23B" w14:textId="77777777" w:rsidTr="006B2419">
        <w:tc>
          <w:tcPr>
            <w:tcW w:w="1555" w:type="dxa"/>
          </w:tcPr>
          <w:p w14:paraId="1CDC8077" w14:textId="77777777" w:rsidR="00335DBF" w:rsidRDefault="00335DBF" w:rsidP="00335DBF">
            <w:pPr>
              <w:pStyle w:val="0Maintext"/>
              <w:spacing w:after="0" w:afterAutospacing="0" w:line="240" w:lineRule="auto"/>
              <w:ind w:firstLine="0"/>
              <w:rPr>
                <w:rFonts w:eastAsiaTheme="minorEastAsia"/>
                <w:lang w:eastAsia="zh-CN"/>
              </w:rPr>
            </w:pPr>
            <w:r>
              <w:rPr>
                <w:rFonts w:eastAsiaTheme="minorEastAsia" w:hint="eastAsia"/>
                <w:lang w:eastAsia="zh-CN"/>
              </w:rPr>
              <w:t>ZTE,Sanechips</w:t>
            </w:r>
          </w:p>
        </w:tc>
        <w:tc>
          <w:tcPr>
            <w:tcW w:w="8076" w:type="dxa"/>
          </w:tcPr>
          <w:p w14:paraId="523903E9" w14:textId="77777777" w:rsidR="00335DBF" w:rsidRDefault="00335DBF" w:rsidP="00335DBF">
            <w:pPr>
              <w:pStyle w:val="0Maintext"/>
              <w:spacing w:after="0" w:afterAutospacing="0" w:line="240" w:lineRule="auto"/>
              <w:ind w:firstLine="0"/>
              <w:rPr>
                <w:rFonts w:eastAsiaTheme="minorEastAsia"/>
                <w:lang w:eastAsia="zh-CN"/>
              </w:rPr>
            </w:pPr>
            <w:r>
              <w:rPr>
                <w:rFonts w:eastAsiaTheme="minorEastAsia" w:hint="eastAsia"/>
                <w:lang w:eastAsia="zh-CN"/>
              </w:rPr>
              <w:t>For PSFCH transmission, in case the LBT operation succeeds in any channel, the feedback can be provided. Thus the DL channel access procedure is more suitable.</w:t>
            </w:r>
          </w:p>
          <w:p w14:paraId="7057E1B3" w14:textId="77777777" w:rsidR="00335DBF" w:rsidRDefault="00335DBF" w:rsidP="00335DBF">
            <w:pPr>
              <w:pStyle w:val="0Maintext"/>
              <w:spacing w:after="0" w:afterAutospacing="0" w:line="240" w:lineRule="auto"/>
              <w:ind w:firstLine="0"/>
              <w:rPr>
                <w:rFonts w:eastAsiaTheme="minorEastAsia"/>
                <w:lang w:eastAsia="zh-CN"/>
              </w:rPr>
            </w:pPr>
            <w:r>
              <w:rPr>
                <w:rFonts w:eastAsiaTheme="minorEastAsia" w:hint="eastAsia"/>
                <w:lang w:eastAsia="zh-CN"/>
              </w:rPr>
              <w:t>For PSSCH/PSCCH, transmitting on part of the channels may end up not delivering the whole TB and meaningless, thus the UL channel access procedure (all or nothing) may be more suitable under some circumstances.</w:t>
            </w:r>
          </w:p>
          <w:p w14:paraId="767A8AFB" w14:textId="77777777" w:rsidR="00335DBF" w:rsidRDefault="00335DBF" w:rsidP="00335DBF">
            <w:pPr>
              <w:pStyle w:val="0Maintext"/>
              <w:spacing w:after="0" w:afterAutospacing="0" w:line="240" w:lineRule="auto"/>
              <w:ind w:firstLine="0"/>
              <w:rPr>
                <w:rFonts w:eastAsiaTheme="minorEastAsia"/>
                <w:lang w:eastAsia="zh-CN"/>
              </w:rPr>
            </w:pPr>
            <w:r>
              <w:rPr>
                <w:rFonts w:eastAsiaTheme="minorEastAsia" w:hint="eastAsia"/>
                <w:lang w:eastAsia="zh-CN"/>
              </w:rPr>
              <w:t>It's preferred to adopt Option 3.</w:t>
            </w:r>
          </w:p>
        </w:tc>
      </w:tr>
      <w:tr w:rsidR="00335DBF" w14:paraId="78E3A220" w14:textId="77777777" w:rsidTr="006B2419">
        <w:tc>
          <w:tcPr>
            <w:tcW w:w="1555" w:type="dxa"/>
          </w:tcPr>
          <w:p w14:paraId="745245CB" w14:textId="77777777" w:rsidR="00335DBF" w:rsidRDefault="00335DBF" w:rsidP="00335DBF">
            <w:pPr>
              <w:pStyle w:val="0Maintext"/>
              <w:spacing w:after="0" w:afterAutospacing="0" w:line="240" w:lineRule="auto"/>
              <w:ind w:firstLine="0"/>
              <w:rPr>
                <w:rFonts w:eastAsia="MS Mincho"/>
                <w:lang w:eastAsia="ja-JP"/>
              </w:rPr>
            </w:pPr>
            <w:r>
              <w:rPr>
                <w:rFonts w:eastAsiaTheme="minorEastAsia" w:hint="eastAsia"/>
                <w:lang w:eastAsia="zh-CN"/>
              </w:rPr>
              <w:t>Sharp</w:t>
            </w:r>
          </w:p>
        </w:tc>
        <w:tc>
          <w:tcPr>
            <w:tcW w:w="8076" w:type="dxa"/>
          </w:tcPr>
          <w:p w14:paraId="134C8053" w14:textId="77777777" w:rsidR="00335DBF" w:rsidRDefault="00335DBF" w:rsidP="00335DBF">
            <w:pPr>
              <w:pStyle w:val="0Maintext"/>
              <w:spacing w:after="0" w:afterAutospacing="0" w:line="240" w:lineRule="auto"/>
              <w:ind w:firstLine="0"/>
              <w:rPr>
                <w:rFonts w:eastAsia="MS Mincho"/>
                <w:lang w:eastAsia="ja-JP"/>
              </w:rPr>
            </w:pPr>
            <w:r>
              <w:rPr>
                <w:rFonts w:eastAsiaTheme="minorEastAsia"/>
                <w:lang w:eastAsia="zh-CN"/>
              </w:rPr>
              <w:t>W</w:t>
            </w:r>
            <w:r>
              <w:rPr>
                <w:rFonts w:eastAsiaTheme="minorEastAsia" w:hint="eastAsia"/>
                <w:lang w:eastAsia="zh-CN"/>
              </w:rPr>
              <w:t>e support Option 3.</w:t>
            </w:r>
          </w:p>
        </w:tc>
      </w:tr>
      <w:tr w:rsidR="00335DBF" w14:paraId="6B53D312" w14:textId="77777777" w:rsidTr="006B2419">
        <w:tc>
          <w:tcPr>
            <w:tcW w:w="1555" w:type="dxa"/>
          </w:tcPr>
          <w:p w14:paraId="4FCFABBF" w14:textId="77777777" w:rsidR="00335DBF" w:rsidRDefault="00335DBF" w:rsidP="00335DBF">
            <w:pPr>
              <w:pStyle w:val="0Maintext"/>
              <w:spacing w:after="0" w:afterAutospacing="0" w:line="240" w:lineRule="auto"/>
              <w:ind w:firstLine="0"/>
              <w:rPr>
                <w:rFonts w:eastAsiaTheme="minorEastAsia"/>
                <w:lang w:eastAsia="zh-CN"/>
              </w:rPr>
            </w:pPr>
            <w:r>
              <w:rPr>
                <w:rFonts w:eastAsia="SimSun" w:hint="eastAsia"/>
                <w:lang w:val="en-US" w:eastAsia="zh-CN"/>
              </w:rPr>
              <w:t>Transsion</w:t>
            </w:r>
          </w:p>
        </w:tc>
        <w:tc>
          <w:tcPr>
            <w:tcW w:w="8076" w:type="dxa"/>
          </w:tcPr>
          <w:p w14:paraId="6CFC9D9E" w14:textId="77777777" w:rsidR="00335DBF" w:rsidRDefault="00335DBF" w:rsidP="00335DBF">
            <w:pPr>
              <w:pStyle w:val="0Maintext"/>
              <w:spacing w:after="0" w:afterAutospacing="0" w:line="240" w:lineRule="auto"/>
              <w:ind w:firstLine="0"/>
              <w:rPr>
                <w:rFonts w:eastAsia="SimSun"/>
                <w:lang w:val="en-US" w:eastAsia="zh-CN"/>
              </w:rPr>
            </w:pPr>
            <w:r>
              <w:rPr>
                <w:rFonts w:eastAsia="SimSun" w:hint="eastAsia"/>
                <w:lang w:val="en-US" w:eastAsia="zh-CN"/>
              </w:rPr>
              <w:t xml:space="preserve">We support option 3. </w:t>
            </w:r>
          </w:p>
          <w:p w14:paraId="3237B16F" w14:textId="77777777" w:rsidR="00335DBF" w:rsidRDefault="00335DBF" w:rsidP="00335DBF">
            <w:pPr>
              <w:pStyle w:val="0Maintext"/>
              <w:spacing w:after="0" w:afterAutospacing="0" w:line="240" w:lineRule="auto"/>
              <w:ind w:firstLine="0"/>
              <w:rPr>
                <w:rFonts w:eastAsia="SimSun"/>
                <w:lang w:val="en-US" w:eastAsia="zh-CN"/>
              </w:rPr>
            </w:pPr>
            <w:r>
              <w:rPr>
                <w:rFonts w:eastAsia="SimSun" w:hint="eastAsia"/>
                <w:lang w:val="en-US" w:eastAsia="zh-CN"/>
              </w:rPr>
              <w:t xml:space="preserve">Because </w:t>
            </w:r>
            <w:r>
              <w:rPr>
                <w:rFonts w:hint="eastAsia"/>
                <w:lang w:val="en-US" w:eastAsia="zh-CN"/>
              </w:rPr>
              <w:t>different multi-channel access procedures may apply for different signals/channels.</w:t>
            </w:r>
          </w:p>
          <w:p w14:paraId="1D9EACB1" w14:textId="77777777" w:rsidR="00335DBF" w:rsidRDefault="00335DBF" w:rsidP="00335DBF">
            <w:pPr>
              <w:pStyle w:val="0Maintext"/>
              <w:spacing w:after="0" w:afterAutospacing="0" w:line="240" w:lineRule="auto"/>
              <w:ind w:firstLine="0"/>
              <w:rPr>
                <w:rFonts w:eastAsiaTheme="minorEastAsia"/>
                <w:lang w:eastAsia="zh-CN"/>
              </w:rPr>
            </w:pPr>
            <w:r>
              <w:rPr>
                <w:rFonts w:hint="eastAsia"/>
                <w:lang w:val="en-US" w:eastAsia="zh-CN"/>
              </w:rPr>
              <w:t xml:space="preserve">The </w:t>
            </w:r>
            <w:r>
              <w:rPr>
                <w:rFonts w:eastAsia="SimSun"/>
                <w:lang w:eastAsia="zh-CN"/>
              </w:rPr>
              <w:t>DL multi</w:t>
            </w:r>
            <w:r>
              <w:rPr>
                <w:rFonts w:eastAsia="SimSun" w:hint="eastAsia"/>
                <w:lang w:val="en-US" w:eastAsia="zh-CN"/>
              </w:rPr>
              <w:t>-</w:t>
            </w:r>
            <w:r>
              <w:rPr>
                <w:rFonts w:eastAsia="SimSun"/>
                <w:lang w:eastAsia="zh-CN"/>
              </w:rPr>
              <w:t>channel access</w:t>
            </w:r>
            <w:r>
              <w:rPr>
                <w:rFonts w:eastAsia="SimSun" w:hint="eastAsia"/>
                <w:lang w:val="en-US" w:eastAsia="zh-CN"/>
              </w:rPr>
              <w:t xml:space="preserve"> procedure</w:t>
            </w:r>
            <w:r>
              <w:rPr>
                <w:rFonts w:eastAsia="SimSun"/>
                <w:lang w:eastAsia="zh-CN"/>
              </w:rPr>
              <w:t xml:space="preserve"> </w:t>
            </w:r>
            <w:r>
              <w:rPr>
                <w:rFonts w:hint="eastAsia"/>
                <w:lang w:val="en-US" w:eastAsia="zh-CN"/>
              </w:rPr>
              <w:t xml:space="preserve">can be </w:t>
            </w:r>
            <w:r>
              <w:rPr>
                <w:rFonts w:eastAsia="SimSun" w:hint="eastAsia"/>
                <w:lang w:val="en-US" w:eastAsia="zh-CN"/>
              </w:rPr>
              <w:t>appl</w:t>
            </w:r>
            <w:r>
              <w:rPr>
                <w:rFonts w:hint="eastAsia"/>
                <w:lang w:val="en-US" w:eastAsia="zh-CN"/>
              </w:rPr>
              <w:t>ied</w:t>
            </w:r>
            <w:r>
              <w:rPr>
                <w:rFonts w:eastAsia="SimSun" w:hint="eastAsia"/>
                <w:lang w:val="en-US" w:eastAsia="zh-CN"/>
              </w:rPr>
              <w:t xml:space="preserve"> to</w:t>
            </w:r>
            <w:r>
              <w:rPr>
                <w:rFonts w:eastAsia="SimSun"/>
                <w:lang w:eastAsia="zh-CN"/>
              </w:rPr>
              <w:t xml:space="preserve"> PSFCH</w:t>
            </w:r>
            <w:r>
              <w:rPr>
                <w:rFonts w:eastAsia="SimSun" w:hint="eastAsia"/>
                <w:lang w:val="en-US" w:eastAsia="zh-CN"/>
              </w:rPr>
              <w:t>,</w:t>
            </w:r>
            <w:r>
              <w:rPr>
                <w:rFonts w:eastAsia="SimSun"/>
                <w:lang w:eastAsia="zh-CN"/>
              </w:rPr>
              <w:t xml:space="preserve"> which can perform LBT independently if </w:t>
            </w:r>
            <w:r>
              <w:rPr>
                <w:rFonts w:eastAsia="SimSun" w:hint="eastAsia"/>
                <w:lang w:val="en-US" w:eastAsia="zh-CN"/>
              </w:rPr>
              <w:t>each</w:t>
            </w:r>
            <w:r>
              <w:rPr>
                <w:rFonts w:eastAsia="SimSun"/>
                <w:lang w:eastAsia="zh-CN"/>
              </w:rPr>
              <w:t xml:space="preserve"> PSFCH is within a RB set. While for PSCCH/PSSCH, UL multi</w:t>
            </w:r>
            <w:r>
              <w:rPr>
                <w:rFonts w:eastAsia="SimSun" w:hint="eastAsia"/>
                <w:lang w:val="en-US" w:eastAsia="zh-CN"/>
              </w:rPr>
              <w:t>-</w:t>
            </w:r>
            <w:r>
              <w:rPr>
                <w:rFonts w:eastAsia="SimSun"/>
                <w:lang w:eastAsia="zh-CN"/>
              </w:rPr>
              <w:t>channel access</w:t>
            </w:r>
            <w:r>
              <w:rPr>
                <w:rFonts w:eastAsia="SimSun" w:hint="eastAsia"/>
                <w:lang w:val="en-US" w:eastAsia="zh-CN"/>
              </w:rPr>
              <w:t xml:space="preserve"> procedure</w:t>
            </w:r>
            <w:r>
              <w:rPr>
                <w:rFonts w:eastAsia="SimSun"/>
                <w:lang w:eastAsia="zh-CN"/>
              </w:rPr>
              <w:t xml:space="preserve"> should be </w:t>
            </w:r>
            <w:r>
              <w:rPr>
                <w:rFonts w:eastAsia="SimSun" w:hint="eastAsia"/>
                <w:lang w:val="en-US" w:eastAsia="zh-CN"/>
              </w:rPr>
              <w:t>used</w:t>
            </w:r>
            <w:r>
              <w:rPr>
                <w:rFonts w:eastAsia="SimSun"/>
                <w:lang w:eastAsia="zh-CN"/>
              </w:rPr>
              <w:t xml:space="preserve">, </w:t>
            </w:r>
            <w:r>
              <w:rPr>
                <w:rFonts w:eastAsia="SimSun" w:hint="eastAsia"/>
                <w:lang w:val="en-US" w:eastAsia="zh-CN"/>
              </w:rPr>
              <w:t>because</w:t>
            </w:r>
            <w:r>
              <w:rPr>
                <w:rFonts w:eastAsia="SimSun"/>
                <w:lang w:eastAsia="zh-CN"/>
              </w:rPr>
              <w:t xml:space="preserve"> only one PSCCH/PSSCH can be transmitted </w:t>
            </w:r>
            <w:r>
              <w:rPr>
                <w:rFonts w:eastAsia="SimSun" w:hint="eastAsia"/>
                <w:lang w:val="en-US" w:eastAsia="zh-CN"/>
              </w:rPr>
              <w:t xml:space="preserve">at the same </w:t>
            </w:r>
            <w:r>
              <w:rPr>
                <w:rFonts w:eastAsia="SimSun" w:hint="eastAsia"/>
                <w:lang w:val="en-US" w:eastAsia="zh-CN"/>
              </w:rPr>
              <w:lastRenderedPageBreak/>
              <w:t>time</w:t>
            </w:r>
            <w:r>
              <w:rPr>
                <w:rFonts w:eastAsia="SimSun"/>
                <w:lang w:eastAsia="zh-CN"/>
              </w:rPr>
              <w:t xml:space="preserve">. </w:t>
            </w:r>
            <w:r>
              <w:rPr>
                <w:rFonts w:eastAsia="SimSun" w:hint="eastAsia"/>
                <w:lang w:eastAsia="zh-CN"/>
              </w:rPr>
              <w:t xml:space="preserve">If the PSCCH/PSSCH spans multiple RB sets, PSCCH/PSSCH transmission is possible only if LBT is successful on all RB sets, otherwise it cannot be transmitted. </w:t>
            </w:r>
            <w:r>
              <w:rPr>
                <w:rFonts w:hint="eastAsia"/>
                <w:lang w:val="en-US" w:eastAsia="zh-CN"/>
              </w:rPr>
              <w:t xml:space="preserve"> </w:t>
            </w:r>
          </w:p>
        </w:tc>
      </w:tr>
      <w:tr w:rsidR="00335DBF" w14:paraId="05699FA5" w14:textId="77777777" w:rsidTr="006B2419">
        <w:tc>
          <w:tcPr>
            <w:tcW w:w="1555" w:type="dxa"/>
          </w:tcPr>
          <w:p w14:paraId="09D55267" w14:textId="77777777" w:rsidR="00335DBF" w:rsidRDefault="00335DBF" w:rsidP="00335DBF">
            <w:pPr>
              <w:pStyle w:val="0Maintext"/>
              <w:spacing w:after="0" w:afterAutospacing="0" w:line="240" w:lineRule="auto"/>
              <w:ind w:firstLine="0"/>
              <w:rPr>
                <w:rFonts w:eastAsia="SimSun"/>
                <w:lang w:val="en-US" w:eastAsia="zh-CN"/>
              </w:rPr>
            </w:pPr>
            <w:r>
              <w:lastRenderedPageBreak/>
              <w:t>Ericsson</w:t>
            </w:r>
          </w:p>
        </w:tc>
        <w:tc>
          <w:tcPr>
            <w:tcW w:w="8076" w:type="dxa"/>
          </w:tcPr>
          <w:p w14:paraId="57C6EC71" w14:textId="77777777" w:rsidR="00335DBF" w:rsidRDefault="00335DBF" w:rsidP="00335DBF">
            <w:pPr>
              <w:pStyle w:val="0Maintext"/>
              <w:spacing w:after="0" w:afterAutospacing="0" w:line="240" w:lineRule="auto"/>
              <w:ind w:firstLine="0"/>
              <w:rPr>
                <w:rFonts w:eastAsia="SimSun"/>
                <w:lang w:val="en-US" w:eastAsia="zh-CN"/>
              </w:rPr>
            </w:pPr>
            <w:r>
              <w:t>We are supportive of Option 1.</w:t>
            </w:r>
          </w:p>
        </w:tc>
      </w:tr>
      <w:tr w:rsidR="00335DBF" w14:paraId="3266CC71" w14:textId="77777777" w:rsidTr="006B2419">
        <w:tc>
          <w:tcPr>
            <w:tcW w:w="1555" w:type="dxa"/>
          </w:tcPr>
          <w:p w14:paraId="401E2255" w14:textId="77777777" w:rsidR="00335DBF" w:rsidRDefault="00335DBF" w:rsidP="00335DBF">
            <w:pPr>
              <w:pStyle w:val="0Maintext"/>
              <w:spacing w:after="0" w:afterAutospacing="0" w:line="240" w:lineRule="auto"/>
              <w:ind w:firstLine="0"/>
            </w:pPr>
            <w:r>
              <w:rPr>
                <w:rFonts w:hint="eastAsia"/>
              </w:rPr>
              <w:t>I</w:t>
            </w:r>
            <w:r>
              <w:t>TL</w:t>
            </w:r>
          </w:p>
        </w:tc>
        <w:tc>
          <w:tcPr>
            <w:tcW w:w="8076" w:type="dxa"/>
          </w:tcPr>
          <w:p w14:paraId="5F17E2DB" w14:textId="77777777" w:rsidR="00335DBF" w:rsidRDefault="00335DBF" w:rsidP="00335DBF">
            <w:pPr>
              <w:pStyle w:val="0Maintext"/>
              <w:spacing w:after="0" w:afterAutospacing="0" w:line="240" w:lineRule="auto"/>
              <w:ind w:firstLine="0"/>
            </w:pPr>
            <w:r>
              <w:rPr>
                <w:rFonts w:eastAsiaTheme="minorEastAsia" w:hint="eastAsia"/>
                <w:lang w:eastAsia="zh-CN"/>
              </w:rPr>
              <w:t>W</w:t>
            </w:r>
            <w:r>
              <w:rPr>
                <w:rFonts w:eastAsiaTheme="minorEastAsia"/>
                <w:lang w:eastAsia="zh-CN"/>
              </w:rPr>
              <w:t>e support Option 3.</w:t>
            </w:r>
          </w:p>
        </w:tc>
      </w:tr>
      <w:tr w:rsidR="00335DBF" w14:paraId="4D7E39A7" w14:textId="77777777" w:rsidTr="006B2419">
        <w:tc>
          <w:tcPr>
            <w:tcW w:w="1555" w:type="dxa"/>
          </w:tcPr>
          <w:p w14:paraId="2CBDDF92" w14:textId="77777777" w:rsidR="00335DBF" w:rsidRDefault="00335DBF" w:rsidP="00335DBF">
            <w:pPr>
              <w:pStyle w:val="0Maintext"/>
              <w:spacing w:after="0" w:afterAutospacing="0" w:line="240" w:lineRule="auto"/>
              <w:ind w:firstLine="0"/>
            </w:pPr>
            <w:r>
              <w:rPr>
                <w:rFonts w:eastAsiaTheme="minorEastAsia"/>
                <w:lang w:eastAsia="zh-CN"/>
              </w:rPr>
              <w:t>MediaTek</w:t>
            </w:r>
          </w:p>
        </w:tc>
        <w:tc>
          <w:tcPr>
            <w:tcW w:w="8076" w:type="dxa"/>
          </w:tcPr>
          <w:p w14:paraId="0B36B9B0" w14:textId="77777777" w:rsidR="00335DBF" w:rsidRDefault="00335DBF" w:rsidP="00335DBF">
            <w:pPr>
              <w:pStyle w:val="0Maintext"/>
              <w:spacing w:after="0" w:afterAutospacing="0" w:line="240" w:lineRule="auto"/>
              <w:ind w:firstLine="0"/>
              <w:rPr>
                <w:rFonts w:eastAsiaTheme="minorEastAsia"/>
                <w:lang w:eastAsia="zh-CN"/>
              </w:rPr>
            </w:pPr>
            <w:r>
              <w:rPr>
                <w:rFonts w:eastAsiaTheme="minorEastAsia"/>
                <w:lang w:eastAsia="zh-CN"/>
              </w:rPr>
              <w:t>We are fine with the FL proposal and support Option 3.</w:t>
            </w:r>
          </w:p>
        </w:tc>
      </w:tr>
      <w:tr w:rsidR="00335DBF" w14:paraId="1FDBBDBA" w14:textId="77777777" w:rsidTr="006B2419">
        <w:tc>
          <w:tcPr>
            <w:tcW w:w="1555" w:type="dxa"/>
          </w:tcPr>
          <w:p w14:paraId="7E7695A7" w14:textId="77777777" w:rsidR="00335DBF" w:rsidRDefault="00335DBF" w:rsidP="00335DBF">
            <w:pPr>
              <w:pStyle w:val="0Maintext"/>
              <w:spacing w:after="0" w:afterAutospacing="0" w:line="240" w:lineRule="auto"/>
              <w:ind w:firstLine="0"/>
              <w:rPr>
                <w:rFonts w:eastAsiaTheme="minorEastAsia"/>
                <w:lang w:eastAsia="zh-CN"/>
              </w:rPr>
            </w:pPr>
            <w:r>
              <w:rPr>
                <w:rFonts w:eastAsiaTheme="minorEastAsia"/>
                <w:lang w:eastAsia="zh-CN"/>
              </w:rPr>
              <w:t>JHUAPL</w:t>
            </w:r>
          </w:p>
        </w:tc>
        <w:tc>
          <w:tcPr>
            <w:tcW w:w="8076" w:type="dxa"/>
          </w:tcPr>
          <w:p w14:paraId="26582DA4" w14:textId="77777777" w:rsidR="00335DBF" w:rsidRDefault="00335DBF" w:rsidP="00335DBF">
            <w:pPr>
              <w:pStyle w:val="0Maintext"/>
              <w:spacing w:after="0" w:afterAutospacing="0" w:line="240" w:lineRule="auto"/>
              <w:ind w:firstLine="0"/>
              <w:rPr>
                <w:rFonts w:eastAsiaTheme="minorEastAsia"/>
                <w:lang w:eastAsia="zh-CN"/>
              </w:rPr>
            </w:pPr>
            <w:r>
              <w:rPr>
                <w:rFonts w:eastAsiaTheme="minorEastAsia"/>
                <w:lang w:val="en-US" w:eastAsia="zh-CN"/>
              </w:rPr>
              <w:t>Option 3 is preferred; we do not support Option 2. In addition, support work on the NR-U semi-static channel access as per the FFS at the RAN1#109-e meeting.</w:t>
            </w:r>
          </w:p>
        </w:tc>
      </w:tr>
      <w:tr w:rsidR="00335DBF" w14:paraId="1994C241" w14:textId="77777777" w:rsidTr="006B2419">
        <w:tc>
          <w:tcPr>
            <w:tcW w:w="1555" w:type="dxa"/>
          </w:tcPr>
          <w:p w14:paraId="4C0A578B" w14:textId="77777777" w:rsidR="00335DBF" w:rsidRDefault="00335DBF" w:rsidP="00335DBF">
            <w:pPr>
              <w:pStyle w:val="0Maintext"/>
              <w:spacing w:after="0" w:afterAutospacing="0" w:line="240" w:lineRule="auto"/>
              <w:ind w:firstLine="0"/>
              <w:rPr>
                <w:rFonts w:eastAsiaTheme="minorEastAsia"/>
                <w:lang w:eastAsia="zh-CN"/>
              </w:rPr>
            </w:pPr>
            <w:r>
              <w:rPr>
                <w:rFonts w:eastAsiaTheme="minorEastAsia"/>
                <w:lang w:eastAsia="zh-CN"/>
              </w:rPr>
              <w:t>Lenovo</w:t>
            </w:r>
          </w:p>
        </w:tc>
        <w:tc>
          <w:tcPr>
            <w:tcW w:w="8076" w:type="dxa"/>
          </w:tcPr>
          <w:p w14:paraId="43CD5A92" w14:textId="77777777" w:rsidR="00335DBF" w:rsidRDefault="00335DBF" w:rsidP="00335DBF">
            <w:pPr>
              <w:pStyle w:val="0Maintext"/>
              <w:spacing w:after="0" w:afterAutospacing="0" w:line="240" w:lineRule="auto"/>
              <w:ind w:firstLine="0"/>
              <w:rPr>
                <w:rFonts w:eastAsiaTheme="minorEastAsia"/>
                <w:lang w:val="en-US" w:eastAsia="zh-CN"/>
              </w:rPr>
            </w:pPr>
            <w:r>
              <w:rPr>
                <w:rFonts w:eastAsiaTheme="minorEastAsia"/>
                <w:lang w:val="en-US" w:eastAsia="zh-CN"/>
              </w:rPr>
              <w:t>It seems that what most companies desire from Option 1 is to be able to do partial transmissions in case some LBT sub-bands fail their CCA. We think this would only be an attractive option if the UE intends to transmit different TBs, however in our understanding this would first of all require a TX UE to do such multi-TB transmissions, we think that it is not supported in SL so far. Under specific conditions, we can consider allowing the partial transmission, however this would need to be an integral part of the agreement and not captured as an FFS point. We could agree to support at least Option 1, and further consider partial transmissions and their conditions:</w:t>
            </w:r>
          </w:p>
          <w:p w14:paraId="38185C2B" w14:textId="77777777" w:rsidR="00335DBF" w:rsidRDefault="00335DBF" w:rsidP="00335DBF">
            <w:pPr>
              <w:pStyle w:val="0Maintext"/>
              <w:spacing w:after="0" w:afterAutospacing="0" w:line="240" w:lineRule="auto"/>
              <w:ind w:firstLine="0"/>
              <w:rPr>
                <w:rFonts w:eastAsiaTheme="minorEastAsia"/>
                <w:lang w:val="en-US" w:eastAsia="zh-CN"/>
              </w:rPr>
            </w:pPr>
            <w:r w:rsidRPr="003C1AD1">
              <w:rPr>
                <w:rFonts w:ascii="Calibri" w:hAnsi="Calibri" w:cs="Calibri" w:hint="eastAsia"/>
                <w:sz w:val="22"/>
                <w:lang w:val="en-US" w:eastAsia="x-none"/>
              </w:rPr>
              <w:t>For multiple channel access in SL-U,</w:t>
            </w:r>
            <w:r w:rsidRPr="003C1AD1">
              <w:rPr>
                <w:rFonts w:ascii="Calibri" w:hAnsi="Calibri" w:cs="Calibri"/>
                <w:sz w:val="22"/>
                <w:lang w:val="en-US" w:eastAsia="x-none"/>
              </w:rPr>
              <w:t xml:space="preserve"> at least </w:t>
            </w:r>
            <w:r w:rsidRPr="003C1AD1">
              <w:rPr>
                <w:rFonts w:ascii="Calibri" w:hAnsi="Calibri" w:cs="Calibri" w:hint="eastAsia"/>
                <w:sz w:val="22"/>
                <w:lang w:val="en-US" w:eastAsia="x-none"/>
              </w:rPr>
              <w:t>NR-U UL channel access procedure is supported</w:t>
            </w:r>
            <w:r w:rsidRPr="00E40DC9">
              <w:rPr>
                <w:rFonts w:ascii="Calibri" w:hAnsi="Calibri" w:cs="Calibri"/>
                <w:sz w:val="22"/>
                <w:lang w:val="en-US" w:eastAsia="x-none"/>
              </w:rPr>
              <w:t>.</w:t>
            </w:r>
            <w:r>
              <w:rPr>
                <w:rFonts w:ascii="Calibri" w:hAnsi="Calibri" w:cs="Calibri"/>
                <w:sz w:val="22"/>
                <w:lang w:val="en-US" w:eastAsia="x-none"/>
              </w:rPr>
              <w:t xml:space="preserve"> </w:t>
            </w:r>
            <w:r w:rsidRPr="003C1AD1">
              <w:rPr>
                <w:rFonts w:ascii="Calibri" w:hAnsi="Calibri" w:cs="Calibri" w:hint="eastAsia"/>
                <w:sz w:val="22"/>
                <w:lang w:val="en-AU" w:eastAsia="x-none"/>
              </w:rPr>
              <w:t xml:space="preserve">FFS any enhancement </w:t>
            </w:r>
            <w:r>
              <w:rPr>
                <w:rFonts w:ascii="Calibri" w:hAnsi="Calibri" w:cs="Calibri"/>
                <w:sz w:val="22"/>
                <w:lang w:val="en-AU" w:eastAsia="x-none"/>
              </w:rPr>
              <w:t>for allowing partial transmissions in case CCA fails for some of the LBT sub-bands.</w:t>
            </w:r>
          </w:p>
        </w:tc>
      </w:tr>
    </w:tbl>
    <w:tbl>
      <w:tblPr>
        <w:tblStyle w:val="TableGrid5"/>
        <w:tblW w:w="9631" w:type="dxa"/>
        <w:tblLayout w:type="fixed"/>
        <w:tblLook w:val="04A0" w:firstRow="1" w:lastRow="0" w:firstColumn="1" w:lastColumn="0" w:noHBand="0" w:noVBand="1"/>
      </w:tblPr>
      <w:tblGrid>
        <w:gridCol w:w="1555"/>
        <w:gridCol w:w="8076"/>
      </w:tblGrid>
      <w:tr w:rsidR="00335DBF" w14:paraId="1E981E2E" w14:textId="77777777" w:rsidTr="006B2419">
        <w:tc>
          <w:tcPr>
            <w:tcW w:w="1555" w:type="dxa"/>
          </w:tcPr>
          <w:p w14:paraId="7AECE8EA" w14:textId="77777777" w:rsidR="00335DBF" w:rsidRDefault="00335DBF" w:rsidP="00335DBF">
            <w:pPr>
              <w:pStyle w:val="0Maintext"/>
              <w:spacing w:after="0" w:afterAutospacing="0" w:line="240" w:lineRule="auto"/>
              <w:ind w:firstLine="0"/>
            </w:pPr>
            <w:r>
              <w:t>Futurewei</w:t>
            </w:r>
          </w:p>
        </w:tc>
        <w:tc>
          <w:tcPr>
            <w:tcW w:w="8076" w:type="dxa"/>
          </w:tcPr>
          <w:p w14:paraId="6DB046C6" w14:textId="77777777" w:rsidR="00335DBF" w:rsidRDefault="00335DBF" w:rsidP="00335DBF">
            <w:pPr>
              <w:pStyle w:val="0Maintext"/>
              <w:spacing w:after="0" w:afterAutospacing="0" w:line="240" w:lineRule="auto"/>
              <w:ind w:firstLine="0"/>
            </w:pPr>
            <w:r>
              <w:t>Option 1 seems more efficient for resource utilization. However, it should be applied in the same spirit as in TS 37.213 i.e. in the presence of guard-band in the BWP, otherwise, if such GB are not presence the behaviour will be similar to NR-U UL, i.e. all or nothing.</w:t>
            </w:r>
          </w:p>
        </w:tc>
      </w:tr>
      <w:tr w:rsidR="00335DBF" w14:paraId="05F5A31C" w14:textId="77777777" w:rsidTr="006B2419">
        <w:tc>
          <w:tcPr>
            <w:tcW w:w="1555" w:type="dxa"/>
          </w:tcPr>
          <w:p w14:paraId="4CCA951D" w14:textId="77777777" w:rsidR="00335DBF" w:rsidRDefault="00335DBF" w:rsidP="00335DBF">
            <w:pPr>
              <w:pStyle w:val="0Maintext"/>
              <w:spacing w:after="0" w:afterAutospacing="0" w:line="240" w:lineRule="auto"/>
              <w:ind w:firstLine="0"/>
            </w:pPr>
            <w:r>
              <w:t>NSC</w:t>
            </w:r>
          </w:p>
        </w:tc>
        <w:tc>
          <w:tcPr>
            <w:tcW w:w="8076" w:type="dxa"/>
          </w:tcPr>
          <w:p w14:paraId="12C7618A" w14:textId="77777777" w:rsidR="00335DBF" w:rsidRDefault="00335DBF" w:rsidP="00335DBF">
            <w:pPr>
              <w:pStyle w:val="0Maintext"/>
              <w:spacing w:after="0" w:afterAutospacing="0" w:line="240" w:lineRule="auto"/>
              <w:ind w:firstLine="0"/>
            </w:pPr>
            <w:r>
              <w:t>Support Option 3</w:t>
            </w:r>
          </w:p>
        </w:tc>
      </w:tr>
      <w:tr w:rsidR="00C87B7A" w14:paraId="60833627" w14:textId="77777777" w:rsidTr="00C87B7A">
        <w:tc>
          <w:tcPr>
            <w:tcW w:w="1555" w:type="dxa"/>
          </w:tcPr>
          <w:p w14:paraId="4E91632E" w14:textId="77777777" w:rsidR="00C87B7A" w:rsidRDefault="00C87B7A" w:rsidP="006B2419">
            <w:pPr>
              <w:pStyle w:val="0Maintext"/>
              <w:spacing w:after="0" w:afterAutospacing="0"/>
              <w:ind w:firstLine="0"/>
            </w:pPr>
            <w:r w:rsidRPr="00C64910">
              <w:rPr>
                <w:rFonts w:eastAsiaTheme="minorEastAsia" w:cs="Times New Roman"/>
                <w:lang w:eastAsia="zh-CN"/>
              </w:rPr>
              <w:t>Huawei, HiSilicon</w:t>
            </w:r>
          </w:p>
        </w:tc>
        <w:tc>
          <w:tcPr>
            <w:tcW w:w="8076" w:type="dxa"/>
          </w:tcPr>
          <w:p w14:paraId="3A96CDD4" w14:textId="77777777" w:rsidR="00C87B7A" w:rsidRPr="00230B21" w:rsidRDefault="00C87B7A" w:rsidP="006B2419">
            <w:pPr>
              <w:autoSpaceDE w:val="0"/>
              <w:autoSpaceDN w:val="0"/>
              <w:jc w:val="both"/>
              <w:rPr>
                <w:rFonts w:ascii="Times New Roman" w:eastAsiaTheme="minorEastAsia" w:hAnsi="Times New Roman"/>
                <w:szCs w:val="20"/>
                <w:lang w:eastAsia="zh-CN"/>
              </w:rPr>
            </w:pPr>
            <w:r w:rsidRPr="00C64910">
              <w:rPr>
                <w:rFonts w:ascii="Times New Roman" w:eastAsiaTheme="minorEastAsia" w:hAnsi="Times New Roman"/>
                <w:szCs w:val="20"/>
                <w:lang w:eastAsia="zh-CN"/>
              </w:rPr>
              <w:t xml:space="preserve">We support </w:t>
            </w:r>
            <w:r>
              <w:rPr>
                <w:rFonts w:ascii="Times New Roman" w:eastAsiaTheme="minorEastAsia" w:hAnsi="Times New Roman"/>
                <w:szCs w:val="20"/>
                <w:lang w:eastAsia="zh-CN"/>
              </w:rPr>
              <w:t>Option2</w:t>
            </w:r>
            <w:r w:rsidRPr="00C64910">
              <w:rPr>
                <w:rFonts w:ascii="Times New Roman" w:eastAsiaTheme="minorEastAsia" w:hAnsi="Times New Roman"/>
                <w:szCs w:val="20"/>
                <w:lang w:eastAsia="zh-CN"/>
              </w:rPr>
              <w:t>.</w:t>
            </w:r>
            <w:r>
              <w:rPr>
                <w:rFonts w:ascii="Times New Roman" w:eastAsiaTheme="minorEastAsia" w:hAnsi="Times New Roman"/>
                <w:szCs w:val="20"/>
                <w:lang w:eastAsia="zh-CN"/>
              </w:rPr>
              <w:t xml:space="preserve"> The UE in Sidelink is the same as UE in NR-U, thus reuse directly is enough.</w:t>
            </w:r>
          </w:p>
          <w:p w14:paraId="466309FE" w14:textId="77777777" w:rsidR="00C87B7A" w:rsidRDefault="00C87B7A" w:rsidP="006B2419">
            <w:pPr>
              <w:pStyle w:val="0Maintext"/>
              <w:spacing w:after="0" w:afterAutospacing="0"/>
              <w:ind w:firstLine="0"/>
            </w:pPr>
          </w:p>
        </w:tc>
      </w:tr>
    </w:tbl>
    <w:p w14:paraId="09A35D57" w14:textId="77777777" w:rsidR="00EC21DD" w:rsidRPr="00C87B7A" w:rsidRDefault="00EC21DD" w:rsidP="00957C70">
      <w:pPr>
        <w:autoSpaceDE w:val="0"/>
        <w:autoSpaceDN w:val="0"/>
        <w:jc w:val="both"/>
        <w:rPr>
          <w:rFonts w:ascii="Calibri" w:hAnsi="Calibri" w:cs="Calibri"/>
          <w:sz w:val="22"/>
          <w:lang w:eastAsia="x-none"/>
        </w:rPr>
      </w:pPr>
    </w:p>
    <w:p w14:paraId="0EE02FB5" w14:textId="33704F8B" w:rsidR="00957C70" w:rsidRDefault="00957C70" w:rsidP="00957C70">
      <w:pPr>
        <w:pStyle w:val="Heading3"/>
      </w:pPr>
      <w:r>
        <w:t xml:space="preserve">FL Proposal for round </w:t>
      </w:r>
      <w:r w:rsidR="00EC21DD">
        <w:t>2</w:t>
      </w:r>
      <w:r>
        <w:t xml:space="preserve"> </w:t>
      </w:r>
      <w:r w:rsidR="00EC21DD">
        <w:t>discussion</w:t>
      </w:r>
    </w:p>
    <w:p w14:paraId="676B08AC" w14:textId="60B14CBB" w:rsidR="003E3D41" w:rsidRPr="00D567B9" w:rsidRDefault="003E3D41" w:rsidP="003E3D41">
      <w:pPr>
        <w:autoSpaceDE w:val="0"/>
        <w:autoSpaceDN w:val="0"/>
        <w:spacing w:before="120" w:after="120"/>
        <w:jc w:val="both"/>
        <w:rPr>
          <w:rFonts w:ascii="Calibri" w:hAnsi="Calibri" w:cs="Calibri"/>
          <w:sz w:val="22"/>
          <w:u w:val="single"/>
        </w:rPr>
      </w:pPr>
      <w:r w:rsidRPr="00D567B9">
        <w:rPr>
          <w:rFonts w:ascii="Calibri" w:hAnsi="Calibri" w:cs="Calibri"/>
          <w:sz w:val="22"/>
          <w:u w:val="single"/>
        </w:rPr>
        <w:t xml:space="preserve">FL </w:t>
      </w:r>
      <w:r>
        <w:rPr>
          <w:rFonts w:ascii="Calibri" w:hAnsi="Calibri" w:cs="Calibri"/>
          <w:sz w:val="22"/>
          <w:u w:val="single"/>
        </w:rPr>
        <w:t>responses</w:t>
      </w:r>
      <w:r w:rsidRPr="00D567B9">
        <w:rPr>
          <w:rFonts w:ascii="Calibri" w:hAnsi="Calibri" w:cs="Calibri"/>
          <w:sz w:val="22"/>
          <w:u w:val="single"/>
        </w:rPr>
        <w:t xml:space="preserve"> based on </w:t>
      </w:r>
      <w:r>
        <w:rPr>
          <w:rFonts w:ascii="Calibri" w:hAnsi="Calibri" w:cs="Calibri"/>
          <w:sz w:val="22"/>
          <w:u w:val="single"/>
        </w:rPr>
        <w:t>Round 1 inputs on Proposal 6 (I)</w:t>
      </w:r>
      <w:r w:rsidRPr="00D567B9">
        <w:rPr>
          <w:rFonts w:ascii="Calibri" w:hAnsi="Calibri" w:cs="Calibri"/>
          <w:sz w:val="22"/>
          <w:u w:val="single"/>
        </w:rPr>
        <w:t>:</w:t>
      </w:r>
    </w:p>
    <w:p w14:paraId="10388E05" w14:textId="1F4BCA0F" w:rsidR="003E3D41" w:rsidRDefault="003E3D41" w:rsidP="003E3D41">
      <w:pPr>
        <w:pStyle w:val="ListParagraph"/>
        <w:numPr>
          <w:ilvl w:val="0"/>
          <w:numId w:val="18"/>
        </w:numPr>
        <w:autoSpaceDE w:val="0"/>
        <w:autoSpaceDN w:val="0"/>
        <w:spacing w:before="120"/>
        <w:ind w:leftChars="0"/>
        <w:jc w:val="both"/>
        <w:rPr>
          <w:rFonts w:ascii="Calibri" w:hAnsi="Calibri" w:cs="Calibri"/>
          <w:sz w:val="22"/>
        </w:rPr>
      </w:pPr>
      <w:r>
        <w:rPr>
          <w:rFonts w:ascii="Calibri" w:hAnsi="Calibri" w:cs="Calibri"/>
          <w:sz w:val="22"/>
        </w:rPr>
        <w:t>Option 1: vivo</w:t>
      </w:r>
      <w:r w:rsidR="00AF4E92">
        <w:rPr>
          <w:rFonts w:ascii="Calibri" w:hAnsi="Calibri" w:cs="Calibri"/>
          <w:sz w:val="22"/>
        </w:rPr>
        <w:t>, Ericsson, Lenovo, Futurewei</w:t>
      </w:r>
    </w:p>
    <w:p w14:paraId="646747FA" w14:textId="54AFDC0B" w:rsidR="003E3D41" w:rsidRDefault="003E3D41" w:rsidP="003E3D41">
      <w:pPr>
        <w:pStyle w:val="ListParagraph"/>
        <w:numPr>
          <w:ilvl w:val="0"/>
          <w:numId w:val="18"/>
        </w:numPr>
        <w:autoSpaceDE w:val="0"/>
        <w:autoSpaceDN w:val="0"/>
        <w:spacing w:before="120"/>
        <w:ind w:leftChars="0"/>
        <w:jc w:val="both"/>
        <w:rPr>
          <w:rFonts w:ascii="Calibri" w:hAnsi="Calibri" w:cs="Calibri"/>
          <w:sz w:val="22"/>
        </w:rPr>
      </w:pPr>
      <w:r>
        <w:rPr>
          <w:rFonts w:ascii="Calibri" w:hAnsi="Calibri" w:cs="Calibri"/>
          <w:sz w:val="22"/>
        </w:rPr>
        <w:t xml:space="preserve">Option 2: Intel, Apple, CableLabs, Spreadtrum, Panasonic, </w:t>
      </w:r>
      <w:r w:rsidR="00AF4E92">
        <w:rPr>
          <w:rFonts w:ascii="Calibri" w:hAnsi="Calibri" w:cs="Calibri"/>
          <w:sz w:val="22"/>
        </w:rPr>
        <w:t>NEC, xiaomi, HW/HiSi</w:t>
      </w:r>
    </w:p>
    <w:p w14:paraId="78EB19E7" w14:textId="6F794441" w:rsidR="003E3D41" w:rsidRDefault="003E3D41" w:rsidP="003E3D41">
      <w:pPr>
        <w:pStyle w:val="ListParagraph"/>
        <w:numPr>
          <w:ilvl w:val="0"/>
          <w:numId w:val="18"/>
        </w:numPr>
        <w:autoSpaceDE w:val="0"/>
        <w:autoSpaceDN w:val="0"/>
        <w:spacing w:before="120"/>
        <w:ind w:leftChars="0"/>
        <w:jc w:val="both"/>
        <w:rPr>
          <w:rFonts w:ascii="Calibri" w:hAnsi="Calibri" w:cs="Calibri"/>
          <w:sz w:val="22"/>
        </w:rPr>
      </w:pPr>
      <w:r>
        <w:rPr>
          <w:rFonts w:ascii="Calibri" w:hAnsi="Calibri" w:cs="Calibri"/>
          <w:sz w:val="22"/>
        </w:rPr>
        <w:t xml:space="preserve">Option 3: IDCC, Qualcomm, OPPO, LGE, CMCC, Nokia/NSB, </w:t>
      </w:r>
      <w:r w:rsidR="00AF4E92">
        <w:rPr>
          <w:rFonts w:ascii="Calibri" w:hAnsi="Calibri" w:cs="Calibri"/>
          <w:sz w:val="22"/>
        </w:rPr>
        <w:t xml:space="preserve">WILUS, CATT/GH, ZTE/SC, Sharp, Transsion, ITL, MediaTek, </w:t>
      </w:r>
      <w:r w:rsidR="00AF4E92" w:rsidRPr="00AF4E92">
        <w:rPr>
          <w:rFonts w:ascii="Calibri" w:hAnsi="Calibri" w:cs="Calibri"/>
          <w:sz w:val="22"/>
        </w:rPr>
        <w:t>JHUAPL</w:t>
      </w:r>
      <w:r w:rsidR="00AF4E92">
        <w:rPr>
          <w:rFonts w:ascii="Calibri" w:hAnsi="Calibri" w:cs="Calibri"/>
          <w:sz w:val="22"/>
        </w:rPr>
        <w:t>, NSC</w:t>
      </w:r>
    </w:p>
    <w:p w14:paraId="2665F16A" w14:textId="1F03A9F4" w:rsidR="00FD61C8" w:rsidRPr="00196B86" w:rsidRDefault="00516882" w:rsidP="00196B86">
      <w:pPr>
        <w:pStyle w:val="ListParagraph"/>
        <w:numPr>
          <w:ilvl w:val="0"/>
          <w:numId w:val="18"/>
        </w:numPr>
        <w:autoSpaceDE w:val="0"/>
        <w:autoSpaceDN w:val="0"/>
        <w:spacing w:before="120"/>
        <w:ind w:leftChars="0"/>
        <w:jc w:val="both"/>
        <w:rPr>
          <w:rFonts w:ascii="Calibri" w:hAnsi="Calibri" w:cs="Calibri"/>
          <w:sz w:val="22"/>
        </w:rPr>
      </w:pPr>
      <w:r>
        <w:rPr>
          <w:rFonts w:ascii="Calibri" w:hAnsi="Calibri" w:cs="Calibri"/>
          <w:sz w:val="22"/>
        </w:rPr>
        <w:t xml:space="preserve">From the inputs, there is a clear majority to take Option 3 (support both DL and UL multi-channel procedures) for SL-U. It is also observed that the intended use and target channel for using the DL or UL procedures are different among the companies. My </w:t>
      </w:r>
      <w:r w:rsidR="00196B86">
        <w:rPr>
          <w:rFonts w:ascii="Calibri" w:hAnsi="Calibri" w:cs="Calibri"/>
          <w:sz w:val="22"/>
        </w:rPr>
        <w:t>proposal is to include an FFS point on this.</w:t>
      </w:r>
    </w:p>
    <w:p w14:paraId="6EBCBB76" w14:textId="5970839E" w:rsidR="003E3D41" w:rsidRDefault="003E3D41" w:rsidP="00FD61C8">
      <w:pPr>
        <w:autoSpaceDE w:val="0"/>
        <w:autoSpaceDN w:val="0"/>
        <w:spacing w:after="120"/>
        <w:jc w:val="both"/>
        <w:rPr>
          <w:rFonts w:ascii="Calibri" w:hAnsi="Calibri" w:cs="Calibri"/>
          <w:sz w:val="22"/>
        </w:rPr>
      </w:pPr>
    </w:p>
    <w:p w14:paraId="6E4FAF57" w14:textId="1897ACC3" w:rsidR="003E3D41" w:rsidRPr="00C65E36" w:rsidRDefault="003E3D41" w:rsidP="003E3D41">
      <w:pPr>
        <w:autoSpaceDE w:val="0"/>
        <w:autoSpaceDN w:val="0"/>
        <w:spacing w:before="120"/>
        <w:jc w:val="both"/>
        <w:rPr>
          <w:rFonts w:ascii="Calibri" w:hAnsi="Calibri" w:cs="Calibri"/>
          <w:sz w:val="22"/>
        </w:rPr>
      </w:pPr>
      <w:r w:rsidRPr="00650E3B">
        <w:rPr>
          <w:rFonts w:ascii="Calibri" w:hAnsi="Calibri" w:cs="Calibri"/>
          <w:b/>
          <w:bCs/>
          <w:sz w:val="22"/>
        </w:rPr>
        <w:t>Proposal 6 (II):</w:t>
      </w:r>
    </w:p>
    <w:p w14:paraId="02069E29" w14:textId="5C48BD26" w:rsidR="003E3D41" w:rsidRPr="00957C70" w:rsidRDefault="003E3D41" w:rsidP="003E3D41">
      <w:pPr>
        <w:numPr>
          <w:ilvl w:val="0"/>
          <w:numId w:val="26"/>
        </w:numPr>
        <w:autoSpaceDE w:val="0"/>
        <w:autoSpaceDN w:val="0"/>
        <w:spacing w:after="60"/>
        <w:jc w:val="both"/>
        <w:rPr>
          <w:rFonts w:ascii="Calibri" w:hAnsi="Calibri" w:cs="Calibri"/>
          <w:sz w:val="22"/>
          <w:lang w:val="en-US" w:eastAsia="x-none"/>
        </w:rPr>
      </w:pPr>
      <w:r w:rsidRPr="00957C70">
        <w:rPr>
          <w:rFonts w:ascii="Calibri" w:hAnsi="Calibri" w:cs="Calibri" w:hint="eastAsia"/>
          <w:sz w:val="22"/>
          <w:lang w:val="en-US" w:eastAsia="x-none"/>
        </w:rPr>
        <w:t xml:space="preserve">For </w:t>
      </w:r>
      <w:r w:rsidR="00AF4E92" w:rsidRPr="00AF4E92">
        <w:rPr>
          <w:rFonts w:ascii="Calibri" w:hAnsi="Calibri" w:cs="Calibri"/>
          <w:color w:val="FF0000"/>
          <w:sz w:val="22"/>
          <w:lang w:val="en-US" w:eastAsia="x-none"/>
        </w:rPr>
        <w:t>dynamic mode</w:t>
      </w:r>
      <w:r w:rsidR="00AF4E92">
        <w:rPr>
          <w:rFonts w:ascii="Calibri" w:hAnsi="Calibri" w:cs="Calibri"/>
          <w:sz w:val="22"/>
          <w:lang w:val="en-US" w:eastAsia="x-none"/>
        </w:rPr>
        <w:t xml:space="preserve"> </w:t>
      </w:r>
      <w:r w:rsidRPr="00957C70">
        <w:rPr>
          <w:rFonts w:ascii="Calibri" w:hAnsi="Calibri" w:cs="Calibri" w:hint="eastAsia"/>
          <w:sz w:val="22"/>
          <w:lang w:val="en-US" w:eastAsia="x-none"/>
        </w:rPr>
        <w:t>multiple channel access in SL-U</w:t>
      </w:r>
      <w:r w:rsidRPr="00AF4E92">
        <w:rPr>
          <w:rFonts w:ascii="Calibri" w:hAnsi="Calibri" w:cs="Calibri" w:hint="eastAsia"/>
          <w:color w:val="FF0000"/>
          <w:sz w:val="22"/>
          <w:lang w:val="en-US" w:eastAsia="x-none"/>
        </w:rPr>
        <w:t>,</w:t>
      </w:r>
      <w:r w:rsidR="00AF4E92" w:rsidRPr="00AF4E92">
        <w:rPr>
          <w:rFonts w:ascii="Calibri" w:hAnsi="Calibri" w:cs="Calibri"/>
          <w:color w:val="FF0000"/>
          <w:sz w:val="22"/>
          <w:lang w:val="en-US" w:eastAsia="x-none"/>
        </w:rPr>
        <w:t xml:space="preserve"> the followings are supported for SL-U</w:t>
      </w:r>
    </w:p>
    <w:p w14:paraId="52EE409E" w14:textId="77777777" w:rsidR="003E3D41" w:rsidRPr="00957C70" w:rsidRDefault="003E3D41" w:rsidP="003E3D41">
      <w:pPr>
        <w:numPr>
          <w:ilvl w:val="1"/>
          <w:numId w:val="26"/>
        </w:numPr>
        <w:autoSpaceDE w:val="0"/>
        <w:autoSpaceDN w:val="0"/>
        <w:spacing w:after="60"/>
        <w:jc w:val="both"/>
        <w:rPr>
          <w:rFonts w:ascii="Calibri" w:hAnsi="Calibri" w:cs="Calibri"/>
          <w:sz w:val="22"/>
          <w:lang w:val="en-US" w:eastAsia="x-none"/>
        </w:rPr>
      </w:pPr>
      <w:r w:rsidRPr="00AF4E92">
        <w:rPr>
          <w:rFonts w:ascii="Calibri" w:hAnsi="Calibri" w:cs="Calibri" w:hint="eastAsia"/>
          <w:strike/>
          <w:color w:val="FF0000"/>
          <w:sz w:val="22"/>
          <w:lang w:val="en-US" w:eastAsia="x-none"/>
        </w:rPr>
        <w:t>Option 1:</w:t>
      </w:r>
      <w:r w:rsidRPr="00AF4E92">
        <w:rPr>
          <w:rFonts w:ascii="Calibri" w:hAnsi="Calibri" w:cs="Calibri" w:hint="eastAsia"/>
          <w:color w:val="FF0000"/>
          <w:sz w:val="22"/>
          <w:lang w:val="en-US" w:eastAsia="x-none"/>
        </w:rPr>
        <w:t xml:space="preserve"> </w:t>
      </w:r>
      <w:r w:rsidRPr="00957C70">
        <w:rPr>
          <w:rFonts w:ascii="Calibri" w:hAnsi="Calibri" w:cs="Calibri" w:hint="eastAsia"/>
          <w:sz w:val="22"/>
          <w:lang w:val="en-US" w:eastAsia="x-none"/>
        </w:rPr>
        <w:t xml:space="preserve">NR-U DL (Type A and Type B) channel access procedures </w:t>
      </w:r>
      <w:r w:rsidRPr="00AF4E92">
        <w:rPr>
          <w:rFonts w:ascii="Calibri" w:hAnsi="Calibri" w:cs="Calibri" w:hint="eastAsia"/>
          <w:strike/>
          <w:color w:val="FF0000"/>
          <w:sz w:val="22"/>
          <w:lang w:val="en-US" w:eastAsia="x-none"/>
        </w:rPr>
        <w:t>are supported for SL-U</w:t>
      </w:r>
    </w:p>
    <w:p w14:paraId="1931D04F" w14:textId="77777777" w:rsidR="003E3D41" w:rsidRPr="00957C70" w:rsidRDefault="003E3D41" w:rsidP="003E3D41">
      <w:pPr>
        <w:numPr>
          <w:ilvl w:val="1"/>
          <w:numId w:val="26"/>
        </w:numPr>
        <w:autoSpaceDE w:val="0"/>
        <w:autoSpaceDN w:val="0"/>
        <w:spacing w:after="60"/>
        <w:jc w:val="both"/>
        <w:rPr>
          <w:rFonts w:ascii="Calibri" w:hAnsi="Calibri" w:cs="Calibri"/>
          <w:sz w:val="22"/>
          <w:lang w:val="en-US" w:eastAsia="x-none"/>
        </w:rPr>
      </w:pPr>
      <w:r w:rsidRPr="00AF4E92">
        <w:rPr>
          <w:rFonts w:ascii="Calibri" w:hAnsi="Calibri" w:cs="Calibri" w:hint="eastAsia"/>
          <w:strike/>
          <w:color w:val="FF0000"/>
          <w:sz w:val="22"/>
          <w:lang w:val="en-US" w:eastAsia="x-none"/>
        </w:rPr>
        <w:t>Option 2:</w:t>
      </w:r>
      <w:r w:rsidRPr="00AF4E92">
        <w:rPr>
          <w:rFonts w:ascii="Calibri" w:hAnsi="Calibri" w:cs="Calibri" w:hint="eastAsia"/>
          <w:color w:val="FF0000"/>
          <w:sz w:val="22"/>
          <w:lang w:val="en-US" w:eastAsia="x-none"/>
        </w:rPr>
        <w:t xml:space="preserve"> </w:t>
      </w:r>
      <w:r w:rsidRPr="00957C70">
        <w:rPr>
          <w:rFonts w:ascii="Calibri" w:hAnsi="Calibri" w:cs="Calibri" w:hint="eastAsia"/>
          <w:sz w:val="22"/>
          <w:lang w:val="en-US" w:eastAsia="x-none"/>
        </w:rPr>
        <w:t xml:space="preserve">NR-U UL channel access procedure </w:t>
      </w:r>
      <w:r w:rsidRPr="00AF4E92">
        <w:rPr>
          <w:rFonts w:ascii="Calibri" w:hAnsi="Calibri" w:cs="Calibri" w:hint="eastAsia"/>
          <w:strike/>
          <w:color w:val="FF0000"/>
          <w:sz w:val="22"/>
          <w:lang w:val="en-US" w:eastAsia="x-none"/>
        </w:rPr>
        <w:t>is supported for SL-U</w:t>
      </w:r>
    </w:p>
    <w:p w14:paraId="27112830" w14:textId="77777777" w:rsidR="003E3D41" w:rsidRPr="00AF4E92" w:rsidRDefault="003E3D41" w:rsidP="003E3D41">
      <w:pPr>
        <w:numPr>
          <w:ilvl w:val="1"/>
          <w:numId w:val="26"/>
        </w:numPr>
        <w:autoSpaceDE w:val="0"/>
        <w:autoSpaceDN w:val="0"/>
        <w:spacing w:after="60"/>
        <w:jc w:val="both"/>
        <w:rPr>
          <w:rFonts w:ascii="Calibri" w:hAnsi="Calibri" w:cs="Calibri"/>
          <w:strike/>
          <w:color w:val="FF0000"/>
          <w:sz w:val="22"/>
          <w:lang w:val="en-US" w:eastAsia="x-none"/>
        </w:rPr>
      </w:pPr>
      <w:r w:rsidRPr="00AF4E92">
        <w:rPr>
          <w:rFonts w:ascii="Calibri" w:hAnsi="Calibri" w:cs="Calibri" w:hint="eastAsia"/>
          <w:strike/>
          <w:color w:val="FF0000"/>
          <w:sz w:val="22"/>
          <w:lang w:val="en-US" w:eastAsia="x-none"/>
        </w:rPr>
        <w:t xml:space="preserve">Option 3: Option 1 </w:t>
      </w:r>
      <w:r w:rsidRPr="00AF4E92">
        <w:rPr>
          <w:rFonts w:ascii="Calibri" w:hAnsi="Calibri" w:cs="Calibri"/>
          <w:strike/>
          <w:color w:val="FF0000"/>
          <w:sz w:val="22"/>
          <w:lang w:val="en-US" w:eastAsia="x-none"/>
        </w:rPr>
        <w:t>+</w:t>
      </w:r>
      <w:r w:rsidRPr="00AF4E92">
        <w:rPr>
          <w:rFonts w:ascii="Calibri" w:hAnsi="Calibri" w:cs="Calibri" w:hint="eastAsia"/>
          <w:strike/>
          <w:color w:val="FF0000"/>
          <w:sz w:val="22"/>
          <w:lang w:val="en-US" w:eastAsia="x-none"/>
        </w:rPr>
        <w:t xml:space="preserve"> Option 2</w:t>
      </w:r>
    </w:p>
    <w:p w14:paraId="583F89D6" w14:textId="75282606" w:rsidR="003E3D41" w:rsidRPr="00AF4E92" w:rsidRDefault="003E3D41" w:rsidP="003E3D41">
      <w:pPr>
        <w:numPr>
          <w:ilvl w:val="1"/>
          <w:numId w:val="26"/>
        </w:numPr>
        <w:autoSpaceDE w:val="0"/>
        <w:autoSpaceDN w:val="0"/>
        <w:spacing w:after="120"/>
        <w:jc w:val="both"/>
        <w:rPr>
          <w:rFonts w:ascii="Calibri" w:hAnsi="Calibri" w:cs="Calibri"/>
          <w:sz w:val="22"/>
          <w:lang w:val="en-US" w:eastAsia="x-none"/>
        </w:rPr>
      </w:pPr>
      <w:r w:rsidRPr="00957C70">
        <w:rPr>
          <w:rFonts w:ascii="Calibri" w:hAnsi="Calibri" w:cs="Calibri" w:hint="eastAsia"/>
          <w:sz w:val="22"/>
          <w:lang w:val="en-AU" w:eastAsia="x-none"/>
        </w:rPr>
        <w:t>FFS any necessary enhancement and modification for SL-U operation</w:t>
      </w:r>
    </w:p>
    <w:p w14:paraId="2047AB3E" w14:textId="4B59171C" w:rsidR="00AF4E92" w:rsidRPr="00516882" w:rsidRDefault="00AF4E92" w:rsidP="003E3D41">
      <w:pPr>
        <w:numPr>
          <w:ilvl w:val="1"/>
          <w:numId w:val="26"/>
        </w:numPr>
        <w:autoSpaceDE w:val="0"/>
        <w:autoSpaceDN w:val="0"/>
        <w:spacing w:after="120"/>
        <w:jc w:val="both"/>
        <w:rPr>
          <w:rFonts w:ascii="Calibri" w:hAnsi="Calibri" w:cs="Calibri"/>
          <w:color w:val="FF0000"/>
          <w:sz w:val="22"/>
          <w:lang w:val="en-US" w:eastAsia="x-none"/>
        </w:rPr>
      </w:pPr>
      <w:r w:rsidRPr="00516882">
        <w:rPr>
          <w:rFonts w:ascii="Calibri" w:hAnsi="Calibri" w:cs="Calibri"/>
          <w:color w:val="FF0000"/>
          <w:sz w:val="22"/>
          <w:lang w:val="en-AU" w:eastAsia="x-none"/>
        </w:rPr>
        <w:t xml:space="preserve">FFS applicable SL transmission/channel type(s) </w:t>
      </w:r>
      <w:r w:rsidR="00717A4C" w:rsidRPr="00516882">
        <w:rPr>
          <w:rFonts w:ascii="Calibri" w:hAnsi="Calibri" w:cs="Calibri"/>
          <w:color w:val="FF0000"/>
          <w:sz w:val="22"/>
          <w:lang w:val="en-AU" w:eastAsia="x-none"/>
        </w:rPr>
        <w:t xml:space="preserve">and scenario(s) for using the NR-U DL and UL </w:t>
      </w:r>
      <w:r w:rsidR="00717A4C" w:rsidRPr="00516882">
        <w:rPr>
          <w:rFonts w:ascii="Calibri" w:hAnsi="Calibri" w:cs="Calibri" w:hint="eastAsia"/>
          <w:color w:val="FF0000"/>
          <w:sz w:val="22"/>
          <w:lang w:val="en-US" w:eastAsia="x-none"/>
        </w:rPr>
        <w:t>channel access procedures</w:t>
      </w:r>
    </w:p>
    <w:p w14:paraId="4C763803" w14:textId="528A6762" w:rsidR="003E3D41" w:rsidRDefault="003E3D41" w:rsidP="00FD61C8">
      <w:pPr>
        <w:autoSpaceDE w:val="0"/>
        <w:autoSpaceDN w:val="0"/>
        <w:spacing w:after="120"/>
        <w:jc w:val="both"/>
        <w:rPr>
          <w:rFonts w:ascii="Calibri" w:hAnsi="Calibri" w:cs="Calibri"/>
          <w:sz w:val="22"/>
          <w:lang w:val="en-US"/>
        </w:rPr>
      </w:pPr>
    </w:p>
    <w:tbl>
      <w:tblPr>
        <w:tblStyle w:val="TableGrid"/>
        <w:tblW w:w="9631" w:type="dxa"/>
        <w:tblLayout w:type="fixed"/>
        <w:tblLook w:val="04A0" w:firstRow="1" w:lastRow="0" w:firstColumn="1" w:lastColumn="0" w:noHBand="0" w:noVBand="1"/>
      </w:tblPr>
      <w:tblGrid>
        <w:gridCol w:w="1555"/>
        <w:gridCol w:w="8076"/>
      </w:tblGrid>
      <w:tr w:rsidR="003E3D41" w14:paraId="1DD9F588" w14:textId="77777777" w:rsidTr="006B2419">
        <w:tc>
          <w:tcPr>
            <w:tcW w:w="1555" w:type="dxa"/>
          </w:tcPr>
          <w:p w14:paraId="5F0AF1A7" w14:textId="77777777" w:rsidR="003E3D41" w:rsidRDefault="003E3D41" w:rsidP="006B2419">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8076" w:type="dxa"/>
          </w:tcPr>
          <w:p w14:paraId="41E58988" w14:textId="77777777" w:rsidR="003E3D41" w:rsidRDefault="003E3D41" w:rsidP="006B2419">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3E3D41" w14:paraId="0BECA7D7" w14:textId="77777777" w:rsidTr="006B2419">
        <w:tc>
          <w:tcPr>
            <w:tcW w:w="1555" w:type="dxa"/>
          </w:tcPr>
          <w:p w14:paraId="4DAD350D" w14:textId="2FD2CDDA" w:rsidR="003E3D41" w:rsidRDefault="00EF45DB" w:rsidP="006B2419">
            <w:pPr>
              <w:pStyle w:val="0Maintext"/>
              <w:spacing w:after="0" w:afterAutospacing="0"/>
              <w:ind w:firstLine="0"/>
            </w:pPr>
            <w:r>
              <w:t>Qualcomm</w:t>
            </w:r>
          </w:p>
        </w:tc>
        <w:tc>
          <w:tcPr>
            <w:tcW w:w="8076" w:type="dxa"/>
          </w:tcPr>
          <w:p w14:paraId="08D91AFA" w14:textId="76C283F3" w:rsidR="003E3D41" w:rsidRDefault="00EF45DB" w:rsidP="006B2419">
            <w:pPr>
              <w:pStyle w:val="0Maintext"/>
              <w:spacing w:after="0" w:afterAutospacing="0"/>
              <w:ind w:firstLine="0"/>
            </w:pPr>
            <w:r>
              <w:t xml:space="preserve">We </w:t>
            </w:r>
            <w:r w:rsidR="008A11B8">
              <w:t>agree to</w:t>
            </w:r>
            <w:r>
              <w:t xml:space="preserve"> the FL proposal.</w:t>
            </w:r>
          </w:p>
        </w:tc>
      </w:tr>
      <w:tr w:rsidR="00961C87" w14:paraId="4A73E84F" w14:textId="77777777" w:rsidTr="006B2419">
        <w:tc>
          <w:tcPr>
            <w:tcW w:w="1555" w:type="dxa"/>
          </w:tcPr>
          <w:p w14:paraId="10EF8D5E" w14:textId="79065C9C" w:rsidR="00961C87" w:rsidRDefault="00961C87" w:rsidP="00961C87">
            <w:pPr>
              <w:pStyle w:val="0Maintext"/>
              <w:spacing w:after="0" w:afterAutospacing="0"/>
              <w:ind w:firstLine="0"/>
            </w:pPr>
            <w:r>
              <w:rPr>
                <w:rFonts w:hint="eastAsia"/>
                <w:lang w:eastAsia="ko-KR"/>
              </w:rPr>
              <w:t>LGE</w:t>
            </w:r>
          </w:p>
        </w:tc>
        <w:tc>
          <w:tcPr>
            <w:tcW w:w="8076" w:type="dxa"/>
          </w:tcPr>
          <w:p w14:paraId="041BB2BB" w14:textId="77777777" w:rsidR="00961C87" w:rsidRDefault="00961C87" w:rsidP="00961C87">
            <w:pPr>
              <w:pStyle w:val="0Maintext"/>
              <w:spacing w:after="0" w:afterAutospacing="0"/>
              <w:ind w:firstLine="0"/>
              <w:rPr>
                <w:lang w:eastAsia="ko-KR"/>
              </w:rPr>
            </w:pPr>
            <w:r>
              <w:rPr>
                <w:rFonts w:hint="eastAsia"/>
                <w:lang w:eastAsia="ko-KR"/>
              </w:rPr>
              <w:t>In our understanding, the multiple channel access procedure targets to simplify L</w:t>
            </w:r>
            <w:r>
              <w:rPr>
                <w:lang w:eastAsia="ko-KR"/>
              </w:rPr>
              <w:t xml:space="preserve">BT procedure when the device is originally intended to perform Type 1 channel access procedure for all the RB sets. </w:t>
            </w:r>
          </w:p>
          <w:p w14:paraId="35A45A92" w14:textId="77777777" w:rsidR="00961C87" w:rsidRDefault="00961C87" w:rsidP="00961C87">
            <w:pPr>
              <w:pStyle w:val="0Maintext"/>
              <w:spacing w:after="0" w:afterAutospacing="0"/>
              <w:ind w:firstLine="0"/>
              <w:rPr>
                <w:lang w:eastAsia="ko-KR"/>
              </w:rPr>
            </w:pPr>
            <w:r>
              <w:rPr>
                <w:lang w:eastAsia="ko-KR"/>
              </w:rPr>
              <w:t xml:space="preserve">In this case, what happened if Type 1 channel accesses procedure is not supported for PSFCH? In this situation, we may not need to consider DL multi-channel access procedure. In another aspects, </w:t>
            </w:r>
            <w:r>
              <w:rPr>
                <w:lang w:eastAsia="ko-KR"/>
              </w:rPr>
              <w:lastRenderedPageBreak/>
              <w:t xml:space="preserve">there is a possibility that CAPC value for PSFCH is fixed to 1. Then, for that case, we also no longer need to consider DL multi-channel access procedure. </w:t>
            </w:r>
          </w:p>
          <w:p w14:paraId="7D335413" w14:textId="77777777" w:rsidR="00961C87" w:rsidRDefault="00961C87" w:rsidP="00961C87">
            <w:pPr>
              <w:pStyle w:val="0Maintext"/>
              <w:spacing w:after="0" w:afterAutospacing="0"/>
              <w:ind w:firstLine="0"/>
              <w:rPr>
                <w:lang w:eastAsia="ko-KR"/>
              </w:rPr>
            </w:pPr>
          </w:p>
          <w:p w14:paraId="352D5038" w14:textId="77777777" w:rsidR="00961C87" w:rsidRDefault="00961C87" w:rsidP="00961C87">
            <w:pPr>
              <w:pStyle w:val="0Maintext"/>
              <w:spacing w:after="0" w:afterAutospacing="0"/>
              <w:ind w:firstLine="0"/>
              <w:rPr>
                <w:lang w:eastAsia="ko-KR"/>
              </w:rPr>
            </w:pPr>
            <w:r>
              <w:rPr>
                <w:lang w:eastAsia="ko-KR"/>
              </w:rPr>
              <w:t xml:space="preserve">In this point of view, it would be better to postpone the decision. Or, we can support at least NR-U UL channel access procedure first. Then, we can further discuss the necessity of considering DL channel access procedure according to the relevant decisions. </w:t>
            </w:r>
          </w:p>
          <w:p w14:paraId="266B3CCD" w14:textId="77777777" w:rsidR="00961C87" w:rsidRDefault="00961C87" w:rsidP="00961C87">
            <w:pPr>
              <w:pStyle w:val="0Maintext"/>
              <w:spacing w:after="0" w:afterAutospacing="0"/>
              <w:ind w:firstLine="0"/>
              <w:rPr>
                <w:lang w:eastAsia="ko-KR"/>
              </w:rPr>
            </w:pPr>
          </w:p>
          <w:p w14:paraId="510F13B5" w14:textId="7B0850BF" w:rsidR="00961C87" w:rsidRDefault="00961C87" w:rsidP="00961C87">
            <w:pPr>
              <w:pStyle w:val="0Maintext"/>
              <w:spacing w:after="0" w:afterAutospacing="0"/>
              <w:ind w:firstLine="0"/>
            </w:pPr>
            <w:r>
              <w:rPr>
                <w:rFonts w:hint="eastAsia"/>
                <w:lang w:eastAsia="ko-KR"/>
              </w:rPr>
              <w:t xml:space="preserve">Meanwhile, it is understood that we will discuss whether or not </w:t>
            </w:r>
            <w:r>
              <w:rPr>
                <w:lang w:eastAsia="ko-KR"/>
              </w:rPr>
              <w:t xml:space="preserve">to support </w:t>
            </w:r>
            <w:r>
              <w:rPr>
                <w:rFonts w:hint="eastAsia"/>
                <w:lang w:eastAsia="ko-KR"/>
              </w:rPr>
              <w:t xml:space="preserve">all-or-nothing approach </w:t>
            </w:r>
            <w:r>
              <w:rPr>
                <w:lang w:eastAsia="ko-KR"/>
              </w:rPr>
              <w:t xml:space="preserve">for each SL channel type. </w:t>
            </w:r>
          </w:p>
        </w:tc>
      </w:tr>
      <w:tr w:rsidR="00201A4C" w14:paraId="62E3A374" w14:textId="77777777" w:rsidTr="006B2419">
        <w:tc>
          <w:tcPr>
            <w:tcW w:w="1555" w:type="dxa"/>
          </w:tcPr>
          <w:p w14:paraId="5BA40B92" w14:textId="7D9624BD" w:rsidR="00201A4C" w:rsidRDefault="00201A4C" w:rsidP="00201A4C">
            <w:pPr>
              <w:pStyle w:val="0Maintext"/>
              <w:spacing w:after="0" w:afterAutospacing="0"/>
              <w:ind w:firstLine="0"/>
            </w:pPr>
            <w:r>
              <w:rPr>
                <w:rFonts w:eastAsiaTheme="minorEastAsia" w:hint="eastAsia"/>
                <w:lang w:eastAsia="zh-CN"/>
              </w:rPr>
              <w:lastRenderedPageBreak/>
              <w:t>O</w:t>
            </w:r>
            <w:r>
              <w:rPr>
                <w:rFonts w:eastAsiaTheme="minorEastAsia"/>
                <w:lang w:eastAsia="zh-CN"/>
              </w:rPr>
              <w:t>PPO</w:t>
            </w:r>
          </w:p>
        </w:tc>
        <w:tc>
          <w:tcPr>
            <w:tcW w:w="8076" w:type="dxa"/>
          </w:tcPr>
          <w:p w14:paraId="3F5CB6F5" w14:textId="040C721B" w:rsidR="00201A4C" w:rsidRDefault="00201A4C" w:rsidP="00201A4C">
            <w:pPr>
              <w:pStyle w:val="0Maintext"/>
              <w:spacing w:after="0" w:afterAutospacing="0"/>
              <w:ind w:firstLine="0"/>
            </w:pPr>
            <w:r>
              <w:rPr>
                <w:rFonts w:eastAsiaTheme="minorEastAsia"/>
                <w:lang w:eastAsia="zh-CN"/>
              </w:rPr>
              <w:t xml:space="preserve">Support </w:t>
            </w:r>
          </w:p>
        </w:tc>
      </w:tr>
      <w:tr w:rsidR="00D6367A" w14:paraId="139ECA10" w14:textId="77777777" w:rsidTr="00D6367A">
        <w:tc>
          <w:tcPr>
            <w:tcW w:w="1555" w:type="dxa"/>
          </w:tcPr>
          <w:p w14:paraId="6A963DAC" w14:textId="77777777" w:rsidR="00D6367A" w:rsidRPr="003E4EC7" w:rsidRDefault="00D6367A" w:rsidP="000F6488">
            <w:pPr>
              <w:pStyle w:val="0Maintext"/>
              <w:spacing w:after="0" w:afterAutospacing="0"/>
              <w:ind w:firstLine="0"/>
              <w:rPr>
                <w:rFonts w:eastAsia="MS Mincho"/>
                <w:lang w:eastAsia="ja-JP"/>
              </w:rPr>
            </w:pPr>
            <w:r>
              <w:rPr>
                <w:rFonts w:eastAsia="MS Mincho" w:hint="eastAsia"/>
                <w:lang w:eastAsia="ja-JP"/>
              </w:rPr>
              <w:t>D</w:t>
            </w:r>
            <w:r>
              <w:rPr>
                <w:rFonts w:eastAsia="MS Mincho"/>
                <w:lang w:eastAsia="ja-JP"/>
              </w:rPr>
              <w:t>CM</w:t>
            </w:r>
          </w:p>
        </w:tc>
        <w:tc>
          <w:tcPr>
            <w:tcW w:w="8076" w:type="dxa"/>
          </w:tcPr>
          <w:p w14:paraId="20C8D829" w14:textId="77777777" w:rsidR="00D6367A" w:rsidRDefault="00D6367A" w:rsidP="000F6488">
            <w:pPr>
              <w:pStyle w:val="0Maintext"/>
              <w:spacing w:after="0" w:afterAutospacing="0"/>
              <w:ind w:firstLine="0"/>
              <w:rPr>
                <w:rFonts w:eastAsia="MS Mincho"/>
                <w:lang w:eastAsia="ja-JP"/>
              </w:rPr>
            </w:pPr>
            <w:r>
              <w:rPr>
                <w:rFonts w:eastAsia="MS Mincho" w:hint="eastAsia"/>
                <w:lang w:eastAsia="ja-JP"/>
              </w:rPr>
              <w:t>A</w:t>
            </w:r>
            <w:r>
              <w:rPr>
                <w:rFonts w:eastAsia="MS Mincho"/>
                <w:lang w:eastAsia="ja-JP"/>
              </w:rPr>
              <w:t>s we commented above, we think ‘multiple channel access’ includes two aspects.</w:t>
            </w:r>
          </w:p>
          <w:p w14:paraId="54196D37" w14:textId="77777777" w:rsidR="00D6367A" w:rsidRDefault="00D6367A" w:rsidP="00D6367A">
            <w:pPr>
              <w:pStyle w:val="0Maintext"/>
              <w:numPr>
                <w:ilvl w:val="0"/>
                <w:numId w:val="20"/>
              </w:numPr>
              <w:spacing w:after="0" w:afterAutospacing="0"/>
              <w:rPr>
                <w:rFonts w:eastAsia="MS Mincho"/>
                <w:lang w:eastAsia="ja-JP"/>
              </w:rPr>
            </w:pPr>
            <w:r>
              <w:rPr>
                <w:rFonts w:eastAsia="MS Mincho"/>
                <w:lang w:eastAsia="ja-JP"/>
              </w:rPr>
              <w:t>How to perform LBT for each channel</w:t>
            </w:r>
          </w:p>
          <w:p w14:paraId="6E7FCC64" w14:textId="77777777" w:rsidR="00D6367A" w:rsidRDefault="00D6367A" w:rsidP="00D6367A">
            <w:pPr>
              <w:pStyle w:val="0Maintext"/>
              <w:numPr>
                <w:ilvl w:val="0"/>
                <w:numId w:val="20"/>
              </w:numPr>
              <w:spacing w:after="0" w:afterAutospacing="0"/>
              <w:rPr>
                <w:rFonts w:eastAsia="MS Mincho"/>
                <w:lang w:eastAsia="ja-JP"/>
              </w:rPr>
            </w:pPr>
            <w:r>
              <w:rPr>
                <w:rFonts w:eastAsia="MS Mincho"/>
                <w:lang w:eastAsia="ja-JP"/>
              </w:rPr>
              <w:t>Whether/how to transmit when only a part of channel access is successful</w:t>
            </w:r>
          </w:p>
          <w:p w14:paraId="37D10A5F" w14:textId="77777777" w:rsidR="00D6367A" w:rsidRDefault="00D6367A" w:rsidP="000F6488">
            <w:pPr>
              <w:pStyle w:val="0Maintext"/>
              <w:spacing w:after="0" w:afterAutospacing="0"/>
              <w:ind w:firstLine="0"/>
              <w:rPr>
                <w:rFonts w:eastAsia="MS Mincho"/>
                <w:lang w:eastAsia="ja-JP"/>
              </w:rPr>
            </w:pPr>
            <w:r>
              <w:rPr>
                <w:rFonts w:eastAsia="MS Mincho"/>
                <w:lang w:eastAsia="ja-JP"/>
              </w:rPr>
              <w:t>This proposal means that all of the above two points are supported? Or this proposal intends only channel access part (the 1</w:t>
            </w:r>
            <w:r w:rsidRPr="003E4EC7">
              <w:rPr>
                <w:rFonts w:eastAsia="MS Mincho"/>
                <w:vertAlign w:val="superscript"/>
                <w:lang w:eastAsia="ja-JP"/>
              </w:rPr>
              <w:t>st</w:t>
            </w:r>
            <w:r>
              <w:rPr>
                <w:rFonts w:eastAsia="MS Mincho"/>
                <w:lang w:eastAsia="ja-JP"/>
              </w:rPr>
              <w:t xml:space="preserve"> aspect)? In other words, what is included in ‘NR-U DL channel access procedure’ ‘NR-U UL channel access procedure’ should be clarified.</w:t>
            </w:r>
          </w:p>
          <w:p w14:paraId="6987A3AB" w14:textId="77777777" w:rsidR="00D6367A" w:rsidRPr="003E4EC7" w:rsidRDefault="00D6367A" w:rsidP="000F6488">
            <w:pPr>
              <w:pStyle w:val="0Maintext"/>
              <w:spacing w:after="0" w:afterAutospacing="0"/>
              <w:ind w:firstLine="0"/>
              <w:rPr>
                <w:rFonts w:eastAsia="MS Mincho"/>
                <w:lang w:eastAsia="ja-JP"/>
              </w:rPr>
            </w:pPr>
            <w:r>
              <w:rPr>
                <w:rFonts w:eastAsia="MS Mincho" w:hint="eastAsia"/>
                <w:lang w:eastAsia="ja-JP"/>
              </w:rPr>
              <w:t>T</w:t>
            </w:r>
            <w:r>
              <w:rPr>
                <w:rFonts w:eastAsia="MS Mincho"/>
                <w:lang w:eastAsia="ja-JP"/>
              </w:rPr>
              <w:t>hen, if the 2</w:t>
            </w:r>
            <w:r w:rsidRPr="00485A44">
              <w:rPr>
                <w:rFonts w:eastAsia="MS Mincho"/>
                <w:vertAlign w:val="superscript"/>
                <w:lang w:eastAsia="ja-JP"/>
              </w:rPr>
              <w:t>nd</w:t>
            </w:r>
            <w:r>
              <w:rPr>
                <w:rFonts w:eastAsia="MS Mincho"/>
                <w:lang w:eastAsia="ja-JP"/>
              </w:rPr>
              <w:t xml:space="preserve"> aspect is included, we think applicable scenario is important. Without further discussion on this point, we cannot agree this proposal. For example, someone can say any further agreement is unnecessary; then all of DL/UL procedure is applicable to SL. This is unacceptable for us.</w:t>
            </w:r>
          </w:p>
        </w:tc>
      </w:tr>
      <w:tr w:rsidR="00B91A1D" w14:paraId="6BF0C6FF" w14:textId="77777777" w:rsidTr="006B2419">
        <w:tc>
          <w:tcPr>
            <w:tcW w:w="1555" w:type="dxa"/>
          </w:tcPr>
          <w:p w14:paraId="520279CC" w14:textId="0842F932" w:rsidR="00B91A1D" w:rsidRDefault="00B91A1D" w:rsidP="00B91A1D">
            <w:pPr>
              <w:pStyle w:val="0Maintext"/>
              <w:spacing w:after="0" w:afterAutospacing="0"/>
              <w:ind w:firstLine="0"/>
            </w:pPr>
            <w:r>
              <w:rPr>
                <w:rFonts w:eastAsiaTheme="minorEastAsia" w:hint="eastAsia"/>
                <w:lang w:eastAsia="zh-CN"/>
              </w:rPr>
              <w:t>C</w:t>
            </w:r>
            <w:r>
              <w:rPr>
                <w:rFonts w:eastAsiaTheme="minorEastAsia"/>
                <w:lang w:eastAsia="zh-CN"/>
              </w:rPr>
              <w:t>MCC</w:t>
            </w:r>
          </w:p>
        </w:tc>
        <w:tc>
          <w:tcPr>
            <w:tcW w:w="8076" w:type="dxa"/>
          </w:tcPr>
          <w:p w14:paraId="44076D16" w14:textId="0C5EAA51" w:rsidR="00B91A1D" w:rsidRDefault="00B91A1D" w:rsidP="00B91A1D">
            <w:pPr>
              <w:pStyle w:val="0Maintext"/>
              <w:spacing w:after="0" w:afterAutospacing="0"/>
              <w:ind w:firstLine="0"/>
            </w:pPr>
            <w:r>
              <w:rPr>
                <w:rFonts w:eastAsiaTheme="minorEastAsia" w:hint="eastAsia"/>
                <w:lang w:eastAsia="zh-CN"/>
              </w:rPr>
              <w:t>A</w:t>
            </w:r>
            <w:r>
              <w:rPr>
                <w:rFonts w:eastAsiaTheme="minorEastAsia"/>
                <w:lang w:eastAsia="zh-CN"/>
              </w:rPr>
              <w:t>gree</w:t>
            </w:r>
          </w:p>
        </w:tc>
      </w:tr>
      <w:tr w:rsidR="009A6BDC" w14:paraId="340763BC" w14:textId="77777777" w:rsidTr="006B2419">
        <w:tc>
          <w:tcPr>
            <w:tcW w:w="1555" w:type="dxa"/>
          </w:tcPr>
          <w:p w14:paraId="0F0F14F5" w14:textId="4698248B" w:rsidR="009A6BDC" w:rsidRDefault="009A6BDC" w:rsidP="009A6BDC">
            <w:pPr>
              <w:pStyle w:val="0Maintext"/>
              <w:spacing w:after="0" w:afterAutospacing="0"/>
              <w:ind w:firstLine="0"/>
            </w:pPr>
            <w:r>
              <w:rPr>
                <w:rFonts w:eastAsiaTheme="minorEastAsia" w:hint="eastAsia"/>
                <w:lang w:eastAsia="zh-CN"/>
              </w:rPr>
              <w:t>v</w:t>
            </w:r>
            <w:r>
              <w:rPr>
                <w:rFonts w:eastAsiaTheme="minorEastAsia"/>
                <w:lang w:eastAsia="zh-CN"/>
              </w:rPr>
              <w:t>ivo</w:t>
            </w:r>
          </w:p>
        </w:tc>
        <w:tc>
          <w:tcPr>
            <w:tcW w:w="8076" w:type="dxa"/>
          </w:tcPr>
          <w:p w14:paraId="50A3B945" w14:textId="55BED238" w:rsidR="009A6BDC" w:rsidRDefault="009A6BDC" w:rsidP="009A6BDC">
            <w:pPr>
              <w:pStyle w:val="0Maintext"/>
              <w:spacing w:after="0" w:afterAutospacing="0"/>
              <w:ind w:firstLine="0"/>
            </w:pPr>
            <w:r>
              <w:rPr>
                <w:rFonts w:eastAsiaTheme="minorEastAsia"/>
                <w:lang w:eastAsia="zh-CN"/>
              </w:rPr>
              <w:t xml:space="preserve">Support </w:t>
            </w:r>
          </w:p>
        </w:tc>
      </w:tr>
      <w:tr w:rsidR="007A40A8" w14:paraId="77CB2F6E" w14:textId="77777777" w:rsidTr="006B2419">
        <w:tc>
          <w:tcPr>
            <w:tcW w:w="1555" w:type="dxa"/>
          </w:tcPr>
          <w:p w14:paraId="0A2DC56A" w14:textId="3FC1287C" w:rsidR="007A40A8" w:rsidRDefault="007A40A8" w:rsidP="007A40A8">
            <w:pPr>
              <w:pStyle w:val="0Maintext"/>
              <w:spacing w:after="0" w:afterAutospacing="0"/>
              <w:ind w:firstLine="0"/>
              <w:rPr>
                <w:rFonts w:eastAsiaTheme="minorEastAsia"/>
                <w:lang w:eastAsia="zh-CN"/>
              </w:rPr>
            </w:pPr>
            <w:r>
              <w:rPr>
                <w:rFonts w:eastAsiaTheme="minorEastAsia" w:hint="eastAsia"/>
                <w:lang w:eastAsia="zh-CN"/>
              </w:rPr>
              <w:t>C</w:t>
            </w:r>
            <w:r>
              <w:rPr>
                <w:rFonts w:eastAsiaTheme="minorEastAsia"/>
                <w:lang w:eastAsia="zh-CN"/>
              </w:rPr>
              <w:t>ATT/GH</w:t>
            </w:r>
          </w:p>
        </w:tc>
        <w:tc>
          <w:tcPr>
            <w:tcW w:w="8076" w:type="dxa"/>
          </w:tcPr>
          <w:p w14:paraId="703B0379" w14:textId="460E0434" w:rsidR="007A40A8" w:rsidRDefault="007A40A8" w:rsidP="007A40A8">
            <w:pPr>
              <w:pStyle w:val="0Maintext"/>
              <w:spacing w:after="0" w:afterAutospacing="0"/>
              <w:ind w:firstLine="0"/>
              <w:rPr>
                <w:rFonts w:eastAsiaTheme="minorEastAsia"/>
                <w:lang w:eastAsia="zh-CN"/>
              </w:rPr>
            </w:pPr>
            <w:r>
              <w:rPr>
                <w:rFonts w:eastAsiaTheme="minorEastAsia" w:hint="eastAsia"/>
                <w:lang w:eastAsia="zh-CN"/>
              </w:rPr>
              <w:t>W</w:t>
            </w:r>
            <w:r>
              <w:rPr>
                <w:rFonts w:eastAsiaTheme="minorEastAsia"/>
                <w:lang w:eastAsia="zh-CN"/>
              </w:rPr>
              <w:t>e are fine with the direction of the proposal.</w:t>
            </w:r>
            <w:r>
              <w:rPr>
                <w:rFonts w:eastAsiaTheme="minorEastAsia" w:hint="eastAsia"/>
                <w:lang w:eastAsia="zh-CN"/>
              </w:rPr>
              <w:t xml:space="preserve"> </w:t>
            </w:r>
            <w:r>
              <w:rPr>
                <w:rFonts w:eastAsiaTheme="minorEastAsia"/>
                <w:lang w:eastAsia="zh-CN"/>
              </w:rPr>
              <w:t xml:space="preserve">To avoid ambiguous </w:t>
            </w:r>
            <w:r w:rsidRPr="00F47DCB">
              <w:rPr>
                <w:rFonts w:eastAsiaTheme="minorEastAsia"/>
                <w:lang w:eastAsia="zh-CN"/>
              </w:rPr>
              <w:t>interpretation of</w:t>
            </w:r>
            <w:r>
              <w:rPr>
                <w:rFonts w:eastAsiaTheme="minorEastAsia"/>
                <w:lang w:eastAsia="zh-CN"/>
              </w:rPr>
              <w:t xml:space="preserve"> the proposal</w:t>
            </w:r>
            <w:r w:rsidR="0031541B">
              <w:rPr>
                <w:rFonts w:eastAsiaTheme="minorEastAsia"/>
                <w:lang w:eastAsia="zh-CN"/>
              </w:rPr>
              <w:t>,</w:t>
            </w:r>
            <w:r>
              <w:rPr>
                <w:rFonts w:eastAsiaTheme="minorEastAsia"/>
                <w:lang w:eastAsia="zh-CN"/>
              </w:rPr>
              <w:t xml:space="preserve"> the following wording is suggested.</w:t>
            </w:r>
          </w:p>
          <w:p w14:paraId="23011E69" w14:textId="77777777" w:rsidR="007A40A8" w:rsidRPr="00C65E36" w:rsidRDefault="007A40A8" w:rsidP="007A40A8">
            <w:pPr>
              <w:autoSpaceDE w:val="0"/>
              <w:autoSpaceDN w:val="0"/>
              <w:spacing w:before="120"/>
              <w:jc w:val="both"/>
              <w:rPr>
                <w:rFonts w:ascii="Calibri" w:hAnsi="Calibri" w:cs="Calibri"/>
                <w:sz w:val="22"/>
              </w:rPr>
            </w:pPr>
            <w:r w:rsidRPr="00C65E36">
              <w:rPr>
                <w:rFonts w:ascii="Calibri" w:hAnsi="Calibri" w:cs="Calibri"/>
                <w:b/>
                <w:bCs/>
                <w:sz w:val="22"/>
                <w:highlight w:val="yellow"/>
              </w:rPr>
              <w:t xml:space="preserve">Proposal </w:t>
            </w:r>
            <w:r>
              <w:rPr>
                <w:rFonts w:ascii="Calibri" w:hAnsi="Calibri" w:cs="Calibri"/>
                <w:b/>
                <w:bCs/>
                <w:sz w:val="22"/>
                <w:highlight w:val="yellow"/>
              </w:rPr>
              <w:t>6</w:t>
            </w:r>
            <w:r w:rsidRPr="00C65E36">
              <w:rPr>
                <w:rFonts w:ascii="Calibri" w:hAnsi="Calibri" w:cs="Calibri"/>
                <w:b/>
                <w:bCs/>
                <w:sz w:val="22"/>
                <w:highlight w:val="yellow"/>
              </w:rPr>
              <w:t xml:space="preserve"> (I</w:t>
            </w:r>
            <w:r>
              <w:rPr>
                <w:rFonts w:ascii="Calibri" w:hAnsi="Calibri" w:cs="Calibri"/>
                <w:b/>
                <w:bCs/>
                <w:sz w:val="22"/>
                <w:highlight w:val="yellow"/>
              </w:rPr>
              <w:t>I</w:t>
            </w:r>
            <w:r w:rsidRPr="00C65E36">
              <w:rPr>
                <w:rFonts w:ascii="Calibri" w:hAnsi="Calibri" w:cs="Calibri"/>
                <w:b/>
                <w:bCs/>
                <w:sz w:val="22"/>
                <w:highlight w:val="yellow"/>
              </w:rPr>
              <w:t>):</w:t>
            </w:r>
          </w:p>
          <w:p w14:paraId="7CF879E2" w14:textId="77777777" w:rsidR="007A40A8" w:rsidRPr="00957C70" w:rsidRDefault="007A40A8" w:rsidP="007A40A8">
            <w:pPr>
              <w:numPr>
                <w:ilvl w:val="0"/>
                <w:numId w:val="26"/>
              </w:numPr>
              <w:autoSpaceDE w:val="0"/>
              <w:autoSpaceDN w:val="0"/>
              <w:spacing w:after="60"/>
              <w:jc w:val="both"/>
              <w:rPr>
                <w:rFonts w:ascii="Calibri" w:hAnsi="Calibri" w:cs="Calibri"/>
                <w:sz w:val="22"/>
                <w:lang w:val="en-US" w:eastAsia="x-none"/>
              </w:rPr>
            </w:pPr>
            <w:r w:rsidRPr="00957C70">
              <w:rPr>
                <w:rFonts w:ascii="Calibri" w:hAnsi="Calibri" w:cs="Calibri" w:hint="eastAsia"/>
                <w:sz w:val="22"/>
                <w:lang w:val="en-US" w:eastAsia="x-none"/>
              </w:rPr>
              <w:t xml:space="preserve">For </w:t>
            </w:r>
            <w:r w:rsidRPr="00AF4E92">
              <w:rPr>
                <w:rFonts w:ascii="Calibri" w:hAnsi="Calibri" w:cs="Calibri"/>
                <w:color w:val="FF0000"/>
                <w:sz w:val="22"/>
                <w:lang w:val="en-US" w:eastAsia="x-none"/>
              </w:rPr>
              <w:t>dynamic mode</w:t>
            </w:r>
            <w:r>
              <w:rPr>
                <w:rFonts w:ascii="Calibri" w:hAnsi="Calibri" w:cs="Calibri"/>
                <w:sz w:val="22"/>
                <w:lang w:val="en-US" w:eastAsia="x-none"/>
              </w:rPr>
              <w:t xml:space="preserve"> </w:t>
            </w:r>
            <w:r w:rsidRPr="00957C70">
              <w:rPr>
                <w:rFonts w:ascii="Calibri" w:hAnsi="Calibri" w:cs="Calibri" w:hint="eastAsia"/>
                <w:sz w:val="22"/>
                <w:lang w:val="en-US" w:eastAsia="x-none"/>
              </w:rPr>
              <w:t>multiple channel access in SL-U</w:t>
            </w:r>
            <w:r w:rsidRPr="00AF4E92">
              <w:rPr>
                <w:rFonts w:ascii="Calibri" w:hAnsi="Calibri" w:cs="Calibri" w:hint="eastAsia"/>
                <w:color w:val="FF0000"/>
                <w:sz w:val="22"/>
                <w:lang w:val="en-US" w:eastAsia="x-none"/>
              </w:rPr>
              <w:t>,</w:t>
            </w:r>
            <w:r w:rsidRPr="00AF4E92">
              <w:rPr>
                <w:rFonts w:ascii="Calibri" w:hAnsi="Calibri" w:cs="Calibri"/>
                <w:color w:val="FF0000"/>
                <w:sz w:val="22"/>
                <w:lang w:val="en-US" w:eastAsia="x-none"/>
              </w:rPr>
              <w:t xml:space="preserve"> the followings are</w:t>
            </w:r>
            <w:r w:rsidRPr="007D2927">
              <w:rPr>
                <w:rFonts w:ascii="Calibri" w:hAnsi="Calibri" w:cs="Calibri"/>
                <w:color w:val="00B0F0"/>
                <w:sz w:val="22"/>
                <w:lang w:val="en-US" w:eastAsia="x-none"/>
              </w:rPr>
              <w:t xml:space="preserve"> considered as baseline </w:t>
            </w:r>
            <w:r w:rsidRPr="007D2927">
              <w:rPr>
                <w:rFonts w:ascii="Calibri" w:hAnsi="Calibri" w:cs="Calibri"/>
                <w:strike/>
                <w:color w:val="00B0F0"/>
                <w:sz w:val="22"/>
                <w:lang w:val="en-US" w:eastAsia="x-none"/>
              </w:rPr>
              <w:t>supported</w:t>
            </w:r>
            <w:r w:rsidRPr="00AF4E92">
              <w:rPr>
                <w:rFonts w:ascii="Calibri" w:hAnsi="Calibri" w:cs="Calibri"/>
                <w:color w:val="FF0000"/>
                <w:sz w:val="22"/>
                <w:lang w:val="en-US" w:eastAsia="x-none"/>
              </w:rPr>
              <w:t xml:space="preserve"> for SL-U</w:t>
            </w:r>
          </w:p>
          <w:p w14:paraId="6368C7D7" w14:textId="77777777" w:rsidR="007A40A8" w:rsidRPr="00957C70" w:rsidRDefault="007A40A8" w:rsidP="007A40A8">
            <w:pPr>
              <w:numPr>
                <w:ilvl w:val="1"/>
                <w:numId w:val="26"/>
              </w:numPr>
              <w:autoSpaceDE w:val="0"/>
              <w:autoSpaceDN w:val="0"/>
              <w:spacing w:after="60"/>
              <w:jc w:val="both"/>
              <w:rPr>
                <w:rFonts w:ascii="Calibri" w:hAnsi="Calibri" w:cs="Calibri"/>
                <w:sz w:val="22"/>
                <w:lang w:val="en-US" w:eastAsia="x-none"/>
              </w:rPr>
            </w:pPr>
            <w:r w:rsidRPr="00AF4E92">
              <w:rPr>
                <w:rFonts w:ascii="Calibri" w:hAnsi="Calibri" w:cs="Calibri" w:hint="eastAsia"/>
                <w:strike/>
                <w:color w:val="FF0000"/>
                <w:sz w:val="22"/>
                <w:lang w:val="en-US" w:eastAsia="x-none"/>
              </w:rPr>
              <w:t>Option 1:</w:t>
            </w:r>
            <w:r w:rsidRPr="00AF4E92">
              <w:rPr>
                <w:rFonts w:ascii="Calibri" w:hAnsi="Calibri" w:cs="Calibri" w:hint="eastAsia"/>
                <w:color w:val="FF0000"/>
                <w:sz w:val="22"/>
                <w:lang w:val="en-US" w:eastAsia="x-none"/>
              </w:rPr>
              <w:t xml:space="preserve"> </w:t>
            </w:r>
            <w:r w:rsidRPr="00957C70">
              <w:rPr>
                <w:rFonts w:ascii="Calibri" w:hAnsi="Calibri" w:cs="Calibri" w:hint="eastAsia"/>
                <w:sz w:val="22"/>
                <w:lang w:val="en-US" w:eastAsia="x-none"/>
              </w:rPr>
              <w:t xml:space="preserve">NR-U DL (Type A and Type B) channel access procedures </w:t>
            </w:r>
            <w:r w:rsidRPr="00AF4E92">
              <w:rPr>
                <w:rFonts w:ascii="Calibri" w:hAnsi="Calibri" w:cs="Calibri" w:hint="eastAsia"/>
                <w:strike/>
                <w:color w:val="FF0000"/>
                <w:sz w:val="22"/>
                <w:lang w:val="en-US" w:eastAsia="x-none"/>
              </w:rPr>
              <w:t>are supported for SL-U</w:t>
            </w:r>
          </w:p>
          <w:p w14:paraId="45C75CF2" w14:textId="77777777" w:rsidR="007A40A8" w:rsidRPr="00957C70" w:rsidRDefault="007A40A8" w:rsidP="007A40A8">
            <w:pPr>
              <w:numPr>
                <w:ilvl w:val="1"/>
                <w:numId w:val="26"/>
              </w:numPr>
              <w:autoSpaceDE w:val="0"/>
              <w:autoSpaceDN w:val="0"/>
              <w:spacing w:after="60"/>
              <w:jc w:val="both"/>
              <w:rPr>
                <w:rFonts w:ascii="Calibri" w:hAnsi="Calibri" w:cs="Calibri"/>
                <w:sz w:val="22"/>
                <w:lang w:val="en-US" w:eastAsia="x-none"/>
              </w:rPr>
            </w:pPr>
            <w:r w:rsidRPr="00AF4E92">
              <w:rPr>
                <w:rFonts w:ascii="Calibri" w:hAnsi="Calibri" w:cs="Calibri" w:hint="eastAsia"/>
                <w:strike/>
                <w:color w:val="FF0000"/>
                <w:sz w:val="22"/>
                <w:lang w:val="en-US" w:eastAsia="x-none"/>
              </w:rPr>
              <w:t>Option 2:</w:t>
            </w:r>
            <w:r w:rsidRPr="00AF4E92">
              <w:rPr>
                <w:rFonts w:ascii="Calibri" w:hAnsi="Calibri" w:cs="Calibri" w:hint="eastAsia"/>
                <w:color w:val="FF0000"/>
                <w:sz w:val="22"/>
                <w:lang w:val="en-US" w:eastAsia="x-none"/>
              </w:rPr>
              <w:t xml:space="preserve"> </w:t>
            </w:r>
            <w:r w:rsidRPr="00957C70">
              <w:rPr>
                <w:rFonts w:ascii="Calibri" w:hAnsi="Calibri" w:cs="Calibri" w:hint="eastAsia"/>
                <w:sz w:val="22"/>
                <w:lang w:val="en-US" w:eastAsia="x-none"/>
              </w:rPr>
              <w:t xml:space="preserve">NR-U UL channel access procedure </w:t>
            </w:r>
            <w:r w:rsidRPr="00AF4E92">
              <w:rPr>
                <w:rFonts w:ascii="Calibri" w:hAnsi="Calibri" w:cs="Calibri" w:hint="eastAsia"/>
                <w:strike/>
                <w:color w:val="FF0000"/>
                <w:sz w:val="22"/>
                <w:lang w:val="en-US" w:eastAsia="x-none"/>
              </w:rPr>
              <w:t>is supported for SL-U</w:t>
            </w:r>
          </w:p>
          <w:p w14:paraId="0C458197" w14:textId="77777777" w:rsidR="007A40A8" w:rsidRPr="00AF4E92" w:rsidRDefault="007A40A8" w:rsidP="007A40A8">
            <w:pPr>
              <w:numPr>
                <w:ilvl w:val="1"/>
                <w:numId w:val="26"/>
              </w:numPr>
              <w:autoSpaceDE w:val="0"/>
              <w:autoSpaceDN w:val="0"/>
              <w:spacing w:after="60"/>
              <w:jc w:val="both"/>
              <w:rPr>
                <w:rFonts w:ascii="Calibri" w:hAnsi="Calibri" w:cs="Calibri"/>
                <w:strike/>
                <w:color w:val="FF0000"/>
                <w:sz w:val="22"/>
                <w:lang w:val="en-US" w:eastAsia="x-none"/>
              </w:rPr>
            </w:pPr>
            <w:r w:rsidRPr="00AF4E92">
              <w:rPr>
                <w:rFonts w:ascii="Calibri" w:hAnsi="Calibri" w:cs="Calibri" w:hint="eastAsia"/>
                <w:strike/>
                <w:color w:val="FF0000"/>
                <w:sz w:val="22"/>
                <w:lang w:val="en-US" w:eastAsia="x-none"/>
              </w:rPr>
              <w:t xml:space="preserve">Option 3: Option 1 </w:t>
            </w:r>
            <w:r w:rsidRPr="00AF4E92">
              <w:rPr>
                <w:rFonts w:ascii="Calibri" w:hAnsi="Calibri" w:cs="Calibri"/>
                <w:strike/>
                <w:color w:val="FF0000"/>
                <w:sz w:val="22"/>
                <w:lang w:val="en-US" w:eastAsia="x-none"/>
              </w:rPr>
              <w:t>+</w:t>
            </w:r>
            <w:r w:rsidRPr="00AF4E92">
              <w:rPr>
                <w:rFonts w:ascii="Calibri" w:hAnsi="Calibri" w:cs="Calibri" w:hint="eastAsia"/>
                <w:strike/>
                <w:color w:val="FF0000"/>
                <w:sz w:val="22"/>
                <w:lang w:val="en-US" w:eastAsia="x-none"/>
              </w:rPr>
              <w:t xml:space="preserve"> Option 2</w:t>
            </w:r>
          </w:p>
          <w:p w14:paraId="618930E1" w14:textId="77777777" w:rsidR="007A40A8" w:rsidRPr="00AF4E92" w:rsidRDefault="007A40A8" w:rsidP="007A40A8">
            <w:pPr>
              <w:numPr>
                <w:ilvl w:val="1"/>
                <w:numId w:val="26"/>
              </w:numPr>
              <w:autoSpaceDE w:val="0"/>
              <w:autoSpaceDN w:val="0"/>
              <w:spacing w:after="120"/>
              <w:jc w:val="both"/>
              <w:rPr>
                <w:rFonts w:ascii="Calibri" w:hAnsi="Calibri" w:cs="Calibri"/>
                <w:sz w:val="22"/>
                <w:lang w:val="en-US" w:eastAsia="x-none"/>
              </w:rPr>
            </w:pPr>
            <w:r w:rsidRPr="00957C70">
              <w:rPr>
                <w:rFonts w:ascii="Calibri" w:hAnsi="Calibri" w:cs="Calibri" w:hint="eastAsia"/>
                <w:sz w:val="22"/>
                <w:lang w:val="en-AU" w:eastAsia="x-none"/>
              </w:rPr>
              <w:t>FFS any necessary enhancement and modification for SL-U operation</w:t>
            </w:r>
          </w:p>
          <w:p w14:paraId="18FB3273" w14:textId="67D7C389" w:rsidR="007A40A8" w:rsidRPr="00126C60" w:rsidRDefault="007A40A8" w:rsidP="00126C60">
            <w:pPr>
              <w:numPr>
                <w:ilvl w:val="1"/>
                <w:numId w:val="26"/>
              </w:numPr>
              <w:autoSpaceDE w:val="0"/>
              <w:autoSpaceDN w:val="0"/>
              <w:spacing w:after="120"/>
              <w:jc w:val="both"/>
              <w:rPr>
                <w:rFonts w:ascii="Calibri" w:hAnsi="Calibri" w:cs="Calibri"/>
                <w:color w:val="FF0000"/>
                <w:sz w:val="22"/>
                <w:lang w:val="en-US" w:eastAsia="x-none"/>
              </w:rPr>
            </w:pPr>
            <w:r w:rsidRPr="00516882">
              <w:rPr>
                <w:rFonts w:ascii="Calibri" w:hAnsi="Calibri" w:cs="Calibri"/>
                <w:color w:val="FF0000"/>
                <w:sz w:val="22"/>
                <w:lang w:val="en-AU" w:eastAsia="x-none"/>
              </w:rPr>
              <w:t xml:space="preserve">FFS applicable SL transmission/channel type(s) and scenario(s) for using the NR-U DL and UL </w:t>
            </w:r>
            <w:r w:rsidRPr="00516882">
              <w:rPr>
                <w:rFonts w:ascii="Calibri" w:hAnsi="Calibri" w:cs="Calibri" w:hint="eastAsia"/>
                <w:color w:val="FF0000"/>
                <w:sz w:val="22"/>
                <w:lang w:val="en-US" w:eastAsia="x-none"/>
              </w:rPr>
              <w:t>channel access procedures</w:t>
            </w:r>
          </w:p>
        </w:tc>
      </w:tr>
      <w:tr w:rsidR="00990944" w14:paraId="293E6EC8" w14:textId="77777777" w:rsidTr="006B2419">
        <w:tc>
          <w:tcPr>
            <w:tcW w:w="1555" w:type="dxa"/>
          </w:tcPr>
          <w:p w14:paraId="479632C5" w14:textId="42CD709F" w:rsidR="00990944" w:rsidRDefault="00990944" w:rsidP="00990944">
            <w:pPr>
              <w:pStyle w:val="0Maintext"/>
              <w:spacing w:after="0" w:afterAutospacing="0"/>
              <w:ind w:firstLine="0"/>
              <w:rPr>
                <w:rFonts w:eastAsiaTheme="minorEastAsia"/>
                <w:lang w:eastAsia="zh-CN"/>
              </w:rPr>
            </w:pPr>
            <w:r>
              <w:rPr>
                <w:rFonts w:eastAsiaTheme="minorEastAsia" w:hint="eastAsia"/>
                <w:lang w:eastAsia="zh-CN"/>
              </w:rPr>
              <w:t>M</w:t>
            </w:r>
            <w:r>
              <w:rPr>
                <w:rFonts w:eastAsiaTheme="minorEastAsia"/>
                <w:lang w:eastAsia="zh-CN"/>
              </w:rPr>
              <w:t>ediaTek</w:t>
            </w:r>
          </w:p>
        </w:tc>
        <w:tc>
          <w:tcPr>
            <w:tcW w:w="8076" w:type="dxa"/>
          </w:tcPr>
          <w:p w14:paraId="6826880E" w14:textId="5E666252" w:rsidR="00990944" w:rsidRDefault="00990944" w:rsidP="00990944">
            <w:pPr>
              <w:pStyle w:val="0Maintext"/>
              <w:spacing w:after="0" w:afterAutospacing="0"/>
              <w:ind w:firstLine="0"/>
              <w:rPr>
                <w:rFonts w:eastAsiaTheme="minorEastAsia"/>
                <w:lang w:eastAsia="zh-CN"/>
              </w:rPr>
            </w:pPr>
            <w:r>
              <w:rPr>
                <w:rFonts w:eastAsiaTheme="minorEastAsia" w:hint="eastAsia"/>
                <w:lang w:eastAsia="zh-CN"/>
              </w:rPr>
              <w:t>S</w:t>
            </w:r>
            <w:r>
              <w:rPr>
                <w:rFonts w:eastAsiaTheme="minorEastAsia"/>
                <w:lang w:eastAsia="zh-CN"/>
              </w:rPr>
              <w:t>upport</w:t>
            </w:r>
          </w:p>
        </w:tc>
      </w:tr>
      <w:tr w:rsidR="00C55F84" w14:paraId="7EB221B2" w14:textId="77777777" w:rsidTr="006B2419">
        <w:tc>
          <w:tcPr>
            <w:tcW w:w="1555" w:type="dxa"/>
          </w:tcPr>
          <w:p w14:paraId="3886766E" w14:textId="7348DB13" w:rsidR="00C55F84" w:rsidRDefault="00C55F84" w:rsidP="00990944">
            <w:pPr>
              <w:pStyle w:val="0Maintext"/>
              <w:spacing w:after="0" w:afterAutospacing="0"/>
              <w:ind w:firstLine="0"/>
              <w:rPr>
                <w:rFonts w:eastAsiaTheme="minorEastAsia"/>
                <w:lang w:eastAsia="zh-CN"/>
              </w:rPr>
            </w:pPr>
            <w:r>
              <w:rPr>
                <w:rFonts w:eastAsiaTheme="minorEastAsia" w:hint="eastAsia"/>
                <w:lang w:eastAsia="zh-CN"/>
              </w:rPr>
              <w:t>Sharp</w:t>
            </w:r>
          </w:p>
        </w:tc>
        <w:tc>
          <w:tcPr>
            <w:tcW w:w="8076" w:type="dxa"/>
          </w:tcPr>
          <w:p w14:paraId="197A2A36" w14:textId="605FA075" w:rsidR="00C55F84" w:rsidRDefault="00C55F84" w:rsidP="00990944">
            <w:pPr>
              <w:pStyle w:val="0Maintext"/>
              <w:spacing w:after="0" w:afterAutospacing="0"/>
              <w:ind w:firstLine="0"/>
              <w:rPr>
                <w:rFonts w:eastAsiaTheme="minorEastAsia"/>
                <w:lang w:eastAsia="zh-CN"/>
              </w:rPr>
            </w:pPr>
            <w:r>
              <w:rPr>
                <w:rFonts w:eastAsiaTheme="minorEastAsia"/>
                <w:lang w:eastAsia="zh-CN"/>
              </w:rPr>
              <w:t>W</w:t>
            </w:r>
            <w:r>
              <w:rPr>
                <w:rFonts w:eastAsiaTheme="minorEastAsia" w:hint="eastAsia"/>
                <w:lang w:eastAsia="zh-CN"/>
              </w:rPr>
              <w:t xml:space="preserve">e </w:t>
            </w:r>
            <w:r>
              <w:rPr>
                <w:rFonts w:eastAsiaTheme="minorEastAsia"/>
                <w:lang w:eastAsia="zh-CN"/>
              </w:rPr>
              <w:t>support</w:t>
            </w:r>
            <w:r>
              <w:rPr>
                <w:rFonts w:eastAsiaTheme="minorEastAsia" w:hint="eastAsia"/>
                <w:lang w:eastAsia="zh-CN"/>
              </w:rPr>
              <w:t xml:space="preserve"> the FL proposal.</w:t>
            </w:r>
          </w:p>
        </w:tc>
      </w:tr>
      <w:tr w:rsidR="001E5BBA" w14:paraId="6814D7F0" w14:textId="77777777" w:rsidTr="006B2419">
        <w:tc>
          <w:tcPr>
            <w:tcW w:w="1555" w:type="dxa"/>
          </w:tcPr>
          <w:p w14:paraId="16D18000" w14:textId="49143245" w:rsidR="001E5BBA" w:rsidRDefault="001E5BBA" w:rsidP="001E5BBA">
            <w:pPr>
              <w:pStyle w:val="0Maintext"/>
              <w:spacing w:after="0" w:afterAutospacing="0"/>
              <w:ind w:firstLine="0"/>
              <w:rPr>
                <w:rFonts w:eastAsiaTheme="minorEastAsia"/>
                <w:lang w:eastAsia="zh-CN"/>
              </w:rPr>
            </w:pPr>
            <w:r>
              <w:t>Lenovo</w:t>
            </w:r>
          </w:p>
        </w:tc>
        <w:tc>
          <w:tcPr>
            <w:tcW w:w="8076" w:type="dxa"/>
          </w:tcPr>
          <w:p w14:paraId="26D9519E" w14:textId="77777777" w:rsidR="001E5BBA" w:rsidRDefault="001E5BBA" w:rsidP="001E5BBA">
            <w:pPr>
              <w:pStyle w:val="0Maintext"/>
              <w:spacing w:after="0" w:afterAutospacing="0"/>
              <w:ind w:firstLine="0"/>
            </w:pPr>
            <w:r>
              <w:t xml:space="preserve">First of all, we apologise for a </w:t>
            </w:r>
            <w:r w:rsidRPr="00B63691">
              <w:rPr>
                <w:u w:val="single"/>
              </w:rPr>
              <w:t>typo in the first round: in fact we are supporting Option 2 with further study for additional relaxations regarding partial LBT failure</w:t>
            </w:r>
            <w:r>
              <w:t>, not Option 1.</w:t>
            </w:r>
          </w:p>
          <w:p w14:paraId="7E2838B8" w14:textId="7A1CD7FC" w:rsidR="001E5BBA" w:rsidRDefault="001E5BBA" w:rsidP="001E5BBA">
            <w:pPr>
              <w:pStyle w:val="0Maintext"/>
              <w:spacing w:after="0" w:afterAutospacing="0"/>
              <w:ind w:firstLine="0"/>
              <w:rPr>
                <w:rFonts w:eastAsiaTheme="minorEastAsia"/>
                <w:lang w:eastAsia="zh-CN"/>
              </w:rPr>
            </w:pPr>
            <w:r>
              <w:t>Apart from that we fully share DCM's concern. We cannot accept the 2</w:t>
            </w:r>
            <w:r w:rsidRPr="00B63691">
              <w:rPr>
                <w:vertAlign w:val="superscript"/>
              </w:rPr>
              <w:t>nd</w:t>
            </w:r>
            <w:r>
              <w:t xml:space="preserve"> round proposal in this form.</w:t>
            </w:r>
          </w:p>
        </w:tc>
      </w:tr>
      <w:tr w:rsidR="00650E3B" w:rsidRPr="005939B9" w14:paraId="04BB71DB" w14:textId="77777777" w:rsidTr="00650E3B">
        <w:tc>
          <w:tcPr>
            <w:tcW w:w="1555" w:type="dxa"/>
          </w:tcPr>
          <w:p w14:paraId="5B5AA3C0" w14:textId="77777777" w:rsidR="00650E3B" w:rsidRDefault="00650E3B" w:rsidP="000F6488">
            <w:pPr>
              <w:pStyle w:val="0Maintext"/>
              <w:spacing w:after="0" w:afterAutospacing="0"/>
              <w:ind w:firstLine="0"/>
            </w:pPr>
            <w:r>
              <w:t>Huawei, HiSilicon</w:t>
            </w:r>
          </w:p>
        </w:tc>
        <w:tc>
          <w:tcPr>
            <w:tcW w:w="8076" w:type="dxa"/>
          </w:tcPr>
          <w:p w14:paraId="3F48DD2F" w14:textId="77777777" w:rsidR="00650E3B" w:rsidRDefault="00650E3B" w:rsidP="000F6488">
            <w:pPr>
              <w:pStyle w:val="0Maintext"/>
              <w:spacing w:after="0" w:afterAutospacing="0"/>
              <w:ind w:firstLine="0"/>
            </w:pPr>
            <w:r>
              <w:t>The problem we think to reuse NR-U DL channel access procedure is the challenge brought for UE implementation. When DL procedure is applied, since UE cannot predict which RB set(s) can access successfully, it may redo encoding, rate matching and other PHY procedure after LBT, or prepare multiple packets based on different combinations of RB sets. However, either behaviour may be infeasible for UE.</w:t>
            </w:r>
          </w:p>
          <w:p w14:paraId="695A2525" w14:textId="77777777" w:rsidR="00650E3B" w:rsidRDefault="00650E3B" w:rsidP="000F6488">
            <w:pPr>
              <w:pStyle w:val="0Maintext"/>
              <w:spacing w:after="0" w:afterAutospacing="0"/>
              <w:ind w:firstLine="0"/>
            </w:pPr>
          </w:p>
          <w:p w14:paraId="424FEAD0" w14:textId="77777777" w:rsidR="00650E3B" w:rsidRDefault="00650E3B" w:rsidP="000F6488">
            <w:pPr>
              <w:pStyle w:val="0Maintext"/>
              <w:spacing w:after="0" w:afterAutospacing="0"/>
              <w:ind w:firstLine="0"/>
            </w:pPr>
            <w:r>
              <w:t>As company mentioned that DL procedure can be applied to PSFCH transmission, we think it only applicable sequence-based PFSCH, i.e. PFSCH format 0. Otherwise, if a new PSFCH format of coding based is agreed, similar problem will happen as described in above paragraph.</w:t>
            </w:r>
          </w:p>
          <w:p w14:paraId="0EEFF665" w14:textId="77777777" w:rsidR="00650E3B" w:rsidRDefault="00650E3B" w:rsidP="000F6488">
            <w:pPr>
              <w:pStyle w:val="0Maintext"/>
              <w:spacing w:after="0" w:afterAutospacing="0"/>
              <w:ind w:firstLine="0"/>
            </w:pPr>
          </w:p>
          <w:p w14:paraId="26CC4973" w14:textId="77777777" w:rsidR="00650E3B" w:rsidRDefault="00650E3B" w:rsidP="000F6488">
            <w:pPr>
              <w:pStyle w:val="0Maintext"/>
              <w:spacing w:after="0" w:afterAutospacing="0"/>
              <w:ind w:firstLine="0"/>
            </w:pPr>
            <w:r>
              <w:lastRenderedPageBreak/>
              <w:t>For the case proposed by company, p</w:t>
            </w:r>
            <w:r w:rsidRPr="00790B86">
              <w:t>reparing an encoding for single PSSCH within one RB set, but decide which RB set based on LBT outcome on multiple RB sets</w:t>
            </w:r>
            <w:r>
              <w:t>, we think further investigation should be had. B</w:t>
            </w:r>
            <w:r w:rsidRPr="00790B86">
              <w:t>ecause the location of TB is unclear before LBT</w:t>
            </w:r>
            <w:r>
              <w:t xml:space="preserve"> in this case</w:t>
            </w:r>
            <w:r w:rsidRPr="00790B86">
              <w:t>, UE cannot perform mapping</w:t>
            </w:r>
            <w:r>
              <w:t xml:space="preserve"> </w:t>
            </w:r>
            <w:r w:rsidRPr="00790B86">
              <w:t>in advance like licensed band did, more processing time is needed after LBT succeed. Especially for Type 2 LBT, there may be only 5us to perform PHY processing and Tx/Rx switching.</w:t>
            </w:r>
            <w:r>
              <w:t xml:space="preserve"> Therefore, we think more investigation is needed here.</w:t>
            </w:r>
          </w:p>
          <w:p w14:paraId="062A8291" w14:textId="77777777" w:rsidR="00650E3B" w:rsidRDefault="00650E3B" w:rsidP="000F6488">
            <w:pPr>
              <w:pStyle w:val="0Maintext"/>
              <w:spacing w:after="0" w:afterAutospacing="0"/>
              <w:ind w:firstLine="0"/>
            </w:pPr>
          </w:p>
          <w:p w14:paraId="27DFBA96" w14:textId="77777777" w:rsidR="00650E3B" w:rsidRDefault="00650E3B" w:rsidP="000F6488">
            <w:pPr>
              <w:pStyle w:val="0Maintext"/>
              <w:spacing w:after="0" w:afterAutospacing="0"/>
              <w:ind w:firstLine="0"/>
            </w:pPr>
            <w:r>
              <w:t>We have following suggestions on the proposal.</w:t>
            </w:r>
          </w:p>
          <w:p w14:paraId="4D05D206" w14:textId="77777777" w:rsidR="00650E3B" w:rsidRPr="00C65E36" w:rsidRDefault="00650E3B" w:rsidP="000F6488">
            <w:pPr>
              <w:autoSpaceDE w:val="0"/>
              <w:autoSpaceDN w:val="0"/>
              <w:spacing w:before="120"/>
              <w:jc w:val="both"/>
              <w:rPr>
                <w:rFonts w:ascii="Calibri" w:hAnsi="Calibri" w:cs="Calibri"/>
                <w:sz w:val="22"/>
              </w:rPr>
            </w:pPr>
            <w:r w:rsidRPr="00C65E36">
              <w:rPr>
                <w:rFonts w:ascii="Calibri" w:hAnsi="Calibri" w:cs="Calibri"/>
                <w:b/>
                <w:bCs/>
                <w:sz w:val="22"/>
                <w:highlight w:val="yellow"/>
              </w:rPr>
              <w:t xml:space="preserve">Proposal </w:t>
            </w:r>
            <w:r>
              <w:rPr>
                <w:rFonts w:ascii="Calibri" w:hAnsi="Calibri" w:cs="Calibri"/>
                <w:b/>
                <w:bCs/>
                <w:sz w:val="22"/>
                <w:highlight w:val="yellow"/>
              </w:rPr>
              <w:t>6</w:t>
            </w:r>
            <w:r w:rsidRPr="00C65E36">
              <w:rPr>
                <w:rFonts w:ascii="Calibri" w:hAnsi="Calibri" w:cs="Calibri"/>
                <w:b/>
                <w:bCs/>
                <w:sz w:val="22"/>
                <w:highlight w:val="yellow"/>
              </w:rPr>
              <w:t xml:space="preserve"> (I</w:t>
            </w:r>
            <w:r>
              <w:rPr>
                <w:rFonts w:ascii="Calibri" w:hAnsi="Calibri" w:cs="Calibri"/>
                <w:b/>
                <w:bCs/>
                <w:sz w:val="22"/>
                <w:highlight w:val="yellow"/>
              </w:rPr>
              <w:t>I</w:t>
            </w:r>
            <w:r w:rsidRPr="00C65E36">
              <w:rPr>
                <w:rFonts w:ascii="Calibri" w:hAnsi="Calibri" w:cs="Calibri"/>
                <w:b/>
                <w:bCs/>
                <w:sz w:val="22"/>
                <w:highlight w:val="yellow"/>
              </w:rPr>
              <w:t>):</w:t>
            </w:r>
          </w:p>
          <w:p w14:paraId="73571F98" w14:textId="77777777" w:rsidR="00650E3B" w:rsidRPr="00957C70" w:rsidRDefault="00650E3B" w:rsidP="000F6488">
            <w:pPr>
              <w:numPr>
                <w:ilvl w:val="0"/>
                <w:numId w:val="26"/>
              </w:numPr>
              <w:autoSpaceDE w:val="0"/>
              <w:autoSpaceDN w:val="0"/>
              <w:spacing w:after="60"/>
              <w:jc w:val="both"/>
              <w:rPr>
                <w:rFonts w:ascii="Calibri" w:hAnsi="Calibri" w:cs="Calibri"/>
                <w:sz w:val="22"/>
                <w:lang w:val="en-US" w:eastAsia="x-none"/>
              </w:rPr>
            </w:pPr>
            <w:r w:rsidRPr="00957C70">
              <w:rPr>
                <w:rFonts w:ascii="Calibri" w:hAnsi="Calibri" w:cs="Calibri" w:hint="eastAsia"/>
                <w:sz w:val="22"/>
                <w:lang w:val="en-US" w:eastAsia="x-none"/>
              </w:rPr>
              <w:t xml:space="preserve">For </w:t>
            </w:r>
            <w:r w:rsidRPr="00AF4E92">
              <w:rPr>
                <w:rFonts w:ascii="Calibri" w:hAnsi="Calibri" w:cs="Calibri"/>
                <w:color w:val="FF0000"/>
                <w:sz w:val="22"/>
                <w:lang w:val="en-US" w:eastAsia="x-none"/>
              </w:rPr>
              <w:t>dynamic mode</w:t>
            </w:r>
            <w:r>
              <w:rPr>
                <w:rFonts w:ascii="Calibri" w:hAnsi="Calibri" w:cs="Calibri"/>
                <w:sz w:val="22"/>
                <w:lang w:val="en-US" w:eastAsia="x-none"/>
              </w:rPr>
              <w:t xml:space="preserve"> </w:t>
            </w:r>
            <w:r w:rsidRPr="00957C70">
              <w:rPr>
                <w:rFonts w:ascii="Calibri" w:hAnsi="Calibri" w:cs="Calibri" w:hint="eastAsia"/>
                <w:sz w:val="22"/>
                <w:lang w:val="en-US" w:eastAsia="x-none"/>
              </w:rPr>
              <w:t>multiple channel access in SL-U</w:t>
            </w:r>
            <w:r w:rsidRPr="00AF4E92">
              <w:rPr>
                <w:rFonts w:ascii="Calibri" w:hAnsi="Calibri" w:cs="Calibri" w:hint="eastAsia"/>
                <w:color w:val="FF0000"/>
                <w:sz w:val="22"/>
                <w:lang w:val="en-US" w:eastAsia="x-none"/>
              </w:rPr>
              <w:t>,</w:t>
            </w:r>
            <w:r w:rsidRPr="00AF4E92">
              <w:rPr>
                <w:rFonts w:ascii="Calibri" w:hAnsi="Calibri" w:cs="Calibri"/>
                <w:color w:val="FF0000"/>
                <w:sz w:val="22"/>
                <w:lang w:val="en-US" w:eastAsia="x-none"/>
              </w:rPr>
              <w:t xml:space="preserve"> the followings are supported for SL-U</w:t>
            </w:r>
          </w:p>
          <w:p w14:paraId="70640E3D" w14:textId="77777777" w:rsidR="00650E3B" w:rsidRPr="005939B9" w:rsidRDefault="00650E3B" w:rsidP="000F6488">
            <w:pPr>
              <w:numPr>
                <w:ilvl w:val="1"/>
                <w:numId w:val="26"/>
              </w:numPr>
              <w:autoSpaceDE w:val="0"/>
              <w:autoSpaceDN w:val="0"/>
              <w:spacing w:after="60"/>
              <w:jc w:val="both"/>
              <w:rPr>
                <w:rFonts w:ascii="Calibri" w:hAnsi="Calibri" w:cs="Calibri"/>
                <w:sz w:val="22"/>
                <w:lang w:val="en-US" w:eastAsia="x-none"/>
              </w:rPr>
            </w:pPr>
            <w:r w:rsidRPr="00AF4E92">
              <w:rPr>
                <w:rFonts w:ascii="Calibri" w:hAnsi="Calibri" w:cs="Calibri" w:hint="eastAsia"/>
                <w:strike/>
                <w:color w:val="FF0000"/>
                <w:sz w:val="22"/>
                <w:lang w:val="en-US" w:eastAsia="x-none"/>
              </w:rPr>
              <w:t>Option 1:</w:t>
            </w:r>
            <w:r w:rsidRPr="00AF4E92">
              <w:rPr>
                <w:rFonts w:ascii="Calibri" w:hAnsi="Calibri" w:cs="Calibri" w:hint="eastAsia"/>
                <w:color w:val="FF0000"/>
                <w:sz w:val="22"/>
                <w:lang w:val="en-US" w:eastAsia="x-none"/>
              </w:rPr>
              <w:t xml:space="preserve"> </w:t>
            </w:r>
            <w:r w:rsidRPr="00957C70">
              <w:rPr>
                <w:rFonts w:ascii="Calibri" w:hAnsi="Calibri" w:cs="Calibri" w:hint="eastAsia"/>
                <w:sz w:val="22"/>
                <w:lang w:val="en-US" w:eastAsia="x-none"/>
              </w:rPr>
              <w:t xml:space="preserve">NR-U DL (Type A and Type B) channel access procedures </w:t>
            </w:r>
            <w:r w:rsidRPr="00AF4E92">
              <w:rPr>
                <w:rFonts w:ascii="Calibri" w:hAnsi="Calibri" w:cs="Calibri" w:hint="eastAsia"/>
                <w:strike/>
                <w:color w:val="FF0000"/>
                <w:sz w:val="22"/>
                <w:lang w:val="en-US" w:eastAsia="x-none"/>
              </w:rPr>
              <w:t>are supported for SL-U</w:t>
            </w:r>
            <w:r>
              <w:rPr>
                <w:rFonts w:ascii="Calibri" w:hAnsi="Calibri" w:cs="Calibri"/>
                <w:strike/>
                <w:color w:val="FF0000"/>
                <w:sz w:val="22"/>
                <w:lang w:val="en-US" w:eastAsia="x-none"/>
              </w:rPr>
              <w:t xml:space="preserve"> </w:t>
            </w:r>
            <w:r w:rsidRPr="005939B9">
              <w:rPr>
                <w:rFonts w:ascii="Calibri" w:hAnsi="Calibri" w:cs="Calibri"/>
                <w:color w:val="00B050"/>
                <w:sz w:val="22"/>
                <w:lang w:val="en-US" w:eastAsia="x-none"/>
              </w:rPr>
              <w:t>at least for PSFCH format 0</w:t>
            </w:r>
          </w:p>
          <w:p w14:paraId="49833C76" w14:textId="77777777" w:rsidR="00650E3B" w:rsidRPr="005939B9" w:rsidRDefault="00650E3B" w:rsidP="000F6488">
            <w:pPr>
              <w:numPr>
                <w:ilvl w:val="2"/>
                <w:numId w:val="26"/>
              </w:numPr>
              <w:autoSpaceDE w:val="0"/>
              <w:autoSpaceDN w:val="0"/>
              <w:spacing w:after="60"/>
              <w:jc w:val="both"/>
              <w:rPr>
                <w:rFonts w:ascii="Calibri" w:hAnsi="Calibri" w:cs="Calibri"/>
                <w:color w:val="00B050"/>
                <w:sz w:val="22"/>
                <w:lang w:val="en-US" w:eastAsia="x-none"/>
              </w:rPr>
            </w:pPr>
            <w:r w:rsidRPr="005939B9">
              <w:rPr>
                <w:rFonts w:ascii="Calibri" w:hAnsi="Calibri" w:cs="Calibri"/>
                <w:color w:val="00B050"/>
                <w:sz w:val="22"/>
                <w:lang w:val="en-US" w:eastAsia="x-none"/>
              </w:rPr>
              <w:t>FFS: other possible scenarios and constraints</w:t>
            </w:r>
          </w:p>
          <w:p w14:paraId="4AB34FE9" w14:textId="77777777" w:rsidR="00650E3B" w:rsidRPr="00957C70" w:rsidRDefault="00650E3B" w:rsidP="000F6488">
            <w:pPr>
              <w:numPr>
                <w:ilvl w:val="1"/>
                <w:numId w:val="26"/>
              </w:numPr>
              <w:autoSpaceDE w:val="0"/>
              <w:autoSpaceDN w:val="0"/>
              <w:spacing w:after="60"/>
              <w:jc w:val="both"/>
              <w:rPr>
                <w:rFonts w:ascii="Calibri" w:hAnsi="Calibri" w:cs="Calibri"/>
                <w:sz w:val="22"/>
                <w:lang w:val="en-US" w:eastAsia="x-none"/>
              </w:rPr>
            </w:pPr>
            <w:r w:rsidRPr="00AF4E92">
              <w:rPr>
                <w:rFonts w:ascii="Calibri" w:hAnsi="Calibri" w:cs="Calibri" w:hint="eastAsia"/>
                <w:strike/>
                <w:color w:val="FF0000"/>
                <w:sz w:val="22"/>
                <w:lang w:val="en-US" w:eastAsia="x-none"/>
              </w:rPr>
              <w:t>Option 2:</w:t>
            </w:r>
            <w:r w:rsidRPr="00AF4E92">
              <w:rPr>
                <w:rFonts w:ascii="Calibri" w:hAnsi="Calibri" w:cs="Calibri" w:hint="eastAsia"/>
                <w:color w:val="FF0000"/>
                <w:sz w:val="22"/>
                <w:lang w:val="en-US" w:eastAsia="x-none"/>
              </w:rPr>
              <w:t xml:space="preserve"> </w:t>
            </w:r>
            <w:r w:rsidRPr="00957C70">
              <w:rPr>
                <w:rFonts w:ascii="Calibri" w:hAnsi="Calibri" w:cs="Calibri" w:hint="eastAsia"/>
                <w:sz w:val="22"/>
                <w:lang w:val="en-US" w:eastAsia="x-none"/>
              </w:rPr>
              <w:t xml:space="preserve">NR-U UL channel access procedure </w:t>
            </w:r>
            <w:r w:rsidRPr="00AF4E92">
              <w:rPr>
                <w:rFonts w:ascii="Calibri" w:hAnsi="Calibri" w:cs="Calibri" w:hint="eastAsia"/>
                <w:strike/>
                <w:color w:val="FF0000"/>
                <w:sz w:val="22"/>
                <w:lang w:val="en-US" w:eastAsia="x-none"/>
              </w:rPr>
              <w:t>is supported for SL-U</w:t>
            </w:r>
          </w:p>
          <w:p w14:paraId="5C0D7DB4" w14:textId="77777777" w:rsidR="00650E3B" w:rsidRPr="00AF4E92" w:rsidRDefault="00650E3B" w:rsidP="000F6488">
            <w:pPr>
              <w:numPr>
                <w:ilvl w:val="1"/>
                <w:numId w:val="26"/>
              </w:numPr>
              <w:autoSpaceDE w:val="0"/>
              <w:autoSpaceDN w:val="0"/>
              <w:spacing w:after="60"/>
              <w:jc w:val="both"/>
              <w:rPr>
                <w:rFonts w:ascii="Calibri" w:hAnsi="Calibri" w:cs="Calibri"/>
                <w:strike/>
                <w:color w:val="FF0000"/>
                <w:sz w:val="22"/>
                <w:lang w:val="en-US" w:eastAsia="x-none"/>
              </w:rPr>
            </w:pPr>
            <w:r w:rsidRPr="00AF4E92">
              <w:rPr>
                <w:rFonts w:ascii="Calibri" w:hAnsi="Calibri" w:cs="Calibri" w:hint="eastAsia"/>
                <w:strike/>
                <w:color w:val="FF0000"/>
                <w:sz w:val="22"/>
                <w:lang w:val="en-US" w:eastAsia="x-none"/>
              </w:rPr>
              <w:t xml:space="preserve">Option 3: Option 1 </w:t>
            </w:r>
            <w:r w:rsidRPr="00AF4E92">
              <w:rPr>
                <w:rFonts w:ascii="Calibri" w:hAnsi="Calibri" w:cs="Calibri"/>
                <w:strike/>
                <w:color w:val="FF0000"/>
                <w:sz w:val="22"/>
                <w:lang w:val="en-US" w:eastAsia="x-none"/>
              </w:rPr>
              <w:t>+</w:t>
            </w:r>
            <w:r w:rsidRPr="00AF4E92">
              <w:rPr>
                <w:rFonts w:ascii="Calibri" w:hAnsi="Calibri" w:cs="Calibri" w:hint="eastAsia"/>
                <w:strike/>
                <w:color w:val="FF0000"/>
                <w:sz w:val="22"/>
                <w:lang w:val="en-US" w:eastAsia="x-none"/>
              </w:rPr>
              <w:t xml:space="preserve"> Option 2</w:t>
            </w:r>
          </w:p>
          <w:p w14:paraId="0C9C36FD" w14:textId="77777777" w:rsidR="00650E3B" w:rsidRPr="00AF4E92" w:rsidRDefault="00650E3B" w:rsidP="000F6488">
            <w:pPr>
              <w:numPr>
                <w:ilvl w:val="1"/>
                <w:numId w:val="26"/>
              </w:numPr>
              <w:autoSpaceDE w:val="0"/>
              <w:autoSpaceDN w:val="0"/>
              <w:spacing w:after="120"/>
              <w:jc w:val="both"/>
              <w:rPr>
                <w:rFonts w:ascii="Calibri" w:hAnsi="Calibri" w:cs="Calibri"/>
                <w:sz w:val="22"/>
                <w:lang w:val="en-US" w:eastAsia="x-none"/>
              </w:rPr>
            </w:pPr>
            <w:r w:rsidRPr="00957C70">
              <w:rPr>
                <w:rFonts w:ascii="Calibri" w:hAnsi="Calibri" w:cs="Calibri" w:hint="eastAsia"/>
                <w:sz w:val="22"/>
                <w:lang w:val="en-AU" w:eastAsia="x-none"/>
              </w:rPr>
              <w:t>FFS any necessary enhancement and modification for SL-U operation</w:t>
            </w:r>
          </w:p>
          <w:p w14:paraId="5FF63E28" w14:textId="77777777" w:rsidR="00650E3B" w:rsidRPr="005939B9" w:rsidRDefault="00650E3B" w:rsidP="000F6488">
            <w:pPr>
              <w:numPr>
                <w:ilvl w:val="1"/>
                <w:numId w:val="26"/>
              </w:numPr>
              <w:autoSpaceDE w:val="0"/>
              <w:autoSpaceDN w:val="0"/>
              <w:spacing w:after="120"/>
              <w:jc w:val="both"/>
              <w:rPr>
                <w:rFonts w:ascii="Calibri" w:hAnsi="Calibri" w:cs="Calibri"/>
                <w:strike/>
                <w:color w:val="FF0000"/>
                <w:sz w:val="22"/>
                <w:lang w:val="en-US" w:eastAsia="x-none"/>
              </w:rPr>
            </w:pPr>
            <w:r w:rsidRPr="005939B9">
              <w:rPr>
                <w:rFonts w:ascii="Calibri" w:hAnsi="Calibri" w:cs="Calibri"/>
                <w:strike/>
                <w:color w:val="00B050"/>
                <w:sz w:val="22"/>
                <w:lang w:val="en-AU" w:eastAsia="x-none"/>
              </w:rPr>
              <w:t xml:space="preserve">FFS applicable SL transmission/channel type(s) and scenario(s) for using the NR-U DL and UL </w:t>
            </w:r>
            <w:r w:rsidRPr="005939B9">
              <w:rPr>
                <w:rFonts w:ascii="Calibri" w:hAnsi="Calibri" w:cs="Calibri" w:hint="eastAsia"/>
                <w:strike/>
                <w:color w:val="00B050"/>
                <w:sz w:val="22"/>
                <w:lang w:val="en-US" w:eastAsia="x-none"/>
              </w:rPr>
              <w:t>channel access procedures</w:t>
            </w:r>
          </w:p>
        </w:tc>
      </w:tr>
      <w:tr w:rsidR="00650E3B" w14:paraId="7EFF4F31" w14:textId="77777777" w:rsidTr="00650E3B">
        <w:tc>
          <w:tcPr>
            <w:tcW w:w="1555" w:type="dxa"/>
          </w:tcPr>
          <w:p w14:paraId="260B9290" w14:textId="77777777" w:rsidR="00650E3B" w:rsidRPr="000E5AC4" w:rsidRDefault="00650E3B" w:rsidP="000F6488">
            <w:pPr>
              <w:pStyle w:val="0Maintext"/>
              <w:spacing w:after="0" w:afterAutospacing="0"/>
              <w:ind w:firstLine="0"/>
              <w:rPr>
                <w:rFonts w:eastAsiaTheme="minorEastAsia"/>
                <w:lang w:eastAsia="zh-CN"/>
              </w:rPr>
            </w:pPr>
            <w:r>
              <w:rPr>
                <w:rFonts w:eastAsiaTheme="minorEastAsia" w:hint="eastAsia"/>
                <w:lang w:eastAsia="zh-CN"/>
              </w:rPr>
              <w:lastRenderedPageBreak/>
              <w:t>x</w:t>
            </w:r>
            <w:r>
              <w:rPr>
                <w:rFonts w:eastAsiaTheme="minorEastAsia"/>
                <w:lang w:eastAsia="zh-CN"/>
              </w:rPr>
              <w:t>iaomi</w:t>
            </w:r>
          </w:p>
        </w:tc>
        <w:tc>
          <w:tcPr>
            <w:tcW w:w="8076" w:type="dxa"/>
          </w:tcPr>
          <w:p w14:paraId="655EC02C" w14:textId="37F8ABD0" w:rsidR="00650E3B" w:rsidRDefault="00650E3B" w:rsidP="00D0325D">
            <w:pPr>
              <w:pStyle w:val="0Maintext"/>
              <w:spacing w:after="0" w:afterAutospacing="0" w:line="240" w:lineRule="auto"/>
              <w:ind w:firstLine="0"/>
            </w:pPr>
            <w:r>
              <w:t xml:space="preserve">We are fine with the FL’s </w:t>
            </w:r>
            <w:r>
              <w:rPr>
                <w:rFonts w:hint="eastAsia"/>
              </w:rPr>
              <w:t>proposa</w:t>
            </w:r>
            <w:r>
              <w:t>l</w:t>
            </w:r>
            <w:r>
              <w:rPr>
                <w:rFonts w:asciiTheme="minorEastAsia" w:eastAsiaTheme="minorEastAsia" w:hAnsiTheme="minorEastAsia" w:hint="eastAsia"/>
                <w:lang w:eastAsia="zh-CN"/>
              </w:rPr>
              <w:t>.</w:t>
            </w:r>
          </w:p>
        </w:tc>
      </w:tr>
      <w:tr w:rsidR="00D0325D" w14:paraId="76E2CC3E" w14:textId="77777777" w:rsidTr="00D0325D">
        <w:tc>
          <w:tcPr>
            <w:tcW w:w="1555" w:type="dxa"/>
          </w:tcPr>
          <w:p w14:paraId="3A153289" w14:textId="77777777" w:rsidR="00D0325D" w:rsidRPr="004A703B" w:rsidRDefault="00D0325D" w:rsidP="000F6488">
            <w:r w:rsidRPr="004A703B">
              <w:t>NEC</w:t>
            </w:r>
          </w:p>
        </w:tc>
        <w:tc>
          <w:tcPr>
            <w:tcW w:w="8076" w:type="dxa"/>
          </w:tcPr>
          <w:p w14:paraId="5A407C06" w14:textId="77777777" w:rsidR="00D0325D" w:rsidRDefault="00D0325D" w:rsidP="000F6488">
            <w:r w:rsidRPr="004A703B">
              <w:t>We are fine with the proposal.</w:t>
            </w:r>
          </w:p>
        </w:tc>
      </w:tr>
    </w:tbl>
    <w:p w14:paraId="75C13B0B" w14:textId="7507B78B" w:rsidR="00FD61C8" w:rsidRDefault="00FD61C8" w:rsidP="00CD608C">
      <w:pPr>
        <w:autoSpaceDE w:val="0"/>
        <w:autoSpaceDN w:val="0"/>
        <w:jc w:val="both"/>
        <w:rPr>
          <w:rFonts w:ascii="Calibri" w:hAnsi="Calibri" w:cs="Calibri"/>
          <w:color w:val="FF0000"/>
          <w:sz w:val="22"/>
        </w:rPr>
      </w:pPr>
    </w:p>
    <w:p w14:paraId="44194E46" w14:textId="19DCBA29" w:rsidR="00AE3CCC" w:rsidRDefault="00AE3CCC" w:rsidP="00CD608C">
      <w:pPr>
        <w:autoSpaceDE w:val="0"/>
        <w:autoSpaceDN w:val="0"/>
        <w:jc w:val="both"/>
        <w:rPr>
          <w:rFonts w:ascii="Calibri" w:hAnsi="Calibri" w:cs="Calibri"/>
          <w:color w:val="FF0000"/>
          <w:sz w:val="22"/>
        </w:rPr>
      </w:pPr>
    </w:p>
    <w:p w14:paraId="46CEAE3E" w14:textId="77777777" w:rsidR="00AE3CCC" w:rsidRDefault="00AE3CCC" w:rsidP="00AE3CCC">
      <w:pPr>
        <w:pStyle w:val="Heading3"/>
      </w:pPr>
      <w:r>
        <w:t>FL Proposal for Week 1 Thursday GTW session</w:t>
      </w:r>
    </w:p>
    <w:p w14:paraId="01FF68D4" w14:textId="44CB4355" w:rsidR="00AE3CCC" w:rsidRPr="00D567B9" w:rsidRDefault="00AE3CCC" w:rsidP="00AE3CCC">
      <w:pPr>
        <w:autoSpaceDE w:val="0"/>
        <w:autoSpaceDN w:val="0"/>
        <w:spacing w:before="120" w:after="120"/>
        <w:jc w:val="both"/>
        <w:rPr>
          <w:rFonts w:ascii="Calibri" w:hAnsi="Calibri" w:cs="Calibri"/>
          <w:sz w:val="22"/>
          <w:u w:val="single"/>
        </w:rPr>
      </w:pPr>
      <w:r w:rsidRPr="00D567B9">
        <w:rPr>
          <w:rFonts w:ascii="Calibri" w:hAnsi="Calibri" w:cs="Calibri"/>
          <w:sz w:val="22"/>
          <w:u w:val="single"/>
        </w:rPr>
        <w:t xml:space="preserve">FL </w:t>
      </w:r>
      <w:r>
        <w:rPr>
          <w:rFonts w:ascii="Calibri" w:hAnsi="Calibri" w:cs="Calibri"/>
          <w:sz w:val="22"/>
          <w:u w:val="single"/>
        </w:rPr>
        <w:t>responses</w:t>
      </w:r>
      <w:r w:rsidRPr="00D567B9">
        <w:rPr>
          <w:rFonts w:ascii="Calibri" w:hAnsi="Calibri" w:cs="Calibri"/>
          <w:sz w:val="22"/>
          <w:u w:val="single"/>
        </w:rPr>
        <w:t xml:space="preserve"> based on </w:t>
      </w:r>
      <w:r>
        <w:rPr>
          <w:rFonts w:ascii="Calibri" w:hAnsi="Calibri" w:cs="Calibri"/>
          <w:sz w:val="22"/>
          <w:u w:val="single"/>
        </w:rPr>
        <w:t>inputs in Section 3.6.3</w:t>
      </w:r>
      <w:r w:rsidRPr="00D567B9">
        <w:rPr>
          <w:rFonts w:ascii="Calibri" w:hAnsi="Calibri" w:cs="Calibri"/>
          <w:sz w:val="22"/>
          <w:u w:val="single"/>
        </w:rPr>
        <w:t>:</w:t>
      </w:r>
    </w:p>
    <w:p w14:paraId="33F7EDE0" w14:textId="2779DA2B" w:rsidR="00BD0F06" w:rsidRDefault="00BD0F06" w:rsidP="00BD0F06">
      <w:pPr>
        <w:pStyle w:val="ListParagraph"/>
        <w:numPr>
          <w:ilvl w:val="0"/>
          <w:numId w:val="18"/>
        </w:numPr>
        <w:autoSpaceDE w:val="0"/>
        <w:autoSpaceDN w:val="0"/>
        <w:ind w:leftChars="0"/>
        <w:jc w:val="both"/>
        <w:rPr>
          <w:rFonts w:ascii="Calibri" w:hAnsi="Calibri" w:cs="Calibri"/>
          <w:sz w:val="22"/>
        </w:rPr>
      </w:pPr>
      <w:r>
        <w:rPr>
          <w:rFonts w:ascii="Calibri" w:hAnsi="Calibri" w:cs="Calibri"/>
          <w:sz w:val="22"/>
        </w:rPr>
        <w:t>@DCM and Lenovo, I can now see the confusion you are having. The proposal earlier was not clear about the DL and UL channel access procedure. Please find below an update proposal to clarify the DL and UL procedures from NR-U are meant to be from the multiple channel access procedure section.</w:t>
      </w:r>
    </w:p>
    <w:p w14:paraId="08B36051" w14:textId="768C792A" w:rsidR="00DD572C" w:rsidRDefault="00DD572C" w:rsidP="00DD572C">
      <w:pPr>
        <w:pStyle w:val="ListParagraph"/>
        <w:numPr>
          <w:ilvl w:val="1"/>
          <w:numId w:val="18"/>
        </w:numPr>
        <w:autoSpaceDE w:val="0"/>
        <w:autoSpaceDN w:val="0"/>
        <w:ind w:leftChars="0"/>
        <w:jc w:val="both"/>
        <w:rPr>
          <w:rFonts w:ascii="Calibri" w:hAnsi="Calibri" w:cs="Calibri"/>
          <w:sz w:val="22"/>
        </w:rPr>
      </w:pPr>
      <w:r>
        <w:rPr>
          <w:rFonts w:ascii="Calibri" w:hAnsi="Calibri" w:cs="Calibri"/>
          <w:sz w:val="22"/>
        </w:rPr>
        <w:t>For the applicable scenarios and channels, it is proposed to be further discussed as captured in the second FFS.</w:t>
      </w:r>
      <w:r w:rsidR="00DA54B6">
        <w:rPr>
          <w:rFonts w:ascii="Calibri" w:hAnsi="Calibri" w:cs="Calibri"/>
          <w:sz w:val="22"/>
        </w:rPr>
        <w:t xml:space="preserve"> This will include the two aspects you have mentioned.</w:t>
      </w:r>
    </w:p>
    <w:p w14:paraId="52D49CDA" w14:textId="419234A2" w:rsidR="00AE3CCC" w:rsidRDefault="00AE3CCC" w:rsidP="00CD608C">
      <w:pPr>
        <w:autoSpaceDE w:val="0"/>
        <w:autoSpaceDN w:val="0"/>
        <w:jc w:val="both"/>
        <w:rPr>
          <w:rFonts w:ascii="Calibri" w:hAnsi="Calibri" w:cs="Calibri"/>
          <w:color w:val="FF0000"/>
          <w:sz w:val="22"/>
        </w:rPr>
      </w:pPr>
    </w:p>
    <w:p w14:paraId="2FBB8CB2" w14:textId="1BF6F4E4" w:rsidR="00AE3CCC" w:rsidRPr="00C65E36" w:rsidRDefault="00AE3CCC" w:rsidP="00AE3CCC">
      <w:pPr>
        <w:autoSpaceDE w:val="0"/>
        <w:autoSpaceDN w:val="0"/>
        <w:spacing w:before="120"/>
        <w:jc w:val="both"/>
        <w:rPr>
          <w:rFonts w:ascii="Calibri" w:hAnsi="Calibri" w:cs="Calibri"/>
          <w:sz w:val="22"/>
        </w:rPr>
      </w:pPr>
      <w:r w:rsidRPr="00650E3B">
        <w:rPr>
          <w:rFonts w:ascii="Calibri" w:hAnsi="Calibri" w:cs="Calibri"/>
          <w:b/>
          <w:bCs/>
          <w:sz w:val="22"/>
        </w:rPr>
        <w:t>Proposal 6 (III):</w:t>
      </w:r>
    </w:p>
    <w:p w14:paraId="49114282" w14:textId="7D805340" w:rsidR="00AE3CCC" w:rsidRPr="00957C70" w:rsidRDefault="00AE3CCC" w:rsidP="00AE3CCC">
      <w:pPr>
        <w:numPr>
          <w:ilvl w:val="0"/>
          <w:numId w:val="26"/>
        </w:numPr>
        <w:autoSpaceDE w:val="0"/>
        <w:autoSpaceDN w:val="0"/>
        <w:spacing w:after="60"/>
        <w:jc w:val="both"/>
        <w:rPr>
          <w:rFonts w:ascii="Calibri" w:hAnsi="Calibri" w:cs="Calibri"/>
          <w:sz w:val="22"/>
          <w:lang w:val="en-US" w:eastAsia="x-none"/>
        </w:rPr>
      </w:pPr>
      <w:r w:rsidRPr="00957C70">
        <w:rPr>
          <w:rFonts w:ascii="Calibri" w:hAnsi="Calibri" w:cs="Calibri" w:hint="eastAsia"/>
          <w:sz w:val="22"/>
          <w:lang w:val="en-US" w:eastAsia="x-none"/>
        </w:rPr>
        <w:t xml:space="preserve">For </w:t>
      </w:r>
      <w:r w:rsidRPr="00AF4E92">
        <w:rPr>
          <w:rFonts w:ascii="Calibri" w:hAnsi="Calibri" w:cs="Calibri"/>
          <w:color w:val="FF0000"/>
          <w:sz w:val="22"/>
          <w:lang w:val="en-US" w:eastAsia="x-none"/>
        </w:rPr>
        <w:t>dynamic mode</w:t>
      </w:r>
      <w:r>
        <w:rPr>
          <w:rFonts w:ascii="Calibri" w:hAnsi="Calibri" w:cs="Calibri"/>
          <w:sz w:val="22"/>
          <w:lang w:val="en-US" w:eastAsia="x-none"/>
        </w:rPr>
        <w:t xml:space="preserve"> </w:t>
      </w:r>
      <w:r w:rsidRPr="00957C70">
        <w:rPr>
          <w:rFonts w:ascii="Calibri" w:hAnsi="Calibri" w:cs="Calibri" w:hint="eastAsia"/>
          <w:sz w:val="22"/>
          <w:lang w:val="en-US" w:eastAsia="x-none"/>
        </w:rPr>
        <w:t>multiple channel access in SL-U</w:t>
      </w:r>
      <w:r w:rsidRPr="00AF4E92">
        <w:rPr>
          <w:rFonts w:ascii="Calibri" w:hAnsi="Calibri" w:cs="Calibri" w:hint="eastAsia"/>
          <w:color w:val="FF0000"/>
          <w:sz w:val="22"/>
          <w:lang w:val="en-US" w:eastAsia="x-none"/>
        </w:rPr>
        <w:t>,</w:t>
      </w:r>
      <w:r w:rsidRPr="00AF4E92">
        <w:rPr>
          <w:rFonts w:ascii="Calibri" w:hAnsi="Calibri" w:cs="Calibri"/>
          <w:color w:val="FF0000"/>
          <w:sz w:val="22"/>
          <w:lang w:val="en-US" w:eastAsia="x-none"/>
        </w:rPr>
        <w:t xml:space="preserve"> the followings are </w:t>
      </w:r>
      <w:r w:rsidR="00DD572C" w:rsidRPr="00DD572C">
        <w:rPr>
          <w:rFonts w:ascii="Calibri" w:hAnsi="Calibri" w:cs="Calibri"/>
          <w:color w:val="0070C0"/>
          <w:sz w:val="22"/>
          <w:lang w:val="en-US" w:eastAsia="x-none"/>
        </w:rPr>
        <w:t xml:space="preserve">considered as baseline </w:t>
      </w:r>
      <w:r w:rsidRPr="00AF4E92">
        <w:rPr>
          <w:rFonts w:ascii="Calibri" w:hAnsi="Calibri" w:cs="Calibri"/>
          <w:color w:val="FF0000"/>
          <w:sz w:val="22"/>
          <w:lang w:val="en-US" w:eastAsia="x-none"/>
        </w:rPr>
        <w:t>for SL-U</w:t>
      </w:r>
    </w:p>
    <w:p w14:paraId="363157C2" w14:textId="30442CDC" w:rsidR="00AE3CCC" w:rsidRPr="00957C70" w:rsidRDefault="00AE3CCC" w:rsidP="00AE3CCC">
      <w:pPr>
        <w:numPr>
          <w:ilvl w:val="1"/>
          <w:numId w:val="26"/>
        </w:numPr>
        <w:autoSpaceDE w:val="0"/>
        <w:autoSpaceDN w:val="0"/>
        <w:spacing w:after="60"/>
        <w:jc w:val="both"/>
        <w:rPr>
          <w:rFonts w:ascii="Calibri" w:hAnsi="Calibri" w:cs="Calibri"/>
          <w:sz w:val="22"/>
          <w:lang w:val="en-US" w:eastAsia="x-none"/>
        </w:rPr>
      </w:pPr>
      <w:r w:rsidRPr="00957C70">
        <w:rPr>
          <w:rFonts w:ascii="Calibri" w:hAnsi="Calibri" w:cs="Calibri" w:hint="eastAsia"/>
          <w:sz w:val="22"/>
          <w:lang w:val="en-US" w:eastAsia="x-none"/>
        </w:rPr>
        <w:t>NR-U DL (Type A and Type B) channel access procedures</w:t>
      </w:r>
      <w:r w:rsidR="00DD572C" w:rsidRPr="00DD572C">
        <w:rPr>
          <w:rFonts w:ascii="Calibri" w:hAnsi="Calibri" w:cs="Calibri"/>
          <w:color w:val="0070C0"/>
          <w:sz w:val="22"/>
          <w:lang w:val="en-US" w:eastAsia="x-none"/>
        </w:rPr>
        <w:t xml:space="preserve"> for transmission(s) on multiple channels</w:t>
      </w:r>
    </w:p>
    <w:p w14:paraId="1E0081D9" w14:textId="03388791" w:rsidR="00AE3CCC" w:rsidRPr="00957C70" w:rsidRDefault="00AE3CCC" w:rsidP="00AE3CCC">
      <w:pPr>
        <w:numPr>
          <w:ilvl w:val="1"/>
          <w:numId w:val="26"/>
        </w:numPr>
        <w:autoSpaceDE w:val="0"/>
        <w:autoSpaceDN w:val="0"/>
        <w:spacing w:after="60"/>
        <w:jc w:val="both"/>
        <w:rPr>
          <w:rFonts w:ascii="Calibri" w:hAnsi="Calibri" w:cs="Calibri"/>
          <w:sz w:val="22"/>
          <w:lang w:val="en-US" w:eastAsia="x-none"/>
        </w:rPr>
      </w:pPr>
      <w:r w:rsidRPr="00957C70">
        <w:rPr>
          <w:rFonts w:ascii="Calibri" w:hAnsi="Calibri" w:cs="Calibri" w:hint="eastAsia"/>
          <w:sz w:val="22"/>
          <w:lang w:val="en-US" w:eastAsia="x-none"/>
        </w:rPr>
        <w:t>NR-U UL channel access procedure</w:t>
      </w:r>
      <w:r w:rsidR="00DD572C">
        <w:rPr>
          <w:rFonts w:ascii="Calibri" w:hAnsi="Calibri" w:cs="Calibri"/>
          <w:sz w:val="22"/>
          <w:lang w:val="en-US" w:eastAsia="x-none"/>
        </w:rPr>
        <w:t xml:space="preserve"> </w:t>
      </w:r>
      <w:r w:rsidR="00DD572C" w:rsidRPr="00DD572C">
        <w:rPr>
          <w:rFonts w:ascii="Calibri" w:hAnsi="Calibri" w:cs="Calibri"/>
          <w:color w:val="0070C0"/>
          <w:sz w:val="22"/>
          <w:lang w:val="en-US" w:eastAsia="x-none"/>
        </w:rPr>
        <w:t>for transmission(s) on multiple channels</w:t>
      </w:r>
    </w:p>
    <w:p w14:paraId="60806674" w14:textId="77777777" w:rsidR="00AE3CCC" w:rsidRPr="00AF4E92" w:rsidRDefault="00AE3CCC" w:rsidP="00AE3CCC">
      <w:pPr>
        <w:numPr>
          <w:ilvl w:val="1"/>
          <w:numId w:val="26"/>
        </w:numPr>
        <w:autoSpaceDE w:val="0"/>
        <w:autoSpaceDN w:val="0"/>
        <w:spacing w:after="120"/>
        <w:jc w:val="both"/>
        <w:rPr>
          <w:rFonts w:ascii="Calibri" w:hAnsi="Calibri" w:cs="Calibri"/>
          <w:sz w:val="22"/>
          <w:lang w:val="en-US" w:eastAsia="x-none"/>
        </w:rPr>
      </w:pPr>
      <w:r w:rsidRPr="00957C70">
        <w:rPr>
          <w:rFonts w:ascii="Calibri" w:hAnsi="Calibri" w:cs="Calibri" w:hint="eastAsia"/>
          <w:sz w:val="22"/>
          <w:lang w:val="en-AU" w:eastAsia="x-none"/>
        </w:rPr>
        <w:t>FFS any necessary enhancement and modification for SL-U operation</w:t>
      </w:r>
    </w:p>
    <w:p w14:paraId="38E74962" w14:textId="0D8E4F03" w:rsidR="00AE3CCC" w:rsidRPr="00516882" w:rsidRDefault="00AE3CCC" w:rsidP="00AE3CCC">
      <w:pPr>
        <w:numPr>
          <w:ilvl w:val="1"/>
          <w:numId w:val="26"/>
        </w:numPr>
        <w:autoSpaceDE w:val="0"/>
        <w:autoSpaceDN w:val="0"/>
        <w:spacing w:after="120"/>
        <w:jc w:val="both"/>
        <w:rPr>
          <w:rFonts w:ascii="Calibri" w:hAnsi="Calibri" w:cs="Calibri"/>
          <w:color w:val="FF0000"/>
          <w:sz w:val="22"/>
          <w:lang w:val="en-US" w:eastAsia="x-none"/>
        </w:rPr>
      </w:pPr>
      <w:r w:rsidRPr="00516882">
        <w:rPr>
          <w:rFonts w:ascii="Calibri" w:hAnsi="Calibri" w:cs="Calibri"/>
          <w:color w:val="FF0000"/>
          <w:sz w:val="22"/>
          <w:lang w:val="en-AU" w:eastAsia="x-none"/>
        </w:rPr>
        <w:t xml:space="preserve">FFS applicable SL transmission/channel type(s) and scenario(s) for using the NR-U DL and UL </w:t>
      </w:r>
      <w:r w:rsidRPr="00516882">
        <w:rPr>
          <w:rFonts w:ascii="Calibri" w:hAnsi="Calibri" w:cs="Calibri" w:hint="eastAsia"/>
          <w:color w:val="FF0000"/>
          <w:sz w:val="22"/>
          <w:lang w:val="en-US" w:eastAsia="x-none"/>
        </w:rPr>
        <w:t>channel access procedures</w:t>
      </w:r>
      <w:r w:rsidR="00DD572C">
        <w:rPr>
          <w:rFonts w:ascii="Calibri" w:hAnsi="Calibri" w:cs="Calibri"/>
          <w:color w:val="FF0000"/>
          <w:sz w:val="22"/>
          <w:lang w:val="en-US" w:eastAsia="x-none"/>
        </w:rPr>
        <w:t xml:space="preserve"> </w:t>
      </w:r>
      <w:r w:rsidR="00DD572C" w:rsidRPr="00DD572C">
        <w:rPr>
          <w:rFonts w:ascii="Calibri" w:hAnsi="Calibri" w:cs="Calibri"/>
          <w:color w:val="0070C0"/>
          <w:sz w:val="22"/>
          <w:lang w:val="en-US" w:eastAsia="x-none"/>
        </w:rPr>
        <w:t>for transmission(s) on multiple channels</w:t>
      </w:r>
    </w:p>
    <w:p w14:paraId="20F9F1BC" w14:textId="0262117F" w:rsidR="00AE3CCC" w:rsidRDefault="00AE3CCC" w:rsidP="00CD608C">
      <w:pPr>
        <w:autoSpaceDE w:val="0"/>
        <w:autoSpaceDN w:val="0"/>
        <w:jc w:val="both"/>
        <w:rPr>
          <w:rFonts w:ascii="Calibri" w:hAnsi="Calibri" w:cs="Calibri"/>
          <w:color w:val="FF0000"/>
          <w:sz w:val="22"/>
          <w:lang w:val="en-US"/>
        </w:rPr>
      </w:pPr>
    </w:p>
    <w:p w14:paraId="20587C72" w14:textId="0BD3EA20" w:rsidR="00650E3B" w:rsidRDefault="00650E3B" w:rsidP="00650E3B">
      <w:pPr>
        <w:pStyle w:val="Heading3"/>
      </w:pPr>
      <w:r>
        <w:t>FL Proposal for round 2 discussion - continuation</w:t>
      </w:r>
    </w:p>
    <w:p w14:paraId="0745EB17" w14:textId="7ADF4D11" w:rsidR="00650E3B" w:rsidRDefault="00650E3B" w:rsidP="00CD608C">
      <w:pPr>
        <w:autoSpaceDE w:val="0"/>
        <w:autoSpaceDN w:val="0"/>
        <w:jc w:val="both"/>
        <w:rPr>
          <w:rFonts w:ascii="Calibri" w:hAnsi="Calibri" w:cs="Calibri"/>
          <w:color w:val="FF0000"/>
          <w:sz w:val="22"/>
        </w:rPr>
      </w:pPr>
    </w:p>
    <w:p w14:paraId="0867C6C6" w14:textId="09FA0203" w:rsidR="00650E3B" w:rsidRPr="00C65E36" w:rsidRDefault="00650E3B" w:rsidP="00650E3B">
      <w:pPr>
        <w:autoSpaceDE w:val="0"/>
        <w:autoSpaceDN w:val="0"/>
        <w:spacing w:before="120"/>
        <w:jc w:val="both"/>
        <w:rPr>
          <w:rFonts w:ascii="Calibri" w:hAnsi="Calibri" w:cs="Calibri"/>
          <w:sz w:val="22"/>
        </w:rPr>
      </w:pPr>
      <w:r w:rsidRPr="00C65E36">
        <w:rPr>
          <w:rFonts w:ascii="Calibri" w:hAnsi="Calibri" w:cs="Calibri"/>
          <w:b/>
          <w:bCs/>
          <w:sz w:val="22"/>
          <w:highlight w:val="yellow"/>
        </w:rPr>
        <w:t xml:space="preserve">Proposal </w:t>
      </w:r>
      <w:r>
        <w:rPr>
          <w:rFonts w:ascii="Calibri" w:hAnsi="Calibri" w:cs="Calibri"/>
          <w:b/>
          <w:bCs/>
          <w:sz w:val="22"/>
          <w:highlight w:val="yellow"/>
        </w:rPr>
        <w:t>6</w:t>
      </w:r>
      <w:r w:rsidRPr="00C65E36">
        <w:rPr>
          <w:rFonts w:ascii="Calibri" w:hAnsi="Calibri" w:cs="Calibri"/>
          <w:b/>
          <w:bCs/>
          <w:sz w:val="22"/>
          <w:highlight w:val="yellow"/>
        </w:rPr>
        <w:t xml:space="preserve"> (I</w:t>
      </w:r>
      <w:r>
        <w:rPr>
          <w:rFonts w:ascii="Calibri" w:hAnsi="Calibri" w:cs="Calibri"/>
          <w:b/>
          <w:bCs/>
          <w:sz w:val="22"/>
          <w:highlight w:val="yellow"/>
        </w:rPr>
        <w:t>V</w:t>
      </w:r>
      <w:r w:rsidRPr="00C65E36">
        <w:rPr>
          <w:rFonts w:ascii="Calibri" w:hAnsi="Calibri" w:cs="Calibri"/>
          <w:b/>
          <w:bCs/>
          <w:sz w:val="22"/>
          <w:highlight w:val="yellow"/>
        </w:rPr>
        <w:t>):</w:t>
      </w:r>
    </w:p>
    <w:p w14:paraId="10413FB2" w14:textId="33622BEF" w:rsidR="00650E3B" w:rsidRPr="00650E3B" w:rsidRDefault="00650E3B" w:rsidP="00650E3B">
      <w:pPr>
        <w:numPr>
          <w:ilvl w:val="0"/>
          <w:numId w:val="26"/>
        </w:numPr>
        <w:autoSpaceDE w:val="0"/>
        <w:autoSpaceDN w:val="0"/>
        <w:jc w:val="both"/>
        <w:rPr>
          <w:rFonts w:ascii="Calibri" w:hAnsi="Calibri" w:cs="Calibri"/>
          <w:color w:val="000000" w:themeColor="text1"/>
          <w:sz w:val="22"/>
          <w:lang w:val="en-US" w:eastAsia="x-none"/>
        </w:rPr>
      </w:pPr>
      <w:r w:rsidRPr="00650E3B">
        <w:rPr>
          <w:rFonts w:ascii="Calibri" w:hAnsi="Calibri" w:cs="Calibri" w:hint="eastAsia"/>
          <w:color w:val="000000" w:themeColor="text1"/>
          <w:sz w:val="22"/>
          <w:lang w:val="en-US" w:eastAsia="x-none"/>
        </w:rPr>
        <w:t xml:space="preserve">For </w:t>
      </w:r>
      <w:r w:rsidRPr="00650E3B">
        <w:rPr>
          <w:rFonts w:ascii="Calibri" w:hAnsi="Calibri" w:cs="Calibri"/>
          <w:color w:val="000000" w:themeColor="text1"/>
          <w:sz w:val="22"/>
          <w:lang w:val="en-US" w:eastAsia="x-none"/>
        </w:rPr>
        <w:t xml:space="preserve">dynamic mode </w:t>
      </w:r>
      <w:r w:rsidRPr="00650E3B">
        <w:rPr>
          <w:rFonts w:ascii="Calibri" w:hAnsi="Calibri" w:cs="Calibri" w:hint="eastAsia"/>
          <w:color w:val="000000" w:themeColor="text1"/>
          <w:sz w:val="22"/>
          <w:lang w:val="en-US" w:eastAsia="x-none"/>
        </w:rPr>
        <w:t>multiple channel access in SL-U,</w:t>
      </w:r>
      <w:r w:rsidRPr="00650E3B">
        <w:rPr>
          <w:rFonts w:ascii="Calibri" w:hAnsi="Calibri" w:cs="Calibri"/>
          <w:color w:val="000000" w:themeColor="text1"/>
          <w:sz w:val="22"/>
          <w:lang w:val="en-US" w:eastAsia="x-none"/>
        </w:rPr>
        <w:t xml:space="preserve"> the followings are considered as baseline</w:t>
      </w:r>
    </w:p>
    <w:p w14:paraId="3235581F" w14:textId="572BEDE7" w:rsidR="00650E3B" w:rsidRPr="00650E3B" w:rsidRDefault="00650E3B" w:rsidP="00650E3B">
      <w:pPr>
        <w:numPr>
          <w:ilvl w:val="1"/>
          <w:numId w:val="26"/>
        </w:numPr>
        <w:autoSpaceDE w:val="0"/>
        <w:autoSpaceDN w:val="0"/>
        <w:jc w:val="both"/>
        <w:rPr>
          <w:rFonts w:ascii="Calibri" w:hAnsi="Calibri" w:cs="Calibri"/>
          <w:color w:val="000000" w:themeColor="text1"/>
          <w:sz w:val="22"/>
          <w:lang w:val="en-US" w:eastAsia="x-none"/>
        </w:rPr>
      </w:pPr>
      <w:r w:rsidRPr="00650E3B">
        <w:rPr>
          <w:rFonts w:ascii="Calibri" w:hAnsi="Calibri" w:cs="Calibri" w:hint="eastAsia"/>
          <w:color w:val="000000" w:themeColor="text1"/>
          <w:sz w:val="22"/>
          <w:lang w:val="en-US" w:eastAsia="x-none"/>
        </w:rPr>
        <w:lastRenderedPageBreak/>
        <w:t>NR-U DL (Type A and Type B) channel access procedures</w:t>
      </w:r>
      <w:r w:rsidRPr="00650E3B">
        <w:rPr>
          <w:rFonts w:ascii="Calibri" w:hAnsi="Calibri" w:cs="Calibri"/>
          <w:color w:val="000000" w:themeColor="text1"/>
          <w:sz w:val="22"/>
          <w:lang w:val="en-US" w:eastAsia="x-none"/>
        </w:rPr>
        <w:t xml:space="preserve"> for transmission(s) on multiple channels</w:t>
      </w:r>
    </w:p>
    <w:p w14:paraId="4B529554" w14:textId="000CAA87" w:rsidR="00650E3B" w:rsidRPr="00650E3B" w:rsidRDefault="00650E3B" w:rsidP="00650E3B">
      <w:pPr>
        <w:numPr>
          <w:ilvl w:val="2"/>
          <w:numId w:val="26"/>
        </w:numPr>
        <w:autoSpaceDE w:val="0"/>
        <w:autoSpaceDN w:val="0"/>
        <w:jc w:val="both"/>
        <w:rPr>
          <w:rFonts w:ascii="Calibri" w:hAnsi="Calibri" w:cs="Calibri"/>
          <w:color w:val="000000" w:themeColor="text1"/>
          <w:sz w:val="22"/>
          <w:lang w:val="en-US" w:eastAsia="x-none"/>
        </w:rPr>
      </w:pPr>
      <w:r w:rsidRPr="00650E3B">
        <w:rPr>
          <w:rFonts w:ascii="Calibri" w:hAnsi="Calibri" w:cs="Calibri"/>
          <w:color w:val="000000" w:themeColor="text1"/>
          <w:sz w:val="22"/>
          <w:lang w:val="en-AU" w:eastAsia="x-none"/>
        </w:rPr>
        <w:t>FFS applicable SL transmission/channel type(s) and scenario(s)</w:t>
      </w:r>
    </w:p>
    <w:p w14:paraId="4382698A" w14:textId="00F6BBC3" w:rsidR="00650E3B" w:rsidRPr="00650E3B" w:rsidRDefault="00650E3B" w:rsidP="00650E3B">
      <w:pPr>
        <w:numPr>
          <w:ilvl w:val="1"/>
          <w:numId w:val="26"/>
        </w:numPr>
        <w:autoSpaceDE w:val="0"/>
        <w:autoSpaceDN w:val="0"/>
        <w:jc w:val="both"/>
        <w:rPr>
          <w:rFonts w:ascii="Calibri" w:hAnsi="Calibri" w:cs="Calibri"/>
          <w:color w:val="000000" w:themeColor="text1"/>
          <w:sz w:val="22"/>
          <w:lang w:val="en-US" w:eastAsia="x-none"/>
        </w:rPr>
      </w:pPr>
      <w:r w:rsidRPr="00650E3B">
        <w:rPr>
          <w:rFonts w:ascii="Calibri" w:hAnsi="Calibri" w:cs="Calibri" w:hint="eastAsia"/>
          <w:color w:val="000000" w:themeColor="text1"/>
          <w:sz w:val="22"/>
          <w:lang w:val="en-US" w:eastAsia="x-none"/>
        </w:rPr>
        <w:t>NR-U UL channel access procedure</w:t>
      </w:r>
      <w:r w:rsidRPr="00650E3B">
        <w:rPr>
          <w:rFonts w:ascii="Calibri" w:hAnsi="Calibri" w:cs="Calibri"/>
          <w:color w:val="000000" w:themeColor="text1"/>
          <w:sz w:val="22"/>
          <w:lang w:val="en-US" w:eastAsia="x-none"/>
        </w:rPr>
        <w:t xml:space="preserve"> for transmission(s) on multiple channels</w:t>
      </w:r>
    </w:p>
    <w:p w14:paraId="148DDC98" w14:textId="0B841865" w:rsidR="00650E3B" w:rsidRPr="00650E3B" w:rsidRDefault="00650E3B" w:rsidP="00650E3B">
      <w:pPr>
        <w:numPr>
          <w:ilvl w:val="2"/>
          <w:numId w:val="26"/>
        </w:numPr>
        <w:autoSpaceDE w:val="0"/>
        <w:autoSpaceDN w:val="0"/>
        <w:jc w:val="both"/>
        <w:rPr>
          <w:rFonts w:ascii="Calibri" w:hAnsi="Calibri" w:cs="Calibri"/>
          <w:color w:val="000000" w:themeColor="text1"/>
          <w:sz w:val="22"/>
          <w:lang w:val="en-US" w:eastAsia="x-none"/>
        </w:rPr>
      </w:pPr>
      <w:r w:rsidRPr="00650E3B">
        <w:rPr>
          <w:rFonts w:ascii="Calibri" w:hAnsi="Calibri" w:cs="Calibri"/>
          <w:color w:val="000000" w:themeColor="text1"/>
          <w:sz w:val="22"/>
          <w:lang w:val="en-AU" w:eastAsia="x-none"/>
        </w:rPr>
        <w:t>FFS applicable SL transmission/channel type(s) and scenario(s)</w:t>
      </w:r>
    </w:p>
    <w:p w14:paraId="7D17A986" w14:textId="77777777" w:rsidR="00650E3B" w:rsidRPr="00650E3B" w:rsidRDefault="00650E3B" w:rsidP="00650E3B">
      <w:pPr>
        <w:numPr>
          <w:ilvl w:val="1"/>
          <w:numId w:val="26"/>
        </w:numPr>
        <w:autoSpaceDE w:val="0"/>
        <w:autoSpaceDN w:val="0"/>
        <w:jc w:val="both"/>
        <w:rPr>
          <w:rFonts w:ascii="Calibri" w:hAnsi="Calibri" w:cs="Calibri"/>
          <w:color w:val="000000" w:themeColor="text1"/>
          <w:sz w:val="22"/>
          <w:lang w:val="en-US" w:eastAsia="x-none"/>
        </w:rPr>
      </w:pPr>
      <w:r w:rsidRPr="00650E3B">
        <w:rPr>
          <w:rFonts w:ascii="Calibri" w:hAnsi="Calibri" w:cs="Calibri" w:hint="eastAsia"/>
          <w:color w:val="000000" w:themeColor="text1"/>
          <w:sz w:val="22"/>
          <w:lang w:val="en-AU" w:eastAsia="x-none"/>
        </w:rPr>
        <w:t>FFS any necessary enhancement and modification for SL-U operation</w:t>
      </w:r>
    </w:p>
    <w:p w14:paraId="639C90B1" w14:textId="17847CF9" w:rsidR="00650E3B" w:rsidRDefault="00650E3B" w:rsidP="00CD608C">
      <w:pPr>
        <w:autoSpaceDE w:val="0"/>
        <w:autoSpaceDN w:val="0"/>
        <w:jc w:val="both"/>
        <w:rPr>
          <w:rFonts w:ascii="Calibri" w:hAnsi="Calibri" w:cs="Calibri"/>
          <w:color w:val="FF0000"/>
          <w:sz w:val="22"/>
          <w:lang w:val="en-US"/>
        </w:rPr>
      </w:pPr>
    </w:p>
    <w:tbl>
      <w:tblPr>
        <w:tblStyle w:val="TableGrid"/>
        <w:tblW w:w="9631" w:type="dxa"/>
        <w:tblLayout w:type="fixed"/>
        <w:tblLook w:val="04A0" w:firstRow="1" w:lastRow="0" w:firstColumn="1" w:lastColumn="0" w:noHBand="0" w:noVBand="1"/>
      </w:tblPr>
      <w:tblGrid>
        <w:gridCol w:w="1555"/>
        <w:gridCol w:w="8076"/>
      </w:tblGrid>
      <w:tr w:rsidR="00650E3B" w14:paraId="00126D60" w14:textId="77777777" w:rsidTr="000F6488">
        <w:tc>
          <w:tcPr>
            <w:tcW w:w="1555" w:type="dxa"/>
          </w:tcPr>
          <w:p w14:paraId="3228A377" w14:textId="77777777" w:rsidR="00650E3B" w:rsidRDefault="00650E3B" w:rsidP="000F6488">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8076" w:type="dxa"/>
          </w:tcPr>
          <w:p w14:paraId="5C13D655" w14:textId="77777777" w:rsidR="00650E3B" w:rsidRDefault="00650E3B" w:rsidP="000F6488">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E41CC5" w14:paraId="5973C38A" w14:textId="77777777" w:rsidTr="000F6488">
        <w:tc>
          <w:tcPr>
            <w:tcW w:w="1555" w:type="dxa"/>
          </w:tcPr>
          <w:p w14:paraId="5DFA9DF7" w14:textId="0A65FDFA" w:rsidR="00E41CC5" w:rsidRDefault="00E41CC5" w:rsidP="00E41CC5">
            <w:pPr>
              <w:pStyle w:val="0Maintext"/>
              <w:spacing w:after="0" w:afterAutospacing="0"/>
              <w:ind w:firstLine="0"/>
            </w:pPr>
            <w:r>
              <w:t>Fraunhofer</w:t>
            </w:r>
          </w:p>
        </w:tc>
        <w:tc>
          <w:tcPr>
            <w:tcW w:w="8076" w:type="dxa"/>
          </w:tcPr>
          <w:p w14:paraId="728AFF5F" w14:textId="05CD2309" w:rsidR="00E41CC5" w:rsidRDefault="00E41CC5" w:rsidP="00E41CC5">
            <w:pPr>
              <w:pStyle w:val="0Maintext"/>
              <w:spacing w:after="0" w:afterAutospacing="0"/>
              <w:ind w:firstLine="0"/>
            </w:pPr>
            <w:r>
              <w:t>We are supportive of the FL’s proposal.</w:t>
            </w:r>
          </w:p>
        </w:tc>
      </w:tr>
      <w:tr w:rsidR="005A0613" w14:paraId="32C6612C" w14:textId="77777777" w:rsidTr="000F6488">
        <w:tc>
          <w:tcPr>
            <w:tcW w:w="1555" w:type="dxa"/>
          </w:tcPr>
          <w:p w14:paraId="75759428" w14:textId="379C383C" w:rsidR="005A0613" w:rsidRDefault="005A0613" w:rsidP="005A0613">
            <w:pPr>
              <w:pStyle w:val="0Maintext"/>
              <w:spacing w:after="0" w:afterAutospacing="0"/>
              <w:ind w:firstLine="0"/>
            </w:pPr>
            <w:r>
              <w:rPr>
                <w:rFonts w:eastAsiaTheme="minorEastAsia"/>
                <w:lang w:eastAsia="zh-CN"/>
              </w:rPr>
              <w:t>Nokia, NSB</w:t>
            </w:r>
          </w:p>
        </w:tc>
        <w:tc>
          <w:tcPr>
            <w:tcW w:w="8076" w:type="dxa"/>
          </w:tcPr>
          <w:p w14:paraId="3AC1AAE8" w14:textId="43CFA895" w:rsidR="005A0613" w:rsidRDefault="005A0613" w:rsidP="005A0613">
            <w:pPr>
              <w:pStyle w:val="0Maintext"/>
              <w:spacing w:after="0" w:afterAutospacing="0"/>
              <w:ind w:firstLine="0"/>
            </w:pPr>
            <w:r>
              <w:t>We support the proposal.</w:t>
            </w:r>
          </w:p>
        </w:tc>
      </w:tr>
      <w:tr w:rsidR="00E41CC5" w14:paraId="5E1EB38A" w14:textId="77777777" w:rsidTr="000F6488">
        <w:tc>
          <w:tcPr>
            <w:tcW w:w="1555" w:type="dxa"/>
          </w:tcPr>
          <w:p w14:paraId="08D6F810" w14:textId="08DDB0E4" w:rsidR="00E41CC5" w:rsidRDefault="00523D0A" w:rsidP="00E41CC5">
            <w:pPr>
              <w:pStyle w:val="0Maintext"/>
              <w:spacing w:after="0" w:afterAutospacing="0"/>
              <w:ind w:firstLine="0"/>
            </w:pPr>
            <w:r>
              <w:t>Intel</w:t>
            </w:r>
          </w:p>
        </w:tc>
        <w:tc>
          <w:tcPr>
            <w:tcW w:w="8076" w:type="dxa"/>
          </w:tcPr>
          <w:p w14:paraId="3A97CDB0" w14:textId="53235CFA" w:rsidR="00E41CC5" w:rsidRDefault="008F0C0E" w:rsidP="00E41CC5">
            <w:pPr>
              <w:pStyle w:val="0Maintext"/>
              <w:spacing w:after="0" w:afterAutospacing="0"/>
              <w:ind w:firstLine="0"/>
            </w:pPr>
            <w:r>
              <w:t>We are not supportive of this proposal.</w:t>
            </w:r>
            <w:r w:rsidR="00D72AA6">
              <w:t xml:space="preserve"> </w:t>
            </w:r>
            <w:r w:rsidR="003C4D0A">
              <w:t xml:space="preserve">As mentioned by other companies, NR-U DL procedure </w:t>
            </w:r>
            <w:r w:rsidR="00F46F82">
              <w:t xml:space="preserve">brings a lot of complexity burden at both TX and RX UEs, since </w:t>
            </w:r>
            <w:r w:rsidR="00E03AC4">
              <w:t xml:space="preserve">LTB outcome is </w:t>
            </w:r>
            <w:r w:rsidR="00DD5C20">
              <w:t>unknown</w:t>
            </w:r>
            <w:r w:rsidR="00E03AC4">
              <w:t xml:space="preserve"> until the LBT is performed, and since receiving UE does not know </w:t>
            </w:r>
            <w:r w:rsidR="00DD5C20">
              <w:t xml:space="preserve">the LTB outcome at the TX UE. Also we are not OK with the main bullet, which uses unconventional terminologies, e.g., </w:t>
            </w:r>
            <w:r w:rsidR="00DD5C20" w:rsidRPr="00DD5C20">
              <w:t xml:space="preserve">dynamic mode </w:t>
            </w:r>
            <w:r w:rsidR="00DD5C20" w:rsidRPr="00DD5C20">
              <w:rPr>
                <w:rFonts w:hint="eastAsia"/>
              </w:rPr>
              <w:t>multiple channel access</w:t>
            </w:r>
            <w:r w:rsidR="008A6DF0">
              <w:t xml:space="preserve">. </w:t>
            </w:r>
            <w:r w:rsidR="00126C60">
              <w:t>Therefore,</w:t>
            </w:r>
            <w:r w:rsidR="008A6DF0">
              <w:t xml:space="preserve"> we would like to propose the following:</w:t>
            </w:r>
          </w:p>
          <w:p w14:paraId="3564FDBF" w14:textId="77777777" w:rsidR="008A6DF0" w:rsidRPr="00C65E36" w:rsidRDefault="008A6DF0" w:rsidP="008A6DF0">
            <w:pPr>
              <w:autoSpaceDE w:val="0"/>
              <w:autoSpaceDN w:val="0"/>
              <w:spacing w:before="120"/>
              <w:jc w:val="both"/>
              <w:rPr>
                <w:rFonts w:ascii="Calibri" w:hAnsi="Calibri" w:cs="Calibri"/>
                <w:sz w:val="22"/>
              </w:rPr>
            </w:pPr>
            <w:r w:rsidRPr="00C65E36">
              <w:rPr>
                <w:rFonts w:ascii="Calibri" w:hAnsi="Calibri" w:cs="Calibri"/>
                <w:b/>
                <w:bCs/>
                <w:sz w:val="22"/>
                <w:highlight w:val="yellow"/>
              </w:rPr>
              <w:t xml:space="preserve">Proposal </w:t>
            </w:r>
            <w:r>
              <w:rPr>
                <w:rFonts w:ascii="Calibri" w:hAnsi="Calibri" w:cs="Calibri"/>
                <w:b/>
                <w:bCs/>
                <w:sz w:val="22"/>
                <w:highlight w:val="yellow"/>
              </w:rPr>
              <w:t>6</w:t>
            </w:r>
            <w:r w:rsidRPr="00C65E36">
              <w:rPr>
                <w:rFonts w:ascii="Calibri" w:hAnsi="Calibri" w:cs="Calibri"/>
                <w:b/>
                <w:bCs/>
                <w:sz w:val="22"/>
                <w:highlight w:val="yellow"/>
              </w:rPr>
              <w:t xml:space="preserve"> (I</w:t>
            </w:r>
            <w:r>
              <w:rPr>
                <w:rFonts w:ascii="Calibri" w:hAnsi="Calibri" w:cs="Calibri"/>
                <w:b/>
                <w:bCs/>
                <w:sz w:val="22"/>
                <w:highlight w:val="yellow"/>
              </w:rPr>
              <w:t>V</w:t>
            </w:r>
            <w:r w:rsidRPr="00C65E36">
              <w:rPr>
                <w:rFonts w:ascii="Calibri" w:hAnsi="Calibri" w:cs="Calibri"/>
                <w:b/>
                <w:bCs/>
                <w:sz w:val="22"/>
                <w:highlight w:val="yellow"/>
              </w:rPr>
              <w:t>):</w:t>
            </w:r>
          </w:p>
          <w:p w14:paraId="7E67582F" w14:textId="32925753" w:rsidR="008A6DF0" w:rsidRPr="0018457D" w:rsidRDefault="008A6DF0" w:rsidP="008A6DF0">
            <w:pPr>
              <w:numPr>
                <w:ilvl w:val="0"/>
                <w:numId w:val="26"/>
              </w:numPr>
              <w:autoSpaceDE w:val="0"/>
              <w:autoSpaceDN w:val="0"/>
              <w:jc w:val="both"/>
              <w:rPr>
                <w:rFonts w:ascii="Calibri" w:hAnsi="Calibri" w:cs="Calibri"/>
                <w:color w:val="000000" w:themeColor="text1"/>
                <w:sz w:val="22"/>
                <w:highlight w:val="yellow"/>
                <w:lang w:val="en-US" w:eastAsia="x-none"/>
              </w:rPr>
            </w:pPr>
            <w:r w:rsidRPr="00650E3B">
              <w:rPr>
                <w:rFonts w:ascii="Calibri" w:hAnsi="Calibri" w:cs="Calibri" w:hint="eastAsia"/>
                <w:color w:val="000000" w:themeColor="text1"/>
                <w:sz w:val="22"/>
                <w:lang w:val="en-US" w:eastAsia="x-none"/>
              </w:rPr>
              <w:t xml:space="preserve">For </w:t>
            </w:r>
            <w:r w:rsidRPr="00650E3B">
              <w:rPr>
                <w:rFonts w:ascii="Calibri" w:hAnsi="Calibri" w:cs="Calibri"/>
                <w:color w:val="000000" w:themeColor="text1"/>
                <w:sz w:val="22"/>
                <w:lang w:val="en-US" w:eastAsia="x-none"/>
              </w:rPr>
              <w:t xml:space="preserve">dynamic </w:t>
            </w:r>
            <w:r w:rsidRPr="00CB5BBF">
              <w:rPr>
                <w:rFonts w:ascii="Calibri" w:hAnsi="Calibri" w:cs="Calibri"/>
                <w:color w:val="000000" w:themeColor="text1"/>
                <w:sz w:val="22"/>
                <w:highlight w:val="yellow"/>
                <w:lang w:val="en-US" w:eastAsia="x-none"/>
              </w:rPr>
              <w:t>channel access</w:t>
            </w:r>
            <w:r w:rsidRPr="00CB5BBF">
              <w:rPr>
                <w:rFonts w:ascii="Calibri" w:hAnsi="Calibri" w:cs="Calibri"/>
                <w:color w:val="000000" w:themeColor="text1"/>
                <w:sz w:val="22"/>
                <w:lang w:val="en-US" w:eastAsia="x-none"/>
              </w:rPr>
              <w:t xml:space="preserve"> </w:t>
            </w:r>
            <w:r w:rsidRPr="00650E3B">
              <w:rPr>
                <w:rFonts w:ascii="Calibri" w:hAnsi="Calibri" w:cs="Calibri"/>
                <w:color w:val="000000" w:themeColor="text1"/>
                <w:sz w:val="22"/>
                <w:lang w:val="en-US" w:eastAsia="x-none"/>
              </w:rPr>
              <w:t xml:space="preserve">mode </w:t>
            </w:r>
            <w:r w:rsidRPr="008A6DF0">
              <w:rPr>
                <w:rFonts w:ascii="Calibri" w:hAnsi="Calibri" w:cs="Calibri"/>
                <w:color w:val="000000" w:themeColor="text1"/>
                <w:sz w:val="22"/>
                <w:highlight w:val="yellow"/>
                <w:lang w:val="en-US" w:eastAsia="x-none"/>
              </w:rPr>
              <w:t>the</w:t>
            </w:r>
            <w:r>
              <w:rPr>
                <w:rFonts w:ascii="Calibri" w:hAnsi="Calibri" w:cs="Calibri"/>
                <w:color w:val="000000" w:themeColor="text1"/>
                <w:sz w:val="22"/>
                <w:lang w:val="en-US" w:eastAsia="x-none"/>
              </w:rPr>
              <w:t xml:space="preserve"> </w:t>
            </w:r>
            <w:r w:rsidR="00344094" w:rsidRPr="00344094">
              <w:rPr>
                <w:rFonts w:ascii="Calibri" w:hAnsi="Calibri" w:cs="Calibri"/>
                <w:color w:val="000000" w:themeColor="text1"/>
                <w:sz w:val="22"/>
                <w:highlight w:val="yellow"/>
                <w:lang w:val="en-US" w:eastAsia="x-none"/>
              </w:rPr>
              <w:t>NR-U UL</w:t>
            </w:r>
            <w:r w:rsidR="00344094">
              <w:rPr>
                <w:rFonts w:ascii="Calibri" w:hAnsi="Calibri" w:cs="Calibri"/>
                <w:color w:val="000000" w:themeColor="text1"/>
                <w:sz w:val="22"/>
                <w:lang w:val="en-US" w:eastAsia="x-none"/>
              </w:rPr>
              <w:t xml:space="preserve"> </w:t>
            </w:r>
            <w:r w:rsidRPr="00650E3B">
              <w:rPr>
                <w:rFonts w:ascii="Calibri" w:hAnsi="Calibri" w:cs="Calibri" w:hint="eastAsia"/>
                <w:color w:val="000000" w:themeColor="text1"/>
                <w:sz w:val="22"/>
                <w:lang w:val="en-US" w:eastAsia="x-none"/>
              </w:rPr>
              <w:t>multi</w:t>
            </w:r>
            <w:r>
              <w:rPr>
                <w:rFonts w:ascii="Calibri" w:hAnsi="Calibri" w:cs="Calibri"/>
                <w:color w:val="000000" w:themeColor="text1"/>
                <w:sz w:val="22"/>
                <w:lang w:val="en-US" w:eastAsia="x-none"/>
              </w:rPr>
              <w:t>-carrier</w:t>
            </w:r>
            <w:r w:rsidRPr="008A6DF0">
              <w:rPr>
                <w:rFonts w:ascii="Calibri" w:hAnsi="Calibri" w:cs="Calibri" w:hint="eastAsia"/>
                <w:strike/>
                <w:color w:val="000000" w:themeColor="text1"/>
                <w:sz w:val="22"/>
                <w:lang w:val="en-US" w:eastAsia="x-none"/>
              </w:rPr>
              <w:t>ple</w:t>
            </w:r>
            <w:r w:rsidRPr="00650E3B">
              <w:rPr>
                <w:rFonts w:ascii="Calibri" w:hAnsi="Calibri" w:cs="Calibri" w:hint="eastAsia"/>
                <w:color w:val="000000" w:themeColor="text1"/>
                <w:sz w:val="22"/>
                <w:lang w:val="en-US" w:eastAsia="x-none"/>
              </w:rPr>
              <w:t xml:space="preserve"> channel access </w:t>
            </w:r>
            <w:r w:rsidR="0004197E" w:rsidRPr="0004197E">
              <w:rPr>
                <w:rFonts w:ascii="Calibri" w:hAnsi="Calibri" w:cs="Calibri"/>
                <w:color w:val="000000" w:themeColor="text1"/>
                <w:sz w:val="22"/>
                <w:highlight w:val="yellow"/>
                <w:lang w:val="en-US" w:eastAsia="x-none"/>
              </w:rPr>
              <w:t>procedure</w:t>
            </w:r>
            <w:r w:rsidR="0004197E">
              <w:rPr>
                <w:rFonts w:ascii="Calibri" w:hAnsi="Calibri" w:cs="Calibri"/>
                <w:color w:val="000000" w:themeColor="text1"/>
                <w:sz w:val="22"/>
                <w:lang w:val="en-US" w:eastAsia="x-none"/>
              </w:rPr>
              <w:t xml:space="preserve"> </w:t>
            </w:r>
            <w:r w:rsidRPr="00CB5BBF">
              <w:rPr>
                <w:rFonts w:ascii="Calibri" w:hAnsi="Calibri" w:cs="Calibri" w:hint="eastAsia"/>
                <w:strike/>
                <w:color w:val="000000" w:themeColor="text1"/>
                <w:sz w:val="22"/>
                <w:highlight w:val="yellow"/>
                <w:lang w:val="en-US" w:eastAsia="x-none"/>
              </w:rPr>
              <w:t>in SL-U,</w:t>
            </w:r>
            <w:r w:rsidRPr="00CB5BBF">
              <w:rPr>
                <w:rFonts w:ascii="Calibri" w:hAnsi="Calibri" w:cs="Calibri"/>
                <w:strike/>
                <w:color w:val="000000" w:themeColor="text1"/>
                <w:sz w:val="22"/>
                <w:highlight w:val="yellow"/>
                <w:lang w:val="en-US" w:eastAsia="x-none"/>
              </w:rPr>
              <w:t xml:space="preserve"> the followings are</w:t>
            </w:r>
            <w:r w:rsidRPr="00650E3B">
              <w:rPr>
                <w:rFonts w:ascii="Calibri" w:hAnsi="Calibri" w:cs="Calibri"/>
                <w:color w:val="000000" w:themeColor="text1"/>
                <w:sz w:val="22"/>
                <w:lang w:val="en-US" w:eastAsia="x-none"/>
              </w:rPr>
              <w:t xml:space="preserve"> </w:t>
            </w:r>
            <w:r w:rsidR="00CB5BBF">
              <w:rPr>
                <w:rFonts w:ascii="Calibri" w:hAnsi="Calibri" w:cs="Calibri"/>
                <w:color w:val="000000" w:themeColor="text1"/>
                <w:sz w:val="22"/>
                <w:lang w:val="en-US" w:eastAsia="x-none"/>
              </w:rPr>
              <w:t xml:space="preserve">is </w:t>
            </w:r>
            <w:r w:rsidRPr="00650E3B">
              <w:rPr>
                <w:rFonts w:ascii="Calibri" w:hAnsi="Calibri" w:cs="Calibri"/>
                <w:color w:val="000000" w:themeColor="text1"/>
                <w:sz w:val="22"/>
                <w:lang w:val="en-US" w:eastAsia="x-none"/>
              </w:rPr>
              <w:t xml:space="preserve">considered </w:t>
            </w:r>
            <w:r w:rsidRPr="0018457D">
              <w:rPr>
                <w:rFonts w:ascii="Calibri" w:hAnsi="Calibri" w:cs="Calibri"/>
                <w:color w:val="000000" w:themeColor="text1"/>
                <w:sz w:val="22"/>
                <w:highlight w:val="yellow"/>
                <w:lang w:val="en-US" w:eastAsia="x-none"/>
              </w:rPr>
              <w:t>as baseline</w:t>
            </w:r>
            <w:r w:rsidR="0018457D" w:rsidRPr="0018457D">
              <w:rPr>
                <w:rFonts w:ascii="Calibri" w:hAnsi="Calibri" w:cs="Calibri"/>
                <w:color w:val="000000" w:themeColor="text1"/>
                <w:sz w:val="22"/>
                <w:highlight w:val="yellow"/>
                <w:lang w:val="en-US" w:eastAsia="x-none"/>
              </w:rPr>
              <w:t xml:space="preserve"> for transmission(s) on multiple channels</w:t>
            </w:r>
          </w:p>
          <w:p w14:paraId="5DAEEE12" w14:textId="10B5006F" w:rsidR="008A6DF0" w:rsidRPr="00650E3B" w:rsidRDefault="00CB5BBF" w:rsidP="008A6DF0">
            <w:pPr>
              <w:numPr>
                <w:ilvl w:val="1"/>
                <w:numId w:val="26"/>
              </w:numPr>
              <w:autoSpaceDE w:val="0"/>
              <w:autoSpaceDN w:val="0"/>
              <w:jc w:val="both"/>
              <w:rPr>
                <w:rFonts w:ascii="Calibri" w:hAnsi="Calibri" w:cs="Calibri"/>
                <w:color w:val="000000" w:themeColor="text1"/>
                <w:sz w:val="22"/>
                <w:lang w:val="en-US" w:eastAsia="x-none"/>
              </w:rPr>
            </w:pPr>
            <w:r>
              <w:rPr>
                <w:rFonts w:ascii="Calibri" w:hAnsi="Calibri" w:cs="Calibri"/>
                <w:color w:val="000000" w:themeColor="text1"/>
                <w:sz w:val="22"/>
                <w:lang w:val="en-US" w:eastAsia="x-none"/>
              </w:rPr>
              <w:t xml:space="preserve">FFS: on whether to consider </w:t>
            </w:r>
            <w:r w:rsidR="008A6DF0" w:rsidRPr="00650E3B">
              <w:rPr>
                <w:rFonts w:ascii="Calibri" w:hAnsi="Calibri" w:cs="Calibri" w:hint="eastAsia"/>
                <w:color w:val="000000" w:themeColor="text1"/>
                <w:sz w:val="22"/>
                <w:lang w:val="en-US" w:eastAsia="x-none"/>
              </w:rPr>
              <w:t>NR-U DL (Type A and Type B) channel access procedures</w:t>
            </w:r>
            <w:r w:rsidR="008A6DF0" w:rsidRPr="00650E3B">
              <w:rPr>
                <w:rFonts w:ascii="Calibri" w:hAnsi="Calibri" w:cs="Calibri"/>
                <w:color w:val="000000" w:themeColor="text1"/>
                <w:sz w:val="22"/>
                <w:lang w:val="en-US" w:eastAsia="x-none"/>
              </w:rPr>
              <w:t xml:space="preserve"> for transmission(s) on multiple channels</w:t>
            </w:r>
          </w:p>
          <w:p w14:paraId="1AF01111" w14:textId="77777777" w:rsidR="008A6DF0" w:rsidRPr="00CB5BBF" w:rsidRDefault="008A6DF0" w:rsidP="008A6DF0">
            <w:pPr>
              <w:numPr>
                <w:ilvl w:val="2"/>
                <w:numId w:val="26"/>
              </w:numPr>
              <w:autoSpaceDE w:val="0"/>
              <w:autoSpaceDN w:val="0"/>
              <w:jc w:val="both"/>
              <w:rPr>
                <w:rFonts w:ascii="Calibri" w:hAnsi="Calibri" w:cs="Calibri"/>
                <w:strike/>
                <w:color w:val="000000" w:themeColor="text1"/>
                <w:sz w:val="22"/>
                <w:highlight w:val="yellow"/>
                <w:lang w:val="en-US" w:eastAsia="x-none"/>
              </w:rPr>
            </w:pPr>
            <w:r w:rsidRPr="00CB5BBF">
              <w:rPr>
                <w:rFonts w:ascii="Calibri" w:hAnsi="Calibri" w:cs="Calibri"/>
                <w:strike/>
                <w:color w:val="000000" w:themeColor="text1"/>
                <w:sz w:val="22"/>
                <w:highlight w:val="yellow"/>
                <w:lang w:val="en-AU" w:eastAsia="x-none"/>
              </w:rPr>
              <w:t>FFS applicable SL transmission/channel type(s) and scenario(s)</w:t>
            </w:r>
          </w:p>
          <w:p w14:paraId="06CB7B91" w14:textId="77777777" w:rsidR="008A6DF0" w:rsidRPr="00CB5BBF" w:rsidRDefault="008A6DF0" w:rsidP="008A6DF0">
            <w:pPr>
              <w:numPr>
                <w:ilvl w:val="1"/>
                <w:numId w:val="26"/>
              </w:numPr>
              <w:autoSpaceDE w:val="0"/>
              <w:autoSpaceDN w:val="0"/>
              <w:jc w:val="both"/>
              <w:rPr>
                <w:rFonts w:ascii="Calibri" w:hAnsi="Calibri" w:cs="Calibri"/>
                <w:strike/>
                <w:color w:val="000000" w:themeColor="text1"/>
                <w:sz w:val="22"/>
                <w:highlight w:val="yellow"/>
                <w:lang w:val="en-US" w:eastAsia="x-none"/>
              </w:rPr>
            </w:pPr>
            <w:r w:rsidRPr="00CB5BBF">
              <w:rPr>
                <w:rFonts w:ascii="Calibri" w:hAnsi="Calibri" w:cs="Calibri" w:hint="eastAsia"/>
                <w:strike/>
                <w:color w:val="000000" w:themeColor="text1"/>
                <w:sz w:val="22"/>
                <w:highlight w:val="yellow"/>
                <w:lang w:val="en-US" w:eastAsia="x-none"/>
              </w:rPr>
              <w:t>NR-U UL channel access procedure</w:t>
            </w:r>
            <w:r w:rsidRPr="00CB5BBF">
              <w:rPr>
                <w:rFonts w:ascii="Calibri" w:hAnsi="Calibri" w:cs="Calibri"/>
                <w:strike/>
                <w:color w:val="000000" w:themeColor="text1"/>
                <w:sz w:val="22"/>
                <w:highlight w:val="yellow"/>
                <w:lang w:val="en-US" w:eastAsia="x-none"/>
              </w:rPr>
              <w:t xml:space="preserve"> for transmission(s) on multiple channels</w:t>
            </w:r>
          </w:p>
          <w:p w14:paraId="47501A9B" w14:textId="77777777" w:rsidR="008A6DF0" w:rsidRPr="00650E3B" w:rsidRDefault="008A6DF0" w:rsidP="00D57B4F">
            <w:pPr>
              <w:numPr>
                <w:ilvl w:val="1"/>
                <w:numId w:val="26"/>
              </w:numPr>
              <w:autoSpaceDE w:val="0"/>
              <w:autoSpaceDN w:val="0"/>
              <w:jc w:val="both"/>
              <w:rPr>
                <w:rFonts w:ascii="Calibri" w:hAnsi="Calibri" w:cs="Calibri"/>
                <w:color w:val="000000" w:themeColor="text1"/>
                <w:sz w:val="22"/>
                <w:lang w:val="en-US" w:eastAsia="x-none"/>
              </w:rPr>
            </w:pPr>
            <w:r w:rsidRPr="00650E3B">
              <w:rPr>
                <w:rFonts w:ascii="Calibri" w:hAnsi="Calibri" w:cs="Calibri"/>
                <w:color w:val="000000" w:themeColor="text1"/>
                <w:sz w:val="22"/>
                <w:lang w:val="en-AU" w:eastAsia="x-none"/>
              </w:rPr>
              <w:t>FFS applicable SL transmission/channel type(s) and scenario(s)</w:t>
            </w:r>
          </w:p>
          <w:p w14:paraId="39F744FF" w14:textId="538A126E" w:rsidR="008F0C0E" w:rsidRPr="00D57B4F" w:rsidRDefault="008A6DF0" w:rsidP="00D57B4F">
            <w:pPr>
              <w:numPr>
                <w:ilvl w:val="1"/>
                <w:numId w:val="26"/>
              </w:numPr>
              <w:autoSpaceDE w:val="0"/>
              <w:autoSpaceDN w:val="0"/>
              <w:jc w:val="both"/>
              <w:rPr>
                <w:rFonts w:ascii="Calibri" w:hAnsi="Calibri" w:cs="Calibri"/>
                <w:color w:val="000000" w:themeColor="text1"/>
                <w:sz w:val="22"/>
                <w:lang w:val="en-US" w:eastAsia="x-none"/>
              </w:rPr>
            </w:pPr>
            <w:r w:rsidRPr="00650E3B">
              <w:rPr>
                <w:rFonts w:ascii="Calibri" w:hAnsi="Calibri" w:cs="Calibri" w:hint="eastAsia"/>
                <w:color w:val="000000" w:themeColor="text1"/>
                <w:sz w:val="22"/>
                <w:lang w:val="en-AU" w:eastAsia="x-none"/>
              </w:rPr>
              <w:t xml:space="preserve">FFS any necessary enhancement and modification </w:t>
            </w:r>
            <w:r w:rsidRPr="00D57B4F">
              <w:rPr>
                <w:rFonts w:ascii="Calibri" w:hAnsi="Calibri" w:cs="Calibri" w:hint="eastAsia"/>
                <w:strike/>
                <w:color w:val="000000" w:themeColor="text1"/>
                <w:sz w:val="22"/>
                <w:highlight w:val="yellow"/>
                <w:lang w:val="en-AU" w:eastAsia="x-none"/>
              </w:rPr>
              <w:t>for SL-U</w:t>
            </w:r>
            <w:r w:rsidRPr="00650E3B">
              <w:rPr>
                <w:rFonts w:ascii="Calibri" w:hAnsi="Calibri" w:cs="Calibri" w:hint="eastAsia"/>
                <w:color w:val="000000" w:themeColor="text1"/>
                <w:sz w:val="22"/>
                <w:lang w:val="en-AU" w:eastAsia="x-none"/>
              </w:rPr>
              <w:t xml:space="preserve"> </w:t>
            </w:r>
            <w:r w:rsidR="00D57B4F" w:rsidRPr="00D57B4F">
              <w:rPr>
                <w:rFonts w:ascii="Calibri" w:hAnsi="Calibri" w:cs="Calibri"/>
                <w:color w:val="000000" w:themeColor="text1"/>
                <w:sz w:val="22"/>
                <w:highlight w:val="yellow"/>
                <w:lang w:val="en-AU" w:eastAsia="x-none"/>
              </w:rPr>
              <w:t>to the NR-U</w:t>
            </w:r>
            <w:r w:rsidR="00D57B4F">
              <w:rPr>
                <w:rFonts w:ascii="Calibri" w:hAnsi="Calibri" w:cs="Calibri"/>
                <w:color w:val="000000" w:themeColor="text1"/>
                <w:sz w:val="22"/>
                <w:lang w:val="en-AU" w:eastAsia="x-none"/>
              </w:rPr>
              <w:t xml:space="preserve"> </w:t>
            </w:r>
            <w:r w:rsidRPr="00650E3B">
              <w:rPr>
                <w:rFonts w:ascii="Calibri" w:hAnsi="Calibri" w:cs="Calibri" w:hint="eastAsia"/>
                <w:color w:val="000000" w:themeColor="text1"/>
                <w:sz w:val="22"/>
                <w:lang w:val="en-AU" w:eastAsia="x-none"/>
              </w:rPr>
              <w:t>operation</w:t>
            </w:r>
          </w:p>
        </w:tc>
      </w:tr>
      <w:tr w:rsidR="004744D6" w14:paraId="466E6C8B" w14:textId="77777777" w:rsidTr="000F6488">
        <w:tc>
          <w:tcPr>
            <w:tcW w:w="1555" w:type="dxa"/>
          </w:tcPr>
          <w:p w14:paraId="1B823CDC" w14:textId="1665DAA7" w:rsidR="004744D6" w:rsidRDefault="004744D6" w:rsidP="004744D6">
            <w:pPr>
              <w:pStyle w:val="0Maintext"/>
              <w:spacing w:after="0" w:afterAutospacing="0"/>
              <w:ind w:firstLine="0"/>
            </w:pPr>
            <w:r>
              <w:rPr>
                <w:rFonts w:eastAsiaTheme="minorEastAsia"/>
                <w:lang w:eastAsia="zh-CN"/>
              </w:rPr>
              <w:t>InterDigital</w:t>
            </w:r>
          </w:p>
        </w:tc>
        <w:tc>
          <w:tcPr>
            <w:tcW w:w="8076" w:type="dxa"/>
          </w:tcPr>
          <w:p w14:paraId="6E657CB7" w14:textId="5C81F6DB" w:rsidR="004744D6" w:rsidRDefault="004744D6" w:rsidP="004744D6">
            <w:pPr>
              <w:pStyle w:val="0Maintext"/>
              <w:spacing w:after="0" w:afterAutospacing="0"/>
              <w:ind w:firstLine="0"/>
            </w:pPr>
            <w:r>
              <w:rPr>
                <w:rFonts w:eastAsiaTheme="minorEastAsia"/>
                <w:lang w:eastAsia="zh-CN"/>
              </w:rPr>
              <w:t>We support the proposal</w:t>
            </w:r>
          </w:p>
        </w:tc>
      </w:tr>
      <w:tr w:rsidR="004744D6" w14:paraId="66EFC731" w14:textId="77777777" w:rsidTr="000F6488">
        <w:tc>
          <w:tcPr>
            <w:tcW w:w="1555" w:type="dxa"/>
          </w:tcPr>
          <w:p w14:paraId="492171DB" w14:textId="4D2F1C9F" w:rsidR="004744D6" w:rsidRDefault="00604C8A" w:rsidP="004744D6">
            <w:pPr>
              <w:pStyle w:val="0Maintext"/>
              <w:spacing w:after="0" w:afterAutospacing="0"/>
              <w:ind w:firstLine="0"/>
            </w:pPr>
            <w:r>
              <w:t>Qualcomm</w:t>
            </w:r>
          </w:p>
        </w:tc>
        <w:tc>
          <w:tcPr>
            <w:tcW w:w="8076" w:type="dxa"/>
          </w:tcPr>
          <w:p w14:paraId="3BA1BC1E" w14:textId="77777777" w:rsidR="00604C8A" w:rsidRDefault="00604C8A" w:rsidP="00604C8A">
            <w:pPr>
              <w:pStyle w:val="0Maintext"/>
              <w:spacing w:after="0" w:afterAutospacing="0"/>
              <w:ind w:firstLine="0"/>
            </w:pPr>
            <w:r>
              <w:t>The discussion from DCM and Lenovo and the FL is on point.</w:t>
            </w:r>
          </w:p>
          <w:p w14:paraId="46BA9EE5" w14:textId="77777777" w:rsidR="00604C8A" w:rsidRDefault="00604C8A" w:rsidP="00604C8A">
            <w:pPr>
              <w:pStyle w:val="0Maintext"/>
              <w:spacing w:after="0" w:afterAutospacing="0"/>
              <w:ind w:firstLine="0"/>
            </w:pPr>
            <w:r w:rsidRPr="00BA0A24">
              <w:rPr>
                <w:b/>
                <w:bCs/>
              </w:rPr>
              <w:t>We believe in fact that that this proposal should include in the last FFS a list of features that as a group we need to address in order to shape up the SL multi-channel access procedures. We propose the following addition</w:t>
            </w:r>
            <w:r>
              <w:t>:</w:t>
            </w:r>
          </w:p>
          <w:p w14:paraId="006E826C" w14:textId="77777777" w:rsidR="00604C8A" w:rsidRDefault="00604C8A" w:rsidP="00604C8A">
            <w:pPr>
              <w:pStyle w:val="0Maintext"/>
              <w:spacing w:after="0" w:afterAutospacing="0"/>
              <w:ind w:firstLine="0"/>
            </w:pPr>
            <w:r>
              <w:t xml:space="preserve"> </w:t>
            </w:r>
          </w:p>
          <w:p w14:paraId="79E184C5" w14:textId="77777777" w:rsidR="009B249C" w:rsidRPr="00C65E36" w:rsidRDefault="009B249C" w:rsidP="009B249C">
            <w:pPr>
              <w:autoSpaceDE w:val="0"/>
              <w:autoSpaceDN w:val="0"/>
              <w:spacing w:before="120"/>
              <w:jc w:val="both"/>
              <w:rPr>
                <w:rFonts w:ascii="Calibri" w:hAnsi="Calibri" w:cs="Calibri"/>
                <w:sz w:val="22"/>
              </w:rPr>
            </w:pPr>
            <w:r w:rsidRPr="00C65E36">
              <w:rPr>
                <w:rFonts w:ascii="Calibri" w:hAnsi="Calibri" w:cs="Calibri"/>
                <w:b/>
                <w:bCs/>
                <w:sz w:val="22"/>
                <w:highlight w:val="yellow"/>
              </w:rPr>
              <w:t xml:space="preserve">Proposal </w:t>
            </w:r>
            <w:r>
              <w:rPr>
                <w:rFonts w:ascii="Calibri" w:hAnsi="Calibri" w:cs="Calibri"/>
                <w:b/>
                <w:bCs/>
                <w:sz w:val="22"/>
                <w:highlight w:val="yellow"/>
              </w:rPr>
              <w:t>6</w:t>
            </w:r>
            <w:r w:rsidRPr="00C65E36">
              <w:rPr>
                <w:rFonts w:ascii="Calibri" w:hAnsi="Calibri" w:cs="Calibri"/>
                <w:b/>
                <w:bCs/>
                <w:sz w:val="22"/>
                <w:highlight w:val="yellow"/>
              </w:rPr>
              <w:t xml:space="preserve"> (I</w:t>
            </w:r>
            <w:r>
              <w:rPr>
                <w:rFonts w:ascii="Calibri" w:hAnsi="Calibri" w:cs="Calibri"/>
                <w:b/>
                <w:bCs/>
                <w:sz w:val="22"/>
                <w:highlight w:val="yellow"/>
              </w:rPr>
              <w:t>V</w:t>
            </w:r>
            <w:r w:rsidRPr="00C65E36">
              <w:rPr>
                <w:rFonts w:ascii="Calibri" w:hAnsi="Calibri" w:cs="Calibri"/>
                <w:b/>
                <w:bCs/>
                <w:sz w:val="22"/>
                <w:highlight w:val="yellow"/>
              </w:rPr>
              <w:t>):</w:t>
            </w:r>
          </w:p>
          <w:p w14:paraId="5BAF6084" w14:textId="0B829DF4" w:rsidR="009B249C" w:rsidRPr="00650E3B" w:rsidRDefault="009B249C" w:rsidP="009B249C">
            <w:pPr>
              <w:numPr>
                <w:ilvl w:val="0"/>
                <w:numId w:val="26"/>
              </w:numPr>
              <w:autoSpaceDE w:val="0"/>
              <w:autoSpaceDN w:val="0"/>
              <w:jc w:val="both"/>
              <w:rPr>
                <w:rFonts w:ascii="Calibri" w:hAnsi="Calibri" w:cs="Calibri"/>
                <w:color w:val="000000" w:themeColor="text1"/>
                <w:sz w:val="22"/>
                <w:lang w:val="en-US" w:eastAsia="x-none"/>
              </w:rPr>
            </w:pPr>
            <w:r w:rsidRPr="00650E3B">
              <w:rPr>
                <w:rFonts w:ascii="Calibri" w:hAnsi="Calibri" w:cs="Calibri" w:hint="eastAsia"/>
                <w:color w:val="000000" w:themeColor="text1"/>
                <w:sz w:val="22"/>
                <w:lang w:val="en-US" w:eastAsia="x-none"/>
              </w:rPr>
              <w:t xml:space="preserve">For </w:t>
            </w:r>
            <w:r w:rsidRPr="00650E3B">
              <w:rPr>
                <w:rFonts w:ascii="Calibri" w:hAnsi="Calibri" w:cs="Calibri"/>
                <w:color w:val="000000" w:themeColor="text1"/>
                <w:sz w:val="22"/>
                <w:lang w:val="en-US" w:eastAsia="x-none"/>
              </w:rPr>
              <w:t xml:space="preserve">dynamic </w:t>
            </w:r>
            <w:del w:id="126" w:author="Giovanni Chisci" w:date="2022-10-13T14:36:00Z">
              <w:r w:rsidRPr="00650E3B" w:rsidDel="001B04A6">
                <w:rPr>
                  <w:rFonts w:ascii="Calibri" w:hAnsi="Calibri" w:cs="Calibri"/>
                  <w:color w:val="000000" w:themeColor="text1"/>
                  <w:sz w:val="22"/>
                  <w:lang w:val="en-US" w:eastAsia="x-none"/>
                </w:rPr>
                <w:delText xml:space="preserve">mode </w:delText>
              </w:r>
            </w:del>
            <w:r w:rsidRPr="00650E3B">
              <w:rPr>
                <w:rFonts w:ascii="Calibri" w:hAnsi="Calibri" w:cs="Calibri" w:hint="eastAsia"/>
                <w:color w:val="000000" w:themeColor="text1"/>
                <w:sz w:val="22"/>
                <w:lang w:val="en-US" w:eastAsia="x-none"/>
              </w:rPr>
              <w:t>multiple channel access in SL-U,</w:t>
            </w:r>
            <w:r w:rsidRPr="00650E3B">
              <w:rPr>
                <w:rFonts w:ascii="Calibri" w:hAnsi="Calibri" w:cs="Calibri"/>
                <w:color w:val="000000" w:themeColor="text1"/>
                <w:sz w:val="22"/>
                <w:lang w:val="en-US" w:eastAsia="x-none"/>
              </w:rPr>
              <w:t xml:space="preserve"> the followings are considered as baseline</w:t>
            </w:r>
          </w:p>
          <w:p w14:paraId="721697F8" w14:textId="77777777" w:rsidR="009B249C" w:rsidRPr="00650E3B" w:rsidRDefault="009B249C" w:rsidP="009B249C">
            <w:pPr>
              <w:numPr>
                <w:ilvl w:val="1"/>
                <w:numId w:val="26"/>
              </w:numPr>
              <w:autoSpaceDE w:val="0"/>
              <w:autoSpaceDN w:val="0"/>
              <w:jc w:val="both"/>
              <w:rPr>
                <w:rFonts w:ascii="Calibri" w:hAnsi="Calibri" w:cs="Calibri"/>
                <w:color w:val="000000" w:themeColor="text1"/>
                <w:sz w:val="22"/>
                <w:lang w:val="en-US" w:eastAsia="x-none"/>
              </w:rPr>
            </w:pPr>
            <w:r w:rsidRPr="00650E3B">
              <w:rPr>
                <w:rFonts w:ascii="Calibri" w:hAnsi="Calibri" w:cs="Calibri" w:hint="eastAsia"/>
                <w:color w:val="000000" w:themeColor="text1"/>
                <w:sz w:val="22"/>
                <w:lang w:val="en-US" w:eastAsia="x-none"/>
              </w:rPr>
              <w:t>NR-U DL (Type A and Type B) channel access procedures</w:t>
            </w:r>
            <w:r w:rsidRPr="00650E3B">
              <w:rPr>
                <w:rFonts w:ascii="Calibri" w:hAnsi="Calibri" w:cs="Calibri"/>
                <w:color w:val="000000" w:themeColor="text1"/>
                <w:sz w:val="22"/>
                <w:lang w:val="en-US" w:eastAsia="x-none"/>
              </w:rPr>
              <w:t xml:space="preserve"> for transmission(s) on multiple channels</w:t>
            </w:r>
          </w:p>
          <w:p w14:paraId="67D0F423" w14:textId="77777777" w:rsidR="009B249C" w:rsidRPr="00650E3B" w:rsidRDefault="009B249C" w:rsidP="009B249C">
            <w:pPr>
              <w:numPr>
                <w:ilvl w:val="2"/>
                <w:numId w:val="26"/>
              </w:numPr>
              <w:autoSpaceDE w:val="0"/>
              <w:autoSpaceDN w:val="0"/>
              <w:jc w:val="both"/>
              <w:rPr>
                <w:rFonts w:ascii="Calibri" w:hAnsi="Calibri" w:cs="Calibri"/>
                <w:color w:val="000000" w:themeColor="text1"/>
                <w:sz w:val="22"/>
                <w:lang w:val="en-US" w:eastAsia="x-none"/>
              </w:rPr>
            </w:pPr>
            <w:r w:rsidRPr="00650E3B">
              <w:rPr>
                <w:rFonts w:ascii="Calibri" w:hAnsi="Calibri" w:cs="Calibri"/>
                <w:color w:val="000000" w:themeColor="text1"/>
                <w:sz w:val="22"/>
                <w:lang w:val="en-AU" w:eastAsia="x-none"/>
              </w:rPr>
              <w:t>FFS applicable SL transmission/channel type(s) and scenario(s)</w:t>
            </w:r>
          </w:p>
          <w:p w14:paraId="5632C40C" w14:textId="77777777" w:rsidR="009B249C" w:rsidRPr="00650E3B" w:rsidRDefault="009B249C" w:rsidP="009B249C">
            <w:pPr>
              <w:numPr>
                <w:ilvl w:val="1"/>
                <w:numId w:val="26"/>
              </w:numPr>
              <w:autoSpaceDE w:val="0"/>
              <w:autoSpaceDN w:val="0"/>
              <w:jc w:val="both"/>
              <w:rPr>
                <w:rFonts w:ascii="Calibri" w:hAnsi="Calibri" w:cs="Calibri"/>
                <w:color w:val="000000" w:themeColor="text1"/>
                <w:sz w:val="22"/>
                <w:lang w:val="en-US" w:eastAsia="x-none"/>
              </w:rPr>
            </w:pPr>
            <w:r w:rsidRPr="00650E3B">
              <w:rPr>
                <w:rFonts w:ascii="Calibri" w:hAnsi="Calibri" w:cs="Calibri" w:hint="eastAsia"/>
                <w:color w:val="000000" w:themeColor="text1"/>
                <w:sz w:val="22"/>
                <w:lang w:val="en-US" w:eastAsia="x-none"/>
              </w:rPr>
              <w:t>NR-U UL channel access procedure</w:t>
            </w:r>
            <w:r w:rsidRPr="00650E3B">
              <w:rPr>
                <w:rFonts w:ascii="Calibri" w:hAnsi="Calibri" w:cs="Calibri"/>
                <w:color w:val="000000" w:themeColor="text1"/>
                <w:sz w:val="22"/>
                <w:lang w:val="en-US" w:eastAsia="x-none"/>
              </w:rPr>
              <w:t xml:space="preserve"> for transmission(s) on multiple channels</w:t>
            </w:r>
          </w:p>
          <w:p w14:paraId="7497D853" w14:textId="77777777" w:rsidR="009B249C" w:rsidRPr="00650E3B" w:rsidRDefault="009B249C" w:rsidP="009B249C">
            <w:pPr>
              <w:numPr>
                <w:ilvl w:val="2"/>
                <w:numId w:val="26"/>
              </w:numPr>
              <w:autoSpaceDE w:val="0"/>
              <w:autoSpaceDN w:val="0"/>
              <w:jc w:val="both"/>
              <w:rPr>
                <w:rFonts w:ascii="Calibri" w:hAnsi="Calibri" w:cs="Calibri"/>
                <w:color w:val="000000" w:themeColor="text1"/>
                <w:sz w:val="22"/>
                <w:lang w:val="en-US" w:eastAsia="x-none"/>
              </w:rPr>
            </w:pPr>
            <w:r w:rsidRPr="00650E3B">
              <w:rPr>
                <w:rFonts w:ascii="Calibri" w:hAnsi="Calibri" w:cs="Calibri"/>
                <w:color w:val="000000" w:themeColor="text1"/>
                <w:sz w:val="22"/>
                <w:lang w:val="en-AU" w:eastAsia="x-none"/>
              </w:rPr>
              <w:t>FFS applicable SL transmission/channel type(s) and scenario(s)</w:t>
            </w:r>
          </w:p>
          <w:p w14:paraId="35271483" w14:textId="77777777" w:rsidR="001B6BC3" w:rsidRPr="00E158FE" w:rsidRDefault="00725919" w:rsidP="001B6BC3">
            <w:pPr>
              <w:numPr>
                <w:ilvl w:val="1"/>
                <w:numId w:val="26"/>
              </w:numPr>
              <w:autoSpaceDE w:val="0"/>
              <w:autoSpaceDN w:val="0"/>
              <w:jc w:val="both"/>
              <w:rPr>
                <w:ins w:id="127" w:author="Giovanni Chisci" w:date="2022-10-13T14:35:00Z"/>
                <w:rFonts w:ascii="Calibri" w:hAnsi="Calibri" w:cs="Calibri"/>
                <w:color w:val="000000" w:themeColor="text1"/>
                <w:sz w:val="22"/>
                <w:lang w:val="en-US" w:eastAsia="x-none"/>
              </w:rPr>
            </w:pPr>
            <w:ins w:id="128" w:author="Giovanni Chisci" w:date="2022-10-13T14:35:00Z">
              <w:r>
                <w:rPr>
                  <w:rFonts w:ascii="Calibri" w:hAnsi="Calibri" w:cs="Calibri"/>
                  <w:color w:val="000000" w:themeColor="text1"/>
                  <w:sz w:val="22"/>
                  <w:lang w:val="en-AU" w:eastAsia="x-none"/>
                </w:rPr>
                <w:t>RAN 1 should study</w:t>
              </w:r>
              <w:r w:rsidRPr="00650E3B">
                <w:rPr>
                  <w:rFonts w:ascii="Calibri" w:hAnsi="Calibri" w:cs="Calibri" w:hint="eastAsia"/>
                  <w:color w:val="000000" w:themeColor="text1"/>
                  <w:sz w:val="22"/>
                  <w:lang w:val="en-AU" w:eastAsia="x-none"/>
                </w:rPr>
                <w:t xml:space="preserve"> </w:t>
              </w:r>
            </w:ins>
            <w:del w:id="129" w:author="Giovanni Chisci" w:date="2022-10-13T14:35:00Z">
              <w:r w:rsidR="009B249C" w:rsidRPr="00650E3B" w:rsidDel="00725919">
                <w:rPr>
                  <w:rFonts w:ascii="Calibri" w:hAnsi="Calibri" w:cs="Calibri" w:hint="eastAsia"/>
                  <w:color w:val="000000" w:themeColor="text1"/>
                  <w:sz w:val="22"/>
                  <w:lang w:val="en-AU" w:eastAsia="x-none"/>
                </w:rPr>
                <w:delText xml:space="preserve">FFS any </w:delText>
              </w:r>
            </w:del>
            <w:r w:rsidR="009B249C" w:rsidRPr="00650E3B">
              <w:rPr>
                <w:rFonts w:ascii="Calibri" w:hAnsi="Calibri" w:cs="Calibri" w:hint="eastAsia"/>
                <w:color w:val="000000" w:themeColor="text1"/>
                <w:sz w:val="22"/>
                <w:lang w:val="en-AU" w:eastAsia="x-none"/>
              </w:rPr>
              <w:t>necessary enhancement and modification for SL-U operation</w:t>
            </w:r>
            <w:ins w:id="130" w:author="Giovanni Chisci" w:date="2022-10-13T14:35:00Z">
              <w:r w:rsidR="001B6BC3">
                <w:rPr>
                  <w:rFonts w:ascii="Calibri" w:hAnsi="Calibri" w:cs="Calibri"/>
                  <w:color w:val="000000" w:themeColor="text1"/>
                  <w:sz w:val="22"/>
                  <w:lang w:val="en-AU" w:eastAsia="x-none"/>
                </w:rPr>
                <w:t xml:space="preserve"> including the following features:</w:t>
              </w:r>
            </w:ins>
          </w:p>
          <w:p w14:paraId="374AB923" w14:textId="77777777" w:rsidR="001B6BC3" w:rsidRDefault="001B6BC3" w:rsidP="001B6BC3">
            <w:pPr>
              <w:numPr>
                <w:ilvl w:val="2"/>
                <w:numId w:val="26"/>
              </w:numPr>
              <w:autoSpaceDE w:val="0"/>
              <w:autoSpaceDN w:val="0"/>
              <w:jc w:val="both"/>
              <w:rPr>
                <w:ins w:id="131" w:author="Giovanni Chisci" w:date="2022-10-13T14:35:00Z"/>
                <w:rFonts w:ascii="Calibri" w:hAnsi="Calibri" w:cs="Calibri"/>
                <w:color w:val="000000" w:themeColor="text1"/>
                <w:sz w:val="22"/>
                <w:lang w:val="en-US" w:eastAsia="x-none"/>
              </w:rPr>
            </w:pPr>
            <w:ins w:id="132" w:author="Giovanni Chisci" w:date="2022-10-13T14:35:00Z">
              <w:r>
                <w:rPr>
                  <w:rFonts w:ascii="Calibri" w:hAnsi="Calibri" w:cs="Calibri"/>
                  <w:color w:val="000000" w:themeColor="text1"/>
                  <w:sz w:val="22"/>
                  <w:lang w:val="en-US" w:eastAsia="x-none"/>
                </w:rPr>
                <w:t xml:space="preserve">Partial and all-or-nothing transmissions on the set of channels </w:t>
              </w:r>
            </w:ins>
          </w:p>
          <w:p w14:paraId="48AD3B7F" w14:textId="77777777" w:rsidR="001B6BC3" w:rsidRDefault="001B6BC3" w:rsidP="001B6BC3">
            <w:pPr>
              <w:numPr>
                <w:ilvl w:val="2"/>
                <w:numId w:val="26"/>
              </w:numPr>
              <w:autoSpaceDE w:val="0"/>
              <w:autoSpaceDN w:val="0"/>
              <w:jc w:val="both"/>
              <w:rPr>
                <w:ins w:id="133" w:author="Giovanni Chisci" w:date="2022-10-13T14:35:00Z"/>
                <w:rFonts w:ascii="Calibri" w:hAnsi="Calibri" w:cs="Calibri"/>
                <w:color w:val="000000" w:themeColor="text1"/>
                <w:sz w:val="22"/>
                <w:lang w:val="en-US" w:eastAsia="x-none"/>
              </w:rPr>
            </w:pPr>
            <w:ins w:id="134" w:author="Giovanni Chisci" w:date="2022-10-13T14:35:00Z">
              <w:r>
                <w:rPr>
                  <w:rFonts w:ascii="Calibri" w:hAnsi="Calibri" w:cs="Calibri"/>
                  <w:color w:val="000000" w:themeColor="text1"/>
                  <w:sz w:val="22"/>
                  <w:lang w:val="en-US" w:eastAsia="x-none"/>
                </w:rPr>
                <w:t>Type of channel access on each channel of a set of channels (e.g., Type 1 on all channels, or a mix of Type 1 and Type 2)</w:t>
              </w:r>
            </w:ins>
          </w:p>
          <w:p w14:paraId="38D0516D" w14:textId="77777777" w:rsidR="001B6BC3" w:rsidRDefault="001B6BC3" w:rsidP="001B6BC3">
            <w:pPr>
              <w:numPr>
                <w:ilvl w:val="2"/>
                <w:numId w:val="26"/>
              </w:numPr>
              <w:autoSpaceDE w:val="0"/>
              <w:autoSpaceDN w:val="0"/>
              <w:jc w:val="both"/>
              <w:rPr>
                <w:ins w:id="135" w:author="Giovanni Chisci" w:date="2022-10-13T14:35:00Z"/>
                <w:rFonts w:ascii="Calibri" w:hAnsi="Calibri" w:cs="Calibri"/>
                <w:color w:val="000000" w:themeColor="text1"/>
                <w:sz w:val="22"/>
                <w:lang w:val="en-US" w:eastAsia="x-none"/>
              </w:rPr>
            </w:pPr>
            <w:ins w:id="136" w:author="Giovanni Chisci" w:date="2022-10-13T14:35:00Z">
              <w:r>
                <w:rPr>
                  <w:rFonts w:ascii="Calibri" w:hAnsi="Calibri" w:cs="Calibri"/>
                  <w:color w:val="000000" w:themeColor="text1"/>
                  <w:sz w:val="22"/>
                  <w:lang w:val="en-US" w:eastAsia="x-none"/>
                </w:rPr>
                <w:t>Contention window adjustment (e.g., per device or per channel)</w:t>
              </w:r>
            </w:ins>
          </w:p>
          <w:p w14:paraId="2AD097B8" w14:textId="77777777" w:rsidR="001B6BC3" w:rsidRPr="00650E3B" w:rsidRDefault="001B6BC3" w:rsidP="001B6BC3">
            <w:pPr>
              <w:numPr>
                <w:ilvl w:val="2"/>
                <w:numId w:val="26"/>
              </w:numPr>
              <w:autoSpaceDE w:val="0"/>
              <w:autoSpaceDN w:val="0"/>
              <w:jc w:val="both"/>
              <w:rPr>
                <w:ins w:id="137" w:author="Giovanni Chisci" w:date="2022-10-13T14:35:00Z"/>
                <w:rFonts w:ascii="Calibri" w:hAnsi="Calibri" w:cs="Calibri"/>
                <w:color w:val="000000" w:themeColor="text1"/>
                <w:sz w:val="22"/>
                <w:lang w:val="en-US" w:eastAsia="x-none"/>
              </w:rPr>
            </w:pPr>
            <w:ins w:id="138" w:author="Giovanni Chisci" w:date="2022-10-13T14:35:00Z">
              <w:r>
                <w:rPr>
                  <w:rFonts w:ascii="Calibri" w:hAnsi="Calibri" w:cs="Calibri"/>
                  <w:color w:val="000000" w:themeColor="text1"/>
                  <w:sz w:val="22"/>
                  <w:lang w:val="en-US" w:eastAsia="x-none"/>
                </w:rPr>
                <w:t>Initial counter randomization (e.g., per device or per channel)</w:t>
              </w:r>
            </w:ins>
          </w:p>
          <w:p w14:paraId="0052CB70" w14:textId="1F592E82" w:rsidR="009B249C" w:rsidRDefault="009B249C" w:rsidP="001136EF">
            <w:pPr>
              <w:autoSpaceDE w:val="0"/>
              <w:autoSpaceDN w:val="0"/>
              <w:ind w:left="1440"/>
              <w:jc w:val="both"/>
              <w:rPr>
                <w:rFonts w:ascii="Calibri" w:hAnsi="Calibri" w:cs="Calibri"/>
                <w:color w:val="000000" w:themeColor="text1"/>
                <w:sz w:val="22"/>
                <w:lang w:val="en-US" w:eastAsia="x-none"/>
              </w:rPr>
            </w:pPr>
          </w:p>
          <w:p w14:paraId="5909C5A2" w14:textId="4FB08A1D" w:rsidR="004744D6" w:rsidRPr="00126C60" w:rsidRDefault="001136EF" w:rsidP="00126C60">
            <w:pPr>
              <w:autoSpaceDE w:val="0"/>
              <w:autoSpaceDN w:val="0"/>
              <w:jc w:val="both"/>
              <w:rPr>
                <w:rFonts w:ascii="Calibri" w:hAnsi="Calibri" w:cs="Calibri"/>
                <w:color w:val="000000" w:themeColor="text1"/>
                <w:sz w:val="22"/>
                <w:lang w:val="en-US" w:eastAsia="x-none"/>
              </w:rPr>
            </w:pPr>
            <w:r>
              <w:rPr>
                <w:rFonts w:ascii="Calibri" w:hAnsi="Calibri" w:cs="Calibri"/>
                <w:color w:val="000000" w:themeColor="text1"/>
                <w:sz w:val="22"/>
                <w:lang w:val="en-US" w:eastAsia="x-none"/>
              </w:rPr>
              <w:t>If we address the challenge in a systematic way</w:t>
            </w:r>
            <w:r w:rsidR="00D063FA">
              <w:rPr>
                <w:rFonts w:ascii="Calibri" w:hAnsi="Calibri" w:cs="Calibri"/>
                <w:color w:val="000000" w:themeColor="text1"/>
                <w:sz w:val="22"/>
                <w:lang w:val="en-US" w:eastAsia="x-none"/>
              </w:rPr>
              <w:t xml:space="preserve"> feature by feature, we can make progresses to specify in more detail in the next round.</w:t>
            </w:r>
          </w:p>
        </w:tc>
      </w:tr>
      <w:tr w:rsidR="003517D3" w14:paraId="2145D0EF" w14:textId="77777777" w:rsidTr="000F6488">
        <w:tc>
          <w:tcPr>
            <w:tcW w:w="1555" w:type="dxa"/>
          </w:tcPr>
          <w:p w14:paraId="28DC5B33" w14:textId="6F26AB42" w:rsidR="003517D3" w:rsidRDefault="00565232" w:rsidP="004744D6">
            <w:pPr>
              <w:pStyle w:val="0Maintext"/>
              <w:spacing w:after="0" w:afterAutospacing="0"/>
              <w:ind w:firstLine="0"/>
            </w:pPr>
            <w:r>
              <w:lastRenderedPageBreak/>
              <w:t>Apple</w:t>
            </w:r>
          </w:p>
        </w:tc>
        <w:tc>
          <w:tcPr>
            <w:tcW w:w="8076" w:type="dxa"/>
          </w:tcPr>
          <w:p w14:paraId="1D131F81" w14:textId="77777777" w:rsidR="003517D3" w:rsidRDefault="00565232" w:rsidP="00604C8A">
            <w:pPr>
              <w:pStyle w:val="0Maintext"/>
              <w:spacing w:after="0" w:afterAutospacing="0"/>
              <w:ind w:firstLine="0"/>
            </w:pPr>
            <w:r>
              <w:t xml:space="preserve">Due to transceiver complexity, we have strong concern of using DL multi-channel procedure. </w:t>
            </w:r>
          </w:p>
          <w:p w14:paraId="28A3717F" w14:textId="5A2FDA41" w:rsidR="00565232" w:rsidRDefault="00565232" w:rsidP="00604C8A">
            <w:pPr>
              <w:pStyle w:val="0Maintext"/>
              <w:spacing w:after="0" w:afterAutospacing="0"/>
              <w:ind w:firstLine="0"/>
            </w:pPr>
            <w:r>
              <w:t xml:space="preserve">We support Intel’s revised </w:t>
            </w:r>
            <w:r w:rsidR="007D2271">
              <w:t xml:space="preserve">proposal. </w:t>
            </w:r>
          </w:p>
        </w:tc>
      </w:tr>
      <w:tr w:rsidR="00F41C2B" w14:paraId="160181E8" w14:textId="77777777" w:rsidTr="000F6488">
        <w:tc>
          <w:tcPr>
            <w:tcW w:w="1555" w:type="dxa"/>
          </w:tcPr>
          <w:p w14:paraId="0A2CFE88" w14:textId="593BD72C" w:rsidR="00F41C2B" w:rsidRPr="00F41C2B" w:rsidRDefault="00F41C2B" w:rsidP="004744D6">
            <w:pPr>
              <w:pStyle w:val="0Maintext"/>
              <w:spacing w:after="0" w:afterAutospacing="0"/>
              <w:ind w:firstLine="0"/>
              <w:rPr>
                <w:rFonts w:eastAsiaTheme="minorEastAsia"/>
                <w:lang w:eastAsia="zh-CN"/>
              </w:rPr>
            </w:pPr>
            <w:bookmarkStart w:id="139" w:name="OLE_LINK325"/>
            <w:bookmarkStart w:id="140" w:name="OLE_LINK326"/>
            <w:r>
              <w:rPr>
                <w:rFonts w:eastAsiaTheme="minorEastAsia" w:hint="eastAsia"/>
                <w:lang w:eastAsia="zh-CN"/>
              </w:rPr>
              <w:t>S</w:t>
            </w:r>
            <w:r>
              <w:rPr>
                <w:rFonts w:eastAsiaTheme="minorEastAsia"/>
                <w:lang w:eastAsia="zh-CN"/>
              </w:rPr>
              <w:t>preadtrum</w:t>
            </w:r>
            <w:bookmarkEnd w:id="139"/>
            <w:bookmarkEnd w:id="140"/>
          </w:p>
        </w:tc>
        <w:tc>
          <w:tcPr>
            <w:tcW w:w="8076" w:type="dxa"/>
          </w:tcPr>
          <w:p w14:paraId="7B2D5ACE" w14:textId="4DA95821" w:rsidR="00F41C2B" w:rsidRDefault="00F41C2B" w:rsidP="00F41C2B">
            <w:pPr>
              <w:pStyle w:val="0Maintext"/>
              <w:spacing w:after="0" w:afterAutospacing="0"/>
              <w:ind w:firstLine="0"/>
            </w:pPr>
            <w:r>
              <w:t xml:space="preserve">Considering </w:t>
            </w:r>
            <w:r w:rsidRPr="00F41C2B">
              <w:t>UE implementation</w:t>
            </w:r>
            <w:r>
              <w:t xml:space="preserve"> </w:t>
            </w:r>
            <w:r w:rsidRPr="00F41C2B">
              <w:t>complexity</w:t>
            </w:r>
            <w:r>
              <w:t>,</w:t>
            </w:r>
            <w:r w:rsidRPr="00F41C2B">
              <w:t xml:space="preserve"> </w:t>
            </w:r>
            <w:r>
              <w:t xml:space="preserve">we don’t support to reuse </w:t>
            </w:r>
            <w:r w:rsidRPr="00F41C2B">
              <w:t>NR-U DL</w:t>
            </w:r>
            <w:r>
              <w:t xml:space="preserve"> multiple </w:t>
            </w:r>
            <w:r w:rsidRPr="00F41C2B">
              <w:t>channel access procedures</w:t>
            </w:r>
            <w:r>
              <w:t>.</w:t>
            </w:r>
          </w:p>
        </w:tc>
      </w:tr>
      <w:tr w:rsidR="005B2556" w14:paraId="25306173" w14:textId="77777777" w:rsidTr="000F6488">
        <w:tc>
          <w:tcPr>
            <w:tcW w:w="1555" w:type="dxa"/>
          </w:tcPr>
          <w:p w14:paraId="5B941F3F" w14:textId="644D2282" w:rsidR="005B2556" w:rsidRDefault="005B2556" w:rsidP="004744D6">
            <w:pPr>
              <w:pStyle w:val="0Maintext"/>
              <w:spacing w:after="0" w:afterAutospacing="0"/>
              <w:ind w:firstLine="0"/>
              <w:rPr>
                <w:rFonts w:eastAsiaTheme="minorEastAsia"/>
                <w:lang w:eastAsia="zh-CN"/>
              </w:rPr>
            </w:pPr>
            <w:r>
              <w:rPr>
                <w:rFonts w:eastAsiaTheme="minorEastAsia" w:hint="eastAsia"/>
                <w:lang w:eastAsia="zh-CN"/>
              </w:rPr>
              <w:t>C</w:t>
            </w:r>
            <w:r>
              <w:rPr>
                <w:rFonts w:eastAsiaTheme="minorEastAsia"/>
                <w:lang w:eastAsia="zh-CN"/>
              </w:rPr>
              <w:t>MCC</w:t>
            </w:r>
          </w:p>
        </w:tc>
        <w:tc>
          <w:tcPr>
            <w:tcW w:w="8076" w:type="dxa"/>
          </w:tcPr>
          <w:p w14:paraId="5C7F92D2" w14:textId="4BBBBC78" w:rsidR="005B2556" w:rsidRPr="005B2556" w:rsidRDefault="005B2556" w:rsidP="00F41C2B">
            <w:pPr>
              <w:pStyle w:val="0Maintext"/>
              <w:spacing w:after="0" w:afterAutospacing="0"/>
              <w:ind w:firstLine="0"/>
              <w:rPr>
                <w:rFonts w:eastAsiaTheme="minorEastAsia"/>
                <w:lang w:eastAsia="zh-CN"/>
              </w:rPr>
            </w:pPr>
            <w:r>
              <w:rPr>
                <w:rFonts w:eastAsiaTheme="minorEastAsia" w:hint="eastAsia"/>
                <w:lang w:eastAsia="zh-CN"/>
              </w:rPr>
              <w:t>F</w:t>
            </w:r>
            <w:r>
              <w:rPr>
                <w:rFonts w:eastAsiaTheme="minorEastAsia"/>
                <w:lang w:eastAsia="zh-CN"/>
              </w:rPr>
              <w:t xml:space="preserve">or PSCCH/PSSCH, we agree the view from Intel, Apple and </w:t>
            </w:r>
            <w:r w:rsidRPr="005B2556">
              <w:rPr>
                <w:rFonts w:eastAsiaTheme="minorEastAsia"/>
                <w:lang w:eastAsia="zh-CN"/>
              </w:rPr>
              <w:t>Spreadtrum</w:t>
            </w:r>
            <w:r>
              <w:rPr>
                <w:rFonts w:eastAsiaTheme="minorEastAsia"/>
                <w:lang w:eastAsia="zh-CN"/>
              </w:rPr>
              <w:t xml:space="preserve"> that only UL mechanism is applicable due to the complexity; but for PSFCH, we think it can be further discussed because a UE may transmit multiple PSFCHs </w:t>
            </w:r>
            <w:r w:rsidRPr="005B2556">
              <w:rPr>
                <w:rFonts w:eastAsiaTheme="minorEastAsia"/>
                <w:lang w:eastAsia="zh-CN"/>
              </w:rPr>
              <w:t>simultaneously</w:t>
            </w:r>
            <w:r>
              <w:rPr>
                <w:rFonts w:eastAsiaTheme="minorEastAsia"/>
                <w:lang w:eastAsia="zh-CN"/>
              </w:rPr>
              <w:t>.</w:t>
            </w:r>
          </w:p>
        </w:tc>
      </w:tr>
      <w:tr w:rsidR="004B3EDD" w14:paraId="37910C1A" w14:textId="77777777" w:rsidTr="000F6488">
        <w:tc>
          <w:tcPr>
            <w:tcW w:w="1555" w:type="dxa"/>
          </w:tcPr>
          <w:p w14:paraId="4853E4CA" w14:textId="44010D86" w:rsidR="004B3EDD" w:rsidRPr="004B3EDD" w:rsidRDefault="004B3EDD" w:rsidP="004744D6">
            <w:pPr>
              <w:pStyle w:val="0Maintext"/>
              <w:spacing w:after="0" w:afterAutospacing="0"/>
              <w:ind w:firstLine="0"/>
              <w:rPr>
                <w:rFonts w:eastAsia="MS Mincho"/>
                <w:lang w:eastAsia="ja-JP"/>
              </w:rPr>
            </w:pPr>
            <w:r>
              <w:rPr>
                <w:rFonts w:eastAsia="MS Mincho" w:hint="eastAsia"/>
                <w:lang w:eastAsia="ja-JP"/>
              </w:rPr>
              <w:t>P</w:t>
            </w:r>
            <w:r>
              <w:rPr>
                <w:rFonts w:eastAsia="MS Mincho"/>
                <w:lang w:eastAsia="ja-JP"/>
              </w:rPr>
              <w:t>anasonic</w:t>
            </w:r>
          </w:p>
        </w:tc>
        <w:tc>
          <w:tcPr>
            <w:tcW w:w="8076" w:type="dxa"/>
          </w:tcPr>
          <w:p w14:paraId="557D00B5" w14:textId="104541A9" w:rsidR="004B3EDD" w:rsidRDefault="004B3EDD" w:rsidP="00F41C2B">
            <w:pPr>
              <w:pStyle w:val="0Maintext"/>
              <w:spacing w:after="0" w:afterAutospacing="0"/>
              <w:ind w:firstLine="0"/>
              <w:rPr>
                <w:rFonts w:eastAsiaTheme="minorEastAsia"/>
                <w:lang w:eastAsia="zh-CN"/>
              </w:rPr>
            </w:pPr>
            <w:r w:rsidRPr="004B3EDD">
              <w:rPr>
                <w:rFonts w:eastAsiaTheme="minorEastAsia"/>
                <w:lang w:eastAsia="zh-CN"/>
              </w:rPr>
              <w:t>We are OK with the proposal. For whether/how to transmit when only a part of channel access is successful, at least for PSSCH, NR-U UL channel access procedure for transmission(s) on multiple channels is preferable since UE preparing multiple TBS/SCI for multiple LBT results increases UE complexity.</w:t>
            </w:r>
          </w:p>
        </w:tc>
      </w:tr>
      <w:tr w:rsidR="006E0E7B" w14:paraId="7034DAB4" w14:textId="77777777" w:rsidTr="000F6488">
        <w:tc>
          <w:tcPr>
            <w:tcW w:w="1555" w:type="dxa"/>
          </w:tcPr>
          <w:p w14:paraId="4C11DBBF" w14:textId="29B872BD" w:rsidR="006E0E7B" w:rsidRPr="006E0E7B" w:rsidRDefault="006E0E7B" w:rsidP="006E0E7B">
            <w:pPr>
              <w:pStyle w:val="0Maintext"/>
              <w:spacing w:after="0" w:afterAutospacing="0"/>
              <w:ind w:firstLine="0"/>
              <w:rPr>
                <w:rFonts w:eastAsiaTheme="minorEastAsia"/>
                <w:lang w:eastAsia="zh-CN"/>
              </w:rPr>
            </w:pPr>
            <w:r>
              <w:rPr>
                <w:rFonts w:eastAsiaTheme="minorEastAsia" w:hint="eastAsia"/>
                <w:lang w:eastAsia="zh-CN"/>
              </w:rPr>
              <w:t>S</w:t>
            </w:r>
            <w:r>
              <w:rPr>
                <w:rFonts w:eastAsiaTheme="minorEastAsia"/>
                <w:lang w:eastAsia="zh-CN"/>
              </w:rPr>
              <w:t>amsung</w:t>
            </w:r>
          </w:p>
        </w:tc>
        <w:tc>
          <w:tcPr>
            <w:tcW w:w="8076" w:type="dxa"/>
          </w:tcPr>
          <w:p w14:paraId="1AE1311A" w14:textId="77777777" w:rsidR="006E0E7B" w:rsidRDefault="006E0E7B" w:rsidP="006E0E7B">
            <w:pPr>
              <w:pStyle w:val="0Maintext"/>
              <w:spacing w:after="0" w:afterAutospacing="0"/>
              <w:ind w:firstLine="0"/>
            </w:pPr>
            <w:r>
              <w:t>We want to share some background on how NR-U DL and UL dynamic multi-channel access were determined. The only difference between NR-U DL and UL dynamic multi-channel access was:</w:t>
            </w:r>
          </w:p>
          <w:p w14:paraId="4C256CBD" w14:textId="77777777" w:rsidR="006E0E7B" w:rsidRDefault="006E0E7B">
            <w:pPr>
              <w:pStyle w:val="0Maintext"/>
              <w:numPr>
                <w:ilvl w:val="0"/>
                <w:numId w:val="58"/>
              </w:numPr>
              <w:spacing w:after="0" w:afterAutospacing="0"/>
            </w:pPr>
            <w:r>
              <w:t>Option 1 (NR-U DL): Can transmit over all or a subset of RB sets if LBT succeeds on those RB sets</w:t>
            </w:r>
          </w:p>
          <w:p w14:paraId="52C974A3" w14:textId="77777777" w:rsidR="006E0E7B" w:rsidRDefault="006E0E7B">
            <w:pPr>
              <w:pStyle w:val="0Maintext"/>
              <w:numPr>
                <w:ilvl w:val="0"/>
                <w:numId w:val="58"/>
              </w:numPr>
              <w:spacing w:after="0" w:afterAutospacing="0"/>
            </w:pPr>
            <w:r>
              <w:t>Option 2 (NR-U UL): Can only transmit if LBT succeeds on all the scheduled RB sets</w:t>
            </w:r>
          </w:p>
          <w:p w14:paraId="158C7339" w14:textId="77777777" w:rsidR="006E0E7B" w:rsidRDefault="006E0E7B" w:rsidP="006E0E7B">
            <w:pPr>
              <w:pStyle w:val="0Maintext"/>
              <w:spacing w:after="0" w:afterAutospacing="0"/>
              <w:ind w:firstLine="0"/>
            </w:pPr>
            <w:r>
              <w:t>Actually for UL, the same two options were discussed, and an LS was sent to RAN4 to check the feasibility of each option (R1-</w:t>
            </w:r>
            <w:r w:rsidRPr="00D2098B">
              <w:t>1905895</w:t>
            </w:r>
            <w:r>
              <w:t>, April 2019), and after a long discussion (around half year) in RAN4, RAN4 sent an LS back (</w:t>
            </w:r>
            <w:r w:rsidRPr="00D2098B">
              <w:t>R4-1912866</w:t>
            </w:r>
            <w:r>
              <w:t xml:space="preserve">, Oct 2019) mentioning only Option 2 is for sure to be feasible and the study on Option 1 doesn’t go to a consensus for UL transmission (the key issue is UE interference when transmitting on a subset of RB sets), and RAN1 developed work for UL with Option 2 only. </w:t>
            </w:r>
          </w:p>
          <w:p w14:paraId="482D1BA9" w14:textId="77777777" w:rsidR="006E0E7B" w:rsidRDefault="006E0E7B" w:rsidP="006E0E7B">
            <w:pPr>
              <w:pStyle w:val="0Maintext"/>
              <w:spacing w:after="0" w:afterAutospacing="0"/>
              <w:ind w:firstLine="0"/>
            </w:pPr>
          </w:p>
          <w:p w14:paraId="058B06F4" w14:textId="77777777" w:rsidR="006E0E7B" w:rsidRDefault="006E0E7B" w:rsidP="006E0E7B">
            <w:pPr>
              <w:pStyle w:val="0Maintext"/>
              <w:spacing w:after="0" w:afterAutospacing="0"/>
              <w:ind w:firstLine="0"/>
            </w:pPr>
            <w:r>
              <w:t xml:space="preserve">Now back to SL-U, we wonder without the work from RAN4, how RAN1 can be confident that Option 1 (NR-U DL) can work for sure, especially considering the SL transmission is also from the UE? We believe similar LS is needed to check RAN4’s opinion first before making a decision in RAN1. </w:t>
            </w:r>
          </w:p>
          <w:p w14:paraId="419668FA" w14:textId="77777777" w:rsidR="006E0E7B" w:rsidRDefault="006E0E7B" w:rsidP="006E0E7B">
            <w:pPr>
              <w:pStyle w:val="0Maintext"/>
              <w:spacing w:after="0" w:afterAutospacing="0"/>
              <w:ind w:firstLine="0"/>
            </w:pPr>
          </w:p>
          <w:p w14:paraId="64281184" w14:textId="42460A59" w:rsidR="006E0E7B" w:rsidRPr="004B3EDD" w:rsidRDefault="006E0E7B" w:rsidP="006E0E7B">
            <w:pPr>
              <w:pStyle w:val="0Maintext"/>
              <w:spacing w:after="0" w:afterAutospacing="0"/>
              <w:ind w:firstLine="0"/>
              <w:rPr>
                <w:rFonts w:eastAsiaTheme="minorEastAsia"/>
                <w:lang w:eastAsia="zh-CN"/>
              </w:rPr>
            </w:pPr>
            <w:r>
              <w:t xml:space="preserve">Also, Option 2 (NR-U UL) can always be achieved by implementation if Option 1 (NR-U DL) is supported since its behaviour is a subset of Option 1 (NR-U DL), so we don’t understand the intention to support both options, or saying supporting Option 1 (NR-U DL) already covering Option 2 (NR-U UL) by default. </w:t>
            </w:r>
          </w:p>
        </w:tc>
      </w:tr>
      <w:tr w:rsidR="00B85BBD" w14:paraId="643E220E" w14:textId="77777777" w:rsidTr="000F6488">
        <w:tc>
          <w:tcPr>
            <w:tcW w:w="1555" w:type="dxa"/>
          </w:tcPr>
          <w:p w14:paraId="54DFA1D1" w14:textId="62916D34" w:rsidR="00B85BBD" w:rsidRDefault="00CB3434" w:rsidP="006E0E7B">
            <w:pPr>
              <w:pStyle w:val="0Maintext"/>
              <w:spacing w:after="0" w:afterAutospacing="0"/>
              <w:ind w:firstLine="0"/>
              <w:rPr>
                <w:rFonts w:eastAsiaTheme="minorEastAsia"/>
                <w:lang w:eastAsia="zh-CN"/>
              </w:rPr>
            </w:pPr>
            <w:r>
              <w:rPr>
                <w:rFonts w:eastAsiaTheme="minorEastAsia"/>
                <w:lang w:eastAsia="zh-CN"/>
              </w:rPr>
              <w:t>Futurewei</w:t>
            </w:r>
          </w:p>
        </w:tc>
        <w:tc>
          <w:tcPr>
            <w:tcW w:w="8076" w:type="dxa"/>
          </w:tcPr>
          <w:p w14:paraId="224FA372" w14:textId="71BC0830" w:rsidR="00B85BBD" w:rsidRDefault="00CB3434" w:rsidP="006E0E7B">
            <w:pPr>
              <w:pStyle w:val="0Maintext"/>
              <w:spacing w:after="0" w:afterAutospacing="0"/>
              <w:ind w:firstLine="0"/>
            </w:pPr>
            <w:r>
              <w:t>We think that only one option should be supported. While Option 1 (NR-DL) is more efficient</w:t>
            </w:r>
            <w:r w:rsidR="00912843">
              <w:t>,</w:t>
            </w:r>
            <w:r>
              <w:t xml:space="preserve"> we agree with other companies that it may increase the complexity of implementation. We </w:t>
            </w:r>
            <w:r w:rsidR="00912843">
              <w:t>can live with Option2 (</w:t>
            </w:r>
            <w:r>
              <w:t>NR-UL</w:t>
            </w:r>
            <w:r w:rsidR="00912843">
              <w:t>)</w:t>
            </w:r>
            <w:r>
              <w:t xml:space="preserve"> if the majority wants it.  </w:t>
            </w:r>
          </w:p>
        </w:tc>
      </w:tr>
      <w:tr w:rsidR="000F7913" w14:paraId="54B54D1B" w14:textId="77777777" w:rsidTr="000F6488">
        <w:tc>
          <w:tcPr>
            <w:tcW w:w="1555" w:type="dxa"/>
          </w:tcPr>
          <w:p w14:paraId="2198D68B" w14:textId="79D56799" w:rsidR="000F7913" w:rsidRDefault="000F7913" w:rsidP="006E0E7B">
            <w:pPr>
              <w:pStyle w:val="0Maintext"/>
              <w:spacing w:after="0" w:afterAutospacing="0"/>
              <w:ind w:firstLine="0"/>
              <w:rPr>
                <w:rFonts w:eastAsiaTheme="minorEastAsia"/>
                <w:lang w:eastAsia="zh-CN"/>
              </w:rPr>
            </w:pPr>
            <w:r>
              <w:rPr>
                <w:rFonts w:eastAsiaTheme="minorEastAsia" w:hint="eastAsia"/>
                <w:lang w:eastAsia="zh-CN"/>
              </w:rPr>
              <w:t>x</w:t>
            </w:r>
            <w:r>
              <w:rPr>
                <w:rFonts w:eastAsiaTheme="minorEastAsia"/>
                <w:lang w:eastAsia="zh-CN"/>
              </w:rPr>
              <w:t>iaomi</w:t>
            </w:r>
          </w:p>
        </w:tc>
        <w:tc>
          <w:tcPr>
            <w:tcW w:w="8076" w:type="dxa"/>
          </w:tcPr>
          <w:p w14:paraId="7F6B5BFF" w14:textId="14244D27" w:rsidR="000F7913" w:rsidRPr="000F7913" w:rsidRDefault="000F7913" w:rsidP="00126C60">
            <w:pPr>
              <w:pStyle w:val="0Maintext"/>
              <w:ind w:firstLine="0"/>
            </w:pPr>
            <w:r w:rsidRPr="000F7913">
              <w:t>We share concern about the complexity of blind detecting for NR-U DL multiple channel access procedures, and thus prefer Intel</w:t>
            </w:r>
            <w:r>
              <w:t>’s</w:t>
            </w:r>
            <w:r w:rsidRPr="000F7913">
              <w:t xml:space="preserve"> revision</w:t>
            </w:r>
            <w:r>
              <w:t>.</w:t>
            </w:r>
          </w:p>
        </w:tc>
      </w:tr>
      <w:tr w:rsidR="008F335F" w14:paraId="67320406" w14:textId="77777777" w:rsidTr="000F6488">
        <w:tc>
          <w:tcPr>
            <w:tcW w:w="1555" w:type="dxa"/>
          </w:tcPr>
          <w:p w14:paraId="3BB4F0F7" w14:textId="2B351A95" w:rsidR="008F335F" w:rsidRDefault="008F335F" w:rsidP="006E0E7B">
            <w:pPr>
              <w:pStyle w:val="0Maintext"/>
              <w:spacing w:after="0" w:afterAutospacing="0"/>
              <w:ind w:firstLine="0"/>
              <w:rPr>
                <w:rFonts w:eastAsiaTheme="minorEastAsia"/>
                <w:lang w:eastAsia="zh-CN"/>
              </w:rPr>
            </w:pPr>
            <w:r>
              <w:rPr>
                <w:rFonts w:eastAsiaTheme="minorEastAsia"/>
                <w:lang w:eastAsia="zh-CN"/>
              </w:rPr>
              <w:t>Lenovo</w:t>
            </w:r>
          </w:p>
        </w:tc>
        <w:tc>
          <w:tcPr>
            <w:tcW w:w="8076" w:type="dxa"/>
          </w:tcPr>
          <w:p w14:paraId="278CFF7C" w14:textId="27E06F8B" w:rsidR="008F335F" w:rsidRPr="000F7913" w:rsidRDefault="008F335F" w:rsidP="000F7913">
            <w:pPr>
              <w:pStyle w:val="0Maintext"/>
              <w:ind w:firstLine="0"/>
            </w:pPr>
            <w:r>
              <w:t>We re-iterate our concerns from earlier discusion rounds on agreeing now to support DL multi-channel without having the details worked out first. We support Intel's revision.</w:t>
            </w:r>
          </w:p>
        </w:tc>
      </w:tr>
      <w:tr w:rsidR="00663172" w14:paraId="63421EB3" w14:textId="77777777" w:rsidTr="000F6488">
        <w:tc>
          <w:tcPr>
            <w:tcW w:w="1555" w:type="dxa"/>
          </w:tcPr>
          <w:p w14:paraId="577A8D8E" w14:textId="70A7C7D2" w:rsidR="00663172" w:rsidRDefault="00663172" w:rsidP="00663172">
            <w:pPr>
              <w:pStyle w:val="0Maintext"/>
              <w:spacing w:after="0" w:afterAutospacing="0"/>
              <w:ind w:firstLine="0"/>
              <w:rPr>
                <w:rFonts w:eastAsiaTheme="minorEastAsia"/>
                <w:lang w:eastAsia="zh-CN"/>
              </w:rPr>
            </w:pPr>
            <w:r>
              <w:rPr>
                <w:rFonts w:eastAsiaTheme="minorEastAsia" w:hint="eastAsia"/>
                <w:lang w:eastAsia="zh-CN"/>
              </w:rPr>
              <w:t>C</w:t>
            </w:r>
            <w:r>
              <w:rPr>
                <w:rFonts w:eastAsiaTheme="minorEastAsia"/>
                <w:lang w:eastAsia="zh-CN"/>
              </w:rPr>
              <w:t>ATT/GH</w:t>
            </w:r>
          </w:p>
        </w:tc>
        <w:tc>
          <w:tcPr>
            <w:tcW w:w="8076" w:type="dxa"/>
          </w:tcPr>
          <w:p w14:paraId="13955748" w14:textId="6FA9A584" w:rsidR="00663172" w:rsidRDefault="00663172" w:rsidP="00663172">
            <w:pPr>
              <w:pStyle w:val="0Maintext"/>
              <w:ind w:firstLine="0"/>
            </w:pPr>
            <w:r>
              <w:rPr>
                <w:rFonts w:eastAsiaTheme="minorEastAsia" w:hint="eastAsia"/>
                <w:lang w:eastAsia="zh-CN"/>
              </w:rPr>
              <w:t>W</w:t>
            </w:r>
            <w:r>
              <w:rPr>
                <w:rFonts w:eastAsiaTheme="minorEastAsia"/>
                <w:lang w:eastAsia="zh-CN"/>
              </w:rPr>
              <w:t>e support the proposal.</w:t>
            </w:r>
          </w:p>
        </w:tc>
      </w:tr>
      <w:tr w:rsidR="00126C60" w14:paraId="44A1A02C" w14:textId="77777777" w:rsidTr="00126C60">
        <w:tc>
          <w:tcPr>
            <w:tcW w:w="1555" w:type="dxa"/>
          </w:tcPr>
          <w:p w14:paraId="5E0CA175" w14:textId="77777777" w:rsidR="00126C60" w:rsidRDefault="00126C60" w:rsidP="0096086B">
            <w:pPr>
              <w:pStyle w:val="0Maintext"/>
              <w:spacing w:after="0" w:afterAutospacing="0"/>
              <w:ind w:firstLine="0"/>
              <w:rPr>
                <w:rFonts w:eastAsiaTheme="minorEastAsia"/>
                <w:lang w:eastAsia="zh-CN"/>
              </w:rPr>
            </w:pPr>
            <w:r>
              <w:rPr>
                <w:rFonts w:eastAsiaTheme="minorEastAsia" w:hint="eastAsia"/>
                <w:lang w:val="en-US" w:eastAsia="zh-CN"/>
              </w:rPr>
              <w:t>Transsion</w:t>
            </w:r>
          </w:p>
        </w:tc>
        <w:tc>
          <w:tcPr>
            <w:tcW w:w="8076" w:type="dxa"/>
          </w:tcPr>
          <w:p w14:paraId="259AF47A" w14:textId="77777777" w:rsidR="00126C60" w:rsidRDefault="00126C60" w:rsidP="0096086B">
            <w:pPr>
              <w:pStyle w:val="0Maintext"/>
              <w:spacing w:after="0" w:afterAutospacing="0"/>
              <w:ind w:firstLine="0"/>
              <w:rPr>
                <w:rFonts w:eastAsiaTheme="minorEastAsia"/>
                <w:lang w:eastAsia="zh-CN"/>
              </w:rPr>
            </w:pPr>
            <w:r>
              <w:rPr>
                <w:rFonts w:eastAsia="SimSun" w:hint="eastAsia"/>
                <w:lang w:val="en-US" w:eastAsia="zh-CN"/>
              </w:rPr>
              <w:t xml:space="preserve">We do see the benefits of supporting both options (NR-U DL and NR-U UL), they can be applied  to different channels/signals. </w:t>
            </w:r>
          </w:p>
        </w:tc>
      </w:tr>
      <w:tr w:rsidR="00126C60" w:rsidRPr="00445FD8" w14:paraId="709CF150" w14:textId="77777777" w:rsidTr="00126C60">
        <w:tc>
          <w:tcPr>
            <w:tcW w:w="1555" w:type="dxa"/>
          </w:tcPr>
          <w:p w14:paraId="078A8623" w14:textId="77777777" w:rsidR="00126C60" w:rsidRDefault="00126C60" w:rsidP="0096086B">
            <w:pPr>
              <w:pStyle w:val="0Maintext"/>
              <w:spacing w:after="0" w:afterAutospacing="0"/>
              <w:ind w:firstLine="0"/>
            </w:pPr>
            <w:r w:rsidRPr="00DE47F8">
              <w:t>Huawei, HiSilicon</w:t>
            </w:r>
          </w:p>
        </w:tc>
        <w:tc>
          <w:tcPr>
            <w:tcW w:w="8076" w:type="dxa"/>
          </w:tcPr>
          <w:p w14:paraId="6848B17F" w14:textId="77777777" w:rsidR="00126C60" w:rsidRDefault="00126C60" w:rsidP="0096086B">
            <w:pPr>
              <w:pStyle w:val="0Maintext"/>
              <w:spacing w:after="0" w:afterAutospacing="0"/>
              <w:ind w:firstLine="0"/>
              <w:rPr>
                <w:rFonts w:eastAsiaTheme="minorEastAsia"/>
                <w:lang w:eastAsia="zh-CN"/>
              </w:rPr>
            </w:pPr>
            <w:r>
              <w:rPr>
                <w:rFonts w:eastAsiaTheme="minorEastAsia"/>
                <w:lang w:eastAsia="zh-CN"/>
              </w:rPr>
              <w:t>We cannot agree the proposal currently and share similar concerns on DL channel access procedure with other companies. Companies already interpreted the infeasibility of UE performing DL channel access procedure, and we think DL channel access procedure should be further investigated.</w:t>
            </w:r>
          </w:p>
          <w:p w14:paraId="47CE4B99" w14:textId="77777777" w:rsidR="00126C60" w:rsidRDefault="00126C60" w:rsidP="0096086B">
            <w:pPr>
              <w:pStyle w:val="0Maintext"/>
              <w:spacing w:after="0" w:afterAutospacing="0"/>
              <w:ind w:firstLine="0"/>
              <w:rPr>
                <w:rFonts w:eastAsiaTheme="minorEastAsia"/>
                <w:lang w:eastAsia="zh-CN"/>
              </w:rPr>
            </w:pPr>
          </w:p>
          <w:p w14:paraId="50370D17" w14:textId="77777777" w:rsidR="00126C60" w:rsidRDefault="00126C60" w:rsidP="0096086B">
            <w:pPr>
              <w:pStyle w:val="0Maintext"/>
              <w:spacing w:after="0" w:afterAutospacing="0"/>
              <w:ind w:firstLine="0"/>
              <w:rPr>
                <w:rFonts w:eastAsiaTheme="minorEastAsia"/>
                <w:lang w:eastAsia="zh-CN"/>
              </w:rPr>
            </w:pPr>
            <w:r>
              <w:rPr>
                <w:rFonts w:eastAsiaTheme="minorEastAsia"/>
                <w:lang w:eastAsia="zh-CN"/>
              </w:rPr>
              <w:t>So, we may suggest two way for move forward:</w:t>
            </w:r>
          </w:p>
          <w:p w14:paraId="6AFE0365" w14:textId="77777777" w:rsidR="00126C60" w:rsidRPr="002125A5" w:rsidRDefault="00126C60" w:rsidP="0096086B">
            <w:pPr>
              <w:pStyle w:val="0Maintext"/>
              <w:spacing w:after="0" w:afterAutospacing="0"/>
              <w:ind w:firstLine="0"/>
              <w:rPr>
                <w:rFonts w:eastAsiaTheme="minorEastAsia"/>
                <w:b/>
                <w:lang w:eastAsia="zh-CN"/>
              </w:rPr>
            </w:pPr>
            <w:r w:rsidRPr="002125A5">
              <w:rPr>
                <w:rFonts w:eastAsiaTheme="minorEastAsia"/>
                <w:b/>
                <w:lang w:eastAsia="zh-CN"/>
              </w:rPr>
              <w:t>Alt1: Put whole DL procedure bullet into FFS</w:t>
            </w:r>
          </w:p>
          <w:p w14:paraId="2DD523F1" w14:textId="77777777" w:rsidR="00126C60" w:rsidRPr="00C65E36" w:rsidRDefault="00126C60" w:rsidP="0096086B">
            <w:pPr>
              <w:autoSpaceDE w:val="0"/>
              <w:autoSpaceDN w:val="0"/>
              <w:spacing w:before="120"/>
              <w:jc w:val="both"/>
              <w:rPr>
                <w:rFonts w:ascii="Calibri" w:hAnsi="Calibri" w:cs="Calibri"/>
                <w:sz w:val="22"/>
              </w:rPr>
            </w:pPr>
            <w:r w:rsidRPr="00C65E36">
              <w:rPr>
                <w:rFonts w:ascii="Calibri" w:hAnsi="Calibri" w:cs="Calibri"/>
                <w:b/>
                <w:bCs/>
                <w:sz w:val="22"/>
                <w:highlight w:val="yellow"/>
              </w:rPr>
              <w:t xml:space="preserve">Proposal </w:t>
            </w:r>
            <w:r>
              <w:rPr>
                <w:rFonts w:ascii="Calibri" w:hAnsi="Calibri" w:cs="Calibri"/>
                <w:b/>
                <w:bCs/>
                <w:sz w:val="22"/>
                <w:highlight w:val="yellow"/>
              </w:rPr>
              <w:t>6</w:t>
            </w:r>
            <w:r w:rsidRPr="00C65E36">
              <w:rPr>
                <w:rFonts w:ascii="Calibri" w:hAnsi="Calibri" w:cs="Calibri"/>
                <w:b/>
                <w:bCs/>
                <w:sz w:val="22"/>
                <w:highlight w:val="yellow"/>
              </w:rPr>
              <w:t xml:space="preserve"> (I</w:t>
            </w:r>
            <w:r>
              <w:rPr>
                <w:rFonts w:ascii="Calibri" w:hAnsi="Calibri" w:cs="Calibri"/>
                <w:b/>
                <w:bCs/>
                <w:sz w:val="22"/>
                <w:highlight w:val="yellow"/>
              </w:rPr>
              <w:t>V</w:t>
            </w:r>
            <w:r w:rsidRPr="00C65E36">
              <w:rPr>
                <w:rFonts w:ascii="Calibri" w:hAnsi="Calibri" w:cs="Calibri"/>
                <w:b/>
                <w:bCs/>
                <w:sz w:val="22"/>
                <w:highlight w:val="yellow"/>
              </w:rPr>
              <w:t>):</w:t>
            </w:r>
          </w:p>
          <w:p w14:paraId="64D09DE7" w14:textId="77777777" w:rsidR="00126C60" w:rsidRPr="00650E3B" w:rsidRDefault="00126C60" w:rsidP="00126C60">
            <w:pPr>
              <w:numPr>
                <w:ilvl w:val="0"/>
                <w:numId w:val="26"/>
              </w:numPr>
              <w:autoSpaceDE w:val="0"/>
              <w:autoSpaceDN w:val="0"/>
              <w:jc w:val="both"/>
              <w:rPr>
                <w:rFonts w:ascii="Calibri" w:hAnsi="Calibri" w:cs="Calibri"/>
                <w:color w:val="000000" w:themeColor="text1"/>
                <w:sz w:val="22"/>
                <w:lang w:val="en-US" w:eastAsia="x-none"/>
              </w:rPr>
            </w:pPr>
            <w:r w:rsidRPr="00650E3B">
              <w:rPr>
                <w:rFonts w:ascii="Calibri" w:hAnsi="Calibri" w:cs="Calibri" w:hint="eastAsia"/>
                <w:color w:val="000000" w:themeColor="text1"/>
                <w:sz w:val="22"/>
                <w:lang w:val="en-US" w:eastAsia="x-none"/>
              </w:rPr>
              <w:lastRenderedPageBreak/>
              <w:t xml:space="preserve">For </w:t>
            </w:r>
            <w:r w:rsidRPr="00650E3B">
              <w:rPr>
                <w:rFonts w:ascii="Calibri" w:hAnsi="Calibri" w:cs="Calibri"/>
                <w:color w:val="000000" w:themeColor="text1"/>
                <w:sz w:val="22"/>
                <w:lang w:val="en-US" w:eastAsia="x-none"/>
              </w:rPr>
              <w:t xml:space="preserve">dynamic mode </w:t>
            </w:r>
            <w:r w:rsidRPr="00650E3B">
              <w:rPr>
                <w:rFonts w:ascii="Calibri" w:hAnsi="Calibri" w:cs="Calibri" w:hint="eastAsia"/>
                <w:color w:val="000000" w:themeColor="text1"/>
                <w:sz w:val="22"/>
                <w:lang w:val="en-US" w:eastAsia="x-none"/>
              </w:rPr>
              <w:t>multiple channel access in SL-U,</w:t>
            </w:r>
            <w:r w:rsidRPr="00650E3B">
              <w:rPr>
                <w:rFonts w:ascii="Calibri" w:hAnsi="Calibri" w:cs="Calibri"/>
                <w:color w:val="000000" w:themeColor="text1"/>
                <w:sz w:val="22"/>
                <w:lang w:val="en-US" w:eastAsia="x-none"/>
              </w:rPr>
              <w:t xml:space="preserve"> the followings are considered as baseline</w:t>
            </w:r>
          </w:p>
          <w:p w14:paraId="3246A074" w14:textId="77777777" w:rsidR="00126C60" w:rsidRPr="00650E3B" w:rsidRDefault="00126C60" w:rsidP="00126C60">
            <w:pPr>
              <w:numPr>
                <w:ilvl w:val="1"/>
                <w:numId w:val="26"/>
              </w:numPr>
              <w:autoSpaceDE w:val="0"/>
              <w:autoSpaceDN w:val="0"/>
              <w:jc w:val="both"/>
              <w:rPr>
                <w:rFonts w:ascii="Calibri" w:hAnsi="Calibri" w:cs="Calibri"/>
                <w:color w:val="000000" w:themeColor="text1"/>
                <w:sz w:val="22"/>
                <w:lang w:val="en-US" w:eastAsia="x-none"/>
              </w:rPr>
            </w:pPr>
            <w:r w:rsidRPr="00445FD8">
              <w:rPr>
                <w:rFonts w:ascii="Calibri" w:hAnsi="Calibri" w:cs="Calibri"/>
                <w:color w:val="00B050"/>
                <w:sz w:val="22"/>
                <w:lang w:val="en-US" w:eastAsia="x-none"/>
              </w:rPr>
              <w:t xml:space="preserve">FFS </w:t>
            </w:r>
            <w:r w:rsidRPr="00650E3B">
              <w:rPr>
                <w:rFonts w:ascii="Calibri" w:hAnsi="Calibri" w:cs="Calibri" w:hint="eastAsia"/>
                <w:color w:val="000000" w:themeColor="text1"/>
                <w:sz w:val="22"/>
                <w:lang w:val="en-US" w:eastAsia="x-none"/>
              </w:rPr>
              <w:t>NR-U DL (Type A and Type B) channel access procedures</w:t>
            </w:r>
            <w:r w:rsidRPr="00650E3B">
              <w:rPr>
                <w:rFonts w:ascii="Calibri" w:hAnsi="Calibri" w:cs="Calibri"/>
                <w:color w:val="000000" w:themeColor="text1"/>
                <w:sz w:val="22"/>
                <w:lang w:val="en-US" w:eastAsia="x-none"/>
              </w:rPr>
              <w:t xml:space="preserve"> for transmission(s) on multiple channels</w:t>
            </w:r>
          </w:p>
          <w:p w14:paraId="5A864D71" w14:textId="77777777" w:rsidR="00126C60" w:rsidRPr="00650E3B" w:rsidRDefault="00126C60" w:rsidP="00126C60">
            <w:pPr>
              <w:numPr>
                <w:ilvl w:val="2"/>
                <w:numId w:val="26"/>
              </w:numPr>
              <w:autoSpaceDE w:val="0"/>
              <w:autoSpaceDN w:val="0"/>
              <w:jc w:val="both"/>
              <w:rPr>
                <w:rFonts w:ascii="Calibri" w:hAnsi="Calibri" w:cs="Calibri"/>
                <w:color w:val="000000" w:themeColor="text1"/>
                <w:sz w:val="22"/>
                <w:lang w:val="en-US" w:eastAsia="x-none"/>
              </w:rPr>
            </w:pPr>
            <w:r w:rsidRPr="00650E3B">
              <w:rPr>
                <w:rFonts w:ascii="Calibri" w:hAnsi="Calibri" w:cs="Calibri"/>
                <w:color w:val="000000" w:themeColor="text1"/>
                <w:sz w:val="22"/>
                <w:lang w:val="en-AU" w:eastAsia="x-none"/>
              </w:rPr>
              <w:t>FFS applicable SL transmission/channel type(s) and scenario(s)</w:t>
            </w:r>
          </w:p>
          <w:p w14:paraId="6D55D6F1" w14:textId="77777777" w:rsidR="00126C60" w:rsidRPr="00650E3B" w:rsidRDefault="00126C60" w:rsidP="00126C60">
            <w:pPr>
              <w:numPr>
                <w:ilvl w:val="1"/>
                <w:numId w:val="26"/>
              </w:numPr>
              <w:autoSpaceDE w:val="0"/>
              <w:autoSpaceDN w:val="0"/>
              <w:jc w:val="both"/>
              <w:rPr>
                <w:rFonts w:ascii="Calibri" w:hAnsi="Calibri" w:cs="Calibri"/>
                <w:color w:val="000000" w:themeColor="text1"/>
                <w:sz w:val="22"/>
                <w:lang w:val="en-US" w:eastAsia="x-none"/>
              </w:rPr>
            </w:pPr>
            <w:r w:rsidRPr="00650E3B">
              <w:rPr>
                <w:rFonts w:ascii="Calibri" w:hAnsi="Calibri" w:cs="Calibri" w:hint="eastAsia"/>
                <w:color w:val="000000" w:themeColor="text1"/>
                <w:sz w:val="22"/>
                <w:lang w:val="en-US" w:eastAsia="x-none"/>
              </w:rPr>
              <w:t>NR-U UL channel access procedure</w:t>
            </w:r>
            <w:r w:rsidRPr="00650E3B">
              <w:rPr>
                <w:rFonts w:ascii="Calibri" w:hAnsi="Calibri" w:cs="Calibri"/>
                <w:color w:val="000000" w:themeColor="text1"/>
                <w:sz w:val="22"/>
                <w:lang w:val="en-US" w:eastAsia="x-none"/>
              </w:rPr>
              <w:t xml:space="preserve"> for transmission(s) on multiple channels</w:t>
            </w:r>
          </w:p>
          <w:p w14:paraId="1123D52A" w14:textId="77777777" w:rsidR="00126C60" w:rsidRPr="00650E3B" w:rsidRDefault="00126C60" w:rsidP="00126C60">
            <w:pPr>
              <w:numPr>
                <w:ilvl w:val="2"/>
                <w:numId w:val="26"/>
              </w:numPr>
              <w:autoSpaceDE w:val="0"/>
              <w:autoSpaceDN w:val="0"/>
              <w:jc w:val="both"/>
              <w:rPr>
                <w:rFonts w:ascii="Calibri" w:hAnsi="Calibri" w:cs="Calibri"/>
                <w:color w:val="000000" w:themeColor="text1"/>
                <w:sz w:val="22"/>
                <w:lang w:val="en-US" w:eastAsia="x-none"/>
              </w:rPr>
            </w:pPr>
            <w:r w:rsidRPr="00650E3B">
              <w:rPr>
                <w:rFonts w:ascii="Calibri" w:hAnsi="Calibri" w:cs="Calibri"/>
                <w:color w:val="000000" w:themeColor="text1"/>
                <w:sz w:val="22"/>
                <w:lang w:val="en-AU" w:eastAsia="x-none"/>
              </w:rPr>
              <w:t>FFS applicable SL transmission/channel type(s) and scenario(s)</w:t>
            </w:r>
          </w:p>
          <w:p w14:paraId="26B5583E" w14:textId="77777777" w:rsidR="00126C60" w:rsidRPr="00650E3B" w:rsidRDefault="00126C60" w:rsidP="00126C60">
            <w:pPr>
              <w:numPr>
                <w:ilvl w:val="1"/>
                <w:numId w:val="26"/>
              </w:numPr>
              <w:autoSpaceDE w:val="0"/>
              <w:autoSpaceDN w:val="0"/>
              <w:jc w:val="both"/>
              <w:rPr>
                <w:rFonts w:ascii="Calibri" w:hAnsi="Calibri" w:cs="Calibri"/>
                <w:color w:val="000000" w:themeColor="text1"/>
                <w:sz w:val="22"/>
                <w:lang w:val="en-US" w:eastAsia="x-none"/>
              </w:rPr>
            </w:pPr>
            <w:r w:rsidRPr="00650E3B">
              <w:rPr>
                <w:rFonts w:ascii="Calibri" w:hAnsi="Calibri" w:cs="Calibri" w:hint="eastAsia"/>
                <w:color w:val="000000" w:themeColor="text1"/>
                <w:sz w:val="22"/>
                <w:lang w:val="en-AU" w:eastAsia="x-none"/>
              </w:rPr>
              <w:t>FFS any necessary enhancement and modification for SL-U operation</w:t>
            </w:r>
          </w:p>
          <w:p w14:paraId="16070DE7" w14:textId="77777777" w:rsidR="00126C60" w:rsidRDefault="00126C60" w:rsidP="0096086B">
            <w:pPr>
              <w:pStyle w:val="0Maintext"/>
              <w:spacing w:after="0" w:afterAutospacing="0"/>
              <w:ind w:firstLine="0"/>
              <w:rPr>
                <w:rFonts w:eastAsiaTheme="minorEastAsia"/>
                <w:b/>
                <w:lang w:val="en-US" w:eastAsia="zh-CN"/>
              </w:rPr>
            </w:pPr>
          </w:p>
          <w:p w14:paraId="27AD266B" w14:textId="77777777" w:rsidR="00126C60" w:rsidRPr="002125A5" w:rsidRDefault="00126C60" w:rsidP="0096086B">
            <w:pPr>
              <w:pStyle w:val="0Maintext"/>
              <w:spacing w:after="0" w:afterAutospacing="0"/>
              <w:ind w:firstLine="0"/>
              <w:rPr>
                <w:rFonts w:eastAsiaTheme="minorEastAsia"/>
                <w:b/>
                <w:lang w:val="en-US" w:eastAsia="zh-CN"/>
              </w:rPr>
            </w:pPr>
            <w:r w:rsidRPr="002125A5">
              <w:rPr>
                <w:rFonts w:eastAsiaTheme="minorEastAsia"/>
                <w:b/>
                <w:lang w:val="en-US" w:eastAsia="zh-CN"/>
              </w:rPr>
              <w:t xml:space="preserve">Alt2: Only agree PSFCH format 0 to support DL procedure </w:t>
            </w:r>
          </w:p>
          <w:p w14:paraId="38A7A5FF" w14:textId="77777777" w:rsidR="00126C60" w:rsidRPr="00C65E36" w:rsidRDefault="00126C60" w:rsidP="0096086B">
            <w:pPr>
              <w:autoSpaceDE w:val="0"/>
              <w:autoSpaceDN w:val="0"/>
              <w:spacing w:before="120"/>
              <w:jc w:val="both"/>
              <w:rPr>
                <w:rFonts w:ascii="Calibri" w:hAnsi="Calibri" w:cs="Calibri"/>
                <w:sz w:val="22"/>
              </w:rPr>
            </w:pPr>
            <w:r w:rsidRPr="00C65E36">
              <w:rPr>
                <w:rFonts w:ascii="Calibri" w:hAnsi="Calibri" w:cs="Calibri"/>
                <w:b/>
                <w:bCs/>
                <w:sz w:val="22"/>
                <w:highlight w:val="yellow"/>
              </w:rPr>
              <w:t xml:space="preserve">Proposal </w:t>
            </w:r>
            <w:r>
              <w:rPr>
                <w:rFonts w:ascii="Calibri" w:hAnsi="Calibri" w:cs="Calibri"/>
                <w:b/>
                <w:bCs/>
                <w:sz w:val="22"/>
                <w:highlight w:val="yellow"/>
              </w:rPr>
              <w:t>6</w:t>
            </w:r>
            <w:r w:rsidRPr="00C65E36">
              <w:rPr>
                <w:rFonts w:ascii="Calibri" w:hAnsi="Calibri" w:cs="Calibri"/>
                <w:b/>
                <w:bCs/>
                <w:sz w:val="22"/>
                <w:highlight w:val="yellow"/>
              </w:rPr>
              <w:t xml:space="preserve"> (I</w:t>
            </w:r>
            <w:r>
              <w:rPr>
                <w:rFonts w:ascii="Calibri" w:hAnsi="Calibri" w:cs="Calibri"/>
                <w:b/>
                <w:bCs/>
                <w:sz w:val="22"/>
                <w:highlight w:val="yellow"/>
              </w:rPr>
              <w:t>V</w:t>
            </w:r>
            <w:r w:rsidRPr="00C65E36">
              <w:rPr>
                <w:rFonts w:ascii="Calibri" w:hAnsi="Calibri" w:cs="Calibri"/>
                <w:b/>
                <w:bCs/>
                <w:sz w:val="22"/>
                <w:highlight w:val="yellow"/>
              </w:rPr>
              <w:t>):</w:t>
            </w:r>
          </w:p>
          <w:p w14:paraId="1297FA49" w14:textId="77777777" w:rsidR="00126C60" w:rsidRPr="00650E3B" w:rsidRDefault="00126C60" w:rsidP="00126C60">
            <w:pPr>
              <w:numPr>
                <w:ilvl w:val="0"/>
                <w:numId w:val="26"/>
              </w:numPr>
              <w:autoSpaceDE w:val="0"/>
              <w:autoSpaceDN w:val="0"/>
              <w:jc w:val="both"/>
              <w:rPr>
                <w:rFonts w:ascii="Calibri" w:hAnsi="Calibri" w:cs="Calibri"/>
                <w:color w:val="000000" w:themeColor="text1"/>
                <w:sz w:val="22"/>
                <w:lang w:val="en-US" w:eastAsia="x-none"/>
              </w:rPr>
            </w:pPr>
            <w:r w:rsidRPr="00650E3B">
              <w:rPr>
                <w:rFonts w:ascii="Calibri" w:hAnsi="Calibri" w:cs="Calibri" w:hint="eastAsia"/>
                <w:color w:val="000000" w:themeColor="text1"/>
                <w:sz w:val="22"/>
                <w:lang w:val="en-US" w:eastAsia="x-none"/>
              </w:rPr>
              <w:t xml:space="preserve">For </w:t>
            </w:r>
            <w:r w:rsidRPr="00650E3B">
              <w:rPr>
                <w:rFonts w:ascii="Calibri" w:hAnsi="Calibri" w:cs="Calibri"/>
                <w:color w:val="000000" w:themeColor="text1"/>
                <w:sz w:val="22"/>
                <w:lang w:val="en-US" w:eastAsia="x-none"/>
              </w:rPr>
              <w:t xml:space="preserve">dynamic mode </w:t>
            </w:r>
            <w:r w:rsidRPr="00650E3B">
              <w:rPr>
                <w:rFonts w:ascii="Calibri" w:hAnsi="Calibri" w:cs="Calibri" w:hint="eastAsia"/>
                <w:color w:val="000000" w:themeColor="text1"/>
                <w:sz w:val="22"/>
                <w:lang w:val="en-US" w:eastAsia="x-none"/>
              </w:rPr>
              <w:t>multiple channel access in SL-U,</w:t>
            </w:r>
            <w:r w:rsidRPr="00650E3B">
              <w:rPr>
                <w:rFonts w:ascii="Calibri" w:hAnsi="Calibri" w:cs="Calibri"/>
                <w:color w:val="000000" w:themeColor="text1"/>
                <w:sz w:val="22"/>
                <w:lang w:val="en-US" w:eastAsia="x-none"/>
              </w:rPr>
              <w:t xml:space="preserve"> the followings are considered as baseline</w:t>
            </w:r>
          </w:p>
          <w:p w14:paraId="6B698368" w14:textId="77777777" w:rsidR="00126C60" w:rsidRPr="00650E3B" w:rsidRDefault="00126C60" w:rsidP="00126C60">
            <w:pPr>
              <w:numPr>
                <w:ilvl w:val="1"/>
                <w:numId w:val="26"/>
              </w:numPr>
              <w:autoSpaceDE w:val="0"/>
              <w:autoSpaceDN w:val="0"/>
              <w:jc w:val="both"/>
              <w:rPr>
                <w:rFonts w:ascii="Calibri" w:hAnsi="Calibri" w:cs="Calibri"/>
                <w:color w:val="000000" w:themeColor="text1"/>
                <w:sz w:val="22"/>
                <w:lang w:val="en-US" w:eastAsia="x-none"/>
              </w:rPr>
            </w:pPr>
            <w:r w:rsidRPr="00650E3B">
              <w:rPr>
                <w:rFonts w:ascii="Calibri" w:hAnsi="Calibri" w:cs="Calibri" w:hint="eastAsia"/>
                <w:color w:val="000000" w:themeColor="text1"/>
                <w:sz w:val="22"/>
                <w:lang w:val="en-US" w:eastAsia="x-none"/>
              </w:rPr>
              <w:t>NR-U DL (Type A and Type B) channel access procedures</w:t>
            </w:r>
            <w:r w:rsidRPr="00650E3B">
              <w:rPr>
                <w:rFonts w:ascii="Calibri" w:hAnsi="Calibri" w:cs="Calibri"/>
                <w:color w:val="000000" w:themeColor="text1"/>
                <w:sz w:val="22"/>
                <w:lang w:val="en-US" w:eastAsia="x-none"/>
              </w:rPr>
              <w:t xml:space="preserve"> </w:t>
            </w:r>
            <w:r w:rsidRPr="00445FD8">
              <w:rPr>
                <w:rFonts w:ascii="Calibri" w:hAnsi="Calibri" w:cs="Calibri"/>
                <w:color w:val="00B050"/>
                <w:sz w:val="22"/>
                <w:lang w:val="en-US" w:eastAsia="x-none"/>
              </w:rPr>
              <w:t xml:space="preserve">at least for PSFCH format 0 </w:t>
            </w:r>
            <w:r w:rsidRPr="00650E3B">
              <w:rPr>
                <w:rFonts w:ascii="Calibri" w:hAnsi="Calibri" w:cs="Calibri"/>
                <w:color w:val="000000" w:themeColor="text1"/>
                <w:sz w:val="22"/>
                <w:lang w:val="en-US" w:eastAsia="x-none"/>
              </w:rPr>
              <w:t>for transmission(s) on multiple channels</w:t>
            </w:r>
          </w:p>
          <w:p w14:paraId="49E31229" w14:textId="77777777" w:rsidR="00126C60" w:rsidRPr="00650E3B" w:rsidRDefault="00126C60" w:rsidP="00126C60">
            <w:pPr>
              <w:numPr>
                <w:ilvl w:val="2"/>
                <w:numId w:val="26"/>
              </w:numPr>
              <w:autoSpaceDE w:val="0"/>
              <w:autoSpaceDN w:val="0"/>
              <w:jc w:val="both"/>
              <w:rPr>
                <w:rFonts w:ascii="Calibri" w:hAnsi="Calibri" w:cs="Calibri"/>
                <w:color w:val="000000" w:themeColor="text1"/>
                <w:sz w:val="22"/>
                <w:lang w:val="en-US" w:eastAsia="x-none"/>
              </w:rPr>
            </w:pPr>
            <w:r w:rsidRPr="00650E3B">
              <w:rPr>
                <w:rFonts w:ascii="Calibri" w:hAnsi="Calibri" w:cs="Calibri"/>
                <w:color w:val="000000" w:themeColor="text1"/>
                <w:sz w:val="22"/>
                <w:lang w:val="en-AU" w:eastAsia="x-none"/>
              </w:rPr>
              <w:t xml:space="preserve">FFS </w:t>
            </w:r>
            <w:r w:rsidRPr="00445FD8">
              <w:rPr>
                <w:rFonts w:ascii="Calibri" w:hAnsi="Calibri" w:cs="Calibri"/>
                <w:color w:val="00B050"/>
                <w:sz w:val="22"/>
                <w:lang w:val="en-AU" w:eastAsia="x-none"/>
              </w:rPr>
              <w:t>other</w:t>
            </w:r>
            <w:r>
              <w:rPr>
                <w:rFonts w:ascii="Calibri" w:hAnsi="Calibri" w:cs="Calibri"/>
                <w:color w:val="000000" w:themeColor="text1"/>
                <w:sz w:val="22"/>
                <w:lang w:val="en-AU" w:eastAsia="x-none"/>
              </w:rPr>
              <w:t xml:space="preserve"> </w:t>
            </w:r>
            <w:r w:rsidRPr="00650E3B">
              <w:rPr>
                <w:rFonts w:ascii="Calibri" w:hAnsi="Calibri" w:cs="Calibri"/>
                <w:color w:val="000000" w:themeColor="text1"/>
                <w:sz w:val="22"/>
                <w:lang w:val="en-AU" w:eastAsia="x-none"/>
              </w:rPr>
              <w:t>applicable SL transmission/channel type(s) and scenario(s)</w:t>
            </w:r>
          </w:p>
          <w:p w14:paraId="273C7F98" w14:textId="77777777" w:rsidR="00126C60" w:rsidRPr="00650E3B" w:rsidRDefault="00126C60" w:rsidP="00126C60">
            <w:pPr>
              <w:numPr>
                <w:ilvl w:val="1"/>
                <w:numId w:val="26"/>
              </w:numPr>
              <w:autoSpaceDE w:val="0"/>
              <w:autoSpaceDN w:val="0"/>
              <w:jc w:val="both"/>
              <w:rPr>
                <w:rFonts w:ascii="Calibri" w:hAnsi="Calibri" w:cs="Calibri"/>
                <w:color w:val="000000" w:themeColor="text1"/>
                <w:sz w:val="22"/>
                <w:lang w:val="en-US" w:eastAsia="x-none"/>
              </w:rPr>
            </w:pPr>
            <w:r w:rsidRPr="00650E3B">
              <w:rPr>
                <w:rFonts w:ascii="Calibri" w:hAnsi="Calibri" w:cs="Calibri" w:hint="eastAsia"/>
                <w:color w:val="000000" w:themeColor="text1"/>
                <w:sz w:val="22"/>
                <w:lang w:val="en-US" w:eastAsia="x-none"/>
              </w:rPr>
              <w:t>NR-U UL channel access procedure</w:t>
            </w:r>
            <w:r w:rsidRPr="00650E3B">
              <w:rPr>
                <w:rFonts w:ascii="Calibri" w:hAnsi="Calibri" w:cs="Calibri"/>
                <w:color w:val="000000" w:themeColor="text1"/>
                <w:sz w:val="22"/>
                <w:lang w:val="en-US" w:eastAsia="x-none"/>
              </w:rPr>
              <w:t xml:space="preserve"> for transmission(s) on multiple channels</w:t>
            </w:r>
          </w:p>
          <w:p w14:paraId="56F7B5BF" w14:textId="77777777" w:rsidR="00126C60" w:rsidRPr="00650E3B" w:rsidRDefault="00126C60" w:rsidP="00126C60">
            <w:pPr>
              <w:numPr>
                <w:ilvl w:val="2"/>
                <w:numId w:val="26"/>
              </w:numPr>
              <w:autoSpaceDE w:val="0"/>
              <w:autoSpaceDN w:val="0"/>
              <w:jc w:val="both"/>
              <w:rPr>
                <w:rFonts w:ascii="Calibri" w:hAnsi="Calibri" w:cs="Calibri"/>
                <w:color w:val="000000" w:themeColor="text1"/>
                <w:sz w:val="22"/>
                <w:lang w:val="en-US" w:eastAsia="x-none"/>
              </w:rPr>
            </w:pPr>
            <w:r w:rsidRPr="00650E3B">
              <w:rPr>
                <w:rFonts w:ascii="Calibri" w:hAnsi="Calibri" w:cs="Calibri"/>
                <w:color w:val="000000" w:themeColor="text1"/>
                <w:sz w:val="22"/>
                <w:lang w:val="en-AU" w:eastAsia="x-none"/>
              </w:rPr>
              <w:t>FFS applicable SL transmission/channel type(s) and scenario(s)</w:t>
            </w:r>
          </w:p>
          <w:p w14:paraId="55C48E89" w14:textId="217C0591" w:rsidR="00126C60" w:rsidRPr="00FA73F1" w:rsidRDefault="00126C60" w:rsidP="00FA73F1">
            <w:pPr>
              <w:numPr>
                <w:ilvl w:val="1"/>
                <w:numId w:val="26"/>
              </w:numPr>
              <w:autoSpaceDE w:val="0"/>
              <w:autoSpaceDN w:val="0"/>
              <w:jc w:val="both"/>
              <w:rPr>
                <w:rFonts w:ascii="Calibri" w:hAnsi="Calibri" w:cs="Calibri"/>
                <w:color w:val="000000" w:themeColor="text1"/>
                <w:sz w:val="22"/>
                <w:lang w:val="en-US" w:eastAsia="x-none"/>
              </w:rPr>
            </w:pPr>
            <w:r w:rsidRPr="00650E3B">
              <w:rPr>
                <w:rFonts w:ascii="Calibri" w:hAnsi="Calibri" w:cs="Calibri" w:hint="eastAsia"/>
                <w:color w:val="000000" w:themeColor="text1"/>
                <w:sz w:val="22"/>
                <w:lang w:val="en-AU" w:eastAsia="x-none"/>
              </w:rPr>
              <w:t>FFS any necessary enhancement and modification for SL-U operation</w:t>
            </w:r>
          </w:p>
        </w:tc>
      </w:tr>
      <w:tr w:rsidR="00126C60" w:rsidRPr="00445FD8" w14:paraId="7B3F605A" w14:textId="77777777" w:rsidTr="00126C60">
        <w:tc>
          <w:tcPr>
            <w:tcW w:w="1555" w:type="dxa"/>
          </w:tcPr>
          <w:p w14:paraId="4FE27835" w14:textId="77777777" w:rsidR="00126C60" w:rsidRPr="007449B7" w:rsidRDefault="00126C60" w:rsidP="0096086B">
            <w:pPr>
              <w:pStyle w:val="0Maintext"/>
              <w:ind w:firstLine="0"/>
              <w:rPr>
                <w:rFonts w:eastAsiaTheme="minorEastAsia"/>
                <w:lang w:eastAsia="zh-CN"/>
              </w:rPr>
            </w:pPr>
            <w:r w:rsidRPr="007449B7">
              <w:rPr>
                <w:rFonts w:eastAsiaTheme="minorEastAsia" w:hint="eastAsia"/>
                <w:lang w:eastAsia="zh-CN"/>
              </w:rPr>
              <w:lastRenderedPageBreak/>
              <w:t>ETRI</w:t>
            </w:r>
          </w:p>
        </w:tc>
        <w:tc>
          <w:tcPr>
            <w:tcW w:w="8076" w:type="dxa"/>
          </w:tcPr>
          <w:p w14:paraId="3E2A63B1" w14:textId="77777777" w:rsidR="00126C60" w:rsidRDefault="00126C60" w:rsidP="0096086B">
            <w:pPr>
              <w:pStyle w:val="0Maintext"/>
              <w:ind w:firstLine="0"/>
              <w:rPr>
                <w:rFonts w:eastAsiaTheme="minorEastAsia"/>
                <w:lang w:eastAsia="zh-CN"/>
              </w:rPr>
            </w:pPr>
            <w:r w:rsidRPr="007449B7">
              <w:rPr>
                <w:rFonts w:eastAsiaTheme="minorEastAsia" w:hint="eastAsia"/>
                <w:lang w:eastAsia="zh-CN"/>
              </w:rPr>
              <w:t>We</w:t>
            </w:r>
            <w:r w:rsidRPr="007449B7">
              <w:rPr>
                <w:rFonts w:eastAsiaTheme="minorEastAsia"/>
                <w:lang w:eastAsia="zh-CN"/>
              </w:rPr>
              <w:t xml:space="preserve"> </w:t>
            </w:r>
            <w:r w:rsidRPr="007449B7">
              <w:rPr>
                <w:rFonts w:eastAsiaTheme="minorEastAsia" w:hint="eastAsia"/>
                <w:lang w:eastAsia="zh-CN"/>
              </w:rPr>
              <w:t>are</w:t>
            </w:r>
            <w:r w:rsidRPr="007449B7">
              <w:rPr>
                <w:rFonts w:eastAsiaTheme="minorEastAsia"/>
                <w:lang w:eastAsia="zh-CN"/>
              </w:rPr>
              <w:t xml:space="preserve"> </w:t>
            </w:r>
            <w:r w:rsidRPr="007449B7">
              <w:rPr>
                <w:rFonts w:eastAsiaTheme="minorEastAsia" w:hint="eastAsia"/>
                <w:lang w:eastAsia="zh-CN"/>
              </w:rPr>
              <w:t>fine</w:t>
            </w:r>
            <w:r w:rsidRPr="007449B7">
              <w:rPr>
                <w:rFonts w:eastAsiaTheme="minorEastAsia"/>
                <w:lang w:eastAsia="zh-CN"/>
              </w:rPr>
              <w:t xml:space="preserve"> </w:t>
            </w:r>
            <w:r w:rsidRPr="007449B7">
              <w:rPr>
                <w:rFonts w:eastAsiaTheme="minorEastAsia" w:hint="eastAsia"/>
                <w:lang w:eastAsia="zh-CN"/>
              </w:rPr>
              <w:t>with</w:t>
            </w:r>
            <w:r w:rsidRPr="007449B7">
              <w:rPr>
                <w:rFonts w:eastAsiaTheme="minorEastAsia"/>
                <w:lang w:eastAsia="zh-CN"/>
              </w:rPr>
              <w:t xml:space="preserve"> </w:t>
            </w:r>
            <w:r w:rsidRPr="007449B7">
              <w:rPr>
                <w:rFonts w:eastAsiaTheme="minorEastAsia" w:hint="eastAsia"/>
                <w:lang w:eastAsia="zh-CN"/>
              </w:rPr>
              <w:t>the</w:t>
            </w:r>
            <w:r w:rsidRPr="007449B7">
              <w:rPr>
                <w:rFonts w:eastAsiaTheme="minorEastAsia"/>
                <w:lang w:eastAsia="zh-CN"/>
              </w:rPr>
              <w:t xml:space="preserve"> </w:t>
            </w:r>
            <w:r w:rsidRPr="007449B7">
              <w:rPr>
                <w:rFonts w:eastAsiaTheme="minorEastAsia" w:hint="eastAsia"/>
                <w:lang w:eastAsia="zh-CN"/>
              </w:rPr>
              <w:t>proposal.</w:t>
            </w:r>
            <w:r w:rsidRPr="007449B7">
              <w:rPr>
                <w:rFonts w:eastAsiaTheme="minorEastAsia"/>
                <w:lang w:eastAsia="zh-CN"/>
              </w:rPr>
              <w:t xml:space="preserve"> </w:t>
            </w:r>
            <w:r w:rsidRPr="007449B7">
              <w:rPr>
                <w:rFonts w:eastAsiaTheme="minorEastAsia" w:hint="eastAsia"/>
                <w:lang w:eastAsia="zh-CN"/>
              </w:rPr>
              <w:t>Both</w:t>
            </w:r>
            <w:r w:rsidRPr="007449B7">
              <w:rPr>
                <w:rFonts w:eastAsiaTheme="minorEastAsia"/>
                <w:lang w:eastAsia="zh-CN"/>
              </w:rPr>
              <w:t xml:space="preserve"> </w:t>
            </w:r>
            <w:r w:rsidRPr="007449B7">
              <w:rPr>
                <w:rFonts w:eastAsiaTheme="minorEastAsia" w:hint="eastAsia"/>
                <w:lang w:eastAsia="zh-CN"/>
              </w:rPr>
              <w:t>DL and</w:t>
            </w:r>
            <w:r w:rsidRPr="007449B7">
              <w:rPr>
                <w:rFonts w:eastAsiaTheme="minorEastAsia"/>
                <w:lang w:eastAsia="zh-CN"/>
              </w:rPr>
              <w:t xml:space="preserve"> </w:t>
            </w:r>
            <w:r w:rsidRPr="007449B7">
              <w:rPr>
                <w:rFonts w:eastAsiaTheme="minorEastAsia" w:hint="eastAsia"/>
                <w:lang w:eastAsia="zh-CN"/>
              </w:rPr>
              <w:t>UL</w:t>
            </w:r>
            <w:r w:rsidRPr="007449B7">
              <w:rPr>
                <w:rFonts w:eastAsiaTheme="minorEastAsia"/>
                <w:lang w:eastAsia="zh-CN"/>
              </w:rPr>
              <w:t xml:space="preserve"> </w:t>
            </w:r>
            <w:r w:rsidRPr="007449B7">
              <w:rPr>
                <w:rFonts w:eastAsiaTheme="minorEastAsia" w:hint="eastAsia"/>
                <w:lang w:eastAsia="zh-CN"/>
              </w:rPr>
              <w:t>channel</w:t>
            </w:r>
            <w:r w:rsidRPr="007449B7">
              <w:rPr>
                <w:rFonts w:eastAsiaTheme="minorEastAsia"/>
                <w:lang w:eastAsia="zh-CN"/>
              </w:rPr>
              <w:t xml:space="preserve"> </w:t>
            </w:r>
            <w:r w:rsidRPr="007449B7">
              <w:rPr>
                <w:rFonts w:eastAsiaTheme="minorEastAsia" w:hint="eastAsia"/>
                <w:lang w:eastAsia="zh-CN"/>
              </w:rPr>
              <w:t>access</w:t>
            </w:r>
            <w:r w:rsidRPr="007449B7">
              <w:rPr>
                <w:rFonts w:eastAsiaTheme="minorEastAsia"/>
                <w:lang w:eastAsia="zh-CN"/>
              </w:rPr>
              <w:t xml:space="preserve"> </w:t>
            </w:r>
            <w:r w:rsidRPr="007449B7">
              <w:rPr>
                <w:rFonts w:eastAsiaTheme="minorEastAsia" w:hint="eastAsia"/>
                <w:lang w:eastAsia="zh-CN"/>
              </w:rPr>
              <w:t>should</w:t>
            </w:r>
            <w:r w:rsidRPr="007449B7">
              <w:rPr>
                <w:rFonts w:eastAsiaTheme="minorEastAsia"/>
                <w:lang w:eastAsia="zh-CN"/>
              </w:rPr>
              <w:t xml:space="preserve"> </w:t>
            </w:r>
            <w:r w:rsidRPr="007449B7">
              <w:rPr>
                <w:rFonts w:eastAsiaTheme="minorEastAsia" w:hint="eastAsia"/>
                <w:lang w:eastAsia="zh-CN"/>
              </w:rPr>
              <w:t>be</w:t>
            </w:r>
            <w:r w:rsidRPr="007449B7">
              <w:rPr>
                <w:rFonts w:eastAsiaTheme="minorEastAsia"/>
                <w:lang w:eastAsia="zh-CN"/>
              </w:rPr>
              <w:t xml:space="preserve"> </w:t>
            </w:r>
            <w:r w:rsidRPr="007449B7">
              <w:rPr>
                <w:rFonts w:eastAsiaTheme="minorEastAsia" w:hint="eastAsia"/>
                <w:lang w:eastAsia="zh-CN"/>
              </w:rPr>
              <w:t>considered.</w:t>
            </w:r>
          </w:p>
        </w:tc>
      </w:tr>
      <w:tr w:rsidR="0049089E" w:rsidRPr="00445FD8" w14:paraId="34723536" w14:textId="77777777" w:rsidTr="0049089E">
        <w:tc>
          <w:tcPr>
            <w:tcW w:w="1555" w:type="dxa"/>
          </w:tcPr>
          <w:p w14:paraId="00C5CDA9" w14:textId="77777777" w:rsidR="0049089E" w:rsidRPr="007449B7" w:rsidRDefault="0049089E" w:rsidP="004711C5">
            <w:pPr>
              <w:pStyle w:val="0Maintext"/>
              <w:ind w:firstLine="0"/>
              <w:rPr>
                <w:rFonts w:eastAsiaTheme="minorEastAsia"/>
                <w:lang w:eastAsia="zh-CN"/>
              </w:rPr>
            </w:pPr>
            <w:r>
              <w:t>Ericsson</w:t>
            </w:r>
          </w:p>
        </w:tc>
        <w:tc>
          <w:tcPr>
            <w:tcW w:w="8076" w:type="dxa"/>
          </w:tcPr>
          <w:p w14:paraId="3F6F85F1" w14:textId="77777777" w:rsidR="0049089E" w:rsidRPr="007449B7" w:rsidRDefault="0049089E" w:rsidP="004711C5">
            <w:pPr>
              <w:pStyle w:val="0Maintext"/>
              <w:ind w:firstLine="0"/>
              <w:rPr>
                <w:rFonts w:eastAsiaTheme="minorEastAsia"/>
                <w:lang w:eastAsia="zh-CN"/>
              </w:rPr>
            </w:pPr>
            <w:r>
              <w:t>We can accept this proposal.</w:t>
            </w:r>
          </w:p>
        </w:tc>
      </w:tr>
      <w:tr w:rsidR="0049089E" w:rsidRPr="00445FD8" w14:paraId="1B27DAEB" w14:textId="77777777" w:rsidTr="0049089E">
        <w:tc>
          <w:tcPr>
            <w:tcW w:w="1555" w:type="dxa"/>
          </w:tcPr>
          <w:p w14:paraId="1C702293" w14:textId="77777777" w:rsidR="0049089E" w:rsidRDefault="0049089E" w:rsidP="004711C5">
            <w:pPr>
              <w:pStyle w:val="0Maintext"/>
              <w:ind w:firstLine="0"/>
            </w:pPr>
            <w:r>
              <w:rPr>
                <w:rFonts w:eastAsiaTheme="minorEastAsia" w:hint="eastAsia"/>
                <w:lang w:val="en-US" w:eastAsia="zh-CN"/>
              </w:rPr>
              <w:t>M</w:t>
            </w:r>
            <w:r>
              <w:rPr>
                <w:rFonts w:eastAsiaTheme="minorEastAsia"/>
                <w:lang w:val="en-US" w:eastAsia="zh-CN"/>
              </w:rPr>
              <w:t>ediaTek</w:t>
            </w:r>
          </w:p>
        </w:tc>
        <w:tc>
          <w:tcPr>
            <w:tcW w:w="8076" w:type="dxa"/>
          </w:tcPr>
          <w:p w14:paraId="14EB1F99" w14:textId="77777777" w:rsidR="0049089E" w:rsidRDefault="0049089E" w:rsidP="004711C5">
            <w:pPr>
              <w:pStyle w:val="0Maintext"/>
              <w:ind w:firstLine="0"/>
            </w:pPr>
            <w:r>
              <w:rPr>
                <w:rFonts w:eastAsia="SimSun" w:hint="eastAsia"/>
                <w:lang w:val="en-US" w:eastAsia="zh-CN"/>
              </w:rPr>
              <w:t>W</w:t>
            </w:r>
            <w:r>
              <w:rPr>
                <w:rFonts w:eastAsia="SimSun"/>
                <w:lang w:val="en-US" w:eastAsia="zh-CN"/>
              </w:rPr>
              <w:t>e support the FL proposal that both DL and UL multiple channel access should be considered especially when we consider the use cases where the UEs may have different capabilities.</w:t>
            </w:r>
          </w:p>
        </w:tc>
      </w:tr>
    </w:tbl>
    <w:p w14:paraId="173CD782" w14:textId="77777777" w:rsidR="00126C60" w:rsidRDefault="00126C60">
      <w:pPr>
        <w:rPr>
          <w:color w:val="000000" w:themeColor="text1"/>
        </w:rPr>
      </w:pPr>
    </w:p>
    <w:p w14:paraId="454FD558" w14:textId="22B86664" w:rsidR="00126C60" w:rsidRDefault="00126C60">
      <w:pPr>
        <w:rPr>
          <w:rFonts w:ascii="Arial" w:hAnsi="Arial"/>
          <w:b/>
          <w:bCs/>
          <w:i/>
          <w:iCs/>
          <w:color w:val="000000" w:themeColor="text1"/>
          <w:sz w:val="24"/>
          <w:szCs w:val="28"/>
          <w:lang w:eastAsia="x-none"/>
        </w:rPr>
      </w:pPr>
      <w:r>
        <w:rPr>
          <w:color w:val="000000" w:themeColor="text1"/>
        </w:rPr>
        <w:br w:type="page"/>
      </w:r>
    </w:p>
    <w:p w14:paraId="3FE6FCE6" w14:textId="02CB1E23" w:rsidR="001D6E06" w:rsidRPr="00EB3830" w:rsidRDefault="001D6E06" w:rsidP="001D6E06">
      <w:pPr>
        <w:pStyle w:val="Heading2"/>
        <w:rPr>
          <w:color w:val="000000" w:themeColor="text1"/>
        </w:rPr>
      </w:pPr>
      <w:r>
        <w:rPr>
          <w:color w:val="000000" w:themeColor="text1"/>
        </w:rPr>
        <w:lastRenderedPageBreak/>
        <w:t>[</w:t>
      </w:r>
      <w:r w:rsidR="00650E3B">
        <w:rPr>
          <w:color w:val="000000" w:themeColor="text1"/>
        </w:rPr>
        <w:t>CLOSED</w:t>
      </w:r>
      <w:r>
        <w:rPr>
          <w:color w:val="000000" w:themeColor="text1"/>
        </w:rPr>
        <w:t xml:space="preserve">] </w:t>
      </w:r>
      <w:r w:rsidRPr="00EB3830">
        <w:rPr>
          <w:color w:val="000000" w:themeColor="text1"/>
        </w:rPr>
        <w:t>Topic #</w:t>
      </w:r>
      <w:r w:rsidR="00957C70">
        <w:rPr>
          <w:color w:val="000000" w:themeColor="text1"/>
        </w:rPr>
        <w:t>7</w:t>
      </w:r>
      <w:r w:rsidRPr="00EB3830">
        <w:rPr>
          <w:color w:val="000000" w:themeColor="text1"/>
        </w:rPr>
        <w:t xml:space="preserve">: </w:t>
      </w:r>
      <w:r w:rsidRPr="00E442CB">
        <w:rPr>
          <w:color w:val="000000" w:themeColor="text1"/>
        </w:rPr>
        <w:t>Multi-consecutive slots transmission</w:t>
      </w:r>
      <w:r w:rsidR="00E442CB">
        <w:rPr>
          <w:color w:val="000000" w:themeColor="text1"/>
        </w:rPr>
        <w:t xml:space="preserve"> (MCSt)</w:t>
      </w:r>
    </w:p>
    <w:p w14:paraId="1B80CABD" w14:textId="77777777" w:rsidR="001D6E06" w:rsidRDefault="001D6E06" w:rsidP="001D6E06">
      <w:pPr>
        <w:spacing w:before="120"/>
        <w:jc w:val="both"/>
        <w:rPr>
          <w:rFonts w:asciiTheme="minorHAnsi" w:hAnsiTheme="minorHAnsi" w:cstheme="minorHAnsi"/>
          <w:color w:val="000000" w:themeColor="text1"/>
          <w:sz w:val="22"/>
          <w:szCs w:val="22"/>
        </w:rPr>
      </w:pPr>
      <w:r w:rsidRPr="00E8497D">
        <w:rPr>
          <w:rFonts w:asciiTheme="minorHAnsi" w:hAnsiTheme="minorHAnsi" w:cstheme="minorHAnsi"/>
          <w:b/>
          <w:bCs/>
          <w:color w:val="000000" w:themeColor="text1"/>
          <w:sz w:val="22"/>
          <w:szCs w:val="22"/>
          <w:u w:val="single"/>
        </w:rPr>
        <w:t>Background:</w:t>
      </w:r>
      <w:r w:rsidRPr="00E8497D">
        <w:rPr>
          <w:rFonts w:asciiTheme="minorHAnsi" w:hAnsiTheme="minorHAnsi" w:cstheme="minorHAnsi"/>
          <w:color w:val="000000" w:themeColor="text1"/>
          <w:sz w:val="22"/>
          <w:szCs w:val="22"/>
        </w:rPr>
        <w:t xml:space="preserve"> </w:t>
      </w:r>
    </w:p>
    <w:p w14:paraId="7818FA78" w14:textId="53CBF4FA" w:rsidR="00D810BF" w:rsidRPr="00B344FD" w:rsidRDefault="00D810BF" w:rsidP="00BD4633">
      <w:pPr>
        <w:autoSpaceDE w:val="0"/>
        <w:autoSpaceDN w:val="0"/>
        <w:spacing w:after="120"/>
        <w:jc w:val="both"/>
        <w:rPr>
          <w:rFonts w:ascii="Calibri" w:hAnsi="Calibri" w:cs="Calibri"/>
          <w:color w:val="000000" w:themeColor="text1"/>
          <w:sz w:val="22"/>
          <w:szCs w:val="22"/>
        </w:rPr>
      </w:pPr>
      <w:r w:rsidRPr="00B344FD">
        <w:rPr>
          <w:rFonts w:ascii="Calibri" w:hAnsi="Calibri" w:cs="Calibri"/>
          <w:color w:val="000000" w:themeColor="text1"/>
          <w:sz w:val="22"/>
          <w:szCs w:val="22"/>
        </w:rPr>
        <w:t xml:space="preserve">In the last RAN1#110 meeting, it is agreed to support multi-consecutive slots transmission (MCSt) in SL-U for Mode 1 and Mode 2 resource allocation schemes. </w:t>
      </w:r>
    </w:p>
    <w:tbl>
      <w:tblPr>
        <w:tblStyle w:val="TableGrid"/>
        <w:tblW w:w="0" w:type="auto"/>
        <w:tblLook w:val="04A0" w:firstRow="1" w:lastRow="0" w:firstColumn="1" w:lastColumn="0" w:noHBand="0" w:noVBand="1"/>
      </w:tblPr>
      <w:tblGrid>
        <w:gridCol w:w="9631"/>
      </w:tblGrid>
      <w:tr w:rsidR="00D810BF" w14:paraId="11E33DB8" w14:textId="77777777" w:rsidTr="00D810BF">
        <w:tc>
          <w:tcPr>
            <w:tcW w:w="9631" w:type="dxa"/>
          </w:tcPr>
          <w:p w14:paraId="1C07F5CD" w14:textId="77777777" w:rsidR="00D810BF" w:rsidRPr="00D810BF" w:rsidRDefault="00D810BF" w:rsidP="00D810BF">
            <w:pPr>
              <w:autoSpaceDE w:val="0"/>
              <w:autoSpaceDN w:val="0"/>
              <w:spacing w:before="60"/>
              <w:jc w:val="both"/>
              <w:rPr>
                <w:rFonts w:ascii="Times New Roman" w:hAnsi="Times New Roman"/>
              </w:rPr>
            </w:pPr>
            <w:r w:rsidRPr="00D810BF">
              <w:rPr>
                <w:rFonts w:ascii="Times New Roman" w:hAnsi="Times New Roman"/>
                <w:b/>
                <w:bCs/>
                <w:highlight w:val="green"/>
              </w:rPr>
              <w:t>Agreement</w:t>
            </w:r>
          </w:p>
          <w:p w14:paraId="786D87FF" w14:textId="77777777" w:rsidR="00D810BF" w:rsidRPr="00D810BF" w:rsidRDefault="00D810BF" w:rsidP="00D810BF">
            <w:pPr>
              <w:pStyle w:val="ListParagraph"/>
              <w:autoSpaceDE w:val="0"/>
              <w:autoSpaceDN w:val="0"/>
              <w:ind w:leftChars="0" w:left="0"/>
              <w:jc w:val="both"/>
              <w:rPr>
                <w:rFonts w:ascii="Times New Roman" w:hAnsi="Times New Roman"/>
                <w:szCs w:val="20"/>
              </w:rPr>
            </w:pPr>
            <w:r w:rsidRPr="00D810BF">
              <w:rPr>
                <w:rFonts w:ascii="Times New Roman" w:hAnsi="Times New Roman"/>
                <w:szCs w:val="20"/>
              </w:rPr>
              <w:t>Multi-consecutive slots transmission (MCSt) is supported for Mode 1 and Mode 2 resource allocation in SL-U.</w:t>
            </w:r>
          </w:p>
          <w:p w14:paraId="36FFE439" w14:textId="7B0E418E" w:rsidR="00D810BF" w:rsidRPr="00D810BF" w:rsidRDefault="00D810BF" w:rsidP="00D810BF">
            <w:pPr>
              <w:pStyle w:val="ListParagraph"/>
              <w:numPr>
                <w:ilvl w:val="0"/>
                <w:numId w:val="18"/>
              </w:numPr>
              <w:autoSpaceDE w:val="0"/>
              <w:autoSpaceDN w:val="0"/>
              <w:spacing w:after="60"/>
              <w:ind w:leftChars="0"/>
              <w:jc w:val="both"/>
              <w:rPr>
                <w:rFonts w:ascii="Times New Roman" w:hAnsi="Times New Roman"/>
                <w:sz w:val="22"/>
                <w:szCs w:val="22"/>
              </w:rPr>
            </w:pPr>
            <w:r w:rsidRPr="00D810BF">
              <w:rPr>
                <w:rFonts w:ascii="Times New Roman" w:hAnsi="Times New Roman"/>
                <w:szCs w:val="20"/>
                <w:lang w:val="en-AU"/>
              </w:rPr>
              <w:t>FFS details</w:t>
            </w:r>
          </w:p>
        </w:tc>
      </w:tr>
    </w:tbl>
    <w:p w14:paraId="46959875" w14:textId="594F3960" w:rsidR="00B344FD" w:rsidRDefault="00D810BF" w:rsidP="00B344FD">
      <w:pPr>
        <w:autoSpaceDE w:val="0"/>
        <w:autoSpaceDN w:val="0"/>
        <w:spacing w:before="120" w:after="120"/>
        <w:jc w:val="both"/>
        <w:rPr>
          <w:rFonts w:ascii="Calibri" w:hAnsi="Calibri" w:cs="Calibri"/>
          <w:color w:val="000000" w:themeColor="text1"/>
          <w:sz w:val="22"/>
          <w:szCs w:val="22"/>
        </w:rPr>
      </w:pPr>
      <w:r w:rsidRPr="00D810BF">
        <w:rPr>
          <w:rFonts w:ascii="Calibri" w:hAnsi="Calibri" w:cs="Calibri"/>
          <w:color w:val="000000" w:themeColor="text1"/>
          <w:sz w:val="22"/>
          <w:szCs w:val="22"/>
        </w:rPr>
        <w:t>Main m</w:t>
      </w:r>
      <w:r w:rsidR="0062696A" w:rsidRPr="00D810BF">
        <w:rPr>
          <w:rFonts w:ascii="Calibri" w:hAnsi="Calibri" w:cs="Calibri"/>
          <w:color w:val="000000" w:themeColor="text1"/>
          <w:sz w:val="22"/>
          <w:szCs w:val="22"/>
        </w:rPr>
        <w:t>otivation</w:t>
      </w:r>
      <w:r w:rsidRPr="00D810BF">
        <w:rPr>
          <w:rFonts w:ascii="Calibri" w:hAnsi="Calibri" w:cs="Calibri"/>
          <w:color w:val="000000" w:themeColor="text1"/>
          <w:sz w:val="22"/>
          <w:szCs w:val="22"/>
        </w:rPr>
        <w:t>s</w:t>
      </w:r>
      <w:r w:rsidR="0062696A" w:rsidRPr="00D810BF">
        <w:rPr>
          <w:rFonts w:ascii="Calibri" w:hAnsi="Calibri" w:cs="Calibri"/>
          <w:color w:val="000000" w:themeColor="text1"/>
          <w:sz w:val="22"/>
          <w:szCs w:val="22"/>
        </w:rPr>
        <w:t xml:space="preserve"> to support </w:t>
      </w:r>
      <w:r w:rsidRPr="00D810BF">
        <w:rPr>
          <w:rFonts w:ascii="Calibri" w:hAnsi="Calibri" w:cs="Calibri"/>
          <w:color w:val="000000" w:themeColor="text1"/>
          <w:sz w:val="22"/>
          <w:szCs w:val="22"/>
        </w:rPr>
        <w:t>MCSt</w:t>
      </w:r>
      <w:r w:rsidR="00E54EE2" w:rsidRPr="00D810BF">
        <w:rPr>
          <w:rFonts w:ascii="Calibri" w:hAnsi="Calibri" w:cs="Calibri"/>
          <w:color w:val="000000" w:themeColor="text1"/>
          <w:sz w:val="22"/>
          <w:szCs w:val="22"/>
        </w:rPr>
        <w:t xml:space="preserve"> cited in the submitted contributions </w:t>
      </w:r>
      <w:r w:rsidRPr="00D810BF">
        <w:rPr>
          <w:rFonts w:ascii="Calibri" w:hAnsi="Calibri" w:cs="Calibri"/>
          <w:color w:val="000000" w:themeColor="text1"/>
          <w:sz w:val="22"/>
          <w:szCs w:val="22"/>
        </w:rPr>
        <w:t>are</w:t>
      </w:r>
      <w:r w:rsidR="00E54EE2" w:rsidRPr="00D810BF">
        <w:rPr>
          <w:rFonts w:ascii="Calibri" w:hAnsi="Calibri" w:cs="Calibri"/>
          <w:color w:val="000000" w:themeColor="text1"/>
          <w:sz w:val="22"/>
          <w:szCs w:val="22"/>
        </w:rPr>
        <w:t xml:space="preserve"> to reduce the need</w:t>
      </w:r>
      <w:r>
        <w:rPr>
          <w:rFonts w:ascii="Calibri" w:hAnsi="Calibri" w:cs="Calibri"/>
          <w:color w:val="000000" w:themeColor="text1"/>
          <w:sz w:val="22"/>
          <w:szCs w:val="22"/>
        </w:rPr>
        <w:t xml:space="preserve"> or </w:t>
      </w:r>
      <w:r w:rsidR="00E54EE2" w:rsidRPr="00D810BF">
        <w:rPr>
          <w:rFonts w:ascii="Calibri" w:hAnsi="Calibri" w:cs="Calibri"/>
          <w:color w:val="000000" w:themeColor="text1"/>
          <w:sz w:val="22"/>
          <w:szCs w:val="22"/>
        </w:rPr>
        <w:t>frequency of UE performing LBT to access the channel once it has acquired a COT</w:t>
      </w:r>
      <w:r w:rsidR="00317FDF" w:rsidRPr="00D810BF">
        <w:rPr>
          <w:rFonts w:ascii="Calibri" w:hAnsi="Calibri" w:cs="Calibri"/>
          <w:color w:val="000000" w:themeColor="text1"/>
          <w:sz w:val="22"/>
          <w:szCs w:val="22"/>
        </w:rPr>
        <w:t>,</w:t>
      </w:r>
      <w:r w:rsidR="00E54EE2" w:rsidRPr="00D810BF">
        <w:rPr>
          <w:rFonts w:ascii="Calibri" w:hAnsi="Calibri" w:cs="Calibri"/>
          <w:color w:val="000000" w:themeColor="text1"/>
          <w:sz w:val="22"/>
          <w:szCs w:val="22"/>
        </w:rPr>
        <w:t xml:space="preserve"> to retain the COT to transmit UE’s </w:t>
      </w:r>
      <w:r w:rsidR="00E54EE2" w:rsidRPr="00B344FD">
        <w:rPr>
          <w:rFonts w:ascii="Calibri" w:hAnsi="Calibri" w:cs="Calibri"/>
          <w:color w:val="000000" w:themeColor="text1"/>
          <w:sz w:val="22"/>
          <w:szCs w:val="22"/>
        </w:rPr>
        <w:t xml:space="preserve">data as much as </w:t>
      </w:r>
      <w:r w:rsidR="00B54F79" w:rsidRPr="00B344FD">
        <w:rPr>
          <w:rFonts w:ascii="Calibri" w:hAnsi="Calibri" w:cs="Calibri"/>
          <w:color w:val="000000" w:themeColor="text1"/>
          <w:sz w:val="22"/>
          <w:szCs w:val="22"/>
        </w:rPr>
        <w:t xml:space="preserve">and as soon as </w:t>
      </w:r>
      <w:r w:rsidR="00E54EE2" w:rsidRPr="00B344FD">
        <w:rPr>
          <w:rFonts w:ascii="Calibri" w:hAnsi="Calibri" w:cs="Calibri"/>
          <w:color w:val="000000" w:themeColor="text1"/>
          <w:sz w:val="22"/>
          <w:szCs w:val="22"/>
        </w:rPr>
        <w:t>possible</w:t>
      </w:r>
      <w:r w:rsidR="00317FDF" w:rsidRPr="00B344FD">
        <w:rPr>
          <w:rFonts w:ascii="Calibri" w:hAnsi="Calibri" w:cs="Calibri"/>
          <w:color w:val="000000" w:themeColor="text1"/>
          <w:sz w:val="22"/>
          <w:szCs w:val="22"/>
        </w:rPr>
        <w:t xml:space="preserve"> in the following slot</w:t>
      </w:r>
      <w:r w:rsidR="00B54F79" w:rsidRPr="00B344FD">
        <w:rPr>
          <w:rFonts w:ascii="Calibri" w:hAnsi="Calibri" w:cs="Calibri"/>
          <w:color w:val="000000" w:themeColor="text1"/>
          <w:sz w:val="22"/>
          <w:szCs w:val="22"/>
        </w:rPr>
        <w:t>s</w:t>
      </w:r>
      <w:r w:rsidR="00E54EE2" w:rsidRPr="00B344FD">
        <w:rPr>
          <w:rFonts w:ascii="Calibri" w:hAnsi="Calibri" w:cs="Calibri"/>
          <w:color w:val="000000" w:themeColor="text1"/>
          <w:sz w:val="22"/>
          <w:szCs w:val="22"/>
        </w:rPr>
        <w:t xml:space="preserve">. </w:t>
      </w:r>
      <w:r w:rsidR="00317FDF" w:rsidRPr="00B344FD">
        <w:rPr>
          <w:rFonts w:ascii="Calibri" w:hAnsi="Calibri" w:cs="Calibri"/>
          <w:color w:val="000000" w:themeColor="text1"/>
          <w:sz w:val="22"/>
          <w:szCs w:val="22"/>
        </w:rPr>
        <w:t>From reviewing the contributions (summary in Section 4.</w:t>
      </w:r>
      <w:r w:rsidRPr="00B344FD">
        <w:rPr>
          <w:rFonts w:ascii="Calibri" w:hAnsi="Calibri" w:cs="Calibri"/>
          <w:color w:val="000000" w:themeColor="text1"/>
          <w:sz w:val="22"/>
          <w:szCs w:val="22"/>
        </w:rPr>
        <w:t>6</w:t>
      </w:r>
      <w:r w:rsidR="00317FDF" w:rsidRPr="00B344FD">
        <w:rPr>
          <w:rFonts w:ascii="Calibri" w:hAnsi="Calibri" w:cs="Calibri"/>
          <w:color w:val="000000" w:themeColor="text1"/>
          <w:sz w:val="22"/>
          <w:szCs w:val="22"/>
        </w:rPr>
        <w:t xml:space="preserve">), </w:t>
      </w:r>
      <w:r w:rsidR="00B54F79" w:rsidRPr="00B344FD">
        <w:rPr>
          <w:rFonts w:ascii="Calibri" w:hAnsi="Calibri" w:cs="Calibri"/>
          <w:color w:val="000000" w:themeColor="text1"/>
          <w:sz w:val="22"/>
          <w:szCs w:val="22"/>
        </w:rPr>
        <w:t xml:space="preserve">while </w:t>
      </w:r>
      <w:r w:rsidR="00317FDF" w:rsidRPr="00B344FD">
        <w:rPr>
          <w:rFonts w:ascii="Calibri" w:hAnsi="Calibri" w:cs="Calibri"/>
          <w:color w:val="000000" w:themeColor="text1"/>
          <w:sz w:val="22"/>
          <w:szCs w:val="22"/>
        </w:rPr>
        <w:t xml:space="preserve">there </w:t>
      </w:r>
      <w:r w:rsidR="00B54F79" w:rsidRPr="00B344FD">
        <w:rPr>
          <w:rFonts w:ascii="Calibri" w:hAnsi="Calibri" w:cs="Calibri"/>
          <w:color w:val="000000" w:themeColor="text1"/>
          <w:sz w:val="22"/>
          <w:szCs w:val="22"/>
        </w:rPr>
        <w:t>are some proposals to fill-in t</w:t>
      </w:r>
      <w:r w:rsidR="00B54F79" w:rsidRPr="00B344FD">
        <w:rPr>
          <w:rFonts w:asciiTheme="minorHAnsi" w:hAnsiTheme="minorHAnsi" w:cstheme="minorHAnsi"/>
          <w:color w:val="000000" w:themeColor="text1"/>
          <w:sz w:val="22"/>
          <w:szCs w:val="28"/>
        </w:rPr>
        <w:t>he guard symbol between two adjacent slots in MCSt such that there is no gap or the gap is less than 16 us (Type 2C or no LBT is needed) between the two slots, currently the details of each proposal, impact to other SL transmissions in the same slot and wide range of options are on the table. In some proposals, the use of CPE is involved, for which the design is handled in Topic #4 of this FL summary. So</w:t>
      </w:r>
      <w:r w:rsidR="00B344FD" w:rsidRPr="00B344FD">
        <w:rPr>
          <w:rFonts w:asciiTheme="minorHAnsi" w:hAnsiTheme="minorHAnsi" w:cstheme="minorHAnsi"/>
          <w:color w:val="000000" w:themeColor="text1"/>
          <w:sz w:val="22"/>
          <w:szCs w:val="28"/>
        </w:rPr>
        <w:t>,</w:t>
      </w:r>
      <w:r w:rsidR="00B54F79" w:rsidRPr="00B344FD">
        <w:rPr>
          <w:rFonts w:asciiTheme="minorHAnsi" w:hAnsiTheme="minorHAnsi" w:cstheme="minorHAnsi"/>
          <w:color w:val="000000" w:themeColor="text1"/>
          <w:sz w:val="22"/>
          <w:szCs w:val="28"/>
        </w:rPr>
        <w:t xml:space="preserve"> we can continue to discuss this issue </w:t>
      </w:r>
      <w:r w:rsidR="00B344FD" w:rsidRPr="00B344FD">
        <w:rPr>
          <w:rFonts w:asciiTheme="minorHAnsi" w:hAnsiTheme="minorHAnsi" w:cstheme="minorHAnsi"/>
          <w:color w:val="000000" w:themeColor="text1"/>
          <w:sz w:val="22"/>
          <w:szCs w:val="28"/>
        </w:rPr>
        <w:t xml:space="preserve">there or </w:t>
      </w:r>
      <w:r w:rsidR="006807C4" w:rsidRPr="00B344FD">
        <w:rPr>
          <w:rFonts w:ascii="Calibri" w:hAnsi="Calibri" w:cs="Calibri"/>
          <w:color w:val="000000" w:themeColor="text1"/>
          <w:sz w:val="22"/>
          <w:szCs w:val="22"/>
        </w:rPr>
        <w:t>after</w:t>
      </w:r>
      <w:r w:rsidR="00394310" w:rsidRPr="00B344FD">
        <w:rPr>
          <w:rFonts w:ascii="Calibri" w:hAnsi="Calibri" w:cs="Calibri"/>
          <w:color w:val="000000" w:themeColor="text1"/>
          <w:sz w:val="22"/>
          <w:szCs w:val="22"/>
        </w:rPr>
        <w:t xml:space="preserve"> the CPE design becomes clear.</w:t>
      </w:r>
      <w:r w:rsidR="00B344FD">
        <w:rPr>
          <w:rFonts w:ascii="Calibri" w:hAnsi="Calibri" w:cs="Calibri"/>
          <w:color w:val="000000" w:themeColor="text1"/>
          <w:sz w:val="22"/>
          <w:szCs w:val="22"/>
        </w:rPr>
        <w:t xml:space="preserve"> </w:t>
      </w:r>
      <w:r w:rsidR="00CD2D79">
        <w:rPr>
          <w:rFonts w:ascii="Calibri" w:hAnsi="Calibri" w:cs="Calibri"/>
          <w:color w:val="000000" w:themeColor="text1"/>
          <w:sz w:val="22"/>
          <w:szCs w:val="22"/>
        </w:rPr>
        <w:t xml:space="preserve">For this meeting, we could focus firstly on </w:t>
      </w:r>
      <w:r w:rsidR="00B344FD">
        <w:rPr>
          <w:rFonts w:ascii="Calibri" w:hAnsi="Calibri" w:cs="Calibri"/>
          <w:color w:val="000000" w:themeColor="text1"/>
          <w:sz w:val="22"/>
          <w:szCs w:val="22"/>
        </w:rPr>
        <w:t>Mode 2</w:t>
      </w:r>
      <w:r w:rsidR="00CD2D79">
        <w:rPr>
          <w:rFonts w:ascii="Calibri" w:hAnsi="Calibri" w:cs="Calibri"/>
          <w:color w:val="000000" w:themeColor="text1"/>
          <w:sz w:val="22"/>
          <w:szCs w:val="22"/>
        </w:rPr>
        <w:t xml:space="preserve"> resource selection procedure aspect for MCSt</w:t>
      </w:r>
      <w:r w:rsidR="00B344FD">
        <w:rPr>
          <w:rFonts w:ascii="Calibri" w:hAnsi="Calibri" w:cs="Calibri"/>
          <w:color w:val="000000" w:themeColor="text1"/>
          <w:sz w:val="22"/>
          <w:szCs w:val="22"/>
        </w:rPr>
        <w:t>, since the resource scheduling in Mode 1 is done by the gNB</w:t>
      </w:r>
      <w:r w:rsidR="00CD2D79">
        <w:rPr>
          <w:rFonts w:ascii="Calibri" w:hAnsi="Calibri" w:cs="Calibri"/>
          <w:color w:val="000000" w:themeColor="text1"/>
          <w:sz w:val="22"/>
          <w:szCs w:val="22"/>
        </w:rPr>
        <w:t>.</w:t>
      </w:r>
      <w:r w:rsidR="00B344FD">
        <w:rPr>
          <w:rFonts w:ascii="Calibri" w:hAnsi="Calibri" w:cs="Calibri"/>
          <w:color w:val="000000" w:themeColor="text1"/>
          <w:sz w:val="22"/>
          <w:szCs w:val="22"/>
        </w:rPr>
        <w:t xml:space="preserve"> Then once the MCSt design in Mode 2 RA is clear, we can discuss resource indication in Mode 1 and Mode 2 together.</w:t>
      </w:r>
    </w:p>
    <w:p w14:paraId="34F823A1" w14:textId="77777777" w:rsidR="00AB607E" w:rsidRDefault="00B344FD" w:rsidP="00AB607E">
      <w:pPr>
        <w:autoSpaceDE w:val="0"/>
        <w:autoSpaceDN w:val="0"/>
        <w:spacing w:before="120" w:after="120"/>
        <w:jc w:val="both"/>
        <w:rPr>
          <w:rFonts w:ascii="Calibri" w:hAnsi="Calibri" w:cs="Calibri"/>
          <w:color w:val="000000" w:themeColor="text1"/>
          <w:sz w:val="22"/>
          <w:szCs w:val="22"/>
        </w:rPr>
      </w:pPr>
      <w:r>
        <w:rPr>
          <w:rFonts w:ascii="Calibri" w:hAnsi="Calibri" w:cs="Calibri"/>
          <w:color w:val="000000" w:themeColor="text1"/>
          <w:sz w:val="22"/>
          <w:szCs w:val="22"/>
        </w:rPr>
        <w:t>Reading from the submitted contributions, enhancements in Mode 2 resource selection for MCSt are mainly related to the selection of time and frequency resources in consecutive slots (either logical or physical). If logical slots are not (pre-)configured to be consecutive in physical slots, the purpose of MCSt is lost. According to the existing Mode 2 resource selection procedure, the higher layer provides a set of parameter</w:t>
      </w:r>
      <w:r w:rsidR="00AB607E">
        <w:rPr>
          <w:rFonts w:ascii="Calibri" w:hAnsi="Calibri" w:cs="Calibri"/>
          <w:color w:val="000000" w:themeColor="text1"/>
          <w:sz w:val="22"/>
          <w:szCs w:val="22"/>
        </w:rPr>
        <w:t>s (L1 priority, PDB, number of sub-channels and reservation periodicity)</w:t>
      </w:r>
      <w:r>
        <w:rPr>
          <w:rFonts w:ascii="Calibri" w:hAnsi="Calibri" w:cs="Calibri"/>
          <w:color w:val="000000" w:themeColor="text1"/>
          <w:sz w:val="22"/>
          <w:szCs w:val="22"/>
        </w:rPr>
        <w:t xml:space="preserve"> </w:t>
      </w:r>
      <w:r w:rsidR="00AB607E">
        <w:rPr>
          <w:rFonts w:ascii="Calibri" w:hAnsi="Calibri" w:cs="Calibri"/>
          <w:color w:val="000000" w:themeColor="text1"/>
          <w:sz w:val="22"/>
          <w:szCs w:val="22"/>
        </w:rPr>
        <w:t>in order to</w:t>
      </w:r>
      <w:r>
        <w:rPr>
          <w:rFonts w:ascii="Calibri" w:hAnsi="Calibri" w:cs="Calibri"/>
          <w:color w:val="000000" w:themeColor="text1"/>
          <w:sz w:val="22"/>
          <w:szCs w:val="22"/>
        </w:rPr>
        <w:t xml:space="preserve"> trigger </w:t>
      </w:r>
      <w:r w:rsidR="00AB607E">
        <w:rPr>
          <w:rFonts w:ascii="Calibri" w:hAnsi="Calibri" w:cs="Calibri"/>
          <w:color w:val="000000" w:themeColor="text1"/>
          <w:sz w:val="22"/>
          <w:szCs w:val="22"/>
        </w:rPr>
        <w:t xml:space="preserve">L1 to report </w:t>
      </w:r>
      <w:r>
        <w:rPr>
          <w:rFonts w:ascii="Calibri" w:hAnsi="Calibri" w:cs="Calibri"/>
          <w:color w:val="000000" w:themeColor="text1"/>
          <w:sz w:val="22"/>
          <w:szCs w:val="22"/>
        </w:rPr>
        <w:t xml:space="preserve">a subset of candidate </w:t>
      </w:r>
      <w:r w:rsidR="00AB607E">
        <w:rPr>
          <w:rFonts w:ascii="Calibri" w:hAnsi="Calibri" w:cs="Calibri"/>
          <w:color w:val="000000" w:themeColor="text1"/>
          <w:sz w:val="22"/>
          <w:szCs w:val="22"/>
        </w:rPr>
        <w:t xml:space="preserve">single-slot </w:t>
      </w:r>
      <w:r>
        <w:rPr>
          <w:rFonts w:ascii="Calibri" w:hAnsi="Calibri" w:cs="Calibri"/>
          <w:color w:val="000000" w:themeColor="text1"/>
          <w:sz w:val="22"/>
          <w:szCs w:val="22"/>
        </w:rPr>
        <w:t>resource</w:t>
      </w:r>
      <w:r w:rsidR="00AB607E">
        <w:rPr>
          <w:rFonts w:ascii="Calibri" w:hAnsi="Calibri" w:cs="Calibri"/>
          <w:color w:val="000000" w:themeColor="text1"/>
          <w:sz w:val="22"/>
          <w:szCs w:val="22"/>
        </w:rPr>
        <w:t xml:space="preserve">s that can be selected for transmission. The resources are then randomly selected in the higher layer for the initial and re-transmission of a single TB. Hence there is no guarantee that the selected resources can be and will be in consecutive slots. </w:t>
      </w:r>
    </w:p>
    <w:p w14:paraId="6FF3571F" w14:textId="7C6C33FA" w:rsidR="00CD2D79" w:rsidRDefault="00AB607E" w:rsidP="00AB607E">
      <w:pPr>
        <w:autoSpaceDE w:val="0"/>
        <w:autoSpaceDN w:val="0"/>
        <w:spacing w:before="120" w:after="120"/>
        <w:jc w:val="both"/>
        <w:rPr>
          <w:rFonts w:ascii="Calibri" w:hAnsi="Calibri" w:cs="Calibri"/>
          <w:color w:val="000000" w:themeColor="text1"/>
          <w:sz w:val="22"/>
          <w:szCs w:val="22"/>
        </w:rPr>
      </w:pPr>
      <w:r>
        <w:rPr>
          <w:rFonts w:ascii="Calibri" w:hAnsi="Calibri" w:cs="Calibri"/>
          <w:color w:val="000000" w:themeColor="text1"/>
          <w:sz w:val="22"/>
          <w:szCs w:val="22"/>
        </w:rPr>
        <w:t>From reviewing the contributions in this meeting, some proposed that MCSt should also support transmission of multiple TBs</w:t>
      </w:r>
      <w:r w:rsidR="008A5B10">
        <w:rPr>
          <w:rFonts w:ascii="Calibri" w:hAnsi="Calibri" w:cs="Calibri"/>
          <w:color w:val="000000" w:themeColor="text1"/>
          <w:sz w:val="22"/>
          <w:szCs w:val="22"/>
        </w:rPr>
        <w:t xml:space="preserve"> (in addition to single TB transmission)</w:t>
      </w:r>
      <w:r>
        <w:rPr>
          <w:rFonts w:ascii="Calibri" w:hAnsi="Calibri" w:cs="Calibri"/>
          <w:color w:val="000000" w:themeColor="text1"/>
          <w:sz w:val="22"/>
          <w:szCs w:val="22"/>
        </w:rPr>
        <w:t xml:space="preserve">. </w:t>
      </w:r>
      <w:r w:rsidR="008A5B10">
        <w:rPr>
          <w:rFonts w:ascii="Calibri" w:hAnsi="Calibri" w:cs="Calibri"/>
          <w:color w:val="000000" w:themeColor="text1"/>
          <w:sz w:val="22"/>
          <w:szCs w:val="22"/>
        </w:rPr>
        <w:t>In this case, multiple sets of higher layer parameters should be provided to L1 for the candidate resource reporting (assuming the higher layer is able to trigger the resource (re)selection process for multiple TBs at the same time).</w:t>
      </w:r>
    </w:p>
    <w:p w14:paraId="53FFE860" w14:textId="2BEFC29A" w:rsidR="00AB607E" w:rsidRDefault="008A5B10" w:rsidP="00AB607E">
      <w:pPr>
        <w:autoSpaceDE w:val="0"/>
        <w:autoSpaceDN w:val="0"/>
        <w:spacing w:before="120" w:after="120"/>
        <w:jc w:val="both"/>
        <w:rPr>
          <w:rFonts w:ascii="Calibri" w:hAnsi="Calibri" w:cs="Calibri"/>
          <w:color w:val="000000" w:themeColor="text1"/>
          <w:sz w:val="22"/>
          <w:szCs w:val="22"/>
        </w:rPr>
      </w:pPr>
      <w:r>
        <w:rPr>
          <w:rFonts w:ascii="Calibri" w:hAnsi="Calibri" w:cs="Calibri"/>
          <w:color w:val="000000" w:themeColor="text1"/>
          <w:sz w:val="22"/>
          <w:szCs w:val="22"/>
        </w:rPr>
        <w:t>To handle the above two issues/aspects in MCSt, some options are proposed in the contributions and captured below in Proposal 7. Note that it is possible to have any combination between Option 1 and 2 with Option A and B. Please indicate any other options.</w:t>
      </w:r>
    </w:p>
    <w:p w14:paraId="28096730" w14:textId="77777777" w:rsidR="008A5B10" w:rsidRDefault="008A5B10" w:rsidP="00AB607E">
      <w:pPr>
        <w:autoSpaceDE w:val="0"/>
        <w:autoSpaceDN w:val="0"/>
        <w:spacing w:before="120" w:after="120"/>
        <w:jc w:val="both"/>
        <w:rPr>
          <w:rFonts w:ascii="Calibri" w:hAnsi="Calibri" w:cs="Calibri"/>
          <w:color w:val="000000" w:themeColor="text1"/>
          <w:sz w:val="22"/>
          <w:szCs w:val="22"/>
        </w:rPr>
      </w:pPr>
    </w:p>
    <w:p w14:paraId="02B671C1" w14:textId="5BCA6C45" w:rsidR="00E818B5" w:rsidRPr="008F5EAB" w:rsidRDefault="00BC27C3" w:rsidP="00E818B5">
      <w:pPr>
        <w:pStyle w:val="Heading3"/>
      </w:pPr>
      <w:r>
        <w:t xml:space="preserve">FL Proposal for round 1 </w:t>
      </w:r>
      <w:r w:rsidR="00F468D5">
        <w:t>discussion</w:t>
      </w:r>
    </w:p>
    <w:p w14:paraId="7653F366" w14:textId="7E766098" w:rsidR="001D6E06" w:rsidRPr="00C65E36" w:rsidRDefault="001D6E06" w:rsidP="00BD4633">
      <w:pPr>
        <w:autoSpaceDE w:val="0"/>
        <w:autoSpaceDN w:val="0"/>
        <w:spacing w:before="120"/>
        <w:jc w:val="both"/>
        <w:rPr>
          <w:rFonts w:ascii="Calibri" w:hAnsi="Calibri" w:cs="Calibri"/>
          <w:sz w:val="22"/>
        </w:rPr>
      </w:pPr>
      <w:r w:rsidRPr="00717A4C">
        <w:rPr>
          <w:rFonts w:ascii="Calibri" w:hAnsi="Calibri" w:cs="Calibri"/>
          <w:b/>
          <w:bCs/>
          <w:sz w:val="22"/>
        </w:rPr>
        <w:t xml:space="preserve">Proposal </w:t>
      </w:r>
      <w:r w:rsidR="00957C70" w:rsidRPr="00717A4C">
        <w:rPr>
          <w:rFonts w:ascii="Calibri" w:hAnsi="Calibri" w:cs="Calibri"/>
          <w:b/>
          <w:bCs/>
          <w:sz w:val="22"/>
        </w:rPr>
        <w:t>7</w:t>
      </w:r>
      <w:r w:rsidRPr="00717A4C">
        <w:rPr>
          <w:rFonts w:ascii="Calibri" w:hAnsi="Calibri" w:cs="Calibri"/>
          <w:b/>
          <w:bCs/>
          <w:sz w:val="22"/>
        </w:rPr>
        <w:t xml:space="preserve"> (I):</w:t>
      </w:r>
      <w:r w:rsidRPr="00102735">
        <w:rPr>
          <w:rFonts w:ascii="Calibri" w:hAnsi="Calibri" w:cs="Calibri"/>
          <w:sz w:val="22"/>
        </w:rPr>
        <w:t xml:space="preserve"> </w:t>
      </w:r>
    </w:p>
    <w:p w14:paraId="2A28B404" w14:textId="77777777" w:rsidR="00E818B5" w:rsidRPr="00E818B5" w:rsidRDefault="00E818B5">
      <w:pPr>
        <w:numPr>
          <w:ilvl w:val="0"/>
          <w:numId w:val="27"/>
        </w:numPr>
        <w:autoSpaceDE w:val="0"/>
        <w:autoSpaceDN w:val="0"/>
        <w:spacing w:after="60"/>
        <w:jc w:val="both"/>
        <w:rPr>
          <w:rFonts w:ascii="Calibri" w:hAnsi="Calibri" w:cs="Calibri"/>
          <w:sz w:val="22"/>
          <w:lang w:val="en-US" w:eastAsia="x-none"/>
        </w:rPr>
      </w:pPr>
      <w:r w:rsidRPr="00E818B5">
        <w:rPr>
          <w:rFonts w:ascii="Calibri" w:hAnsi="Calibri" w:cs="Calibri" w:hint="eastAsia"/>
          <w:sz w:val="22"/>
          <w:lang w:val="en-US" w:eastAsia="x-none"/>
        </w:rPr>
        <w:t>When L1 is triggered for reporting a subset of candidate resources for MCSt,</w:t>
      </w:r>
    </w:p>
    <w:p w14:paraId="768EB4D2" w14:textId="71F94E33" w:rsidR="00E818B5" w:rsidRPr="00E818B5" w:rsidRDefault="00E818B5">
      <w:pPr>
        <w:numPr>
          <w:ilvl w:val="1"/>
          <w:numId w:val="27"/>
        </w:numPr>
        <w:autoSpaceDE w:val="0"/>
        <w:autoSpaceDN w:val="0"/>
        <w:spacing w:after="60"/>
        <w:jc w:val="both"/>
        <w:rPr>
          <w:rFonts w:ascii="Calibri" w:hAnsi="Calibri" w:cs="Calibri"/>
          <w:sz w:val="22"/>
          <w:lang w:val="en-US" w:eastAsia="x-none"/>
        </w:rPr>
      </w:pPr>
      <w:r w:rsidRPr="00E818B5">
        <w:rPr>
          <w:rFonts w:ascii="Calibri" w:hAnsi="Calibri" w:cs="Calibri" w:hint="eastAsia"/>
          <w:sz w:val="22"/>
          <w:lang w:val="en-US" w:eastAsia="x-none"/>
        </w:rPr>
        <w:t>Option 1: Only one set of parameters (</w:t>
      </w:r>
      <m:oMath>
        <m:r>
          <w:rPr>
            <w:rFonts w:ascii="Cambria Math" w:hAnsi="Cambria Math" w:cs="Calibri"/>
            <w:sz w:val="22"/>
            <w:lang w:val="en-US" w:eastAsia="x-none"/>
          </w:rPr>
          <m:t>pri</m:t>
        </m:r>
        <m:sSub>
          <m:sSubPr>
            <m:ctrlPr>
              <w:rPr>
                <w:rFonts w:ascii="Cambria Math" w:hAnsi="Cambria Math" w:cs="Calibri"/>
                <w:i/>
                <w:iCs/>
                <w:sz w:val="22"/>
                <w:lang w:val="en-US" w:eastAsia="x-none"/>
              </w:rPr>
            </m:ctrlPr>
          </m:sSubPr>
          <m:e>
            <m:r>
              <w:rPr>
                <w:rFonts w:ascii="Cambria Math" w:hAnsi="Cambria Math" w:cs="Calibri"/>
                <w:sz w:val="22"/>
                <w:lang w:val="en-US" w:eastAsia="x-none"/>
              </w:rPr>
              <m:t>o</m:t>
            </m:r>
          </m:e>
          <m:sub>
            <m:r>
              <w:rPr>
                <w:rFonts w:ascii="Cambria Math" w:hAnsi="Cambria Math" w:cs="Calibri"/>
                <w:sz w:val="22"/>
                <w:lang w:val="en-US" w:eastAsia="x-none"/>
              </w:rPr>
              <m:t>TX</m:t>
            </m:r>
          </m:sub>
        </m:sSub>
      </m:oMath>
      <w:r w:rsidRPr="00E818B5">
        <w:rPr>
          <w:rFonts w:ascii="Calibri" w:hAnsi="Calibri" w:cs="Calibri" w:hint="eastAsia"/>
          <w:sz w:val="22"/>
          <w:lang w:val="en-US" w:eastAsia="x-none"/>
        </w:rPr>
        <w:t xml:space="preserve">, remaining PDB, </w:t>
      </w:r>
      <m:oMath>
        <m:sSub>
          <m:sSubPr>
            <m:ctrlPr>
              <w:rPr>
                <w:rFonts w:ascii="Cambria Math" w:hAnsi="Cambria Math" w:cs="Calibri"/>
                <w:i/>
                <w:iCs/>
                <w:sz w:val="22"/>
                <w:lang w:val="en-US" w:eastAsia="x-none"/>
              </w:rPr>
            </m:ctrlPr>
          </m:sSubPr>
          <m:e>
            <m:r>
              <w:rPr>
                <w:rFonts w:ascii="Cambria Math" w:hAnsi="Cambria Math" w:cs="Calibri"/>
                <w:sz w:val="22"/>
                <w:lang w:val="en-US" w:eastAsia="x-none"/>
              </w:rPr>
              <m:t>L</m:t>
            </m:r>
          </m:e>
          <m:sub>
            <m:r>
              <m:rPr>
                <m:nor/>
              </m:rPr>
              <w:rPr>
                <w:rFonts w:ascii="Calibri" w:hAnsi="Calibri" w:cs="Calibri"/>
                <w:sz w:val="22"/>
                <w:lang w:val="en-US" w:eastAsia="x-none"/>
              </w:rPr>
              <m:t>subCH</m:t>
            </m:r>
          </m:sub>
        </m:sSub>
      </m:oMath>
      <w:r w:rsidRPr="00E818B5">
        <w:rPr>
          <w:rFonts w:ascii="Calibri" w:hAnsi="Calibri" w:cs="Calibri" w:hint="eastAsia"/>
          <w:sz w:val="22"/>
          <w:lang w:val="en-US" w:eastAsia="x-none"/>
        </w:rPr>
        <w:t xml:space="preserve"> and </w:t>
      </w:r>
      <m:oMath>
        <m:sSub>
          <m:sSubPr>
            <m:ctrlPr>
              <w:rPr>
                <w:rFonts w:ascii="Cambria Math" w:hAnsi="Cambria Math" w:cs="Calibri"/>
                <w:i/>
                <w:iCs/>
                <w:sz w:val="22"/>
                <w:lang w:val="en-US" w:eastAsia="x-none"/>
              </w:rPr>
            </m:ctrlPr>
          </m:sSubPr>
          <m:e>
            <m:r>
              <w:rPr>
                <w:rFonts w:ascii="Cambria Math" w:hAnsi="Cambria Math" w:cs="Calibri"/>
                <w:sz w:val="22"/>
                <w:lang w:val="en-US" w:eastAsia="x-none"/>
              </w:rPr>
              <m:t>P</m:t>
            </m:r>
          </m:e>
          <m:sub>
            <m:r>
              <m:rPr>
                <m:nor/>
              </m:rPr>
              <w:rPr>
                <w:rFonts w:ascii="Calibri" w:hAnsi="Calibri" w:cs="Calibri" w:hint="eastAsia"/>
                <w:sz w:val="22"/>
                <w:lang w:val="en-US" w:eastAsia="x-none"/>
              </w:rPr>
              <m:t>rsvp_TX</m:t>
            </m:r>
          </m:sub>
        </m:sSub>
      </m:oMath>
      <w:r w:rsidRPr="00E818B5">
        <w:rPr>
          <w:rFonts w:ascii="Calibri" w:hAnsi="Calibri" w:cs="Calibri" w:hint="eastAsia"/>
          <w:sz w:val="22"/>
          <w:lang w:val="en-US" w:eastAsia="x-none"/>
        </w:rPr>
        <w:t>) is provided for the resource selection procedure in L1 (same as Rel-16)</w:t>
      </w:r>
    </w:p>
    <w:p w14:paraId="5BBBE568" w14:textId="77777777" w:rsidR="00E818B5" w:rsidRPr="00E818B5" w:rsidRDefault="00E818B5">
      <w:pPr>
        <w:numPr>
          <w:ilvl w:val="2"/>
          <w:numId w:val="27"/>
        </w:numPr>
        <w:tabs>
          <w:tab w:val="num" w:pos="2160"/>
        </w:tabs>
        <w:autoSpaceDE w:val="0"/>
        <w:autoSpaceDN w:val="0"/>
        <w:spacing w:after="60"/>
        <w:jc w:val="both"/>
        <w:rPr>
          <w:rFonts w:ascii="Calibri" w:hAnsi="Calibri" w:cs="Calibri"/>
          <w:sz w:val="22"/>
          <w:lang w:val="en-US" w:eastAsia="x-none"/>
        </w:rPr>
      </w:pPr>
      <w:r w:rsidRPr="00E818B5">
        <w:rPr>
          <w:rFonts w:ascii="Calibri" w:hAnsi="Calibri" w:cs="Calibri" w:hint="eastAsia"/>
          <w:sz w:val="22"/>
          <w:lang w:val="en-US" w:eastAsia="x-none"/>
        </w:rPr>
        <w:t>Note, this is applicable for transmission of a single TB and multiple TBs (by triggering this procedure multiple times)</w:t>
      </w:r>
    </w:p>
    <w:p w14:paraId="525CB034" w14:textId="7BE49221" w:rsidR="00E818B5" w:rsidRPr="00E818B5" w:rsidRDefault="00E818B5">
      <w:pPr>
        <w:numPr>
          <w:ilvl w:val="1"/>
          <w:numId w:val="27"/>
        </w:numPr>
        <w:autoSpaceDE w:val="0"/>
        <w:autoSpaceDN w:val="0"/>
        <w:spacing w:after="60"/>
        <w:jc w:val="both"/>
        <w:rPr>
          <w:rFonts w:ascii="Calibri" w:hAnsi="Calibri" w:cs="Calibri"/>
          <w:sz w:val="22"/>
          <w:lang w:val="en-US" w:eastAsia="x-none"/>
        </w:rPr>
      </w:pPr>
      <w:r w:rsidRPr="00E818B5">
        <w:rPr>
          <w:rFonts w:ascii="Calibri" w:hAnsi="Calibri" w:cs="Calibri" w:hint="eastAsia"/>
          <w:sz w:val="22"/>
          <w:lang w:val="en-US" w:eastAsia="x-none"/>
        </w:rPr>
        <w:t>Option 2: Multiple sets of parameters (</w:t>
      </w:r>
      <m:oMath>
        <m:r>
          <w:rPr>
            <w:rFonts w:ascii="Cambria Math" w:hAnsi="Cambria Math" w:cs="Calibri"/>
            <w:sz w:val="22"/>
            <w:lang w:val="en-US" w:eastAsia="x-none"/>
          </w:rPr>
          <m:t>pri</m:t>
        </m:r>
        <m:sSub>
          <m:sSubPr>
            <m:ctrlPr>
              <w:rPr>
                <w:rFonts w:ascii="Cambria Math" w:hAnsi="Cambria Math" w:cs="Calibri"/>
                <w:i/>
                <w:iCs/>
                <w:sz w:val="22"/>
                <w:lang w:val="en-US" w:eastAsia="x-none"/>
              </w:rPr>
            </m:ctrlPr>
          </m:sSubPr>
          <m:e>
            <m:r>
              <w:rPr>
                <w:rFonts w:ascii="Cambria Math" w:hAnsi="Cambria Math" w:cs="Calibri"/>
                <w:sz w:val="22"/>
                <w:lang w:val="en-US" w:eastAsia="x-none"/>
              </w:rPr>
              <m:t>o</m:t>
            </m:r>
          </m:e>
          <m:sub>
            <m:r>
              <w:rPr>
                <w:rFonts w:ascii="Cambria Math" w:hAnsi="Cambria Math" w:cs="Calibri"/>
                <w:sz w:val="22"/>
                <w:lang w:val="en-US" w:eastAsia="x-none"/>
              </w:rPr>
              <m:t>TX</m:t>
            </m:r>
          </m:sub>
        </m:sSub>
      </m:oMath>
      <w:r w:rsidRPr="00E818B5">
        <w:rPr>
          <w:rFonts w:ascii="Calibri" w:hAnsi="Calibri" w:cs="Calibri" w:hint="eastAsia"/>
          <w:sz w:val="22"/>
          <w:lang w:val="en-US" w:eastAsia="x-none"/>
        </w:rPr>
        <w:t xml:space="preserve">, remaining PDB, </w:t>
      </w:r>
      <m:oMath>
        <m:sSub>
          <m:sSubPr>
            <m:ctrlPr>
              <w:rPr>
                <w:rFonts w:ascii="Cambria Math" w:hAnsi="Cambria Math" w:cs="Calibri"/>
                <w:i/>
                <w:iCs/>
                <w:sz w:val="22"/>
                <w:lang w:val="en-US" w:eastAsia="x-none"/>
              </w:rPr>
            </m:ctrlPr>
          </m:sSubPr>
          <m:e>
            <m:r>
              <w:rPr>
                <w:rFonts w:ascii="Cambria Math" w:hAnsi="Cambria Math" w:cs="Calibri"/>
                <w:sz w:val="22"/>
                <w:lang w:val="en-US" w:eastAsia="x-none"/>
              </w:rPr>
              <m:t>L</m:t>
            </m:r>
          </m:e>
          <m:sub>
            <m:r>
              <m:rPr>
                <m:nor/>
              </m:rPr>
              <w:rPr>
                <w:rFonts w:ascii="Calibri" w:hAnsi="Calibri" w:cs="Calibri"/>
                <w:sz w:val="22"/>
                <w:lang w:val="en-US" w:eastAsia="x-none"/>
              </w:rPr>
              <m:t>subCH</m:t>
            </m:r>
          </m:sub>
        </m:sSub>
      </m:oMath>
      <w:r w:rsidRPr="00E818B5">
        <w:rPr>
          <w:rFonts w:ascii="Calibri" w:hAnsi="Calibri" w:cs="Calibri" w:hint="eastAsia"/>
          <w:sz w:val="22"/>
          <w:lang w:val="en-US" w:eastAsia="x-none"/>
        </w:rPr>
        <w:t xml:space="preserve"> and </w:t>
      </w:r>
      <m:oMath>
        <m:sSub>
          <m:sSubPr>
            <m:ctrlPr>
              <w:rPr>
                <w:rFonts w:ascii="Cambria Math" w:hAnsi="Cambria Math" w:cs="Calibri"/>
                <w:i/>
                <w:iCs/>
                <w:sz w:val="22"/>
                <w:lang w:val="en-US" w:eastAsia="x-none"/>
              </w:rPr>
            </m:ctrlPr>
          </m:sSubPr>
          <m:e>
            <m:r>
              <w:rPr>
                <w:rFonts w:ascii="Cambria Math" w:hAnsi="Cambria Math" w:cs="Calibri"/>
                <w:sz w:val="22"/>
                <w:lang w:val="en-US" w:eastAsia="x-none"/>
              </w:rPr>
              <m:t>P</m:t>
            </m:r>
          </m:e>
          <m:sub>
            <m:r>
              <m:rPr>
                <m:nor/>
              </m:rPr>
              <w:rPr>
                <w:rFonts w:ascii="Calibri" w:hAnsi="Calibri" w:cs="Calibri" w:hint="eastAsia"/>
                <w:sz w:val="22"/>
                <w:lang w:val="en-US" w:eastAsia="x-none"/>
              </w:rPr>
              <m:t>rsvp_TX</m:t>
            </m:r>
          </m:sub>
        </m:sSub>
      </m:oMath>
      <w:r w:rsidRPr="00E818B5">
        <w:rPr>
          <w:rFonts w:ascii="Calibri" w:hAnsi="Calibri" w:cs="Calibri" w:hint="eastAsia"/>
          <w:sz w:val="22"/>
          <w:lang w:val="en-US" w:eastAsia="x-none"/>
        </w:rPr>
        <w:t>) are provided for the resource selection procedure in L1</w:t>
      </w:r>
    </w:p>
    <w:p w14:paraId="48E0AA89" w14:textId="72BC0EC3" w:rsidR="00E818B5" w:rsidRPr="00E818B5" w:rsidRDefault="00E818B5">
      <w:pPr>
        <w:numPr>
          <w:ilvl w:val="1"/>
          <w:numId w:val="27"/>
        </w:numPr>
        <w:autoSpaceDE w:val="0"/>
        <w:autoSpaceDN w:val="0"/>
        <w:spacing w:after="60"/>
        <w:jc w:val="both"/>
        <w:rPr>
          <w:rFonts w:ascii="Calibri" w:hAnsi="Calibri" w:cs="Calibri"/>
          <w:sz w:val="22"/>
          <w:lang w:val="en-US" w:eastAsia="x-none"/>
        </w:rPr>
      </w:pPr>
      <w:r w:rsidRPr="00E818B5">
        <w:rPr>
          <w:rFonts w:ascii="Calibri" w:hAnsi="Calibri" w:cs="Calibri" w:hint="eastAsia"/>
          <w:sz w:val="22"/>
          <w:lang w:val="en-US" w:eastAsia="x-none"/>
        </w:rPr>
        <w:t>FFS: any further information need</w:t>
      </w:r>
      <w:r w:rsidR="00A72451">
        <w:rPr>
          <w:rFonts w:ascii="Calibri" w:hAnsi="Calibri" w:cs="Calibri"/>
          <w:sz w:val="22"/>
          <w:lang w:val="en-US" w:eastAsia="x-none"/>
        </w:rPr>
        <w:t>s</w:t>
      </w:r>
      <w:r w:rsidRPr="00E818B5">
        <w:rPr>
          <w:rFonts w:ascii="Calibri" w:hAnsi="Calibri" w:cs="Calibri" w:hint="eastAsia"/>
          <w:sz w:val="22"/>
          <w:lang w:val="en-US" w:eastAsia="x-none"/>
        </w:rPr>
        <w:t xml:space="preserve"> to be provided to L1 for MCSt</w:t>
      </w:r>
    </w:p>
    <w:p w14:paraId="6DFB15F8" w14:textId="77777777" w:rsidR="00E818B5" w:rsidRPr="00E818B5" w:rsidRDefault="00E818B5">
      <w:pPr>
        <w:numPr>
          <w:ilvl w:val="0"/>
          <w:numId w:val="27"/>
        </w:numPr>
        <w:autoSpaceDE w:val="0"/>
        <w:autoSpaceDN w:val="0"/>
        <w:spacing w:after="60"/>
        <w:jc w:val="both"/>
        <w:rPr>
          <w:rFonts w:ascii="Calibri" w:hAnsi="Calibri" w:cs="Calibri"/>
          <w:sz w:val="22"/>
          <w:lang w:val="en-US" w:eastAsia="x-none"/>
        </w:rPr>
      </w:pPr>
      <w:r w:rsidRPr="00E818B5">
        <w:rPr>
          <w:rFonts w:ascii="Calibri" w:hAnsi="Calibri" w:cs="Calibri" w:hint="eastAsia"/>
          <w:sz w:val="22"/>
          <w:lang w:val="en-US" w:eastAsia="x-none"/>
        </w:rPr>
        <w:t>When L1 reports a subset of candidate resources for MCSt,</w:t>
      </w:r>
    </w:p>
    <w:p w14:paraId="5486C0E1" w14:textId="77777777" w:rsidR="00E818B5" w:rsidRPr="00E818B5" w:rsidRDefault="00E818B5">
      <w:pPr>
        <w:numPr>
          <w:ilvl w:val="1"/>
          <w:numId w:val="27"/>
        </w:numPr>
        <w:autoSpaceDE w:val="0"/>
        <w:autoSpaceDN w:val="0"/>
        <w:spacing w:after="60"/>
        <w:jc w:val="both"/>
        <w:rPr>
          <w:rFonts w:ascii="Calibri" w:hAnsi="Calibri" w:cs="Calibri"/>
          <w:sz w:val="22"/>
          <w:lang w:val="en-US" w:eastAsia="x-none"/>
        </w:rPr>
      </w:pPr>
      <w:r w:rsidRPr="00E818B5">
        <w:rPr>
          <w:rFonts w:ascii="Calibri" w:hAnsi="Calibri" w:cs="Calibri" w:hint="eastAsia"/>
          <w:sz w:val="22"/>
          <w:lang w:val="en-US" w:eastAsia="x-none"/>
        </w:rPr>
        <w:t xml:space="preserve">Option A: L1 reports candidate multi-slot resources in </w:t>
      </w:r>
      <w:r w:rsidRPr="00E818B5">
        <w:rPr>
          <w:rFonts w:ascii="Calibri" w:hAnsi="Calibri" w:cs="Calibri" w:hint="eastAsia"/>
          <w:i/>
          <w:iCs/>
          <w:sz w:val="22"/>
          <w:lang w:val="en-US" w:eastAsia="x-none"/>
        </w:rPr>
        <w:t>S</w:t>
      </w:r>
      <w:r w:rsidRPr="00E818B5">
        <w:rPr>
          <w:rFonts w:ascii="Calibri" w:hAnsi="Calibri" w:cs="Calibri" w:hint="eastAsia"/>
          <w:i/>
          <w:iCs/>
          <w:sz w:val="22"/>
          <w:vertAlign w:val="subscript"/>
          <w:lang w:val="en-US" w:eastAsia="x-none"/>
        </w:rPr>
        <w:t>A</w:t>
      </w:r>
      <w:r w:rsidRPr="00E818B5">
        <w:rPr>
          <w:rFonts w:ascii="Calibri" w:hAnsi="Calibri" w:cs="Calibri" w:hint="eastAsia"/>
          <w:sz w:val="22"/>
          <w:lang w:val="en-US" w:eastAsia="x-none"/>
        </w:rPr>
        <w:t xml:space="preserve"> where a candidate multi-slot resource consists of a set of single-slot resources that are consecutive in time</w:t>
      </w:r>
    </w:p>
    <w:p w14:paraId="50A26642" w14:textId="0C86CF6B" w:rsidR="00E818B5" w:rsidRPr="00E818B5" w:rsidRDefault="00E818B5">
      <w:pPr>
        <w:numPr>
          <w:ilvl w:val="2"/>
          <w:numId w:val="27"/>
        </w:numPr>
        <w:tabs>
          <w:tab w:val="num" w:pos="2160"/>
        </w:tabs>
        <w:autoSpaceDE w:val="0"/>
        <w:autoSpaceDN w:val="0"/>
        <w:spacing w:after="60"/>
        <w:jc w:val="both"/>
        <w:rPr>
          <w:rFonts w:ascii="Calibri" w:hAnsi="Calibri" w:cs="Calibri"/>
          <w:sz w:val="22"/>
          <w:lang w:val="en-US" w:eastAsia="x-none"/>
        </w:rPr>
      </w:pPr>
      <w:r w:rsidRPr="00E818B5">
        <w:rPr>
          <w:rFonts w:ascii="Calibri" w:hAnsi="Calibri" w:cs="Calibri" w:hint="eastAsia"/>
          <w:sz w:val="22"/>
          <w:lang w:val="en-US" w:eastAsia="x-none"/>
        </w:rPr>
        <w:lastRenderedPageBreak/>
        <w:t xml:space="preserve">FFS whether the set of single-slot resources within a candidate multi-slot resource can have different </w:t>
      </w:r>
      <m:oMath>
        <m:sSub>
          <m:sSubPr>
            <m:ctrlPr>
              <w:rPr>
                <w:rFonts w:ascii="Cambria Math" w:hAnsi="Cambria Math" w:cs="Calibri"/>
                <w:i/>
                <w:iCs/>
                <w:sz w:val="22"/>
                <w:lang w:val="en-US" w:eastAsia="x-none"/>
              </w:rPr>
            </m:ctrlPr>
          </m:sSubPr>
          <m:e>
            <m:r>
              <w:rPr>
                <w:rFonts w:ascii="Cambria Math" w:hAnsi="Cambria Math" w:cs="Calibri"/>
                <w:sz w:val="22"/>
                <w:lang w:val="en-US" w:eastAsia="x-none"/>
              </w:rPr>
              <m:t>L</m:t>
            </m:r>
          </m:e>
          <m:sub>
            <m:r>
              <m:rPr>
                <m:nor/>
              </m:rPr>
              <w:rPr>
                <w:rFonts w:ascii="Calibri" w:hAnsi="Calibri" w:cs="Calibri"/>
                <w:sz w:val="22"/>
                <w:lang w:val="en-US" w:eastAsia="x-none"/>
              </w:rPr>
              <m:t>subCH</m:t>
            </m:r>
          </m:sub>
        </m:sSub>
      </m:oMath>
      <w:r w:rsidRPr="00E818B5">
        <w:rPr>
          <w:rFonts w:ascii="Calibri" w:hAnsi="Calibri" w:cs="Calibri" w:hint="eastAsia"/>
          <w:sz w:val="22"/>
          <w:lang w:val="en-US" w:eastAsia="x-none"/>
        </w:rPr>
        <w:t xml:space="preserve"> sizes</w:t>
      </w:r>
    </w:p>
    <w:p w14:paraId="0139C8BF" w14:textId="77777777" w:rsidR="00E818B5" w:rsidRPr="00E818B5" w:rsidRDefault="00E818B5">
      <w:pPr>
        <w:numPr>
          <w:ilvl w:val="1"/>
          <w:numId w:val="27"/>
        </w:numPr>
        <w:autoSpaceDE w:val="0"/>
        <w:autoSpaceDN w:val="0"/>
        <w:spacing w:after="60"/>
        <w:jc w:val="both"/>
        <w:rPr>
          <w:rFonts w:ascii="Calibri" w:hAnsi="Calibri" w:cs="Calibri"/>
          <w:sz w:val="22"/>
          <w:lang w:val="en-US" w:eastAsia="x-none"/>
        </w:rPr>
      </w:pPr>
      <w:r w:rsidRPr="00E818B5">
        <w:rPr>
          <w:rFonts w:ascii="Calibri" w:hAnsi="Calibri" w:cs="Calibri" w:hint="eastAsia"/>
          <w:sz w:val="22"/>
          <w:lang w:val="en-US" w:eastAsia="x-none"/>
        </w:rPr>
        <w:t>Option B: L1 reports candidate single-slot resources in (</w:t>
      </w:r>
      <w:r w:rsidRPr="00E818B5">
        <w:rPr>
          <w:rFonts w:ascii="Calibri" w:hAnsi="Calibri" w:cs="Calibri" w:hint="eastAsia"/>
          <w:i/>
          <w:iCs/>
          <w:sz w:val="22"/>
          <w:lang w:val="en-US" w:eastAsia="x-none"/>
        </w:rPr>
        <w:t>S</w:t>
      </w:r>
      <w:r w:rsidRPr="00E818B5">
        <w:rPr>
          <w:rFonts w:ascii="Calibri" w:hAnsi="Calibri" w:cs="Calibri" w:hint="eastAsia"/>
          <w:i/>
          <w:iCs/>
          <w:sz w:val="22"/>
          <w:vertAlign w:val="subscript"/>
          <w:lang w:val="en-US" w:eastAsia="x-none"/>
        </w:rPr>
        <w:t>A</w:t>
      </w:r>
      <w:r w:rsidRPr="00E818B5">
        <w:rPr>
          <w:rFonts w:ascii="Calibri" w:hAnsi="Calibri" w:cs="Calibri" w:hint="eastAsia"/>
          <w:sz w:val="22"/>
          <w:lang w:val="en-US" w:eastAsia="x-none"/>
        </w:rPr>
        <w:t>) as in Rel-16</w:t>
      </w:r>
    </w:p>
    <w:p w14:paraId="20D707E7" w14:textId="396367CD" w:rsidR="00E818B5" w:rsidRDefault="00E818B5">
      <w:pPr>
        <w:numPr>
          <w:ilvl w:val="2"/>
          <w:numId w:val="27"/>
        </w:numPr>
        <w:tabs>
          <w:tab w:val="num" w:pos="2160"/>
        </w:tabs>
        <w:autoSpaceDE w:val="0"/>
        <w:autoSpaceDN w:val="0"/>
        <w:spacing w:after="120"/>
        <w:jc w:val="both"/>
        <w:rPr>
          <w:rFonts w:ascii="Calibri" w:hAnsi="Calibri" w:cs="Calibri"/>
          <w:sz w:val="22"/>
          <w:lang w:val="en-US" w:eastAsia="x-none"/>
        </w:rPr>
      </w:pPr>
      <w:r w:rsidRPr="00E818B5">
        <w:rPr>
          <w:rFonts w:ascii="Calibri" w:hAnsi="Calibri" w:cs="Calibri" w:hint="eastAsia"/>
          <w:sz w:val="22"/>
          <w:lang w:val="en-US" w:eastAsia="x-none"/>
        </w:rPr>
        <w:t>It is up to the higher (MAC) layer to select a set of single-slot resources that are consecutive in logical slots</w:t>
      </w:r>
    </w:p>
    <w:p w14:paraId="3591F6F2" w14:textId="77777777" w:rsidR="00F468D5" w:rsidRPr="00E818B5" w:rsidRDefault="00F468D5" w:rsidP="00F468D5">
      <w:pPr>
        <w:autoSpaceDE w:val="0"/>
        <w:autoSpaceDN w:val="0"/>
        <w:spacing w:after="120"/>
        <w:jc w:val="both"/>
        <w:rPr>
          <w:rFonts w:ascii="Calibri" w:hAnsi="Calibri" w:cs="Calibri"/>
          <w:sz w:val="22"/>
          <w:lang w:val="en-US" w:eastAsia="x-none"/>
        </w:rPr>
      </w:pPr>
    </w:p>
    <w:tbl>
      <w:tblPr>
        <w:tblStyle w:val="TableGrid"/>
        <w:tblW w:w="9631" w:type="dxa"/>
        <w:tblLayout w:type="fixed"/>
        <w:tblLook w:val="04A0" w:firstRow="1" w:lastRow="0" w:firstColumn="1" w:lastColumn="0" w:noHBand="0" w:noVBand="1"/>
      </w:tblPr>
      <w:tblGrid>
        <w:gridCol w:w="1555"/>
        <w:gridCol w:w="8076"/>
      </w:tblGrid>
      <w:tr w:rsidR="00BC27C3" w14:paraId="2A045507" w14:textId="77777777" w:rsidTr="006B2419">
        <w:tc>
          <w:tcPr>
            <w:tcW w:w="1555" w:type="dxa"/>
          </w:tcPr>
          <w:p w14:paraId="612CF07C" w14:textId="77777777" w:rsidR="00BC27C3" w:rsidRDefault="00BC27C3" w:rsidP="006B2419">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8076" w:type="dxa"/>
          </w:tcPr>
          <w:p w14:paraId="1412A303" w14:textId="77777777" w:rsidR="00BC27C3" w:rsidRDefault="00BC27C3" w:rsidP="006B2419">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335DBF" w14:paraId="767BDF98" w14:textId="77777777" w:rsidTr="006B2419">
        <w:tc>
          <w:tcPr>
            <w:tcW w:w="1555" w:type="dxa"/>
          </w:tcPr>
          <w:p w14:paraId="351F92DB" w14:textId="77777777" w:rsidR="00335DBF" w:rsidRDefault="00335DBF" w:rsidP="00335DBF">
            <w:pPr>
              <w:pStyle w:val="0Maintext"/>
              <w:spacing w:after="0" w:afterAutospacing="0" w:line="240" w:lineRule="auto"/>
              <w:ind w:firstLine="0"/>
            </w:pPr>
            <w:r>
              <w:t>IDCC</w:t>
            </w:r>
          </w:p>
        </w:tc>
        <w:tc>
          <w:tcPr>
            <w:tcW w:w="8076" w:type="dxa"/>
          </w:tcPr>
          <w:p w14:paraId="1751BA0C" w14:textId="5B3D2FA9" w:rsidR="00335DBF" w:rsidRDefault="00335DBF" w:rsidP="00335DBF">
            <w:pPr>
              <w:pStyle w:val="0Maintext"/>
              <w:spacing w:after="0" w:afterAutospacing="0" w:line="240" w:lineRule="auto"/>
              <w:ind w:firstLine="0"/>
            </w:pPr>
            <w:r>
              <w:t>We support Option 1 in the 1</w:t>
            </w:r>
            <w:r>
              <w:rPr>
                <w:vertAlign w:val="superscript"/>
              </w:rPr>
              <w:t>st</w:t>
            </w:r>
            <w:r>
              <w:t xml:space="preserve"> bullet. In R16/R17 baseline, a UE determines re-TX number by UE implementation with the maximum re-TX number (pre)configured in a resource pool. We don’t expect this UE behaviour to change in SL U. Also, if there are more TBs in the buffer to transmit, a UE can decide to include multiple TBs in MCSt but should use the lowest priority to get CAPC configuration to access the channel in a fair manner. We think UE implementation can group TBs suitable to transmit in a MCSt in one COT. Multiple sets of parameters for sensing result in heavy processing and also complexity in resource selection in MAC layer. We think in addition the input parameters can include number of consecutive slots. </w:t>
            </w:r>
          </w:p>
          <w:p w14:paraId="355B2AB6" w14:textId="77777777" w:rsidR="00335DBF" w:rsidRDefault="00335DBF" w:rsidP="00335DBF">
            <w:pPr>
              <w:pStyle w:val="0Maintext"/>
              <w:spacing w:after="0" w:afterAutospacing="0" w:line="240" w:lineRule="auto"/>
              <w:ind w:firstLine="0"/>
            </w:pPr>
          </w:p>
          <w:p w14:paraId="0582657B" w14:textId="77777777" w:rsidR="00335DBF" w:rsidRDefault="00335DBF" w:rsidP="00335DBF">
            <w:pPr>
              <w:pStyle w:val="0Maintext"/>
              <w:spacing w:after="0" w:afterAutospacing="0" w:line="240" w:lineRule="auto"/>
              <w:ind w:firstLine="0"/>
            </w:pPr>
            <w:r>
              <w:t>We support Option A in the 2</w:t>
            </w:r>
            <w:r>
              <w:rPr>
                <w:vertAlign w:val="superscript"/>
              </w:rPr>
              <w:t>nd</w:t>
            </w:r>
            <w:r>
              <w:t xml:space="preserve"> bullet. As discussed above, a UE can first decide a number of consecutive slots for MCSt and as a result, the sensing granularity changes from a single-slot candidate resource (R16/R17 baseline) to a multi-slot candidate resource. PHY layer will strive to provide a X% of such resources to MAC e.g., by adjusting RSRP threshold. For Option B, PHY layer will not have the knowledge about how many such multi-slot candidate resources are available and thus might provide a resource set to MAC in which none or few of the single-slot candidate resources are consecutive. </w:t>
            </w:r>
          </w:p>
        </w:tc>
      </w:tr>
      <w:tr w:rsidR="00335DBF" w14:paraId="7DD7650F" w14:textId="77777777" w:rsidTr="006B2419">
        <w:tc>
          <w:tcPr>
            <w:tcW w:w="1555" w:type="dxa"/>
          </w:tcPr>
          <w:p w14:paraId="093DC81A" w14:textId="77777777" w:rsidR="00335DBF" w:rsidRDefault="00335DBF" w:rsidP="00335DBF">
            <w:pPr>
              <w:pStyle w:val="0Maintext"/>
              <w:spacing w:after="0" w:afterAutospacing="0" w:line="240" w:lineRule="auto"/>
              <w:ind w:firstLine="0"/>
            </w:pPr>
            <w:r>
              <w:t>Qualcomm</w:t>
            </w:r>
          </w:p>
        </w:tc>
        <w:tc>
          <w:tcPr>
            <w:tcW w:w="8076" w:type="dxa"/>
          </w:tcPr>
          <w:p w14:paraId="223246EB" w14:textId="77777777" w:rsidR="00335DBF" w:rsidRDefault="00335DBF" w:rsidP="00335DBF">
            <w:pPr>
              <w:jc w:val="both"/>
            </w:pPr>
            <w:r>
              <w:rPr>
                <w:b/>
                <w:bCs/>
              </w:rPr>
              <w:t>We support the FL proposal</w:t>
            </w:r>
            <w:r>
              <w:t xml:space="preserve">, </w:t>
            </w:r>
            <w:r>
              <w:rPr>
                <w:b/>
                <w:bCs/>
              </w:rPr>
              <w:t xml:space="preserve">which provides a good starting point to make a down selection in later meetings. </w:t>
            </w:r>
          </w:p>
        </w:tc>
      </w:tr>
      <w:tr w:rsidR="00335DBF" w14:paraId="094070C4" w14:textId="77777777" w:rsidTr="006B2419">
        <w:tc>
          <w:tcPr>
            <w:tcW w:w="1555" w:type="dxa"/>
          </w:tcPr>
          <w:p w14:paraId="4B4CD96C" w14:textId="77777777" w:rsidR="00335DBF" w:rsidRDefault="00335DBF" w:rsidP="00335DBF">
            <w:pPr>
              <w:pStyle w:val="0Maintext"/>
              <w:spacing w:after="0" w:afterAutospacing="0" w:line="240" w:lineRule="auto"/>
              <w:ind w:firstLine="0"/>
            </w:pPr>
            <w:r>
              <w:t>Intel</w:t>
            </w:r>
          </w:p>
        </w:tc>
        <w:tc>
          <w:tcPr>
            <w:tcW w:w="8076" w:type="dxa"/>
          </w:tcPr>
          <w:p w14:paraId="5E3DF081" w14:textId="77777777" w:rsidR="00335DBF" w:rsidRDefault="00335DBF" w:rsidP="00335DBF">
            <w:pPr>
              <w:pStyle w:val="0Maintext"/>
              <w:spacing w:after="0" w:afterAutospacing="0" w:line="240" w:lineRule="auto"/>
              <w:ind w:firstLine="0"/>
            </w:pPr>
            <w:r>
              <w:t xml:space="preserve">We are OK with the proposal and support option 1 in first bullet and option A in second sub-bullet.  </w:t>
            </w:r>
          </w:p>
        </w:tc>
      </w:tr>
      <w:tr w:rsidR="00335DBF" w14:paraId="6E1CCE18" w14:textId="77777777" w:rsidTr="006B2419">
        <w:tc>
          <w:tcPr>
            <w:tcW w:w="1555" w:type="dxa"/>
          </w:tcPr>
          <w:p w14:paraId="0832B1E6" w14:textId="77777777" w:rsidR="00335DBF" w:rsidRDefault="00335DBF" w:rsidP="00335DBF">
            <w:pPr>
              <w:pStyle w:val="0Maintext"/>
              <w:spacing w:after="0" w:afterAutospacing="0" w:line="240" w:lineRule="auto"/>
              <w:ind w:firstLine="0"/>
            </w:pPr>
            <w:r>
              <w:t>Apple</w:t>
            </w:r>
          </w:p>
        </w:tc>
        <w:tc>
          <w:tcPr>
            <w:tcW w:w="8076" w:type="dxa"/>
          </w:tcPr>
          <w:p w14:paraId="1BDF7BDB" w14:textId="77777777" w:rsidR="00335DBF" w:rsidRDefault="00335DBF" w:rsidP="00335DBF">
            <w:pPr>
              <w:jc w:val="both"/>
              <w:rPr>
                <w:rFonts w:asciiTheme="minorHAnsi" w:hAnsiTheme="minorHAnsi" w:cstheme="minorHAnsi"/>
                <w:sz w:val="22"/>
                <w:szCs w:val="22"/>
              </w:rPr>
            </w:pPr>
            <w:r>
              <w:rPr>
                <w:rFonts w:asciiTheme="minorHAnsi" w:hAnsiTheme="minorHAnsi" w:cstheme="minorHAnsi"/>
                <w:sz w:val="22"/>
                <w:szCs w:val="22"/>
              </w:rPr>
              <w:t>Support option 1 in 1</w:t>
            </w:r>
            <w:r>
              <w:rPr>
                <w:rFonts w:asciiTheme="minorHAnsi" w:hAnsiTheme="minorHAnsi" w:cstheme="minorHAnsi"/>
                <w:sz w:val="22"/>
                <w:szCs w:val="22"/>
                <w:vertAlign w:val="superscript"/>
              </w:rPr>
              <w:t>st</w:t>
            </w:r>
            <w:r>
              <w:rPr>
                <w:rFonts w:asciiTheme="minorHAnsi" w:hAnsiTheme="minorHAnsi" w:cstheme="minorHAnsi"/>
                <w:sz w:val="22"/>
                <w:szCs w:val="22"/>
              </w:rPr>
              <w:t xml:space="preserve"> bullet, option A in 2</w:t>
            </w:r>
            <w:r>
              <w:rPr>
                <w:rFonts w:asciiTheme="minorHAnsi" w:hAnsiTheme="minorHAnsi" w:cstheme="minorHAnsi"/>
                <w:sz w:val="22"/>
                <w:szCs w:val="22"/>
                <w:vertAlign w:val="superscript"/>
              </w:rPr>
              <w:t>nd</w:t>
            </w:r>
            <w:r>
              <w:rPr>
                <w:rFonts w:asciiTheme="minorHAnsi" w:hAnsiTheme="minorHAnsi" w:cstheme="minorHAnsi"/>
                <w:sz w:val="22"/>
                <w:szCs w:val="22"/>
              </w:rPr>
              <w:t xml:space="preserve"> bullet. </w:t>
            </w:r>
          </w:p>
          <w:p w14:paraId="679F35FB" w14:textId="77777777" w:rsidR="00335DBF" w:rsidRDefault="00335DBF" w:rsidP="00335DBF">
            <w:pPr>
              <w:jc w:val="both"/>
              <w:rPr>
                <w:rFonts w:asciiTheme="minorHAnsi" w:hAnsiTheme="minorHAnsi" w:cstheme="minorHAnsi"/>
                <w:sz w:val="22"/>
                <w:szCs w:val="22"/>
              </w:rPr>
            </w:pPr>
            <w:r>
              <w:rPr>
                <w:rFonts w:asciiTheme="minorHAnsi" w:hAnsiTheme="minorHAnsi" w:cstheme="minorHAnsi"/>
                <w:sz w:val="22"/>
                <w:szCs w:val="22"/>
              </w:rPr>
              <w:t xml:space="preserve">We see supporting multi-TB is more important, same as NR-U, as this use case is commercial large payload transmission. </w:t>
            </w:r>
          </w:p>
          <w:p w14:paraId="61E6CB94" w14:textId="77777777" w:rsidR="00335DBF" w:rsidRDefault="00335DBF" w:rsidP="00335DBF">
            <w:pPr>
              <w:pStyle w:val="0Maintext"/>
              <w:spacing w:after="0" w:afterAutospacing="0" w:line="240" w:lineRule="auto"/>
              <w:ind w:firstLine="0"/>
            </w:pPr>
            <w:r>
              <w:rPr>
                <w:rFonts w:asciiTheme="minorHAnsi" w:hAnsiTheme="minorHAnsi" w:cstheme="minorHAnsi"/>
                <w:sz w:val="22"/>
                <w:szCs w:val="22"/>
              </w:rPr>
              <w:t>We also propose to limit multi-slot transmission to full BW only. For partial BW, it is only single slot transmission.</w:t>
            </w:r>
          </w:p>
        </w:tc>
      </w:tr>
      <w:tr w:rsidR="00335DBF" w14:paraId="35FBC4EC" w14:textId="77777777" w:rsidTr="006B2419">
        <w:tc>
          <w:tcPr>
            <w:tcW w:w="1555" w:type="dxa"/>
          </w:tcPr>
          <w:p w14:paraId="621B6D0C" w14:textId="77777777" w:rsidR="00335DBF" w:rsidRDefault="00335DBF" w:rsidP="00335DBF">
            <w:pPr>
              <w:pStyle w:val="0Maintext"/>
              <w:spacing w:after="0" w:afterAutospacing="0" w:line="240" w:lineRule="auto"/>
              <w:ind w:firstLine="0"/>
            </w:pPr>
            <w:r>
              <w:rPr>
                <w:rFonts w:eastAsiaTheme="minorEastAsia" w:hint="eastAsia"/>
                <w:lang w:eastAsia="zh-CN"/>
              </w:rPr>
              <w:t>O</w:t>
            </w:r>
            <w:r>
              <w:rPr>
                <w:rFonts w:eastAsiaTheme="minorEastAsia"/>
                <w:lang w:eastAsia="zh-CN"/>
              </w:rPr>
              <w:t>PPO</w:t>
            </w:r>
          </w:p>
        </w:tc>
        <w:tc>
          <w:tcPr>
            <w:tcW w:w="8076" w:type="dxa"/>
          </w:tcPr>
          <w:p w14:paraId="513348CA" w14:textId="77777777" w:rsidR="00335DBF" w:rsidRDefault="00335DBF" w:rsidP="00335DBF">
            <w:pPr>
              <w:pStyle w:val="0Maintext"/>
              <w:spacing w:after="0" w:afterAutospacing="0" w:line="240" w:lineRule="auto"/>
              <w:ind w:firstLine="0"/>
              <w:rPr>
                <w:rFonts w:eastAsiaTheme="minorEastAsia"/>
                <w:lang w:eastAsia="zh-CN"/>
              </w:rPr>
            </w:pPr>
            <w:r>
              <w:rPr>
                <w:rFonts w:eastAsiaTheme="minorEastAsia"/>
                <w:lang w:eastAsia="zh-CN"/>
              </w:rPr>
              <w:t>We support option 1 + option A. we can live with option 1 + option B.</w:t>
            </w:r>
          </w:p>
          <w:p w14:paraId="377C48A5" w14:textId="77777777" w:rsidR="00335DBF" w:rsidRDefault="00335DBF" w:rsidP="00335DBF">
            <w:pPr>
              <w:pStyle w:val="0Maintext"/>
              <w:spacing w:after="0" w:afterAutospacing="0" w:line="240" w:lineRule="auto"/>
              <w:ind w:firstLine="0"/>
              <w:rPr>
                <w:rFonts w:eastAsiaTheme="minorEastAsia"/>
                <w:lang w:eastAsia="zh-CN"/>
              </w:rPr>
            </w:pPr>
            <w:r>
              <w:rPr>
                <w:rFonts w:eastAsiaTheme="minorEastAsia"/>
                <w:lang w:eastAsia="zh-CN"/>
              </w:rPr>
              <w:t xml:space="preserve">For option 1+option A, multi-slot resources are seen as one resource unit compared to single slot resource in R16/R17. Most of the resource selection procedure in R16/R17 can be reused. </w:t>
            </w:r>
          </w:p>
        </w:tc>
      </w:tr>
      <w:tr w:rsidR="00335DBF" w14:paraId="1FFB8FC0" w14:textId="77777777" w:rsidTr="006B2419">
        <w:tc>
          <w:tcPr>
            <w:tcW w:w="1555" w:type="dxa"/>
          </w:tcPr>
          <w:p w14:paraId="16BE698E" w14:textId="77777777" w:rsidR="00335DBF" w:rsidRDefault="00335DBF" w:rsidP="00335DBF">
            <w:pPr>
              <w:pStyle w:val="0Maintext"/>
              <w:spacing w:after="0" w:afterAutospacing="0" w:line="240" w:lineRule="auto"/>
              <w:ind w:firstLine="0"/>
            </w:pPr>
            <w:r>
              <w:t>CableLabs</w:t>
            </w:r>
          </w:p>
        </w:tc>
        <w:tc>
          <w:tcPr>
            <w:tcW w:w="8076" w:type="dxa"/>
          </w:tcPr>
          <w:p w14:paraId="21E41B91" w14:textId="77777777" w:rsidR="00335DBF" w:rsidRDefault="00335DBF" w:rsidP="00335DBF">
            <w:pPr>
              <w:pStyle w:val="0Maintext"/>
              <w:spacing w:after="0" w:afterAutospacing="0" w:line="240" w:lineRule="auto"/>
              <w:ind w:firstLine="0"/>
            </w:pPr>
            <w:r>
              <w:t>We support:</w:t>
            </w:r>
          </w:p>
          <w:p w14:paraId="47025F3E" w14:textId="5B7FA72C" w:rsidR="00335DBF" w:rsidRDefault="00335DBF" w:rsidP="00335DBF">
            <w:pPr>
              <w:pStyle w:val="0Maintext"/>
              <w:spacing w:after="0" w:afterAutospacing="0" w:line="240" w:lineRule="auto"/>
              <w:ind w:firstLine="0"/>
            </w:pPr>
            <w:r>
              <w:t>- Option 1 with the lowest CAPC. Additionally</w:t>
            </w:r>
            <w:r w:rsidR="00D9221C">
              <w:t>,</w:t>
            </w:r>
            <w:r>
              <w:t xml:space="preserve"> we ask for limiting the number of slots to to max subframe time values; for BWP the number of slots is limited to 1.</w:t>
            </w:r>
          </w:p>
          <w:p w14:paraId="410CB7FF" w14:textId="77777777" w:rsidR="00335DBF" w:rsidRDefault="00335DBF" w:rsidP="00335DBF">
            <w:pPr>
              <w:pStyle w:val="0Maintext"/>
              <w:spacing w:after="0" w:afterAutospacing="0" w:line="240" w:lineRule="auto"/>
              <w:ind w:firstLine="0"/>
            </w:pPr>
            <w:r>
              <w:t>- Option A</w:t>
            </w:r>
          </w:p>
        </w:tc>
      </w:tr>
      <w:tr w:rsidR="00335DBF" w14:paraId="649A208A" w14:textId="77777777" w:rsidTr="006B2419">
        <w:tc>
          <w:tcPr>
            <w:tcW w:w="1555" w:type="dxa"/>
          </w:tcPr>
          <w:p w14:paraId="10C671A0" w14:textId="77777777" w:rsidR="00335DBF" w:rsidRDefault="00335DBF" w:rsidP="00335DBF">
            <w:pPr>
              <w:pStyle w:val="0Maintext"/>
              <w:spacing w:after="0" w:afterAutospacing="0" w:line="240" w:lineRule="auto"/>
              <w:ind w:firstLine="0"/>
              <w:rPr>
                <w:lang w:eastAsia="ko-KR"/>
              </w:rPr>
            </w:pPr>
            <w:r>
              <w:rPr>
                <w:rFonts w:hint="eastAsia"/>
                <w:lang w:eastAsia="ko-KR"/>
              </w:rPr>
              <w:t>LGE</w:t>
            </w:r>
          </w:p>
        </w:tc>
        <w:tc>
          <w:tcPr>
            <w:tcW w:w="8076" w:type="dxa"/>
          </w:tcPr>
          <w:p w14:paraId="2801B56F" w14:textId="77777777" w:rsidR="00335DBF" w:rsidRDefault="00335DBF" w:rsidP="00335DBF">
            <w:pPr>
              <w:pStyle w:val="0Maintext"/>
              <w:spacing w:after="0" w:afterAutospacing="0" w:line="240" w:lineRule="auto"/>
              <w:ind w:firstLine="0"/>
              <w:rPr>
                <w:lang w:eastAsia="ko-KR"/>
              </w:rPr>
            </w:pPr>
            <w:r>
              <w:rPr>
                <w:rFonts w:hint="eastAsia"/>
                <w:lang w:eastAsia="ko-KR"/>
              </w:rPr>
              <w:t>We</w:t>
            </w:r>
            <w:r>
              <w:rPr>
                <w:lang w:eastAsia="ko-KR"/>
              </w:rPr>
              <w:t xml:space="preserve">’d like to minimize the specificaiotn impact. So, we support Option 1 and Optoin B. </w:t>
            </w:r>
          </w:p>
        </w:tc>
      </w:tr>
      <w:tr w:rsidR="00335DBF" w14:paraId="171AC509" w14:textId="77777777" w:rsidTr="006B2419">
        <w:tc>
          <w:tcPr>
            <w:tcW w:w="1555" w:type="dxa"/>
          </w:tcPr>
          <w:p w14:paraId="07DF3756" w14:textId="77777777" w:rsidR="00335DBF" w:rsidRDefault="00335DBF" w:rsidP="00335DBF">
            <w:pPr>
              <w:pStyle w:val="0Maintext"/>
              <w:spacing w:after="0" w:afterAutospacing="0" w:line="240" w:lineRule="auto"/>
              <w:ind w:firstLine="0"/>
              <w:rPr>
                <w:rFonts w:eastAsia="MS Mincho"/>
                <w:lang w:eastAsia="ja-JP"/>
              </w:rPr>
            </w:pPr>
            <w:r>
              <w:rPr>
                <w:rFonts w:eastAsia="MS Mincho" w:hint="eastAsia"/>
                <w:lang w:eastAsia="ja-JP"/>
              </w:rPr>
              <w:t>D</w:t>
            </w:r>
            <w:r>
              <w:rPr>
                <w:rFonts w:eastAsia="MS Mincho"/>
                <w:lang w:eastAsia="ja-JP"/>
              </w:rPr>
              <w:t>CM</w:t>
            </w:r>
          </w:p>
        </w:tc>
        <w:tc>
          <w:tcPr>
            <w:tcW w:w="8076" w:type="dxa"/>
          </w:tcPr>
          <w:p w14:paraId="195A929F" w14:textId="77777777" w:rsidR="00335DBF" w:rsidRDefault="00335DBF" w:rsidP="00335DBF">
            <w:pPr>
              <w:pStyle w:val="0Maintext"/>
              <w:spacing w:after="0" w:afterAutospacing="0" w:line="240" w:lineRule="auto"/>
              <w:ind w:firstLine="0"/>
              <w:rPr>
                <w:rFonts w:eastAsia="MS Mincho"/>
                <w:lang w:eastAsia="ja-JP"/>
              </w:rPr>
            </w:pPr>
            <w:r>
              <w:rPr>
                <w:rFonts w:eastAsia="MS Mincho" w:hint="eastAsia"/>
                <w:lang w:eastAsia="ja-JP"/>
              </w:rPr>
              <w:t>I</w:t>
            </w:r>
            <w:r>
              <w:rPr>
                <w:rFonts w:eastAsia="MS Mincho"/>
                <w:lang w:eastAsia="ja-JP"/>
              </w:rPr>
              <w:t>n our view, when MCSt is intended for two different TB transmissions, two sets S_A should be generated at PHY layer independently and reported to MAC. Then MAC layer can handle the reported two sets S_A such that MCSt is achieved.</w:t>
            </w:r>
          </w:p>
          <w:p w14:paraId="42B78FF7" w14:textId="77777777" w:rsidR="00335DBF" w:rsidRDefault="00335DBF" w:rsidP="00335DBF">
            <w:pPr>
              <w:pStyle w:val="0Maintext"/>
              <w:spacing w:after="0" w:afterAutospacing="0" w:line="240" w:lineRule="auto"/>
              <w:ind w:firstLine="0"/>
              <w:rPr>
                <w:rFonts w:eastAsia="MS Mincho"/>
                <w:lang w:eastAsia="ja-JP"/>
              </w:rPr>
            </w:pPr>
            <w:r>
              <w:rPr>
                <w:rFonts w:eastAsia="MS Mincho" w:hint="eastAsia"/>
                <w:lang w:eastAsia="ja-JP"/>
              </w:rPr>
              <w:t>B</w:t>
            </w:r>
            <w:r>
              <w:rPr>
                <w:rFonts w:eastAsia="MS Mincho"/>
                <w:lang w:eastAsia="ja-JP"/>
              </w:rPr>
              <w:t>ut it seems that this proposal intends to decide only a single S_A for the case. Is it correct? and why is this way reasonable? Clarification is necessary.</w:t>
            </w:r>
          </w:p>
        </w:tc>
      </w:tr>
      <w:tr w:rsidR="00335DBF" w14:paraId="01131F4E" w14:textId="77777777" w:rsidTr="006B2419">
        <w:tc>
          <w:tcPr>
            <w:tcW w:w="1555" w:type="dxa"/>
          </w:tcPr>
          <w:p w14:paraId="790596A0" w14:textId="77777777" w:rsidR="00335DBF" w:rsidRDefault="00335DBF" w:rsidP="00335DBF">
            <w:pPr>
              <w:pStyle w:val="0Maintext"/>
              <w:spacing w:after="0" w:afterAutospacing="0" w:line="240" w:lineRule="auto"/>
              <w:ind w:firstLine="0"/>
              <w:rPr>
                <w:rFonts w:eastAsia="MS Mincho"/>
                <w:lang w:eastAsia="ja-JP"/>
              </w:rPr>
            </w:pPr>
            <w:r>
              <w:rPr>
                <w:rFonts w:eastAsiaTheme="minorEastAsia" w:hint="eastAsia"/>
                <w:lang w:eastAsia="zh-CN"/>
              </w:rPr>
              <w:t>S</w:t>
            </w:r>
            <w:r>
              <w:rPr>
                <w:rFonts w:eastAsiaTheme="minorEastAsia"/>
                <w:lang w:eastAsia="zh-CN"/>
              </w:rPr>
              <w:t>preadtrum</w:t>
            </w:r>
          </w:p>
        </w:tc>
        <w:tc>
          <w:tcPr>
            <w:tcW w:w="8076" w:type="dxa"/>
          </w:tcPr>
          <w:p w14:paraId="66706658" w14:textId="77777777" w:rsidR="00335DBF" w:rsidRDefault="00335DBF" w:rsidP="00335DBF">
            <w:pPr>
              <w:pStyle w:val="0Maintext"/>
              <w:spacing w:after="0" w:afterAutospacing="0" w:line="240" w:lineRule="auto"/>
              <w:ind w:firstLine="0"/>
              <w:rPr>
                <w:rFonts w:eastAsia="MS Mincho"/>
                <w:lang w:eastAsia="ja-JP"/>
              </w:rPr>
            </w:pPr>
            <w:r>
              <w:rPr>
                <w:rFonts w:eastAsia="MS Mincho" w:hint="eastAsia"/>
                <w:lang w:eastAsia="ja-JP"/>
              </w:rPr>
              <w:t>W</w:t>
            </w:r>
            <w:r>
              <w:rPr>
                <w:rFonts w:eastAsia="MS Mincho"/>
                <w:lang w:eastAsia="ja-JP"/>
              </w:rPr>
              <w:t>e prefer option 1 and option A.</w:t>
            </w:r>
          </w:p>
        </w:tc>
      </w:tr>
      <w:tr w:rsidR="00335DBF" w14:paraId="6392CA62" w14:textId="77777777" w:rsidTr="006B2419">
        <w:tc>
          <w:tcPr>
            <w:tcW w:w="1555" w:type="dxa"/>
          </w:tcPr>
          <w:p w14:paraId="55A4A4F0" w14:textId="77777777" w:rsidR="00335DBF" w:rsidRDefault="00335DBF" w:rsidP="00335DBF">
            <w:pPr>
              <w:pStyle w:val="0Maintext"/>
              <w:spacing w:after="0" w:afterAutospacing="0" w:line="240" w:lineRule="auto"/>
              <w:ind w:firstLine="0"/>
              <w:rPr>
                <w:rFonts w:eastAsiaTheme="minorEastAsia"/>
                <w:lang w:eastAsia="zh-CN"/>
              </w:rPr>
            </w:pPr>
            <w:r>
              <w:rPr>
                <w:rFonts w:eastAsia="MS Mincho" w:hint="eastAsia"/>
                <w:lang w:eastAsia="ja-JP"/>
              </w:rPr>
              <w:t>S</w:t>
            </w:r>
            <w:r>
              <w:rPr>
                <w:rFonts w:eastAsia="MS Mincho"/>
                <w:lang w:eastAsia="ja-JP"/>
              </w:rPr>
              <w:t>ony</w:t>
            </w:r>
          </w:p>
        </w:tc>
        <w:tc>
          <w:tcPr>
            <w:tcW w:w="8076" w:type="dxa"/>
          </w:tcPr>
          <w:p w14:paraId="28586E78" w14:textId="77777777" w:rsidR="00335DBF" w:rsidRDefault="00335DBF" w:rsidP="00335DBF">
            <w:pPr>
              <w:pStyle w:val="0Maintext"/>
              <w:spacing w:after="0" w:afterAutospacing="0" w:line="240" w:lineRule="auto"/>
              <w:ind w:firstLine="0"/>
              <w:rPr>
                <w:rFonts w:eastAsia="MS Mincho"/>
                <w:lang w:eastAsia="ja-JP"/>
              </w:rPr>
            </w:pPr>
            <w:r>
              <w:rPr>
                <w:rFonts w:eastAsia="MS Mincho"/>
                <w:lang w:eastAsia="ja-JP"/>
              </w:rPr>
              <w:t>We support option 1 in 1st bullet and option A in 2nd bullet.</w:t>
            </w:r>
          </w:p>
        </w:tc>
      </w:tr>
      <w:tr w:rsidR="00335DBF" w14:paraId="3566A997" w14:textId="77777777" w:rsidTr="006B2419">
        <w:tc>
          <w:tcPr>
            <w:tcW w:w="1555" w:type="dxa"/>
          </w:tcPr>
          <w:p w14:paraId="116AF4CF" w14:textId="77777777" w:rsidR="00335DBF" w:rsidRDefault="00335DBF" w:rsidP="00335DBF">
            <w:pPr>
              <w:pStyle w:val="0Maintext"/>
              <w:spacing w:after="0" w:afterAutospacing="0" w:line="240" w:lineRule="auto"/>
              <w:ind w:firstLine="0"/>
              <w:rPr>
                <w:rFonts w:eastAsiaTheme="minorEastAsia"/>
                <w:lang w:eastAsia="zh-CN"/>
              </w:rPr>
            </w:pPr>
            <w:r>
              <w:rPr>
                <w:rFonts w:eastAsiaTheme="minorEastAsia" w:hint="eastAsia"/>
                <w:lang w:eastAsia="zh-CN"/>
              </w:rPr>
              <w:t>C</w:t>
            </w:r>
            <w:r>
              <w:rPr>
                <w:rFonts w:eastAsiaTheme="minorEastAsia"/>
                <w:lang w:eastAsia="zh-CN"/>
              </w:rPr>
              <w:t>MCC</w:t>
            </w:r>
          </w:p>
        </w:tc>
        <w:tc>
          <w:tcPr>
            <w:tcW w:w="8076" w:type="dxa"/>
          </w:tcPr>
          <w:p w14:paraId="4F3E6F8E" w14:textId="77777777" w:rsidR="00335DBF" w:rsidRDefault="00335DBF" w:rsidP="00335DBF">
            <w:pPr>
              <w:pStyle w:val="0Maintext"/>
              <w:spacing w:after="0" w:afterAutospacing="0" w:line="240" w:lineRule="auto"/>
              <w:ind w:firstLine="0"/>
            </w:pPr>
            <w:r>
              <w:t>Support option 1 and option A.</w:t>
            </w:r>
          </w:p>
          <w:p w14:paraId="294A89EE" w14:textId="77777777" w:rsidR="00335DBF" w:rsidRDefault="00335DBF" w:rsidP="00335DBF">
            <w:pPr>
              <w:pStyle w:val="0Maintext"/>
              <w:spacing w:after="0" w:afterAutospacing="0" w:line="240" w:lineRule="auto"/>
              <w:ind w:firstLine="0"/>
            </w:pPr>
          </w:p>
          <w:p w14:paraId="2B9A4628" w14:textId="77777777" w:rsidR="00335DBF" w:rsidRDefault="00335DBF" w:rsidP="00335DBF">
            <w:pPr>
              <w:pStyle w:val="0Maintext"/>
              <w:spacing w:after="0" w:afterAutospacing="0" w:line="240" w:lineRule="auto"/>
              <w:ind w:firstLine="0"/>
              <w:rPr>
                <w:rFonts w:eastAsiaTheme="minorEastAsia"/>
                <w:lang w:eastAsia="zh-CN"/>
              </w:rPr>
            </w:pPr>
            <w:r>
              <w:rPr>
                <w:rFonts w:eastAsiaTheme="minorEastAsia" w:hint="eastAsia"/>
                <w:lang w:eastAsia="zh-CN"/>
              </w:rPr>
              <w:t>O</w:t>
            </w:r>
            <w:r>
              <w:rPr>
                <w:rFonts w:eastAsiaTheme="minorEastAsia"/>
                <w:lang w:eastAsia="zh-CN"/>
              </w:rPr>
              <w:t>ption 2 may lead the resource selection procedure much more complex since PHY needs to decide which set of parameters is used during the resource exclusion procedure; or do separate resource exclusion procedure according to each set of parameters. Both of them will have too many impacts on the specification. Besides, for option 1, how to determine the value of parameters indicated to PHY layer based on the multiple TBs can be decided by RAN2.</w:t>
            </w:r>
          </w:p>
          <w:p w14:paraId="58822613" w14:textId="77777777" w:rsidR="00335DBF" w:rsidRDefault="00335DBF" w:rsidP="00335DBF">
            <w:pPr>
              <w:pStyle w:val="0Maintext"/>
              <w:spacing w:after="0" w:afterAutospacing="0" w:line="240" w:lineRule="auto"/>
              <w:ind w:firstLine="0"/>
              <w:rPr>
                <w:rFonts w:eastAsiaTheme="minorEastAsia"/>
                <w:lang w:eastAsia="zh-CN"/>
              </w:rPr>
            </w:pPr>
          </w:p>
          <w:p w14:paraId="13FB93ED" w14:textId="4B3D1867" w:rsidR="00335DBF" w:rsidRDefault="00335DBF" w:rsidP="00335DBF">
            <w:pPr>
              <w:pStyle w:val="0Maintext"/>
              <w:spacing w:after="0" w:afterAutospacing="0" w:line="240" w:lineRule="auto"/>
              <w:ind w:firstLine="0"/>
              <w:rPr>
                <w:rFonts w:eastAsiaTheme="minorEastAsia"/>
                <w:lang w:eastAsia="zh-CN"/>
              </w:rPr>
            </w:pPr>
            <w:r>
              <w:rPr>
                <w:rFonts w:eastAsiaTheme="minorEastAsia"/>
                <w:lang w:eastAsia="zh-CN"/>
              </w:rPr>
              <w:t>Option A can ensure that enough number of multi-slot candidate resources are reported, while option B cannot. So</w:t>
            </w:r>
            <w:r w:rsidR="00D9221C">
              <w:rPr>
                <w:rFonts w:eastAsiaTheme="minorEastAsia"/>
                <w:lang w:eastAsia="zh-CN"/>
              </w:rPr>
              <w:t>,</w:t>
            </w:r>
            <w:r>
              <w:rPr>
                <w:rFonts w:eastAsiaTheme="minorEastAsia"/>
                <w:lang w:eastAsia="zh-CN"/>
              </w:rPr>
              <w:t xml:space="preserve"> in order to keep the randomness and avoid the potential resource collision as much as possible, option A is preferred. </w:t>
            </w:r>
          </w:p>
        </w:tc>
      </w:tr>
      <w:tr w:rsidR="00335DBF" w14:paraId="090C3A48" w14:textId="77777777" w:rsidTr="006B2419">
        <w:tc>
          <w:tcPr>
            <w:tcW w:w="1555" w:type="dxa"/>
          </w:tcPr>
          <w:p w14:paraId="3E84CC10" w14:textId="77777777" w:rsidR="00335DBF" w:rsidRDefault="00335DBF" w:rsidP="00335DBF">
            <w:pPr>
              <w:pStyle w:val="0Maintext"/>
              <w:spacing w:after="0" w:afterAutospacing="0" w:line="240" w:lineRule="auto"/>
              <w:ind w:firstLine="0"/>
              <w:rPr>
                <w:rFonts w:eastAsiaTheme="minorEastAsia"/>
                <w:lang w:eastAsia="zh-CN"/>
              </w:rPr>
            </w:pPr>
            <w:r>
              <w:rPr>
                <w:rFonts w:eastAsiaTheme="minorEastAsia" w:hint="eastAsia"/>
                <w:lang w:eastAsia="zh-CN"/>
              </w:rPr>
              <w:t>F</w:t>
            </w:r>
            <w:r>
              <w:rPr>
                <w:rFonts w:eastAsiaTheme="minorEastAsia"/>
                <w:lang w:eastAsia="zh-CN"/>
              </w:rPr>
              <w:t>ujitsu</w:t>
            </w:r>
          </w:p>
        </w:tc>
        <w:tc>
          <w:tcPr>
            <w:tcW w:w="8076" w:type="dxa"/>
          </w:tcPr>
          <w:p w14:paraId="07956339" w14:textId="77777777" w:rsidR="00335DBF" w:rsidRDefault="00335DBF" w:rsidP="00335DBF">
            <w:pPr>
              <w:pStyle w:val="0Maintext"/>
              <w:spacing w:after="0" w:afterAutospacing="0" w:line="240" w:lineRule="auto"/>
              <w:ind w:firstLine="0"/>
            </w:pPr>
            <w:r>
              <w:rPr>
                <w:rFonts w:eastAsiaTheme="minorEastAsia" w:hint="eastAsia"/>
                <w:lang w:eastAsia="zh-CN"/>
              </w:rPr>
              <w:t>W</w:t>
            </w:r>
            <w:r>
              <w:rPr>
                <w:rFonts w:eastAsiaTheme="minorEastAsia"/>
                <w:lang w:eastAsia="zh-CN"/>
              </w:rPr>
              <w:t>e are fine with the proposal.</w:t>
            </w:r>
          </w:p>
        </w:tc>
      </w:tr>
      <w:tr w:rsidR="00335DBF" w14:paraId="76F94B4E" w14:textId="77777777" w:rsidTr="006B2419">
        <w:tc>
          <w:tcPr>
            <w:tcW w:w="1555" w:type="dxa"/>
          </w:tcPr>
          <w:p w14:paraId="352494F4" w14:textId="77777777" w:rsidR="00335DBF" w:rsidRDefault="00335DBF" w:rsidP="00335DBF">
            <w:pPr>
              <w:pStyle w:val="0Maintext"/>
              <w:spacing w:after="0" w:afterAutospacing="0" w:line="240" w:lineRule="auto"/>
              <w:ind w:firstLine="0"/>
            </w:pPr>
            <w:r>
              <w:lastRenderedPageBreak/>
              <w:t>Nokia, NSB</w:t>
            </w:r>
          </w:p>
        </w:tc>
        <w:tc>
          <w:tcPr>
            <w:tcW w:w="8076" w:type="dxa"/>
          </w:tcPr>
          <w:p w14:paraId="57732257" w14:textId="77777777" w:rsidR="00335DBF" w:rsidRDefault="00335DBF" w:rsidP="00335DBF">
            <w:pPr>
              <w:pStyle w:val="0Maintext"/>
              <w:spacing w:after="0" w:afterAutospacing="0" w:line="240" w:lineRule="auto"/>
              <w:ind w:firstLine="0"/>
              <w:rPr>
                <w:rFonts w:eastAsia="MS Mincho"/>
                <w:lang w:eastAsia="ja-JP"/>
              </w:rPr>
            </w:pPr>
            <w:r>
              <w:t>We agree with the text.</w:t>
            </w:r>
          </w:p>
        </w:tc>
      </w:tr>
      <w:tr w:rsidR="00335DBF" w14:paraId="594A63EC" w14:textId="77777777" w:rsidTr="006B2419">
        <w:tc>
          <w:tcPr>
            <w:tcW w:w="1555" w:type="dxa"/>
          </w:tcPr>
          <w:p w14:paraId="54CAD829" w14:textId="77777777" w:rsidR="00335DBF" w:rsidRDefault="00335DBF" w:rsidP="00335DBF">
            <w:pPr>
              <w:pStyle w:val="0Maintext"/>
              <w:spacing w:after="0" w:afterAutospacing="0" w:line="240" w:lineRule="auto"/>
              <w:ind w:firstLine="0"/>
            </w:pPr>
            <w:r>
              <w:rPr>
                <w:rFonts w:eastAsiaTheme="minorEastAsia" w:hint="eastAsia"/>
                <w:lang w:eastAsia="zh-CN"/>
              </w:rPr>
              <w:t>v</w:t>
            </w:r>
            <w:r>
              <w:rPr>
                <w:rFonts w:eastAsiaTheme="minorEastAsia"/>
                <w:lang w:eastAsia="zh-CN"/>
              </w:rPr>
              <w:t>ivo</w:t>
            </w:r>
          </w:p>
        </w:tc>
        <w:tc>
          <w:tcPr>
            <w:tcW w:w="8076" w:type="dxa"/>
          </w:tcPr>
          <w:p w14:paraId="04D37B3C" w14:textId="77777777" w:rsidR="00335DBF" w:rsidRDefault="00335DBF" w:rsidP="00335DBF">
            <w:pPr>
              <w:pStyle w:val="0Maintext"/>
              <w:spacing w:after="0" w:afterAutospacing="0" w:line="240" w:lineRule="auto"/>
              <w:ind w:firstLine="0"/>
              <w:rPr>
                <w:rFonts w:eastAsiaTheme="minorEastAsia"/>
                <w:lang w:eastAsia="zh-CN"/>
              </w:rPr>
            </w:pPr>
            <w:r>
              <w:rPr>
                <w:rFonts w:eastAsiaTheme="minorEastAsia"/>
                <w:lang w:eastAsia="zh-CN"/>
              </w:rPr>
              <w:t>We prefer to reuse legacy mode 2 as much as possible</w:t>
            </w:r>
          </w:p>
          <w:p w14:paraId="402B5436" w14:textId="3D4A8DFE" w:rsidR="00335DBF" w:rsidRDefault="00335DBF" w:rsidP="00335DBF">
            <w:pPr>
              <w:pStyle w:val="0Maintext"/>
              <w:spacing w:after="0" w:afterAutospacing="0" w:line="240" w:lineRule="auto"/>
              <w:ind w:firstLine="0"/>
            </w:pPr>
            <w:r>
              <w:rPr>
                <w:rFonts w:eastAsiaTheme="minorEastAsia"/>
                <w:lang w:eastAsia="zh-CN"/>
              </w:rPr>
              <w:t>Option 1 in the 1</w:t>
            </w:r>
            <w:r>
              <w:rPr>
                <w:rFonts w:eastAsiaTheme="minorEastAsia"/>
                <w:vertAlign w:val="superscript"/>
                <w:lang w:eastAsia="zh-CN"/>
              </w:rPr>
              <w:t>st</w:t>
            </w:r>
            <w:r>
              <w:rPr>
                <w:rFonts w:eastAsiaTheme="minorEastAsia"/>
                <w:lang w:eastAsia="zh-CN"/>
              </w:rPr>
              <w:t xml:space="preserve"> bullet, and option B in 2</w:t>
            </w:r>
            <w:r>
              <w:rPr>
                <w:rFonts w:eastAsiaTheme="minorEastAsia"/>
                <w:vertAlign w:val="superscript"/>
                <w:lang w:eastAsia="zh-CN"/>
              </w:rPr>
              <w:t>nd</w:t>
            </w:r>
            <w:r>
              <w:rPr>
                <w:rFonts w:eastAsiaTheme="minorEastAsia"/>
                <w:lang w:eastAsia="zh-CN"/>
              </w:rPr>
              <w:t xml:space="preserve"> bullet is preferred.  Another reason to use option 1 is that, even there is single TB, UE can </w:t>
            </w:r>
            <w:r w:rsidR="00D9221C">
              <w:rPr>
                <w:rFonts w:eastAsiaTheme="minorEastAsia"/>
                <w:lang w:eastAsia="zh-CN"/>
              </w:rPr>
              <w:t>select</w:t>
            </w:r>
            <w:r>
              <w:rPr>
                <w:rFonts w:eastAsiaTheme="minorEastAsia"/>
                <w:lang w:eastAsia="zh-CN"/>
              </w:rPr>
              <w:t xml:space="preserve"> consecutive slots for the TB (re)transmission.</w:t>
            </w:r>
          </w:p>
        </w:tc>
      </w:tr>
      <w:tr w:rsidR="00335DBF" w14:paraId="4D7B69DF" w14:textId="77777777" w:rsidTr="006B2419">
        <w:tc>
          <w:tcPr>
            <w:tcW w:w="1555" w:type="dxa"/>
          </w:tcPr>
          <w:p w14:paraId="15E83971" w14:textId="77777777" w:rsidR="00335DBF" w:rsidRDefault="00335DBF" w:rsidP="00335DBF">
            <w:pPr>
              <w:pStyle w:val="0Maintext"/>
              <w:spacing w:after="0" w:afterAutospacing="0" w:line="240" w:lineRule="auto"/>
              <w:ind w:firstLine="0"/>
              <w:rPr>
                <w:rFonts w:eastAsiaTheme="minorEastAsia"/>
                <w:lang w:eastAsia="zh-CN"/>
              </w:rPr>
            </w:pPr>
            <w:r>
              <w:rPr>
                <w:rFonts w:eastAsiaTheme="minorEastAsia" w:hint="eastAsia"/>
                <w:lang w:eastAsia="zh-CN"/>
              </w:rPr>
              <w:t>S</w:t>
            </w:r>
            <w:r>
              <w:rPr>
                <w:rFonts w:eastAsiaTheme="minorEastAsia"/>
                <w:lang w:eastAsia="zh-CN"/>
              </w:rPr>
              <w:t>amsung</w:t>
            </w:r>
          </w:p>
        </w:tc>
        <w:tc>
          <w:tcPr>
            <w:tcW w:w="8076" w:type="dxa"/>
          </w:tcPr>
          <w:p w14:paraId="08F05C53" w14:textId="77777777" w:rsidR="00335DBF" w:rsidRDefault="00335DBF" w:rsidP="00335DBF">
            <w:pPr>
              <w:pStyle w:val="0Maintext"/>
              <w:spacing w:after="0" w:afterAutospacing="0" w:line="240" w:lineRule="auto"/>
              <w:ind w:firstLine="0"/>
              <w:rPr>
                <w:rFonts w:eastAsiaTheme="minorEastAsia"/>
                <w:lang w:eastAsia="zh-CN"/>
              </w:rPr>
            </w:pPr>
            <w:r>
              <w:rPr>
                <w:rFonts w:eastAsiaTheme="minorEastAsia" w:hint="eastAsia"/>
                <w:lang w:eastAsia="zh-CN"/>
              </w:rPr>
              <w:t>F</w:t>
            </w:r>
            <w:r>
              <w:rPr>
                <w:rFonts w:eastAsiaTheme="minorEastAsia"/>
                <w:lang w:eastAsia="zh-CN"/>
              </w:rPr>
              <w:t>or 1</w:t>
            </w:r>
            <w:r>
              <w:rPr>
                <w:rFonts w:eastAsiaTheme="minorEastAsia"/>
                <w:vertAlign w:val="superscript"/>
                <w:lang w:eastAsia="zh-CN"/>
              </w:rPr>
              <w:t>st</w:t>
            </w:r>
            <w:r>
              <w:rPr>
                <w:rFonts w:eastAsiaTheme="minorEastAsia"/>
                <w:lang w:eastAsia="zh-CN"/>
              </w:rPr>
              <w:t xml:space="preserve"> bullet, we think at first whether MCSt can be applied to single and/or multiple TBs needs to be discussed. In our view, option 1 is beneficial for single TB transmission and option 2 is for multi-TB transmission.</w:t>
            </w:r>
          </w:p>
          <w:p w14:paraId="08129F71" w14:textId="77777777" w:rsidR="00335DBF" w:rsidRDefault="00335DBF" w:rsidP="00335DBF">
            <w:pPr>
              <w:pStyle w:val="0Maintext"/>
              <w:spacing w:after="0" w:afterAutospacing="0" w:line="240" w:lineRule="auto"/>
              <w:ind w:firstLine="0"/>
              <w:rPr>
                <w:rFonts w:eastAsiaTheme="minorEastAsia"/>
                <w:lang w:eastAsia="zh-CN"/>
              </w:rPr>
            </w:pPr>
            <w:r>
              <w:rPr>
                <w:rFonts w:eastAsiaTheme="minorEastAsia"/>
                <w:lang w:eastAsia="zh-CN"/>
              </w:rPr>
              <w:t>For 2</w:t>
            </w:r>
            <w:r>
              <w:rPr>
                <w:rFonts w:eastAsiaTheme="minorEastAsia"/>
                <w:vertAlign w:val="superscript"/>
                <w:lang w:eastAsia="zh-CN"/>
              </w:rPr>
              <w:t>nd</w:t>
            </w:r>
            <w:r>
              <w:rPr>
                <w:rFonts w:eastAsiaTheme="minorEastAsia"/>
                <w:lang w:eastAsia="zh-CN"/>
              </w:rPr>
              <w:t xml:space="preserve"> bullet, we prefer option A.</w:t>
            </w:r>
          </w:p>
        </w:tc>
      </w:tr>
      <w:tr w:rsidR="00335DBF" w14:paraId="0276DB00" w14:textId="77777777" w:rsidTr="006B2419">
        <w:tc>
          <w:tcPr>
            <w:tcW w:w="1555" w:type="dxa"/>
          </w:tcPr>
          <w:p w14:paraId="12997638" w14:textId="77777777" w:rsidR="00335DBF" w:rsidRDefault="00335DBF" w:rsidP="00335DBF">
            <w:pPr>
              <w:pStyle w:val="0Maintext"/>
              <w:spacing w:after="0" w:afterAutospacing="0" w:line="240" w:lineRule="auto"/>
              <w:ind w:firstLine="0"/>
              <w:rPr>
                <w:rFonts w:eastAsiaTheme="minorEastAsia"/>
                <w:lang w:eastAsia="zh-CN"/>
              </w:rPr>
            </w:pPr>
            <w:r>
              <w:rPr>
                <w:rFonts w:eastAsiaTheme="minorEastAsia"/>
                <w:lang w:eastAsia="zh-CN"/>
              </w:rPr>
              <w:t>NEC</w:t>
            </w:r>
          </w:p>
        </w:tc>
        <w:tc>
          <w:tcPr>
            <w:tcW w:w="8076" w:type="dxa"/>
          </w:tcPr>
          <w:p w14:paraId="2458EC88" w14:textId="77777777" w:rsidR="00335DBF" w:rsidRDefault="00335DBF" w:rsidP="00335DBF">
            <w:pPr>
              <w:pStyle w:val="0Maintext"/>
              <w:spacing w:after="0" w:afterAutospacing="0" w:line="240" w:lineRule="auto"/>
              <w:ind w:firstLine="0"/>
            </w:pPr>
            <w:r>
              <w:rPr>
                <w:rFonts w:eastAsiaTheme="minorEastAsia"/>
                <w:lang w:eastAsia="zh-CN"/>
              </w:rPr>
              <w:t>We generally agree with the proposal, option 1 and option B are preferred.</w:t>
            </w:r>
          </w:p>
        </w:tc>
      </w:tr>
      <w:tr w:rsidR="00335DBF" w14:paraId="30E3D051" w14:textId="77777777" w:rsidTr="006B2419">
        <w:tc>
          <w:tcPr>
            <w:tcW w:w="1555" w:type="dxa"/>
          </w:tcPr>
          <w:p w14:paraId="24BC4E51" w14:textId="77777777" w:rsidR="00335DBF" w:rsidRDefault="00335DBF" w:rsidP="00335DBF">
            <w:pPr>
              <w:pStyle w:val="0Maintext"/>
              <w:spacing w:after="0" w:afterAutospacing="0" w:line="240" w:lineRule="auto"/>
              <w:ind w:firstLine="0"/>
              <w:rPr>
                <w:rFonts w:eastAsiaTheme="minorEastAsia"/>
                <w:lang w:eastAsia="zh-CN"/>
              </w:rPr>
            </w:pPr>
            <w:r>
              <w:rPr>
                <w:rFonts w:eastAsiaTheme="minorEastAsia"/>
                <w:lang w:eastAsia="zh-CN"/>
              </w:rPr>
              <w:t>xiaomi</w:t>
            </w:r>
          </w:p>
        </w:tc>
        <w:tc>
          <w:tcPr>
            <w:tcW w:w="8076" w:type="dxa"/>
          </w:tcPr>
          <w:p w14:paraId="67153F8F" w14:textId="77777777" w:rsidR="00335DBF" w:rsidRDefault="00335DBF" w:rsidP="00335DBF">
            <w:pPr>
              <w:tabs>
                <w:tab w:val="left" w:pos="2160"/>
              </w:tabs>
              <w:autoSpaceDE w:val="0"/>
              <w:autoSpaceDN w:val="0"/>
              <w:jc w:val="both"/>
              <w:rPr>
                <w:rFonts w:ascii="Calibri" w:hAnsi="Calibri" w:cs="Calibri"/>
                <w:sz w:val="22"/>
                <w:lang w:val="en-US" w:eastAsia="zh-CN"/>
              </w:rPr>
            </w:pPr>
            <w:r>
              <w:rPr>
                <w:rFonts w:asciiTheme="minorHAnsi" w:hAnsiTheme="minorHAnsi" w:cstheme="minorHAnsi"/>
                <w:sz w:val="22"/>
                <w:szCs w:val="22"/>
              </w:rPr>
              <w:t>For the first bullet, we support option1</w:t>
            </w:r>
            <w:r>
              <w:rPr>
                <w:rFonts w:asciiTheme="minorHAnsi" w:eastAsia="SimSun" w:hAnsiTheme="minorHAnsi" w:cstheme="minorHAnsi"/>
                <w:sz w:val="22"/>
                <w:szCs w:val="22"/>
                <w:lang w:val="en-US" w:eastAsia="zh-CN"/>
              </w:rPr>
              <w:t>.</w:t>
            </w:r>
          </w:p>
          <w:p w14:paraId="35344264" w14:textId="77777777" w:rsidR="00335DBF" w:rsidRDefault="00335DBF" w:rsidP="00335DBF">
            <w:pPr>
              <w:pStyle w:val="0Maintext"/>
              <w:spacing w:after="0" w:afterAutospacing="0" w:line="240" w:lineRule="auto"/>
              <w:ind w:firstLine="0"/>
              <w:rPr>
                <w:rFonts w:eastAsia="SimSun"/>
                <w:lang w:val="en-US" w:eastAsia="zh-CN"/>
              </w:rPr>
            </w:pPr>
            <w:r>
              <w:rPr>
                <w:rFonts w:asciiTheme="minorHAnsi" w:hAnsiTheme="minorHAnsi" w:cstheme="minorHAnsi"/>
                <w:sz w:val="22"/>
                <w:szCs w:val="22"/>
              </w:rPr>
              <w:t xml:space="preserve">For the second sub-bullet, we support option </w:t>
            </w:r>
            <w:r>
              <w:rPr>
                <w:rFonts w:asciiTheme="minorHAnsi" w:eastAsia="SimSun" w:hAnsiTheme="minorHAnsi" w:cstheme="minorHAnsi"/>
                <w:sz w:val="22"/>
                <w:szCs w:val="22"/>
                <w:lang w:val="en-US" w:eastAsia="zh-CN"/>
              </w:rPr>
              <w:t>A. F</w:t>
            </w:r>
            <w:r>
              <w:rPr>
                <w:rFonts w:asciiTheme="minorHAnsi" w:hAnsiTheme="minorHAnsi" w:cstheme="minorHAnsi"/>
                <w:sz w:val="22"/>
                <w:szCs w:val="22"/>
              </w:rPr>
              <w:t>or option B</w:t>
            </w:r>
            <w:r>
              <w:rPr>
                <w:rFonts w:asciiTheme="minorHAnsi" w:eastAsia="SimSun" w:hAnsiTheme="minorHAnsi" w:cstheme="minorHAnsi"/>
                <w:sz w:val="22"/>
                <w:szCs w:val="22"/>
                <w:lang w:val="en-US" w:eastAsia="zh-CN"/>
              </w:rPr>
              <w:t>, I</w:t>
            </w:r>
            <w:r>
              <w:rPr>
                <w:rFonts w:asciiTheme="minorHAnsi" w:hAnsiTheme="minorHAnsi" w:cstheme="minorHAnsi"/>
                <w:sz w:val="22"/>
                <w:szCs w:val="22"/>
              </w:rPr>
              <w:t xml:space="preserve">t is possible that  </w:t>
            </w:r>
            <w:r>
              <w:rPr>
                <w:rFonts w:ascii="Calibri" w:hAnsi="Calibri" w:cs="Calibri"/>
                <w:i/>
                <w:iCs/>
                <w:sz w:val="22"/>
                <w:lang w:val="en-US" w:eastAsia="zh-CN"/>
              </w:rPr>
              <w:t>S</w:t>
            </w:r>
            <w:r>
              <w:rPr>
                <w:rFonts w:ascii="Calibri" w:hAnsi="Calibri" w:cs="Calibri"/>
                <w:i/>
                <w:iCs/>
                <w:sz w:val="22"/>
                <w:vertAlign w:val="subscript"/>
                <w:lang w:val="en-US" w:eastAsia="zh-CN"/>
              </w:rPr>
              <w:t>A</w:t>
            </w:r>
            <w:r>
              <w:rPr>
                <w:rFonts w:asciiTheme="minorHAnsi" w:hAnsiTheme="minorHAnsi" w:cstheme="minorHAnsi"/>
                <w:sz w:val="22"/>
                <w:szCs w:val="22"/>
                <w:lang w:val="en-US"/>
              </w:rPr>
              <w:t xml:space="preserve"> </w:t>
            </w:r>
            <w:r>
              <w:rPr>
                <w:rFonts w:asciiTheme="minorHAnsi" w:eastAsia="SimSun" w:hAnsiTheme="minorHAnsi" w:cstheme="minorHAnsi"/>
                <w:sz w:val="22"/>
                <w:szCs w:val="22"/>
                <w:lang w:val="en-US" w:eastAsia="zh-CN"/>
              </w:rPr>
              <w:t xml:space="preserve">reported by PHY layer </w:t>
            </w:r>
            <w:r>
              <w:rPr>
                <w:rFonts w:asciiTheme="minorHAnsi" w:hAnsiTheme="minorHAnsi" w:cstheme="minorHAnsi"/>
                <w:sz w:val="22"/>
                <w:szCs w:val="22"/>
              </w:rPr>
              <w:t>do</w:t>
            </w:r>
            <w:r>
              <w:rPr>
                <w:rFonts w:asciiTheme="minorHAnsi" w:eastAsia="SimSun" w:hAnsiTheme="minorHAnsi" w:cstheme="minorHAnsi"/>
                <w:sz w:val="22"/>
                <w:szCs w:val="22"/>
                <w:lang w:val="en-US" w:eastAsia="zh-CN"/>
              </w:rPr>
              <w:t>es</w:t>
            </w:r>
            <w:r>
              <w:rPr>
                <w:rFonts w:asciiTheme="minorHAnsi" w:hAnsiTheme="minorHAnsi" w:cstheme="minorHAnsi"/>
                <w:sz w:val="22"/>
                <w:szCs w:val="22"/>
              </w:rPr>
              <w:t xml:space="preserve">n’t </w:t>
            </w:r>
            <w:r>
              <w:rPr>
                <w:rFonts w:asciiTheme="minorHAnsi" w:eastAsia="SimSun" w:hAnsiTheme="minorHAnsi" w:cstheme="minorHAnsi"/>
                <w:sz w:val="22"/>
                <w:szCs w:val="22"/>
                <w:lang w:val="en-US" w:eastAsia="zh-CN"/>
              </w:rPr>
              <w:t xml:space="preserve">contain any </w:t>
            </w:r>
            <w:r>
              <w:rPr>
                <w:rFonts w:asciiTheme="minorHAnsi" w:hAnsiTheme="minorHAnsi" w:cstheme="minorHAnsi"/>
                <w:sz w:val="22"/>
                <w:szCs w:val="22"/>
              </w:rPr>
              <w:t>muti-consec</w:t>
            </w:r>
            <w:r>
              <w:rPr>
                <w:rFonts w:asciiTheme="minorHAnsi" w:eastAsia="SimSun" w:hAnsiTheme="minorHAnsi" w:cstheme="minorHAnsi"/>
                <w:sz w:val="22"/>
                <w:szCs w:val="22"/>
                <w:lang w:val="en-US" w:eastAsia="zh-CN"/>
              </w:rPr>
              <w:t>u</w:t>
            </w:r>
            <w:r>
              <w:rPr>
                <w:rFonts w:asciiTheme="minorHAnsi" w:hAnsiTheme="minorHAnsi" w:cstheme="minorHAnsi"/>
                <w:sz w:val="22"/>
                <w:szCs w:val="22"/>
              </w:rPr>
              <w:t>tive slots resource</w:t>
            </w:r>
            <w:r>
              <w:rPr>
                <w:rFonts w:asciiTheme="minorHAnsi" w:eastAsia="SimSun" w:hAnsiTheme="minorHAnsi" w:cstheme="minorHAnsi"/>
                <w:sz w:val="22"/>
                <w:szCs w:val="22"/>
                <w:lang w:val="en-US" w:eastAsia="zh-CN"/>
              </w:rPr>
              <w:t>.</w:t>
            </w:r>
          </w:p>
        </w:tc>
      </w:tr>
      <w:tr w:rsidR="00335DBF" w14:paraId="662F865E" w14:textId="77777777" w:rsidTr="006B2419">
        <w:tc>
          <w:tcPr>
            <w:tcW w:w="1555" w:type="dxa"/>
          </w:tcPr>
          <w:p w14:paraId="2EBB9309" w14:textId="77777777" w:rsidR="00335DBF" w:rsidRDefault="00335DBF" w:rsidP="00335DBF">
            <w:pPr>
              <w:pStyle w:val="0Maintext"/>
              <w:spacing w:after="0" w:afterAutospacing="0" w:line="240" w:lineRule="auto"/>
              <w:ind w:firstLine="0"/>
              <w:rPr>
                <w:rFonts w:eastAsiaTheme="minorEastAsia"/>
                <w:lang w:eastAsia="zh-CN"/>
              </w:rPr>
            </w:pPr>
            <w:r>
              <w:rPr>
                <w:rFonts w:eastAsiaTheme="minorEastAsia" w:hint="eastAsia"/>
                <w:lang w:eastAsia="zh-CN"/>
              </w:rPr>
              <w:t>C</w:t>
            </w:r>
            <w:r>
              <w:rPr>
                <w:rFonts w:eastAsiaTheme="minorEastAsia"/>
                <w:lang w:eastAsia="zh-CN"/>
              </w:rPr>
              <w:t>ATT/GH</w:t>
            </w:r>
          </w:p>
        </w:tc>
        <w:tc>
          <w:tcPr>
            <w:tcW w:w="8076" w:type="dxa"/>
          </w:tcPr>
          <w:p w14:paraId="6D04916A" w14:textId="77777777" w:rsidR="00335DBF" w:rsidRDefault="00335DBF" w:rsidP="00335DBF">
            <w:pPr>
              <w:pStyle w:val="0Maintext"/>
              <w:spacing w:after="0" w:afterAutospacing="0" w:line="240" w:lineRule="auto"/>
              <w:ind w:firstLine="0"/>
              <w:rPr>
                <w:rFonts w:eastAsiaTheme="minorEastAsia"/>
                <w:lang w:eastAsia="zh-CN"/>
              </w:rPr>
            </w:pPr>
            <w:r>
              <w:rPr>
                <w:rFonts w:eastAsiaTheme="minorEastAsia" w:hint="eastAsia"/>
                <w:lang w:eastAsia="zh-CN"/>
              </w:rPr>
              <w:t>F</w:t>
            </w:r>
            <w:r>
              <w:rPr>
                <w:rFonts w:eastAsiaTheme="minorEastAsia"/>
                <w:lang w:eastAsia="zh-CN"/>
              </w:rPr>
              <w:t>or the first main bullet, we support option 1. In our view, the motivation of providing multiple sets of parameters to L1 is unclear. Legacy R16 procedure can support MCSt.</w:t>
            </w:r>
          </w:p>
          <w:p w14:paraId="634B84D8" w14:textId="77777777" w:rsidR="00335DBF" w:rsidRDefault="00335DBF" w:rsidP="00335DBF">
            <w:pPr>
              <w:pStyle w:val="0Maintext"/>
              <w:spacing w:after="0" w:afterAutospacing="0" w:line="240" w:lineRule="auto"/>
              <w:ind w:firstLine="0"/>
              <w:rPr>
                <w:rFonts w:eastAsiaTheme="minorEastAsia"/>
                <w:lang w:eastAsia="zh-CN"/>
              </w:rPr>
            </w:pPr>
            <w:r>
              <w:rPr>
                <w:rFonts w:eastAsiaTheme="minorEastAsia"/>
                <w:lang w:eastAsia="zh-CN"/>
              </w:rPr>
              <w:t>For the second main bullet, both option A and option B seem reasonable and can be considered as a candidate solution.</w:t>
            </w:r>
          </w:p>
          <w:p w14:paraId="63343DB0" w14:textId="77777777" w:rsidR="00335DBF" w:rsidRDefault="00335DBF" w:rsidP="00335DBF">
            <w:pPr>
              <w:tabs>
                <w:tab w:val="left" w:pos="2160"/>
              </w:tabs>
              <w:autoSpaceDE w:val="0"/>
              <w:autoSpaceDN w:val="0"/>
              <w:jc w:val="both"/>
              <w:rPr>
                <w:rFonts w:asciiTheme="minorHAnsi" w:hAnsiTheme="minorHAnsi" w:cstheme="minorHAnsi"/>
                <w:sz w:val="22"/>
                <w:szCs w:val="22"/>
              </w:rPr>
            </w:pPr>
            <w:r>
              <w:rPr>
                <w:rFonts w:eastAsiaTheme="minorEastAsia"/>
                <w:lang w:eastAsia="zh-CN"/>
              </w:rPr>
              <w:t>We can also accept to live the proposal as it is for further down-selection in later meetings.</w:t>
            </w:r>
          </w:p>
        </w:tc>
      </w:tr>
      <w:tr w:rsidR="00335DBF" w14:paraId="63E48B34" w14:textId="77777777" w:rsidTr="006B2419">
        <w:tc>
          <w:tcPr>
            <w:tcW w:w="1555" w:type="dxa"/>
          </w:tcPr>
          <w:p w14:paraId="4842A089" w14:textId="77777777" w:rsidR="00335DBF" w:rsidRDefault="00335DBF" w:rsidP="00335DBF">
            <w:pPr>
              <w:pStyle w:val="0Maintext"/>
              <w:spacing w:after="0" w:afterAutospacing="0" w:line="240" w:lineRule="auto"/>
              <w:ind w:firstLine="0"/>
              <w:rPr>
                <w:rFonts w:eastAsiaTheme="minorEastAsia"/>
                <w:lang w:eastAsia="zh-CN"/>
              </w:rPr>
            </w:pPr>
            <w:r>
              <w:rPr>
                <w:rFonts w:eastAsiaTheme="minorEastAsia" w:hint="eastAsia"/>
                <w:lang w:eastAsia="zh-CN"/>
              </w:rPr>
              <w:t>ZTE,Sanechips</w:t>
            </w:r>
          </w:p>
        </w:tc>
        <w:tc>
          <w:tcPr>
            <w:tcW w:w="8076" w:type="dxa"/>
          </w:tcPr>
          <w:p w14:paraId="3F15802F" w14:textId="77777777" w:rsidR="00335DBF" w:rsidRDefault="00335DBF" w:rsidP="00335DBF">
            <w:pPr>
              <w:pStyle w:val="0Maintext"/>
              <w:spacing w:after="0" w:afterAutospacing="0" w:line="240" w:lineRule="auto"/>
              <w:ind w:firstLine="0"/>
              <w:rPr>
                <w:rFonts w:ascii="Calibri" w:eastAsiaTheme="minorEastAsia" w:hAnsi="Calibri" w:cs="Calibri"/>
                <w:sz w:val="22"/>
                <w:lang w:val="en-US" w:eastAsia="zh-CN"/>
              </w:rPr>
            </w:pPr>
            <w:r>
              <w:rPr>
                <w:rFonts w:eastAsiaTheme="minorEastAsia" w:hint="eastAsia"/>
                <w:lang w:eastAsia="zh-CN"/>
              </w:rPr>
              <w:t xml:space="preserve">Option 1 preferred, multiple TBs may share the same set of </w:t>
            </w:r>
            <w:r>
              <w:rPr>
                <w:rFonts w:ascii="Calibri" w:hAnsi="Calibri" w:cs="Calibri" w:hint="eastAsia"/>
                <w:sz w:val="22"/>
                <w:lang w:val="en-US" w:eastAsia="zh-CN"/>
              </w:rPr>
              <w:t xml:space="preserve"> (</w:t>
            </w:r>
            <m:oMath>
              <m:r>
                <w:rPr>
                  <w:rFonts w:ascii="Cambria Math" w:hAnsi="Cambria Math" w:cs="Calibri"/>
                  <w:sz w:val="22"/>
                  <w:lang w:val="en-US" w:eastAsia="zh-CN"/>
                </w:rPr>
                <m:t>pri</m:t>
              </m:r>
              <m:sSub>
                <m:sSubPr>
                  <m:ctrlPr>
                    <w:rPr>
                      <w:rFonts w:ascii="Cambria Math" w:hAnsi="Cambria Math" w:cs="Calibri"/>
                      <w:i/>
                      <w:iCs/>
                      <w:sz w:val="22"/>
                      <w:lang w:val="en-US" w:eastAsia="zh-CN"/>
                    </w:rPr>
                  </m:ctrlPr>
                </m:sSubPr>
                <m:e>
                  <m:r>
                    <w:rPr>
                      <w:rFonts w:ascii="Cambria Math" w:hAnsi="Cambria Math" w:cs="Calibri"/>
                      <w:sz w:val="22"/>
                      <w:lang w:val="en-US" w:eastAsia="zh-CN"/>
                    </w:rPr>
                    <m:t>o</m:t>
                  </m:r>
                </m:e>
                <m:sub>
                  <m:r>
                    <w:rPr>
                      <w:rFonts w:ascii="Cambria Math" w:hAnsi="Cambria Math" w:cs="Calibri"/>
                      <w:sz w:val="22"/>
                      <w:lang w:val="en-US" w:eastAsia="zh-CN"/>
                    </w:rPr>
                    <m:t>TX</m:t>
                  </m:r>
                </m:sub>
              </m:sSub>
            </m:oMath>
            <w:r>
              <w:rPr>
                <w:rFonts w:ascii="Calibri" w:hAnsi="Calibri" w:cs="Calibri" w:hint="eastAsia"/>
                <w:sz w:val="22"/>
                <w:lang w:val="en-US" w:eastAsia="zh-CN"/>
              </w:rPr>
              <w:t xml:space="preserve">, remaining PDB, </w:t>
            </w:r>
            <m:oMath>
              <m:sSub>
                <m:sSubPr>
                  <m:ctrlPr>
                    <w:rPr>
                      <w:rFonts w:ascii="Cambria Math" w:hAnsi="Cambria Math" w:cs="Calibri"/>
                      <w:i/>
                      <w:iCs/>
                      <w:sz w:val="22"/>
                      <w:lang w:val="en-US" w:eastAsia="zh-CN"/>
                    </w:rPr>
                  </m:ctrlPr>
                </m:sSubPr>
                <m:e>
                  <m:r>
                    <w:rPr>
                      <w:rFonts w:ascii="Cambria Math" w:hAnsi="Cambria Math" w:cs="Calibri"/>
                      <w:sz w:val="22"/>
                      <w:lang w:val="en-US" w:eastAsia="zh-CN"/>
                    </w:rPr>
                    <m:t>L</m:t>
                  </m:r>
                </m:e>
                <m:sub>
                  <m:r>
                    <m:rPr>
                      <m:nor/>
                    </m:rPr>
                    <w:rPr>
                      <w:rFonts w:ascii="Calibri" w:hAnsi="Calibri" w:cs="Calibri"/>
                      <w:sz w:val="22"/>
                      <w:lang w:val="en-US" w:eastAsia="zh-CN"/>
                    </w:rPr>
                    <m:t>subCH</m:t>
                  </m:r>
                </m:sub>
              </m:sSub>
            </m:oMath>
            <w:r>
              <w:rPr>
                <w:rFonts w:ascii="Calibri" w:hAnsi="Calibri" w:cs="Calibri" w:hint="eastAsia"/>
                <w:sz w:val="22"/>
                <w:lang w:val="en-US" w:eastAsia="zh-CN"/>
              </w:rPr>
              <w:t xml:space="preserve"> and </w:t>
            </w:r>
            <m:oMath>
              <m:sSub>
                <m:sSubPr>
                  <m:ctrlPr>
                    <w:rPr>
                      <w:rFonts w:ascii="Cambria Math" w:hAnsi="Cambria Math" w:cs="Calibri"/>
                      <w:i/>
                      <w:iCs/>
                      <w:sz w:val="22"/>
                      <w:lang w:val="en-US" w:eastAsia="zh-CN"/>
                    </w:rPr>
                  </m:ctrlPr>
                </m:sSubPr>
                <m:e>
                  <m:r>
                    <w:rPr>
                      <w:rFonts w:ascii="Cambria Math" w:hAnsi="Cambria Math" w:cs="Calibri"/>
                      <w:sz w:val="22"/>
                      <w:lang w:val="en-US" w:eastAsia="zh-CN"/>
                    </w:rPr>
                    <m:t>P</m:t>
                  </m:r>
                </m:e>
                <m:sub>
                  <m:r>
                    <m:rPr>
                      <m:nor/>
                    </m:rPr>
                    <w:rPr>
                      <w:rFonts w:ascii="Calibri" w:hAnsi="Calibri" w:cs="Calibri" w:hint="eastAsia"/>
                      <w:sz w:val="22"/>
                      <w:lang w:val="en-US" w:eastAsia="zh-CN"/>
                    </w:rPr>
                    <m:t>rsvp_TX</m:t>
                  </m:r>
                </m:sub>
              </m:sSub>
            </m:oMath>
            <w:r>
              <w:rPr>
                <w:rFonts w:ascii="Calibri" w:hAnsi="Calibri" w:cs="Calibri" w:hint="eastAsia"/>
                <w:sz w:val="22"/>
                <w:lang w:val="en-US" w:eastAsia="zh-CN"/>
              </w:rPr>
              <w:t>)</w:t>
            </w:r>
            <w:r>
              <w:rPr>
                <w:rFonts w:ascii="Calibri" w:eastAsiaTheme="minorEastAsia" w:hAnsi="Calibri" w:cs="Calibri" w:hint="eastAsia"/>
                <w:sz w:val="22"/>
                <w:lang w:val="en-US" w:eastAsia="zh-CN"/>
              </w:rPr>
              <w:t xml:space="preserve">, in this case, triggering the procedure one time is also OK. Thus the words in </w:t>
            </w:r>
            <w:r>
              <w:rPr>
                <w:rFonts w:ascii="Calibri" w:eastAsiaTheme="minorEastAsia" w:hAnsi="Calibri" w:cs="Calibri"/>
                <w:sz w:val="22"/>
                <w:lang w:val="en-US" w:eastAsia="zh-CN"/>
              </w:rPr>
              <w:t>parentheses</w:t>
            </w:r>
            <w:r>
              <w:rPr>
                <w:rFonts w:ascii="Calibri" w:eastAsiaTheme="minorEastAsia" w:hAnsi="Calibri" w:cs="Calibri" w:hint="eastAsia"/>
                <w:sz w:val="22"/>
                <w:lang w:val="en-US" w:eastAsia="zh-CN"/>
              </w:rPr>
              <w:t xml:space="preserve"> in the note is not needed or can be revised into the following.</w:t>
            </w:r>
          </w:p>
          <w:p w14:paraId="36E371CD" w14:textId="77777777" w:rsidR="00335DBF" w:rsidRDefault="00335DBF" w:rsidP="00335DBF">
            <w:pPr>
              <w:numPr>
                <w:ilvl w:val="1"/>
                <w:numId w:val="27"/>
              </w:numPr>
              <w:autoSpaceDE w:val="0"/>
              <w:autoSpaceDN w:val="0"/>
              <w:jc w:val="both"/>
              <w:rPr>
                <w:rFonts w:ascii="Calibri" w:hAnsi="Calibri" w:cs="Calibri"/>
                <w:sz w:val="22"/>
                <w:lang w:val="en-US" w:eastAsia="zh-CN"/>
              </w:rPr>
            </w:pPr>
            <w:r>
              <w:rPr>
                <w:rFonts w:ascii="Calibri" w:hAnsi="Calibri" w:cs="Calibri" w:hint="eastAsia"/>
                <w:sz w:val="22"/>
                <w:lang w:val="en-US" w:eastAsia="zh-CN"/>
              </w:rPr>
              <w:t>Option 1: Only one set of parameters (</w:t>
            </w:r>
            <m:oMath>
              <m:r>
                <w:rPr>
                  <w:rFonts w:ascii="Cambria Math" w:hAnsi="Cambria Math" w:cs="Calibri"/>
                  <w:sz w:val="22"/>
                  <w:lang w:val="en-US" w:eastAsia="zh-CN"/>
                </w:rPr>
                <m:t>pri</m:t>
              </m:r>
              <m:sSub>
                <m:sSubPr>
                  <m:ctrlPr>
                    <w:rPr>
                      <w:rFonts w:ascii="Cambria Math" w:hAnsi="Cambria Math" w:cs="Calibri"/>
                      <w:i/>
                      <w:iCs/>
                      <w:sz w:val="22"/>
                      <w:lang w:val="en-US" w:eastAsia="zh-CN"/>
                    </w:rPr>
                  </m:ctrlPr>
                </m:sSubPr>
                <m:e>
                  <m:r>
                    <w:rPr>
                      <w:rFonts w:ascii="Cambria Math" w:hAnsi="Cambria Math" w:cs="Calibri"/>
                      <w:sz w:val="22"/>
                      <w:lang w:val="en-US" w:eastAsia="zh-CN"/>
                    </w:rPr>
                    <m:t>o</m:t>
                  </m:r>
                </m:e>
                <m:sub>
                  <m:r>
                    <w:rPr>
                      <w:rFonts w:ascii="Cambria Math" w:hAnsi="Cambria Math" w:cs="Calibri"/>
                      <w:sz w:val="22"/>
                      <w:lang w:val="en-US" w:eastAsia="zh-CN"/>
                    </w:rPr>
                    <m:t>TX</m:t>
                  </m:r>
                </m:sub>
              </m:sSub>
            </m:oMath>
            <w:r>
              <w:rPr>
                <w:rFonts w:ascii="Calibri" w:hAnsi="Calibri" w:cs="Calibri" w:hint="eastAsia"/>
                <w:sz w:val="22"/>
                <w:lang w:val="en-US" w:eastAsia="zh-CN"/>
              </w:rPr>
              <w:t xml:space="preserve">, remaining PDB, </w:t>
            </w:r>
            <m:oMath>
              <m:sSub>
                <m:sSubPr>
                  <m:ctrlPr>
                    <w:rPr>
                      <w:rFonts w:ascii="Cambria Math" w:hAnsi="Cambria Math" w:cs="Calibri"/>
                      <w:i/>
                      <w:iCs/>
                      <w:sz w:val="22"/>
                      <w:lang w:val="en-US" w:eastAsia="zh-CN"/>
                    </w:rPr>
                  </m:ctrlPr>
                </m:sSubPr>
                <m:e>
                  <m:r>
                    <w:rPr>
                      <w:rFonts w:ascii="Cambria Math" w:hAnsi="Cambria Math" w:cs="Calibri"/>
                      <w:sz w:val="22"/>
                      <w:lang w:val="en-US" w:eastAsia="zh-CN"/>
                    </w:rPr>
                    <m:t>L</m:t>
                  </m:r>
                </m:e>
                <m:sub>
                  <m:r>
                    <m:rPr>
                      <m:nor/>
                    </m:rPr>
                    <w:rPr>
                      <w:rFonts w:ascii="Calibri" w:hAnsi="Calibri" w:cs="Calibri"/>
                      <w:sz w:val="22"/>
                      <w:lang w:val="en-US" w:eastAsia="zh-CN"/>
                    </w:rPr>
                    <m:t>subCH</m:t>
                  </m:r>
                </m:sub>
              </m:sSub>
            </m:oMath>
            <w:r>
              <w:rPr>
                <w:rFonts w:ascii="Calibri" w:hAnsi="Calibri" w:cs="Calibri" w:hint="eastAsia"/>
                <w:sz w:val="22"/>
                <w:lang w:val="en-US" w:eastAsia="zh-CN"/>
              </w:rPr>
              <w:t xml:space="preserve"> and </w:t>
            </w:r>
            <m:oMath>
              <m:sSub>
                <m:sSubPr>
                  <m:ctrlPr>
                    <w:rPr>
                      <w:rFonts w:ascii="Cambria Math" w:hAnsi="Cambria Math" w:cs="Calibri"/>
                      <w:i/>
                      <w:iCs/>
                      <w:sz w:val="22"/>
                      <w:lang w:val="en-US" w:eastAsia="zh-CN"/>
                    </w:rPr>
                  </m:ctrlPr>
                </m:sSubPr>
                <m:e>
                  <m:r>
                    <w:rPr>
                      <w:rFonts w:ascii="Cambria Math" w:hAnsi="Cambria Math" w:cs="Calibri"/>
                      <w:sz w:val="22"/>
                      <w:lang w:val="en-US" w:eastAsia="zh-CN"/>
                    </w:rPr>
                    <m:t>P</m:t>
                  </m:r>
                </m:e>
                <m:sub>
                  <m:r>
                    <m:rPr>
                      <m:nor/>
                    </m:rPr>
                    <w:rPr>
                      <w:rFonts w:ascii="Calibri" w:hAnsi="Calibri" w:cs="Calibri" w:hint="eastAsia"/>
                      <w:sz w:val="22"/>
                      <w:lang w:val="en-US" w:eastAsia="zh-CN"/>
                    </w:rPr>
                    <m:t>rsvp_TX</m:t>
                  </m:r>
                </m:sub>
              </m:sSub>
            </m:oMath>
            <w:r>
              <w:rPr>
                <w:rFonts w:ascii="Calibri" w:hAnsi="Calibri" w:cs="Calibri" w:hint="eastAsia"/>
                <w:sz w:val="22"/>
                <w:lang w:val="en-US" w:eastAsia="zh-CN"/>
              </w:rPr>
              <w:t>) is provided for the resource selection procedure in L1 (same as Rel-16)</w:t>
            </w:r>
          </w:p>
          <w:p w14:paraId="4E91A06F" w14:textId="77777777" w:rsidR="00335DBF" w:rsidRDefault="00335DBF" w:rsidP="00335DBF">
            <w:pPr>
              <w:numPr>
                <w:ilvl w:val="2"/>
                <w:numId w:val="27"/>
              </w:numPr>
              <w:tabs>
                <w:tab w:val="left" w:pos="2160"/>
              </w:tabs>
              <w:autoSpaceDE w:val="0"/>
              <w:autoSpaceDN w:val="0"/>
              <w:jc w:val="both"/>
              <w:rPr>
                <w:rFonts w:ascii="Calibri" w:hAnsi="Calibri" w:cs="Calibri"/>
                <w:sz w:val="22"/>
                <w:lang w:val="en-US" w:eastAsia="zh-CN"/>
              </w:rPr>
            </w:pPr>
            <w:r>
              <w:rPr>
                <w:rFonts w:ascii="Calibri" w:hAnsi="Calibri" w:cs="Calibri" w:hint="eastAsia"/>
                <w:sz w:val="22"/>
                <w:lang w:val="en-US" w:eastAsia="zh-CN"/>
              </w:rPr>
              <w:t>Note, this is applicable for transmission of a single TB and multiple TBs</w:t>
            </w:r>
            <w:r>
              <w:rPr>
                <w:rFonts w:ascii="Calibri" w:hAnsi="Calibri" w:cs="Calibri" w:hint="eastAsia"/>
                <w:strike/>
                <w:sz w:val="22"/>
                <w:lang w:val="en-US" w:eastAsia="zh-CN"/>
              </w:rPr>
              <w:t xml:space="preserve"> </w:t>
            </w:r>
            <w:r>
              <w:rPr>
                <w:rFonts w:ascii="Calibri" w:hAnsi="Calibri" w:cs="Calibri" w:hint="eastAsia"/>
                <w:strike/>
                <w:sz w:val="22"/>
                <w:highlight w:val="yellow"/>
                <w:lang w:val="en-US" w:eastAsia="zh-CN"/>
              </w:rPr>
              <w:t>(by triggering this procedure multiple times)</w:t>
            </w:r>
          </w:p>
          <w:p w14:paraId="43C4AFCB" w14:textId="77777777" w:rsidR="00335DBF" w:rsidRDefault="00335DBF" w:rsidP="00335DBF">
            <w:pPr>
              <w:pStyle w:val="0Maintext"/>
              <w:spacing w:after="0" w:afterAutospacing="0" w:line="240" w:lineRule="auto"/>
              <w:ind w:firstLine="0"/>
              <w:rPr>
                <w:rFonts w:eastAsiaTheme="minorEastAsia"/>
                <w:lang w:val="en-US" w:eastAsia="zh-CN"/>
              </w:rPr>
            </w:pPr>
          </w:p>
          <w:p w14:paraId="6B98E70B" w14:textId="77777777" w:rsidR="00335DBF" w:rsidRDefault="00335DBF" w:rsidP="00335DBF">
            <w:pPr>
              <w:pStyle w:val="0Maintext"/>
              <w:spacing w:after="0" w:afterAutospacing="0" w:line="240" w:lineRule="auto"/>
              <w:ind w:firstLine="0"/>
              <w:rPr>
                <w:rFonts w:eastAsiaTheme="minorEastAsia"/>
                <w:lang w:eastAsia="zh-CN"/>
              </w:rPr>
            </w:pPr>
            <w:r>
              <w:rPr>
                <w:rFonts w:eastAsiaTheme="minorEastAsia" w:hint="eastAsia"/>
                <w:lang w:eastAsia="zh-CN"/>
              </w:rPr>
              <w:t>Option A guarantees the multi slot consecutive resources can be selected by MAC when needed. Option B may not work if the set A reported does not have consecutive slots in the first place.</w:t>
            </w:r>
          </w:p>
        </w:tc>
      </w:tr>
      <w:tr w:rsidR="00335DBF" w14:paraId="528A4344" w14:textId="77777777" w:rsidTr="006B2419">
        <w:tc>
          <w:tcPr>
            <w:tcW w:w="1555" w:type="dxa"/>
          </w:tcPr>
          <w:p w14:paraId="51BD2D9F" w14:textId="77777777" w:rsidR="00335DBF" w:rsidRDefault="00335DBF" w:rsidP="00335DBF">
            <w:pPr>
              <w:pStyle w:val="0Maintext"/>
              <w:spacing w:after="0" w:afterAutospacing="0" w:line="240" w:lineRule="auto"/>
              <w:ind w:firstLine="0"/>
              <w:rPr>
                <w:rFonts w:eastAsia="MS Mincho"/>
                <w:lang w:eastAsia="ja-JP"/>
              </w:rPr>
            </w:pPr>
            <w:r>
              <w:rPr>
                <w:rFonts w:eastAsiaTheme="minorEastAsia" w:hint="eastAsia"/>
                <w:lang w:eastAsia="zh-CN"/>
              </w:rPr>
              <w:t>Sharp</w:t>
            </w:r>
          </w:p>
        </w:tc>
        <w:tc>
          <w:tcPr>
            <w:tcW w:w="8076" w:type="dxa"/>
          </w:tcPr>
          <w:p w14:paraId="618BFD88" w14:textId="77777777" w:rsidR="00335DBF" w:rsidRDefault="00335DBF" w:rsidP="00335DBF">
            <w:pPr>
              <w:pStyle w:val="0Maintext"/>
              <w:spacing w:after="0" w:afterAutospacing="0" w:line="240" w:lineRule="auto"/>
              <w:ind w:firstLine="0"/>
              <w:rPr>
                <w:rFonts w:eastAsia="MS Mincho"/>
                <w:lang w:eastAsia="ja-JP"/>
              </w:rPr>
            </w:pPr>
            <w:r>
              <w:rPr>
                <w:rFonts w:eastAsiaTheme="minorEastAsia"/>
                <w:lang w:eastAsia="zh-CN"/>
              </w:rPr>
              <w:t>W</w:t>
            </w:r>
            <w:r>
              <w:rPr>
                <w:rFonts w:eastAsiaTheme="minorEastAsia" w:hint="eastAsia"/>
                <w:lang w:eastAsia="zh-CN"/>
              </w:rPr>
              <w:t>e support Option 1 in the first bullet and Option B in the second bullet.</w:t>
            </w:r>
          </w:p>
        </w:tc>
      </w:tr>
      <w:tr w:rsidR="00335DBF" w14:paraId="4E72366C" w14:textId="77777777" w:rsidTr="006B2419">
        <w:tc>
          <w:tcPr>
            <w:tcW w:w="1555" w:type="dxa"/>
          </w:tcPr>
          <w:p w14:paraId="1D436105" w14:textId="77777777" w:rsidR="00335DBF" w:rsidRDefault="00335DBF" w:rsidP="00335DBF">
            <w:pPr>
              <w:pStyle w:val="0Maintext"/>
              <w:spacing w:after="0" w:afterAutospacing="0" w:line="240" w:lineRule="auto"/>
              <w:ind w:firstLine="0"/>
              <w:rPr>
                <w:rFonts w:eastAsiaTheme="minorEastAsia"/>
                <w:lang w:eastAsia="zh-CN"/>
              </w:rPr>
            </w:pPr>
            <w:r>
              <w:rPr>
                <w:rFonts w:eastAsiaTheme="minorEastAsia" w:hint="eastAsia"/>
                <w:lang w:val="en-US" w:eastAsia="zh-CN"/>
              </w:rPr>
              <w:t>Transsion</w:t>
            </w:r>
          </w:p>
        </w:tc>
        <w:tc>
          <w:tcPr>
            <w:tcW w:w="8076" w:type="dxa"/>
          </w:tcPr>
          <w:p w14:paraId="3CEDC413" w14:textId="77777777" w:rsidR="00335DBF" w:rsidRDefault="00335DBF" w:rsidP="00335DBF">
            <w:pPr>
              <w:pStyle w:val="0Maintext"/>
              <w:spacing w:after="0" w:afterAutospacing="0" w:line="240" w:lineRule="auto"/>
              <w:ind w:firstLine="0"/>
              <w:rPr>
                <w:rFonts w:eastAsiaTheme="minorEastAsia"/>
                <w:sz w:val="21"/>
                <w:szCs w:val="21"/>
                <w:lang w:val="en-US" w:eastAsia="zh-CN"/>
              </w:rPr>
            </w:pPr>
            <w:r>
              <w:rPr>
                <w:rFonts w:eastAsiaTheme="minorEastAsia" w:hint="eastAsia"/>
                <w:sz w:val="21"/>
                <w:szCs w:val="21"/>
                <w:lang w:val="en-US" w:eastAsia="zh-CN"/>
              </w:rPr>
              <w:t>We support option 1 and option A.</w:t>
            </w:r>
          </w:p>
          <w:p w14:paraId="0887DCC8" w14:textId="77777777" w:rsidR="00335DBF" w:rsidRDefault="00335DBF" w:rsidP="00335DBF">
            <w:pPr>
              <w:pStyle w:val="0Maintext"/>
              <w:spacing w:after="0" w:afterAutospacing="0" w:line="240" w:lineRule="auto"/>
              <w:ind w:firstLine="0"/>
              <w:rPr>
                <w:rFonts w:eastAsiaTheme="minorEastAsia"/>
                <w:sz w:val="21"/>
                <w:szCs w:val="21"/>
                <w:lang w:val="en-US" w:eastAsia="zh-CN"/>
              </w:rPr>
            </w:pPr>
            <w:r>
              <w:rPr>
                <w:rFonts w:eastAsiaTheme="minorEastAsia" w:hint="eastAsia"/>
                <w:sz w:val="21"/>
                <w:szCs w:val="21"/>
                <w:lang w:val="en-US" w:eastAsia="zh-CN"/>
              </w:rPr>
              <w:t xml:space="preserve">However, if a subset of candidate resources in different slots are located in different RB sets, and the higher levels select candidate resources in different slots to be located in different RB sets. Then the shared channel may be lost and the benefits of MCSt are lost. Therefore, we suggest to restrict the different subsets of candidate resources to one RB set. </w:t>
            </w:r>
          </w:p>
          <w:p w14:paraId="5F2D89E5" w14:textId="77777777" w:rsidR="00335DBF" w:rsidRDefault="00335DBF" w:rsidP="00335DBF">
            <w:pPr>
              <w:autoSpaceDE w:val="0"/>
              <w:autoSpaceDN w:val="0"/>
              <w:jc w:val="both"/>
              <w:rPr>
                <w:rFonts w:ascii="Calibri" w:hAnsi="Calibri" w:cs="Calibri"/>
                <w:sz w:val="22"/>
              </w:rPr>
            </w:pPr>
            <w:r>
              <w:rPr>
                <w:rFonts w:ascii="Calibri" w:hAnsi="Calibri" w:cs="Calibri"/>
                <w:b/>
                <w:bCs/>
                <w:sz w:val="22"/>
                <w:highlight w:val="yellow"/>
              </w:rPr>
              <w:t>Proposal 7 (I):</w:t>
            </w:r>
            <w:r>
              <w:rPr>
                <w:rFonts w:ascii="Calibri" w:hAnsi="Calibri" w:cs="Calibri"/>
                <w:sz w:val="22"/>
              </w:rPr>
              <w:t xml:space="preserve"> </w:t>
            </w:r>
          </w:p>
          <w:p w14:paraId="710FFA98" w14:textId="77777777" w:rsidR="00335DBF" w:rsidRDefault="00335DBF" w:rsidP="00335DBF">
            <w:pPr>
              <w:numPr>
                <w:ilvl w:val="0"/>
                <w:numId w:val="27"/>
              </w:numPr>
              <w:tabs>
                <w:tab w:val="left" w:pos="720"/>
              </w:tabs>
              <w:autoSpaceDE w:val="0"/>
              <w:autoSpaceDN w:val="0"/>
              <w:jc w:val="both"/>
              <w:rPr>
                <w:rFonts w:ascii="Calibri" w:hAnsi="Calibri" w:cs="Calibri"/>
                <w:sz w:val="22"/>
                <w:lang w:val="en-US" w:eastAsia="zh-CN"/>
              </w:rPr>
            </w:pPr>
            <w:r>
              <w:rPr>
                <w:rFonts w:ascii="Calibri" w:hAnsi="Calibri" w:cs="Calibri" w:hint="eastAsia"/>
                <w:sz w:val="22"/>
                <w:lang w:val="en-US" w:eastAsia="zh-CN"/>
              </w:rPr>
              <w:t xml:space="preserve">When L1 is triggered for reporting a subset of candidate resources </w:t>
            </w:r>
            <w:r>
              <w:rPr>
                <w:rFonts w:ascii="Calibri" w:hAnsi="Calibri" w:cs="Calibri" w:hint="eastAsia"/>
                <w:color w:val="FF0000"/>
                <w:sz w:val="22"/>
                <w:lang w:val="en-US" w:eastAsia="zh-CN"/>
              </w:rPr>
              <w:t>within one RB set</w:t>
            </w:r>
            <w:r>
              <w:rPr>
                <w:rFonts w:ascii="Calibri" w:hAnsi="Calibri" w:cs="Calibri" w:hint="eastAsia"/>
                <w:sz w:val="22"/>
                <w:lang w:val="en-US" w:eastAsia="zh-CN"/>
              </w:rPr>
              <w:t xml:space="preserve"> for MCSt,</w:t>
            </w:r>
          </w:p>
          <w:p w14:paraId="0D0D8259" w14:textId="77777777" w:rsidR="00335DBF" w:rsidRDefault="00335DBF" w:rsidP="00335DBF">
            <w:pPr>
              <w:autoSpaceDE w:val="0"/>
              <w:autoSpaceDN w:val="0"/>
              <w:ind w:left="1080"/>
              <w:jc w:val="both"/>
              <w:rPr>
                <w:rFonts w:ascii="Calibri" w:hAnsi="Calibri" w:cs="Calibri"/>
                <w:sz w:val="22"/>
                <w:lang w:val="en-US" w:eastAsia="zh-CN"/>
              </w:rPr>
            </w:pPr>
            <w:r>
              <w:rPr>
                <w:rFonts w:ascii="Calibri" w:hAnsi="Calibri" w:cs="Calibri" w:hint="eastAsia"/>
                <w:sz w:val="22"/>
                <w:lang w:val="en-US" w:eastAsia="zh-CN"/>
              </w:rPr>
              <w:t>......</w:t>
            </w:r>
          </w:p>
          <w:p w14:paraId="5A4E3DD0" w14:textId="77777777" w:rsidR="00335DBF" w:rsidRDefault="00335DBF" w:rsidP="00335DBF">
            <w:pPr>
              <w:numPr>
                <w:ilvl w:val="0"/>
                <w:numId w:val="27"/>
              </w:numPr>
              <w:tabs>
                <w:tab w:val="left" w:pos="720"/>
              </w:tabs>
              <w:autoSpaceDE w:val="0"/>
              <w:autoSpaceDN w:val="0"/>
              <w:jc w:val="both"/>
              <w:rPr>
                <w:rFonts w:ascii="Calibri" w:hAnsi="Calibri" w:cs="Calibri"/>
                <w:sz w:val="22"/>
                <w:lang w:val="en-US" w:eastAsia="zh-CN"/>
              </w:rPr>
            </w:pPr>
            <w:r>
              <w:rPr>
                <w:rFonts w:ascii="Calibri" w:hAnsi="Calibri" w:cs="Calibri" w:hint="eastAsia"/>
                <w:sz w:val="22"/>
                <w:lang w:val="en-US" w:eastAsia="zh-CN"/>
              </w:rPr>
              <w:t xml:space="preserve">When L1 reports a subset of candidate resources </w:t>
            </w:r>
            <w:r>
              <w:rPr>
                <w:rFonts w:ascii="Calibri" w:hAnsi="Calibri" w:cs="Calibri" w:hint="eastAsia"/>
                <w:color w:val="FF0000"/>
                <w:sz w:val="22"/>
                <w:lang w:val="en-US" w:eastAsia="zh-CN"/>
              </w:rPr>
              <w:t>within one RB set</w:t>
            </w:r>
            <w:r>
              <w:rPr>
                <w:rFonts w:ascii="Calibri" w:hAnsi="Calibri" w:cs="Calibri" w:hint="eastAsia"/>
                <w:sz w:val="22"/>
                <w:lang w:val="en-US" w:eastAsia="zh-CN"/>
              </w:rPr>
              <w:t xml:space="preserve"> for MCSt,</w:t>
            </w:r>
          </w:p>
          <w:p w14:paraId="31C78626" w14:textId="555A3BE3" w:rsidR="00335DBF" w:rsidRPr="00335DBF" w:rsidRDefault="00335DBF" w:rsidP="00335DBF">
            <w:pPr>
              <w:autoSpaceDE w:val="0"/>
              <w:autoSpaceDN w:val="0"/>
              <w:ind w:left="1080"/>
              <w:jc w:val="both"/>
              <w:rPr>
                <w:rFonts w:ascii="Calibri" w:hAnsi="Calibri" w:cs="Calibri"/>
                <w:sz w:val="22"/>
                <w:lang w:val="en-US" w:eastAsia="zh-CN"/>
              </w:rPr>
            </w:pPr>
            <w:r>
              <w:rPr>
                <w:rFonts w:ascii="Calibri" w:hAnsi="Calibri" w:cs="Calibri" w:hint="eastAsia"/>
                <w:sz w:val="22"/>
                <w:lang w:val="en-US" w:eastAsia="zh-CN"/>
              </w:rPr>
              <w:t>......</w:t>
            </w:r>
          </w:p>
        </w:tc>
      </w:tr>
      <w:tr w:rsidR="00335DBF" w14:paraId="4C9ECB1A" w14:textId="77777777" w:rsidTr="006B2419">
        <w:tc>
          <w:tcPr>
            <w:tcW w:w="1555" w:type="dxa"/>
          </w:tcPr>
          <w:p w14:paraId="0E9EA62D" w14:textId="77777777" w:rsidR="00335DBF" w:rsidRDefault="00335DBF" w:rsidP="00335DBF">
            <w:pPr>
              <w:pStyle w:val="0Maintext"/>
              <w:spacing w:after="0" w:afterAutospacing="0" w:line="240" w:lineRule="auto"/>
              <w:ind w:firstLine="0"/>
              <w:rPr>
                <w:rFonts w:eastAsiaTheme="minorEastAsia"/>
                <w:lang w:val="en-US" w:eastAsia="zh-CN"/>
              </w:rPr>
            </w:pPr>
            <w:r>
              <w:rPr>
                <w:rFonts w:eastAsiaTheme="minorEastAsia"/>
                <w:lang w:eastAsia="zh-CN"/>
              </w:rPr>
              <w:t>Ericsson</w:t>
            </w:r>
          </w:p>
        </w:tc>
        <w:tc>
          <w:tcPr>
            <w:tcW w:w="8076" w:type="dxa"/>
          </w:tcPr>
          <w:p w14:paraId="7759D71F" w14:textId="77777777" w:rsidR="00335DBF" w:rsidRDefault="00335DBF" w:rsidP="00335DBF">
            <w:pPr>
              <w:pStyle w:val="0Maintext"/>
              <w:spacing w:after="0" w:afterAutospacing="0" w:line="240" w:lineRule="auto"/>
              <w:ind w:firstLine="0"/>
              <w:rPr>
                <w:rFonts w:eastAsiaTheme="minorEastAsia"/>
                <w:sz w:val="21"/>
                <w:szCs w:val="21"/>
                <w:lang w:val="en-US" w:eastAsia="zh-CN"/>
              </w:rPr>
            </w:pPr>
            <w:r>
              <w:rPr>
                <w:rFonts w:eastAsiaTheme="minorEastAsia"/>
                <w:lang w:eastAsia="zh-CN"/>
              </w:rPr>
              <w:t>We agree with the proposal. Both option 1 and option 2 can be used and more study is needed. For the second bullet, we prefer to have Option A.</w:t>
            </w:r>
          </w:p>
        </w:tc>
      </w:tr>
      <w:tr w:rsidR="00335DBF" w14:paraId="5453DC9C" w14:textId="77777777" w:rsidTr="006B2419">
        <w:tc>
          <w:tcPr>
            <w:tcW w:w="1555" w:type="dxa"/>
          </w:tcPr>
          <w:p w14:paraId="02E2949E" w14:textId="77777777" w:rsidR="00335DBF" w:rsidRDefault="00335DBF" w:rsidP="00335DBF">
            <w:pPr>
              <w:pStyle w:val="0Maintext"/>
              <w:spacing w:after="0" w:afterAutospacing="0" w:line="240" w:lineRule="auto"/>
              <w:ind w:firstLine="0"/>
              <w:rPr>
                <w:rFonts w:eastAsiaTheme="minorEastAsia"/>
                <w:lang w:eastAsia="zh-CN"/>
              </w:rPr>
            </w:pPr>
            <w:r>
              <w:rPr>
                <w:rFonts w:eastAsiaTheme="minorEastAsia" w:hint="eastAsia"/>
                <w:lang w:eastAsia="zh-CN"/>
              </w:rPr>
              <w:t>I</w:t>
            </w:r>
            <w:r>
              <w:rPr>
                <w:rFonts w:eastAsiaTheme="minorEastAsia"/>
                <w:lang w:eastAsia="zh-CN"/>
              </w:rPr>
              <w:t>TL</w:t>
            </w:r>
          </w:p>
        </w:tc>
        <w:tc>
          <w:tcPr>
            <w:tcW w:w="8076" w:type="dxa"/>
          </w:tcPr>
          <w:p w14:paraId="496C21A7" w14:textId="77777777" w:rsidR="00335DBF" w:rsidRDefault="00335DBF" w:rsidP="00335DBF">
            <w:pPr>
              <w:pStyle w:val="0Maintext"/>
              <w:spacing w:after="0" w:afterAutospacing="0" w:line="240" w:lineRule="auto"/>
              <w:ind w:firstLine="0"/>
              <w:rPr>
                <w:rFonts w:eastAsiaTheme="minorEastAsia"/>
                <w:lang w:eastAsia="zh-CN"/>
              </w:rPr>
            </w:pPr>
            <w:r>
              <w:rPr>
                <w:rFonts w:eastAsiaTheme="minorEastAsia" w:hint="eastAsia"/>
                <w:lang w:eastAsia="zh-CN"/>
              </w:rPr>
              <w:t>W</w:t>
            </w:r>
            <w:r>
              <w:rPr>
                <w:rFonts w:eastAsiaTheme="minorEastAsia"/>
                <w:lang w:eastAsia="zh-CN"/>
              </w:rPr>
              <w:t>e are fine with the proposal.</w:t>
            </w:r>
          </w:p>
        </w:tc>
      </w:tr>
      <w:tr w:rsidR="00335DBF" w14:paraId="7D2589A6" w14:textId="77777777" w:rsidTr="006B2419">
        <w:tc>
          <w:tcPr>
            <w:tcW w:w="1555" w:type="dxa"/>
          </w:tcPr>
          <w:p w14:paraId="30432E74" w14:textId="77777777" w:rsidR="00335DBF" w:rsidRDefault="00335DBF" w:rsidP="00335DBF">
            <w:pPr>
              <w:pStyle w:val="0Maintext"/>
              <w:spacing w:after="0" w:afterAutospacing="0" w:line="240" w:lineRule="auto"/>
              <w:ind w:firstLine="0"/>
              <w:rPr>
                <w:rFonts w:eastAsiaTheme="minorEastAsia"/>
                <w:lang w:eastAsia="zh-CN"/>
              </w:rPr>
            </w:pPr>
            <w:r>
              <w:rPr>
                <w:rFonts w:eastAsiaTheme="minorEastAsia"/>
                <w:lang w:eastAsia="zh-CN"/>
              </w:rPr>
              <w:t>Fraunhofer</w:t>
            </w:r>
          </w:p>
        </w:tc>
        <w:tc>
          <w:tcPr>
            <w:tcW w:w="8076" w:type="dxa"/>
          </w:tcPr>
          <w:p w14:paraId="1C59F38E" w14:textId="77777777" w:rsidR="00335DBF" w:rsidRDefault="00335DBF" w:rsidP="00335DBF">
            <w:pPr>
              <w:pStyle w:val="0Maintext"/>
              <w:spacing w:after="0" w:afterAutospacing="0" w:line="240" w:lineRule="auto"/>
              <w:ind w:firstLine="0"/>
              <w:rPr>
                <w:rFonts w:eastAsiaTheme="minorEastAsia"/>
                <w:lang w:eastAsia="zh-CN"/>
              </w:rPr>
            </w:pPr>
            <w:r>
              <w:rPr>
                <w:rFonts w:eastAsiaTheme="minorEastAsia"/>
                <w:lang w:eastAsia="zh-CN"/>
              </w:rPr>
              <w:t>For the first bullet, we support Option 1.</w:t>
            </w:r>
          </w:p>
          <w:p w14:paraId="41E15924" w14:textId="77777777" w:rsidR="00335DBF" w:rsidRDefault="00335DBF" w:rsidP="00335DBF">
            <w:pPr>
              <w:pStyle w:val="0Maintext"/>
              <w:spacing w:after="0" w:afterAutospacing="0" w:line="240" w:lineRule="auto"/>
              <w:ind w:firstLine="0"/>
              <w:rPr>
                <w:rFonts w:eastAsiaTheme="minorEastAsia"/>
                <w:lang w:eastAsia="zh-CN"/>
              </w:rPr>
            </w:pPr>
            <w:r>
              <w:rPr>
                <w:rFonts w:eastAsiaTheme="minorEastAsia"/>
                <w:lang w:eastAsia="zh-CN"/>
              </w:rPr>
              <w:t>For the second bullet, we support Option B.</w:t>
            </w:r>
          </w:p>
        </w:tc>
      </w:tr>
      <w:tr w:rsidR="00335DBF" w14:paraId="4E55AB48" w14:textId="77777777" w:rsidTr="006B2419">
        <w:tc>
          <w:tcPr>
            <w:tcW w:w="1555" w:type="dxa"/>
          </w:tcPr>
          <w:p w14:paraId="241EA1C3" w14:textId="77777777" w:rsidR="00335DBF" w:rsidRDefault="00335DBF" w:rsidP="00335DBF">
            <w:pPr>
              <w:pStyle w:val="0Maintext"/>
              <w:spacing w:after="0" w:afterAutospacing="0" w:line="240" w:lineRule="auto"/>
              <w:ind w:firstLine="0"/>
              <w:rPr>
                <w:rFonts w:eastAsiaTheme="minorEastAsia"/>
                <w:lang w:eastAsia="zh-CN"/>
              </w:rPr>
            </w:pPr>
            <w:r>
              <w:rPr>
                <w:rFonts w:eastAsiaTheme="minorEastAsia" w:hint="eastAsia"/>
                <w:lang w:eastAsia="zh-CN"/>
              </w:rPr>
              <w:t>M</w:t>
            </w:r>
            <w:r>
              <w:rPr>
                <w:rFonts w:eastAsiaTheme="minorEastAsia"/>
                <w:lang w:eastAsia="zh-CN"/>
              </w:rPr>
              <w:t>ediaTek</w:t>
            </w:r>
          </w:p>
        </w:tc>
        <w:tc>
          <w:tcPr>
            <w:tcW w:w="8076" w:type="dxa"/>
          </w:tcPr>
          <w:p w14:paraId="46308471" w14:textId="77777777" w:rsidR="00335DBF" w:rsidRDefault="00335DBF" w:rsidP="00335DBF">
            <w:pPr>
              <w:pStyle w:val="0Maintext"/>
              <w:spacing w:after="0" w:afterAutospacing="0" w:line="240" w:lineRule="auto"/>
              <w:ind w:firstLine="0"/>
              <w:rPr>
                <w:rFonts w:eastAsiaTheme="minorEastAsia"/>
                <w:lang w:eastAsia="zh-CN"/>
              </w:rPr>
            </w:pPr>
            <w:r>
              <w:rPr>
                <w:rFonts w:eastAsiaTheme="minorEastAsia"/>
                <w:lang w:eastAsia="zh-CN"/>
              </w:rPr>
              <w:t>We are fine with the FL proposal.</w:t>
            </w:r>
          </w:p>
        </w:tc>
      </w:tr>
      <w:tr w:rsidR="00335DBF" w14:paraId="324A6C68" w14:textId="77777777" w:rsidTr="006B2419">
        <w:tc>
          <w:tcPr>
            <w:tcW w:w="1555" w:type="dxa"/>
          </w:tcPr>
          <w:p w14:paraId="4798C6E4" w14:textId="77777777" w:rsidR="00335DBF" w:rsidRDefault="00335DBF" w:rsidP="00335DBF">
            <w:pPr>
              <w:pStyle w:val="0Maintext"/>
              <w:spacing w:after="0" w:afterAutospacing="0" w:line="240" w:lineRule="auto"/>
              <w:ind w:firstLine="0"/>
              <w:rPr>
                <w:rFonts w:eastAsiaTheme="minorEastAsia"/>
                <w:lang w:eastAsia="zh-CN"/>
              </w:rPr>
            </w:pPr>
            <w:r>
              <w:rPr>
                <w:rFonts w:eastAsiaTheme="minorEastAsia"/>
                <w:lang w:eastAsia="zh-CN"/>
              </w:rPr>
              <w:t>JHUAPL</w:t>
            </w:r>
          </w:p>
        </w:tc>
        <w:tc>
          <w:tcPr>
            <w:tcW w:w="8076" w:type="dxa"/>
          </w:tcPr>
          <w:p w14:paraId="4B12FB95" w14:textId="77777777" w:rsidR="00335DBF" w:rsidRDefault="00335DBF" w:rsidP="00335DBF">
            <w:pPr>
              <w:pStyle w:val="0Maintext"/>
              <w:spacing w:after="0" w:afterAutospacing="0" w:line="240" w:lineRule="auto"/>
              <w:ind w:firstLine="0"/>
              <w:rPr>
                <w:rFonts w:eastAsiaTheme="minorEastAsia"/>
                <w:lang w:eastAsia="zh-CN"/>
              </w:rPr>
            </w:pPr>
            <w:r>
              <w:rPr>
                <w:rFonts w:eastAsiaTheme="minorEastAsia"/>
                <w:lang w:val="en-US" w:eastAsia="zh-CN"/>
              </w:rPr>
              <w:t>Option 3 is preferred; we do not support Option 2. In addition, support work on the NR-U semi-static channel access as per the FFS at the RAN1#109-e meeting.</w:t>
            </w:r>
          </w:p>
        </w:tc>
      </w:tr>
      <w:tr w:rsidR="00335DBF" w14:paraId="2A3F23BB" w14:textId="77777777" w:rsidTr="006B2419">
        <w:tc>
          <w:tcPr>
            <w:tcW w:w="1555" w:type="dxa"/>
          </w:tcPr>
          <w:p w14:paraId="6C2D8D1F" w14:textId="77777777" w:rsidR="00335DBF" w:rsidRDefault="00335DBF" w:rsidP="00335DBF">
            <w:pPr>
              <w:pStyle w:val="0Maintext"/>
              <w:spacing w:after="0" w:afterAutospacing="0" w:line="240" w:lineRule="auto"/>
              <w:ind w:firstLine="0"/>
              <w:rPr>
                <w:rFonts w:eastAsiaTheme="minorEastAsia"/>
                <w:lang w:eastAsia="zh-CN"/>
              </w:rPr>
            </w:pPr>
            <w:r>
              <w:rPr>
                <w:rFonts w:eastAsiaTheme="minorEastAsia"/>
                <w:lang w:eastAsia="zh-CN"/>
              </w:rPr>
              <w:t>Lenovo</w:t>
            </w:r>
          </w:p>
        </w:tc>
        <w:tc>
          <w:tcPr>
            <w:tcW w:w="8076" w:type="dxa"/>
          </w:tcPr>
          <w:p w14:paraId="2A8BD912" w14:textId="77777777" w:rsidR="00335DBF" w:rsidRDefault="00335DBF" w:rsidP="00335DBF">
            <w:pPr>
              <w:pStyle w:val="0Maintext"/>
              <w:spacing w:after="0" w:afterAutospacing="0" w:line="240" w:lineRule="auto"/>
              <w:ind w:firstLine="0"/>
              <w:rPr>
                <w:rFonts w:eastAsiaTheme="minorEastAsia"/>
                <w:lang w:eastAsia="zh-CN"/>
              </w:rPr>
            </w:pPr>
            <w:r>
              <w:rPr>
                <w:rFonts w:eastAsiaTheme="minorEastAsia"/>
                <w:lang w:eastAsia="zh-CN"/>
              </w:rPr>
              <w:t>For the 1</w:t>
            </w:r>
            <w:r w:rsidRPr="0093604A">
              <w:rPr>
                <w:rFonts w:eastAsiaTheme="minorEastAsia"/>
                <w:vertAlign w:val="superscript"/>
                <w:lang w:eastAsia="zh-CN"/>
              </w:rPr>
              <w:t>st</w:t>
            </w:r>
            <w:r>
              <w:rPr>
                <w:rFonts w:eastAsiaTheme="minorEastAsia"/>
                <w:lang w:eastAsia="zh-CN"/>
              </w:rPr>
              <w:t xml:space="preserve"> bullet, the remaining channel occupancy duration may need to be provided so that the UE reports candidate resources optimally within the remaining channel occupancy duration. </w:t>
            </w:r>
          </w:p>
          <w:p w14:paraId="5213564A" w14:textId="77777777" w:rsidR="00335DBF" w:rsidRDefault="00335DBF" w:rsidP="00335DBF">
            <w:pPr>
              <w:pStyle w:val="0Maintext"/>
              <w:spacing w:after="0" w:afterAutospacing="0" w:line="240" w:lineRule="auto"/>
              <w:ind w:firstLine="0"/>
              <w:rPr>
                <w:rFonts w:eastAsiaTheme="minorEastAsia"/>
                <w:lang w:eastAsia="zh-CN"/>
              </w:rPr>
            </w:pPr>
            <w:r>
              <w:rPr>
                <w:rFonts w:eastAsiaTheme="minorEastAsia"/>
                <w:lang w:eastAsia="zh-CN"/>
              </w:rPr>
              <w:t xml:space="preserve">If there are not enough resources then the UE can report resources outside the remaining channel occupancy duration. </w:t>
            </w:r>
          </w:p>
          <w:p w14:paraId="4AE22B0D" w14:textId="77777777" w:rsidR="00335DBF" w:rsidRDefault="00335DBF" w:rsidP="00335DBF">
            <w:pPr>
              <w:pStyle w:val="0Maintext"/>
              <w:spacing w:after="0" w:afterAutospacing="0" w:line="240" w:lineRule="auto"/>
              <w:ind w:firstLine="0"/>
              <w:rPr>
                <w:rFonts w:eastAsiaTheme="minorEastAsia"/>
                <w:lang w:eastAsia="zh-CN"/>
              </w:rPr>
            </w:pPr>
          </w:p>
          <w:p w14:paraId="619A6737" w14:textId="77777777" w:rsidR="00335DBF" w:rsidRDefault="00335DBF" w:rsidP="00335DBF">
            <w:pPr>
              <w:pStyle w:val="0Maintext"/>
              <w:spacing w:after="0" w:afterAutospacing="0" w:line="240" w:lineRule="auto"/>
              <w:ind w:firstLine="0"/>
              <w:rPr>
                <w:rFonts w:eastAsiaTheme="minorEastAsia"/>
                <w:lang w:eastAsia="zh-CN"/>
              </w:rPr>
            </w:pPr>
            <w:r>
              <w:rPr>
                <w:rFonts w:eastAsiaTheme="minorEastAsia"/>
                <w:lang w:eastAsia="zh-CN"/>
              </w:rPr>
              <w:t>The remaining channel occuapancy duration may also provide an indication about the number of consecutive slots necessary to be reported by a UE in the set of resources.</w:t>
            </w:r>
          </w:p>
          <w:p w14:paraId="7B768C7B" w14:textId="77777777" w:rsidR="00335DBF" w:rsidRDefault="00335DBF" w:rsidP="00335DBF">
            <w:pPr>
              <w:pStyle w:val="0Maintext"/>
              <w:spacing w:after="0" w:afterAutospacing="0" w:line="240" w:lineRule="auto"/>
              <w:ind w:firstLine="0"/>
              <w:rPr>
                <w:rFonts w:eastAsiaTheme="minorEastAsia"/>
                <w:lang w:eastAsia="zh-CN"/>
              </w:rPr>
            </w:pPr>
          </w:p>
          <w:p w14:paraId="0DF85348" w14:textId="77777777" w:rsidR="00335DBF" w:rsidRDefault="00335DBF" w:rsidP="00335DBF">
            <w:pPr>
              <w:pStyle w:val="0Maintext"/>
              <w:spacing w:after="0" w:afterAutospacing="0" w:line="240" w:lineRule="auto"/>
              <w:ind w:firstLine="0"/>
              <w:rPr>
                <w:rFonts w:eastAsiaTheme="minorEastAsia"/>
                <w:lang w:eastAsia="zh-CN"/>
              </w:rPr>
            </w:pPr>
            <w:r>
              <w:rPr>
                <w:rFonts w:eastAsiaTheme="minorEastAsia"/>
                <w:lang w:eastAsia="zh-CN"/>
              </w:rPr>
              <w:t>For the 2</w:t>
            </w:r>
            <w:r w:rsidRPr="0093604A">
              <w:rPr>
                <w:rFonts w:eastAsiaTheme="minorEastAsia"/>
                <w:vertAlign w:val="superscript"/>
                <w:lang w:eastAsia="zh-CN"/>
              </w:rPr>
              <w:t>nd</w:t>
            </w:r>
            <w:r>
              <w:rPr>
                <w:rFonts w:eastAsiaTheme="minorEastAsia"/>
                <w:lang w:eastAsia="zh-CN"/>
              </w:rPr>
              <w:t xml:space="preserve"> bullet, it can be separately discussed irrespective of the outcome of the 1</w:t>
            </w:r>
            <w:r w:rsidRPr="0093604A">
              <w:rPr>
                <w:rFonts w:eastAsiaTheme="minorEastAsia"/>
                <w:vertAlign w:val="superscript"/>
                <w:lang w:eastAsia="zh-CN"/>
              </w:rPr>
              <w:t>st</w:t>
            </w:r>
            <w:r>
              <w:rPr>
                <w:rFonts w:eastAsiaTheme="minorEastAsia"/>
                <w:lang w:eastAsia="zh-CN"/>
              </w:rPr>
              <w:t xml:space="preserve"> bullet. </w:t>
            </w:r>
          </w:p>
          <w:p w14:paraId="0A9FA9BB" w14:textId="77777777" w:rsidR="00335DBF" w:rsidRDefault="00335DBF" w:rsidP="00335DBF">
            <w:pPr>
              <w:pStyle w:val="0Maintext"/>
              <w:spacing w:after="0" w:afterAutospacing="0" w:line="240" w:lineRule="auto"/>
              <w:ind w:firstLine="0"/>
              <w:rPr>
                <w:rFonts w:eastAsiaTheme="minorEastAsia"/>
                <w:lang w:val="en-US" w:eastAsia="zh-CN"/>
              </w:rPr>
            </w:pPr>
            <w:r>
              <w:rPr>
                <w:rFonts w:eastAsiaTheme="minorEastAsia"/>
                <w:lang w:eastAsia="zh-CN"/>
              </w:rPr>
              <w:t xml:space="preserve">At the moment we can keep both options open.   </w:t>
            </w:r>
          </w:p>
        </w:tc>
      </w:tr>
    </w:tbl>
    <w:tbl>
      <w:tblPr>
        <w:tblStyle w:val="TableGrid6"/>
        <w:tblW w:w="9631" w:type="dxa"/>
        <w:tblLayout w:type="fixed"/>
        <w:tblLook w:val="04A0" w:firstRow="1" w:lastRow="0" w:firstColumn="1" w:lastColumn="0" w:noHBand="0" w:noVBand="1"/>
      </w:tblPr>
      <w:tblGrid>
        <w:gridCol w:w="1555"/>
        <w:gridCol w:w="8076"/>
      </w:tblGrid>
      <w:tr w:rsidR="00335DBF" w14:paraId="25A558C4" w14:textId="77777777" w:rsidTr="006B2419">
        <w:tc>
          <w:tcPr>
            <w:tcW w:w="1555" w:type="dxa"/>
          </w:tcPr>
          <w:p w14:paraId="534A8AA2" w14:textId="77777777" w:rsidR="00335DBF" w:rsidRDefault="00335DBF" w:rsidP="00335DBF">
            <w:pPr>
              <w:pStyle w:val="0Maintext"/>
              <w:spacing w:after="0" w:afterAutospacing="0" w:line="240" w:lineRule="auto"/>
              <w:ind w:firstLine="0"/>
            </w:pPr>
            <w:r>
              <w:lastRenderedPageBreak/>
              <w:t>Futurewei</w:t>
            </w:r>
          </w:p>
        </w:tc>
        <w:tc>
          <w:tcPr>
            <w:tcW w:w="8076" w:type="dxa"/>
          </w:tcPr>
          <w:p w14:paraId="6DB5508D" w14:textId="77777777" w:rsidR="00335DBF" w:rsidRDefault="00335DBF" w:rsidP="00335DBF">
            <w:pPr>
              <w:pStyle w:val="0Maintext"/>
              <w:spacing w:after="0" w:afterAutospacing="0" w:line="240" w:lineRule="auto"/>
              <w:ind w:firstLine="0"/>
            </w:pPr>
            <w:r>
              <w:t xml:space="preserve">We prefer Option 1, a single set of parameters. Resource selection with multiple sets would increase exponentially the resource selection (all combinations would need to be verified). </w:t>
            </w:r>
          </w:p>
          <w:p w14:paraId="5FE01A0C" w14:textId="60BD8194" w:rsidR="00335DBF" w:rsidRDefault="00335DBF" w:rsidP="00335DBF">
            <w:pPr>
              <w:pStyle w:val="0Maintext"/>
              <w:spacing w:after="0" w:afterAutospacing="0" w:line="240" w:lineRule="auto"/>
              <w:ind w:firstLine="0"/>
            </w:pPr>
            <w:r>
              <w:t xml:space="preserve">For the second part, seems that Option A, is a better choice to cover the consecutive time slots candidates. However, in our opinion the report should cover both consecutive in time and consecutive logic slots, i.e., in the case no time consecutive slots are found for the PDB the consecutive logical slots should be used. </w:t>
            </w:r>
          </w:p>
          <w:p w14:paraId="33541CB2" w14:textId="77777777" w:rsidR="00335DBF" w:rsidRDefault="00335DBF" w:rsidP="00335DBF">
            <w:pPr>
              <w:pStyle w:val="0Maintext"/>
              <w:spacing w:after="0" w:afterAutospacing="0" w:line="240" w:lineRule="auto"/>
              <w:ind w:firstLine="0"/>
            </w:pPr>
          </w:p>
          <w:p w14:paraId="1E47055C" w14:textId="05493105" w:rsidR="00335DBF" w:rsidRDefault="00335DBF" w:rsidP="00335DBF">
            <w:pPr>
              <w:pStyle w:val="0Maintext"/>
              <w:spacing w:after="0" w:afterAutospacing="0" w:line="240" w:lineRule="auto"/>
              <w:ind w:firstLine="0"/>
            </w:pPr>
            <w:r>
              <w:t>We want to clarify that in our understanding the Proposal refers to resource selections only for transmissions from a single UE.</w:t>
            </w:r>
          </w:p>
        </w:tc>
      </w:tr>
      <w:tr w:rsidR="00335DBF" w14:paraId="120EDE7F" w14:textId="77777777" w:rsidTr="006B2419">
        <w:tc>
          <w:tcPr>
            <w:tcW w:w="1555" w:type="dxa"/>
          </w:tcPr>
          <w:p w14:paraId="534B0F79" w14:textId="77777777" w:rsidR="00335DBF" w:rsidRDefault="00335DBF" w:rsidP="00335DBF">
            <w:pPr>
              <w:pStyle w:val="0Maintext"/>
              <w:spacing w:after="0" w:afterAutospacing="0" w:line="240" w:lineRule="auto"/>
              <w:ind w:firstLine="0"/>
            </w:pPr>
            <w:r>
              <w:t>NSC</w:t>
            </w:r>
          </w:p>
        </w:tc>
        <w:tc>
          <w:tcPr>
            <w:tcW w:w="8076" w:type="dxa"/>
          </w:tcPr>
          <w:p w14:paraId="019D7E9C" w14:textId="77777777" w:rsidR="00335DBF" w:rsidRDefault="00335DBF" w:rsidP="00335DBF">
            <w:pPr>
              <w:pStyle w:val="0Maintext"/>
              <w:spacing w:after="0" w:afterAutospacing="0" w:line="240" w:lineRule="auto"/>
              <w:ind w:firstLine="0"/>
            </w:pPr>
            <w:r>
              <w:t>Support this proposal with further downselect in the next meeting</w:t>
            </w:r>
          </w:p>
        </w:tc>
      </w:tr>
      <w:tr w:rsidR="00C87B7A" w14:paraId="06EAE252" w14:textId="77777777" w:rsidTr="00C87B7A">
        <w:tc>
          <w:tcPr>
            <w:tcW w:w="1555" w:type="dxa"/>
          </w:tcPr>
          <w:p w14:paraId="65C6657F" w14:textId="77777777" w:rsidR="00C87B7A" w:rsidRDefault="00C87B7A" w:rsidP="006B2419">
            <w:pPr>
              <w:pStyle w:val="0Maintext"/>
              <w:spacing w:after="0" w:afterAutospacing="0"/>
              <w:ind w:firstLine="0"/>
            </w:pPr>
            <w:r>
              <w:rPr>
                <w:rFonts w:eastAsiaTheme="minorEastAsia" w:hint="eastAsia"/>
                <w:lang w:eastAsia="zh-CN"/>
              </w:rPr>
              <w:t>H</w:t>
            </w:r>
            <w:r>
              <w:rPr>
                <w:rFonts w:eastAsiaTheme="minorEastAsia"/>
                <w:lang w:eastAsia="zh-CN"/>
              </w:rPr>
              <w:t>uawei, HiSilicon</w:t>
            </w:r>
          </w:p>
        </w:tc>
        <w:tc>
          <w:tcPr>
            <w:tcW w:w="8076" w:type="dxa"/>
          </w:tcPr>
          <w:p w14:paraId="0730B898" w14:textId="77777777" w:rsidR="00C87B7A" w:rsidRDefault="00C87B7A" w:rsidP="006B2419">
            <w:pPr>
              <w:pStyle w:val="0Maintext"/>
              <w:spacing w:after="0" w:afterAutospacing="0"/>
              <w:ind w:firstLine="0"/>
            </w:pPr>
            <w:r>
              <w:t xml:space="preserve">We support option 2 and </w:t>
            </w:r>
            <w:r w:rsidRPr="00827841">
              <w:t>Option B</w:t>
            </w:r>
            <w:r>
              <w:t>.</w:t>
            </w:r>
          </w:p>
          <w:p w14:paraId="73265191" w14:textId="77777777" w:rsidR="00C87B7A" w:rsidRPr="00D41F1C" w:rsidRDefault="00C87B7A">
            <w:pPr>
              <w:pStyle w:val="0Maintext"/>
              <w:numPr>
                <w:ilvl w:val="0"/>
                <w:numId w:val="50"/>
              </w:numPr>
              <w:spacing w:after="0" w:afterAutospacing="0"/>
            </w:pPr>
            <w:r w:rsidRPr="00D41F1C">
              <w:t>We do not think option 1 is same as Rel-16 procedure when resources of multiple TBs are going to be selected. In legacy resource exclusion and selection procedure, each TB may have different requirements on transmission, so different sets of parameters are provided, that is the exact description of option 2</w:t>
            </w:r>
            <w:r>
              <w:t>.</w:t>
            </w:r>
          </w:p>
          <w:p w14:paraId="20142A47" w14:textId="77777777" w:rsidR="00C87B7A" w:rsidRDefault="00C87B7A">
            <w:pPr>
              <w:pStyle w:val="0Maintext"/>
              <w:numPr>
                <w:ilvl w:val="0"/>
                <w:numId w:val="50"/>
              </w:numPr>
              <w:spacing w:after="0" w:afterAutospacing="0"/>
            </w:pPr>
            <w:r>
              <w:t xml:space="preserve">For option 2, </w:t>
            </w:r>
            <w:r w:rsidRPr="00827841">
              <w:t xml:space="preserve">when L1 is triggered for reporting a subset of candidate resources, MAC layer indicates approximate parameters of a TB e.g., prio_TX, </w:t>
            </w:r>
            <w:r>
              <w:t>L_subCH</w:t>
            </w:r>
            <w:r w:rsidRPr="00827841">
              <w:t xml:space="preserve"> , to L1. Then </w:t>
            </w:r>
            <w:r>
              <w:t xml:space="preserve">PHY generate a candidate resource set S_A to MAC layer. However, the final </w:t>
            </w:r>
            <w:r w:rsidRPr="00827841">
              <w:t xml:space="preserve">TBs </w:t>
            </w:r>
            <w:r>
              <w:t xml:space="preserve">transmitted </w:t>
            </w:r>
            <w:r w:rsidRPr="00827841">
              <w:t xml:space="preserve">as well as the parameters </w:t>
            </w:r>
            <w:r>
              <w:t xml:space="preserve">of transmission </w:t>
            </w:r>
            <w:r w:rsidRPr="00827841">
              <w:t xml:space="preserve">are finally decided based on reported </w:t>
            </w:r>
            <w:r>
              <w:t xml:space="preserve">candidate resource </w:t>
            </w:r>
            <w:r w:rsidRPr="001947CE">
              <w:rPr>
                <w:rFonts w:hint="eastAsia"/>
              </w:rPr>
              <w:t>SA</w:t>
            </w:r>
            <w:r w:rsidRPr="00827841">
              <w:t xml:space="preserve">. </w:t>
            </w:r>
            <w:r>
              <w:t>I</w:t>
            </w:r>
            <w:r w:rsidRPr="00827841">
              <w:t xml:space="preserve">t is not feasible </w:t>
            </w:r>
            <w:r>
              <w:t xml:space="preserve">for PHY </w:t>
            </w:r>
            <w:r w:rsidRPr="00827841">
              <w:t>to report candidate multi-slot resources us</w:t>
            </w:r>
            <w:r>
              <w:t>ing</w:t>
            </w:r>
            <w:r w:rsidRPr="00827841">
              <w:t xml:space="preserve"> only one set of parameters.</w:t>
            </w:r>
            <w:r>
              <w:t xml:space="preserve"> Therefore, resource exclusion in PHY in Rel-16 should be reused and MCSt is achieved by MAC layer selecting consecutive slots resources based on the reported candidate </w:t>
            </w:r>
            <w:r w:rsidRPr="00016343">
              <w:t xml:space="preserve">single-slot </w:t>
            </w:r>
            <w:r>
              <w:t>resource sets.</w:t>
            </w:r>
          </w:p>
          <w:p w14:paraId="40A6B059" w14:textId="77777777" w:rsidR="00C87B7A" w:rsidRDefault="00C87B7A">
            <w:pPr>
              <w:pStyle w:val="0Maintext"/>
              <w:numPr>
                <w:ilvl w:val="0"/>
                <w:numId w:val="50"/>
              </w:numPr>
              <w:spacing w:after="0" w:afterAutospacing="0"/>
            </w:pPr>
            <w:r>
              <w:t xml:space="preserve">For MCSt, multiple TBs from a single UE and multiple UEs should be supported. </w:t>
            </w:r>
          </w:p>
          <w:p w14:paraId="55C815E8" w14:textId="77777777" w:rsidR="00C87B7A" w:rsidRDefault="00C87B7A">
            <w:pPr>
              <w:pStyle w:val="0Maintext"/>
              <w:numPr>
                <w:ilvl w:val="1"/>
                <w:numId w:val="50"/>
              </w:numPr>
              <w:spacing w:after="0" w:afterAutospacing="0"/>
            </w:pPr>
            <w:r w:rsidRPr="00016343">
              <w:t>It is impossible to select resources for (re)transmission of a TB in consecutive slots</w:t>
            </w:r>
            <w:r>
              <w:t>, since r</w:t>
            </w:r>
            <w:r w:rsidRPr="00016343">
              <w:t>esources of adjacent (re-)transmissions of a TB have to be selected to ensure the minimum time gap in case that PSFCH is configured in the resource pool.</w:t>
            </w:r>
          </w:p>
          <w:p w14:paraId="77FD3B5F" w14:textId="77777777" w:rsidR="00C87B7A" w:rsidRDefault="00C87B7A">
            <w:pPr>
              <w:pStyle w:val="ListParagraph"/>
              <w:numPr>
                <w:ilvl w:val="1"/>
                <w:numId w:val="50"/>
              </w:numPr>
              <w:ind w:leftChars="0"/>
              <w:rPr>
                <w:rFonts w:ascii="Times New Roman" w:eastAsia="Malgun Gothic" w:hAnsi="Times New Roman" w:cs="Batang"/>
                <w:szCs w:val="20"/>
                <w:lang w:eastAsia="en-US"/>
              </w:rPr>
            </w:pPr>
            <w:r w:rsidRPr="00741F57">
              <w:rPr>
                <w:rFonts w:ascii="Times New Roman" w:eastAsia="Malgun Gothic" w:hAnsi="Times New Roman" w:cs="Batang"/>
                <w:szCs w:val="20"/>
                <w:lang w:eastAsia="en-US"/>
              </w:rPr>
              <w:t>In COT sharing cases</w:t>
            </w:r>
            <w:r>
              <w:rPr>
                <w:rFonts w:ascii="Times New Roman" w:eastAsia="Malgun Gothic" w:hAnsi="Times New Roman" w:cs="Batang"/>
                <w:szCs w:val="20"/>
                <w:lang w:eastAsia="en-US"/>
              </w:rPr>
              <w:t xml:space="preserve"> which multiple TBs transmitted by multiple UEs</w:t>
            </w:r>
            <w:r w:rsidRPr="00741F57">
              <w:rPr>
                <w:rFonts w:ascii="Times New Roman" w:eastAsia="Malgun Gothic" w:hAnsi="Times New Roman" w:cs="Batang"/>
                <w:szCs w:val="20"/>
                <w:lang w:eastAsia="en-US"/>
              </w:rPr>
              <w:t>, those resources to be shared to other UEs should be reported to MAC layer</w:t>
            </w:r>
            <w:r>
              <w:rPr>
                <w:rFonts w:ascii="Times New Roman" w:eastAsia="Malgun Gothic" w:hAnsi="Times New Roman" w:cs="Batang"/>
                <w:szCs w:val="20"/>
                <w:lang w:eastAsia="en-US"/>
              </w:rPr>
              <w:t xml:space="preserve"> to help MAC layer select consective resoruces</w:t>
            </w:r>
            <w:r w:rsidRPr="00741F57">
              <w:rPr>
                <w:rFonts w:ascii="Times New Roman" w:eastAsia="Malgun Gothic" w:hAnsi="Times New Roman" w:cs="Batang"/>
                <w:szCs w:val="20"/>
                <w:lang w:eastAsia="en-US"/>
              </w:rPr>
              <w:t>.</w:t>
            </w:r>
            <w:r>
              <w:rPr>
                <w:rFonts w:ascii="Times New Roman" w:eastAsia="Malgun Gothic" w:hAnsi="Times New Roman" w:cs="Batang"/>
                <w:szCs w:val="20"/>
                <w:lang w:eastAsia="en-US"/>
              </w:rPr>
              <w:t xml:space="preserve"> So we suggest to add another FFS to further study this point.</w:t>
            </w:r>
          </w:p>
          <w:p w14:paraId="48DBA066" w14:textId="77777777" w:rsidR="00C87B7A" w:rsidRDefault="00C87B7A" w:rsidP="006B2419">
            <w:pPr>
              <w:pStyle w:val="ListParagraph"/>
              <w:ind w:leftChars="0" w:left="1440"/>
              <w:rPr>
                <w:rFonts w:ascii="Times New Roman" w:eastAsia="Malgun Gothic" w:hAnsi="Times New Roman" w:cs="Batang"/>
                <w:szCs w:val="20"/>
                <w:lang w:eastAsia="en-US"/>
              </w:rPr>
            </w:pPr>
          </w:p>
          <w:p w14:paraId="2CA550AF" w14:textId="77777777" w:rsidR="00C87B7A" w:rsidRPr="00741F57" w:rsidRDefault="00C87B7A" w:rsidP="006B2419">
            <w:pPr>
              <w:rPr>
                <w:rFonts w:ascii="Times New Roman" w:eastAsia="Malgun Gothic" w:hAnsi="Times New Roman" w:cs="Batang"/>
                <w:szCs w:val="20"/>
              </w:rPr>
            </w:pPr>
            <w:r>
              <w:rPr>
                <w:rFonts w:ascii="Times New Roman" w:eastAsia="Malgun Gothic" w:hAnsi="Times New Roman" w:cs="Batang"/>
                <w:szCs w:val="20"/>
              </w:rPr>
              <w:t>Suggested changes on proposal.</w:t>
            </w:r>
          </w:p>
          <w:p w14:paraId="5D150511" w14:textId="77777777" w:rsidR="00C87B7A" w:rsidRPr="00E818B5" w:rsidRDefault="00C87B7A">
            <w:pPr>
              <w:numPr>
                <w:ilvl w:val="0"/>
                <w:numId w:val="50"/>
              </w:numPr>
              <w:autoSpaceDE w:val="0"/>
              <w:autoSpaceDN w:val="0"/>
              <w:spacing w:after="60"/>
              <w:jc w:val="both"/>
              <w:rPr>
                <w:rFonts w:ascii="Calibri" w:hAnsi="Calibri" w:cs="Calibri"/>
                <w:sz w:val="22"/>
                <w:lang w:val="en-US" w:eastAsia="x-none"/>
              </w:rPr>
            </w:pPr>
            <w:r w:rsidRPr="00E818B5">
              <w:rPr>
                <w:rFonts w:ascii="Calibri" w:hAnsi="Calibri" w:cs="Calibri" w:hint="eastAsia"/>
                <w:sz w:val="22"/>
                <w:lang w:val="en-US" w:eastAsia="x-none"/>
              </w:rPr>
              <w:t>When L1 reports a subset of candidate resources for MCSt,</w:t>
            </w:r>
          </w:p>
          <w:p w14:paraId="0A703F8F" w14:textId="77777777" w:rsidR="00C87B7A" w:rsidRPr="00E818B5" w:rsidRDefault="00C87B7A">
            <w:pPr>
              <w:numPr>
                <w:ilvl w:val="1"/>
                <w:numId w:val="50"/>
              </w:numPr>
              <w:autoSpaceDE w:val="0"/>
              <w:autoSpaceDN w:val="0"/>
              <w:spacing w:after="60"/>
              <w:jc w:val="both"/>
              <w:rPr>
                <w:rFonts w:ascii="Calibri" w:hAnsi="Calibri" w:cs="Calibri"/>
                <w:sz w:val="22"/>
                <w:lang w:val="en-US" w:eastAsia="x-none"/>
              </w:rPr>
            </w:pPr>
            <w:r w:rsidRPr="00E818B5">
              <w:rPr>
                <w:rFonts w:ascii="Calibri" w:hAnsi="Calibri" w:cs="Calibri" w:hint="eastAsia"/>
                <w:sz w:val="22"/>
                <w:lang w:val="en-US" w:eastAsia="x-none"/>
              </w:rPr>
              <w:t xml:space="preserve">Option A: L1 reports candidate multi-slot resources in </w:t>
            </w:r>
            <w:r w:rsidRPr="00E818B5">
              <w:rPr>
                <w:rFonts w:ascii="Calibri" w:hAnsi="Calibri" w:cs="Calibri" w:hint="eastAsia"/>
                <w:i/>
                <w:iCs/>
                <w:sz w:val="22"/>
                <w:lang w:val="en-US" w:eastAsia="x-none"/>
              </w:rPr>
              <w:t>S</w:t>
            </w:r>
            <w:r w:rsidRPr="00E818B5">
              <w:rPr>
                <w:rFonts w:ascii="Calibri" w:hAnsi="Calibri" w:cs="Calibri" w:hint="eastAsia"/>
                <w:i/>
                <w:iCs/>
                <w:sz w:val="22"/>
                <w:vertAlign w:val="subscript"/>
                <w:lang w:val="en-US" w:eastAsia="x-none"/>
              </w:rPr>
              <w:t>A</w:t>
            </w:r>
            <w:r w:rsidRPr="00E818B5">
              <w:rPr>
                <w:rFonts w:ascii="Calibri" w:hAnsi="Calibri" w:cs="Calibri" w:hint="eastAsia"/>
                <w:sz w:val="22"/>
                <w:lang w:val="en-US" w:eastAsia="x-none"/>
              </w:rPr>
              <w:t xml:space="preserve"> where a candidate multi-slot resource consists of a set of single-slot resources that are consecutive in time</w:t>
            </w:r>
          </w:p>
          <w:p w14:paraId="0F431763" w14:textId="77777777" w:rsidR="00C87B7A" w:rsidRPr="00E818B5" w:rsidRDefault="00C87B7A">
            <w:pPr>
              <w:numPr>
                <w:ilvl w:val="2"/>
                <w:numId w:val="50"/>
              </w:numPr>
              <w:autoSpaceDE w:val="0"/>
              <w:autoSpaceDN w:val="0"/>
              <w:spacing w:after="60"/>
              <w:jc w:val="both"/>
              <w:rPr>
                <w:rFonts w:ascii="Calibri" w:hAnsi="Calibri" w:cs="Calibri"/>
                <w:sz w:val="22"/>
                <w:lang w:val="en-US" w:eastAsia="x-none"/>
              </w:rPr>
            </w:pPr>
            <w:r w:rsidRPr="00E818B5">
              <w:rPr>
                <w:rFonts w:ascii="Calibri" w:hAnsi="Calibri" w:cs="Calibri" w:hint="eastAsia"/>
                <w:sz w:val="22"/>
                <w:lang w:val="en-US" w:eastAsia="x-none"/>
              </w:rPr>
              <w:t xml:space="preserve">FFS whether the set of single-slot resources within a candidate multi-slot resource can have different </w:t>
            </w:r>
            <m:oMath>
              <m:sSub>
                <m:sSubPr>
                  <m:ctrlPr>
                    <w:rPr>
                      <w:rFonts w:ascii="Cambria Math" w:hAnsi="Cambria Math" w:cs="Calibri"/>
                      <w:i/>
                      <w:iCs/>
                      <w:sz w:val="22"/>
                      <w:lang w:val="en-US" w:eastAsia="x-none"/>
                    </w:rPr>
                  </m:ctrlPr>
                </m:sSubPr>
                <m:e>
                  <m:r>
                    <w:rPr>
                      <w:rFonts w:ascii="Cambria Math" w:hAnsi="Cambria Math" w:cs="Calibri"/>
                      <w:sz w:val="22"/>
                      <w:lang w:val="en-US" w:eastAsia="x-none"/>
                    </w:rPr>
                    <m:t>L</m:t>
                  </m:r>
                </m:e>
                <m:sub>
                  <m:r>
                    <m:rPr>
                      <m:nor/>
                    </m:rPr>
                    <w:rPr>
                      <w:rFonts w:ascii="Calibri" w:hAnsi="Calibri" w:cs="Calibri"/>
                      <w:sz w:val="22"/>
                      <w:lang w:val="en-US" w:eastAsia="x-none"/>
                    </w:rPr>
                    <m:t>subCH</m:t>
                  </m:r>
                </m:sub>
              </m:sSub>
            </m:oMath>
            <w:r w:rsidRPr="00E818B5">
              <w:rPr>
                <w:rFonts w:ascii="Calibri" w:hAnsi="Calibri" w:cs="Calibri" w:hint="eastAsia"/>
                <w:sz w:val="22"/>
                <w:lang w:val="en-US" w:eastAsia="x-none"/>
              </w:rPr>
              <w:t xml:space="preserve"> sizes</w:t>
            </w:r>
          </w:p>
          <w:p w14:paraId="1BE4DA8D" w14:textId="77777777" w:rsidR="00C87B7A" w:rsidRPr="00E818B5" w:rsidRDefault="00C87B7A">
            <w:pPr>
              <w:numPr>
                <w:ilvl w:val="1"/>
                <w:numId w:val="50"/>
              </w:numPr>
              <w:autoSpaceDE w:val="0"/>
              <w:autoSpaceDN w:val="0"/>
              <w:spacing w:after="60"/>
              <w:jc w:val="both"/>
              <w:rPr>
                <w:rFonts w:ascii="Calibri" w:hAnsi="Calibri" w:cs="Calibri"/>
                <w:sz w:val="22"/>
                <w:lang w:val="en-US" w:eastAsia="x-none"/>
              </w:rPr>
            </w:pPr>
            <w:r w:rsidRPr="00E818B5">
              <w:rPr>
                <w:rFonts w:ascii="Calibri" w:hAnsi="Calibri" w:cs="Calibri" w:hint="eastAsia"/>
                <w:sz w:val="22"/>
                <w:lang w:val="en-US" w:eastAsia="x-none"/>
              </w:rPr>
              <w:t>Option B: L1 reports candidate single-slot resources in (</w:t>
            </w:r>
            <w:r w:rsidRPr="00E818B5">
              <w:rPr>
                <w:rFonts w:ascii="Calibri" w:hAnsi="Calibri" w:cs="Calibri" w:hint="eastAsia"/>
                <w:i/>
                <w:iCs/>
                <w:sz w:val="22"/>
                <w:lang w:val="en-US" w:eastAsia="x-none"/>
              </w:rPr>
              <w:t>S</w:t>
            </w:r>
            <w:r w:rsidRPr="00E818B5">
              <w:rPr>
                <w:rFonts w:ascii="Calibri" w:hAnsi="Calibri" w:cs="Calibri" w:hint="eastAsia"/>
                <w:i/>
                <w:iCs/>
                <w:sz w:val="22"/>
                <w:vertAlign w:val="subscript"/>
                <w:lang w:val="en-US" w:eastAsia="x-none"/>
              </w:rPr>
              <w:t>A</w:t>
            </w:r>
            <w:r w:rsidRPr="00E818B5">
              <w:rPr>
                <w:rFonts w:ascii="Calibri" w:hAnsi="Calibri" w:cs="Calibri" w:hint="eastAsia"/>
                <w:sz w:val="22"/>
                <w:lang w:val="en-US" w:eastAsia="x-none"/>
              </w:rPr>
              <w:t>) as in Rel-16</w:t>
            </w:r>
          </w:p>
          <w:p w14:paraId="35A125CB" w14:textId="77777777" w:rsidR="00C87B7A" w:rsidRDefault="00C87B7A">
            <w:pPr>
              <w:numPr>
                <w:ilvl w:val="2"/>
                <w:numId w:val="50"/>
              </w:numPr>
              <w:autoSpaceDE w:val="0"/>
              <w:autoSpaceDN w:val="0"/>
              <w:spacing w:after="120"/>
              <w:jc w:val="both"/>
              <w:rPr>
                <w:rFonts w:ascii="Calibri" w:hAnsi="Calibri" w:cs="Calibri"/>
                <w:sz w:val="22"/>
                <w:lang w:val="en-US" w:eastAsia="x-none"/>
              </w:rPr>
            </w:pPr>
            <w:r w:rsidRPr="00E818B5">
              <w:rPr>
                <w:rFonts w:ascii="Calibri" w:hAnsi="Calibri" w:cs="Calibri" w:hint="eastAsia"/>
                <w:sz w:val="22"/>
                <w:lang w:val="en-US" w:eastAsia="x-none"/>
              </w:rPr>
              <w:t>It is up to the higher (MAC) layer to select a set of single-slot resources that are consecutive in logical slots</w:t>
            </w:r>
          </w:p>
          <w:p w14:paraId="0233BD08" w14:textId="77777777" w:rsidR="00C87B7A" w:rsidRPr="00F8305A" w:rsidRDefault="00C87B7A">
            <w:pPr>
              <w:numPr>
                <w:ilvl w:val="1"/>
                <w:numId w:val="50"/>
              </w:numPr>
              <w:autoSpaceDE w:val="0"/>
              <w:autoSpaceDN w:val="0"/>
              <w:spacing w:after="60"/>
              <w:jc w:val="both"/>
              <w:rPr>
                <w:rFonts w:ascii="Calibri" w:hAnsi="Calibri" w:cs="Calibri"/>
                <w:sz w:val="22"/>
                <w:lang w:val="en-US" w:eastAsia="x-none"/>
              </w:rPr>
            </w:pPr>
            <w:r w:rsidRPr="00F8305A">
              <w:rPr>
                <w:rFonts w:ascii="Calibri" w:hAnsi="Calibri" w:cs="Calibri" w:hint="eastAsia"/>
                <w:color w:val="00B050"/>
                <w:sz w:val="22"/>
                <w:lang w:val="en-US" w:eastAsia="x-none"/>
              </w:rPr>
              <w:t>FFS: any further information need</w:t>
            </w:r>
            <w:r w:rsidRPr="00F8305A">
              <w:rPr>
                <w:rFonts w:ascii="Calibri" w:hAnsi="Calibri" w:cs="Calibri"/>
                <w:color w:val="00B050"/>
                <w:sz w:val="22"/>
                <w:lang w:val="en-US" w:eastAsia="x-none"/>
              </w:rPr>
              <w:t>s</w:t>
            </w:r>
            <w:r w:rsidRPr="00F8305A">
              <w:rPr>
                <w:rFonts w:ascii="Calibri" w:hAnsi="Calibri" w:cs="Calibri" w:hint="eastAsia"/>
                <w:color w:val="00B050"/>
                <w:sz w:val="22"/>
                <w:lang w:val="en-US" w:eastAsia="x-none"/>
              </w:rPr>
              <w:t xml:space="preserve"> to be </w:t>
            </w:r>
            <w:r w:rsidRPr="00F8305A">
              <w:rPr>
                <w:rFonts w:ascii="Calibri" w:hAnsi="Calibri" w:cs="Calibri"/>
                <w:color w:val="00B050"/>
                <w:sz w:val="22"/>
                <w:lang w:val="en-US" w:eastAsia="x-none"/>
              </w:rPr>
              <w:t>reported</w:t>
            </w:r>
            <w:r w:rsidRPr="00F8305A">
              <w:rPr>
                <w:rFonts w:ascii="Calibri" w:hAnsi="Calibri" w:cs="Calibri" w:hint="eastAsia"/>
                <w:color w:val="00B050"/>
                <w:sz w:val="22"/>
                <w:lang w:val="en-US" w:eastAsia="x-none"/>
              </w:rPr>
              <w:t xml:space="preserve"> to </w:t>
            </w:r>
            <w:r w:rsidRPr="00F8305A">
              <w:rPr>
                <w:rFonts w:ascii="Calibri" w:hAnsi="Calibri" w:cs="Calibri"/>
                <w:color w:val="00B050"/>
                <w:sz w:val="22"/>
                <w:lang w:val="en-US" w:eastAsia="x-none"/>
              </w:rPr>
              <w:t>MAC</w:t>
            </w:r>
            <w:r w:rsidRPr="00F8305A">
              <w:rPr>
                <w:rFonts w:ascii="Calibri" w:hAnsi="Calibri" w:cs="Calibri" w:hint="eastAsia"/>
                <w:color w:val="00B050"/>
                <w:sz w:val="22"/>
                <w:lang w:val="en-US" w:eastAsia="x-none"/>
              </w:rPr>
              <w:t xml:space="preserve"> </w:t>
            </w:r>
            <w:r>
              <w:rPr>
                <w:rFonts w:ascii="Calibri" w:hAnsi="Calibri" w:cs="Calibri"/>
                <w:color w:val="00B050"/>
                <w:sz w:val="22"/>
                <w:lang w:val="en-US" w:eastAsia="x-none"/>
              </w:rPr>
              <w:t xml:space="preserve">layer </w:t>
            </w:r>
            <w:r w:rsidRPr="00F8305A">
              <w:rPr>
                <w:rFonts w:ascii="Calibri" w:hAnsi="Calibri" w:cs="Calibri" w:hint="eastAsia"/>
                <w:color w:val="00B050"/>
                <w:sz w:val="22"/>
                <w:lang w:val="en-US" w:eastAsia="x-none"/>
              </w:rPr>
              <w:t>for MCSt</w:t>
            </w:r>
          </w:p>
          <w:p w14:paraId="15E79F0B" w14:textId="77777777" w:rsidR="00C87B7A" w:rsidRDefault="00C87B7A" w:rsidP="006B2419">
            <w:pPr>
              <w:pStyle w:val="0Maintext"/>
              <w:spacing w:after="0" w:afterAutospacing="0"/>
              <w:ind w:firstLine="0"/>
              <w:rPr>
                <w:rFonts w:eastAsiaTheme="minorEastAsia"/>
                <w:lang w:eastAsia="zh-CN"/>
              </w:rPr>
            </w:pPr>
            <w:r>
              <w:rPr>
                <w:rFonts w:eastAsiaTheme="minorEastAsia" w:hint="eastAsia"/>
                <w:lang w:eastAsia="zh-CN"/>
              </w:rPr>
              <w:t>I</w:t>
            </w:r>
            <w:r>
              <w:rPr>
                <w:rFonts w:eastAsiaTheme="minorEastAsia"/>
                <w:lang w:eastAsia="zh-CN"/>
              </w:rPr>
              <w:t xml:space="preserve">n addition, resource allocation mode 1 and mode 2 should be triggered for discussion, since there are essential issues to be addressed in SL-U, including </w:t>
            </w:r>
            <w:r w:rsidRPr="007A532C">
              <w:rPr>
                <w:rFonts w:eastAsiaTheme="minorEastAsia"/>
                <w:lang w:eastAsia="zh-CN"/>
              </w:rPr>
              <w:t>inter-UE blocking issue</w:t>
            </w:r>
            <w:r>
              <w:rPr>
                <w:rFonts w:eastAsiaTheme="minorEastAsia"/>
                <w:lang w:eastAsia="zh-CN"/>
              </w:rPr>
              <w:t xml:space="preserve"> and COT sharing for both mode 1 and mode 2, </w:t>
            </w:r>
            <w:r w:rsidRPr="007A532C">
              <w:rPr>
                <w:rFonts w:eastAsiaTheme="minorEastAsia"/>
                <w:lang w:eastAsia="zh-CN"/>
              </w:rPr>
              <w:t>the timing relationship</w:t>
            </w:r>
            <w:r>
              <w:t xml:space="preserve"> </w:t>
            </w:r>
            <w:r w:rsidRPr="00185B2E">
              <w:rPr>
                <w:rFonts w:eastAsiaTheme="minorEastAsia"/>
                <w:lang w:eastAsia="zh-CN"/>
              </w:rPr>
              <w:t>of trigger LBT and resource selection</w:t>
            </w:r>
            <w:r>
              <w:rPr>
                <w:rFonts w:eastAsiaTheme="minorEastAsia"/>
                <w:lang w:eastAsia="zh-CN"/>
              </w:rPr>
              <w:t xml:space="preserve"> for mode 2. The issues are also related to MCSt to enable transmission of </w:t>
            </w:r>
            <w:r w:rsidRPr="00AA16F4">
              <w:rPr>
                <w:rFonts w:eastAsiaTheme="minorEastAsia"/>
                <w:lang w:eastAsia="zh-CN"/>
              </w:rPr>
              <w:t xml:space="preserve">multiple TBs </w:t>
            </w:r>
            <w:r>
              <w:rPr>
                <w:rFonts w:eastAsiaTheme="minorEastAsia"/>
                <w:lang w:eastAsia="zh-CN"/>
              </w:rPr>
              <w:t xml:space="preserve">from </w:t>
            </w:r>
            <w:r w:rsidRPr="00AA16F4">
              <w:rPr>
                <w:rFonts w:eastAsiaTheme="minorEastAsia"/>
                <w:lang w:eastAsia="zh-CN"/>
              </w:rPr>
              <w:t>multiple UEs</w:t>
            </w:r>
            <w:r>
              <w:rPr>
                <w:rFonts w:eastAsiaTheme="minorEastAsia"/>
                <w:lang w:eastAsia="zh-CN"/>
              </w:rPr>
              <w:t xml:space="preserve"> for COT sharing.</w:t>
            </w:r>
            <w:r>
              <w:rPr>
                <w:rFonts w:eastAsiaTheme="minorEastAsia" w:hint="eastAsia"/>
                <w:lang w:eastAsia="zh-CN"/>
              </w:rPr>
              <w:t xml:space="preserve"> </w:t>
            </w:r>
            <w:r>
              <w:rPr>
                <w:rFonts w:eastAsiaTheme="minorEastAsia"/>
                <w:lang w:eastAsia="zh-CN"/>
              </w:rPr>
              <w:t xml:space="preserve">Therefore, we propose to have a general proposal to </w:t>
            </w:r>
            <w:r w:rsidRPr="00185B2E">
              <w:rPr>
                <w:rFonts w:eastAsiaTheme="minorEastAsia"/>
                <w:lang w:eastAsia="zh-CN"/>
              </w:rPr>
              <w:t>introduce the basic problems on mode 1 and 2</w:t>
            </w:r>
            <w:r>
              <w:rPr>
                <w:rFonts w:eastAsiaTheme="minorEastAsia"/>
                <w:lang w:eastAsia="zh-CN"/>
              </w:rPr>
              <w:t>:</w:t>
            </w:r>
          </w:p>
          <w:p w14:paraId="71CD393E" w14:textId="77777777" w:rsidR="00C87B7A" w:rsidRPr="00DF6A55" w:rsidRDefault="00C87B7A" w:rsidP="006B2419">
            <w:pPr>
              <w:kinsoku w:val="0"/>
              <w:jc w:val="both"/>
              <w:rPr>
                <w:rFonts w:ascii="Times New Roman" w:eastAsiaTheme="minorEastAsia" w:hAnsi="Times New Roman"/>
                <w:b/>
                <w:i/>
                <w:szCs w:val="20"/>
                <w:lang w:eastAsia="zh-CN"/>
              </w:rPr>
            </w:pPr>
            <w:r w:rsidRPr="00DF6A55">
              <w:rPr>
                <w:rFonts w:ascii="Times New Roman" w:eastAsiaTheme="minorEastAsia" w:hAnsi="Times New Roman"/>
                <w:b/>
                <w:i/>
                <w:szCs w:val="20"/>
                <w:lang w:eastAsia="zh-CN"/>
              </w:rPr>
              <w:t xml:space="preserve">Proposal: RAN1 should further study the following </w:t>
            </w:r>
            <w:r>
              <w:rPr>
                <w:rFonts w:ascii="Times New Roman" w:eastAsiaTheme="minorEastAsia" w:hAnsi="Times New Roman"/>
                <w:b/>
                <w:i/>
                <w:szCs w:val="20"/>
                <w:lang w:eastAsia="zh-CN"/>
              </w:rPr>
              <w:t xml:space="preserve">issue </w:t>
            </w:r>
            <w:r w:rsidRPr="00DF6A55">
              <w:rPr>
                <w:rFonts w:ascii="Times New Roman" w:eastAsiaTheme="minorEastAsia" w:hAnsi="Times New Roman"/>
                <w:b/>
                <w:i/>
                <w:szCs w:val="20"/>
                <w:lang w:eastAsia="zh-CN"/>
              </w:rPr>
              <w:t>on mode 1 and mode2</w:t>
            </w:r>
          </w:p>
          <w:p w14:paraId="691A04F8" w14:textId="77777777" w:rsidR="00C87B7A" w:rsidRPr="00DF6A55" w:rsidRDefault="00C87B7A">
            <w:pPr>
              <w:pStyle w:val="ListParagraph"/>
              <w:numPr>
                <w:ilvl w:val="0"/>
                <w:numId w:val="50"/>
              </w:numPr>
              <w:kinsoku w:val="0"/>
              <w:ind w:leftChars="0"/>
              <w:jc w:val="both"/>
              <w:rPr>
                <w:rFonts w:ascii="Times New Roman" w:eastAsiaTheme="minorEastAsia" w:hAnsi="Times New Roman"/>
                <w:b/>
                <w:i/>
                <w:szCs w:val="20"/>
                <w:lang w:eastAsia="zh-CN"/>
              </w:rPr>
            </w:pPr>
            <w:r w:rsidRPr="00DF6A55">
              <w:rPr>
                <w:rFonts w:ascii="Times New Roman" w:eastAsiaTheme="minorEastAsia" w:hAnsi="Times New Roman"/>
                <w:b/>
                <w:i/>
                <w:szCs w:val="20"/>
                <w:lang w:eastAsia="zh-CN"/>
              </w:rPr>
              <w:t>Inter-UE blocking issue and COT sharing procedure for both mode 1 and mode 2</w:t>
            </w:r>
          </w:p>
          <w:p w14:paraId="22147C22" w14:textId="2E06F206" w:rsidR="00C87B7A" w:rsidRPr="00D9221C" w:rsidRDefault="00C87B7A">
            <w:pPr>
              <w:pStyle w:val="ListParagraph"/>
              <w:numPr>
                <w:ilvl w:val="0"/>
                <w:numId w:val="50"/>
              </w:numPr>
              <w:kinsoku w:val="0"/>
              <w:ind w:leftChars="0"/>
              <w:jc w:val="both"/>
              <w:rPr>
                <w:rFonts w:ascii="Times New Roman" w:eastAsiaTheme="minorEastAsia" w:hAnsi="Times New Roman"/>
                <w:b/>
                <w:i/>
                <w:szCs w:val="20"/>
                <w:lang w:eastAsia="zh-CN"/>
              </w:rPr>
            </w:pPr>
            <w:r w:rsidRPr="00DF6A55">
              <w:rPr>
                <w:rFonts w:ascii="Times New Roman" w:eastAsiaTheme="minorEastAsia" w:hAnsi="Times New Roman"/>
                <w:b/>
                <w:i/>
                <w:szCs w:val="20"/>
                <w:lang w:eastAsia="zh-CN"/>
              </w:rPr>
              <w:t>Timing relationship of trigger LBT and resource selection for mode 2</w:t>
            </w:r>
          </w:p>
        </w:tc>
      </w:tr>
    </w:tbl>
    <w:p w14:paraId="08B25572" w14:textId="77777777" w:rsidR="001D6E06" w:rsidRPr="00BC27C3" w:rsidRDefault="001D6E06" w:rsidP="001D6E06">
      <w:pPr>
        <w:autoSpaceDE w:val="0"/>
        <w:autoSpaceDN w:val="0"/>
        <w:jc w:val="both"/>
        <w:rPr>
          <w:rFonts w:ascii="Calibri" w:hAnsi="Calibri" w:cs="Calibri"/>
          <w:color w:val="FF0000"/>
          <w:sz w:val="22"/>
        </w:rPr>
      </w:pPr>
    </w:p>
    <w:p w14:paraId="1A422A34" w14:textId="75CB003A" w:rsidR="00E818B5" w:rsidRDefault="00E818B5" w:rsidP="00E818B5">
      <w:pPr>
        <w:pStyle w:val="Heading3"/>
      </w:pPr>
      <w:r>
        <w:lastRenderedPageBreak/>
        <w:t xml:space="preserve">FL Proposals for round </w:t>
      </w:r>
      <w:r w:rsidR="00BC27C3">
        <w:t>2</w:t>
      </w:r>
      <w:r>
        <w:t xml:space="preserve"> </w:t>
      </w:r>
      <w:r w:rsidR="00F468D5">
        <w:t>discussion</w:t>
      </w:r>
    </w:p>
    <w:p w14:paraId="1CF0168C" w14:textId="77777777" w:rsidR="00717A4C" w:rsidRPr="00D567B9" w:rsidRDefault="00717A4C" w:rsidP="00717A4C">
      <w:pPr>
        <w:autoSpaceDE w:val="0"/>
        <w:autoSpaceDN w:val="0"/>
        <w:spacing w:before="120" w:after="120"/>
        <w:jc w:val="both"/>
        <w:rPr>
          <w:rFonts w:ascii="Calibri" w:hAnsi="Calibri" w:cs="Calibri"/>
          <w:sz w:val="22"/>
          <w:u w:val="single"/>
        </w:rPr>
      </w:pPr>
      <w:r w:rsidRPr="00D567B9">
        <w:rPr>
          <w:rFonts w:ascii="Calibri" w:hAnsi="Calibri" w:cs="Calibri"/>
          <w:sz w:val="22"/>
          <w:u w:val="single"/>
        </w:rPr>
        <w:t xml:space="preserve">FL </w:t>
      </w:r>
      <w:r>
        <w:rPr>
          <w:rFonts w:ascii="Calibri" w:hAnsi="Calibri" w:cs="Calibri"/>
          <w:sz w:val="22"/>
          <w:u w:val="single"/>
        </w:rPr>
        <w:t>responses</w:t>
      </w:r>
      <w:r w:rsidRPr="00D567B9">
        <w:rPr>
          <w:rFonts w:ascii="Calibri" w:hAnsi="Calibri" w:cs="Calibri"/>
          <w:sz w:val="22"/>
          <w:u w:val="single"/>
        </w:rPr>
        <w:t xml:space="preserve"> based on </w:t>
      </w:r>
      <w:r>
        <w:rPr>
          <w:rFonts w:ascii="Calibri" w:hAnsi="Calibri" w:cs="Calibri"/>
          <w:sz w:val="22"/>
          <w:u w:val="single"/>
        </w:rPr>
        <w:t>Round 1 inputs on Proposal 6 (I)</w:t>
      </w:r>
      <w:r w:rsidRPr="00D567B9">
        <w:rPr>
          <w:rFonts w:ascii="Calibri" w:hAnsi="Calibri" w:cs="Calibri"/>
          <w:sz w:val="22"/>
          <w:u w:val="single"/>
        </w:rPr>
        <w:t>:</w:t>
      </w:r>
    </w:p>
    <w:p w14:paraId="1500CBC6" w14:textId="2E30207D" w:rsidR="00717A4C" w:rsidRDefault="00717A4C" w:rsidP="00717A4C">
      <w:pPr>
        <w:pStyle w:val="ListParagraph"/>
        <w:numPr>
          <w:ilvl w:val="0"/>
          <w:numId w:val="18"/>
        </w:numPr>
        <w:autoSpaceDE w:val="0"/>
        <w:autoSpaceDN w:val="0"/>
        <w:spacing w:before="120"/>
        <w:ind w:leftChars="0"/>
        <w:jc w:val="both"/>
        <w:rPr>
          <w:rFonts w:ascii="Calibri" w:hAnsi="Calibri" w:cs="Calibri"/>
          <w:sz w:val="22"/>
        </w:rPr>
      </w:pPr>
      <w:r>
        <w:rPr>
          <w:rFonts w:ascii="Calibri" w:hAnsi="Calibri" w:cs="Calibri"/>
          <w:sz w:val="22"/>
        </w:rPr>
        <w:t xml:space="preserve">Option 1: </w:t>
      </w:r>
      <w:r w:rsidR="00C97CD7">
        <w:rPr>
          <w:rFonts w:ascii="Calibri" w:hAnsi="Calibri" w:cs="Calibri"/>
          <w:sz w:val="22"/>
        </w:rPr>
        <w:t>IDCC, Intel, Apple, OPPO, CableLabs, LGE, Spreadtrum, Sony, CMCC, vivo</w:t>
      </w:r>
      <w:r w:rsidR="00AC40A3">
        <w:rPr>
          <w:rFonts w:ascii="Calibri" w:hAnsi="Calibri" w:cs="Calibri"/>
          <w:sz w:val="22"/>
        </w:rPr>
        <w:t>, NEC, xiaomi, CATT/GH</w:t>
      </w:r>
      <w:r w:rsidR="00CE31E3">
        <w:rPr>
          <w:rFonts w:ascii="Calibri" w:hAnsi="Calibri" w:cs="Calibri"/>
          <w:sz w:val="22"/>
        </w:rPr>
        <w:t>, ZTE/SC, Sharp, Transsion, Fraunhofer, Futurewei</w:t>
      </w:r>
    </w:p>
    <w:p w14:paraId="78ECCD04" w14:textId="3ED8E7C0" w:rsidR="00717A4C" w:rsidRDefault="00717A4C" w:rsidP="00717A4C">
      <w:pPr>
        <w:pStyle w:val="ListParagraph"/>
        <w:numPr>
          <w:ilvl w:val="0"/>
          <w:numId w:val="18"/>
        </w:numPr>
        <w:autoSpaceDE w:val="0"/>
        <w:autoSpaceDN w:val="0"/>
        <w:spacing w:before="120"/>
        <w:ind w:leftChars="0"/>
        <w:jc w:val="both"/>
        <w:rPr>
          <w:rFonts w:ascii="Calibri" w:hAnsi="Calibri" w:cs="Calibri"/>
          <w:sz w:val="22"/>
        </w:rPr>
      </w:pPr>
      <w:r>
        <w:rPr>
          <w:rFonts w:ascii="Calibri" w:hAnsi="Calibri" w:cs="Calibri"/>
          <w:sz w:val="22"/>
        </w:rPr>
        <w:t>Option 2:</w:t>
      </w:r>
      <w:r w:rsidR="00CE31E3">
        <w:rPr>
          <w:rFonts w:ascii="Calibri" w:hAnsi="Calibri" w:cs="Calibri"/>
          <w:sz w:val="22"/>
        </w:rPr>
        <w:t xml:space="preserve"> HW/HiSi</w:t>
      </w:r>
    </w:p>
    <w:p w14:paraId="25E1BD1A" w14:textId="4FB36E79" w:rsidR="00717A4C" w:rsidRDefault="00717A4C" w:rsidP="00717A4C">
      <w:pPr>
        <w:pStyle w:val="ListParagraph"/>
        <w:numPr>
          <w:ilvl w:val="0"/>
          <w:numId w:val="18"/>
        </w:numPr>
        <w:autoSpaceDE w:val="0"/>
        <w:autoSpaceDN w:val="0"/>
        <w:spacing w:before="120"/>
        <w:ind w:leftChars="0"/>
        <w:jc w:val="both"/>
        <w:rPr>
          <w:rFonts w:ascii="Calibri" w:hAnsi="Calibri" w:cs="Calibri"/>
          <w:sz w:val="22"/>
        </w:rPr>
      </w:pPr>
      <w:r>
        <w:rPr>
          <w:rFonts w:ascii="Calibri" w:hAnsi="Calibri" w:cs="Calibri"/>
          <w:sz w:val="22"/>
        </w:rPr>
        <w:t>Option A:</w:t>
      </w:r>
      <w:r w:rsidR="00C97CD7">
        <w:rPr>
          <w:rFonts w:ascii="Calibri" w:hAnsi="Calibri" w:cs="Calibri"/>
          <w:sz w:val="22"/>
        </w:rPr>
        <w:t xml:space="preserve"> IDCC, Intel, Apple, OPPO, CableLabs, LGE, Spreadtrum, Sony, CMCC, Samsung, </w:t>
      </w:r>
      <w:r w:rsidR="00AC40A3">
        <w:rPr>
          <w:rFonts w:ascii="Calibri" w:hAnsi="Calibri" w:cs="Calibri"/>
          <w:sz w:val="22"/>
        </w:rPr>
        <w:t>xiaomi, CATT/GH</w:t>
      </w:r>
      <w:r w:rsidR="00CE31E3">
        <w:rPr>
          <w:rFonts w:ascii="Calibri" w:hAnsi="Calibri" w:cs="Calibri"/>
          <w:sz w:val="22"/>
        </w:rPr>
        <w:t>, Transsion, Ericsson, Futurewei</w:t>
      </w:r>
    </w:p>
    <w:p w14:paraId="5E32C5F5" w14:textId="3021F41A" w:rsidR="00717A4C" w:rsidRPr="00717A4C" w:rsidRDefault="00717A4C" w:rsidP="00717A4C">
      <w:pPr>
        <w:pStyle w:val="ListParagraph"/>
        <w:numPr>
          <w:ilvl w:val="0"/>
          <w:numId w:val="18"/>
        </w:numPr>
        <w:autoSpaceDE w:val="0"/>
        <w:autoSpaceDN w:val="0"/>
        <w:spacing w:before="120"/>
        <w:ind w:leftChars="0"/>
        <w:jc w:val="both"/>
        <w:rPr>
          <w:rFonts w:ascii="Calibri" w:hAnsi="Calibri" w:cs="Calibri"/>
          <w:sz w:val="22"/>
        </w:rPr>
      </w:pPr>
      <w:r>
        <w:rPr>
          <w:rFonts w:ascii="Calibri" w:hAnsi="Calibri" w:cs="Calibri"/>
          <w:sz w:val="22"/>
        </w:rPr>
        <w:t xml:space="preserve">Option B: </w:t>
      </w:r>
      <w:r w:rsidR="00C97CD7">
        <w:rPr>
          <w:rFonts w:ascii="Calibri" w:hAnsi="Calibri" w:cs="Calibri"/>
          <w:sz w:val="22"/>
        </w:rPr>
        <w:t xml:space="preserve">[OPPO], vivo, </w:t>
      </w:r>
      <w:r w:rsidR="00AC40A3">
        <w:rPr>
          <w:rFonts w:ascii="Calibri" w:hAnsi="Calibri" w:cs="Calibri"/>
          <w:sz w:val="22"/>
        </w:rPr>
        <w:t>NEC, CATT/GH</w:t>
      </w:r>
      <w:r w:rsidR="00CE31E3">
        <w:rPr>
          <w:rFonts w:ascii="Calibri" w:hAnsi="Calibri" w:cs="Calibri"/>
          <w:sz w:val="22"/>
        </w:rPr>
        <w:t>, Sharp, Fraunhofer</w:t>
      </w:r>
    </w:p>
    <w:p w14:paraId="5A9615CA" w14:textId="77777777" w:rsidR="00717A4C" w:rsidRDefault="00717A4C" w:rsidP="00717A4C">
      <w:pPr>
        <w:autoSpaceDE w:val="0"/>
        <w:autoSpaceDN w:val="0"/>
        <w:spacing w:after="120"/>
        <w:jc w:val="both"/>
        <w:rPr>
          <w:rFonts w:ascii="Calibri" w:hAnsi="Calibri" w:cs="Calibri"/>
          <w:sz w:val="22"/>
        </w:rPr>
      </w:pPr>
    </w:p>
    <w:p w14:paraId="2F376FAE" w14:textId="3CAA555A" w:rsidR="00717A4C" w:rsidRPr="00C65E36" w:rsidRDefault="00717A4C" w:rsidP="00717A4C">
      <w:pPr>
        <w:autoSpaceDE w:val="0"/>
        <w:autoSpaceDN w:val="0"/>
        <w:spacing w:before="120"/>
        <w:jc w:val="both"/>
        <w:rPr>
          <w:rFonts w:ascii="Calibri" w:hAnsi="Calibri" w:cs="Calibri"/>
          <w:sz w:val="22"/>
        </w:rPr>
      </w:pPr>
      <w:r w:rsidRPr="007A64D6">
        <w:rPr>
          <w:rFonts w:ascii="Calibri" w:hAnsi="Calibri" w:cs="Calibri"/>
          <w:b/>
          <w:bCs/>
          <w:sz w:val="22"/>
        </w:rPr>
        <w:t>Proposal 7 (II):</w:t>
      </w:r>
      <w:r w:rsidRPr="00102735">
        <w:rPr>
          <w:rFonts w:ascii="Calibri" w:hAnsi="Calibri" w:cs="Calibri"/>
          <w:sz w:val="22"/>
        </w:rPr>
        <w:t xml:space="preserve"> </w:t>
      </w:r>
    </w:p>
    <w:p w14:paraId="7CC4424B" w14:textId="77777777" w:rsidR="00717A4C" w:rsidRPr="00E818B5" w:rsidRDefault="00717A4C" w:rsidP="00717A4C">
      <w:pPr>
        <w:numPr>
          <w:ilvl w:val="0"/>
          <w:numId w:val="27"/>
        </w:numPr>
        <w:autoSpaceDE w:val="0"/>
        <w:autoSpaceDN w:val="0"/>
        <w:spacing w:after="60"/>
        <w:jc w:val="both"/>
        <w:rPr>
          <w:rFonts w:ascii="Calibri" w:hAnsi="Calibri" w:cs="Calibri"/>
          <w:sz w:val="22"/>
          <w:lang w:val="en-US" w:eastAsia="x-none"/>
        </w:rPr>
      </w:pPr>
      <w:r w:rsidRPr="00E818B5">
        <w:rPr>
          <w:rFonts w:ascii="Calibri" w:hAnsi="Calibri" w:cs="Calibri" w:hint="eastAsia"/>
          <w:sz w:val="22"/>
          <w:lang w:val="en-US" w:eastAsia="x-none"/>
        </w:rPr>
        <w:t>When L1 is triggered for reporting a subset of candidate resources for MCSt,</w:t>
      </w:r>
    </w:p>
    <w:p w14:paraId="10304085" w14:textId="77777777" w:rsidR="00717A4C" w:rsidRPr="00E818B5" w:rsidRDefault="00717A4C" w:rsidP="00717A4C">
      <w:pPr>
        <w:numPr>
          <w:ilvl w:val="1"/>
          <w:numId w:val="27"/>
        </w:numPr>
        <w:autoSpaceDE w:val="0"/>
        <w:autoSpaceDN w:val="0"/>
        <w:spacing w:after="60"/>
        <w:jc w:val="both"/>
        <w:rPr>
          <w:rFonts w:ascii="Calibri" w:hAnsi="Calibri" w:cs="Calibri"/>
          <w:sz w:val="22"/>
          <w:lang w:val="en-US" w:eastAsia="x-none"/>
        </w:rPr>
      </w:pPr>
      <w:r w:rsidRPr="00E818B5">
        <w:rPr>
          <w:rFonts w:ascii="Calibri" w:hAnsi="Calibri" w:cs="Calibri" w:hint="eastAsia"/>
          <w:sz w:val="22"/>
          <w:lang w:val="en-US" w:eastAsia="x-none"/>
        </w:rPr>
        <w:t>Option 1: Only one set of parameters (</w:t>
      </w:r>
      <m:oMath>
        <m:r>
          <w:rPr>
            <w:rFonts w:ascii="Cambria Math" w:hAnsi="Cambria Math" w:cs="Calibri"/>
            <w:sz w:val="22"/>
            <w:lang w:val="en-US" w:eastAsia="x-none"/>
          </w:rPr>
          <m:t>pri</m:t>
        </m:r>
        <m:sSub>
          <m:sSubPr>
            <m:ctrlPr>
              <w:rPr>
                <w:rFonts w:ascii="Cambria Math" w:hAnsi="Cambria Math" w:cs="Calibri"/>
                <w:i/>
                <w:iCs/>
                <w:sz w:val="22"/>
                <w:lang w:val="en-US" w:eastAsia="x-none"/>
              </w:rPr>
            </m:ctrlPr>
          </m:sSubPr>
          <m:e>
            <m:r>
              <w:rPr>
                <w:rFonts w:ascii="Cambria Math" w:hAnsi="Cambria Math" w:cs="Calibri"/>
                <w:sz w:val="22"/>
                <w:lang w:val="en-US" w:eastAsia="x-none"/>
              </w:rPr>
              <m:t>o</m:t>
            </m:r>
          </m:e>
          <m:sub>
            <m:r>
              <w:rPr>
                <w:rFonts w:ascii="Cambria Math" w:hAnsi="Cambria Math" w:cs="Calibri"/>
                <w:sz w:val="22"/>
                <w:lang w:val="en-US" w:eastAsia="x-none"/>
              </w:rPr>
              <m:t>TX</m:t>
            </m:r>
          </m:sub>
        </m:sSub>
      </m:oMath>
      <w:r w:rsidRPr="00E818B5">
        <w:rPr>
          <w:rFonts w:ascii="Calibri" w:hAnsi="Calibri" w:cs="Calibri" w:hint="eastAsia"/>
          <w:sz w:val="22"/>
          <w:lang w:val="en-US" w:eastAsia="x-none"/>
        </w:rPr>
        <w:t xml:space="preserve">, remaining PDB, </w:t>
      </w:r>
      <m:oMath>
        <m:sSub>
          <m:sSubPr>
            <m:ctrlPr>
              <w:rPr>
                <w:rFonts w:ascii="Cambria Math" w:hAnsi="Cambria Math" w:cs="Calibri"/>
                <w:i/>
                <w:iCs/>
                <w:sz w:val="22"/>
                <w:lang w:val="en-US" w:eastAsia="x-none"/>
              </w:rPr>
            </m:ctrlPr>
          </m:sSubPr>
          <m:e>
            <m:r>
              <w:rPr>
                <w:rFonts w:ascii="Cambria Math" w:hAnsi="Cambria Math" w:cs="Calibri"/>
                <w:sz w:val="22"/>
                <w:lang w:val="en-US" w:eastAsia="x-none"/>
              </w:rPr>
              <m:t>L</m:t>
            </m:r>
          </m:e>
          <m:sub>
            <m:r>
              <m:rPr>
                <m:nor/>
              </m:rPr>
              <w:rPr>
                <w:rFonts w:ascii="Calibri" w:hAnsi="Calibri" w:cs="Calibri"/>
                <w:sz w:val="22"/>
                <w:lang w:val="en-US" w:eastAsia="x-none"/>
              </w:rPr>
              <m:t>subCH</m:t>
            </m:r>
          </m:sub>
        </m:sSub>
      </m:oMath>
      <w:r w:rsidRPr="00E818B5">
        <w:rPr>
          <w:rFonts w:ascii="Calibri" w:hAnsi="Calibri" w:cs="Calibri" w:hint="eastAsia"/>
          <w:sz w:val="22"/>
          <w:lang w:val="en-US" w:eastAsia="x-none"/>
        </w:rPr>
        <w:t xml:space="preserve"> and </w:t>
      </w:r>
      <m:oMath>
        <m:sSub>
          <m:sSubPr>
            <m:ctrlPr>
              <w:rPr>
                <w:rFonts w:ascii="Cambria Math" w:hAnsi="Cambria Math" w:cs="Calibri"/>
                <w:i/>
                <w:iCs/>
                <w:sz w:val="22"/>
                <w:lang w:val="en-US" w:eastAsia="x-none"/>
              </w:rPr>
            </m:ctrlPr>
          </m:sSubPr>
          <m:e>
            <m:r>
              <w:rPr>
                <w:rFonts w:ascii="Cambria Math" w:hAnsi="Cambria Math" w:cs="Calibri"/>
                <w:sz w:val="22"/>
                <w:lang w:val="en-US" w:eastAsia="x-none"/>
              </w:rPr>
              <m:t>P</m:t>
            </m:r>
          </m:e>
          <m:sub>
            <m:r>
              <m:rPr>
                <m:nor/>
              </m:rPr>
              <w:rPr>
                <w:rFonts w:ascii="Calibri" w:hAnsi="Calibri" w:cs="Calibri" w:hint="eastAsia"/>
                <w:sz w:val="22"/>
                <w:lang w:val="en-US" w:eastAsia="x-none"/>
              </w:rPr>
              <m:t>rsvp_TX</m:t>
            </m:r>
          </m:sub>
        </m:sSub>
      </m:oMath>
      <w:r w:rsidRPr="00E818B5">
        <w:rPr>
          <w:rFonts w:ascii="Calibri" w:hAnsi="Calibri" w:cs="Calibri" w:hint="eastAsia"/>
          <w:sz w:val="22"/>
          <w:lang w:val="en-US" w:eastAsia="x-none"/>
        </w:rPr>
        <w:t>) is provided for the resource selection procedure in L1 (same as Rel-16)</w:t>
      </w:r>
    </w:p>
    <w:p w14:paraId="2627D8CD" w14:textId="77777777" w:rsidR="00717A4C" w:rsidRPr="00E818B5" w:rsidRDefault="00717A4C" w:rsidP="00717A4C">
      <w:pPr>
        <w:numPr>
          <w:ilvl w:val="2"/>
          <w:numId w:val="27"/>
        </w:numPr>
        <w:tabs>
          <w:tab w:val="num" w:pos="2160"/>
        </w:tabs>
        <w:autoSpaceDE w:val="0"/>
        <w:autoSpaceDN w:val="0"/>
        <w:spacing w:after="60"/>
        <w:jc w:val="both"/>
        <w:rPr>
          <w:rFonts w:ascii="Calibri" w:hAnsi="Calibri" w:cs="Calibri"/>
          <w:sz w:val="22"/>
          <w:lang w:val="en-US" w:eastAsia="x-none"/>
        </w:rPr>
      </w:pPr>
      <w:r w:rsidRPr="00E818B5">
        <w:rPr>
          <w:rFonts w:ascii="Calibri" w:hAnsi="Calibri" w:cs="Calibri" w:hint="eastAsia"/>
          <w:sz w:val="22"/>
          <w:lang w:val="en-US" w:eastAsia="x-none"/>
        </w:rPr>
        <w:t>Note, this is applicable for transmission of a single TB and multiple TBs</w:t>
      </w:r>
      <w:r w:rsidRPr="00CE31E3">
        <w:rPr>
          <w:rFonts w:ascii="Calibri" w:hAnsi="Calibri" w:cs="Calibri" w:hint="eastAsia"/>
          <w:strike/>
          <w:color w:val="FF0000"/>
          <w:sz w:val="22"/>
          <w:lang w:val="en-US" w:eastAsia="x-none"/>
        </w:rPr>
        <w:t xml:space="preserve"> (by triggering this procedure multiple times)</w:t>
      </w:r>
    </w:p>
    <w:p w14:paraId="61B509EF" w14:textId="77777777" w:rsidR="00717A4C" w:rsidRPr="00E818B5" w:rsidRDefault="00717A4C" w:rsidP="00717A4C">
      <w:pPr>
        <w:numPr>
          <w:ilvl w:val="1"/>
          <w:numId w:val="27"/>
        </w:numPr>
        <w:autoSpaceDE w:val="0"/>
        <w:autoSpaceDN w:val="0"/>
        <w:spacing w:after="60"/>
        <w:jc w:val="both"/>
        <w:rPr>
          <w:rFonts w:ascii="Calibri" w:hAnsi="Calibri" w:cs="Calibri"/>
          <w:sz w:val="22"/>
          <w:lang w:val="en-US" w:eastAsia="x-none"/>
        </w:rPr>
      </w:pPr>
      <w:r w:rsidRPr="00E818B5">
        <w:rPr>
          <w:rFonts w:ascii="Calibri" w:hAnsi="Calibri" w:cs="Calibri" w:hint="eastAsia"/>
          <w:sz w:val="22"/>
          <w:lang w:val="en-US" w:eastAsia="x-none"/>
        </w:rPr>
        <w:t>Option 2: Multiple sets of parameters (</w:t>
      </w:r>
      <m:oMath>
        <m:r>
          <w:rPr>
            <w:rFonts w:ascii="Cambria Math" w:hAnsi="Cambria Math" w:cs="Calibri"/>
            <w:sz w:val="22"/>
            <w:lang w:val="en-US" w:eastAsia="x-none"/>
          </w:rPr>
          <m:t>pri</m:t>
        </m:r>
        <m:sSub>
          <m:sSubPr>
            <m:ctrlPr>
              <w:rPr>
                <w:rFonts w:ascii="Cambria Math" w:hAnsi="Cambria Math" w:cs="Calibri"/>
                <w:i/>
                <w:iCs/>
                <w:sz w:val="22"/>
                <w:lang w:val="en-US" w:eastAsia="x-none"/>
              </w:rPr>
            </m:ctrlPr>
          </m:sSubPr>
          <m:e>
            <m:r>
              <w:rPr>
                <w:rFonts w:ascii="Cambria Math" w:hAnsi="Cambria Math" w:cs="Calibri"/>
                <w:sz w:val="22"/>
                <w:lang w:val="en-US" w:eastAsia="x-none"/>
              </w:rPr>
              <m:t>o</m:t>
            </m:r>
          </m:e>
          <m:sub>
            <m:r>
              <w:rPr>
                <w:rFonts w:ascii="Cambria Math" w:hAnsi="Cambria Math" w:cs="Calibri"/>
                <w:sz w:val="22"/>
                <w:lang w:val="en-US" w:eastAsia="x-none"/>
              </w:rPr>
              <m:t>TX</m:t>
            </m:r>
          </m:sub>
        </m:sSub>
      </m:oMath>
      <w:r w:rsidRPr="00E818B5">
        <w:rPr>
          <w:rFonts w:ascii="Calibri" w:hAnsi="Calibri" w:cs="Calibri" w:hint="eastAsia"/>
          <w:sz w:val="22"/>
          <w:lang w:val="en-US" w:eastAsia="x-none"/>
        </w:rPr>
        <w:t xml:space="preserve">, remaining PDB, </w:t>
      </w:r>
      <m:oMath>
        <m:sSub>
          <m:sSubPr>
            <m:ctrlPr>
              <w:rPr>
                <w:rFonts w:ascii="Cambria Math" w:hAnsi="Cambria Math" w:cs="Calibri"/>
                <w:i/>
                <w:iCs/>
                <w:sz w:val="22"/>
                <w:lang w:val="en-US" w:eastAsia="x-none"/>
              </w:rPr>
            </m:ctrlPr>
          </m:sSubPr>
          <m:e>
            <m:r>
              <w:rPr>
                <w:rFonts w:ascii="Cambria Math" w:hAnsi="Cambria Math" w:cs="Calibri"/>
                <w:sz w:val="22"/>
                <w:lang w:val="en-US" w:eastAsia="x-none"/>
              </w:rPr>
              <m:t>L</m:t>
            </m:r>
          </m:e>
          <m:sub>
            <m:r>
              <m:rPr>
                <m:nor/>
              </m:rPr>
              <w:rPr>
                <w:rFonts w:ascii="Calibri" w:hAnsi="Calibri" w:cs="Calibri"/>
                <w:sz w:val="22"/>
                <w:lang w:val="en-US" w:eastAsia="x-none"/>
              </w:rPr>
              <m:t>subCH</m:t>
            </m:r>
          </m:sub>
        </m:sSub>
      </m:oMath>
      <w:r w:rsidRPr="00E818B5">
        <w:rPr>
          <w:rFonts w:ascii="Calibri" w:hAnsi="Calibri" w:cs="Calibri" w:hint="eastAsia"/>
          <w:sz w:val="22"/>
          <w:lang w:val="en-US" w:eastAsia="x-none"/>
        </w:rPr>
        <w:t xml:space="preserve"> and </w:t>
      </w:r>
      <m:oMath>
        <m:sSub>
          <m:sSubPr>
            <m:ctrlPr>
              <w:rPr>
                <w:rFonts w:ascii="Cambria Math" w:hAnsi="Cambria Math" w:cs="Calibri"/>
                <w:i/>
                <w:iCs/>
                <w:sz w:val="22"/>
                <w:lang w:val="en-US" w:eastAsia="x-none"/>
              </w:rPr>
            </m:ctrlPr>
          </m:sSubPr>
          <m:e>
            <m:r>
              <w:rPr>
                <w:rFonts w:ascii="Cambria Math" w:hAnsi="Cambria Math" w:cs="Calibri"/>
                <w:sz w:val="22"/>
                <w:lang w:val="en-US" w:eastAsia="x-none"/>
              </w:rPr>
              <m:t>P</m:t>
            </m:r>
          </m:e>
          <m:sub>
            <m:r>
              <m:rPr>
                <m:nor/>
              </m:rPr>
              <w:rPr>
                <w:rFonts w:ascii="Calibri" w:hAnsi="Calibri" w:cs="Calibri" w:hint="eastAsia"/>
                <w:sz w:val="22"/>
                <w:lang w:val="en-US" w:eastAsia="x-none"/>
              </w:rPr>
              <m:t>rsvp_TX</m:t>
            </m:r>
          </m:sub>
        </m:sSub>
      </m:oMath>
      <w:r w:rsidRPr="00E818B5">
        <w:rPr>
          <w:rFonts w:ascii="Calibri" w:hAnsi="Calibri" w:cs="Calibri" w:hint="eastAsia"/>
          <w:sz w:val="22"/>
          <w:lang w:val="en-US" w:eastAsia="x-none"/>
        </w:rPr>
        <w:t>) are provided for the resource selection procedure in L1</w:t>
      </w:r>
    </w:p>
    <w:p w14:paraId="794B1161" w14:textId="77777777" w:rsidR="00717A4C" w:rsidRPr="00E818B5" w:rsidRDefault="00717A4C" w:rsidP="00717A4C">
      <w:pPr>
        <w:numPr>
          <w:ilvl w:val="1"/>
          <w:numId w:val="27"/>
        </w:numPr>
        <w:autoSpaceDE w:val="0"/>
        <w:autoSpaceDN w:val="0"/>
        <w:spacing w:after="60"/>
        <w:jc w:val="both"/>
        <w:rPr>
          <w:rFonts w:ascii="Calibri" w:hAnsi="Calibri" w:cs="Calibri"/>
          <w:sz w:val="22"/>
          <w:lang w:val="en-US" w:eastAsia="x-none"/>
        </w:rPr>
      </w:pPr>
      <w:r w:rsidRPr="00E818B5">
        <w:rPr>
          <w:rFonts w:ascii="Calibri" w:hAnsi="Calibri" w:cs="Calibri" w:hint="eastAsia"/>
          <w:sz w:val="22"/>
          <w:lang w:val="en-US" w:eastAsia="x-none"/>
        </w:rPr>
        <w:t>FFS: any further information need</w:t>
      </w:r>
      <w:r>
        <w:rPr>
          <w:rFonts w:ascii="Calibri" w:hAnsi="Calibri" w:cs="Calibri"/>
          <w:sz w:val="22"/>
          <w:lang w:val="en-US" w:eastAsia="x-none"/>
        </w:rPr>
        <w:t>s</w:t>
      </w:r>
      <w:r w:rsidRPr="00E818B5">
        <w:rPr>
          <w:rFonts w:ascii="Calibri" w:hAnsi="Calibri" w:cs="Calibri" w:hint="eastAsia"/>
          <w:sz w:val="22"/>
          <w:lang w:val="en-US" w:eastAsia="x-none"/>
        </w:rPr>
        <w:t xml:space="preserve"> to be provided to L1 for MCSt</w:t>
      </w:r>
    </w:p>
    <w:p w14:paraId="4FE6A43B" w14:textId="77777777" w:rsidR="00717A4C" w:rsidRPr="00E818B5" w:rsidRDefault="00717A4C" w:rsidP="00717A4C">
      <w:pPr>
        <w:numPr>
          <w:ilvl w:val="0"/>
          <w:numId w:val="27"/>
        </w:numPr>
        <w:autoSpaceDE w:val="0"/>
        <w:autoSpaceDN w:val="0"/>
        <w:spacing w:after="60"/>
        <w:jc w:val="both"/>
        <w:rPr>
          <w:rFonts w:ascii="Calibri" w:hAnsi="Calibri" w:cs="Calibri"/>
          <w:sz w:val="22"/>
          <w:lang w:val="en-US" w:eastAsia="x-none"/>
        </w:rPr>
      </w:pPr>
      <w:r w:rsidRPr="00E818B5">
        <w:rPr>
          <w:rFonts w:ascii="Calibri" w:hAnsi="Calibri" w:cs="Calibri" w:hint="eastAsia"/>
          <w:sz w:val="22"/>
          <w:lang w:val="en-US" w:eastAsia="x-none"/>
        </w:rPr>
        <w:t>When L1 reports a subset of candidate resources for MCSt,</w:t>
      </w:r>
    </w:p>
    <w:p w14:paraId="5E375E26" w14:textId="77777777" w:rsidR="00717A4C" w:rsidRPr="00E818B5" w:rsidRDefault="00717A4C" w:rsidP="00717A4C">
      <w:pPr>
        <w:numPr>
          <w:ilvl w:val="1"/>
          <w:numId w:val="27"/>
        </w:numPr>
        <w:autoSpaceDE w:val="0"/>
        <w:autoSpaceDN w:val="0"/>
        <w:spacing w:after="60"/>
        <w:jc w:val="both"/>
        <w:rPr>
          <w:rFonts w:ascii="Calibri" w:hAnsi="Calibri" w:cs="Calibri"/>
          <w:sz w:val="22"/>
          <w:lang w:val="en-US" w:eastAsia="x-none"/>
        </w:rPr>
      </w:pPr>
      <w:r w:rsidRPr="00E818B5">
        <w:rPr>
          <w:rFonts w:ascii="Calibri" w:hAnsi="Calibri" w:cs="Calibri" w:hint="eastAsia"/>
          <w:sz w:val="22"/>
          <w:lang w:val="en-US" w:eastAsia="x-none"/>
        </w:rPr>
        <w:t xml:space="preserve">Option A: L1 reports candidate multi-slot resources in </w:t>
      </w:r>
      <w:r w:rsidRPr="00E818B5">
        <w:rPr>
          <w:rFonts w:ascii="Calibri" w:hAnsi="Calibri" w:cs="Calibri" w:hint="eastAsia"/>
          <w:i/>
          <w:iCs/>
          <w:sz w:val="22"/>
          <w:lang w:val="en-US" w:eastAsia="x-none"/>
        </w:rPr>
        <w:t>S</w:t>
      </w:r>
      <w:r w:rsidRPr="00E818B5">
        <w:rPr>
          <w:rFonts w:ascii="Calibri" w:hAnsi="Calibri" w:cs="Calibri" w:hint="eastAsia"/>
          <w:i/>
          <w:iCs/>
          <w:sz w:val="22"/>
          <w:vertAlign w:val="subscript"/>
          <w:lang w:val="en-US" w:eastAsia="x-none"/>
        </w:rPr>
        <w:t>A</w:t>
      </w:r>
      <w:r w:rsidRPr="00E818B5">
        <w:rPr>
          <w:rFonts w:ascii="Calibri" w:hAnsi="Calibri" w:cs="Calibri" w:hint="eastAsia"/>
          <w:sz w:val="22"/>
          <w:lang w:val="en-US" w:eastAsia="x-none"/>
        </w:rPr>
        <w:t xml:space="preserve"> where a candidate multi-slot resource consists of a set of single-slot resources that are consecutive in time</w:t>
      </w:r>
    </w:p>
    <w:p w14:paraId="0D23B52B" w14:textId="77777777" w:rsidR="00717A4C" w:rsidRPr="00E818B5" w:rsidRDefault="00717A4C" w:rsidP="00717A4C">
      <w:pPr>
        <w:numPr>
          <w:ilvl w:val="2"/>
          <w:numId w:val="27"/>
        </w:numPr>
        <w:tabs>
          <w:tab w:val="num" w:pos="2160"/>
        </w:tabs>
        <w:autoSpaceDE w:val="0"/>
        <w:autoSpaceDN w:val="0"/>
        <w:spacing w:after="60"/>
        <w:jc w:val="both"/>
        <w:rPr>
          <w:rFonts w:ascii="Calibri" w:hAnsi="Calibri" w:cs="Calibri"/>
          <w:sz w:val="22"/>
          <w:lang w:val="en-US" w:eastAsia="x-none"/>
        </w:rPr>
      </w:pPr>
      <w:r w:rsidRPr="00E818B5">
        <w:rPr>
          <w:rFonts w:ascii="Calibri" w:hAnsi="Calibri" w:cs="Calibri" w:hint="eastAsia"/>
          <w:sz w:val="22"/>
          <w:lang w:val="en-US" w:eastAsia="x-none"/>
        </w:rPr>
        <w:t xml:space="preserve">FFS whether the set of single-slot resources within a candidate multi-slot resource can have different </w:t>
      </w:r>
      <m:oMath>
        <m:sSub>
          <m:sSubPr>
            <m:ctrlPr>
              <w:rPr>
                <w:rFonts w:ascii="Cambria Math" w:hAnsi="Cambria Math" w:cs="Calibri"/>
                <w:i/>
                <w:iCs/>
                <w:sz w:val="22"/>
                <w:lang w:val="en-US" w:eastAsia="x-none"/>
              </w:rPr>
            </m:ctrlPr>
          </m:sSubPr>
          <m:e>
            <m:r>
              <w:rPr>
                <w:rFonts w:ascii="Cambria Math" w:hAnsi="Cambria Math" w:cs="Calibri"/>
                <w:sz w:val="22"/>
                <w:lang w:val="en-US" w:eastAsia="x-none"/>
              </w:rPr>
              <m:t>L</m:t>
            </m:r>
          </m:e>
          <m:sub>
            <m:r>
              <m:rPr>
                <m:nor/>
              </m:rPr>
              <w:rPr>
                <w:rFonts w:ascii="Calibri" w:hAnsi="Calibri" w:cs="Calibri"/>
                <w:sz w:val="22"/>
                <w:lang w:val="en-US" w:eastAsia="x-none"/>
              </w:rPr>
              <m:t>subCH</m:t>
            </m:r>
          </m:sub>
        </m:sSub>
      </m:oMath>
      <w:r w:rsidRPr="00E818B5">
        <w:rPr>
          <w:rFonts w:ascii="Calibri" w:hAnsi="Calibri" w:cs="Calibri" w:hint="eastAsia"/>
          <w:sz w:val="22"/>
          <w:lang w:val="en-US" w:eastAsia="x-none"/>
        </w:rPr>
        <w:t xml:space="preserve"> sizes</w:t>
      </w:r>
    </w:p>
    <w:p w14:paraId="2DE9F289" w14:textId="77777777" w:rsidR="00717A4C" w:rsidRPr="00E818B5" w:rsidRDefault="00717A4C" w:rsidP="00717A4C">
      <w:pPr>
        <w:numPr>
          <w:ilvl w:val="1"/>
          <w:numId w:val="27"/>
        </w:numPr>
        <w:autoSpaceDE w:val="0"/>
        <w:autoSpaceDN w:val="0"/>
        <w:spacing w:after="60"/>
        <w:jc w:val="both"/>
        <w:rPr>
          <w:rFonts w:ascii="Calibri" w:hAnsi="Calibri" w:cs="Calibri"/>
          <w:sz w:val="22"/>
          <w:lang w:val="en-US" w:eastAsia="x-none"/>
        </w:rPr>
      </w:pPr>
      <w:r w:rsidRPr="00E818B5">
        <w:rPr>
          <w:rFonts w:ascii="Calibri" w:hAnsi="Calibri" w:cs="Calibri" w:hint="eastAsia"/>
          <w:sz w:val="22"/>
          <w:lang w:val="en-US" w:eastAsia="x-none"/>
        </w:rPr>
        <w:t>Option B: L1 reports candidate single-slot resources in (</w:t>
      </w:r>
      <w:r w:rsidRPr="00E818B5">
        <w:rPr>
          <w:rFonts w:ascii="Calibri" w:hAnsi="Calibri" w:cs="Calibri" w:hint="eastAsia"/>
          <w:i/>
          <w:iCs/>
          <w:sz w:val="22"/>
          <w:lang w:val="en-US" w:eastAsia="x-none"/>
        </w:rPr>
        <w:t>S</w:t>
      </w:r>
      <w:r w:rsidRPr="00E818B5">
        <w:rPr>
          <w:rFonts w:ascii="Calibri" w:hAnsi="Calibri" w:cs="Calibri" w:hint="eastAsia"/>
          <w:i/>
          <w:iCs/>
          <w:sz w:val="22"/>
          <w:vertAlign w:val="subscript"/>
          <w:lang w:val="en-US" w:eastAsia="x-none"/>
        </w:rPr>
        <w:t>A</w:t>
      </w:r>
      <w:r w:rsidRPr="00E818B5">
        <w:rPr>
          <w:rFonts w:ascii="Calibri" w:hAnsi="Calibri" w:cs="Calibri" w:hint="eastAsia"/>
          <w:sz w:val="22"/>
          <w:lang w:val="en-US" w:eastAsia="x-none"/>
        </w:rPr>
        <w:t>) as in Rel-16</w:t>
      </w:r>
    </w:p>
    <w:p w14:paraId="030A494A" w14:textId="439930DF" w:rsidR="00717A4C" w:rsidRDefault="00717A4C" w:rsidP="00717A4C">
      <w:pPr>
        <w:numPr>
          <w:ilvl w:val="2"/>
          <w:numId w:val="27"/>
        </w:numPr>
        <w:tabs>
          <w:tab w:val="num" w:pos="2160"/>
        </w:tabs>
        <w:autoSpaceDE w:val="0"/>
        <w:autoSpaceDN w:val="0"/>
        <w:spacing w:after="120"/>
        <w:jc w:val="both"/>
        <w:rPr>
          <w:rFonts w:ascii="Calibri" w:hAnsi="Calibri" w:cs="Calibri"/>
          <w:sz w:val="22"/>
          <w:lang w:val="en-US" w:eastAsia="x-none"/>
        </w:rPr>
      </w:pPr>
      <w:r w:rsidRPr="00E818B5">
        <w:rPr>
          <w:rFonts w:ascii="Calibri" w:hAnsi="Calibri" w:cs="Calibri" w:hint="eastAsia"/>
          <w:sz w:val="22"/>
          <w:lang w:val="en-US" w:eastAsia="x-none"/>
        </w:rPr>
        <w:t>It is up to the higher (MAC) layer to select a set of single-slot resources that are consecutive in logical slots</w:t>
      </w:r>
    </w:p>
    <w:p w14:paraId="66F4A7D0" w14:textId="52D6B75E" w:rsidR="00CE31E3" w:rsidRPr="00CE31E3" w:rsidRDefault="00CE31E3" w:rsidP="00CE31E3">
      <w:pPr>
        <w:numPr>
          <w:ilvl w:val="1"/>
          <w:numId w:val="27"/>
        </w:numPr>
        <w:autoSpaceDE w:val="0"/>
        <w:autoSpaceDN w:val="0"/>
        <w:spacing w:after="120"/>
        <w:jc w:val="both"/>
        <w:rPr>
          <w:rFonts w:ascii="Calibri" w:hAnsi="Calibri" w:cs="Calibri"/>
          <w:color w:val="FF0000"/>
          <w:sz w:val="22"/>
          <w:lang w:val="en-US" w:eastAsia="x-none"/>
        </w:rPr>
      </w:pPr>
      <w:r w:rsidRPr="00CE31E3">
        <w:rPr>
          <w:rFonts w:ascii="Calibri" w:hAnsi="Calibri" w:cs="Calibri" w:hint="eastAsia"/>
          <w:color w:val="FF0000"/>
          <w:sz w:val="22"/>
          <w:lang w:val="en-US" w:eastAsia="x-none"/>
        </w:rPr>
        <w:t>FFS: any further information need</w:t>
      </w:r>
      <w:r w:rsidRPr="00CE31E3">
        <w:rPr>
          <w:rFonts w:ascii="Calibri" w:hAnsi="Calibri" w:cs="Calibri"/>
          <w:color w:val="FF0000"/>
          <w:sz w:val="22"/>
          <w:lang w:val="en-US" w:eastAsia="x-none"/>
        </w:rPr>
        <w:t>s</w:t>
      </w:r>
      <w:r w:rsidRPr="00CE31E3">
        <w:rPr>
          <w:rFonts w:ascii="Calibri" w:hAnsi="Calibri" w:cs="Calibri" w:hint="eastAsia"/>
          <w:color w:val="FF0000"/>
          <w:sz w:val="22"/>
          <w:lang w:val="en-US" w:eastAsia="x-none"/>
        </w:rPr>
        <w:t xml:space="preserve"> to be </w:t>
      </w:r>
      <w:r w:rsidRPr="00CE31E3">
        <w:rPr>
          <w:rFonts w:ascii="Calibri" w:hAnsi="Calibri" w:cs="Calibri"/>
          <w:color w:val="FF0000"/>
          <w:sz w:val="22"/>
          <w:lang w:val="en-US" w:eastAsia="x-none"/>
        </w:rPr>
        <w:t>reported</w:t>
      </w:r>
      <w:r w:rsidRPr="00CE31E3">
        <w:rPr>
          <w:rFonts w:ascii="Calibri" w:hAnsi="Calibri" w:cs="Calibri" w:hint="eastAsia"/>
          <w:color w:val="FF0000"/>
          <w:sz w:val="22"/>
          <w:lang w:val="en-US" w:eastAsia="x-none"/>
        </w:rPr>
        <w:t xml:space="preserve"> to </w:t>
      </w:r>
      <w:r w:rsidRPr="00CE31E3">
        <w:rPr>
          <w:rFonts w:ascii="Calibri" w:hAnsi="Calibri" w:cs="Calibri"/>
          <w:color w:val="FF0000"/>
          <w:sz w:val="22"/>
          <w:lang w:val="en-US" w:eastAsia="x-none"/>
        </w:rPr>
        <w:t>MAC</w:t>
      </w:r>
      <w:r w:rsidRPr="00CE31E3">
        <w:rPr>
          <w:rFonts w:ascii="Calibri" w:hAnsi="Calibri" w:cs="Calibri" w:hint="eastAsia"/>
          <w:color w:val="FF0000"/>
          <w:sz w:val="22"/>
          <w:lang w:val="en-US" w:eastAsia="x-none"/>
        </w:rPr>
        <w:t xml:space="preserve"> </w:t>
      </w:r>
      <w:r w:rsidRPr="00CE31E3">
        <w:rPr>
          <w:rFonts w:ascii="Calibri" w:hAnsi="Calibri" w:cs="Calibri"/>
          <w:color w:val="FF0000"/>
          <w:sz w:val="22"/>
          <w:lang w:val="en-US" w:eastAsia="x-none"/>
        </w:rPr>
        <w:t xml:space="preserve">layer </w:t>
      </w:r>
      <w:r w:rsidRPr="00CE31E3">
        <w:rPr>
          <w:rFonts w:ascii="Calibri" w:hAnsi="Calibri" w:cs="Calibri" w:hint="eastAsia"/>
          <w:color w:val="FF0000"/>
          <w:sz w:val="22"/>
          <w:lang w:val="en-US" w:eastAsia="x-none"/>
        </w:rPr>
        <w:t>for MCSt</w:t>
      </w:r>
    </w:p>
    <w:p w14:paraId="4F294073" w14:textId="77777777" w:rsidR="00717A4C" w:rsidRDefault="00717A4C" w:rsidP="00717A4C">
      <w:pPr>
        <w:autoSpaceDE w:val="0"/>
        <w:autoSpaceDN w:val="0"/>
        <w:spacing w:after="120"/>
        <w:jc w:val="both"/>
        <w:rPr>
          <w:rFonts w:ascii="Calibri" w:hAnsi="Calibri" w:cs="Calibri"/>
          <w:sz w:val="22"/>
          <w:lang w:val="en-US"/>
        </w:rPr>
      </w:pPr>
    </w:p>
    <w:tbl>
      <w:tblPr>
        <w:tblStyle w:val="TableGrid"/>
        <w:tblW w:w="9631" w:type="dxa"/>
        <w:tblLayout w:type="fixed"/>
        <w:tblLook w:val="04A0" w:firstRow="1" w:lastRow="0" w:firstColumn="1" w:lastColumn="0" w:noHBand="0" w:noVBand="1"/>
      </w:tblPr>
      <w:tblGrid>
        <w:gridCol w:w="1555"/>
        <w:gridCol w:w="8076"/>
      </w:tblGrid>
      <w:tr w:rsidR="00717A4C" w14:paraId="015FD5E6" w14:textId="77777777" w:rsidTr="006B2419">
        <w:tc>
          <w:tcPr>
            <w:tcW w:w="1555" w:type="dxa"/>
          </w:tcPr>
          <w:p w14:paraId="7C9A55B0" w14:textId="77777777" w:rsidR="00717A4C" w:rsidRDefault="00717A4C" w:rsidP="006B2419">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8076" w:type="dxa"/>
          </w:tcPr>
          <w:p w14:paraId="47D63FF1" w14:textId="77777777" w:rsidR="00717A4C" w:rsidRDefault="00717A4C" w:rsidP="006B2419">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717A4C" w14:paraId="2A33DEDA" w14:textId="77777777" w:rsidTr="006B2419">
        <w:tc>
          <w:tcPr>
            <w:tcW w:w="1555" w:type="dxa"/>
          </w:tcPr>
          <w:p w14:paraId="549D87C2" w14:textId="7CDA29BA" w:rsidR="00717A4C" w:rsidRDefault="0073276B" w:rsidP="006B2419">
            <w:pPr>
              <w:pStyle w:val="0Maintext"/>
              <w:spacing w:after="0" w:afterAutospacing="0"/>
              <w:ind w:firstLine="0"/>
            </w:pPr>
            <w:r>
              <w:t>Qualcomm</w:t>
            </w:r>
          </w:p>
        </w:tc>
        <w:tc>
          <w:tcPr>
            <w:tcW w:w="8076" w:type="dxa"/>
          </w:tcPr>
          <w:p w14:paraId="3A6E07F4" w14:textId="026F1BA1" w:rsidR="00717A4C" w:rsidRDefault="0073276B" w:rsidP="006B2419">
            <w:pPr>
              <w:pStyle w:val="0Maintext"/>
              <w:spacing w:after="0" w:afterAutospacing="0"/>
              <w:ind w:firstLine="0"/>
            </w:pPr>
            <w:r>
              <w:t>We agree to the proposal.</w:t>
            </w:r>
          </w:p>
        </w:tc>
      </w:tr>
      <w:tr w:rsidR="00961C87" w14:paraId="755381C4" w14:textId="77777777" w:rsidTr="006B2419">
        <w:tc>
          <w:tcPr>
            <w:tcW w:w="1555" w:type="dxa"/>
          </w:tcPr>
          <w:p w14:paraId="22F9286A" w14:textId="6E1E8D8A" w:rsidR="00961C87" w:rsidRDefault="00961C87" w:rsidP="00961C87">
            <w:pPr>
              <w:pStyle w:val="0Maintext"/>
              <w:spacing w:after="0" w:afterAutospacing="0"/>
              <w:ind w:firstLine="0"/>
            </w:pPr>
            <w:r>
              <w:rPr>
                <w:rFonts w:hint="eastAsia"/>
                <w:lang w:eastAsia="ko-KR"/>
              </w:rPr>
              <w:t>LGE</w:t>
            </w:r>
          </w:p>
        </w:tc>
        <w:tc>
          <w:tcPr>
            <w:tcW w:w="8076" w:type="dxa"/>
          </w:tcPr>
          <w:p w14:paraId="2528EA2F" w14:textId="77777777" w:rsidR="00961C87" w:rsidRDefault="00961C87" w:rsidP="00961C87">
            <w:pPr>
              <w:pStyle w:val="0Maintext"/>
              <w:spacing w:after="0" w:afterAutospacing="0"/>
              <w:ind w:firstLine="0"/>
              <w:rPr>
                <w:lang w:eastAsia="ko-KR"/>
              </w:rPr>
            </w:pPr>
            <w:r>
              <w:rPr>
                <w:rFonts w:hint="eastAsia"/>
                <w:lang w:eastAsia="ko-KR"/>
              </w:rPr>
              <w:t xml:space="preserve">First of all, we corrects our position in the summary. </w:t>
            </w:r>
            <w:r>
              <w:rPr>
                <w:lang w:eastAsia="ko-KR"/>
              </w:rPr>
              <w:t xml:space="preserve">(Option A </w:t>
            </w:r>
            <w:r>
              <w:rPr>
                <w:lang w:eastAsia="ko-KR"/>
              </w:rPr>
              <w:sym w:font="Wingdings" w:char="F0E0"/>
            </w:r>
            <w:r>
              <w:rPr>
                <w:lang w:eastAsia="ko-KR"/>
              </w:rPr>
              <w:t xml:space="preserve"> Option B) </w:t>
            </w:r>
          </w:p>
          <w:p w14:paraId="2DACDB13" w14:textId="77777777" w:rsidR="00961C87" w:rsidRDefault="00961C87" w:rsidP="00961C87">
            <w:pPr>
              <w:pStyle w:val="0Maintext"/>
              <w:spacing w:after="0" w:afterAutospacing="0"/>
              <w:ind w:firstLine="0"/>
              <w:rPr>
                <w:lang w:eastAsia="ko-KR"/>
              </w:rPr>
            </w:pPr>
          </w:p>
          <w:p w14:paraId="5B5D451D" w14:textId="77777777" w:rsidR="00961C87" w:rsidRDefault="00961C87" w:rsidP="00961C87">
            <w:pPr>
              <w:pStyle w:val="0Maintext"/>
              <w:spacing w:after="0" w:afterAutospacing="0"/>
              <w:ind w:firstLine="0"/>
              <w:rPr>
                <w:lang w:eastAsia="ko-KR"/>
              </w:rPr>
            </w:pPr>
            <w:r>
              <w:rPr>
                <w:rFonts w:hint="eastAsia"/>
                <w:lang w:eastAsia="ko-KR"/>
              </w:rPr>
              <w:t xml:space="preserve">Regarding the first part, as we know, the basic unit of Mode 2 RA is candidate single-slot </w:t>
            </w:r>
            <w:r>
              <w:rPr>
                <w:lang w:eastAsia="ko-KR"/>
              </w:rPr>
              <w:t>resource</w:t>
            </w:r>
            <w:r>
              <w:rPr>
                <w:rFonts w:hint="eastAsia"/>
                <w:lang w:eastAsia="ko-KR"/>
              </w:rPr>
              <w:t>,</w:t>
            </w:r>
            <w:r>
              <w:rPr>
                <w:lang w:eastAsia="ko-KR"/>
              </w:rPr>
              <w:t xml:space="preserve"> and it is associated with a number of subchannel(s) in a slot according to L_subCH. In this point of view, we are not so sure how Option 2 works. In other words, when we have two L_subCH, there are two different candidate single-slot resources, and then how to perform Mode 2 RA with there two different candidate single-slot resources. </w:t>
            </w:r>
          </w:p>
          <w:p w14:paraId="243141E1" w14:textId="77777777" w:rsidR="00961C87" w:rsidRDefault="00961C87" w:rsidP="00961C87">
            <w:pPr>
              <w:pStyle w:val="0Maintext"/>
              <w:spacing w:after="0" w:afterAutospacing="0"/>
              <w:ind w:firstLine="0"/>
              <w:rPr>
                <w:lang w:eastAsia="ko-KR"/>
              </w:rPr>
            </w:pPr>
          </w:p>
          <w:p w14:paraId="10B90E23" w14:textId="77777777" w:rsidR="00961C87" w:rsidRDefault="00961C87" w:rsidP="00961C87">
            <w:pPr>
              <w:pStyle w:val="0Maintext"/>
              <w:spacing w:after="0" w:afterAutospacing="0"/>
              <w:ind w:firstLine="0"/>
              <w:rPr>
                <w:lang w:eastAsia="ko-KR"/>
              </w:rPr>
            </w:pPr>
            <w:r>
              <w:rPr>
                <w:lang w:eastAsia="ko-KR"/>
              </w:rPr>
              <w:t xml:space="preserve">For option 1, our understanding, the UE can still perform multiple resource selection procedure with different set of parameters, but the UE will use one set of parameter for a resource selection procedure. For each resource selection procedure, the UE will determine S_A, and report it to its higher layer. </w:t>
            </w:r>
          </w:p>
          <w:p w14:paraId="26600D70" w14:textId="77777777" w:rsidR="00961C87" w:rsidRDefault="00961C87" w:rsidP="00961C87">
            <w:pPr>
              <w:pStyle w:val="0Maintext"/>
              <w:spacing w:after="0" w:afterAutospacing="0"/>
              <w:ind w:firstLine="0"/>
              <w:rPr>
                <w:lang w:eastAsia="ko-KR"/>
              </w:rPr>
            </w:pPr>
          </w:p>
          <w:p w14:paraId="4B902E78" w14:textId="57176F12" w:rsidR="00961C87" w:rsidRDefault="00961C87" w:rsidP="00961C87">
            <w:pPr>
              <w:pStyle w:val="0Maintext"/>
              <w:spacing w:after="0" w:afterAutospacing="0"/>
              <w:ind w:firstLine="0"/>
              <w:rPr>
                <w:lang w:eastAsia="ko-KR"/>
              </w:rPr>
            </w:pPr>
            <w:r>
              <w:rPr>
                <w:lang w:eastAsia="ko-KR"/>
              </w:rPr>
              <w:t>Regarding the second part, since a single S_A is for a single TB, Option A seems to target MCSt for the same TB while Option B targets MCSts for same TB or different TBs. In that points of views, we are just supportive of Option 1 and Option B for simplicity.</w:t>
            </w:r>
          </w:p>
        </w:tc>
      </w:tr>
      <w:tr w:rsidR="00961C87" w14:paraId="5CC9227B" w14:textId="77777777" w:rsidTr="006B2419">
        <w:tc>
          <w:tcPr>
            <w:tcW w:w="1555" w:type="dxa"/>
          </w:tcPr>
          <w:p w14:paraId="1FA623AE" w14:textId="07F54004" w:rsidR="00961C87" w:rsidRPr="00201A4C" w:rsidRDefault="00201A4C" w:rsidP="00961C87">
            <w:pPr>
              <w:pStyle w:val="0Maintext"/>
              <w:spacing w:after="0" w:afterAutospacing="0"/>
              <w:ind w:firstLine="0"/>
              <w:rPr>
                <w:rFonts w:eastAsiaTheme="minorEastAsia"/>
                <w:lang w:eastAsia="zh-CN"/>
              </w:rPr>
            </w:pPr>
            <w:r>
              <w:rPr>
                <w:rFonts w:eastAsiaTheme="minorEastAsia" w:hint="eastAsia"/>
                <w:lang w:eastAsia="zh-CN"/>
              </w:rPr>
              <w:lastRenderedPageBreak/>
              <w:t>O</w:t>
            </w:r>
            <w:r>
              <w:rPr>
                <w:rFonts w:eastAsiaTheme="minorEastAsia"/>
                <w:lang w:eastAsia="zh-CN"/>
              </w:rPr>
              <w:t>PPO</w:t>
            </w:r>
          </w:p>
        </w:tc>
        <w:tc>
          <w:tcPr>
            <w:tcW w:w="8076" w:type="dxa"/>
          </w:tcPr>
          <w:p w14:paraId="43B39E35" w14:textId="6E283831" w:rsidR="00961C87" w:rsidRPr="00201A4C" w:rsidRDefault="00201A4C" w:rsidP="00961C87">
            <w:pPr>
              <w:pStyle w:val="0Maintext"/>
              <w:spacing w:after="0" w:afterAutospacing="0"/>
              <w:ind w:firstLine="0"/>
              <w:rPr>
                <w:rFonts w:eastAsiaTheme="minorEastAsia"/>
                <w:lang w:eastAsia="zh-CN"/>
              </w:rPr>
            </w:pPr>
            <w:r>
              <w:rPr>
                <w:rFonts w:eastAsiaTheme="minorEastAsia"/>
                <w:lang w:eastAsia="zh-CN"/>
              </w:rPr>
              <w:t xml:space="preserve">It needs to clarify that we will </w:t>
            </w:r>
            <w:r w:rsidR="000A2421">
              <w:rPr>
                <w:rFonts w:eastAsiaTheme="minorEastAsia"/>
                <w:lang w:eastAsia="zh-CN"/>
              </w:rPr>
              <w:t xml:space="preserve">further </w:t>
            </w:r>
            <w:r>
              <w:rPr>
                <w:rFonts w:eastAsiaTheme="minorEastAsia"/>
                <w:lang w:eastAsia="zh-CN"/>
              </w:rPr>
              <w:t>perform down-selection between option 1 and option2, option A and option B</w:t>
            </w:r>
          </w:p>
        </w:tc>
      </w:tr>
      <w:tr w:rsidR="00D6367A" w14:paraId="1CEB884A" w14:textId="77777777" w:rsidTr="00D6367A">
        <w:tc>
          <w:tcPr>
            <w:tcW w:w="1555" w:type="dxa"/>
          </w:tcPr>
          <w:p w14:paraId="168973E9" w14:textId="77777777" w:rsidR="00D6367A" w:rsidRPr="00485A44" w:rsidRDefault="00D6367A" w:rsidP="000F6488">
            <w:pPr>
              <w:pStyle w:val="0Maintext"/>
              <w:spacing w:after="0" w:afterAutospacing="0"/>
              <w:ind w:firstLine="0"/>
              <w:rPr>
                <w:rFonts w:eastAsia="MS Mincho"/>
                <w:lang w:eastAsia="ja-JP"/>
              </w:rPr>
            </w:pPr>
            <w:r>
              <w:rPr>
                <w:rFonts w:eastAsia="MS Mincho" w:hint="eastAsia"/>
                <w:lang w:eastAsia="ja-JP"/>
              </w:rPr>
              <w:t>D</w:t>
            </w:r>
            <w:r>
              <w:rPr>
                <w:rFonts w:eastAsia="MS Mincho"/>
                <w:lang w:eastAsia="ja-JP"/>
              </w:rPr>
              <w:t>CM</w:t>
            </w:r>
          </w:p>
        </w:tc>
        <w:tc>
          <w:tcPr>
            <w:tcW w:w="8076" w:type="dxa"/>
          </w:tcPr>
          <w:p w14:paraId="32306173" w14:textId="77777777" w:rsidR="00D6367A" w:rsidRDefault="00D6367A" w:rsidP="000F6488">
            <w:pPr>
              <w:pStyle w:val="0Maintext"/>
              <w:spacing w:after="0" w:afterAutospacing="0"/>
              <w:ind w:firstLine="0"/>
              <w:rPr>
                <w:rFonts w:eastAsia="MS Mincho"/>
                <w:lang w:eastAsia="ja-JP"/>
              </w:rPr>
            </w:pPr>
            <w:r>
              <w:rPr>
                <w:rFonts w:eastAsia="MS Mincho" w:hint="eastAsia"/>
                <w:lang w:eastAsia="ja-JP"/>
              </w:rPr>
              <w:t>A</w:t>
            </w:r>
            <w:r>
              <w:rPr>
                <w:rFonts w:eastAsia="MS Mincho"/>
                <w:lang w:eastAsia="ja-JP"/>
              </w:rPr>
              <w:t>s we said, the following procedure is possible. Is this included? If no, why this way is precluded?</w:t>
            </w:r>
          </w:p>
          <w:p w14:paraId="05174E46" w14:textId="77777777" w:rsidR="00D6367A" w:rsidRDefault="00D6367A" w:rsidP="00D6367A">
            <w:pPr>
              <w:pStyle w:val="0Maintext"/>
              <w:numPr>
                <w:ilvl w:val="0"/>
                <w:numId w:val="20"/>
              </w:numPr>
              <w:spacing w:after="0" w:afterAutospacing="0"/>
              <w:rPr>
                <w:rFonts w:eastAsia="MS Mincho"/>
                <w:lang w:eastAsia="ja-JP"/>
              </w:rPr>
            </w:pPr>
            <w:r>
              <w:rPr>
                <w:rFonts w:eastAsia="MS Mincho"/>
                <w:lang w:eastAsia="ja-JP"/>
              </w:rPr>
              <w:t>Higher-layer provides parameters for a TB. This is done per TB generation. (No change)</w:t>
            </w:r>
          </w:p>
          <w:p w14:paraId="6A229092" w14:textId="77777777" w:rsidR="00D6367A" w:rsidRDefault="00D6367A" w:rsidP="00D6367A">
            <w:pPr>
              <w:pStyle w:val="0Maintext"/>
              <w:numPr>
                <w:ilvl w:val="0"/>
                <w:numId w:val="20"/>
              </w:numPr>
              <w:spacing w:after="0" w:afterAutospacing="0"/>
              <w:rPr>
                <w:rFonts w:eastAsia="MS Mincho"/>
                <w:lang w:eastAsia="ja-JP"/>
              </w:rPr>
            </w:pPr>
            <w:r>
              <w:rPr>
                <w:rFonts w:eastAsia="MS Mincho" w:hint="eastAsia"/>
                <w:lang w:eastAsia="ja-JP"/>
              </w:rPr>
              <w:t>P</w:t>
            </w:r>
            <w:r>
              <w:rPr>
                <w:rFonts w:eastAsia="MS Mincho"/>
                <w:lang w:eastAsia="ja-JP"/>
              </w:rPr>
              <w:t>HY-layer reports S_A for the TB. This is done per TB generation. (No change)</w:t>
            </w:r>
          </w:p>
          <w:p w14:paraId="4B111345" w14:textId="77777777" w:rsidR="00D6367A" w:rsidRDefault="00D6367A" w:rsidP="00D6367A">
            <w:pPr>
              <w:pStyle w:val="0Maintext"/>
              <w:numPr>
                <w:ilvl w:val="0"/>
                <w:numId w:val="20"/>
              </w:numPr>
              <w:spacing w:after="0" w:afterAutospacing="0"/>
              <w:rPr>
                <w:rFonts w:eastAsia="MS Mincho"/>
                <w:lang w:eastAsia="ja-JP"/>
              </w:rPr>
            </w:pPr>
            <w:r>
              <w:rPr>
                <w:rFonts w:eastAsia="MS Mincho" w:hint="eastAsia"/>
                <w:lang w:eastAsia="ja-JP"/>
              </w:rPr>
              <w:t>H</w:t>
            </w:r>
            <w:r>
              <w:rPr>
                <w:rFonts w:eastAsia="MS Mincho"/>
                <w:lang w:eastAsia="ja-JP"/>
              </w:rPr>
              <w:t>igher-layer decides TX resources such that selected resources are contiguous. The contiguous resources may be for the same TB, or may be for different TBs. (MAC spec update)</w:t>
            </w:r>
          </w:p>
          <w:p w14:paraId="691D1CEC" w14:textId="77777777" w:rsidR="00D6367A" w:rsidRPr="00485A44" w:rsidRDefault="00D6367A" w:rsidP="000F6488">
            <w:pPr>
              <w:pStyle w:val="0Maintext"/>
              <w:spacing w:after="0" w:afterAutospacing="0"/>
              <w:ind w:firstLine="0"/>
              <w:rPr>
                <w:rFonts w:eastAsia="MS Mincho"/>
                <w:lang w:eastAsia="ja-JP"/>
              </w:rPr>
            </w:pPr>
            <w:r>
              <w:rPr>
                <w:rFonts w:eastAsia="MS Mincho" w:hint="eastAsia"/>
                <w:lang w:eastAsia="ja-JP"/>
              </w:rPr>
              <w:t>B</w:t>
            </w:r>
            <w:r>
              <w:rPr>
                <w:rFonts w:eastAsia="MS Mincho"/>
                <w:lang w:eastAsia="ja-JP"/>
              </w:rPr>
              <w:t>asically, timing of TB generation and resource selection is different between TBs. Current discussion seems a bit strange. Why PHY layer needs spec update for MCSt is quite unclear.</w:t>
            </w:r>
          </w:p>
        </w:tc>
      </w:tr>
      <w:tr w:rsidR="00095D0C" w14:paraId="681CD987" w14:textId="77777777" w:rsidTr="006B2419">
        <w:tc>
          <w:tcPr>
            <w:tcW w:w="1555" w:type="dxa"/>
          </w:tcPr>
          <w:p w14:paraId="2B3CB09C" w14:textId="4D9CC077" w:rsidR="00095D0C" w:rsidRPr="00D6367A" w:rsidRDefault="00095D0C" w:rsidP="00095D0C">
            <w:pPr>
              <w:pStyle w:val="0Maintext"/>
              <w:spacing w:after="0" w:afterAutospacing="0"/>
              <w:ind w:firstLine="0"/>
            </w:pPr>
            <w:r>
              <w:rPr>
                <w:rFonts w:eastAsiaTheme="minorEastAsia" w:hint="eastAsia"/>
                <w:lang w:eastAsia="zh-CN"/>
              </w:rPr>
              <w:t>F</w:t>
            </w:r>
            <w:r>
              <w:rPr>
                <w:rFonts w:eastAsiaTheme="minorEastAsia"/>
                <w:lang w:eastAsia="zh-CN"/>
              </w:rPr>
              <w:t>ujitsu</w:t>
            </w:r>
          </w:p>
        </w:tc>
        <w:tc>
          <w:tcPr>
            <w:tcW w:w="8076" w:type="dxa"/>
          </w:tcPr>
          <w:p w14:paraId="5250280A" w14:textId="119078E3" w:rsidR="00095D0C" w:rsidRDefault="00095D0C" w:rsidP="00095D0C">
            <w:pPr>
              <w:pStyle w:val="0Maintext"/>
              <w:spacing w:after="0" w:afterAutospacing="0"/>
              <w:ind w:firstLine="0"/>
            </w:pPr>
            <w:r>
              <w:rPr>
                <w:rFonts w:eastAsiaTheme="minorEastAsia"/>
                <w:lang w:eastAsia="zh-CN"/>
              </w:rPr>
              <w:t>We are fine with the proposal.</w:t>
            </w:r>
          </w:p>
        </w:tc>
      </w:tr>
      <w:tr w:rsidR="00B91A1D" w14:paraId="1405F579" w14:textId="77777777" w:rsidTr="006B2419">
        <w:tc>
          <w:tcPr>
            <w:tcW w:w="1555" w:type="dxa"/>
          </w:tcPr>
          <w:p w14:paraId="35D1FE57" w14:textId="7065360C" w:rsidR="00B91A1D" w:rsidRDefault="00B91A1D" w:rsidP="00B91A1D">
            <w:pPr>
              <w:pStyle w:val="0Maintext"/>
              <w:spacing w:after="0" w:afterAutospacing="0"/>
              <w:ind w:firstLine="0"/>
            </w:pPr>
            <w:r>
              <w:rPr>
                <w:rFonts w:eastAsiaTheme="minorEastAsia" w:hint="eastAsia"/>
                <w:lang w:eastAsia="zh-CN"/>
              </w:rPr>
              <w:t>C</w:t>
            </w:r>
            <w:r>
              <w:rPr>
                <w:rFonts w:eastAsiaTheme="minorEastAsia"/>
                <w:lang w:eastAsia="zh-CN"/>
              </w:rPr>
              <w:t>MCC</w:t>
            </w:r>
          </w:p>
        </w:tc>
        <w:tc>
          <w:tcPr>
            <w:tcW w:w="8076" w:type="dxa"/>
          </w:tcPr>
          <w:p w14:paraId="54171177" w14:textId="75D75966" w:rsidR="00B91A1D" w:rsidRDefault="00B91A1D" w:rsidP="00B91A1D">
            <w:pPr>
              <w:pStyle w:val="0Maintext"/>
              <w:spacing w:after="0" w:afterAutospacing="0"/>
              <w:ind w:firstLine="0"/>
            </w:pPr>
            <w:r>
              <w:rPr>
                <w:rFonts w:eastAsiaTheme="minorEastAsia" w:hint="eastAsia"/>
                <w:lang w:eastAsia="zh-CN"/>
              </w:rPr>
              <w:t>W</w:t>
            </w:r>
            <w:r>
              <w:rPr>
                <w:rFonts w:eastAsiaTheme="minorEastAsia"/>
                <w:lang w:eastAsia="zh-CN"/>
              </w:rPr>
              <w:t>e are fine with this proposal, and the down-selection can be done in next meeting.</w:t>
            </w:r>
          </w:p>
        </w:tc>
      </w:tr>
      <w:tr w:rsidR="009A6BDC" w14:paraId="69FD5365" w14:textId="77777777" w:rsidTr="006B2419">
        <w:tc>
          <w:tcPr>
            <w:tcW w:w="1555" w:type="dxa"/>
          </w:tcPr>
          <w:p w14:paraId="488154B2" w14:textId="15B5D1DF" w:rsidR="009A6BDC" w:rsidRDefault="009A6BDC" w:rsidP="009A6BDC">
            <w:pPr>
              <w:pStyle w:val="0Maintext"/>
              <w:spacing w:after="0" w:afterAutospacing="0"/>
              <w:ind w:firstLine="0"/>
              <w:rPr>
                <w:rFonts w:eastAsiaTheme="minorEastAsia"/>
                <w:lang w:eastAsia="zh-CN"/>
              </w:rPr>
            </w:pPr>
            <w:r w:rsidRPr="00F16947">
              <w:rPr>
                <w:rFonts w:ascii="Calibri" w:eastAsia="Batang" w:hAnsi="Calibri" w:cs="Calibri"/>
                <w:sz w:val="22"/>
                <w:szCs w:val="24"/>
                <w:lang w:val="en-US" w:eastAsia="x-none"/>
              </w:rPr>
              <w:t>V</w:t>
            </w:r>
            <w:r w:rsidRPr="00F16947">
              <w:rPr>
                <w:rFonts w:ascii="Calibri" w:eastAsia="Batang" w:hAnsi="Calibri" w:cs="Calibri" w:hint="eastAsia"/>
                <w:sz w:val="22"/>
                <w:szCs w:val="24"/>
                <w:lang w:val="en-US" w:eastAsia="x-none"/>
              </w:rPr>
              <w:t>ivo</w:t>
            </w:r>
          </w:p>
        </w:tc>
        <w:tc>
          <w:tcPr>
            <w:tcW w:w="8076" w:type="dxa"/>
          </w:tcPr>
          <w:p w14:paraId="7B411B72" w14:textId="77777777" w:rsidR="009A6BDC" w:rsidRPr="00912E04" w:rsidRDefault="009A6BDC" w:rsidP="009A6BDC">
            <w:pPr>
              <w:pStyle w:val="0Maintext"/>
              <w:spacing w:after="0" w:afterAutospacing="0"/>
              <w:ind w:firstLine="0"/>
              <w:rPr>
                <w:rFonts w:ascii="Calibri" w:eastAsia="Batang" w:hAnsi="Calibri" w:cs="Calibri"/>
                <w:sz w:val="22"/>
                <w:szCs w:val="24"/>
                <w:lang w:val="en-US" w:eastAsia="x-none"/>
              </w:rPr>
            </w:pPr>
            <w:r w:rsidRPr="00912E04">
              <w:rPr>
                <w:rFonts w:ascii="Calibri" w:eastAsia="Batang" w:hAnsi="Calibri" w:cs="Calibri"/>
                <w:sz w:val="22"/>
                <w:szCs w:val="24"/>
                <w:lang w:val="en-US" w:eastAsia="x-none"/>
              </w:rPr>
              <w:t>For the candidate resource report, we prefer to report a set of consecutive single-slot candidate resource, i.e., the resource exclusion procedure follows legacy mode 2 resource exclusion procedure, however the remaining candidate resource in S_A should be consecutive.</w:t>
            </w:r>
            <w:r>
              <w:rPr>
                <w:rFonts w:ascii="Calibri" w:eastAsia="Batang" w:hAnsi="Calibri" w:cs="Calibri"/>
                <w:sz w:val="22"/>
                <w:szCs w:val="24"/>
                <w:lang w:val="en-US" w:eastAsia="x-none"/>
              </w:rPr>
              <w:t xml:space="preserve"> Such solution provide reasonable performance gain and requires small spec. change.</w:t>
            </w:r>
          </w:p>
          <w:p w14:paraId="249B0436" w14:textId="037CBF8E" w:rsidR="009A6BDC" w:rsidRPr="00FA73F1" w:rsidRDefault="009A6BDC" w:rsidP="009A6BDC">
            <w:pPr>
              <w:pStyle w:val="0Maintext"/>
              <w:spacing w:after="0" w:afterAutospacing="0"/>
              <w:ind w:firstLine="0"/>
              <w:rPr>
                <w:rFonts w:ascii="Calibri" w:eastAsia="Batang" w:hAnsi="Calibri" w:cs="Calibri"/>
                <w:color w:val="FF0000"/>
                <w:sz w:val="22"/>
                <w:szCs w:val="24"/>
                <w:lang w:val="en-US" w:eastAsia="x-none"/>
              </w:rPr>
            </w:pPr>
            <w:r w:rsidRPr="00B717A1">
              <w:rPr>
                <w:rFonts w:ascii="Calibri" w:eastAsia="Batang" w:hAnsi="Calibri" w:cs="Calibri" w:hint="eastAsia"/>
                <w:color w:val="FF0000"/>
                <w:sz w:val="22"/>
                <w:szCs w:val="24"/>
                <w:lang w:val="en-US" w:eastAsia="x-none"/>
              </w:rPr>
              <w:t>O</w:t>
            </w:r>
            <w:r w:rsidRPr="00B717A1">
              <w:rPr>
                <w:rFonts w:ascii="Calibri" w:eastAsia="Batang" w:hAnsi="Calibri" w:cs="Calibri"/>
                <w:color w:val="FF0000"/>
                <w:sz w:val="22"/>
                <w:szCs w:val="24"/>
                <w:lang w:val="en-US" w:eastAsia="x-none"/>
              </w:rPr>
              <w:t xml:space="preserve">ption C: </w:t>
            </w:r>
            <w:r w:rsidRPr="00B717A1">
              <w:rPr>
                <w:rFonts w:ascii="Calibri" w:eastAsia="Batang" w:hAnsi="Calibri" w:cs="Calibri" w:hint="eastAsia"/>
                <w:color w:val="FF0000"/>
                <w:sz w:val="22"/>
                <w:szCs w:val="24"/>
                <w:lang w:val="en-US" w:eastAsia="x-none"/>
              </w:rPr>
              <w:t xml:space="preserve">L1 reports </w:t>
            </w:r>
            <w:r w:rsidRPr="00B717A1">
              <w:rPr>
                <w:rFonts w:ascii="Calibri" w:eastAsia="Batang" w:hAnsi="Calibri" w:cs="Calibri"/>
                <w:color w:val="FF0000"/>
                <w:sz w:val="22"/>
                <w:szCs w:val="24"/>
                <w:lang w:val="en-US" w:eastAsia="x-none"/>
              </w:rPr>
              <w:t>consecutive single-slot candidate resources</w:t>
            </w:r>
            <w:r w:rsidRPr="00B717A1">
              <w:rPr>
                <w:rFonts w:ascii="Calibri" w:eastAsia="Batang" w:hAnsi="Calibri" w:cs="Calibri" w:hint="eastAsia"/>
                <w:color w:val="FF0000"/>
                <w:sz w:val="22"/>
                <w:szCs w:val="24"/>
                <w:lang w:val="en-US" w:eastAsia="x-none"/>
              </w:rPr>
              <w:t xml:space="preserve"> in S</w:t>
            </w:r>
            <w:r w:rsidRPr="00B717A1">
              <w:rPr>
                <w:rFonts w:asciiTheme="minorEastAsia" w:eastAsiaTheme="minorEastAsia" w:hAnsiTheme="minorEastAsia" w:cs="Calibri"/>
                <w:color w:val="FF0000"/>
                <w:sz w:val="22"/>
                <w:szCs w:val="24"/>
                <w:lang w:val="en-US" w:eastAsia="zh-CN"/>
              </w:rPr>
              <w:t>_</w:t>
            </w:r>
            <w:r w:rsidRPr="00B717A1">
              <w:rPr>
                <w:rFonts w:ascii="Calibri" w:eastAsia="Batang" w:hAnsi="Calibri" w:cs="Calibri" w:hint="eastAsia"/>
                <w:color w:val="FF0000"/>
                <w:sz w:val="22"/>
                <w:szCs w:val="24"/>
                <w:lang w:val="en-US" w:eastAsia="x-none"/>
              </w:rPr>
              <w:t>A</w:t>
            </w:r>
          </w:p>
        </w:tc>
      </w:tr>
      <w:tr w:rsidR="007A40A8" w14:paraId="24FD487E" w14:textId="77777777" w:rsidTr="006B2419">
        <w:tc>
          <w:tcPr>
            <w:tcW w:w="1555" w:type="dxa"/>
          </w:tcPr>
          <w:p w14:paraId="1989BBE2" w14:textId="78C515B4" w:rsidR="007A40A8" w:rsidRPr="00F16947" w:rsidRDefault="007A40A8" w:rsidP="007A40A8">
            <w:pPr>
              <w:pStyle w:val="0Maintext"/>
              <w:spacing w:after="0" w:afterAutospacing="0"/>
              <w:ind w:firstLine="0"/>
              <w:rPr>
                <w:rFonts w:ascii="Calibri" w:eastAsia="Batang" w:hAnsi="Calibri" w:cs="Calibri"/>
                <w:sz w:val="22"/>
                <w:szCs w:val="24"/>
                <w:lang w:val="en-US" w:eastAsia="x-none"/>
              </w:rPr>
            </w:pPr>
            <w:r>
              <w:rPr>
                <w:rFonts w:eastAsiaTheme="minorEastAsia" w:hint="eastAsia"/>
                <w:lang w:eastAsia="zh-CN"/>
              </w:rPr>
              <w:t>C</w:t>
            </w:r>
            <w:r>
              <w:rPr>
                <w:rFonts w:eastAsiaTheme="minorEastAsia"/>
                <w:lang w:eastAsia="zh-CN"/>
              </w:rPr>
              <w:t>ATT/GH</w:t>
            </w:r>
          </w:p>
        </w:tc>
        <w:tc>
          <w:tcPr>
            <w:tcW w:w="8076" w:type="dxa"/>
          </w:tcPr>
          <w:p w14:paraId="3BDE944D" w14:textId="77777777" w:rsidR="007A40A8" w:rsidRDefault="007A40A8" w:rsidP="007A40A8">
            <w:pPr>
              <w:pStyle w:val="0Maintext"/>
              <w:spacing w:after="0" w:afterAutospacing="0"/>
              <w:ind w:firstLine="0"/>
              <w:rPr>
                <w:rFonts w:eastAsiaTheme="minorEastAsia"/>
                <w:lang w:eastAsia="zh-CN"/>
              </w:rPr>
            </w:pPr>
            <w:r>
              <w:rPr>
                <w:rFonts w:eastAsiaTheme="minorEastAsia" w:hint="eastAsia"/>
                <w:lang w:eastAsia="zh-CN"/>
              </w:rPr>
              <w:t>F</w:t>
            </w:r>
            <w:r>
              <w:rPr>
                <w:rFonts w:eastAsiaTheme="minorEastAsia"/>
                <w:lang w:eastAsia="zh-CN"/>
              </w:rPr>
              <w:t>urther down-selection is acceptable.</w:t>
            </w:r>
          </w:p>
          <w:p w14:paraId="64EC15D4" w14:textId="77777777" w:rsidR="007A40A8" w:rsidRDefault="007A40A8" w:rsidP="007A40A8">
            <w:pPr>
              <w:pStyle w:val="0Maintext"/>
              <w:spacing w:after="0" w:afterAutospacing="0"/>
              <w:ind w:firstLine="0"/>
              <w:rPr>
                <w:rFonts w:eastAsiaTheme="minorEastAsia"/>
                <w:lang w:eastAsia="zh-CN"/>
              </w:rPr>
            </w:pPr>
            <w:r>
              <w:rPr>
                <w:rFonts w:eastAsiaTheme="minorEastAsia" w:hint="eastAsia"/>
                <w:lang w:eastAsia="zh-CN"/>
              </w:rPr>
              <w:t>F</w:t>
            </w:r>
            <w:r>
              <w:rPr>
                <w:rFonts w:eastAsiaTheme="minorEastAsia"/>
                <w:lang w:eastAsia="zh-CN"/>
              </w:rPr>
              <w:t>or option 1 and option 2, we share the similar view with other companies that R16 procedure can be reused. There is no need for L1 to acquire m</w:t>
            </w:r>
            <w:r w:rsidRPr="000D478E">
              <w:rPr>
                <w:rFonts w:eastAsiaTheme="minorEastAsia"/>
                <w:lang w:eastAsia="zh-CN"/>
              </w:rPr>
              <w:t>ultiple sets</w:t>
            </w:r>
            <w:r>
              <w:rPr>
                <w:rFonts w:eastAsiaTheme="minorEastAsia"/>
                <w:lang w:eastAsia="zh-CN"/>
              </w:rPr>
              <w:t xml:space="preserve"> of higher-layer parameters.</w:t>
            </w:r>
          </w:p>
          <w:p w14:paraId="53F97B55" w14:textId="500E4746" w:rsidR="007A40A8" w:rsidRPr="00912E04" w:rsidRDefault="007A40A8" w:rsidP="007A40A8">
            <w:pPr>
              <w:pStyle w:val="0Maintext"/>
              <w:spacing w:after="0" w:afterAutospacing="0"/>
              <w:ind w:firstLine="0"/>
              <w:rPr>
                <w:rFonts w:ascii="Calibri" w:eastAsia="Batang" w:hAnsi="Calibri" w:cs="Calibri"/>
                <w:sz w:val="22"/>
                <w:szCs w:val="24"/>
                <w:lang w:val="en-US" w:eastAsia="x-none"/>
              </w:rPr>
            </w:pPr>
            <w:r>
              <w:rPr>
                <w:rFonts w:eastAsiaTheme="minorEastAsia"/>
                <w:lang w:eastAsia="zh-CN"/>
              </w:rPr>
              <w:t>For option A and option B, we are open for discussion.</w:t>
            </w:r>
          </w:p>
        </w:tc>
      </w:tr>
      <w:tr w:rsidR="00990944" w14:paraId="4500D855" w14:textId="77777777" w:rsidTr="006B2419">
        <w:tc>
          <w:tcPr>
            <w:tcW w:w="1555" w:type="dxa"/>
          </w:tcPr>
          <w:p w14:paraId="437D3262" w14:textId="073CB0AA" w:rsidR="00990944" w:rsidRDefault="00990944" w:rsidP="00990944">
            <w:pPr>
              <w:pStyle w:val="0Maintext"/>
              <w:spacing w:after="0" w:afterAutospacing="0"/>
              <w:ind w:firstLine="0"/>
              <w:rPr>
                <w:rFonts w:eastAsiaTheme="minorEastAsia"/>
                <w:lang w:eastAsia="zh-CN"/>
              </w:rPr>
            </w:pPr>
            <w:r>
              <w:rPr>
                <w:rFonts w:eastAsiaTheme="minorEastAsia" w:hint="eastAsia"/>
                <w:lang w:eastAsia="zh-CN"/>
              </w:rPr>
              <w:t>M</w:t>
            </w:r>
            <w:r>
              <w:rPr>
                <w:rFonts w:eastAsiaTheme="minorEastAsia"/>
                <w:lang w:eastAsia="zh-CN"/>
              </w:rPr>
              <w:t>ediaTek</w:t>
            </w:r>
          </w:p>
        </w:tc>
        <w:tc>
          <w:tcPr>
            <w:tcW w:w="8076" w:type="dxa"/>
          </w:tcPr>
          <w:p w14:paraId="3E522686" w14:textId="77777777" w:rsidR="00990944" w:rsidRDefault="00990944" w:rsidP="00990944">
            <w:pPr>
              <w:pStyle w:val="0Maintext"/>
              <w:spacing w:after="0" w:afterAutospacing="0"/>
              <w:ind w:firstLine="0"/>
              <w:rPr>
                <w:rFonts w:eastAsiaTheme="minorEastAsia"/>
                <w:lang w:eastAsia="zh-CN"/>
              </w:rPr>
            </w:pPr>
            <w:r>
              <w:rPr>
                <w:rFonts w:eastAsiaTheme="minorEastAsia" w:hint="eastAsia"/>
                <w:lang w:eastAsia="zh-CN"/>
              </w:rPr>
              <w:t>W</w:t>
            </w:r>
            <w:r>
              <w:rPr>
                <w:rFonts w:eastAsiaTheme="minorEastAsia"/>
                <w:lang w:eastAsia="zh-CN"/>
              </w:rPr>
              <w:t>e are fine with this proposal, but as some other companies have already proposed in the last round discussion, we think the timeline issue for both Mode 1 and Mode 2 RA due to the introduction of LBT should also be discussed for SL-U, which is related to the basic RA procedure for SL-U and also the discussed MCSt mechanism here. This issue is described and evaluated in our report and also can be observed from many other companies’ report. Correspondingly, we think at least a general FFS to reflect this issue should be raised for discussion:</w:t>
            </w:r>
          </w:p>
          <w:p w14:paraId="709CC86E" w14:textId="77777777" w:rsidR="00990944" w:rsidRPr="00227470" w:rsidRDefault="00990944" w:rsidP="00990944">
            <w:pPr>
              <w:pStyle w:val="0Maintext"/>
              <w:spacing w:after="0" w:afterAutospacing="0"/>
              <w:ind w:firstLine="0"/>
              <w:rPr>
                <w:rFonts w:eastAsiaTheme="minorEastAsia"/>
                <w:b/>
                <w:bCs/>
                <w:lang w:eastAsia="zh-CN"/>
              </w:rPr>
            </w:pPr>
            <w:r>
              <w:rPr>
                <w:rFonts w:eastAsiaTheme="minorEastAsia"/>
                <w:b/>
                <w:bCs/>
                <w:lang w:eastAsia="zh-CN"/>
              </w:rPr>
              <w:t>FFS</w:t>
            </w:r>
            <w:r w:rsidRPr="00227470">
              <w:rPr>
                <w:rFonts w:eastAsiaTheme="minorEastAsia"/>
                <w:b/>
                <w:bCs/>
                <w:lang w:eastAsia="zh-CN"/>
              </w:rPr>
              <w:t>: RAN1 should further study mechanisms to solve the timeline issue for SL resource allocation due to the additional time introduced by LBT operation.</w:t>
            </w:r>
            <w:r>
              <w:rPr>
                <w:rFonts w:eastAsiaTheme="minorEastAsia" w:hint="eastAsia"/>
                <w:b/>
                <w:bCs/>
                <w:lang w:eastAsia="zh-CN"/>
              </w:rPr>
              <w:t xml:space="preserve"> </w:t>
            </w:r>
            <w:r>
              <w:rPr>
                <w:rFonts w:eastAsiaTheme="minorEastAsia"/>
                <w:b/>
                <w:bCs/>
                <w:lang w:eastAsia="zh-CN"/>
              </w:rPr>
              <w:t xml:space="preserve">And </w:t>
            </w:r>
            <w:r>
              <w:rPr>
                <w:rFonts w:eastAsiaTheme="minorEastAsia" w:hint="eastAsia"/>
                <w:b/>
                <w:bCs/>
                <w:lang w:eastAsia="zh-CN"/>
              </w:rPr>
              <w:t>F</w:t>
            </w:r>
            <w:r>
              <w:rPr>
                <w:rFonts w:eastAsiaTheme="minorEastAsia"/>
                <w:b/>
                <w:bCs/>
                <w:lang w:eastAsia="zh-CN"/>
              </w:rPr>
              <w:t>FS details.</w:t>
            </w:r>
          </w:p>
          <w:p w14:paraId="3502BC5C" w14:textId="77777777" w:rsidR="00990944" w:rsidRDefault="00990944" w:rsidP="00990944">
            <w:pPr>
              <w:pStyle w:val="0Maintext"/>
              <w:spacing w:after="0" w:afterAutospacing="0"/>
              <w:ind w:firstLine="0"/>
              <w:rPr>
                <w:rFonts w:eastAsiaTheme="minorEastAsia"/>
                <w:lang w:eastAsia="zh-CN"/>
              </w:rPr>
            </w:pPr>
          </w:p>
        </w:tc>
      </w:tr>
      <w:tr w:rsidR="00293307" w14:paraId="23BD56AB" w14:textId="77777777" w:rsidTr="006B2419">
        <w:tc>
          <w:tcPr>
            <w:tcW w:w="1555" w:type="dxa"/>
          </w:tcPr>
          <w:p w14:paraId="49D79AD3" w14:textId="318205A8" w:rsidR="00293307" w:rsidRDefault="00293307" w:rsidP="00990944">
            <w:pPr>
              <w:pStyle w:val="0Maintext"/>
              <w:spacing w:after="0" w:afterAutospacing="0"/>
              <w:ind w:firstLine="0"/>
              <w:rPr>
                <w:rFonts w:eastAsiaTheme="minorEastAsia"/>
                <w:lang w:eastAsia="zh-CN"/>
              </w:rPr>
            </w:pPr>
            <w:r>
              <w:rPr>
                <w:rFonts w:eastAsiaTheme="minorEastAsia" w:hint="eastAsia"/>
                <w:lang w:eastAsia="zh-CN"/>
              </w:rPr>
              <w:t>Sharp</w:t>
            </w:r>
          </w:p>
        </w:tc>
        <w:tc>
          <w:tcPr>
            <w:tcW w:w="8076" w:type="dxa"/>
          </w:tcPr>
          <w:p w14:paraId="6F5B7C52" w14:textId="641FCBCE" w:rsidR="00293307" w:rsidRDefault="00293307" w:rsidP="00990944">
            <w:pPr>
              <w:pStyle w:val="0Maintext"/>
              <w:spacing w:after="0" w:afterAutospacing="0"/>
              <w:ind w:firstLine="0"/>
              <w:rPr>
                <w:rFonts w:eastAsiaTheme="minorEastAsia"/>
                <w:lang w:eastAsia="zh-CN"/>
              </w:rPr>
            </w:pPr>
            <w:r>
              <w:rPr>
                <w:rFonts w:eastAsiaTheme="minorEastAsia" w:hint="eastAsia"/>
                <w:lang w:eastAsia="zh-CN"/>
              </w:rPr>
              <w:t>We agree with OPPO</w:t>
            </w:r>
            <w:r>
              <w:rPr>
                <w:rFonts w:eastAsiaTheme="minorEastAsia"/>
                <w:lang w:eastAsia="zh-CN"/>
              </w:rPr>
              <w:t>’</w:t>
            </w:r>
            <w:r>
              <w:rPr>
                <w:rFonts w:eastAsiaTheme="minorEastAsia" w:hint="eastAsia"/>
                <w:lang w:eastAsia="zh-CN"/>
              </w:rPr>
              <w:t xml:space="preserve">s comment, and suggest appending </w:t>
            </w:r>
            <w:r>
              <w:rPr>
                <w:rFonts w:eastAsiaTheme="minorEastAsia"/>
                <w:lang w:eastAsia="zh-CN"/>
              </w:rPr>
              <w:t>“</w:t>
            </w:r>
            <w:r>
              <w:rPr>
                <w:rFonts w:eastAsiaTheme="minorEastAsia" w:hint="eastAsia"/>
                <w:lang w:eastAsia="zh-CN"/>
              </w:rPr>
              <w:t>one of the following options is supported</w:t>
            </w:r>
            <w:r>
              <w:rPr>
                <w:rFonts w:eastAsiaTheme="minorEastAsia"/>
                <w:lang w:eastAsia="zh-CN"/>
              </w:rPr>
              <w:t>”</w:t>
            </w:r>
            <w:r>
              <w:rPr>
                <w:rFonts w:eastAsiaTheme="minorEastAsia" w:hint="eastAsia"/>
                <w:lang w:eastAsia="zh-CN"/>
              </w:rPr>
              <w:t xml:space="preserve"> to each of the two main bullets.</w:t>
            </w:r>
          </w:p>
        </w:tc>
      </w:tr>
      <w:tr w:rsidR="001E5BBA" w14:paraId="0E2FFAEA" w14:textId="77777777" w:rsidTr="006B2419">
        <w:tc>
          <w:tcPr>
            <w:tcW w:w="1555" w:type="dxa"/>
          </w:tcPr>
          <w:p w14:paraId="49AD9E93" w14:textId="6226AC0C" w:rsidR="001E5BBA" w:rsidRDefault="001E5BBA" w:rsidP="001E5BBA">
            <w:pPr>
              <w:pStyle w:val="0Maintext"/>
              <w:spacing w:after="0" w:afterAutospacing="0"/>
              <w:ind w:firstLine="0"/>
              <w:rPr>
                <w:rFonts w:eastAsiaTheme="minorEastAsia"/>
                <w:lang w:eastAsia="zh-CN"/>
              </w:rPr>
            </w:pPr>
            <w:r>
              <w:rPr>
                <w:rFonts w:eastAsiaTheme="minorEastAsia"/>
                <w:lang w:eastAsia="zh-CN"/>
              </w:rPr>
              <w:t>Lenovo</w:t>
            </w:r>
          </w:p>
        </w:tc>
        <w:tc>
          <w:tcPr>
            <w:tcW w:w="8076" w:type="dxa"/>
          </w:tcPr>
          <w:p w14:paraId="00A33310" w14:textId="77777777" w:rsidR="001E5BBA" w:rsidRDefault="001E5BBA" w:rsidP="001E5BBA">
            <w:pPr>
              <w:pStyle w:val="0Maintext"/>
              <w:spacing w:after="0" w:afterAutospacing="0" w:line="240" w:lineRule="auto"/>
              <w:ind w:firstLine="0"/>
              <w:rPr>
                <w:rFonts w:eastAsiaTheme="minorEastAsia"/>
                <w:lang w:eastAsia="zh-CN"/>
              </w:rPr>
            </w:pPr>
            <w:r>
              <w:rPr>
                <w:rFonts w:eastAsiaTheme="minorEastAsia"/>
                <w:lang w:eastAsia="zh-CN"/>
              </w:rPr>
              <w:t>For the 1</w:t>
            </w:r>
            <w:r w:rsidRPr="0093604A">
              <w:rPr>
                <w:rFonts w:eastAsiaTheme="minorEastAsia"/>
                <w:vertAlign w:val="superscript"/>
                <w:lang w:eastAsia="zh-CN"/>
              </w:rPr>
              <w:t>st</w:t>
            </w:r>
            <w:r>
              <w:rPr>
                <w:rFonts w:eastAsiaTheme="minorEastAsia"/>
                <w:lang w:eastAsia="zh-CN"/>
              </w:rPr>
              <w:t xml:space="preserve"> bullet, the remaining channel occupancy duration may need to be taken into account so that the UE reports candidate resources optimally within the remaining channel occupancy duration. </w:t>
            </w:r>
          </w:p>
          <w:p w14:paraId="0FEA931B" w14:textId="77777777" w:rsidR="001E5BBA" w:rsidRDefault="001E5BBA" w:rsidP="001E5BBA">
            <w:pPr>
              <w:pStyle w:val="0Maintext"/>
              <w:spacing w:after="0" w:afterAutospacing="0" w:line="240" w:lineRule="auto"/>
              <w:ind w:firstLine="0"/>
              <w:rPr>
                <w:rFonts w:eastAsiaTheme="minorEastAsia"/>
                <w:lang w:eastAsia="zh-CN"/>
              </w:rPr>
            </w:pPr>
            <w:r>
              <w:rPr>
                <w:rFonts w:eastAsiaTheme="minorEastAsia"/>
                <w:lang w:eastAsia="zh-CN"/>
              </w:rPr>
              <w:t xml:space="preserve">If there are not enough resources then the UE can report resources outside the remaining channel occupancy duration. </w:t>
            </w:r>
          </w:p>
          <w:p w14:paraId="351A1F51" w14:textId="77777777" w:rsidR="001E5BBA" w:rsidRDefault="001E5BBA" w:rsidP="001E5BBA">
            <w:pPr>
              <w:pStyle w:val="0Maintext"/>
              <w:spacing w:after="0" w:afterAutospacing="0" w:line="240" w:lineRule="auto"/>
              <w:ind w:firstLine="0"/>
              <w:rPr>
                <w:rFonts w:eastAsiaTheme="minorEastAsia"/>
                <w:lang w:eastAsia="zh-CN"/>
              </w:rPr>
            </w:pPr>
          </w:p>
          <w:p w14:paraId="24A94E5D" w14:textId="463047B8" w:rsidR="001E5BBA" w:rsidRDefault="001E5BBA" w:rsidP="001E5BBA">
            <w:pPr>
              <w:pStyle w:val="0Maintext"/>
              <w:spacing w:after="0" w:afterAutospacing="0"/>
              <w:ind w:firstLine="0"/>
              <w:rPr>
                <w:rFonts w:eastAsiaTheme="minorEastAsia"/>
                <w:lang w:eastAsia="zh-CN"/>
              </w:rPr>
            </w:pPr>
            <w:r>
              <w:rPr>
                <w:rFonts w:eastAsiaTheme="minorEastAsia"/>
                <w:lang w:eastAsia="zh-CN"/>
              </w:rPr>
              <w:t xml:space="preserve">So we suggest to modify the FFS under the first bullet slightly "FFS: </w:t>
            </w:r>
            <w:r w:rsidRPr="005D2A0A">
              <w:rPr>
                <w:rFonts w:eastAsiaTheme="minorEastAsia"/>
                <w:lang w:eastAsia="zh-CN"/>
              </w:rPr>
              <w:t xml:space="preserve">any further information needs to be provided to L1 </w:t>
            </w:r>
            <w:ins w:id="141" w:author="Alexander Golitschek" w:date="2022-10-13T11:09:00Z">
              <w:r>
                <w:rPr>
                  <w:rFonts w:eastAsiaTheme="minorEastAsia"/>
                  <w:lang w:eastAsia="zh-CN"/>
                </w:rPr>
                <w:t xml:space="preserve">or </w:t>
              </w:r>
            </w:ins>
            <w:ins w:id="142" w:author="Alexander Golitschek" w:date="2022-10-13T11:11:00Z">
              <w:r>
                <w:rPr>
                  <w:rFonts w:eastAsiaTheme="minorEastAsia"/>
                  <w:lang w:eastAsia="zh-CN"/>
                </w:rPr>
                <w:t>utilised</w:t>
              </w:r>
            </w:ins>
            <w:ins w:id="143" w:author="Alexander Golitschek" w:date="2022-10-13T11:09:00Z">
              <w:r>
                <w:rPr>
                  <w:rFonts w:eastAsiaTheme="minorEastAsia"/>
                  <w:lang w:eastAsia="zh-CN"/>
                </w:rPr>
                <w:t xml:space="preserve"> </w:t>
              </w:r>
            </w:ins>
            <w:r w:rsidRPr="005D2A0A">
              <w:rPr>
                <w:rFonts w:eastAsiaTheme="minorEastAsia"/>
                <w:lang w:eastAsia="zh-CN"/>
              </w:rPr>
              <w:t>for MCSt</w:t>
            </w:r>
            <w:r>
              <w:rPr>
                <w:rFonts w:eastAsiaTheme="minorEastAsia"/>
                <w:lang w:eastAsia="zh-CN"/>
              </w:rPr>
              <w:t>".</w:t>
            </w:r>
          </w:p>
        </w:tc>
      </w:tr>
      <w:tr w:rsidR="00650E3B" w:rsidRPr="004F1ADF" w14:paraId="78A3FEB3" w14:textId="77777777" w:rsidTr="00650E3B">
        <w:tc>
          <w:tcPr>
            <w:tcW w:w="1555" w:type="dxa"/>
          </w:tcPr>
          <w:p w14:paraId="559F8F97" w14:textId="77777777" w:rsidR="00650E3B" w:rsidRDefault="00650E3B" w:rsidP="000F6488">
            <w:pPr>
              <w:pStyle w:val="0Maintext"/>
              <w:spacing w:after="0" w:afterAutospacing="0"/>
              <w:ind w:firstLine="0"/>
              <w:rPr>
                <w:rFonts w:eastAsiaTheme="minorEastAsia"/>
                <w:lang w:eastAsia="zh-CN"/>
              </w:rPr>
            </w:pPr>
            <w:r>
              <w:rPr>
                <w:rFonts w:eastAsiaTheme="minorEastAsia"/>
                <w:lang w:eastAsia="zh-CN"/>
              </w:rPr>
              <w:t>Huawei, HiSilicon</w:t>
            </w:r>
          </w:p>
        </w:tc>
        <w:tc>
          <w:tcPr>
            <w:tcW w:w="8076" w:type="dxa"/>
          </w:tcPr>
          <w:p w14:paraId="65548286" w14:textId="77777777" w:rsidR="00650E3B" w:rsidRDefault="00650E3B" w:rsidP="00FA73F1">
            <w:pPr>
              <w:pStyle w:val="0Maintext"/>
              <w:spacing w:after="0" w:afterAutospacing="0"/>
              <w:ind w:firstLine="0"/>
              <w:rPr>
                <w:rFonts w:eastAsiaTheme="minorEastAsia"/>
                <w:lang w:eastAsia="zh-CN"/>
              </w:rPr>
            </w:pPr>
            <w:r>
              <w:rPr>
                <w:rFonts w:eastAsiaTheme="minorEastAsia"/>
                <w:lang w:eastAsia="zh-CN"/>
              </w:rPr>
              <w:t>First all of, we think the procedure for Rel-18 resource selection for multiple TBs should be clarified.</w:t>
            </w:r>
          </w:p>
          <w:p w14:paraId="76203361" w14:textId="77777777" w:rsidR="00650E3B" w:rsidRDefault="00650E3B" w:rsidP="00FA73F1">
            <w:pPr>
              <w:pStyle w:val="0Maintext"/>
              <w:spacing w:after="0" w:afterAutospacing="0"/>
              <w:ind w:firstLine="0"/>
              <w:rPr>
                <w:rFonts w:eastAsiaTheme="minorEastAsia"/>
                <w:lang w:eastAsia="zh-CN"/>
              </w:rPr>
            </w:pPr>
          </w:p>
          <w:p w14:paraId="4C60153C" w14:textId="77777777" w:rsidR="00650E3B" w:rsidRDefault="00650E3B" w:rsidP="00FA73F1">
            <w:pPr>
              <w:pStyle w:val="0Maintext"/>
              <w:spacing w:after="0" w:afterAutospacing="0"/>
              <w:ind w:firstLine="0"/>
              <w:rPr>
                <w:rFonts w:cs="Times New Roman"/>
                <w:lang w:val="en-US" w:eastAsia="x-none"/>
              </w:rPr>
            </w:pPr>
            <w:r>
              <w:rPr>
                <w:rFonts w:eastAsiaTheme="minorEastAsia"/>
                <w:lang w:eastAsia="zh-CN"/>
              </w:rPr>
              <w:t xml:space="preserve">In Rel-16, the resource selection procedure is performed per TB. For example, UE has two TBs for </w:t>
            </w:r>
            <w:r w:rsidRPr="005939B9">
              <w:rPr>
                <w:rFonts w:eastAsiaTheme="minorEastAsia" w:cs="Times New Roman"/>
                <w:lang w:eastAsia="zh-CN"/>
              </w:rPr>
              <w:t xml:space="preserve">transmission. Then, the MAC </w:t>
            </w:r>
            <w:r>
              <w:rPr>
                <w:rFonts w:eastAsiaTheme="minorEastAsia" w:cs="Times New Roman"/>
                <w:lang w:eastAsia="zh-CN"/>
              </w:rPr>
              <w:t xml:space="preserve">layer </w:t>
            </w:r>
            <w:r w:rsidRPr="005939B9">
              <w:rPr>
                <w:rFonts w:eastAsiaTheme="minorEastAsia" w:cs="Times New Roman"/>
                <w:lang w:eastAsia="zh-CN"/>
              </w:rPr>
              <w:t xml:space="preserve">would provide two sets of parameters </w:t>
            </w:r>
            <w:r w:rsidRPr="005939B9">
              <w:rPr>
                <w:rFonts w:cs="Times New Roman"/>
                <w:lang w:val="en-US" w:eastAsia="x-none"/>
              </w:rPr>
              <w:t>(</w:t>
            </w:r>
            <m:oMath>
              <m:r>
                <w:rPr>
                  <w:rFonts w:ascii="Cambria Math" w:hAnsi="Cambria Math" w:cs="Times New Roman"/>
                  <w:lang w:val="en-US" w:eastAsia="x-none"/>
                </w:rPr>
                <m:t>pri</m:t>
              </m:r>
              <m:sSub>
                <m:sSubPr>
                  <m:ctrlPr>
                    <w:rPr>
                      <w:rFonts w:ascii="Cambria Math" w:hAnsi="Cambria Math" w:cs="Times New Roman"/>
                      <w:i/>
                      <w:iCs/>
                      <w:lang w:val="en-US" w:eastAsia="x-none"/>
                    </w:rPr>
                  </m:ctrlPr>
                </m:sSubPr>
                <m:e>
                  <m:r>
                    <w:rPr>
                      <w:rFonts w:ascii="Cambria Math" w:hAnsi="Cambria Math" w:cs="Times New Roman"/>
                      <w:lang w:val="en-US" w:eastAsia="x-none"/>
                    </w:rPr>
                    <m:t>o</m:t>
                  </m:r>
                </m:e>
                <m:sub>
                  <m:r>
                    <w:rPr>
                      <w:rFonts w:ascii="Cambria Math" w:hAnsi="Cambria Math" w:cs="Times New Roman"/>
                      <w:lang w:val="en-US" w:eastAsia="x-none"/>
                    </w:rPr>
                    <m:t>TX</m:t>
                  </m:r>
                </m:sub>
              </m:sSub>
            </m:oMath>
            <w:r w:rsidRPr="005939B9">
              <w:rPr>
                <w:rFonts w:cs="Times New Roman"/>
                <w:lang w:val="en-US" w:eastAsia="x-none"/>
              </w:rPr>
              <w:t xml:space="preserve">, remaining PDB, </w:t>
            </w:r>
            <m:oMath>
              <m:sSub>
                <m:sSubPr>
                  <m:ctrlPr>
                    <w:rPr>
                      <w:rFonts w:ascii="Cambria Math" w:hAnsi="Cambria Math" w:cs="Times New Roman"/>
                      <w:i/>
                      <w:iCs/>
                      <w:lang w:val="en-US" w:eastAsia="x-none"/>
                    </w:rPr>
                  </m:ctrlPr>
                </m:sSubPr>
                <m:e>
                  <m:r>
                    <w:rPr>
                      <w:rFonts w:ascii="Cambria Math" w:hAnsi="Cambria Math" w:cs="Times New Roman"/>
                      <w:lang w:val="en-US" w:eastAsia="x-none"/>
                    </w:rPr>
                    <m:t>L</m:t>
                  </m:r>
                </m:e>
                <m:sub>
                  <m:r>
                    <m:rPr>
                      <m:nor/>
                    </m:rPr>
                    <w:rPr>
                      <w:rFonts w:cs="Times New Roman"/>
                      <w:lang w:val="en-US" w:eastAsia="x-none"/>
                    </w:rPr>
                    <m:t>subCH</m:t>
                  </m:r>
                </m:sub>
              </m:sSub>
            </m:oMath>
            <w:r w:rsidRPr="005939B9">
              <w:rPr>
                <w:rFonts w:cs="Times New Roman"/>
                <w:lang w:val="en-US" w:eastAsia="x-none"/>
              </w:rPr>
              <w:t xml:space="preserve"> and </w:t>
            </w:r>
            <m:oMath>
              <m:sSub>
                <m:sSubPr>
                  <m:ctrlPr>
                    <w:rPr>
                      <w:rFonts w:ascii="Cambria Math" w:hAnsi="Cambria Math" w:cs="Times New Roman"/>
                      <w:i/>
                      <w:iCs/>
                      <w:lang w:val="en-US" w:eastAsia="x-none"/>
                    </w:rPr>
                  </m:ctrlPr>
                </m:sSubPr>
                <m:e>
                  <m:r>
                    <w:rPr>
                      <w:rFonts w:ascii="Cambria Math" w:hAnsi="Cambria Math" w:cs="Times New Roman"/>
                      <w:lang w:val="en-US" w:eastAsia="x-none"/>
                    </w:rPr>
                    <m:t>P</m:t>
                  </m:r>
                </m:e>
                <m:sub>
                  <m:r>
                    <m:rPr>
                      <m:nor/>
                    </m:rPr>
                    <w:rPr>
                      <w:rFonts w:cs="Times New Roman"/>
                      <w:lang w:val="en-US" w:eastAsia="x-none"/>
                    </w:rPr>
                    <m:t>rsvp_TX</m:t>
                  </m:r>
                </m:sub>
              </m:sSub>
            </m:oMath>
            <w:r w:rsidRPr="005939B9">
              <w:rPr>
                <w:rFonts w:cs="Times New Roman"/>
                <w:lang w:val="en-US" w:eastAsia="x-none"/>
              </w:rPr>
              <w:t>)</w:t>
            </w:r>
            <w:r>
              <w:rPr>
                <w:rFonts w:cs="Times New Roman"/>
                <w:lang w:val="en-US" w:eastAsia="x-none"/>
              </w:rPr>
              <w:t xml:space="preserve"> separately for PHY layer, and PHY layer would generate two individual resource sets and report them to MAC layer.</w:t>
            </w:r>
          </w:p>
          <w:p w14:paraId="1D1B8886" w14:textId="77777777" w:rsidR="00650E3B" w:rsidRDefault="00650E3B" w:rsidP="00FA73F1">
            <w:pPr>
              <w:pStyle w:val="0Maintext"/>
              <w:spacing w:after="0" w:afterAutospacing="0"/>
              <w:ind w:firstLine="0"/>
              <w:rPr>
                <w:rFonts w:eastAsiaTheme="minorEastAsia"/>
                <w:lang w:eastAsia="zh-CN"/>
              </w:rPr>
            </w:pPr>
          </w:p>
          <w:p w14:paraId="44513B78" w14:textId="77777777" w:rsidR="00650E3B" w:rsidRDefault="00650E3B" w:rsidP="00FA73F1">
            <w:pPr>
              <w:pStyle w:val="0Maintext"/>
              <w:spacing w:after="0" w:afterAutospacing="0"/>
              <w:ind w:firstLine="0"/>
              <w:rPr>
                <w:rFonts w:eastAsiaTheme="minorEastAsia"/>
                <w:lang w:eastAsia="zh-CN"/>
              </w:rPr>
            </w:pPr>
            <w:r>
              <w:rPr>
                <w:rFonts w:eastAsiaTheme="minorEastAsia"/>
                <w:lang w:eastAsia="zh-CN"/>
              </w:rPr>
              <w:t>Thus, we think option 2 is more aligned with Rel-16 procedure and can be reused (the wording “same as Rel-16” should be deleted in option 1). After reporting multiple candidate resource sets, consecutive slots can be selected by MAC layer which Option B is preferred.</w:t>
            </w:r>
          </w:p>
          <w:p w14:paraId="7B634CAC" w14:textId="77777777" w:rsidR="00650E3B" w:rsidRDefault="00650E3B" w:rsidP="00FA73F1">
            <w:pPr>
              <w:pStyle w:val="0Maintext"/>
              <w:spacing w:after="0" w:afterAutospacing="0"/>
              <w:ind w:firstLine="0"/>
              <w:rPr>
                <w:rFonts w:eastAsiaTheme="minorEastAsia"/>
                <w:lang w:eastAsia="zh-CN"/>
              </w:rPr>
            </w:pPr>
          </w:p>
          <w:p w14:paraId="2B8159C6" w14:textId="77777777" w:rsidR="00650E3B" w:rsidRDefault="00650E3B" w:rsidP="00FA73F1">
            <w:pPr>
              <w:pStyle w:val="0Maintext"/>
              <w:spacing w:after="0" w:afterAutospacing="0"/>
              <w:ind w:firstLine="0"/>
              <w:rPr>
                <w:rFonts w:eastAsiaTheme="minorEastAsia"/>
                <w:lang w:eastAsia="zh-CN"/>
              </w:rPr>
            </w:pPr>
            <w:r>
              <w:rPr>
                <w:rFonts w:eastAsiaTheme="minorEastAsia"/>
                <w:lang w:eastAsia="zh-CN"/>
              </w:rPr>
              <w:t>Since RAN1 is considering the case for MCSt, which UE needs transmit multiple TB in multiple slots, we suggest to have followed modifications in the proposal.</w:t>
            </w:r>
          </w:p>
          <w:p w14:paraId="1C5DBB00" w14:textId="77777777" w:rsidR="00650E3B" w:rsidRDefault="00650E3B" w:rsidP="00FA73F1">
            <w:pPr>
              <w:pStyle w:val="0Maintext"/>
              <w:spacing w:after="0" w:afterAutospacing="0"/>
              <w:ind w:firstLine="0"/>
              <w:rPr>
                <w:rFonts w:eastAsiaTheme="minorEastAsia"/>
                <w:lang w:eastAsia="zh-CN"/>
              </w:rPr>
            </w:pPr>
          </w:p>
          <w:p w14:paraId="52DBC012" w14:textId="77777777" w:rsidR="00650E3B" w:rsidRPr="00C65E36" w:rsidRDefault="00650E3B" w:rsidP="00FA73F1">
            <w:pPr>
              <w:autoSpaceDE w:val="0"/>
              <w:autoSpaceDN w:val="0"/>
              <w:jc w:val="both"/>
              <w:rPr>
                <w:rFonts w:ascii="Calibri" w:hAnsi="Calibri" w:cs="Calibri"/>
                <w:sz w:val="22"/>
              </w:rPr>
            </w:pPr>
            <w:r w:rsidRPr="00C65E36">
              <w:rPr>
                <w:rFonts w:ascii="Calibri" w:hAnsi="Calibri" w:cs="Calibri"/>
                <w:b/>
                <w:bCs/>
                <w:sz w:val="22"/>
                <w:highlight w:val="yellow"/>
              </w:rPr>
              <w:t xml:space="preserve">Proposal </w:t>
            </w:r>
            <w:r>
              <w:rPr>
                <w:rFonts w:ascii="Calibri" w:hAnsi="Calibri" w:cs="Calibri"/>
                <w:b/>
                <w:bCs/>
                <w:sz w:val="22"/>
                <w:highlight w:val="yellow"/>
              </w:rPr>
              <w:t>7</w:t>
            </w:r>
            <w:r w:rsidRPr="00C65E36">
              <w:rPr>
                <w:rFonts w:ascii="Calibri" w:hAnsi="Calibri" w:cs="Calibri"/>
                <w:b/>
                <w:bCs/>
                <w:sz w:val="22"/>
                <w:highlight w:val="yellow"/>
              </w:rPr>
              <w:t xml:space="preserve"> (I</w:t>
            </w:r>
            <w:r>
              <w:rPr>
                <w:rFonts w:ascii="Calibri" w:hAnsi="Calibri" w:cs="Calibri"/>
                <w:b/>
                <w:bCs/>
                <w:sz w:val="22"/>
                <w:highlight w:val="yellow"/>
              </w:rPr>
              <w:t>I</w:t>
            </w:r>
            <w:r w:rsidRPr="00C65E36">
              <w:rPr>
                <w:rFonts w:ascii="Calibri" w:hAnsi="Calibri" w:cs="Calibri"/>
                <w:b/>
                <w:bCs/>
                <w:sz w:val="22"/>
                <w:highlight w:val="yellow"/>
              </w:rPr>
              <w:t>):</w:t>
            </w:r>
            <w:r w:rsidRPr="00102735">
              <w:rPr>
                <w:rFonts w:ascii="Calibri" w:hAnsi="Calibri" w:cs="Calibri"/>
                <w:sz w:val="22"/>
              </w:rPr>
              <w:t xml:space="preserve"> </w:t>
            </w:r>
          </w:p>
          <w:p w14:paraId="536460E8" w14:textId="77777777" w:rsidR="00650E3B" w:rsidRPr="00E818B5" w:rsidRDefault="00650E3B" w:rsidP="00FA73F1">
            <w:pPr>
              <w:numPr>
                <w:ilvl w:val="0"/>
                <w:numId w:val="27"/>
              </w:numPr>
              <w:autoSpaceDE w:val="0"/>
              <w:autoSpaceDN w:val="0"/>
              <w:jc w:val="both"/>
              <w:rPr>
                <w:rFonts w:ascii="Calibri" w:hAnsi="Calibri" w:cs="Calibri"/>
                <w:sz w:val="22"/>
                <w:lang w:val="en-US" w:eastAsia="x-none"/>
              </w:rPr>
            </w:pPr>
            <w:r w:rsidRPr="00E818B5">
              <w:rPr>
                <w:rFonts w:ascii="Calibri" w:hAnsi="Calibri" w:cs="Calibri" w:hint="eastAsia"/>
                <w:sz w:val="22"/>
                <w:lang w:val="en-US" w:eastAsia="x-none"/>
              </w:rPr>
              <w:t>When L1 is triggered for reporting a subset of candidate resources for MCSt,</w:t>
            </w:r>
          </w:p>
          <w:p w14:paraId="4CE69379" w14:textId="77777777" w:rsidR="00650E3B" w:rsidRPr="004F1ADF" w:rsidRDefault="00650E3B" w:rsidP="00FA73F1">
            <w:pPr>
              <w:numPr>
                <w:ilvl w:val="1"/>
                <w:numId w:val="27"/>
              </w:numPr>
              <w:autoSpaceDE w:val="0"/>
              <w:autoSpaceDN w:val="0"/>
              <w:jc w:val="both"/>
              <w:rPr>
                <w:rFonts w:ascii="Calibri" w:hAnsi="Calibri" w:cs="Calibri"/>
                <w:strike/>
                <w:color w:val="00B050"/>
                <w:sz w:val="22"/>
                <w:lang w:val="en-US" w:eastAsia="x-none"/>
              </w:rPr>
            </w:pPr>
            <w:r w:rsidRPr="00E818B5">
              <w:rPr>
                <w:rFonts w:ascii="Calibri" w:hAnsi="Calibri" w:cs="Calibri" w:hint="eastAsia"/>
                <w:sz w:val="22"/>
                <w:lang w:val="en-US" w:eastAsia="x-none"/>
              </w:rPr>
              <w:t>Option 1: Only one set of parameters (</w:t>
            </w:r>
            <m:oMath>
              <m:r>
                <w:rPr>
                  <w:rFonts w:ascii="Cambria Math" w:hAnsi="Cambria Math" w:cs="Calibri"/>
                  <w:sz w:val="22"/>
                  <w:lang w:val="en-US" w:eastAsia="x-none"/>
                </w:rPr>
                <m:t>pri</m:t>
              </m:r>
              <m:sSub>
                <m:sSubPr>
                  <m:ctrlPr>
                    <w:rPr>
                      <w:rFonts w:ascii="Cambria Math" w:hAnsi="Cambria Math" w:cs="Calibri"/>
                      <w:i/>
                      <w:iCs/>
                      <w:sz w:val="22"/>
                      <w:lang w:val="en-US" w:eastAsia="x-none"/>
                    </w:rPr>
                  </m:ctrlPr>
                </m:sSubPr>
                <m:e>
                  <m:r>
                    <w:rPr>
                      <w:rFonts w:ascii="Cambria Math" w:hAnsi="Cambria Math" w:cs="Calibri"/>
                      <w:sz w:val="22"/>
                      <w:lang w:val="en-US" w:eastAsia="x-none"/>
                    </w:rPr>
                    <m:t>o</m:t>
                  </m:r>
                </m:e>
                <m:sub>
                  <m:r>
                    <w:rPr>
                      <w:rFonts w:ascii="Cambria Math" w:hAnsi="Cambria Math" w:cs="Calibri"/>
                      <w:sz w:val="22"/>
                      <w:lang w:val="en-US" w:eastAsia="x-none"/>
                    </w:rPr>
                    <m:t>TX</m:t>
                  </m:r>
                </m:sub>
              </m:sSub>
            </m:oMath>
            <w:r w:rsidRPr="00E818B5">
              <w:rPr>
                <w:rFonts w:ascii="Calibri" w:hAnsi="Calibri" w:cs="Calibri" w:hint="eastAsia"/>
                <w:sz w:val="22"/>
                <w:lang w:val="en-US" w:eastAsia="x-none"/>
              </w:rPr>
              <w:t xml:space="preserve">, remaining PDB, </w:t>
            </w:r>
            <m:oMath>
              <m:sSub>
                <m:sSubPr>
                  <m:ctrlPr>
                    <w:rPr>
                      <w:rFonts w:ascii="Cambria Math" w:hAnsi="Cambria Math" w:cs="Calibri"/>
                      <w:i/>
                      <w:iCs/>
                      <w:sz w:val="22"/>
                      <w:lang w:val="en-US" w:eastAsia="x-none"/>
                    </w:rPr>
                  </m:ctrlPr>
                </m:sSubPr>
                <m:e>
                  <m:r>
                    <w:rPr>
                      <w:rFonts w:ascii="Cambria Math" w:hAnsi="Cambria Math" w:cs="Calibri"/>
                      <w:sz w:val="22"/>
                      <w:lang w:val="en-US" w:eastAsia="x-none"/>
                    </w:rPr>
                    <m:t>L</m:t>
                  </m:r>
                </m:e>
                <m:sub>
                  <m:r>
                    <m:rPr>
                      <m:nor/>
                    </m:rPr>
                    <w:rPr>
                      <w:rFonts w:ascii="Calibri" w:hAnsi="Calibri" w:cs="Calibri"/>
                      <w:sz w:val="22"/>
                      <w:lang w:val="en-US" w:eastAsia="x-none"/>
                    </w:rPr>
                    <m:t>subCH</m:t>
                  </m:r>
                </m:sub>
              </m:sSub>
            </m:oMath>
            <w:r w:rsidRPr="00E818B5">
              <w:rPr>
                <w:rFonts w:ascii="Calibri" w:hAnsi="Calibri" w:cs="Calibri" w:hint="eastAsia"/>
                <w:sz w:val="22"/>
                <w:lang w:val="en-US" w:eastAsia="x-none"/>
              </w:rPr>
              <w:t xml:space="preserve"> and </w:t>
            </w:r>
            <m:oMath>
              <m:sSub>
                <m:sSubPr>
                  <m:ctrlPr>
                    <w:rPr>
                      <w:rFonts w:ascii="Cambria Math" w:hAnsi="Cambria Math" w:cs="Calibri"/>
                      <w:i/>
                      <w:iCs/>
                      <w:sz w:val="22"/>
                      <w:lang w:val="en-US" w:eastAsia="x-none"/>
                    </w:rPr>
                  </m:ctrlPr>
                </m:sSubPr>
                <m:e>
                  <m:r>
                    <w:rPr>
                      <w:rFonts w:ascii="Cambria Math" w:hAnsi="Cambria Math" w:cs="Calibri"/>
                      <w:sz w:val="22"/>
                      <w:lang w:val="en-US" w:eastAsia="x-none"/>
                    </w:rPr>
                    <m:t>P</m:t>
                  </m:r>
                </m:e>
                <m:sub>
                  <m:r>
                    <m:rPr>
                      <m:nor/>
                    </m:rPr>
                    <w:rPr>
                      <w:rFonts w:ascii="Calibri" w:hAnsi="Calibri" w:cs="Calibri" w:hint="eastAsia"/>
                      <w:sz w:val="22"/>
                      <w:lang w:val="en-US" w:eastAsia="x-none"/>
                    </w:rPr>
                    <m:t>rsvp_TX</m:t>
                  </m:r>
                </m:sub>
              </m:sSub>
            </m:oMath>
            <w:r w:rsidRPr="00E818B5">
              <w:rPr>
                <w:rFonts w:ascii="Calibri" w:hAnsi="Calibri" w:cs="Calibri" w:hint="eastAsia"/>
                <w:sz w:val="22"/>
                <w:lang w:val="en-US" w:eastAsia="x-none"/>
              </w:rPr>
              <w:t xml:space="preserve">) is provided </w:t>
            </w:r>
            <w:r w:rsidRPr="004F1ADF">
              <w:rPr>
                <w:rFonts w:ascii="Calibri" w:hAnsi="Calibri" w:cs="Calibri" w:hint="eastAsia"/>
                <w:color w:val="00B050"/>
                <w:sz w:val="22"/>
                <w:lang w:val="en-US" w:eastAsia="x-none"/>
              </w:rPr>
              <w:t xml:space="preserve">for </w:t>
            </w:r>
            <w:r w:rsidRPr="004F1ADF">
              <w:rPr>
                <w:rFonts w:ascii="Calibri" w:hAnsi="Calibri" w:cs="Calibri"/>
                <w:color w:val="00B050"/>
                <w:sz w:val="22"/>
                <w:lang w:val="en-US" w:eastAsia="x-none"/>
              </w:rPr>
              <w:t xml:space="preserve">multiple TBs </w:t>
            </w:r>
            <w:r>
              <w:rPr>
                <w:rFonts w:ascii="Calibri" w:hAnsi="Calibri" w:cs="Calibri"/>
                <w:sz w:val="22"/>
                <w:lang w:val="en-US" w:eastAsia="x-none"/>
              </w:rPr>
              <w:t xml:space="preserve">for </w:t>
            </w:r>
            <w:r w:rsidRPr="00E818B5">
              <w:rPr>
                <w:rFonts w:ascii="Calibri" w:hAnsi="Calibri" w:cs="Calibri" w:hint="eastAsia"/>
                <w:sz w:val="22"/>
                <w:lang w:val="en-US" w:eastAsia="x-none"/>
              </w:rPr>
              <w:t xml:space="preserve">the resource selection procedure in L1 </w:t>
            </w:r>
            <w:r w:rsidRPr="004F1ADF">
              <w:rPr>
                <w:rFonts w:ascii="Calibri" w:hAnsi="Calibri" w:cs="Calibri" w:hint="eastAsia"/>
                <w:strike/>
                <w:color w:val="00B050"/>
                <w:sz w:val="22"/>
                <w:lang w:val="en-US" w:eastAsia="x-none"/>
              </w:rPr>
              <w:t>(same as Rel-16)</w:t>
            </w:r>
          </w:p>
          <w:p w14:paraId="44B47813" w14:textId="77777777" w:rsidR="00650E3B" w:rsidRPr="004F1ADF" w:rsidRDefault="00650E3B" w:rsidP="00FA73F1">
            <w:pPr>
              <w:numPr>
                <w:ilvl w:val="2"/>
                <w:numId w:val="27"/>
              </w:numPr>
              <w:tabs>
                <w:tab w:val="num" w:pos="2160"/>
              </w:tabs>
              <w:autoSpaceDE w:val="0"/>
              <w:autoSpaceDN w:val="0"/>
              <w:jc w:val="both"/>
              <w:rPr>
                <w:rFonts w:ascii="Calibri" w:hAnsi="Calibri" w:cs="Calibri"/>
                <w:strike/>
                <w:color w:val="00B050"/>
                <w:sz w:val="22"/>
                <w:lang w:val="en-US" w:eastAsia="x-none"/>
              </w:rPr>
            </w:pPr>
            <w:r w:rsidRPr="004F1ADF">
              <w:rPr>
                <w:rFonts w:ascii="Calibri" w:hAnsi="Calibri" w:cs="Calibri" w:hint="eastAsia"/>
                <w:strike/>
                <w:color w:val="00B050"/>
                <w:sz w:val="22"/>
                <w:lang w:val="en-US" w:eastAsia="x-none"/>
              </w:rPr>
              <w:t>Note, this is applicable for transmission of a single TB and multiple TBs (by triggering this procedure multiple times)</w:t>
            </w:r>
          </w:p>
          <w:p w14:paraId="5A6F590D" w14:textId="77777777" w:rsidR="00650E3B" w:rsidRDefault="00650E3B" w:rsidP="00FA73F1">
            <w:pPr>
              <w:numPr>
                <w:ilvl w:val="1"/>
                <w:numId w:val="27"/>
              </w:numPr>
              <w:autoSpaceDE w:val="0"/>
              <w:autoSpaceDN w:val="0"/>
              <w:jc w:val="both"/>
              <w:rPr>
                <w:rFonts w:ascii="Calibri" w:hAnsi="Calibri" w:cs="Calibri"/>
                <w:sz w:val="22"/>
                <w:lang w:val="en-US" w:eastAsia="x-none"/>
              </w:rPr>
            </w:pPr>
            <w:r w:rsidRPr="00E818B5">
              <w:rPr>
                <w:rFonts w:ascii="Calibri" w:hAnsi="Calibri" w:cs="Calibri" w:hint="eastAsia"/>
                <w:sz w:val="22"/>
                <w:lang w:val="en-US" w:eastAsia="x-none"/>
              </w:rPr>
              <w:t>Option 2: Multiple sets of parameters (</w:t>
            </w:r>
            <m:oMath>
              <m:r>
                <w:rPr>
                  <w:rFonts w:ascii="Cambria Math" w:hAnsi="Cambria Math" w:cs="Calibri"/>
                  <w:sz w:val="22"/>
                  <w:lang w:val="en-US" w:eastAsia="x-none"/>
                </w:rPr>
                <m:t>pri</m:t>
              </m:r>
              <m:sSub>
                <m:sSubPr>
                  <m:ctrlPr>
                    <w:rPr>
                      <w:rFonts w:ascii="Cambria Math" w:hAnsi="Cambria Math" w:cs="Calibri"/>
                      <w:i/>
                      <w:iCs/>
                      <w:sz w:val="22"/>
                      <w:lang w:val="en-US" w:eastAsia="x-none"/>
                    </w:rPr>
                  </m:ctrlPr>
                </m:sSubPr>
                <m:e>
                  <m:r>
                    <w:rPr>
                      <w:rFonts w:ascii="Cambria Math" w:hAnsi="Cambria Math" w:cs="Calibri"/>
                      <w:sz w:val="22"/>
                      <w:lang w:val="en-US" w:eastAsia="x-none"/>
                    </w:rPr>
                    <m:t>o</m:t>
                  </m:r>
                </m:e>
                <m:sub>
                  <m:r>
                    <w:rPr>
                      <w:rFonts w:ascii="Cambria Math" w:hAnsi="Cambria Math" w:cs="Calibri"/>
                      <w:sz w:val="22"/>
                      <w:lang w:val="en-US" w:eastAsia="x-none"/>
                    </w:rPr>
                    <m:t>TX</m:t>
                  </m:r>
                </m:sub>
              </m:sSub>
            </m:oMath>
            <w:r w:rsidRPr="00E818B5">
              <w:rPr>
                <w:rFonts w:ascii="Calibri" w:hAnsi="Calibri" w:cs="Calibri" w:hint="eastAsia"/>
                <w:sz w:val="22"/>
                <w:lang w:val="en-US" w:eastAsia="x-none"/>
              </w:rPr>
              <w:t xml:space="preserve">, remaining PDB, </w:t>
            </w:r>
            <m:oMath>
              <m:sSub>
                <m:sSubPr>
                  <m:ctrlPr>
                    <w:rPr>
                      <w:rFonts w:ascii="Cambria Math" w:hAnsi="Cambria Math" w:cs="Calibri"/>
                      <w:i/>
                      <w:iCs/>
                      <w:sz w:val="22"/>
                      <w:lang w:val="en-US" w:eastAsia="x-none"/>
                    </w:rPr>
                  </m:ctrlPr>
                </m:sSubPr>
                <m:e>
                  <m:r>
                    <w:rPr>
                      <w:rFonts w:ascii="Cambria Math" w:hAnsi="Cambria Math" w:cs="Calibri"/>
                      <w:sz w:val="22"/>
                      <w:lang w:val="en-US" w:eastAsia="x-none"/>
                    </w:rPr>
                    <m:t>L</m:t>
                  </m:r>
                </m:e>
                <m:sub>
                  <m:r>
                    <m:rPr>
                      <m:nor/>
                    </m:rPr>
                    <w:rPr>
                      <w:rFonts w:ascii="Calibri" w:hAnsi="Calibri" w:cs="Calibri"/>
                      <w:sz w:val="22"/>
                      <w:lang w:val="en-US" w:eastAsia="x-none"/>
                    </w:rPr>
                    <m:t>subCH</m:t>
                  </m:r>
                </m:sub>
              </m:sSub>
            </m:oMath>
            <w:r w:rsidRPr="00E818B5">
              <w:rPr>
                <w:rFonts w:ascii="Calibri" w:hAnsi="Calibri" w:cs="Calibri" w:hint="eastAsia"/>
                <w:sz w:val="22"/>
                <w:lang w:val="en-US" w:eastAsia="x-none"/>
              </w:rPr>
              <w:t xml:space="preserve"> and </w:t>
            </w:r>
            <m:oMath>
              <m:sSub>
                <m:sSubPr>
                  <m:ctrlPr>
                    <w:rPr>
                      <w:rFonts w:ascii="Cambria Math" w:hAnsi="Cambria Math" w:cs="Calibri"/>
                      <w:i/>
                      <w:iCs/>
                      <w:sz w:val="22"/>
                      <w:lang w:val="en-US" w:eastAsia="x-none"/>
                    </w:rPr>
                  </m:ctrlPr>
                </m:sSubPr>
                <m:e>
                  <m:r>
                    <w:rPr>
                      <w:rFonts w:ascii="Cambria Math" w:hAnsi="Cambria Math" w:cs="Calibri"/>
                      <w:sz w:val="22"/>
                      <w:lang w:val="en-US" w:eastAsia="x-none"/>
                    </w:rPr>
                    <m:t>P</m:t>
                  </m:r>
                </m:e>
                <m:sub>
                  <m:r>
                    <m:rPr>
                      <m:nor/>
                    </m:rPr>
                    <w:rPr>
                      <w:rFonts w:ascii="Calibri" w:hAnsi="Calibri" w:cs="Calibri" w:hint="eastAsia"/>
                      <w:sz w:val="22"/>
                      <w:lang w:val="en-US" w:eastAsia="x-none"/>
                    </w:rPr>
                    <m:t>rsvp_TX</m:t>
                  </m:r>
                </m:sub>
              </m:sSub>
            </m:oMath>
            <w:r w:rsidRPr="00E818B5">
              <w:rPr>
                <w:rFonts w:ascii="Calibri" w:hAnsi="Calibri" w:cs="Calibri" w:hint="eastAsia"/>
                <w:sz w:val="22"/>
                <w:lang w:val="en-US" w:eastAsia="x-none"/>
              </w:rPr>
              <w:t xml:space="preserve">) are provided </w:t>
            </w:r>
            <w:r w:rsidRPr="004F1ADF">
              <w:rPr>
                <w:rFonts w:ascii="Calibri" w:hAnsi="Calibri" w:cs="Calibri" w:hint="eastAsia"/>
                <w:color w:val="00B050"/>
                <w:sz w:val="22"/>
                <w:lang w:val="en-US" w:eastAsia="x-none"/>
              </w:rPr>
              <w:t xml:space="preserve">for </w:t>
            </w:r>
            <w:r w:rsidRPr="004F1ADF">
              <w:rPr>
                <w:rFonts w:ascii="Calibri" w:hAnsi="Calibri" w:cs="Calibri"/>
                <w:color w:val="00B050"/>
                <w:sz w:val="22"/>
                <w:lang w:val="en-US" w:eastAsia="x-none"/>
              </w:rPr>
              <w:t xml:space="preserve">multiple TBs </w:t>
            </w:r>
            <w:r w:rsidRPr="00E818B5">
              <w:rPr>
                <w:rFonts w:ascii="Calibri" w:hAnsi="Calibri" w:cs="Calibri" w:hint="eastAsia"/>
                <w:sz w:val="22"/>
                <w:lang w:val="en-US" w:eastAsia="x-none"/>
              </w:rPr>
              <w:t>for the resource selection procedure in L1</w:t>
            </w:r>
          </w:p>
          <w:p w14:paraId="7CB833FE" w14:textId="77777777" w:rsidR="00650E3B" w:rsidRPr="004F1ADF" w:rsidRDefault="00650E3B" w:rsidP="00FA73F1">
            <w:pPr>
              <w:numPr>
                <w:ilvl w:val="2"/>
                <w:numId w:val="27"/>
              </w:numPr>
              <w:autoSpaceDE w:val="0"/>
              <w:autoSpaceDN w:val="0"/>
              <w:jc w:val="both"/>
              <w:rPr>
                <w:rFonts w:ascii="Calibri" w:hAnsi="Calibri" w:cs="Calibri"/>
                <w:color w:val="00B050"/>
                <w:sz w:val="22"/>
                <w:lang w:val="en-US" w:eastAsia="x-none"/>
              </w:rPr>
            </w:pPr>
            <w:r w:rsidRPr="004F1ADF">
              <w:rPr>
                <w:rFonts w:ascii="Calibri" w:hAnsi="Calibri" w:cs="Calibri"/>
                <w:color w:val="00B050"/>
                <w:sz w:val="22"/>
                <w:lang w:val="en-US" w:eastAsia="x-none"/>
              </w:rPr>
              <w:t xml:space="preserve">Note: The resource selection procedure is performed on per TB basis </w:t>
            </w:r>
            <w:r w:rsidRPr="004F1ADF">
              <w:rPr>
                <w:rFonts w:ascii="Calibri" w:hAnsi="Calibri" w:cs="Calibri" w:hint="eastAsia"/>
                <w:color w:val="00B050"/>
                <w:sz w:val="22"/>
                <w:lang w:val="en-US" w:eastAsia="x-none"/>
              </w:rPr>
              <w:t>(same as Rel-16)</w:t>
            </w:r>
          </w:p>
          <w:p w14:paraId="41AF832C" w14:textId="77777777" w:rsidR="00650E3B" w:rsidRPr="00E818B5" w:rsidRDefault="00650E3B" w:rsidP="00FA73F1">
            <w:pPr>
              <w:numPr>
                <w:ilvl w:val="1"/>
                <w:numId w:val="27"/>
              </w:numPr>
              <w:autoSpaceDE w:val="0"/>
              <w:autoSpaceDN w:val="0"/>
              <w:jc w:val="both"/>
              <w:rPr>
                <w:rFonts w:ascii="Calibri" w:hAnsi="Calibri" w:cs="Calibri"/>
                <w:sz w:val="22"/>
                <w:lang w:val="en-US" w:eastAsia="x-none"/>
              </w:rPr>
            </w:pPr>
            <w:r w:rsidRPr="00E818B5">
              <w:rPr>
                <w:rFonts w:ascii="Calibri" w:hAnsi="Calibri" w:cs="Calibri" w:hint="eastAsia"/>
                <w:sz w:val="22"/>
                <w:lang w:val="en-US" w:eastAsia="x-none"/>
              </w:rPr>
              <w:t>FFS: any further information need</w:t>
            </w:r>
            <w:r>
              <w:rPr>
                <w:rFonts w:ascii="Calibri" w:hAnsi="Calibri" w:cs="Calibri"/>
                <w:sz w:val="22"/>
                <w:lang w:val="en-US" w:eastAsia="x-none"/>
              </w:rPr>
              <w:t>s</w:t>
            </w:r>
            <w:r w:rsidRPr="00E818B5">
              <w:rPr>
                <w:rFonts w:ascii="Calibri" w:hAnsi="Calibri" w:cs="Calibri" w:hint="eastAsia"/>
                <w:sz w:val="22"/>
                <w:lang w:val="en-US" w:eastAsia="x-none"/>
              </w:rPr>
              <w:t xml:space="preserve"> to be provided to L1 for MCSt</w:t>
            </w:r>
          </w:p>
          <w:p w14:paraId="0547F80B" w14:textId="77777777" w:rsidR="00650E3B" w:rsidRPr="00E818B5" w:rsidRDefault="00650E3B" w:rsidP="00FA73F1">
            <w:pPr>
              <w:numPr>
                <w:ilvl w:val="0"/>
                <w:numId w:val="27"/>
              </w:numPr>
              <w:autoSpaceDE w:val="0"/>
              <w:autoSpaceDN w:val="0"/>
              <w:jc w:val="both"/>
              <w:rPr>
                <w:rFonts w:ascii="Calibri" w:hAnsi="Calibri" w:cs="Calibri"/>
                <w:sz w:val="22"/>
                <w:lang w:val="en-US" w:eastAsia="x-none"/>
              </w:rPr>
            </w:pPr>
            <w:r w:rsidRPr="00E818B5">
              <w:rPr>
                <w:rFonts w:ascii="Calibri" w:hAnsi="Calibri" w:cs="Calibri" w:hint="eastAsia"/>
                <w:sz w:val="22"/>
                <w:lang w:val="en-US" w:eastAsia="x-none"/>
              </w:rPr>
              <w:t>When L1 reports a subset of candidate resources for MCSt,</w:t>
            </w:r>
          </w:p>
          <w:p w14:paraId="3503754B" w14:textId="77777777" w:rsidR="00650E3B" w:rsidRPr="00E818B5" w:rsidRDefault="00650E3B" w:rsidP="00FA73F1">
            <w:pPr>
              <w:numPr>
                <w:ilvl w:val="1"/>
                <w:numId w:val="27"/>
              </w:numPr>
              <w:autoSpaceDE w:val="0"/>
              <w:autoSpaceDN w:val="0"/>
              <w:jc w:val="both"/>
              <w:rPr>
                <w:rFonts w:ascii="Calibri" w:hAnsi="Calibri" w:cs="Calibri"/>
                <w:sz w:val="22"/>
                <w:lang w:val="en-US" w:eastAsia="x-none"/>
              </w:rPr>
            </w:pPr>
            <w:r w:rsidRPr="00E818B5">
              <w:rPr>
                <w:rFonts w:ascii="Calibri" w:hAnsi="Calibri" w:cs="Calibri" w:hint="eastAsia"/>
                <w:sz w:val="22"/>
                <w:lang w:val="en-US" w:eastAsia="x-none"/>
              </w:rPr>
              <w:t xml:space="preserve">Option A: L1 reports candidate multi-slot resources </w:t>
            </w:r>
            <w:r w:rsidRPr="00E818B5">
              <w:rPr>
                <w:rFonts w:ascii="Calibri" w:hAnsi="Calibri" w:cs="Calibri" w:hint="eastAsia"/>
                <w:i/>
                <w:iCs/>
                <w:sz w:val="22"/>
                <w:lang w:val="en-US" w:eastAsia="x-none"/>
              </w:rPr>
              <w:t>S</w:t>
            </w:r>
            <w:r w:rsidRPr="00E818B5">
              <w:rPr>
                <w:rFonts w:ascii="Calibri" w:hAnsi="Calibri" w:cs="Calibri" w:hint="eastAsia"/>
                <w:i/>
                <w:iCs/>
                <w:sz w:val="22"/>
                <w:vertAlign w:val="subscript"/>
                <w:lang w:val="en-US" w:eastAsia="x-none"/>
              </w:rPr>
              <w:t>A</w:t>
            </w:r>
            <w:r w:rsidRPr="00E818B5">
              <w:rPr>
                <w:rFonts w:ascii="Calibri" w:hAnsi="Calibri" w:cs="Calibri" w:hint="eastAsia"/>
                <w:sz w:val="22"/>
                <w:lang w:val="en-US" w:eastAsia="x-none"/>
              </w:rPr>
              <w:t xml:space="preserve"> where a candidate multi-slot resource consists of a set of single-slot resources that are consecutive in time</w:t>
            </w:r>
          </w:p>
          <w:p w14:paraId="60B79A08" w14:textId="77777777" w:rsidR="00650E3B" w:rsidRPr="00E818B5" w:rsidRDefault="00650E3B" w:rsidP="00FA73F1">
            <w:pPr>
              <w:numPr>
                <w:ilvl w:val="2"/>
                <w:numId w:val="27"/>
              </w:numPr>
              <w:tabs>
                <w:tab w:val="num" w:pos="2160"/>
              </w:tabs>
              <w:autoSpaceDE w:val="0"/>
              <w:autoSpaceDN w:val="0"/>
              <w:jc w:val="both"/>
              <w:rPr>
                <w:rFonts w:ascii="Calibri" w:hAnsi="Calibri" w:cs="Calibri"/>
                <w:sz w:val="22"/>
                <w:lang w:val="en-US" w:eastAsia="x-none"/>
              </w:rPr>
            </w:pPr>
            <w:r w:rsidRPr="00E818B5">
              <w:rPr>
                <w:rFonts w:ascii="Calibri" w:hAnsi="Calibri" w:cs="Calibri" w:hint="eastAsia"/>
                <w:sz w:val="22"/>
                <w:lang w:val="en-US" w:eastAsia="x-none"/>
              </w:rPr>
              <w:t xml:space="preserve">FFS whether the set of single-slot resources within a candidate multi-slot resource can have different </w:t>
            </w:r>
            <m:oMath>
              <m:sSub>
                <m:sSubPr>
                  <m:ctrlPr>
                    <w:rPr>
                      <w:rFonts w:ascii="Cambria Math" w:hAnsi="Cambria Math" w:cs="Calibri"/>
                      <w:i/>
                      <w:iCs/>
                      <w:sz w:val="22"/>
                      <w:lang w:val="en-US" w:eastAsia="x-none"/>
                    </w:rPr>
                  </m:ctrlPr>
                </m:sSubPr>
                <m:e>
                  <m:r>
                    <w:rPr>
                      <w:rFonts w:ascii="Cambria Math" w:hAnsi="Cambria Math" w:cs="Calibri"/>
                      <w:sz w:val="22"/>
                      <w:lang w:val="en-US" w:eastAsia="x-none"/>
                    </w:rPr>
                    <m:t>L</m:t>
                  </m:r>
                </m:e>
                <m:sub>
                  <m:r>
                    <m:rPr>
                      <m:nor/>
                    </m:rPr>
                    <w:rPr>
                      <w:rFonts w:ascii="Calibri" w:hAnsi="Calibri" w:cs="Calibri"/>
                      <w:sz w:val="22"/>
                      <w:lang w:val="en-US" w:eastAsia="x-none"/>
                    </w:rPr>
                    <m:t>subCH</m:t>
                  </m:r>
                </m:sub>
              </m:sSub>
            </m:oMath>
            <w:r w:rsidRPr="00E818B5">
              <w:rPr>
                <w:rFonts w:ascii="Calibri" w:hAnsi="Calibri" w:cs="Calibri" w:hint="eastAsia"/>
                <w:sz w:val="22"/>
                <w:lang w:val="en-US" w:eastAsia="x-none"/>
              </w:rPr>
              <w:t xml:space="preserve"> sizes</w:t>
            </w:r>
          </w:p>
          <w:p w14:paraId="7E9D124C" w14:textId="77777777" w:rsidR="00650E3B" w:rsidRPr="00E818B5" w:rsidRDefault="00650E3B" w:rsidP="00FA73F1">
            <w:pPr>
              <w:numPr>
                <w:ilvl w:val="1"/>
                <w:numId w:val="27"/>
              </w:numPr>
              <w:autoSpaceDE w:val="0"/>
              <w:autoSpaceDN w:val="0"/>
              <w:jc w:val="both"/>
              <w:rPr>
                <w:rFonts w:ascii="Calibri" w:hAnsi="Calibri" w:cs="Calibri"/>
                <w:sz w:val="22"/>
                <w:lang w:val="en-US" w:eastAsia="x-none"/>
              </w:rPr>
            </w:pPr>
            <w:r w:rsidRPr="00E818B5">
              <w:rPr>
                <w:rFonts w:ascii="Calibri" w:hAnsi="Calibri" w:cs="Calibri" w:hint="eastAsia"/>
                <w:sz w:val="22"/>
                <w:lang w:val="en-US" w:eastAsia="x-none"/>
              </w:rPr>
              <w:t xml:space="preserve">Option B: L1 reports candidate single-slot resources in </w:t>
            </w:r>
            <w:r w:rsidRPr="004F1ADF">
              <w:rPr>
                <w:rFonts w:ascii="Calibri" w:hAnsi="Calibri" w:cs="Calibri" w:hint="eastAsia"/>
                <w:color w:val="00B050"/>
                <w:sz w:val="22"/>
                <w:lang w:val="en-US" w:eastAsia="x-none"/>
              </w:rPr>
              <w:t xml:space="preserve">in </w:t>
            </w:r>
            <w:r w:rsidRPr="004F1ADF">
              <w:rPr>
                <w:rFonts w:ascii="Calibri" w:hAnsi="Calibri" w:cs="Calibri"/>
                <w:color w:val="00B050"/>
                <w:sz w:val="22"/>
                <w:lang w:val="en-US" w:eastAsia="x-none"/>
              </w:rPr>
              <w:t xml:space="preserve">multiple candidate resource sets </w:t>
            </w:r>
            <w:r w:rsidRPr="00E818B5">
              <w:rPr>
                <w:rFonts w:ascii="Calibri" w:hAnsi="Calibri" w:cs="Calibri" w:hint="eastAsia"/>
                <w:sz w:val="22"/>
                <w:lang w:val="en-US" w:eastAsia="x-none"/>
              </w:rPr>
              <w:t>(</w:t>
            </w:r>
            <w:r w:rsidRPr="00E818B5">
              <w:rPr>
                <w:rFonts w:ascii="Calibri" w:hAnsi="Calibri" w:cs="Calibri" w:hint="eastAsia"/>
                <w:i/>
                <w:iCs/>
                <w:sz w:val="22"/>
                <w:lang w:val="en-US" w:eastAsia="x-none"/>
              </w:rPr>
              <w:t>S</w:t>
            </w:r>
            <w:r w:rsidRPr="00E818B5">
              <w:rPr>
                <w:rFonts w:ascii="Calibri" w:hAnsi="Calibri" w:cs="Calibri" w:hint="eastAsia"/>
                <w:i/>
                <w:iCs/>
                <w:sz w:val="22"/>
                <w:vertAlign w:val="subscript"/>
                <w:lang w:val="en-US" w:eastAsia="x-none"/>
              </w:rPr>
              <w:t>A</w:t>
            </w:r>
            <w:r w:rsidRPr="00E818B5">
              <w:rPr>
                <w:rFonts w:ascii="Calibri" w:hAnsi="Calibri" w:cs="Calibri" w:hint="eastAsia"/>
                <w:sz w:val="22"/>
                <w:lang w:val="en-US" w:eastAsia="x-none"/>
              </w:rPr>
              <w:t xml:space="preserve">) </w:t>
            </w:r>
            <w:r w:rsidRPr="004F1ADF">
              <w:rPr>
                <w:rFonts w:ascii="Calibri" w:hAnsi="Calibri" w:cs="Calibri"/>
                <w:color w:val="00B050"/>
                <w:sz w:val="22"/>
                <w:lang w:val="en-US" w:eastAsia="x-none"/>
              </w:rPr>
              <w:t xml:space="preserve">for multiple TBs </w:t>
            </w:r>
            <w:r w:rsidRPr="00E818B5">
              <w:rPr>
                <w:rFonts w:ascii="Calibri" w:hAnsi="Calibri" w:cs="Calibri" w:hint="eastAsia"/>
                <w:sz w:val="22"/>
                <w:lang w:val="en-US" w:eastAsia="x-none"/>
              </w:rPr>
              <w:t>as in Rel-16</w:t>
            </w:r>
          </w:p>
          <w:p w14:paraId="6AD3F54D" w14:textId="77777777" w:rsidR="00650E3B" w:rsidRDefault="00650E3B" w:rsidP="00FA73F1">
            <w:pPr>
              <w:numPr>
                <w:ilvl w:val="2"/>
                <w:numId w:val="27"/>
              </w:numPr>
              <w:tabs>
                <w:tab w:val="num" w:pos="2160"/>
              </w:tabs>
              <w:autoSpaceDE w:val="0"/>
              <w:autoSpaceDN w:val="0"/>
              <w:jc w:val="both"/>
              <w:rPr>
                <w:rFonts w:ascii="Calibri" w:hAnsi="Calibri" w:cs="Calibri"/>
                <w:sz w:val="22"/>
                <w:lang w:val="en-US" w:eastAsia="x-none"/>
              </w:rPr>
            </w:pPr>
            <w:r w:rsidRPr="00E818B5">
              <w:rPr>
                <w:rFonts w:ascii="Calibri" w:hAnsi="Calibri" w:cs="Calibri" w:hint="eastAsia"/>
                <w:sz w:val="22"/>
                <w:lang w:val="en-US" w:eastAsia="x-none"/>
              </w:rPr>
              <w:t>It is up to the higher (MAC) layer to select a set of single-slot resources that are consecutive in logical slots</w:t>
            </w:r>
          </w:p>
          <w:p w14:paraId="3E811233" w14:textId="132CEF8C" w:rsidR="00650E3B" w:rsidRPr="00FA73F1" w:rsidRDefault="00650E3B" w:rsidP="00FA73F1">
            <w:pPr>
              <w:numPr>
                <w:ilvl w:val="1"/>
                <w:numId w:val="27"/>
              </w:numPr>
              <w:autoSpaceDE w:val="0"/>
              <w:autoSpaceDN w:val="0"/>
              <w:jc w:val="both"/>
              <w:rPr>
                <w:rFonts w:ascii="Calibri" w:hAnsi="Calibri" w:cs="Calibri"/>
                <w:color w:val="FF0000"/>
                <w:sz w:val="22"/>
                <w:lang w:val="en-US" w:eastAsia="x-none"/>
              </w:rPr>
            </w:pPr>
            <w:r w:rsidRPr="00CE31E3">
              <w:rPr>
                <w:rFonts w:ascii="Calibri" w:hAnsi="Calibri" w:cs="Calibri" w:hint="eastAsia"/>
                <w:color w:val="FF0000"/>
                <w:sz w:val="22"/>
                <w:lang w:val="en-US" w:eastAsia="x-none"/>
              </w:rPr>
              <w:t>FFS: any further information need</w:t>
            </w:r>
            <w:r w:rsidRPr="00CE31E3">
              <w:rPr>
                <w:rFonts w:ascii="Calibri" w:hAnsi="Calibri" w:cs="Calibri"/>
                <w:color w:val="FF0000"/>
                <w:sz w:val="22"/>
                <w:lang w:val="en-US" w:eastAsia="x-none"/>
              </w:rPr>
              <w:t>s</w:t>
            </w:r>
            <w:r w:rsidRPr="00CE31E3">
              <w:rPr>
                <w:rFonts w:ascii="Calibri" w:hAnsi="Calibri" w:cs="Calibri" w:hint="eastAsia"/>
                <w:color w:val="FF0000"/>
                <w:sz w:val="22"/>
                <w:lang w:val="en-US" w:eastAsia="x-none"/>
              </w:rPr>
              <w:t xml:space="preserve"> to be </w:t>
            </w:r>
            <w:r w:rsidRPr="00CE31E3">
              <w:rPr>
                <w:rFonts w:ascii="Calibri" w:hAnsi="Calibri" w:cs="Calibri"/>
                <w:color w:val="FF0000"/>
                <w:sz w:val="22"/>
                <w:lang w:val="en-US" w:eastAsia="x-none"/>
              </w:rPr>
              <w:t>reported</w:t>
            </w:r>
            <w:r w:rsidRPr="00CE31E3">
              <w:rPr>
                <w:rFonts w:ascii="Calibri" w:hAnsi="Calibri" w:cs="Calibri" w:hint="eastAsia"/>
                <w:color w:val="FF0000"/>
                <w:sz w:val="22"/>
                <w:lang w:val="en-US" w:eastAsia="x-none"/>
              </w:rPr>
              <w:t xml:space="preserve"> to </w:t>
            </w:r>
            <w:r w:rsidRPr="00CE31E3">
              <w:rPr>
                <w:rFonts w:ascii="Calibri" w:hAnsi="Calibri" w:cs="Calibri"/>
                <w:color w:val="FF0000"/>
                <w:sz w:val="22"/>
                <w:lang w:val="en-US" w:eastAsia="x-none"/>
              </w:rPr>
              <w:t>MAC</w:t>
            </w:r>
            <w:r w:rsidRPr="00CE31E3">
              <w:rPr>
                <w:rFonts w:ascii="Calibri" w:hAnsi="Calibri" w:cs="Calibri" w:hint="eastAsia"/>
                <w:color w:val="FF0000"/>
                <w:sz w:val="22"/>
                <w:lang w:val="en-US" w:eastAsia="x-none"/>
              </w:rPr>
              <w:t xml:space="preserve"> </w:t>
            </w:r>
            <w:r w:rsidRPr="00CE31E3">
              <w:rPr>
                <w:rFonts w:ascii="Calibri" w:hAnsi="Calibri" w:cs="Calibri"/>
                <w:color w:val="FF0000"/>
                <w:sz w:val="22"/>
                <w:lang w:val="en-US" w:eastAsia="x-none"/>
              </w:rPr>
              <w:t xml:space="preserve">layer </w:t>
            </w:r>
            <w:r w:rsidRPr="00CE31E3">
              <w:rPr>
                <w:rFonts w:ascii="Calibri" w:hAnsi="Calibri" w:cs="Calibri" w:hint="eastAsia"/>
                <w:color w:val="FF0000"/>
                <w:sz w:val="22"/>
                <w:lang w:val="en-US" w:eastAsia="x-none"/>
              </w:rPr>
              <w:t>for MCSt</w:t>
            </w:r>
          </w:p>
        </w:tc>
      </w:tr>
      <w:tr w:rsidR="00650E3B" w14:paraId="19055561" w14:textId="77777777" w:rsidTr="00650E3B">
        <w:tc>
          <w:tcPr>
            <w:tcW w:w="1555" w:type="dxa"/>
          </w:tcPr>
          <w:p w14:paraId="466F0081" w14:textId="77777777" w:rsidR="00650E3B" w:rsidRPr="009E1D32" w:rsidRDefault="00650E3B" w:rsidP="000F6488">
            <w:pPr>
              <w:pStyle w:val="0Maintext"/>
              <w:spacing w:after="0" w:afterAutospacing="0"/>
              <w:ind w:firstLine="0"/>
              <w:rPr>
                <w:rFonts w:eastAsiaTheme="minorEastAsia"/>
                <w:lang w:eastAsia="zh-CN"/>
              </w:rPr>
            </w:pPr>
            <w:r>
              <w:rPr>
                <w:rFonts w:eastAsiaTheme="minorEastAsia" w:hint="eastAsia"/>
                <w:lang w:eastAsia="zh-CN"/>
              </w:rPr>
              <w:lastRenderedPageBreak/>
              <w:t>x</w:t>
            </w:r>
            <w:r>
              <w:rPr>
                <w:rFonts w:eastAsiaTheme="minorEastAsia"/>
                <w:lang w:eastAsia="zh-CN"/>
              </w:rPr>
              <w:t>iaomi</w:t>
            </w:r>
          </w:p>
        </w:tc>
        <w:tc>
          <w:tcPr>
            <w:tcW w:w="8076" w:type="dxa"/>
          </w:tcPr>
          <w:p w14:paraId="2B7328DC" w14:textId="77777777" w:rsidR="00650E3B" w:rsidRPr="009E1D32" w:rsidRDefault="00650E3B" w:rsidP="000F6488">
            <w:pPr>
              <w:tabs>
                <w:tab w:val="left" w:pos="2160"/>
              </w:tabs>
              <w:autoSpaceDE w:val="0"/>
              <w:autoSpaceDN w:val="0"/>
              <w:jc w:val="both"/>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We support the FL’s proposal.</w:t>
            </w:r>
          </w:p>
          <w:p w14:paraId="7BF34B26" w14:textId="77777777" w:rsidR="00650E3B" w:rsidRDefault="00650E3B" w:rsidP="000F6488">
            <w:pPr>
              <w:tabs>
                <w:tab w:val="left" w:pos="2160"/>
              </w:tabs>
              <w:autoSpaceDE w:val="0"/>
              <w:autoSpaceDN w:val="0"/>
              <w:jc w:val="both"/>
              <w:rPr>
                <w:rFonts w:ascii="Calibri" w:hAnsi="Calibri" w:cs="Calibri"/>
                <w:sz w:val="22"/>
                <w:lang w:val="en-US" w:eastAsia="zh-CN"/>
              </w:rPr>
            </w:pPr>
            <w:r>
              <w:rPr>
                <w:rFonts w:asciiTheme="minorHAnsi" w:hAnsiTheme="minorHAnsi" w:cstheme="minorHAnsi"/>
                <w:sz w:val="22"/>
                <w:szCs w:val="22"/>
              </w:rPr>
              <w:t>For the first bullet, we support option1</w:t>
            </w:r>
            <w:r>
              <w:rPr>
                <w:rFonts w:asciiTheme="minorHAnsi" w:eastAsia="SimSun" w:hAnsiTheme="minorHAnsi" w:cstheme="minorHAnsi"/>
                <w:sz w:val="22"/>
                <w:szCs w:val="22"/>
                <w:lang w:val="en-US" w:eastAsia="zh-CN"/>
              </w:rPr>
              <w:t>.</w:t>
            </w:r>
          </w:p>
          <w:p w14:paraId="3F96D8BB" w14:textId="77777777" w:rsidR="00650E3B" w:rsidRDefault="00650E3B" w:rsidP="000F6488">
            <w:pPr>
              <w:pStyle w:val="0Maintext"/>
              <w:spacing w:after="0" w:afterAutospacing="0"/>
              <w:ind w:firstLine="0"/>
            </w:pPr>
            <w:r>
              <w:rPr>
                <w:rFonts w:asciiTheme="minorHAnsi" w:hAnsiTheme="minorHAnsi" w:cstheme="minorHAnsi"/>
                <w:sz w:val="22"/>
                <w:szCs w:val="22"/>
              </w:rPr>
              <w:t xml:space="preserve">For the second sub-bullet, we support option </w:t>
            </w:r>
            <w:r>
              <w:rPr>
                <w:rFonts w:asciiTheme="minorHAnsi" w:eastAsia="SimSun" w:hAnsiTheme="minorHAnsi" w:cstheme="minorHAnsi"/>
                <w:sz w:val="22"/>
                <w:szCs w:val="22"/>
                <w:lang w:val="en-US" w:eastAsia="zh-CN"/>
              </w:rPr>
              <w:t>A. F</w:t>
            </w:r>
            <w:r>
              <w:rPr>
                <w:rFonts w:asciiTheme="minorHAnsi" w:hAnsiTheme="minorHAnsi" w:cstheme="minorHAnsi"/>
                <w:sz w:val="22"/>
                <w:szCs w:val="22"/>
              </w:rPr>
              <w:t>or option B</w:t>
            </w:r>
            <w:r>
              <w:rPr>
                <w:rFonts w:asciiTheme="minorHAnsi" w:eastAsia="SimSun" w:hAnsiTheme="minorHAnsi" w:cstheme="minorHAnsi"/>
                <w:sz w:val="22"/>
                <w:szCs w:val="22"/>
                <w:lang w:val="en-US" w:eastAsia="zh-CN"/>
              </w:rPr>
              <w:t>, I</w:t>
            </w:r>
            <w:r>
              <w:rPr>
                <w:rFonts w:asciiTheme="minorHAnsi" w:hAnsiTheme="minorHAnsi" w:cstheme="minorHAnsi"/>
                <w:sz w:val="22"/>
                <w:szCs w:val="22"/>
              </w:rPr>
              <w:t xml:space="preserve">t is possible that  </w:t>
            </w:r>
            <w:r>
              <w:rPr>
                <w:rFonts w:ascii="Calibri" w:hAnsi="Calibri" w:cs="Calibri"/>
                <w:i/>
                <w:iCs/>
                <w:sz w:val="22"/>
                <w:lang w:val="en-US" w:eastAsia="zh-CN"/>
              </w:rPr>
              <w:t>S</w:t>
            </w:r>
            <w:r>
              <w:rPr>
                <w:rFonts w:ascii="Calibri" w:hAnsi="Calibri" w:cs="Calibri"/>
                <w:i/>
                <w:iCs/>
                <w:sz w:val="22"/>
                <w:vertAlign w:val="subscript"/>
                <w:lang w:val="en-US" w:eastAsia="zh-CN"/>
              </w:rPr>
              <w:t>A</w:t>
            </w:r>
            <w:r>
              <w:rPr>
                <w:rFonts w:asciiTheme="minorHAnsi" w:hAnsiTheme="minorHAnsi" w:cstheme="minorHAnsi"/>
                <w:sz w:val="22"/>
                <w:szCs w:val="22"/>
                <w:lang w:val="en-US"/>
              </w:rPr>
              <w:t xml:space="preserve"> </w:t>
            </w:r>
            <w:r>
              <w:rPr>
                <w:rFonts w:asciiTheme="minorHAnsi" w:eastAsia="SimSun" w:hAnsiTheme="minorHAnsi" w:cstheme="minorHAnsi"/>
                <w:sz w:val="22"/>
                <w:szCs w:val="22"/>
                <w:lang w:val="en-US" w:eastAsia="zh-CN"/>
              </w:rPr>
              <w:t xml:space="preserve">reported by PHY layer </w:t>
            </w:r>
            <w:r>
              <w:rPr>
                <w:rFonts w:asciiTheme="minorHAnsi" w:hAnsiTheme="minorHAnsi" w:cstheme="minorHAnsi"/>
                <w:sz w:val="22"/>
                <w:szCs w:val="22"/>
              </w:rPr>
              <w:t>do</w:t>
            </w:r>
            <w:r>
              <w:rPr>
                <w:rFonts w:asciiTheme="minorHAnsi" w:eastAsia="SimSun" w:hAnsiTheme="minorHAnsi" w:cstheme="minorHAnsi"/>
                <w:sz w:val="22"/>
                <w:szCs w:val="22"/>
                <w:lang w:val="en-US" w:eastAsia="zh-CN"/>
              </w:rPr>
              <w:t>es</w:t>
            </w:r>
            <w:r>
              <w:rPr>
                <w:rFonts w:asciiTheme="minorHAnsi" w:hAnsiTheme="minorHAnsi" w:cstheme="minorHAnsi"/>
                <w:sz w:val="22"/>
                <w:szCs w:val="22"/>
              </w:rPr>
              <w:t xml:space="preserve">n’t </w:t>
            </w:r>
            <w:r>
              <w:rPr>
                <w:rFonts w:asciiTheme="minorHAnsi" w:eastAsia="SimSun" w:hAnsiTheme="minorHAnsi" w:cstheme="minorHAnsi"/>
                <w:sz w:val="22"/>
                <w:szCs w:val="22"/>
                <w:lang w:val="en-US" w:eastAsia="zh-CN"/>
              </w:rPr>
              <w:t xml:space="preserve">contain any </w:t>
            </w:r>
            <w:r>
              <w:rPr>
                <w:rFonts w:asciiTheme="minorHAnsi" w:hAnsiTheme="minorHAnsi" w:cstheme="minorHAnsi"/>
                <w:sz w:val="22"/>
                <w:szCs w:val="22"/>
              </w:rPr>
              <w:t>muti-consec</w:t>
            </w:r>
            <w:r>
              <w:rPr>
                <w:rFonts w:asciiTheme="minorHAnsi" w:eastAsia="SimSun" w:hAnsiTheme="minorHAnsi" w:cstheme="minorHAnsi"/>
                <w:sz w:val="22"/>
                <w:szCs w:val="22"/>
                <w:lang w:val="en-US" w:eastAsia="zh-CN"/>
              </w:rPr>
              <w:t>u</w:t>
            </w:r>
            <w:r>
              <w:rPr>
                <w:rFonts w:asciiTheme="minorHAnsi" w:hAnsiTheme="minorHAnsi" w:cstheme="minorHAnsi"/>
                <w:sz w:val="22"/>
                <w:szCs w:val="22"/>
              </w:rPr>
              <w:t>tive slots resource</w:t>
            </w:r>
            <w:r>
              <w:rPr>
                <w:rFonts w:asciiTheme="minorHAnsi" w:eastAsia="SimSun" w:hAnsiTheme="minorHAnsi" w:cstheme="minorHAnsi"/>
                <w:sz w:val="22"/>
                <w:szCs w:val="22"/>
                <w:lang w:val="en-US" w:eastAsia="zh-CN"/>
              </w:rPr>
              <w:t>.</w:t>
            </w:r>
          </w:p>
        </w:tc>
      </w:tr>
      <w:tr w:rsidR="00D0325D" w14:paraId="62F30EBC" w14:textId="77777777" w:rsidTr="00D0325D">
        <w:tc>
          <w:tcPr>
            <w:tcW w:w="1555" w:type="dxa"/>
          </w:tcPr>
          <w:p w14:paraId="6DB3D309" w14:textId="77777777" w:rsidR="00D0325D" w:rsidRPr="001F5691" w:rsidRDefault="00D0325D" w:rsidP="000F6488">
            <w:r w:rsidRPr="001F5691">
              <w:t>NEC</w:t>
            </w:r>
          </w:p>
        </w:tc>
        <w:tc>
          <w:tcPr>
            <w:tcW w:w="8076" w:type="dxa"/>
          </w:tcPr>
          <w:p w14:paraId="26B40365" w14:textId="77777777" w:rsidR="00D0325D" w:rsidRDefault="00D0325D" w:rsidP="000F6488">
            <w:r w:rsidRPr="001F5691">
              <w:t>We generally agree with the proposal, option 1 and option B are preferred.</w:t>
            </w:r>
          </w:p>
        </w:tc>
      </w:tr>
    </w:tbl>
    <w:p w14:paraId="4642FAD9" w14:textId="13C89FF9" w:rsidR="001D6E06" w:rsidRDefault="001D6E06" w:rsidP="001D6E06">
      <w:pPr>
        <w:autoSpaceDE w:val="0"/>
        <w:autoSpaceDN w:val="0"/>
        <w:spacing w:after="120"/>
        <w:jc w:val="both"/>
        <w:rPr>
          <w:rFonts w:ascii="Calibri" w:hAnsi="Calibri" w:cs="Calibri"/>
          <w:sz w:val="22"/>
        </w:rPr>
      </w:pPr>
    </w:p>
    <w:p w14:paraId="31C678B4" w14:textId="77777777" w:rsidR="007A64D6" w:rsidRDefault="007A64D6" w:rsidP="007A64D6">
      <w:pPr>
        <w:pStyle w:val="Heading3"/>
      </w:pPr>
      <w:r>
        <w:t>FL Proposal for Week 1 Thursday GTW session</w:t>
      </w:r>
    </w:p>
    <w:p w14:paraId="26114D69" w14:textId="3546BB0E" w:rsidR="007A64D6" w:rsidRPr="00D567B9" w:rsidRDefault="007A64D6" w:rsidP="007A64D6">
      <w:pPr>
        <w:autoSpaceDE w:val="0"/>
        <w:autoSpaceDN w:val="0"/>
        <w:spacing w:before="120" w:after="120"/>
        <w:jc w:val="both"/>
        <w:rPr>
          <w:rFonts w:ascii="Calibri" w:hAnsi="Calibri" w:cs="Calibri"/>
          <w:sz w:val="22"/>
          <w:u w:val="single"/>
        </w:rPr>
      </w:pPr>
      <w:r w:rsidRPr="00D567B9">
        <w:rPr>
          <w:rFonts w:ascii="Calibri" w:hAnsi="Calibri" w:cs="Calibri"/>
          <w:sz w:val="22"/>
          <w:u w:val="single"/>
        </w:rPr>
        <w:t xml:space="preserve">FL </w:t>
      </w:r>
      <w:r>
        <w:rPr>
          <w:rFonts w:ascii="Calibri" w:hAnsi="Calibri" w:cs="Calibri"/>
          <w:sz w:val="22"/>
          <w:u w:val="single"/>
        </w:rPr>
        <w:t>responses</w:t>
      </w:r>
      <w:r w:rsidRPr="00D567B9">
        <w:rPr>
          <w:rFonts w:ascii="Calibri" w:hAnsi="Calibri" w:cs="Calibri"/>
          <w:sz w:val="22"/>
          <w:u w:val="single"/>
        </w:rPr>
        <w:t xml:space="preserve"> based on </w:t>
      </w:r>
      <w:r>
        <w:rPr>
          <w:rFonts w:ascii="Calibri" w:hAnsi="Calibri" w:cs="Calibri"/>
          <w:sz w:val="22"/>
          <w:u w:val="single"/>
        </w:rPr>
        <w:t>inputs in Section 3.7.3</w:t>
      </w:r>
      <w:r w:rsidRPr="00D567B9">
        <w:rPr>
          <w:rFonts w:ascii="Calibri" w:hAnsi="Calibri" w:cs="Calibri"/>
          <w:sz w:val="22"/>
          <w:u w:val="single"/>
        </w:rPr>
        <w:t>:</w:t>
      </w:r>
    </w:p>
    <w:p w14:paraId="00D37B95" w14:textId="34C2ACD1" w:rsidR="007A64D6" w:rsidRDefault="007A64D6" w:rsidP="007A64D6">
      <w:pPr>
        <w:pStyle w:val="ListParagraph"/>
        <w:numPr>
          <w:ilvl w:val="0"/>
          <w:numId w:val="18"/>
        </w:numPr>
        <w:autoSpaceDE w:val="0"/>
        <w:autoSpaceDN w:val="0"/>
        <w:spacing w:after="120"/>
        <w:ind w:leftChars="0"/>
        <w:jc w:val="both"/>
        <w:rPr>
          <w:rFonts w:ascii="Calibri" w:hAnsi="Calibri" w:cs="Calibri"/>
          <w:sz w:val="22"/>
        </w:rPr>
      </w:pPr>
      <w:r>
        <w:rPr>
          <w:rFonts w:ascii="Calibri" w:hAnsi="Calibri" w:cs="Calibri"/>
          <w:sz w:val="22"/>
        </w:rPr>
        <w:t>I forgot to mention, the intention is to capture different L1 resource selection options in supporting MCSt and have more study and discussions on these options before we make a down-selection in the future meetings. These are clarified in the updated proposal below.</w:t>
      </w:r>
    </w:p>
    <w:p w14:paraId="2B6C9077" w14:textId="3C4A53FD" w:rsidR="007A64D6" w:rsidRDefault="007A64D6" w:rsidP="007A64D6">
      <w:pPr>
        <w:pStyle w:val="ListParagraph"/>
        <w:numPr>
          <w:ilvl w:val="1"/>
          <w:numId w:val="18"/>
        </w:numPr>
        <w:autoSpaceDE w:val="0"/>
        <w:autoSpaceDN w:val="0"/>
        <w:spacing w:after="120"/>
        <w:ind w:leftChars="0"/>
        <w:jc w:val="both"/>
        <w:rPr>
          <w:rFonts w:ascii="Calibri" w:hAnsi="Calibri" w:cs="Calibri"/>
          <w:sz w:val="22"/>
        </w:rPr>
      </w:pPr>
      <w:r>
        <w:rPr>
          <w:rFonts w:ascii="Calibri" w:hAnsi="Calibri" w:cs="Calibri"/>
          <w:sz w:val="22"/>
        </w:rPr>
        <w:t xml:space="preserve">But very </w:t>
      </w:r>
      <w:r w:rsidR="00A8018C">
        <w:rPr>
          <w:rFonts w:ascii="Calibri" w:hAnsi="Calibri" w:cs="Calibri"/>
          <w:sz w:val="22"/>
        </w:rPr>
        <w:t>happy</w:t>
      </w:r>
      <w:r>
        <w:rPr>
          <w:rFonts w:ascii="Calibri" w:hAnsi="Calibri" w:cs="Calibri"/>
          <w:sz w:val="22"/>
        </w:rPr>
        <w:t xml:space="preserve"> to see everyone is sharing their preference and understanding on how each option will or will not work.</w:t>
      </w:r>
    </w:p>
    <w:p w14:paraId="4EC69EB0" w14:textId="289F093B" w:rsidR="007A64D6" w:rsidRDefault="00A8018C" w:rsidP="007A64D6">
      <w:pPr>
        <w:pStyle w:val="ListParagraph"/>
        <w:numPr>
          <w:ilvl w:val="0"/>
          <w:numId w:val="18"/>
        </w:numPr>
        <w:autoSpaceDE w:val="0"/>
        <w:autoSpaceDN w:val="0"/>
        <w:spacing w:after="120"/>
        <w:ind w:leftChars="0"/>
        <w:jc w:val="both"/>
        <w:rPr>
          <w:rFonts w:ascii="Calibri" w:hAnsi="Calibri" w:cs="Calibri"/>
          <w:sz w:val="22"/>
        </w:rPr>
      </w:pPr>
      <w:r>
        <w:rPr>
          <w:rFonts w:ascii="Calibri" w:hAnsi="Calibri" w:cs="Calibri"/>
          <w:sz w:val="22"/>
        </w:rPr>
        <w:t>It is often noticed that some would like to include different methods/options in the proposal. They are very welcome and I will be very grateful if a suggested text is also provided, as I may mis-understand the intention and wrongly capture something that was not intended.</w:t>
      </w:r>
    </w:p>
    <w:p w14:paraId="02D74A50" w14:textId="6962CDDB" w:rsidR="00302BB0" w:rsidRPr="00AE3CCC" w:rsidRDefault="00A8018C" w:rsidP="00AE3CCC">
      <w:pPr>
        <w:pStyle w:val="ListParagraph"/>
        <w:numPr>
          <w:ilvl w:val="0"/>
          <w:numId w:val="18"/>
        </w:numPr>
        <w:autoSpaceDE w:val="0"/>
        <w:autoSpaceDN w:val="0"/>
        <w:spacing w:after="120"/>
        <w:ind w:leftChars="0"/>
        <w:jc w:val="both"/>
        <w:rPr>
          <w:rFonts w:ascii="Calibri" w:hAnsi="Calibri" w:cs="Calibri"/>
          <w:sz w:val="22"/>
        </w:rPr>
      </w:pPr>
      <w:r>
        <w:rPr>
          <w:rFonts w:ascii="Calibri" w:hAnsi="Calibri" w:cs="Calibri"/>
          <w:sz w:val="22"/>
        </w:rPr>
        <w:t>@DCM, for your preferred resource selection scheme, it is intended as part of Option B. Regarding the timing of TB generation could be different for multiple TBs,</w:t>
      </w:r>
      <w:r w:rsidR="00302BB0">
        <w:rPr>
          <w:rFonts w:ascii="Calibri" w:hAnsi="Calibri" w:cs="Calibri"/>
          <w:sz w:val="22"/>
        </w:rPr>
        <w:t xml:space="preserve"> I would say that’s what we have assumed all the time in the past releases. But sometimes, maybe it is possible that for some TBs the generation timing is almost the same and the MAC layer could choose to trigger L1 resource selection procedure together in Option 2. In this case, there would be L1 spec impact. For Option A, there will be spec impact as well.</w:t>
      </w:r>
    </w:p>
    <w:p w14:paraId="12ADD4B9" w14:textId="77777777" w:rsidR="007A64D6" w:rsidRDefault="007A64D6" w:rsidP="001D6E06">
      <w:pPr>
        <w:autoSpaceDE w:val="0"/>
        <w:autoSpaceDN w:val="0"/>
        <w:spacing w:after="120"/>
        <w:jc w:val="both"/>
        <w:rPr>
          <w:rFonts w:ascii="Calibri" w:hAnsi="Calibri" w:cs="Calibri"/>
          <w:sz w:val="22"/>
        </w:rPr>
      </w:pPr>
    </w:p>
    <w:p w14:paraId="4DFC684A" w14:textId="14C4F66A" w:rsidR="007A64D6" w:rsidRPr="00C65E36" w:rsidRDefault="007A64D6" w:rsidP="007A64D6">
      <w:pPr>
        <w:autoSpaceDE w:val="0"/>
        <w:autoSpaceDN w:val="0"/>
        <w:spacing w:before="120"/>
        <w:jc w:val="both"/>
        <w:rPr>
          <w:rFonts w:ascii="Calibri" w:hAnsi="Calibri" w:cs="Calibri"/>
          <w:sz w:val="22"/>
        </w:rPr>
      </w:pPr>
      <w:r w:rsidRPr="00650E3B">
        <w:rPr>
          <w:rFonts w:ascii="Calibri" w:hAnsi="Calibri" w:cs="Calibri"/>
          <w:b/>
          <w:bCs/>
          <w:sz w:val="22"/>
        </w:rPr>
        <w:t>Proposal 7 (III):</w:t>
      </w:r>
      <w:r w:rsidRPr="00650E3B">
        <w:rPr>
          <w:rFonts w:ascii="Calibri" w:hAnsi="Calibri" w:cs="Calibri"/>
          <w:sz w:val="22"/>
        </w:rPr>
        <w:t xml:space="preserve"> </w:t>
      </w:r>
      <w:r w:rsidR="00A8018C" w:rsidRPr="00650E3B">
        <w:rPr>
          <w:rFonts w:ascii="Calibri" w:hAnsi="Calibri" w:cs="Calibri"/>
          <w:color w:val="0070C0"/>
          <w:sz w:val="22"/>
        </w:rPr>
        <w:t>On the support of MCSt operation in SL-U, following options are to be further studied and</w:t>
      </w:r>
      <w:r w:rsidR="00A8018C" w:rsidRPr="00AE3CCC">
        <w:rPr>
          <w:rFonts w:ascii="Calibri" w:hAnsi="Calibri" w:cs="Calibri"/>
          <w:color w:val="0070C0"/>
          <w:sz w:val="22"/>
        </w:rPr>
        <w:t xml:space="preserve"> down-selected in the future meetings.</w:t>
      </w:r>
    </w:p>
    <w:p w14:paraId="6739CEE6" w14:textId="77777777" w:rsidR="007A64D6" w:rsidRPr="00E818B5" w:rsidRDefault="007A64D6" w:rsidP="007A64D6">
      <w:pPr>
        <w:numPr>
          <w:ilvl w:val="0"/>
          <w:numId w:val="27"/>
        </w:numPr>
        <w:autoSpaceDE w:val="0"/>
        <w:autoSpaceDN w:val="0"/>
        <w:spacing w:after="60"/>
        <w:jc w:val="both"/>
        <w:rPr>
          <w:rFonts w:ascii="Calibri" w:hAnsi="Calibri" w:cs="Calibri"/>
          <w:sz w:val="22"/>
          <w:lang w:val="en-US" w:eastAsia="x-none"/>
        </w:rPr>
      </w:pPr>
      <w:r w:rsidRPr="00E818B5">
        <w:rPr>
          <w:rFonts w:ascii="Calibri" w:hAnsi="Calibri" w:cs="Calibri" w:hint="eastAsia"/>
          <w:sz w:val="22"/>
          <w:lang w:val="en-US" w:eastAsia="x-none"/>
        </w:rPr>
        <w:t>When L1 is triggered for reporting a subset of candidate resources for MCSt,</w:t>
      </w:r>
    </w:p>
    <w:p w14:paraId="2FC33C9A" w14:textId="77777777" w:rsidR="007A64D6" w:rsidRPr="00E818B5" w:rsidRDefault="007A64D6" w:rsidP="007A64D6">
      <w:pPr>
        <w:numPr>
          <w:ilvl w:val="1"/>
          <w:numId w:val="27"/>
        </w:numPr>
        <w:autoSpaceDE w:val="0"/>
        <w:autoSpaceDN w:val="0"/>
        <w:spacing w:after="60"/>
        <w:jc w:val="both"/>
        <w:rPr>
          <w:rFonts w:ascii="Calibri" w:hAnsi="Calibri" w:cs="Calibri"/>
          <w:sz w:val="22"/>
          <w:lang w:val="en-US" w:eastAsia="x-none"/>
        </w:rPr>
      </w:pPr>
      <w:r w:rsidRPr="00E818B5">
        <w:rPr>
          <w:rFonts w:ascii="Calibri" w:hAnsi="Calibri" w:cs="Calibri" w:hint="eastAsia"/>
          <w:sz w:val="22"/>
          <w:lang w:val="en-US" w:eastAsia="x-none"/>
        </w:rPr>
        <w:t>Option 1: Only one set of parameters (</w:t>
      </w:r>
      <m:oMath>
        <m:r>
          <w:rPr>
            <w:rFonts w:ascii="Cambria Math" w:hAnsi="Cambria Math" w:cs="Calibri"/>
            <w:sz w:val="22"/>
            <w:lang w:val="en-US" w:eastAsia="x-none"/>
          </w:rPr>
          <m:t>pri</m:t>
        </m:r>
        <m:sSub>
          <m:sSubPr>
            <m:ctrlPr>
              <w:rPr>
                <w:rFonts w:ascii="Cambria Math" w:hAnsi="Cambria Math" w:cs="Calibri"/>
                <w:i/>
                <w:iCs/>
                <w:sz w:val="22"/>
                <w:lang w:val="en-US" w:eastAsia="x-none"/>
              </w:rPr>
            </m:ctrlPr>
          </m:sSubPr>
          <m:e>
            <m:r>
              <w:rPr>
                <w:rFonts w:ascii="Cambria Math" w:hAnsi="Cambria Math" w:cs="Calibri"/>
                <w:sz w:val="22"/>
                <w:lang w:val="en-US" w:eastAsia="x-none"/>
              </w:rPr>
              <m:t>o</m:t>
            </m:r>
          </m:e>
          <m:sub>
            <m:r>
              <w:rPr>
                <w:rFonts w:ascii="Cambria Math" w:hAnsi="Cambria Math" w:cs="Calibri"/>
                <w:sz w:val="22"/>
                <w:lang w:val="en-US" w:eastAsia="x-none"/>
              </w:rPr>
              <m:t>TX</m:t>
            </m:r>
          </m:sub>
        </m:sSub>
      </m:oMath>
      <w:r w:rsidRPr="00E818B5">
        <w:rPr>
          <w:rFonts w:ascii="Calibri" w:hAnsi="Calibri" w:cs="Calibri" w:hint="eastAsia"/>
          <w:sz w:val="22"/>
          <w:lang w:val="en-US" w:eastAsia="x-none"/>
        </w:rPr>
        <w:t xml:space="preserve">, remaining PDB, </w:t>
      </w:r>
      <m:oMath>
        <m:sSub>
          <m:sSubPr>
            <m:ctrlPr>
              <w:rPr>
                <w:rFonts w:ascii="Cambria Math" w:hAnsi="Cambria Math" w:cs="Calibri"/>
                <w:i/>
                <w:iCs/>
                <w:sz w:val="22"/>
                <w:lang w:val="en-US" w:eastAsia="x-none"/>
              </w:rPr>
            </m:ctrlPr>
          </m:sSubPr>
          <m:e>
            <m:r>
              <w:rPr>
                <w:rFonts w:ascii="Cambria Math" w:hAnsi="Cambria Math" w:cs="Calibri"/>
                <w:sz w:val="22"/>
                <w:lang w:val="en-US" w:eastAsia="x-none"/>
              </w:rPr>
              <m:t>L</m:t>
            </m:r>
          </m:e>
          <m:sub>
            <m:r>
              <m:rPr>
                <m:nor/>
              </m:rPr>
              <w:rPr>
                <w:rFonts w:ascii="Calibri" w:hAnsi="Calibri" w:cs="Calibri"/>
                <w:sz w:val="22"/>
                <w:lang w:val="en-US" w:eastAsia="x-none"/>
              </w:rPr>
              <m:t>subCH</m:t>
            </m:r>
          </m:sub>
        </m:sSub>
      </m:oMath>
      <w:r w:rsidRPr="00E818B5">
        <w:rPr>
          <w:rFonts w:ascii="Calibri" w:hAnsi="Calibri" w:cs="Calibri" w:hint="eastAsia"/>
          <w:sz w:val="22"/>
          <w:lang w:val="en-US" w:eastAsia="x-none"/>
        </w:rPr>
        <w:t xml:space="preserve"> and </w:t>
      </w:r>
      <m:oMath>
        <m:sSub>
          <m:sSubPr>
            <m:ctrlPr>
              <w:rPr>
                <w:rFonts w:ascii="Cambria Math" w:hAnsi="Cambria Math" w:cs="Calibri"/>
                <w:i/>
                <w:iCs/>
                <w:sz w:val="22"/>
                <w:lang w:val="en-US" w:eastAsia="x-none"/>
              </w:rPr>
            </m:ctrlPr>
          </m:sSubPr>
          <m:e>
            <m:r>
              <w:rPr>
                <w:rFonts w:ascii="Cambria Math" w:hAnsi="Cambria Math" w:cs="Calibri"/>
                <w:sz w:val="22"/>
                <w:lang w:val="en-US" w:eastAsia="x-none"/>
              </w:rPr>
              <m:t>P</m:t>
            </m:r>
          </m:e>
          <m:sub>
            <m:r>
              <m:rPr>
                <m:nor/>
              </m:rPr>
              <w:rPr>
                <w:rFonts w:ascii="Calibri" w:hAnsi="Calibri" w:cs="Calibri" w:hint="eastAsia"/>
                <w:sz w:val="22"/>
                <w:lang w:val="en-US" w:eastAsia="x-none"/>
              </w:rPr>
              <m:t>rsvp_TX</m:t>
            </m:r>
          </m:sub>
        </m:sSub>
      </m:oMath>
      <w:r w:rsidRPr="00E818B5">
        <w:rPr>
          <w:rFonts w:ascii="Calibri" w:hAnsi="Calibri" w:cs="Calibri" w:hint="eastAsia"/>
          <w:sz w:val="22"/>
          <w:lang w:val="en-US" w:eastAsia="x-none"/>
        </w:rPr>
        <w:t>) is provided for the resource selection procedure in L1 (same as Rel-16)</w:t>
      </w:r>
    </w:p>
    <w:p w14:paraId="6FF89AC3" w14:textId="77777777" w:rsidR="007A64D6" w:rsidRPr="00E818B5" w:rsidRDefault="007A64D6" w:rsidP="007A64D6">
      <w:pPr>
        <w:numPr>
          <w:ilvl w:val="2"/>
          <w:numId w:val="27"/>
        </w:numPr>
        <w:tabs>
          <w:tab w:val="num" w:pos="2160"/>
        </w:tabs>
        <w:autoSpaceDE w:val="0"/>
        <w:autoSpaceDN w:val="0"/>
        <w:spacing w:after="60"/>
        <w:jc w:val="both"/>
        <w:rPr>
          <w:rFonts w:ascii="Calibri" w:hAnsi="Calibri" w:cs="Calibri"/>
          <w:sz w:val="22"/>
          <w:lang w:val="en-US" w:eastAsia="x-none"/>
        </w:rPr>
      </w:pPr>
      <w:r w:rsidRPr="00E818B5">
        <w:rPr>
          <w:rFonts w:ascii="Calibri" w:hAnsi="Calibri" w:cs="Calibri" w:hint="eastAsia"/>
          <w:sz w:val="22"/>
          <w:lang w:val="en-US" w:eastAsia="x-none"/>
        </w:rPr>
        <w:t>Note, this is applicable for transmission of a single TB and multiple TBs</w:t>
      </w:r>
      <w:r w:rsidRPr="00CE31E3">
        <w:rPr>
          <w:rFonts w:ascii="Calibri" w:hAnsi="Calibri" w:cs="Calibri" w:hint="eastAsia"/>
          <w:strike/>
          <w:color w:val="FF0000"/>
          <w:sz w:val="22"/>
          <w:lang w:val="en-US" w:eastAsia="x-none"/>
        </w:rPr>
        <w:t xml:space="preserve"> (by triggering this procedure multiple times)</w:t>
      </w:r>
    </w:p>
    <w:p w14:paraId="2F561B3C" w14:textId="77777777" w:rsidR="007A64D6" w:rsidRPr="00E818B5" w:rsidRDefault="007A64D6" w:rsidP="007A64D6">
      <w:pPr>
        <w:numPr>
          <w:ilvl w:val="1"/>
          <w:numId w:val="27"/>
        </w:numPr>
        <w:autoSpaceDE w:val="0"/>
        <w:autoSpaceDN w:val="0"/>
        <w:spacing w:after="60"/>
        <w:jc w:val="both"/>
        <w:rPr>
          <w:rFonts w:ascii="Calibri" w:hAnsi="Calibri" w:cs="Calibri"/>
          <w:sz w:val="22"/>
          <w:lang w:val="en-US" w:eastAsia="x-none"/>
        </w:rPr>
      </w:pPr>
      <w:r w:rsidRPr="00E818B5">
        <w:rPr>
          <w:rFonts w:ascii="Calibri" w:hAnsi="Calibri" w:cs="Calibri" w:hint="eastAsia"/>
          <w:sz w:val="22"/>
          <w:lang w:val="en-US" w:eastAsia="x-none"/>
        </w:rPr>
        <w:t>Option 2: Multiple sets of parameters (</w:t>
      </w:r>
      <m:oMath>
        <m:r>
          <w:rPr>
            <w:rFonts w:ascii="Cambria Math" w:hAnsi="Cambria Math" w:cs="Calibri"/>
            <w:sz w:val="22"/>
            <w:lang w:val="en-US" w:eastAsia="x-none"/>
          </w:rPr>
          <m:t>pri</m:t>
        </m:r>
        <m:sSub>
          <m:sSubPr>
            <m:ctrlPr>
              <w:rPr>
                <w:rFonts w:ascii="Cambria Math" w:hAnsi="Cambria Math" w:cs="Calibri"/>
                <w:i/>
                <w:iCs/>
                <w:sz w:val="22"/>
                <w:lang w:val="en-US" w:eastAsia="x-none"/>
              </w:rPr>
            </m:ctrlPr>
          </m:sSubPr>
          <m:e>
            <m:r>
              <w:rPr>
                <w:rFonts w:ascii="Cambria Math" w:hAnsi="Cambria Math" w:cs="Calibri"/>
                <w:sz w:val="22"/>
                <w:lang w:val="en-US" w:eastAsia="x-none"/>
              </w:rPr>
              <m:t>o</m:t>
            </m:r>
          </m:e>
          <m:sub>
            <m:r>
              <w:rPr>
                <w:rFonts w:ascii="Cambria Math" w:hAnsi="Cambria Math" w:cs="Calibri"/>
                <w:sz w:val="22"/>
                <w:lang w:val="en-US" w:eastAsia="x-none"/>
              </w:rPr>
              <m:t>TX</m:t>
            </m:r>
          </m:sub>
        </m:sSub>
      </m:oMath>
      <w:r w:rsidRPr="00E818B5">
        <w:rPr>
          <w:rFonts w:ascii="Calibri" w:hAnsi="Calibri" w:cs="Calibri" w:hint="eastAsia"/>
          <w:sz w:val="22"/>
          <w:lang w:val="en-US" w:eastAsia="x-none"/>
        </w:rPr>
        <w:t xml:space="preserve">, remaining PDB, </w:t>
      </w:r>
      <m:oMath>
        <m:sSub>
          <m:sSubPr>
            <m:ctrlPr>
              <w:rPr>
                <w:rFonts w:ascii="Cambria Math" w:hAnsi="Cambria Math" w:cs="Calibri"/>
                <w:i/>
                <w:iCs/>
                <w:sz w:val="22"/>
                <w:lang w:val="en-US" w:eastAsia="x-none"/>
              </w:rPr>
            </m:ctrlPr>
          </m:sSubPr>
          <m:e>
            <m:r>
              <w:rPr>
                <w:rFonts w:ascii="Cambria Math" w:hAnsi="Cambria Math" w:cs="Calibri"/>
                <w:sz w:val="22"/>
                <w:lang w:val="en-US" w:eastAsia="x-none"/>
              </w:rPr>
              <m:t>L</m:t>
            </m:r>
          </m:e>
          <m:sub>
            <m:r>
              <m:rPr>
                <m:nor/>
              </m:rPr>
              <w:rPr>
                <w:rFonts w:ascii="Calibri" w:hAnsi="Calibri" w:cs="Calibri"/>
                <w:sz w:val="22"/>
                <w:lang w:val="en-US" w:eastAsia="x-none"/>
              </w:rPr>
              <m:t>subCH</m:t>
            </m:r>
          </m:sub>
        </m:sSub>
      </m:oMath>
      <w:r w:rsidRPr="00E818B5">
        <w:rPr>
          <w:rFonts w:ascii="Calibri" w:hAnsi="Calibri" w:cs="Calibri" w:hint="eastAsia"/>
          <w:sz w:val="22"/>
          <w:lang w:val="en-US" w:eastAsia="x-none"/>
        </w:rPr>
        <w:t xml:space="preserve"> and </w:t>
      </w:r>
      <m:oMath>
        <m:sSub>
          <m:sSubPr>
            <m:ctrlPr>
              <w:rPr>
                <w:rFonts w:ascii="Cambria Math" w:hAnsi="Cambria Math" w:cs="Calibri"/>
                <w:i/>
                <w:iCs/>
                <w:sz w:val="22"/>
                <w:lang w:val="en-US" w:eastAsia="x-none"/>
              </w:rPr>
            </m:ctrlPr>
          </m:sSubPr>
          <m:e>
            <m:r>
              <w:rPr>
                <w:rFonts w:ascii="Cambria Math" w:hAnsi="Cambria Math" w:cs="Calibri"/>
                <w:sz w:val="22"/>
                <w:lang w:val="en-US" w:eastAsia="x-none"/>
              </w:rPr>
              <m:t>P</m:t>
            </m:r>
          </m:e>
          <m:sub>
            <m:r>
              <m:rPr>
                <m:nor/>
              </m:rPr>
              <w:rPr>
                <w:rFonts w:ascii="Calibri" w:hAnsi="Calibri" w:cs="Calibri" w:hint="eastAsia"/>
                <w:sz w:val="22"/>
                <w:lang w:val="en-US" w:eastAsia="x-none"/>
              </w:rPr>
              <m:t>rsvp_TX</m:t>
            </m:r>
          </m:sub>
        </m:sSub>
      </m:oMath>
      <w:r w:rsidRPr="00E818B5">
        <w:rPr>
          <w:rFonts w:ascii="Calibri" w:hAnsi="Calibri" w:cs="Calibri" w:hint="eastAsia"/>
          <w:sz w:val="22"/>
          <w:lang w:val="en-US" w:eastAsia="x-none"/>
        </w:rPr>
        <w:t>) are provided for the resource selection procedure in L1</w:t>
      </w:r>
    </w:p>
    <w:p w14:paraId="155F91F5" w14:textId="77777777" w:rsidR="007A64D6" w:rsidRPr="00E818B5" w:rsidRDefault="007A64D6" w:rsidP="007A64D6">
      <w:pPr>
        <w:numPr>
          <w:ilvl w:val="1"/>
          <w:numId w:val="27"/>
        </w:numPr>
        <w:autoSpaceDE w:val="0"/>
        <w:autoSpaceDN w:val="0"/>
        <w:spacing w:after="60"/>
        <w:jc w:val="both"/>
        <w:rPr>
          <w:rFonts w:ascii="Calibri" w:hAnsi="Calibri" w:cs="Calibri"/>
          <w:sz w:val="22"/>
          <w:lang w:val="en-US" w:eastAsia="x-none"/>
        </w:rPr>
      </w:pPr>
      <w:r w:rsidRPr="00E818B5">
        <w:rPr>
          <w:rFonts w:ascii="Calibri" w:hAnsi="Calibri" w:cs="Calibri" w:hint="eastAsia"/>
          <w:sz w:val="22"/>
          <w:lang w:val="en-US" w:eastAsia="x-none"/>
        </w:rPr>
        <w:t>FFS: any further information need</w:t>
      </w:r>
      <w:r>
        <w:rPr>
          <w:rFonts w:ascii="Calibri" w:hAnsi="Calibri" w:cs="Calibri"/>
          <w:sz w:val="22"/>
          <w:lang w:val="en-US" w:eastAsia="x-none"/>
        </w:rPr>
        <w:t>s</w:t>
      </w:r>
      <w:r w:rsidRPr="00E818B5">
        <w:rPr>
          <w:rFonts w:ascii="Calibri" w:hAnsi="Calibri" w:cs="Calibri" w:hint="eastAsia"/>
          <w:sz w:val="22"/>
          <w:lang w:val="en-US" w:eastAsia="x-none"/>
        </w:rPr>
        <w:t xml:space="preserve"> to be provided to L1 for MCSt</w:t>
      </w:r>
    </w:p>
    <w:p w14:paraId="0E6F3095" w14:textId="77777777" w:rsidR="007A64D6" w:rsidRPr="00E818B5" w:rsidRDefault="007A64D6" w:rsidP="007A64D6">
      <w:pPr>
        <w:numPr>
          <w:ilvl w:val="0"/>
          <w:numId w:val="27"/>
        </w:numPr>
        <w:autoSpaceDE w:val="0"/>
        <w:autoSpaceDN w:val="0"/>
        <w:spacing w:after="60"/>
        <w:jc w:val="both"/>
        <w:rPr>
          <w:rFonts w:ascii="Calibri" w:hAnsi="Calibri" w:cs="Calibri"/>
          <w:sz w:val="22"/>
          <w:lang w:val="en-US" w:eastAsia="x-none"/>
        </w:rPr>
      </w:pPr>
      <w:r w:rsidRPr="00E818B5">
        <w:rPr>
          <w:rFonts w:ascii="Calibri" w:hAnsi="Calibri" w:cs="Calibri" w:hint="eastAsia"/>
          <w:sz w:val="22"/>
          <w:lang w:val="en-US" w:eastAsia="x-none"/>
        </w:rPr>
        <w:t>When L1 reports a subset of candidate resources for MCSt,</w:t>
      </w:r>
    </w:p>
    <w:p w14:paraId="5AA79008" w14:textId="77777777" w:rsidR="007A64D6" w:rsidRPr="00E818B5" w:rsidRDefault="007A64D6" w:rsidP="007A64D6">
      <w:pPr>
        <w:numPr>
          <w:ilvl w:val="1"/>
          <w:numId w:val="27"/>
        </w:numPr>
        <w:autoSpaceDE w:val="0"/>
        <w:autoSpaceDN w:val="0"/>
        <w:spacing w:after="60"/>
        <w:jc w:val="both"/>
        <w:rPr>
          <w:rFonts w:ascii="Calibri" w:hAnsi="Calibri" w:cs="Calibri"/>
          <w:sz w:val="22"/>
          <w:lang w:val="en-US" w:eastAsia="x-none"/>
        </w:rPr>
      </w:pPr>
      <w:r w:rsidRPr="00E818B5">
        <w:rPr>
          <w:rFonts w:ascii="Calibri" w:hAnsi="Calibri" w:cs="Calibri" w:hint="eastAsia"/>
          <w:sz w:val="22"/>
          <w:lang w:val="en-US" w:eastAsia="x-none"/>
        </w:rPr>
        <w:t xml:space="preserve">Option A: L1 reports candidate multi-slot resources in </w:t>
      </w:r>
      <w:r w:rsidRPr="00E818B5">
        <w:rPr>
          <w:rFonts w:ascii="Calibri" w:hAnsi="Calibri" w:cs="Calibri" w:hint="eastAsia"/>
          <w:i/>
          <w:iCs/>
          <w:sz w:val="22"/>
          <w:lang w:val="en-US" w:eastAsia="x-none"/>
        </w:rPr>
        <w:t>S</w:t>
      </w:r>
      <w:r w:rsidRPr="00E818B5">
        <w:rPr>
          <w:rFonts w:ascii="Calibri" w:hAnsi="Calibri" w:cs="Calibri" w:hint="eastAsia"/>
          <w:i/>
          <w:iCs/>
          <w:sz w:val="22"/>
          <w:vertAlign w:val="subscript"/>
          <w:lang w:val="en-US" w:eastAsia="x-none"/>
        </w:rPr>
        <w:t>A</w:t>
      </w:r>
      <w:r w:rsidRPr="00E818B5">
        <w:rPr>
          <w:rFonts w:ascii="Calibri" w:hAnsi="Calibri" w:cs="Calibri" w:hint="eastAsia"/>
          <w:sz w:val="22"/>
          <w:lang w:val="en-US" w:eastAsia="x-none"/>
        </w:rPr>
        <w:t xml:space="preserve"> where a candidate multi-slot resource consists of a set of single-slot resources that are consecutive in time</w:t>
      </w:r>
    </w:p>
    <w:p w14:paraId="694D5CD1" w14:textId="77777777" w:rsidR="007A64D6" w:rsidRPr="00E818B5" w:rsidRDefault="007A64D6" w:rsidP="007A64D6">
      <w:pPr>
        <w:numPr>
          <w:ilvl w:val="2"/>
          <w:numId w:val="27"/>
        </w:numPr>
        <w:tabs>
          <w:tab w:val="num" w:pos="2160"/>
        </w:tabs>
        <w:autoSpaceDE w:val="0"/>
        <w:autoSpaceDN w:val="0"/>
        <w:spacing w:after="60"/>
        <w:jc w:val="both"/>
        <w:rPr>
          <w:rFonts w:ascii="Calibri" w:hAnsi="Calibri" w:cs="Calibri"/>
          <w:sz w:val="22"/>
          <w:lang w:val="en-US" w:eastAsia="x-none"/>
        </w:rPr>
      </w:pPr>
      <w:r w:rsidRPr="00E818B5">
        <w:rPr>
          <w:rFonts w:ascii="Calibri" w:hAnsi="Calibri" w:cs="Calibri" w:hint="eastAsia"/>
          <w:sz w:val="22"/>
          <w:lang w:val="en-US" w:eastAsia="x-none"/>
        </w:rPr>
        <w:t xml:space="preserve">FFS whether the set of single-slot resources within a candidate multi-slot resource can have different </w:t>
      </w:r>
      <m:oMath>
        <m:sSub>
          <m:sSubPr>
            <m:ctrlPr>
              <w:rPr>
                <w:rFonts w:ascii="Cambria Math" w:hAnsi="Cambria Math" w:cs="Calibri"/>
                <w:i/>
                <w:iCs/>
                <w:sz w:val="22"/>
                <w:lang w:val="en-US" w:eastAsia="x-none"/>
              </w:rPr>
            </m:ctrlPr>
          </m:sSubPr>
          <m:e>
            <m:r>
              <w:rPr>
                <w:rFonts w:ascii="Cambria Math" w:hAnsi="Cambria Math" w:cs="Calibri"/>
                <w:sz w:val="22"/>
                <w:lang w:val="en-US" w:eastAsia="x-none"/>
              </w:rPr>
              <m:t>L</m:t>
            </m:r>
          </m:e>
          <m:sub>
            <m:r>
              <m:rPr>
                <m:nor/>
              </m:rPr>
              <w:rPr>
                <w:rFonts w:ascii="Calibri" w:hAnsi="Calibri" w:cs="Calibri"/>
                <w:sz w:val="22"/>
                <w:lang w:val="en-US" w:eastAsia="x-none"/>
              </w:rPr>
              <m:t>subCH</m:t>
            </m:r>
          </m:sub>
        </m:sSub>
      </m:oMath>
      <w:r w:rsidRPr="00E818B5">
        <w:rPr>
          <w:rFonts w:ascii="Calibri" w:hAnsi="Calibri" w:cs="Calibri" w:hint="eastAsia"/>
          <w:sz w:val="22"/>
          <w:lang w:val="en-US" w:eastAsia="x-none"/>
        </w:rPr>
        <w:t xml:space="preserve"> sizes</w:t>
      </w:r>
    </w:p>
    <w:p w14:paraId="57EEBCEE" w14:textId="77777777" w:rsidR="007A64D6" w:rsidRPr="00E818B5" w:rsidRDefault="007A64D6" w:rsidP="007A64D6">
      <w:pPr>
        <w:numPr>
          <w:ilvl w:val="1"/>
          <w:numId w:val="27"/>
        </w:numPr>
        <w:autoSpaceDE w:val="0"/>
        <w:autoSpaceDN w:val="0"/>
        <w:spacing w:after="60"/>
        <w:jc w:val="both"/>
        <w:rPr>
          <w:rFonts w:ascii="Calibri" w:hAnsi="Calibri" w:cs="Calibri"/>
          <w:sz w:val="22"/>
          <w:lang w:val="en-US" w:eastAsia="x-none"/>
        </w:rPr>
      </w:pPr>
      <w:r w:rsidRPr="00E818B5">
        <w:rPr>
          <w:rFonts w:ascii="Calibri" w:hAnsi="Calibri" w:cs="Calibri" w:hint="eastAsia"/>
          <w:sz w:val="22"/>
          <w:lang w:val="en-US" w:eastAsia="x-none"/>
        </w:rPr>
        <w:t>Option B: L1 reports candidate single-slot resources in (</w:t>
      </w:r>
      <w:r w:rsidRPr="00E818B5">
        <w:rPr>
          <w:rFonts w:ascii="Calibri" w:hAnsi="Calibri" w:cs="Calibri" w:hint="eastAsia"/>
          <w:i/>
          <w:iCs/>
          <w:sz w:val="22"/>
          <w:lang w:val="en-US" w:eastAsia="x-none"/>
        </w:rPr>
        <w:t>S</w:t>
      </w:r>
      <w:r w:rsidRPr="00E818B5">
        <w:rPr>
          <w:rFonts w:ascii="Calibri" w:hAnsi="Calibri" w:cs="Calibri" w:hint="eastAsia"/>
          <w:i/>
          <w:iCs/>
          <w:sz w:val="22"/>
          <w:vertAlign w:val="subscript"/>
          <w:lang w:val="en-US" w:eastAsia="x-none"/>
        </w:rPr>
        <w:t>A</w:t>
      </w:r>
      <w:r w:rsidRPr="00E818B5">
        <w:rPr>
          <w:rFonts w:ascii="Calibri" w:hAnsi="Calibri" w:cs="Calibri" w:hint="eastAsia"/>
          <w:sz w:val="22"/>
          <w:lang w:val="en-US" w:eastAsia="x-none"/>
        </w:rPr>
        <w:t>) as in Rel-16</w:t>
      </w:r>
    </w:p>
    <w:p w14:paraId="7CD2CBBA" w14:textId="067C6E84" w:rsidR="007A64D6" w:rsidRDefault="007A64D6" w:rsidP="007A64D6">
      <w:pPr>
        <w:numPr>
          <w:ilvl w:val="2"/>
          <w:numId w:val="27"/>
        </w:numPr>
        <w:tabs>
          <w:tab w:val="num" w:pos="2160"/>
        </w:tabs>
        <w:autoSpaceDE w:val="0"/>
        <w:autoSpaceDN w:val="0"/>
        <w:spacing w:after="120"/>
        <w:jc w:val="both"/>
        <w:rPr>
          <w:rFonts w:ascii="Calibri" w:hAnsi="Calibri" w:cs="Calibri"/>
          <w:sz w:val="22"/>
          <w:lang w:val="en-US" w:eastAsia="x-none"/>
        </w:rPr>
      </w:pPr>
      <w:r w:rsidRPr="00E818B5">
        <w:rPr>
          <w:rFonts w:ascii="Calibri" w:hAnsi="Calibri" w:cs="Calibri" w:hint="eastAsia"/>
          <w:sz w:val="22"/>
          <w:lang w:val="en-US" w:eastAsia="x-none"/>
        </w:rPr>
        <w:t>It is up to the higher (MAC) layer to select a set of single-slot resources that are consecutive in logical slots</w:t>
      </w:r>
    </w:p>
    <w:p w14:paraId="6EA87D6A" w14:textId="524033E0" w:rsidR="00302BB0" w:rsidRPr="00AE3CCC" w:rsidRDefault="00302BB0" w:rsidP="00302BB0">
      <w:pPr>
        <w:numPr>
          <w:ilvl w:val="1"/>
          <w:numId w:val="27"/>
        </w:numPr>
        <w:autoSpaceDE w:val="0"/>
        <w:autoSpaceDN w:val="0"/>
        <w:spacing w:after="120"/>
        <w:jc w:val="both"/>
        <w:rPr>
          <w:rFonts w:ascii="Calibri" w:hAnsi="Calibri" w:cs="Calibri"/>
          <w:color w:val="0070C0"/>
          <w:sz w:val="22"/>
          <w:lang w:val="en-US" w:eastAsia="x-none"/>
        </w:rPr>
      </w:pPr>
      <w:r w:rsidRPr="00AE3CCC">
        <w:rPr>
          <w:rFonts w:ascii="Calibri" w:hAnsi="Calibri" w:cs="Calibri"/>
          <w:color w:val="0070C0"/>
          <w:sz w:val="22"/>
          <w:lang w:val="en-US" w:eastAsia="x-none"/>
        </w:rPr>
        <w:t xml:space="preserve">Option C: </w:t>
      </w:r>
      <w:r w:rsidRPr="00AE3CCC">
        <w:rPr>
          <w:rFonts w:ascii="Calibri" w:hAnsi="Calibri" w:cs="Calibri" w:hint="eastAsia"/>
          <w:color w:val="0070C0"/>
          <w:sz w:val="22"/>
          <w:lang w:val="en-US" w:eastAsia="x-none"/>
        </w:rPr>
        <w:t xml:space="preserve">L1 reports </w:t>
      </w:r>
      <w:r w:rsidRPr="00AE3CCC">
        <w:rPr>
          <w:rFonts w:ascii="Calibri" w:hAnsi="Calibri" w:cs="Calibri"/>
          <w:color w:val="0070C0"/>
          <w:sz w:val="22"/>
          <w:lang w:val="en-US" w:eastAsia="x-none"/>
        </w:rPr>
        <w:t>consecutive single-slot candidate resources</w:t>
      </w:r>
      <w:r w:rsidRPr="00AE3CCC">
        <w:rPr>
          <w:rFonts w:ascii="Calibri" w:hAnsi="Calibri" w:cs="Calibri" w:hint="eastAsia"/>
          <w:color w:val="0070C0"/>
          <w:sz w:val="22"/>
          <w:lang w:val="en-US" w:eastAsia="x-none"/>
        </w:rPr>
        <w:t xml:space="preserve"> in </w:t>
      </w:r>
      <w:r w:rsidRPr="00AE3CCC">
        <w:rPr>
          <w:rFonts w:ascii="Calibri" w:hAnsi="Calibri" w:cs="Calibri" w:hint="eastAsia"/>
          <w:i/>
          <w:iCs/>
          <w:color w:val="0070C0"/>
          <w:sz w:val="22"/>
          <w:lang w:val="en-US" w:eastAsia="x-none"/>
        </w:rPr>
        <w:t>S</w:t>
      </w:r>
      <w:r w:rsidRPr="00AE3CCC">
        <w:rPr>
          <w:rFonts w:ascii="Calibri" w:hAnsi="Calibri" w:cs="Calibri" w:hint="eastAsia"/>
          <w:i/>
          <w:iCs/>
          <w:color w:val="0070C0"/>
          <w:sz w:val="22"/>
          <w:vertAlign w:val="subscript"/>
          <w:lang w:val="en-US" w:eastAsia="x-none"/>
        </w:rPr>
        <w:t>A</w:t>
      </w:r>
    </w:p>
    <w:p w14:paraId="3DDE9389" w14:textId="41F52F0D" w:rsidR="007A64D6" w:rsidRDefault="007A64D6" w:rsidP="007A64D6">
      <w:pPr>
        <w:numPr>
          <w:ilvl w:val="1"/>
          <w:numId w:val="27"/>
        </w:numPr>
        <w:autoSpaceDE w:val="0"/>
        <w:autoSpaceDN w:val="0"/>
        <w:spacing w:after="120"/>
        <w:jc w:val="both"/>
        <w:rPr>
          <w:rFonts w:ascii="Calibri" w:hAnsi="Calibri" w:cs="Calibri"/>
          <w:color w:val="FF0000"/>
          <w:sz w:val="22"/>
          <w:lang w:val="en-US" w:eastAsia="x-none"/>
        </w:rPr>
      </w:pPr>
      <w:r w:rsidRPr="00CE31E3">
        <w:rPr>
          <w:rFonts w:ascii="Calibri" w:hAnsi="Calibri" w:cs="Calibri" w:hint="eastAsia"/>
          <w:color w:val="FF0000"/>
          <w:sz w:val="22"/>
          <w:lang w:val="en-US" w:eastAsia="x-none"/>
        </w:rPr>
        <w:t>FFS: any further information need</w:t>
      </w:r>
      <w:r w:rsidRPr="00CE31E3">
        <w:rPr>
          <w:rFonts w:ascii="Calibri" w:hAnsi="Calibri" w:cs="Calibri"/>
          <w:color w:val="FF0000"/>
          <w:sz w:val="22"/>
          <w:lang w:val="en-US" w:eastAsia="x-none"/>
        </w:rPr>
        <w:t>s</w:t>
      </w:r>
      <w:r w:rsidRPr="00CE31E3">
        <w:rPr>
          <w:rFonts w:ascii="Calibri" w:hAnsi="Calibri" w:cs="Calibri" w:hint="eastAsia"/>
          <w:color w:val="FF0000"/>
          <w:sz w:val="22"/>
          <w:lang w:val="en-US" w:eastAsia="x-none"/>
        </w:rPr>
        <w:t xml:space="preserve"> to be </w:t>
      </w:r>
      <w:r w:rsidRPr="00CE31E3">
        <w:rPr>
          <w:rFonts w:ascii="Calibri" w:hAnsi="Calibri" w:cs="Calibri"/>
          <w:color w:val="FF0000"/>
          <w:sz w:val="22"/>
          <w:lang w:val="en-US" w:eastAsia="x-none"/>
        </w:rPr>
        <w:t>reported</w:t>
      </w:r>
      <w:r w:rsidRPr="00CE31E3">
        <w:rPr>
          <w:rFonts w:ascii="Calibri" w:hAnsi="Calibri" w:cs="Calibri" w:hint="eastAsia"/>
          <w:color w:val="FF0000"/>
          <w:sz w:val="22"/>
          <w:lang w:val="en-US" w:eastAsia="x-none"/>
        </w:rPr>
        <w:t xml:space="preserve"> to </w:t>
      </w:r>
      <w:r w:rsidRPr="00CE31E3">
        <w:rPr>
          <w:rFonts w:ascii="Calibri" w:hAnsi="Calibri" w:cs="Calibri"/>
          <w:color w:val="FF0000"/>
          <w:sz w:val="22"/>
          <w:lang w:val="en-US" w:eastAsia="x-none"/>
        </w:rPr>
        <w:t>MAC</w:t>
      </w:r>
      <w:r w:rsidRPr="00CE31E3">
        <w:rPr>
          <w:rFonts w:ascii="Calibri" w:hAnsi="Calibri" w:cs="Calibri" w:hint="eastAsia"/>
          <w:color w:val="FF0000"/>
          <w:sz w:val="22"/>
          <w:lang w:val="en-US" w:eastAsia="x-none"/>
        </w:rPr>
        <w:t xml:space="preserve"> </w:t>
      </w:r>
      <w:r w:rsidRPr="00CE31E3">
        <w:rPr>
          <w:rFonts w:ascii="Calibri" w:hAnsi="Calibri" w:cs="Calibri"/>
          <w:color w:val="FF0000"/>
          <w:sz w:val="22"/>
          <w:lang w:val="en-US" w:eastAsia="x-none"/>
        </w:rPr>
        <w:t>layer</w:t>
      </w:r>
      <w:r w:rsidR="00AE3CCC">
        <w:rPr>
          <w:rFonts w:ascii="Calibri" w:hAnsi="Calibri" w:cs="Calibri"/>
          <w:color w:val="FF0000"/>
          <w:sz w:val="22"/>
          <w:lang w:val="en-US" w:eastAsia="x-none"/>
        </w:rPr>
        <w:t xml:space="preserve">, </w:t>
      </w:r>
      <w:r w:rsidR="00AE3CCC" w:rsidRPr="00AE3CCC">
        <w:rPr>
          <w:rFonts w:ascii="Calibri" w:hAnsi="Calibri" w:cs="Calibri"/>
          <w:color w:val="0070C0"/>
          <w:sz w:val="22"/>
          <w:lang w:val="en-US" w:eastAsia="x-none"/>
        </w:rPr>
        <w:t xml:space="preserve">provided to L1 or utilized </w:t>
      </w:r>
      <w:r w:rsidRPr="00CE31E3">
        <w:rPr>
          <w:rFonts w:ascii="Calibri" w:hAnsi="Calibri" w:cs="Calibri" w:hint="eastAsia"/>
          <w:color w:val="FF0000"/>
          <w:sz w:val="22"/>
          <w:lang w:val="en-US" w:eastAsia="x-none"/>
        </w:rPr>
        <w:t>for MCSt</w:t>
      </w:r>
    </w:p>
    <w:p w14:paraId="511FE9E9" w14:textId="721C905D" w:rsidR="00302BB0" w:rsidRPr="00AE3CCC" w:rsidRDefault="00302BB0" w:rsidP="007A64D6">
      <w:pPr>
        <w:numPr>
          <w:ilvl w:val="1"/>
          <w:numId w:val="27"/>
        </w:numPr>
        <w:autoSpaceDE w:val="0"/>
        <w:autoSpaceDN w:val="0"/>
        <w:spacing w:after="120"/>
        <w:jc w:val="both"/>
        <w:rPr>
          <w:rFonts w:ascii="Calibri" w:hAnsi="Calibri" w:cs="Calibri"/>
          <w:color w:val="0070C0"/>
          <w:sz w:val="22"/>
          <w:lang w:val="en-US" w:eastAsia="x-none"/>
        </w:rPr>
      </w:pPr>
      <w:r w:rsidRPr="00AE3CCC">
        <w:rPr>
          <w:rFonts w:ascii="Calibri" w:hAnsi="Calibri" w:cs="Calibri"/>
          <w:color w:val="0070C0"/>
          <w:sz w:val="22"/>
          <w:lang w:val="en-US" w:eastAsia="x-none"/>
        </w:rPr>
        <w:t xml:space="preserve">FFS: whether/how to consider the additional LBT time </w:t>
      </w:r>
      <w:r w:rsidR="00AE3CCC" w:rsidRPr="00AE3CCC">
        <w:rPr>
          <w:rFonts w:ascii="Calibri" w:hAnsi="Calibri" w:cs="Calibri"/>
          <w:color w:val="0070C0"/>
          <w:sz w:val="22"/>
          <w:lang w:val="en-US" w:eastAsia="x-none"/>
        </w:rPr>
        <w:t xml:space="preserve">in </w:t>
      </w:r>
      <w:r w:rsidRPr="00AE3CCC">
        <w:rPr>
          <w:rFonts w:ascii="Calibri" w:hAnsi="Calibri" w:cs="Calibri"/>
          <w:color w:val="0070C0"/>
          <w:sz w:val="22"/>
          <w:lang w:val="en-US" w:eastAsia="x-none"/>
        </w:rPr>
        <w:t>SL resource allocation</w:t>
      </w:r>
    </w:p>
    <w:p w14:paraId="444C23E9" w14:textId="071123DE" w:rsidR="001D6E06" w:rsidRDefault="001D6E06" w:rsidP="00CD608C">
      <w:pPr>
        <w:autoSpaceDE w:val="0"/>
        <w:autoSpaceDN w:val="0"/>
        <w:jc w:val="both"/>
        <w:rPr>
          <w:rFonts w:ascii="Calibri" w:hAnsi="Calibri" w:cs="Calibri"/>
          <w:color w:val="FF0000"/>
          <w:sz w:val="22"/>
          <w:lang w:val="en-US"/>
        </w:rPr>
      </w:pPr>
    </w:p>
    <w:p w14:paraId="1C221B1E" w14:textId="3BF6B4D5" w:rsidR="00650E3B" w:rsidRDefault="00650E3B" w:rsidP="00650E3B">
      <w:pPr>
        <w:pStyle w:val="Heading3"/>
      </w:pPr>
      <w:r>
        <w:t>Agreement from Week 1 Thursday GTW session</w:t>
      </w:r>
      <w:r w:rsidR="00635131">
        <w:t xml:space="preserve"> (13/Oct/2022)</w:t>
      </w:r>
    </w:p>
    <w:p w14:paraId="3799BC63" w14:textId="3FC6C007" w:rsidR="00650E3B" w:rsidRDefault="00650E3B" w:rsidP="00CD608C">
      <w:pPr>
        <w:autoSpaceDE w:val="0"/>
        <w:autoSpaceDN w:val="0"/>
        <w:jc w:val="both"/>
        <w:rPr>
          <w:rFonts w:ascii="Calibri" w:hAnsi="Calibri" w:cs="Calibri"/>
          <w:color w:val="FF0000"/>
          <w:sz w:val="22"/>
        </w:rPr>
      </w:pPr>
    </w:p>
    <w:p w14:paraId="07750FE3" w14:textId="77777777" w:rsidR="00635131" w:rsidRPr="00635131" w:rsidRDefault="00635131" w:rsidP="00635131">
      <w:pPr>
        <w:spacing w:line="276" w:lineRule="auto"/>
        <w:rPr>
          <w:rFonts w:ascii="Times New Roman" w:hAnsi="Times New Roman"/>
          <w:b/>
          <w:szCs w:val="20"/>
          <w:lang w:eastAsia="zh-CN"/>
        </w:rPr>
      </w:pPr>
      <w:r w:rsidRPr="00635131">
        <w:rPr>
          <w:rFonts w:ascii="Times New Roman" w:hAnsi="Times New Roman"/>
          <w:b/>
          <w:szCs w:val="20"/>
          <w:highlight w:val="green"/>
          <w:lang w:eastAsia="zh-CN"/>
        </w:rPr>
        <w:t>Agreement</w:t>
      </w:r>
    </w:p>
    <w:p w14:paraId="30EF1CDB" w14:textId="77777777" w:rsidR="00635131" w:rsidRPr="00635131" w:rsidRDefault="00635131" w:rsidP="00635131">
      <w:pPr>
        <w:rPr>
          <w:rFonts w:ascii="Times New Roman" w:hAnsi="Times New Roman"/>
          <w:szCs w:val="20"/>
          <w:lang w:val="en-US" w:eastAsia="x-none"/>
        </w:rPr>
      </w:pPr>
      <w:r w:rsidRPr="00635131">
        <w:rPr>
          <w:rFonts w:ascii="Times New Roman" w:hAnsi="Times New Roman"/>
          <w:szCs w:val="20"/>
          <w:lang w:val="en-US" w:eastAsia="x-none"/>
        </w:rPr>
        <w:t>On the support of MCSt operation in SL-U, following options are to be further studied and one or more of the following options will be selected in future meetings.</w:t>
      </w:r>
    </w:p>
    <w:p w14:paraId="6032C989" w14:textId="77777777" w:rsidR="00635131" w:rsidRPr="00635131" w:rsidRDefault="00635131">
      <w:pPr>
        <w:pStyle w:val="ListParagraph"/>
        <w:numPr>
          <w:ilvl w:val="0"/>
          <w:numId w:val="55"/>
        </w:numPr>
        <w:autoSpaceDE w:val="0"/>
        <w:autoSpaceDN w:val="0"/>
        <w:adjustRightInd w:val="0"/>
        <w:snapToGrid w:val="0"/>
        <w:spacing w:line="276" w:lineRule="auto"/>
        <w:ind w:leftChars="100" w:left="560"/>
        <w:jc w:val="both"/>
        <w:rPr>
          <w:rFonts w:ascii="Times New Roman" w:hAnsi="Times New Roman"/>
          <w:szCs w:val="20"/>
        </w:rPr>
      </w:pPr>
      <w:r w:rsidRPr="00635131">
        <w:rPr>
          <w:rFonts w:ascii="Times New Roman" w:hAnsi="Times New Roman"/>
          <w:szCs w:val="20"/>
        </w:rPr>
        <w:t>When L1 is triggered for reporting a subset of candidate resources for MCSt,</w:t>
      </w:r>
    </w:p>
    <w:p w14:paraId="176A6DA8" w14:textId="77777777" w:rsidR="00635131" w:rsidRPr="00635131" w:rsidRDefault="00635131">
      <w:pPr>
        <w:pStyle w:val="ListParagraph"/>
        <w:numPr>
          <w:ilvl w:val="1"/>
          <w:numId w:val="55"/>
        </w:numPr>
        <w:autoSpaceDE w:val="0"/>
        <w:autoSpaceDN w:val="0"/>
        <w:adjustRightInd w:val="0"/>
        <w:snapToGrid w:val="0"/>
        <w:spacing w:line="276" w:lineRule="auto"/>
        <w:ind w:leftChars="0"/>
        <w:jc w:val="both"/>
        <w:rPr>
          <w:rFonts w:ascii="Times New Roman" w:hAnsi="Times New Roman"/>
          <w:szCs w:val="20"/>
          <w:lang w:val="en-US"/>
        </w:rPr>
      </w:pPr>
      <w:r w:rsidRPr="00635131">
        <w:rPr>
          <w:rFonts w:ascii="Times New Roman" w:hAnsi="Times New Roman"/>
          <w:szCs w:val="20"/>
          <w:lang w:val="en-US"/>
        </w:rPr>
        <w:t>Option 1: Only one set of parameters (</w:t>
      </w:r>
      <m:oMath>
        <m:r>
          <w:rPr>
            <w:rFonts w:ascii="Cambria Math" w:hAnsi="Cambria Math"/>
            <w:szCs w:val="20"/>
            <w:lang w:val="en-US"/>
          </w:rPr>
          <m:t>pri</m:t>
        </m:r>
        <m:sSub>
          <m:sSubPr>
            <m:ctrlPr>
              <w:rPr>
                <w:rFonts w:ascii="Cambria Math" w:hAnsi="Cambria Math"/>
                <w:i/>
                <w:iCs/>
                <w:szCs w:val="20"/>
                <w:lang w:val="en-US"/>
              </w:rPr>
            </m:ctrlPr>
          </m:sSubPr>
          <m:e>
            <m:r>
              <w:rPr>
                <w:rFonts w:ascii="Cambria Math" w:hAnsi="Cambria Math"/>
                <w:szCs w:val="20"/>
                <w:lang w:val="en-US"/>
              </w:rPr>
              <m:t>o</m:t>
            </m:r>
          </m:e>
          <m:sub>
            <m:r>
              <w:rPr>
                <w:rFonts w:ascii="Cambria Math" w:hAnsi="Cambria Math"/>
                <w:szCs w:val="20"/>
                <w:lang w:val="en-US"/>
              </w:rPr>
              <m:t>TX</m:t>
            </m:r>
          </m:sub>
        </m:sSub>
      </m:oMath>
      <w:r w:rsidRPr="00635131">
        <w:rPr>
          <w:rFonts w:ascii="Times New Roman" w:hAnsi="Times New Roman"/>
          <w:szCs w:val="20"/>
          <w:lang w:val="en-US"/>
        </w:rPr>
        <w:t xml:space="preserve">, remaining PDB, </w:t>
      </w:r>
      <m:oMath>
        <m:sSub>
          <m:sSubPr>
            <m:ctrlPr>
              <w:rPr>
                <w:rFonts w:ascii="Cambria Math" w:hAnsi="Cambria Math"/>
                <w:i/>
                <w:iCs/>
                <w:szCs w:val="20"/>
                <w:lang w:val="en-US"/>
              </w:rPr>
            </m:ctrlPr>
          </m:sSubPr>
          <m:e>
            <m:r>
              <w:rPr>
                <w:rFonts w:ascii="Cambria Math" w:hAnsi="Cambria Math"/>
                <w:szCs w:val="20"/>
                <w:lang w:val="en-US"/>
              </w:rPr>
              <m:t>L</m:t>
            </m:r>
          </m:e>
          <m:sub>
            <m:r>
              <m:rPr>
                <m:nor/>
              </m:rPr>
              <w:rPr>
                <w:rFonts w:ascii="Times New Roman" w:hAnsi="Times New Roman"/>
                <w:szCs w:val="20"/>
                <w:lang w:val="en-US"/>
              </w:rPr>
              <m:t>subCH</m:t>
            </m:r>
          </m:sub>
        </m:sSub>
      </m:oMath>
      <w:r w:rsidRPr="00635131">
        <w:rPr>
          <w:rFonts w:ascii="Times New Roman" w:hAnsi="Times New Roman"/>
          <w:szCs w:val="20"/>
          <w:lang w:val="en-US"/>
        </w:rPr>
        <w:t xml:space="preserve"> and </w:t>
      </w:r>
      <m:oMath>
        <m:sSub>
          <m:sSubPr>
            <m:ctrlPr>
              <w:rPr>
                <w:rFonts w:ascii="Cambria Math" w:hAnsi="Cambria Math"/>
                <w:i/>
                <w:iCs/>
                <w:szCs w:val="20"/>
                <w:lang w:val="en-US"/>
              </w:rPr>
            </m:ctrlPr>
          </m:sSubPr>
          <m:e>
            <m:r>
              <w:rPr>
                <w:rFonts w:ascii="Cambria Math" w:hAnsi="Cambria Math"/>
                <w:szCs w:val="20"/>
                <w:lang w:val="en-US"/>
              </w:rPr>
              <m:t>P</m:t>
            </m:r>
          </m:e>
          <m:sub>
            <m:r>
              <m:rPr>
                <m:nor/>
              </m:rPr>
              <w:rPr>
                <w:rFonts w:ascii="Times New Roman" w:hAnsi="Times New Roman"/>
                <w:szCs w:val="20"/>
                <w:lang w:val="en-US"/>
              </w:rPr>
              <m:t>rsvp_TX</m:t>
            </m:r>
          </m:sub>
        </m:sSub>
      </m:oMath>
      <w:r w:rsidRPr="00635131">
        <w:rPr>
          <w:rFonts w:ascii="Times New Roman" w:hAnsi="Times New Roman"/>
          <w:szCs w:val="20"/>
          <w:lang w:val="en-US"/>
        </w:rPr>
        <w:t>) is provided for the resource selection procedure in L1</w:t>
      </w:r>
    </w:p>
    <w:p w14:paraId="68FD742F" w14:textId="77777777" w:rsidR="00635131" w:rsidRPr="00635131" w:rsidRDefault="00635131">
      <w:pPr>
        <w:pStyle w:val="ListParagraph"/>
        <w:numPr>
          <w:ilvl w:val="2"/>
          <w:numId w:val="55"/>
        </w:numPr>
        <w:autoSpaceDE w:val="0"/>
        <w:autoSpaceDN w:val="0"/>
        <w:adjustRightInd w:val="0"/>
        <w:snapToGrid w:val="0"/>
        <w:spacing w:line="276" w:lineRule="auto"/>
        <w:ind w:leftChars="0"/>
        <w:jc w:val="both"/>
        <w:rPr>
          <w:rFonts w:ascii="Times New Roman" w:hAnsi="Times New Roman"/>
          <w:szCs w:val="20"/>
        </w:rPr>
      </w:pPr>
      <w:r w:rsidRPr="00635131">
        <w:rPr>
          <w:rFonts w:ascii="Times New Roman" w:hAnsi="Times New Roman"/>
          <w:szCs w:val="20"/>
        </w:rPr>
        <w:t>Note, this is applicable for transmission of a single TB and multiple TBs</w:t>
      </w:r>
    </w:p>
    <w:p w14:paraId="5E5F2B14" w14:textId="77777777" w:rsidR="00635131" w:rsidRPr="00635131" w:rsidRDefault="00635131">
      <w:pPr>
        <w:pStyle w:val="ListParagraph"/>
        <w:numPr>
          <w:ilvl w:val="2"/>
          <w:numId w:val="55"/>
        </w:numPr>
        <w:autoSpaceDE w:val="0"/>
        <w:autoSpaceDN w:val="0"/>
        <w:adjustRightInd w:val="0"/>
        <w:snapToGrid w:val="0"/>
        <w:spacing w:line="276" w:lineRule="auto"/>
        <w:ind w:leftChars="0"/>
        <w:jc w:val="both"/>
        <w:rPr>
          <w:rFonts w:ascii="Times New Roman" w:hAnsi="Times New Roman"/>
          <w:szCs w:val="20"/>
        </w:rPr>
      </w:pPr>
      <w:r w:rsidRPr="00635131">
        <w:rPr>
          <w:rFonts w:ascii="Times New Roman" w:hAnsi="Times New Roman"/>
          <w:szCs w:val="20"/>
        </w:rPr>
        <w:t>FFS: whether this is the same or different than Rel-16</w:t>
      </w:r>
    </w:p>
    <w:p w14:paraId="04048FB6" w14:textId="77777777" w:rsidR="00635131" w:rsidRPr="00635131" w:rsidRDefault="00635131">
      <w:pPr>
        <w:pStyle w:val="ListParagraph"/>
        <w:numPr>
          <w:ilvl w:val="1"/>
          <w:numId w:val="55"/>
        </w:numPr>
        <w:autoSpaceDE w:val="0"/>
        <w:autoSpaceDN w:val="0"/>
        <w:adjustRightInd w:val="0"/>
        <w:snapToGrid w:val="0"/>
        <w:spacing w:line="276" w:lineRule="auto"/>
        <w:ind w:leftChars="0"/>
        <w:jc w:val="both"/>
        <w:rPr>
          <w:rFonts w:ascii="Times New Roman" w:hAnsi="Times New Roman"/>
          <w:szCs w:val="20"/>
          <w:lang w:val="en-US"/>
        </w:rPr>
      </w:pPr>
      <w:r w:rsidRPr="00635131">
        <w:rPr>
          <w:rFonts w:ascii="Times New Roman" w:hAnsi="Times New Roman"/>
          <w:szCs w:val="20"/>
          <w:lang w:val="en-US"/>
        </w:rPr>
        <w:t>Option 2: one or multiple sets of parameters (</w:t>
      </w:r>
      <m:oMath>
        <m:r>
          <w:rPr>
            <w:rFonts w:ascii="Cambria Math" w:hAnsi="Cambria Math"/>
            <w:szCs w:val="20"/>
            <w:lang w:val="en-US"/>
          </w:rPr>
          <m:t>pri</m:t>
        </m:r>
        <m:sSub>
          <m:sSubPr>
            <m:ctrlPr>
              <w:rPr>
                <w:rFonts w:ascii="Cambria Math" w:hAnsi="Cambria Math"/>
                <w:i/>
                <w:iCs/>
                <w:szCs w:val="20"/>
                <w:lang w:val="en-US"/>
              </w:rPr>
            </m:ctrlPr>
          </m:sSubPr>
          <m:e>
            <m:r>
              <w:rPr>
                <w:rFonts w:ascii="Cambria Math" w:hAnsi="Cambria Math"/>
                <w:szCs w:val="20"/>
                <w:lang w:val="en-US"/>
              </w:rPr>
              <m:t>o</m:t>
            </m:r>
          </m:e>
          <m:sub>
            <m:r>
              <w:rPr>
                <w:rFonts w:ascii="Cambria Math" w:hAnsi="Cambria Math"/>
                <w:szCs w:val="20"/>
                <w:lang w:val="en-US"/>
              </w:rPr>
              <m:t>TX</m:t>
            </m:r>
          </m:sub>
        </m:sSub>
      </m:oMath>
      <w:r w:rsidRPr="00635131">
        <w:rPr>
          <w:rFonts w:ascii="Times New Roman" w:hAnsi="Times New Roman"/>
          <w:szCs w:val="20"/>
          <w:lang w:val="en-US"/>
        </w:rPr>
        <w:t xml:space="preserve">, remaining PDB, </w:t>
      </w:r>
      <m:oMath>
        <m:sSub>
          <m:sSubPr>
            <m:ctrlPr>
              <w:rPr>
                <w:rFonts w:ascii="Cambria Math" w:hAnsi="Cambria Math"/>
                <w:i/>
                <w:iCs/>
                <w:szCs w:val="20"/>
                <w:lang w:val="en-US"/>
              </w:rPr>
            </m:ctrlPr>
          </m:sSubPr>
          <m:e>
            <m:r>
              <w:rPr>
                <w:rFonts w:ascii="Cambria Math" w:hAnsi="Cambria Math"/>
                <w:szCs w:val="20"/>
                <w:lang w:val="en-US"/>
              </w:rPr>
              <m:t>L</m:t>
            </m:r>
          </m:e>
          <m:sub>
            <m:r>
              <m:rPr>
                <m:nor/>
              </m:rPr>
              <w:rPr>
                <w:rFonts w:ascii="Times New Roman" w:hAnsi="Times New Roman"/>
                <w:szCs w:val="20"/>
                <w:lang w:val="en-US"/>
              </w:rPr>
              <m:t>subCH</m:t>
            </m:r>
          </m:sub>
        </m:sSub>
      </m:oMath>
      <w:r w:rsidRPr="00635131">
        <w:rPr>
          <w:rFonts w:ascii="Times New Roman" w:hAnsi="Times New Roman"/>
          <w:szCs w:val="20"/>
          <w:lang w:val="en-US"/>
        </w:rPr>
        <w:t xml:space="preserve"> and </w:t>
      </w:r>
      <m:oMath>
        <m:sSub>
          <m:sSubPr>
            <m:ctrlPr>
              <w:rPr>
                <w:rFonts w:ascii="Cambria Math" w:hAnsi="Cambria Math"/>
                <w:i/>
                <w:iCs/>
                <w:szCs w:val="20"/>
                <w:lang w:val="en-US"/>
              </w:rPr>
            </m:ctrlPr>
          </m:sSubPr>
          <m:e>
            <m:r>
              <w:rPr>
                <w:rFonts w:ascii="Cambria Math" w:hAnsi="Cambria Math"/>
                <w:szCs w:val="20"/>
                <w:lang w:val="en-US"/>
              </w:rPr>
              <m:t>P</m:t>
            </m:r>
          </m:e>
          <m:sub>
            <m:r>
              <m:rPr>
                <m:nor/>
              </m:rPr>
              <w:rPr>
                <w:rFonts w:ascii="Times New Roman" w:hAnsi="Times New Roman"/>
                <w:szCs w:val="20"/>
                <w:lang w:val="en-US"/>
              </w:rPr>
              <m:t>rsvp_TX</m:t>
            </m:r>
          </m:sub>
        </m:sSub>
      </m:oMath>
      <w:r w:rsidRPr="00635131">
        <w:rPr>
          <w:rFonts w:ascii="Times New Roman" w:hAnsi="Times New Roman"/>
          <w:szCs w:val="20"/>
          <w:lang w:val="en-US"/>
        </w:rPr>
        <w:t>) are provided for the resource selection procedure in L1</w:t>
      </w:r>
    </w:p>
    <w:p w14:paraId="3E09ECBE" w14:textId="77777777" w:rsidR="00635131" w:rsidRPr="00635131" w:rsidRDefault="00635131">
      <w:pPr>
        <w:pStyle w:val="ListParagraph"/>
        <w:numPr>
          <w:ilvl w:val="1"/>
          <w:numId w:val="55"/>
        </w:numPr>
        <w:autoSpaceDE w:val="0"/>
        <w:autoSpaceDN w:val="0"/>
        <w:adjustRightInd w:val="0"/>
        <w:snapToGrid w:val="0"/>
        <w:spacing w:line="276" w:lineRule="auto"/>
        <w:ind w:leftChars="0"/>
        <w:jc w:val="both"/>
        <w:rPr>
          <w:rFonts w:ascii="Times New Roman" w:hAnsi="Times New Roman"/>
          <w:szCs w:val="20"/>
          <w:lang w:val="en-US"/>
        </w:rPr>
      </w:pPr>
      <w:r w:rsidRPr="00635131">
        <w:rPr>
          <w:rFonts w:ascii="Times New Roman" w:hAnsi="Times New Roman"/>
          <w:szCs w:val="20"/>
          <w:lang w:val="en-US"/>
        </w:rPr>
        <w:t>FFS: any further information needs to be provided to L1 for MCSt</w:t>
      </w:r>
    </w:p>
    <w:p w14:paraId="1DCC14A2" w14:textId="77777777" w:rsidR="00635131" w:rsidRPr="00635131" w:rsidRDefault="00635131">
      <w:pPr>
        <w:pStyle w:val="ListParagraph"/>
        <w:numPr>
          <w:ilvl w:val="0"/>
          <w:numId w:val="55"/>
        </w:numPr>
        <w:autoSpaceDE w:val="0"/>
        <w:autoSpaceDN w:val="0"/>
        <w:adjustRightInd w:val="0"/>
        <w:snapToGrid w:val="0"/>
        <w:spacing w:line="276" w:lineRule="auto"/>
        <w:ind w:leftChars="100" w:left="560"/>
        <w:jc w:val="both"/>
        <w:rPr>
          <w:rFonts w:ascii="Times New Roman" w:hAnsi="Times New Roman"/>
          <w:szCs w:val="20"/>
        </w:rPr>
      </w:pPr>
      <w:r w:rsidRPr="00635131">
        <w:rPr>
          <w:rFonts w:ascii="Times New Roman" w:hAnsi="Times New Roman"/>
          <w:szCs w:val="20"/>
        </w:rPr>
        <w:t>When L1 reports a subset of candidate resources for MCSt,</w:t>
      </w:r>
    </w:p>
    <w:p w14:paraId="39405C00" w14:textId="77777777" w:rsidR="00635131" w:rsidRPr="00635131" w:rsidRDefault="00635131">
      <w:pPr>
        <w:pStyle w:val="ListParagraph"/>
        <w:numPr>
          <w:ilvl w:val="1"/>
          <w:numId w:val="55"/>
        </w:numPr>
        <w:autoSpaceDE w:val="0"/>
        <w:autoSpaceDN w:val="0"/>
        <w:adjustRightInd w:val="0"/>
        <w:snapToGrid w:val="0"/>
        <w:spacing w:line="276" w:lineRule="auto"/>
        <w:ind w:leftChars="0"/>
        <w:jc w:val="both"/>
        <w:rPr>
          <w:rFonts w:ascii="Times New Roman" w:hAnsi="Times New Roman"/>
          <w:szCs w:val="20"/>
          <w:lang w:val="en-US"/>
        </w:rPr>
      </w:pPr>
      <w:r w:rsidRPr="00635131">
        <w:rPr>
          <w:rFonts w:ascii="Times New Roman" w:hAnsi="Times New Roman"/>
          <w:szCs w:val="20"/>
          <w:lang w:val="en-US"/>
        </w:rPr>
        <w:t xml:space="preserve">Option A: L1 reports candidate multi-slot resources in </w:t>
      </w:r>
      <w:r w:rsidRPr="00635131">
        <w:rPr>
          <w:rFonts w:ascii="Times New Roman" w:hAnsi="Times New Roman"/>
          <w:i/>
          <w:iCs/>
          <w:szCs w:val="20"/>
          <w:lang w:val="en-US"/>
        </w:rPr>
        <w:t>S</w:t>
      </w:r>
      <w:r w:rsidRPr="00635131">
        <w:rPr>
          <w:rFonts w:ascii="Times New Roman" w:hAnsi="Times New Roman"/>
          <w:i/>
          <w:iCs/>
          <w:szCs w:val="20"/>
          <w:vertAlign w:val="subscript"/>
          <w:lang w:val="en-US"/>
        </w:rPr>
        <w:t>A</w:t>
      </w:r>
      <w:r w:rsidRPr="00635131">
        <w:rPr>
          <w:rFonts w:ascii="Times New Roman" w:hAnsi="Times New Roman"/>
          <w:szCs w:val="20"/>
          <w:lang w:val="en-US"/>
        </w:rPr>
        <w:t xml:space="preserve"> where a candidate multi-slot resource consists of a set of single-slot resources that are consecutive in time</w:t>
      </w:r>
    </w:p>
    <w:p w14:paraId="75163AF9" w14:textId="77777777" w:rsidR="00635131" w:rsidRPr="00635131" w:rsidRDefault="00635131">
      <w:pPr>
        <w:pStyle w:val="ListParagraph"/>
        <w:numPr>
          <w:ilvl w:val="2"/>
          <w:numId w:val="55"/>
        </w:numPr>
        <w:autoSpaceDE w:val="0"/>
        <w:autoSpaceDN w:val="0"/>
        <w:adjustRightInd w:val="0"/>
        <w:snapToGrid w:val="0"/>
        <w:spacing w:line="276" w:lineRule="auto"/>
        <w:ind w:leftChars="0"/>
        <w:jc w:val="both"/>
        <w:rPr>
          <w:rFonts w:ascii="Times New Roman" w:hAnsi="Times New Roman"/>
          <w:szCs w:val="20"/>
          <w:lang w:val="en-US"/>
        </w:rPr>
      </w:pPr>
      <w:r w:rsidRPr="00635131">
        <w:rPr>
          <w:rFonts w:ascii="Times New Roman" w:hAnsi="Times New Roman"/>
          <w:szCs w:val="20"/>
          <w:lang w:val="en-US"/>
        </w:rPr>
        <w:t xml:space="preserve">FFS whether the set of single-slot resources within a candidate multi-slot resource can have different </w:t>
      </w:r>
      <m:oMath>
        <m:sSub>
          <m:sSubPr>
            <m:ctrlPr>
              <w:rPr>
                <w:rFonts w:ascii="Cambria Math" w:hAnsi="Cambria Math"/>
                <w:i/>
                <w:iCs/>
                <w:szCs w:val="20"/>
                <w:lang w:val="en-US"/>
              </w:rPr>
            </m:ctrlPr>
          </m:sSubPr>
          <m:e>
            <m:r>
              <w:rPr>
                <w:rFonts w:ascii="Cambria Math" w:hAnsi="Cambria Math"/>
                <w:szCs w:val="20"/>
                <w:lang w:val="en-US"/>
              </w:rPr>
              <m:t>L</m:t>
            </m:r>
          </m:e>
          <m:sub>
            <m:r>
              <m:rPr>
                <m:nor/>
              </m:rPr>
              <w:rPr>
                <w:rFonts w:ascii="Times New Roman" w:hAnsi="Times New Roman"/>
                <w:szCs w:val="20"/>
                <w:lang w:val="en-US"/>
              </w:rPr>
              <m:t>subCH</m:t>
            </m:r>
          </m:sub>
        </m:sSub>
      </m:oMath>
      <w:r w:rsidRPr="00635131">
        <w:rPr>
          <w:rFonts w:ascii="Times New Roman" w:hAnsi="Times New Roman"/>
          <w:szCs w:val="20"/>
          <w:lang w:val="en-US"/>
        </w:rPr>
        <w:t xml:space="preserve"> sizes</w:t>
      </w:r>
    </w:p>
    <w:p w14:paraId="70E14D87" w14:textId="77777777" w:rsidR="00635131" w:rsidRPr="00635131" w:rsidRDefault="00635131">
      <w:pPr>
        <w:pStyle w:val="ListParagraph"/>
        <w:numPr>
          <w:ilvl w:val="1"/>
          <w:numId w:val="55"/>
        </w:numPr>
        <w:autoSpaceDE w:val="0"/>
        <w:autoSpaceDN w:val="0"/>
        <w:adjustRightInd w:val="0"/>
        <w:snapToGrid w:val="0"/>
        <w:spacing w:line="276" w:lineRule="auto"/>
        <w:ind w:leftChars="0"/>
        <w:jc w:val="both"/>
        <w:rPr>
          <w:rFonts w:ascii="Times New Roman" w:hAnsi="Times New Roman"/>
          <w:szCs w:val="20"/>
          <w:lang w:val="en-US"/>
        </w:rPr>
      </w:pPr>
      <w:r w:rsidRPr="00635131">
        <w:rPr>
          <w:rFonts w:ascii="Times New Roman" w:hAnsi="Times New Roman"/>
          <w:szCs w:val="20"/>
          <w:lang w:val="en-US"/>
        </w:rPr>
        <w:t>Option B: L1 reports candidate single-slot resources in (</w:t>
      </w:r>
      <w:r w:rsidRPr="00635131">
        <w:rPr>
          <w:rFonts w:ascii="Times New Roman" w:hAnsi="Times New Roman"/>
          <w:i/>
          <w:iCs/>
          <w:szCs w:val="20"/>
          <w:lang w:val="en-US"/>
        </w:rPr>
        <w:t>S</w:t>
      </w:r>
      <w:r w:rsidRPr="00635131">
        <w:rPr>
          <w:rFonts w:ascii="Times New Roman" w:hAnsi="Times New Roman"/>
          <w:i/>
          <w:iCs/>
          <w:szCs w:val="20"/>
          <w:vertAlign w:val="subscript"/>
          <w:lang w:val="en-US"/>
        </w:rPr>
        <w:t>A</w:t>
      </w:r>
      <w:r w:rsidRPr="00635131">
        <w:rPr>
          <w:rFonts w:ascii="Times New Roman" w:hAnsi="Times New Roman"/>
          <w:szCs w:val="20"/>
          <w:lang w:val="en-US"/>
        </w:rPr>
        <w:t>) as in Rel-16</w:t>
      </w:r>
    </w:p>
    <w:p w14:paraId="0E68239D" w14:textId="77777777" w:rsidR="00635131" w:rsidRPr="00635131" w:rsidRDefault="00635131">
      <w:pPr>
        <w:pStyle w:val="ListParagraph"/>
        <w:numPr>
          <w:ilvl w:val="2"/>
          <w:numId w:val="55"/>
        </w:numPr>
        <w:autoSpaceDE w:val="0"/>
        <w:autoSpaceDN w:val="0"/>
        <w:adjustRightInd w:val="0"/>
        <w:snapToGrid w:val="0"/>
        <w:spacing w:line="276" w:lineRule="auto"/>
        <w:ind w:leftChars="0"/>
        <w:jc w:val="both"/>
        <w:rPr>
          <w:rFonts w:ascii="Times New Roman" w:hAnsi="Times New Roman"/>
          <w:szCs w:val="20"/>
          <w:lang w:val="en-US"/>
        </w:rPr>
      </w:pPr>
      <w:r w:rsidRPr="00635131">
        <w:rPr>
          <w:rFonts w:ascii="Times New Roman" w:hAnsi="Times New Roman"/>
          <w:szCs w:val="20"/>
          <w:lang w:val="en-US"/>
        </w:rPr>
        <w:t>It is up to the higher (MAC) layer to select a set of single-slot resources that are consecutive in logical slots</w:t>
      </w:r>
    </w:p>
    <w:p w14:paraId="4C2B0358" w14:textId="77777777" w:rsidR="00635131" w:rsidRPr="00635131" w:rsidRDefault="00635131">
      <w:pPr>
        <w:pStyle w:val="ListParagraph"/>
        <w:numPr>
          <w:ilvl w:val="1"/>
          <w:numId w:val="55"/>
        </w:numPr>
        <w:autoSpaceDE w:val="0"/>
        <w:autoSpaceDN w:val="0"/>
        <w:adjustRightInd w:val="0"/>
        <w:snapToGrid w:val="0"/>
        <w:spacing w:line="276" w:lineRule="auto"/>
        <w:ind w:leftChars="0"/>
        <w:jc w:val="both"/>
        <w:rPr>
          <w:rFonts w:ascii="Times New Roman" w:hAnsi="Times New Roman"/>
          <w:szCs w:val="20"/>
          <w:lang w:val="en-US"/>
        </w:rPr>
      </w:pPr>
      <w:r w:rsidRPr="00635131">
        <w:rPr>
          <w:rFonts w:ascii="Times New Roman" w:hAnsi="Times New Roman"/>
          <w:szCs w:val="20"/>
          <w:lang w:val="en-US"/>
        </w:rPr>
        <w:t xml:space="preserve">Option C: L1 reports consecutive single-slot candidate resources in </w:t>
      </w:r>
      <w:r w:rsidRPr="00635131">
        <w:rPr>
          <w:rFonts w:ascii="Times New Roman" w:hAnsi="Times New Roman"/>
          <w:i/>
          <w:iCs/>
          <w:szCs w:val="20"/>
          <w:lang w:val="en-US"/>
        </w:rPr>
        <w:t>S</w:t>
      </w:r>
      <w:r w:rsidRPr="00635131">
        <w:rPr>
          <w:rFonts w:ascii="Times New Roman" w:hAnsi="Times New Roman"/>
          <w:i/>
          <w:iCs/>
          <w:szCs w:val="20"/>
          <w:vertAlign w:val="subscript"/>
          <w:lang w:val="en-US"/>
        </w:rPr>
        <w:t>A</w:t>
      </w:r>
    </w:p>
    <w:p w14:paraId="292C217C" w14:textId="77777777" w:rsidR="00635131" w:rsidRPr="00635131" w:rsidRDefault="00635131">
      <w:pPr>
        <w:pStyle w:val="ListParagraph"/>
        <w:numPr>
          <w:ilvl w:val="2"/>
          <w:numId w:val="55"/>
        </w:numPr>
        <w:autoSpaceDE w:val="0"/>
        <w:autoSpaceDN w:val="0"/>
        <w:adjustRightInd w:val="0"/>
        <w:snapToGrid w:val="0"/>
        <w:spacing w:line="276" w:lineRule="auto"/>
        <w:ind w:leftChars="0"/>
        <w:jc w:val="both"/>
        <w:rPr>
          <w:rFonts w:ascii="Times New Roman" w:hAnsi="Times New Roman"/>
          <w:szCs w:val="20"/>
          <w:lang w:val="en-US"/>
        </w:rPr>
      </w:pPr>
      <w:r w:rsidRPr="00635131">
        <w:rPr>
          <w:rFonts w:ascii="Times New Roman" w:hAnsi="Times New Roman"/>
          <w:szCs w:val="20"/>
          <w:lang w:val="en-US"/>
        </w:rPr>
        <w:t xml:space="preserve">FFS whether the consecutive single-slot candidate resources can have different </w:t>
      </w:r>
      <m:oMath>
        <m:sSub>
          <m:sSubPr>
            <m:ctrlPr>
              <w:rPr>
                <w:rFonts w:ascii="Cambria Math" w:hAnsi="Cambria Math"/>
                <w:i/>
                <w:iCs/>
                <w:szCs w:val="20"/>
                <w:lang w:val="en-US"/>
              </w:rPr>
            </m:ctrlPr>
          </m:sSubPr>
          <m:e>
            <m:r>
              <w:rPr>
                <w:rFonts w:ascii="Cambria Math" w:hAnsi="Cambria Math"/>
                <w:szCs w:val="20"/>
                <w:lang w:val="en-US"/>
              </w:rPr>
              <m:t>L</m:t>
            </m:r>
          </m:e>
          <m:sub>
            <m:r>
              <m:rPr>
                <m:nor/>
              </m:rPr>
              <w:rPr>
                <w:rFonts w:ascii="Times New Roman" w:hAnsi="Times New Roman"/>
                <w:szCs w:val="20"/>
                <w:lang w:val="en-US"/>
              </w:rPr>
              <m:t>subCH</m:t>
            </m:r>
          </m:sub>
        </m:sSub>
      </m:oMath>
      <w:r w:rsidRPr="00635131">
        <w:rPr>
          <w:rFonts w:ascii="Times New Roman" w:hAnsi="Times New Roman"/>
          <w:szCs w:val="20"/>
          <w:lang w:val="en-US"/>
        </w:rPr>
        <w:t xml:space="preserve"> sizes</w:t>
      </w:r>
    </w:p>
    <w:p w14:paraId="1D0D55B6" w14:textId="77777777" w:rsidR="00635131" w:rsidRPr="00635131" w:rsidRDefault="00635131">
      <w:pPr>
        <w:pStyle w:val="ListParagraph"/>
        <w:numPr>
          <w:ilvl w:val="1"/>
          <w:numId w:val="55"/>
        </w:numPr>
        <w:autoSpaceDE w:val="0"/>
        <w:autoSpaceDN w:val="0"/>
        <w:adjustRightInd w:val="0"/>
        <w:snapToGrid w:val="0"/>
        <w:spacing w:line="276" w:lineRule="auto"/>
        <w:ind w:leftChars="0"/>
        <w:jc w:val="both"/>
        <w:rPr>
          <w:rFonts w:ascii="Times New Roman" w:hAnsi="Times New Roman"/>
          <w:szCs w:val="20"/>
          <w:lang w:val="en-US"/>
        </w:rPr>
      </w:pPr>
      <w:r w:rsidRPr="00635131">
        <w:rPr>
          <w:rFonts w:ascii="Times New Roman" w:hAnsi="Times New Roman"/>
          <w:szCs w:val="20"/>
          <w:lang w:val="en-US"/>
        </w:rPr>
        <w:t>FFS: any further information needs to be reported to MAC layer, provided to L1 or utilized for MCSt</w:t>
      </w:r>
    </w:p>
    <w:p w14:paraId="239DDB6B" w14:textId="77777777" w:rsidR="00635131" w:rsidRPr="00635131" w:rsidRDefault="00635131">
      <w:pPr>
        <w:pStyle w:val="ListParagraph"/>
        <w:numPr>
          <w:ilvl w:val="1"/>
          <w:numId w:val="55"/>
        </w:numPr>
        <w:autoSpaceDE w:val="0"/>
        <w:autoSpaceDN w:val="0"/>
        <w:adjustRightInd w:val="0"/>
        <w:snapToGrid w:val="0"/>
        <w:spacing w:line="276" w:lineRule="auto"/>
        <w:ind w:leftChars="0"/>
        <w:jc w:val="both"/>
        <w:rPr>
          <w:rFonts w:ascii="Times New Roman" w:hAnsi="Times New Roman"/>
          <w:szCs w:val="20"/>
          <w:lang w:val="en-US"/>
        </w:rPr>
      </w:pPr>
      <w:r w:rsidRPr="00635131">
        <w:rPr>
          <w:rFonts w:ascii="Times New Roman" w:hAnsi="Times New Roman"/>
          <w:szCs w:val="20"/>
          <w:lang w:val="en-US"/>
        </w:rPr>
        <w:t>FFS: whether/how to consider the additional LBT time in SL resource allocation</w:t>
      </w:r>
    </w:p>
    <w:p w14:paraId="46C1B06C" w14:textId="77777777" w:rsidR="00650E3B" w:rsidRPr="00635131" w:rsidRDefault="00650E3B" w:rsidP="00CD608C">
      <w:pPr>
        <w:autoSpaceDE w:val="0"/>
        <w:autoSpaceDN w:val="0"/>
        <w:jc w:val="both"/>
        <w:rPr>
          <w:rFonts w:ascii="Calibri" w:hAnsi="Calibri" w:cs="Calibri"/>
          <w:color w:val="FF0000"/>
          <w:sz w:val="22"/>
          <w:lang w:val="en-US"/>
        </w:rPr>
      </w:pPr>
    </w:p>
    <w:bookmarkEnd w:id="7"/>
    <w:bookmarkEnd w:id="8"/>
    <w:p w14:paraId="7493D9F0" w14:textId="77777777" w:rsidR="00717A4C" w:rsidRDefault="00717A4C">
      <w:pPr>
        <w:rPr>
          <w:rFonts w:ascii="Arial" w:eastAsia="SimSun" w:hAnsi="Arial"/>
          <w:sz w:val="36"/>
          <w:szCs w:val="20"/>
        </w:rPr>
      </w:pPr>
      <w:r>
        <w:br w:type="page"/>
      </w:r>
    </w:p>
    <w:p w14:paraId="1169CA6F" w14:textId="43A6E45F" w:rsidR="00916247" w:rsidRPr="00916247" w:rsidRDefault="008A2865" w:rsidP="00916247">
      <w:pPr>
        <w:pStyle w:val="3GPPH1"/>
      </w:pPr>
      <w:r>
        <w:lastRenderedPageBreak/>
        <w:t>Contribution s</w:t>
      </w:r>
      <w:r w:rsidR="00C6511A">
        <w:t>ummary</w:t>
      </w:r>
      <w:r w:rsidR="009C11A8">
        <w:t xml:space="preserve"> for </w:t>
      </w:r>
      <w:r w:rsidR="009B56DB">
        <w:t>channel access mechanism</w:t>
      </w:r>
    </w:p>
    <w:p w14:paraId="0081F94C" w14:textId="5357EE88" w:rsidR="007217D9" w:rsidRDefault="007217D9" w:rsidP="007217D9">
      <w:pPr>
        <w:pStyle w:val="Heading2"/>
      </w:pPr>
      <w:r>
        <w:t>Regulation aspects</w:t>
      </w:r>
      <w:r w:rsidR="00990545">
        <w:t xml:space="preserve"> (for easy reference)</w:t>
      </w:r>
    </w:p>
    <w:p w14:paraId="1548C13D" w14:textId="5453FA26" w:rsidR="00477744" w:rsidRPr="00477744" w:rsidRDefault="00477744" w:rsidP="00592EBC">
      <w:pPr>
        <w:pStyle w:val="ListParagraph"/>
        <w:numPr>
          <w:ilvl w:val="0"/>
          <w:numId w:val="15"/>
        </w:numPr>
        <w:spacing w:before="120"/>
        <w:ind w:leftChars="0"/>
        <w:rPr>
          <w:rFonts w:asciiTheme="minorHAnsi" w:hAnsiTheme="minorHAnsi" w:cstheme="minorHAnsi"/>
          <w:color w:val="000000" w:themeColor="text1"/>
          <w:sz w:val="22"/>
          <w:szCs w:val="28"/>
        </w:rPr>
      </w:pPr>
      <w:r>
        <w:rPr>
          <w:rFonts w:asciiTheme="minorHAnsi" w:hAnsiTheme="minorHAnsi" w:cstheme="minorHAnsi"/>
          <w:b/>
          <w:bCs/>
          <w:sz w:val="22"/>
          <w:szCs w:val="28"/>
          <w:u w:val="single"/>
        </w:rPr>
        <w:t>Short control signalling transmission (SCSt)</w:t>
      </w:r>
    </w:p>
    <w:p w14:paraId="02585F74" w14:textId="7C8EC47A" w:rsidR="001179CD" w:rsidRPr="001179CD" w:rsidRDefault="001179CD" w:rsidP="001179CD">
      <w:pPr>
        <w:pStyle w:val="ListParagraph"/>
        <w:numPr>
          <w:ilvl w:val="1"/>
          <w:numId w:val="15"/>
        </w:numPr>
        <w:ind w:leftChars="0"/>
        <w:rPr>
          <w:rFonts w:asciiTheme="minorHAnsi" w:hAnsiTheme="minorHAnsi" w:cstheme="minorHAnsi"/>
          <w:sz w:val="22"/>
          <w:szCs w:val="28"/>
        </w:rPr>
      </w:pPr>
      <w:r w:rsidRPr="001179CD">
        <w:rPr>
          <w:rFonts w:asciiTheme="minorHAnsi" w:hAnsiTheme="minorHAnsi" w:cstheme="minorHAnsi"/>
          <w:sz w:val="22"/>
          <w:szCs w:val="28"/>
        </w:rPr>
        <w:t xml:space="preserve">According to European regulation (ETSI EN 301 893), </w:t>
      </w:r>
      <w:r w:rsidR="001C6BD7" w:rsidRPr="001C6BD7">
        <w:rPr>
          <w:rFonts w:asciiTheme="minorHAnsi" w:hAnsiTheme="minorHAnsi" w:cstheme="minorHAnsi"/>
          <w:sz w:val="22"/>
          <w:szCs w:val="28"/>
        </w:rPr>
        <w:t xml:space="preserve">The use of </w:t>
      </w:r>
      <w:r w:rsidR="001C6BD7" w:rsidRPr="001C6BD7">
        <w:rPr>
          <w:rFonts w:asciiTheme="minorHAnsi" w:hAnsiTheme="minorHAnsi" w:cstheme="minorHAnsi"/>
          <w:i/>
          <w:iCs/>
          <w:sz w:val="22"/>
          <w:szCs w:val="28"/>
        </w:rPr>
        <w:t>Short Control Signalling Transmissions</w:t>
      </w:r>
      <w:r w:rsidR="001C6BD7" w:rsidRPr="001C6BD7">
        <w:rPr>
          <w:rFonts w:asciiTheme="minorHAnsi" w:hAnsiTheme="minorHAnsi" w:cstheme="minorHAnsi"/>
          <w:sz w:val="22"/>
          <w:szCs w:val="28"/>
        </w:rPr>
        <w:t xml:space="preserve"> is constrained as follows:</w:t>
      </w:r>
    </w:p>
    <w:p w14:paraId="13529985" w14:textId="77777777" w:rsidR="001179CD" w:rsidRDefault="001179CD" w:rsidP="001179CD">
      <w:pPr>
        <w:pStyle w:val="ListParagraph"/>
        <w:numPr>
          <w:ilvl w:val="2"/>
          <w:numId w:val="15"/>
        </w:numPr>
        <w:ind w:leftChars="0"/>
        <w:rPr>
          <w:rFonts w:asciiTheme="minorHAnsi" w:hAnsiTheme="minorHAnsi" w:cstheme="minorHAnsi"/>
          <w:sz w:val="22"/>
          <w:szCs w:val="28"/>
        </w:rPr>
      </w:pPr>
      <w:r w:rsidRPr="00CE1F38">
        <w:rPr>
          <w:rFonts w:asciiTheme="minorHAnsi" w:hAnsiTheme="minorHAnsi" w:cstheme="minorHAnsi"/>
          <w:sz w:val="22"/>
          <w:szCs w:val="28"/>
        </w:rPr>
        <w:t>within an observation period of 50 ms, the number of Short Control Signalling Transmissions by the equipment shall be equal to or less than 50; and</w:t>
      </w:r>
    </w:p>
    <w:p w14:paraId="62D83585" w14:textId="50D8B900" w:rsidR="001179CD" w:rsidRPr="00CE1F38" w:rsidRDefault="001179CD" w:rsidP="001179CD">
      <w:pPr>
        <w:pStyle w:val="ListParagraph"/>
        <w:numPr>
          <w:ilvl w:val="2"/>
          <w:numId w:val="15"/>
        </w:numPr>
        <w:ind w:leftChars="0"/>
        <w:rPr>
          <w:rFonts w:asciiTheme="minorHAnsi" w:hAnsiTheme="minorHAnsi" w:cstheme="minorHAnsi"/>
          <w:sz w:val="22"/>
          <w:szCs w:val="28"/>
        </w:rPr>
      </w:pPr>
      <w:r w:rsidRPr="007761F6">
        <w:rPr>
          <w:rFonts w:asciiTheme="minorHAnsi" w:hAnsiTheme="minorHAnsi" w:cstheme="minorHAnsi"/>
          <w:sz w:val="22"/>
          <w:szCs w:val="28"/>
        </w:rPr>
        <w:t>the total duration of the equipment's Short Control Signalling Transmissions shall be less than 2</w:t>
      </w:r>
      <w:r w:rsidR="00990545">
        <w:rPr>
          <w:rFonts w:asciiTheme="minorHAnsi" w:hAnsiTheme="minorHAnsi" w:cstheme="minorHAnsi"/>
          <w:sz w:val="22"/>
          <w:szCs w:val="28"/>
        </w:rPr>
        <w:t xml:space="preserve"> </w:t>
      </w:r>
      <w:r w:rsidRPr="007761F6">
        <w:rPr>
          <w:rFonts w:asciiTheme="minorHAnsi" w:hAnsiTheme="minorHAnsi" w:cstheme="minorHAnsi"/>
          <w:sz w:val="22"/>
          <w:szCs w:val="28"/>
        </w:rPr>
        <w:t>500 µs within said observation period.</w:t>
      </w:r>
    </w:p>
    <w:p w14:paraId="47A0F1D5" w14:textId="77777777" w:rsidR="00586F88" w:rsidRPr="00E44C8F" w:rsidRDefault="00586F88" w:rsidP="00586F88">
      <w:pPr>
        <w:pStyle w:val="Heading2"/>
      </w:pPr>
      <w:r w:rsidRPr="00E44C8F">
        <w:t>Channel access mechanisms</w:t>
      </w:r>
    </w:p>
    <w:p w14:paraId="046A621B" w14:textId="2F526279" w:rsidR="00586F88" w:rsidRPr="00834623" w:rsidRDefault="00586F88" w:rsidP="00B0780D">
      <w:pPr>
        <w:pStyle w:val="ListParagraph"/>
        <w:numPr>
          <w:ilvl w:val="0"/>
          <w:numId w:val="15"/>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 xml:space="preserve">Type 1 </w:t>
      </w:r>
      <w:r w:rsidR="00DC471C">
        <w:rPr>
          <w:rFonts w:asciiTheme="minorHAnsi" w:hAnsiTheme="minorHAnsi" w:cstheme="minorHAnsi"/>
          <w:b/>
          <w:bCs/>
          <w:sz w:val="22"/>
          <w:szCs w:val="28"/>
          <w:u w:val="single"/>
        </w:rPr>
        <w:t>channel access procedure</w:t>
      </w:r>
      <w:r w:rsidR="00BE77B4">
        <w:rPr>
          <w:rFonts w:asciiTheme="minorHAnsi" w:hAnsiTheme="minorHAnsi" w:cstheme="minorHAnsi"/>
          <w:b/>
          <w:bCs/>
          <w:sz w:val="22"/>
          <w:szCs w:val="28"/>
          <w:u w:val="single"/>
        </w:rPr>
        <w:t xml:space="preserve"> </w:t>
      </w:r>
      <w:r w:rsidR="00451220">
        <w:rPr>
          <w:rFonts w:asciiTheme="minorHAnsi" w:hAnsiTheme="minorHAnsi" w:cstheme="minorHAnsi"/>
          <w:b/>
          <w:bCs/>
          <w:sz w:val="22"/>
          <w:szCs w:val="28"/>
          <w:u w:val="single"/>
        </w:rPr>
        <w:t>(</w:t>
      </w:r>
      <w:r w:rsidR="00731336">
        <w:rPr>
          <w:rFonts w:asciiTheme="minorHAnsi" w:hAnsiTheme="minorHAnsi" w:cstheme="minorHAnsi"/>
          <w:b/>
          <w:bCs/>
          <w:sz w:val="22"/>
          <w:szCs w:val="28"/>
          <w:u w:val="single"/>
        </w:rPr>
        <w:t>long</w:t>
      </w:r>
      <w:r w:rsidR="00451220">
        <w:rPr>
          <w:rFonts w:asciiTheme="minorHAnsi" w:hAnsiTheme="minorHAnsi" w:cstheme="minorHAnsi"/>
          <w:b/>
          <w:bCs/>
          <w:sz w:val="22"/>
          <w:szCs w:val="28"/>
          <w:u w:val="single"/>
        </w:rPr>
        <w:t xml:space="preserve"> LBT)</w:t>
      </w:r>
    </w:p>
    <w:p w14:paraId="39F37B7A" w14:textId="783409AB" w:rsidR="00B01238" w:rsidRDefault="00B01238" w:rsidP="00A07423">
      <w:pPr>
        <w:pStyle w:val="ListParagraph"/>
        <w:numPr>
          <w:ilvl w:val="1"/>
          <w:numId w:val="15"/>
        </w:numPr>
        <w:ind w:leftChars="0"/>
        <w:jc w:val="both"/>
        <w:rPr>
          <w:rFonts w:asciiTheme="minorHAnsi" w:hAnsiTheme="minorHAnsi" w:cstheme="minorHAnsi"/>
          <w:color w:val="000000" w:themeColor="text1"/>
          <w:sz w:val="22"/>
          <w:szCs w:val="28"/>
        </w:rPr>
      </w:pPr>
      <w:r w:rsidRPr="00B01238">
        <w:rPr>
          <w:rFonts w:asciiTheme="minorHAnsi" w:hAnsiTheme="minorHAnsi" w:cstheme="minorHAnsi"/>
          <w:color w:val="000000" w:themeColor="text1"/>
          <w:sz w:val="22"/>
          <w:szCs w:val="28"/>
        </w:rPr>
        <w:t>Baseline channel access mechanism, mainly used for initiating a COT</w:t>
      </w:r>
    </w:p>
    <w:p w14:paraId="7F63DD3A" w14:textId="77825C26" w:rsidR="00B01238" w:rsidRDefault="00B01238" w:rsidP="00A07423">
      <w:pPr>
        <w:pStyle w:val="ListParagraph"/>
        <w:numPr>
          <w:ilvl w:val="1"/>
          <w:numId w:val="15"/>
        </w:numPr>
        <w:ind w:leftChars="0"/>
        <w:jc w:val="both"/>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Applicable SL channels/signals:</w:t>
      </w:r>
    </w:p>
    <w:p w14:paraId="6FEA8B58" w14:textId="35E6AB6D" w:rsidR="00B01238" w:rsidRPr="001E5BBA" w:rsidRDefault="00B01238" w:rsidP="00A07423">
      <w:pPr>
        <w:pStyle w:val="ListParagraph"/>
        <w:numPr>
          <w:ilvl w:val="2"/>
          <w:numId w:val="15"/>
        </w:numPr>
        <w:ind w:leftChars="0"/>
        <w:jc w:val="both"/>
        <w:rPr>
          <w:rFonts w:asciiTheme="minorHAnsi" w:hAnsiTheme="minorHAnsi" w:cstheme="minorHAnsi"/>
          <w:color w:val="000000" w:themeColor="text1"/>
          <w:sz w:val="22"/>
          <w:szCs w:val="28"/>
          <w:lang w:val="de-DE"/>
        </w:rPr>
      </w:pPr>
      <w:r w:rsidRPr="001E5BBA">
        <w:rPr>
          <w:rFonts w:asciiTheme="minorHAnsi" w:hAnsiTheme="minorHAnsi" w:cstheme="minorHAnsi"/>
          <w:color w:val="000000" w:themeColor="text1"/>
          <w:sz w:val="22"/>
          <w:szCs w:val="28"/>
          <w:lang w:val="de-DE"/>
        </w:rPr>
        <w:t>PSCCH/</w:t>
      </w:r>
      <w:r w:rsidRPr="001E5BBA">
        <w:rPr>
          <w:rFonts w:asciiTheme="minorHAnsi" w:hAnsiTheme="minorHAnsi" w:cstheme="minorHAnsi"/>
          <w:sz w:val="22"/>
          <w:szCs w:val="28"/>
          <w:lang w:val="de-DE"/>
        </w:rPr>
        <w:t>PSSCH: [</w:t>
      </w:r>
      <w:r w:rsidR="00657FA4" w:rsidRPr="001E5BBA">
        <w:rPr>
          <w:rFonts w:asciiTheme="minorHAnsi" w:hAnsiTheme="minorHAnsi" w:cstheme="minorHAnsi"/>
          <w:sz w:val="22"/>
          <w:szCs w:val="28"/>
          <w:lang w:val="de-DE"/>
        </w:rPr>
        <w:t>22/LGE</w:t>
      </w:r>
      <w:r w:rsidRPr="001E5BBA">
        <w:rPr>
          <w:rFonts w:asciiTheme="minorHAnsi" w:hAnsiTheme="minorHAnsi" w:cstheme="minorHAnsi"/>
          <w:sz w:val="22"/>
          <w:szCs w:val="28"/>
          <w:lang w:val="de-DE"/>
        </w:rPr>
        <w:t xml:space="preserve">], </w:t>
      </w:r>
      <w:r w:rsidR="00466359" w:rsidRPr="001E5BBA">
        <w:rPr>
          <w:rFonts w:asciiTheme="minorHAnsi" w:hAnsiTheme="minorHAnsi" w:cstheme="minorHAnsi"/>
          <w:sz w:val="22"/>
          <w:szCs w:val="28"/>
          <w:lang w:val="de-DE"/>
        </w:rPr>
        <w:t>[7/ZTE, SC]</w:t>
      </w:r>
      <w:r w:rsidR="00872400" w:rsidRPr="001E5BBA">
        <w:rPr>
          <w:rFonts w:asciiTheme="minorHAnsi" w:hAnsiTheme="minorHAnsi" w:cstheme="minorHAnsi"/>
          <w:sz w:val="22"/>
          <w:szCs w:val="28"/>
          <w:lang w:val="de-DE"/>
        </w:rPr>
        <w:t xml:space="preserve">, </w:t>
      </w:r>
      <w:r w:rsidR="00BC644A" w:rsidRPr="001E5BBA">
        <w:rPr>
          <w:rFonts w:asciiTheme="minorHAnsi" w:hAnsiTheme="minorHAnsi" w:cstheme="minorHAnsi"/>
          <w:sz w:val="22"/>
          <w:szCs w:val="28"/>
          <w:lang w:val="de-DE"/>
        </w:rPr>
        <w:t>[13/Sony]</w:t>
      </w:r>
      <w:r w:rsidR="00D72277" w:rsidRPr="001E5BBA">
        <w:rPr>
          <w:rFonts w:asciiTheme="minorHAnsi" w:hAnsiTheme="minorHAnsi" w:cstheme="minorHAnsi"/>
          <w:sz w:val="22"/>
          <w:szCs w:val="28"/>
          <w:lang w:val="de-DE"/>
        </w:rPr>
        <w:t xml:space="preserve">, </w:t>
      </w:r>
      <w:r w:rsidR="00466359" w:rsidRPr="001E5BBA">
        <w:rPr>
          <w:rFonts w:asciiTheme="minorHAnsi" w:hAnsiTheme="minorHAnsi" w:cstheme="minorHAnsi"/>
          <w:sz w:val="22"/>
          <w:szCs w:val="28"/>
          <w:lang w:val="de-DE"/>
        </w:rPr>
        <w:t>[8/OPPO]</w:t>
      </w:r>
      <w:r w:rsidRPr="001E5BBA">
        <w:rPr>
          <w:rFonts w:asciiTheme="minorHAnsi" w:hAnsiTheme="minorHAnsi" w:cstheme="minorHAnsi"/>
          <w:sz w:val="22"/>
          <w:szCs w:val="28"/>
          <w:lang w:val="de-DE"/>
        </w:rPr>
        <w:t xml:space="preserve">, </w:t>
      </w:r>
      <w:r w:rsidR="00BC644A" w:rsidRPr="001E5BBA">
        <w:rPr>
          <w:rFonts w:asciiTheme="minorHAnsi" w:hAnsiTheme="minorHAnsi" w:cstheme="minorHAnsi"/>
          <w:sz w:val="22"/>
          <w:szCs w:val="28"/>
          <w:lang w:val="de-DE"/>
        </w:rPr>
        <w:t>[14/NEC]</w:t>
      </w:r>
      <w:r w:rsidR="00411C0F" w:rsidRPr="001E5BBA">
        <w:rPr>
          <w:rFonts w:asciiTheme="minorHAnsi" w:hAnsiTheme="minorHAnsi" w:cstheme="minorHAnsi"/>
          <w:sz w:val="22"/>
          <w:szCs w:val="28"/>
          <w:lang w:val="de-DE"/>
        </w:rPr>
        <w:t>,</w:t>
      </w:r>
      <w:r w:rsidR="00EB4B84" w:rsidRPr="001E5BBA">
        <w:rPr>
          <w:rFonts w:asciiTheme="minorHAnsi" w:hAnsiTheme="minorHAnsi" w:cstheme="minorHAnsi"/>
          <w:sz w:val="22"/>
          <w:szCs w:val="28"/>
          <w:lang w:val="de-DE"/>
        </w:rPr>
        <w:t xml:space="preserve"> </w:t>
      </w:r>
      <w:r w:rsidR="00B70434" w:rsidRPr="001E5BBA">
        <w:rPr>
          <w:rFonts w:asciiTheme="minorHAnsi" w:hAnsiTheme="minorHAnsi" w:cstheme="minorHAnsi"/>
          <w:sz w:val="22"/>
          <w:szCs w:val="28"/>
          <w:lang w:val="de-DE"/>
        </w:rPr>
        <w:t>[</w:t>
      </w:r>
      <w:r w:rsidR="00263C76" w:rsidRPr="001E5BBA">
        <w:rPr>
          <w:rFonts w:asciiTheme="minorHAnsi" w:hAnsiTheme="minorHAnsi" w:cstheme="minorHAnsi"/>
          <w:sz w:val="22"/>
          <w:szCs w:val="28"/>
          <w:lang w:val="de-DE"/>
        </w:rPr>
        <w:t>36/</w:t>
      </w:r>
      <w:r w:rsidR="00263C76" w:rsidRPr="001E5BBA">
        <w:rPr>
          <w:rFonts w:asciiTheme="minorHAnsi" w:hAnsiTheme="minorHAnsi" w:cstheme="minorHAnsi"/>
          <w:color w:val="000000" w:themeColor="text1"/>
          <w:sz w:val="22"/>
          <w:szCs w:val="28"/>
          <w:lang w:val="de-DE"/>
        </w:rPr>
        <w:t>E///</w:t>
      </w:r>
      <w:r w:rsidR="00B70434" w:rsidRPr="001E5BBA">
        <w:rPr>
          <w:rFonts w:asciiTheme="minorHAnsi" w:hAnsiTheme="minorHAnsi" w:cstheme="minorHAnsi"/>
          <w:color w:val="000000" w:themeColor="text1"/>
          <w:sz w:val="22"/>
          <w:szCs w:val="28"/>
          <w:lang w:val="de-DE"/>
        </w:rPr>
        <w:t>]</w:t>
      </w:r>
      <w:r w:rsidR="00F85202" w:rsidRPr="001E5BBA">
        <w:rPr>
          <w:rFonts w:asciiTheme="minorHAnsi" w:hAnsiTheme="minorHAnsi" w:cstheme="minorHAnsi"/>
          <w:color w:val="000000" w:themeColor="text1"/>
          <w:sz w:val="22"/>
          <w:szCs w:val="28"/>
          <w:lang w:val="de-DE"/>
        </w:rPr>
        <w:t xml:space="preserve">, </w:t>
      </w:r>
      <w:ins w:id="144" w:author="Noh Minseok" w:date="2022-10-11T17:55:00Z">
        <w:r w:rsidR="00F85202">
          <w:rPr>
            <w:rFonts w:asciiTheme="minorHAnsi" w:hAnsiTheme="minorHAnsi" w:cstheme="minorHAnsi"/>
            <w:color w:val="000000" w:themeColor="text1"/>
            <w:sz w:val="22"/>
            <w:szCs w:val="28"/>
            <w:lang w:val="it-IT"/>
          </w:rPr>
          <w:t>[37,WILUS]</w:t>
        </w:r>
      </w:ins>
    </w:p>
    <w:p w14:paraId="13F0A2E3" w14:textId="550717C8" w:rsidR="00B01238" w:rsidRPr="001E5BBA" w:rsidRDefault="00B01238" w:rsidP="00A07423">
      <w:pPr>
        <w:pStyle w:val="ListParagraph"/>
        <w:numPr>
          <w:ilvl w:val="2"/>
          <w:numId w:val="15"/>
        </w:numPr>
        <w:ind w:leftChars="0"/>
        <w:jc w:val="both"/>
        <w:rPr>
          <w:rFonts w:asciiTheme="minorHAnsi" w:hAnsiTheme="minorHAnsi" w:cstheme="minorHAnsi"/>
          <w:color w:val="000000" w:themeColor="text1"/>
          <w:sz w:val="22"/>
          <w:szCs w:val="28"/>
          <w:lang w:val="de-DE"/>
        </w:rPr>
      </w:pPr>
      <w:r w:rsidRPr="001E5BBA">
        <w:rPr>
          <w:rFonts w:asciiTheme="minorHAnsi" w:hAnsiTheme="minorHAnsi" w:cstheme="minorHAnsi"/>
          <w:color w:val="000000" w:themeColor="text1"/>
          <w:sz w:val="22"/>
          <w:szCs w:val="28"/>
          <w:lang w:val="de-DE"/>
        </w:rPr>
        <w:t>PSFCH</w:t>
      </w:r>
      <w:r w:rsidRPr="001E5BBA">
        <w:rPr>
          <w:rFonts w:asciiTheme="minorHAnsi" w:hAnsiTheme="minorHAnsi" w:cstheme="minorHAnsi"/>
          <w:sz w:val="22"/>
          <w:szCs w:val="28"/>
          <w:lang w:val="de-DE"/>
        </w:rPr>
        <w:t xml:space="preserve">: </w:t>
      </w:r>
      <w:r w:rsidR="00466359" w:rsidRPr="001E5BBA">
        <w:rPr>
          <w:rFonts w:asciiTheme="minorHAnsi" w:hAnsiTheme="minorHAnsi" w:cstheme="minorHAnsi"/>
          <w:sz w:val="22"/>
          <w:szCs w:val="28"/>
          <w:lang w:val="de-DE"/>
        </w:rPr>
        <w:t>[7/ZTE, SC]</w:t>
      </w:r>
      <w:r w:rsidR="00872400" w:rsidRPr="001E5BBA">
        <w:rPr>
          <w:rFonts w:asciiTheme="minorHAnsi" w:hAnsiTheme="minorHAnsi" w:cstheme="minorHAnsi"/>
          <w:sz w:val="22"/>
          <w:szCs w:val="28"/>
          <w:lang w:val="de-DE"/>
        </w:rPr>
        <w:t xml:space="preserve">, </w:t>
      </w:r>
      <w:r w:rsidR="00D72277" w:rsidRPr="001E5BBA">
        <w:rPr>
          <w:rFonts w:asciiTheme="minorHAnsi" w:hAnsiTheme="minorHAnsi" w:cstheme="minorHAnsi"/>
          <w:sz w:val="22"/>
          <w:szCs w:val="28"/>
          <w:lang w:val="de-DE"/>
        </w:rPr>
        <w:t>[1</w:t>
      </w:r>
      <w:r w:rsidR="001342E1" w:rsidRPr="001E5BBA">
        <w:rPr>
          <w:rFonts w:asciiTheme="minorHAnsi" w:hAnsiTheme="minorHAnsi" w:cstheme="minorHAnsi"/>
          <w:sz w:val="22"/>
          <w:szCs w:val="28"/>
          <w:lang w:val="de-DE"/>
        </w:rPr>
        <w:t>3</w:t>
      </w:r>
      <w:r w:rsidR="00D72277" w:rsidRPr="001E5BBA">
        <w:rPr>
          <w:rFonts w:asciiTheme="minorHAnsi" w:hAnsiTheme="minorHAnsi" w:cstheme="minorHAnsi"/>
          <w:sz w:val="22"/>
          <w:szCs w:val="28"/>
          <w:lang w:val="de-DE"/>
        </w:rPr>
        <w:t xml:space="preserve">/Sony, </w:t>
      </w:r>
      <w:r w:rsidR="00BC644A" w:rsidRPr="001E5BBA">
        <w:rPr>
          <w:rFonts w:asciiTheme="minorHAnsi" w:hAnsiTheme="minorHAnsi" w:cstheme="minorHAnsi"/>
          <w:sz w:val="22"/>
          <w:szCs w:val="28"/>
          <w:lang w:val="de-DE"/>
        </w:rPr>
        <w:t>18/Lenovo</w:t>
      </w:r>
      <w:r w:rsidR="00DB3832" w:rsidRPr="001E5BBA">
        <w:rPr>
          <w:rFonts w:asciiTheme="minorHAnsi" w:hAnsiTheme="minorHAnsi" w:cstheme="minorHAnsi"/>
          <w:sz w:val="22"/>
          <w:szCs w:val="28"/>
          <w:lang w:val="de-DE"/>
        </w:rPr>
        <w:t>,</w:t>
      </w:r>
      <w:r w:rsidR="006D6169" w:rsidRPr="001E5BBA">
        <w:rPr>
          <w:rFonts w:asciiTheme="minorHAnsi" w:hAnsiTheme="minorHAnsi" w:cstheme="minorHAnsi"/>
          <w:sz w:val="22"/>
          <w:szCs w:val="28"/>
          <w:lang w:val="de-DE"/>
        </w:rPr>
        <w:t xml:space="preserve"> </w:t>
      </w:r>
      <w:r w:rsidR="00965A9B" w:rsidRPr="001E5BBA">
        <w:rPr>
          <w:rFonts w:asciiTheme="minorHAnsi" w:hAnsiTheme="minorHAnsi" w:cstheme="minorHAnsi"/>
          <w:sz w:val="22"/>
          <w:szCs w:val="28"/>
          <w:lang w:val="de-DE"/>
        </w:rPr>
        <w:t>19/CMCC,</w:t>
      </w:r>
      <w:r w:rsidR="00965A9B" w:rsidRPr="001E5BBA">
        <w:rPr>
          <w:rFonts w:asciiTheme="minorHAnsi" w:hAnsiTheme="minorHAnsi" w:cstheme="minorHAnsi"/>
          <w:color w:val="FF0000"/>
          <w:sz w:val="22"/>
          <w:szCs w:val="28"/>
          <w:lang w:val="de-DE"/>
        </w:rPr>
        <w:t xml:space="preserve"> </w:t>
      </w:r>
      <w:r w:rsidR="007B2CAB" w:rsidRPr="001E5BBA">
        <w:rPr>
          <w:rFonts w:asciiTheme="minorHAnsi" w:hAnsiTheme="minorHAnsi" w:cstheme="minorHAnsi"/>
          <w:sz w:val="22"/>
          <w:szCs w:val="28"/>
          <w:lang w:val="de-DE"/>
        </w:rPr>
        <w:t>31/Panasonic</w:t>
      </w:r>
      <w:r w:rsidRPr="001E5BBA">
        <w:rPr>
          <w:rFonts w:asciiTheme="minorHAnsi" w:hAnsiTheme="minorHAnsi" w:cstheme="minorHAnsi"/>
          <w:sz w:val="22"/>
          <w:szCs w:val="28"/>
          <w:lang w:val="de-DE"/>
        </w:rPr>
        <w:t>]</w:t>
      </w:r>
      <w:r w:rsidR="00AB2AA7" w:rsidRPr="001E5BBA">
        <w:rPr>
          <w:rFonts w:asciiTheme="minorHAnsi" w:hAnsiTheme="minorHAnsi" w:cstheme="minorHAnsi"/>
          <w:sz w:val="22"/>
          <w:szCs w:val="28"/>
          <w:lang w:val="de-DE"/>
        </w:rPr>
        <w:t xml:space="preserve"> </w:t>
      </w:r>
      <w:r w:rsidR="00965A9B" w:rsidRPr="001E5BBA">
        <w:rPr>
          <w:rFonts w:asciiTheme="minorHAnsi" w:hAnsiTheme="minorHAnsi" w:cstheme="minorHAnsi"/>
          <w:sz w:val="22"/>
          <w:szCs w:val="28"/>
          <w:lang w:val="de-DE"/>
        </w:rPr>
        <w:t>(</w:t>
      </w:r>
      <m:oMath>
        <m:r>
          <w:rPr>
            <w:rFonts w:ascii="Cambria Math" w:hAnsi="Cambria Math"/>
          </w:rPr>
          <m:t>p</m:t>
        </m:r>
        <m:r>
          <w:rPr>
            <w:rFonts w:ascii="Cambria Math" w:hAnsi="Cambria Math"/>
            <w:lang w:val="de-DE"/>
          </w:rPr>
          <m:t>=1</m:t>
        </m:r>
      </m:oMath>
      <w:r w:rsidR="00965A9B" w:rsidRPr="001E5BBA">
        <w:rPr>
          <w:rFonts w:asciiTheme="minorHAnsi" w:hAnsiTheme="minorHAnsi" w:cstheme="minorHAnsi"/>
          <w:sz w:val="22"/>
          <w:szCs w:val="28"/>
          <w:lang w:val="de-DE"/>
        </w:rPr>
        <w:t>)</w:t>
      </w:r>
      <w:r w:rsidR="00EB4B84" w:rsidRPr="001E5BBA">
        <w:rPr>
          <w:rFonts w:asciiTheme="minorHAnsi" w:hAnsiTheme="minorHAnsi" w:cstheme="minorHAnsi"/>
          <w:sz w:val="22"/>
          <w:szCs w:val="28"/>
          <w:lang w:val="de-DE"/>
        </w:rPr>
        <w:t>,</w:t>
      </w:r>
      <w:r w:rsidR="00EB4B84" w:rsidRPr="001E5BBA">
        <w:rPr>
          <w:rFonts w:asciiTheme="minorHAnsi" w:hAnsiTheme="minorHAnsi" w:cstheme="minorHAnsi"/>
          <w:color w:val="FF0000"/>
          <w:sz w:val="22"/>
          <w:szCs w:val="28"/>
          <w:lang w:val="de-DE"/>
        </w:rPr>
        <w:t xml:space="preserve"> </w:t>
      </w:r>
      <w:r w:rsidR="00BC644A" w:rsidRPr="001E5BBA">
        <w:rPr>
          <w:rFonts w:asciiTheme="minorHAnsi" w:hAnsiTheme="minorHAnsi" w:cstheme="minorHAnsi"/>
          <w:sz w:val="22"/>
          <w:szCs w:val="28"/>
          <w:lang w:val="de-DE"/>
        </w:rPr>
        <w:t>[14/NEC]</w:t>
      </w:r>
      <w:r w:rsidR="00411C0F" w:rsidRPr="001E5BBA">
        <w:rPr>
          <w:rFonts w:asciiTheme="minorHAnsi" w:hAnsiTheme="minorHAnsi" w:cstheme="minorHAnsi"/>
          <w:sz w:val="22"/>
          <w:szCs w:val="28"/>
          <w:lang w:val="de-DE"/>
        </w:rPr>
        <w:t xml:space="preserve">, </w:t>
      </w:r>
      <w:r w:rsidR="00BC644A" w:rsidRPr="001E5BBA">
        <w:rPr>
          <w:rFonts w:asciiTheme="minorHAnsi" w:hAnsiTheme="minorHAnsi" w:cstheme="minorHAnsi"/>
          <w:sz w:val="22"/>
          <w:szCs w:val="28"/>
          <w:lang w:val="de-DE"/>
        </w:rPr>
        <w:t>[17/xiaomi]</w:t>
      </w:r>
    </w:p>
    <w:p w14:paraId="764474E6" w14:textId="79810F19" w:rsidR="00B01238" w:rsidRPr="00B01238" w:rsidRDefault="00B01238" w:rsidP="00A07423">
      <w:pPr>
        <w:pStyle w:val="ListParagraph"/>
        <w:numPr>
          <w:ilvl w:val="2"/>
          <w:numId w:val="15"/>
        </w:numPr>
        <w:ind w:leftChars="0"/>
        <w:jc w:val="both"/>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S-</w:t>
      </w:r>
      <w:r w:rsidRPr="001342E1">
        <w:rPr>
          <w:rFonts w:asciiTheme="minorHAnsi" w:hAnsiTheme="minorHAnsi" w:cstheme="minorHAnsi"/>
          <w:sz w:val="22"/>
          <w:szCs w:val="28"/>
        </w:rPr>
        <w:t xml:space="preserve">SSB: </w:t>
      </w:r>
      <w:r w:rsidR="00BC644A" w:rsidRPr="001342E1">
        <w:rPr>
          <w:rFonts w:asciiTheme="minorHAnsi" w:hAnsiTheme="minorHAnsi" w:cstheme="minorHAnsi"/>
          <w:sz w:val="22"/>
          <w:szCs w:val="28"/>
        </w:rPr>
        <w:t>[13/Sony]</w:t>
      </w:r>
      <w:r w:rsidR="00F3095F" w:rsidRPr="001342E1">
        <w:rPr>
          <w:rFonts w:asciiTheme="minorHAnsi" w:hAnsiTheme="minorHAnsi" w:cstheme="minorHAnsi"/>
          <w:sz w:val="22"/>
          <w:szCs w:val="28"/>
        </w:rPr>
        <w:t xml:space="preserve">, </w:t>
      </w:r>
      <w:r w:rsidR="00BC644A" w:rsidRPr="001342E1">
        <w:rPr>
          <w:rFonts w:asciiTheme="minorHAnsi" w:hAnsiTheme="minorHAnsi" w:cstheme="minorHAnsi"/>
          <w:sz w:val="22"/>
          <w:szCs w:val="28"/>
        </w:rPr>
        <w:t>[14</w:t>
      </w:r>
      <w:r w:rsidR="00BC644A" w:rsidRPr="005752B9">
        <w:rPr>
          <w:rFonts w:asciiTheme="minorHAnsi" w:hAnsiTheme="minorHAnsi" w:cstheme="minorHAnsi"/>
          <w:sz w:val="22"/>
          <w:szCs w:val="28"/>
        </w:rPr>
        <w:t>/NEC]</w:t>
      </w:r>
      <w:r w:rsidR="006D6169" w:rsidRPr="005752B9">
        <w:rPr>
          <w:rFonts w:asciiTheme="minorHAnsi" w:hAnsiTheme="minorHAnsi" w:cstheme="minorHAnsi"/>
          <w:sz w:val="22"/>
          <w:szCs w:val="28"/>
        </w:rPr>
        <w:t xml:space="preserve">, </w:t>
      </w:r>
      <w:r w:rsidR="006D6169" w:rsidRPr="00965A9B">
        <w:rPr>
          <w:rFonts w:asciiTheme="minorHAnsi" w:hAnsiTheme="minorHAnsi" w:cstheme="minorHAnsi"/>
          <w:sz w:val="22"/>
          <w:szCs w:val="28"/>
        </w:rPr>
        <w:t>[</w:t>
      </w:r>
      <w:r w:rsidR="00965A9B" w:rsidRPr="00965A9B">
        <w:rPr>
          <w:rFonts w:asciiTheme="minorHAnsi" w:hAnsiTheme="minorHAnsi" w:cstheme="minorHAnsi"/>
          <w:sz w:val="22"/>
          <w:szCs w:val="28"/>
        </w:rPr>
        <w:t>19/CMCC,</w:t>
      </w:r>
      <w:r w:rsidR="00965A9B">
        <w:rPr>
          <w:rFonts w:asciiTheme="minorHAnsi" w:hAnsiTheme="minorHAnsi" w:cstheme="minorHAnsi"/>
          <w:color w:val="FF0000"/>
          <w:sz w:val="22"/>
          <w:szCs w:val="28"/>
        </w:rPr>
        <w:t xml:space="preserve"> </w:t>
      </w:r>
      <w:r w:rsidR="007B2CAB" w:rsidRPr="006C0175">
        <w:rPr>
          <w:rFonts w:asciiTheme="minorHAnsi" w:hAnsiTheme="minorHAnsi" w:cstheme="minorHAnsi"/>
          <w:sz w:val="22"/>
          <w:szCs w:val="28"/>
        </w:rPr>
        <w:t>25/Apple</w:t>
      </w:r>
      <w:r w:rsidR="009C60B7">
        <w:rPr>
          <w:rFonts w:asciiTheme="minorHAnsi" w:hAnsiTheme="minorHAnsi" w:cstheme="minorHAnsi"/>
          <w:sz w:val="22"/>
          <w:szCs w:val="28"/>
        </w:rPr>
        <w:t>, 31/Panasonic</w:t>
      </w:r>
      <w:r w:rsidR="006D6169" w:rsidRPr="00965A9B">
        <w:rPr>
          <w:rFonts w:asciiTheme="minorHAnsi" w:hAnsiTheme="minorHAnsi" w:cstheme="minorHAnsi"/>
          <w:sz w:val="22"/>
          <w:szCs w:val="28"/>
        </w:rPr>
        <w:t>]</w:t>
      </w:r>
      <w:r w:rsidR="006D6169" w:rsidRPr="00990545">
        <w:rPr>
          <w:rFonts w:asciiTheme="minorHAnsi" w:hAnsiTheme="minorHAnsi" w:cstheme="minorHAnsi"/>
          <w:color w:val="FF0000"/>
          <w:sz w:val="22"/>
          <w:szCs w:val="28"/>
        </w:rPr>
        <w:t xml:space="preserve"> </w:t>
      </w:r>
      <w:r w:rsidR="006D6169" w:rsidRPr="00965A9B">
        <w:rPr>
          <w:rFonts w:asciiTheme="minorHAnsi" w:hAnsiTheme="minorHAnsi" w:cstheme="minorHAnsi"/>
          <w:sz w:val="22"/>
          <w:szCs w:val="28"/>
        </w:rPr>
        <w:t>(</w:t>
      </w:r>
      <m:oMath>
        <m:r>
          <w:rPr>
            <w:rFonts w:ascii="Cambria Math" w:hAnsi="Cambria Math"/>
          </w:rPr>
          <m:t>p=1</m:t>
        </m:r>
      </m:oMath>
      <w:r w:rsidR="006D6169" w:rsidRPr="00C36024">
        <w:rPr>
          <w:rFonts w:asciiTheme="minorHAnsi" w:hAnsiTheme="minorHAnsi" w:cstheme="minorHAnsi"/>
          <w:sz w:val="22"/>
          <w:szCs w:val="28"/>
        </w:rPr>
        <w:t>)</w:t>
      </w:r>
      <w:r w:rsidR="00965A9B" w:rsidRPr="00C36024">
        <w:rPr>
          <w:rFonts w:asciiTheme="minorHAnsi" w:hAnsiTheme="minorHAnsi" w:cstheme="minorHAnsi"/>
          <w:sz w:val="22"/>
          <w:szCs w:val="28"/>
        </w:rPr>
        <w:t>, [32/DCM]</w:t>
      </w:r>
    </w:p>
    <w:p w14:paraId="24D6DF35" w14:textId="4F9565A5" w:rsidR="007A2E3A" w:rsidRPr="00A60929" w:rsidRDefault="00466359" w:rsidP="00A07423">
      <w:pPr>
        <w:pStyle w:val="ListParagraph"/>
        <w:numPr>
          <w:ilvl w:val="1"/>
          <w:numId w:val="15"/>
        </w:numPr>
        <w:ind w:leftChars="0"/>
        <w:jc w:val="both"/>
        <w:rPr>
          <w:rFonts w:asciiTheme="minorHAnsi" w:hAnsiTheme="minorHAnsi" w:cstheme="minorHAnsi"/>
          <w:sz w:val="22"/>
          <w:szCs w:val="28"/>
        </w:rPr>
      </w:pPr>
      <w:r w:rsidRPr="00A60929">
        <w:rPr>
          <w:rFonts w:asciiTheme="minorHAnsi" w:hAnsiTheme="minorHAnsi" w:cstheme="minorHAnsi"/>
          <w:sz w:val="22"/>
          <w:szCs w:val="28"/>
        </w:rPr>
        <w:t>[6/vivo]</w:t>
      </w:r>
      <w:r w:rsidR="007A2E3A" w:rsidRPr="00A60929">
        <w:rPr>
          <w:rFonts w:asciiTheme="minorHAnsi" w:hAnsiTheme="minorHAnsi" w:cstheme="minorHAnsi"/>
          <w:sz w:val="22"/>
          <w:szCs w:val="28"/>
        </w:rPr>
        <w:t xml:space="preserve">: When UE detects the gap between the end of LBT procedure and the start of the SL transmission resource, the UE </w:t>
      </w:r>
      <w:r w:rsidR="007A2E3A" w:rsidRPr="00A60929">
        <w:rPr>
          <w:rFonts w:asciiTheme="minorHAnsi" w:hAnsiTheme="minorHAnsi" w:cstheme="minorHAnsi"/>
          <w:sz w:val="22"/>
          <w:szCs w:val="28"/>
          <w:u w:val="single"/>
        </w:rPr>
        <w:t>apply a 25us deferred LBT</w:t>
      </w:r>
      <w:r w:rsidR="007A2E3A" w:rsidRPr="00A60929">
        <w:rPr>
          <w:rFonts w:asciiTheme="minorHAnsi" w:hAnsiTheme="minorHAnsi" w:cstheme="minorHAnsi"/>
          <w:sz w:val="22"/>
          <w:szCs w:val="28"/>
        </w:rPr>
        <w:t xml:space="preserve"> before the SL transmission resource.</w:t>
      </w:r>
    </w:p>
    <w:p w14:paraId="0D2A3ACC" w14:textId="5C4FE555" w:rsidR="00900EDB" w:rsidRPr="00A60929" w:rsidRDefault="00E7580E" w:rsidP="00A07423">
      <w:pPr>
        <w:pStyle w:val="ListParagraph"/>
        <w:numPr>
          <w:ilvl w:val="1"/>
          <w:numId w:val="15"/>
        </w:numPr>
        <w:ind w:leftChars="0"/>
        <w:jc w:val="both"/>
        <w:rPr>
          <w:rFonts w:asciiTheme="minorHAnsi" w:hAnsiTheme="minorHAnsi" w:cstheme="minorHAnsi"/>
          <w:sz w:val="22"/>
          <w:szCs w:val="28"/>
        </w:rPr>
      </w:pPr>
      <w:r w:rsidRPr="00A60929">
        <w:rPr>
          <w:rFonts w:asciiTheme="minorHAnsi" w:hAnsiTheme="minorHAnsi" w:cstheme="minorHAnsi"/>
          <w:sz w:val="22"/>
          <w:szCs w:val="28"/>
        </w:rPr>
        <w:t>[</w:t>
      </w:r>
      <w:r w:rsidR="00193849">
        <w:rPr>
          <w:rFonts w:asciiTheme="minorHAnsi" w:hAnsiTheme="minorHAnsi" w:cstheme="minorHAnsi"/>
          <w:sz w:val="22"/>
          <w:szCs w:val="28"/>
        </w:rPr>
        <w:t>9</w:t>
      </w:r>
      <w:r w:rsidRPr="00A60929">
        <w:rPr>
          <w:rFonts w:asciiTheme="minorHAnsi" w:hAnsiTheme="minorHAnsi" w:cstheme="minorHAnsi"/>
          <w:sz w:val="22"/>
          <w:szCs w:val="28"/>
        </w:rPr>
        <w:t>/CATT, GH]</w:t>
      </w:r>
      <w:r w:rsidR="003A012B" w:rsidRPr="00A60929">
        <w:rPr>
          <w:rFonts w:asciiTheme="minorHAnsi" w:hAnsiTheme="minorHAnsi" w:cstheme="minorHAnsi"/>
          <w:sz w:val="22"/>
          <w:szCs w:val="28"/>
        </w:rPr>
        <w:t xml:space="preserve">: </w:t>
      </w:r>
    </w:p>
    <w:p w14:paraId="1805EDB2" w14:textId="3410BF38" w:rsidR="00374A2B" w:rsidRPr="00A60929" w:rsidRDefault="00A60929" w:rsidP="00A07423">
      <w:pPr>
        <w:pStyle w:val="ListParagraph"/>
        <w:numPr>
          <w:ilvl w:val="2"/>
          <w:numId w:val="15"/>
        </w:numPr>
        <w:ind w:leftChars="0"/>
        <w:jc w:val="both"/>
        <w:rPr>
          <w:rFonts w:asciiTheme="minorHAnsi" w:hAnsiTheme="minorHAnsi" w:cstheme="minorHAnsi"/>
          <w:sz w:val="22"/>
          <w:szCs w:val="28"/>
        </w:rPr>
      </w:pPr>
      <w:r w:rsidRPr="00A60929">
        <w:rPr>
          <w:rFonts w:asciiTheme="minorHAnsi" w:hAnsiTheme="minorHAnsi" w:cstheme="minorHAnsi"/>
          <w:sz w:val="22"/>
          <w:szCs w:val="28"/>
        </w:rPr>
        <w:t xml:space="preserve">In order to avoid the LBT failure due to uncertain gap between the success time of Type 1 channel access and the corresponding transmission, it is preferred to introduce a </w:t>
      </w:r>
      <w:r w:rsidRPr="00A60929">
        <w:rPr>
          <w:rFonts w:asciiTheme="minorHAnsi" w:hAnsiTheme="minorHAnsi" w:cstheme="minorHAnsi"/>
          <w:sz w:val="22"/>
          <w:szCs w:val="28"/>
          <w:u w:val="single"/>
        </w:rPr>
        <w:t>channel occupancy extension transmission</w:t>
      </w:r>
      <w:r w:rsidRPr="00A60929">
        <w:rPr>
          <w:rFonts w:asciiTheme="minorHAnsi" w:hAnsiTheme="minorHAnsi" w:cstheme="minorHAnsi"/>
          <w:sz w:val="22"/>
          <w:szCs w:val="28"/>
        </w:rPr>
        <w:t xml:space="preserve"> before the starting time of the corresponding transmission resource. The maximum duration of the channel occupancy extension needs to be further studied.</w:t>
      </w:r>
    </w:p>
    <w:p w14:paraId="511A9DD8" w14:textId="4A5341E4" w:rsidR="00C03B30" w:rsidRPr="00C03B30" w:rsidRDefault="00C03B30" w:rsidP="00A07423">
      <w:pPr>
        <w:pStyle w:val="ListParagraph"/>
        <w:numPr>
          <w:ilvl w:val="1"/>
          <w:numId w:val="15"/>
        </w:numPr>
        <w:ind w:leftChars="0"/>
        <w:jc w:val="both"/>
        <w:rPr>
          <w:rFonts w:asciiTheme="minorHAnsi" w:hAnsiTheme="minorHAnsi" w:cstheme="minorHAnsi"/>
          <w:sz w:val="22"/>
          <w:szCs w:val="28"/>
        </w:rPr>
      </w:pPr>
      <w:r w:rsidRPr="00C03B30">
        <w:rPr>
          <w:rFonts w:asciiTheme="minorHAnsi" w:hAnsiTheme="minorHAnsi" w:cstheme="minorHAnsi"/>
          <w:sz w:val="22"/>
          <w:szCs w:val="28"/>
        </w:rPr>
        <w:t>[25/Apple]: Type 1 channel access procedure can start any time after traffic arrival at the buffer, depending on UE implementation. If the backoff counter N counts down to 0 before starting position of the SL transmission, the UE can start the transmission at the configured resource if the channel has been sensed to be idle in T</w:t>
      </w:r>
      <w:r w:rsidRPr="00C03B30">
        <w:rPr>
          <w:rFonts w:asciiTheme="minorHAnsi" w:hAnsiTheme="minorHAnsi" w:cstheme="minorHAnsi"/>
          <w:sz w:val="22"/>
          <w:szCs w:val="28"/>
          <w:vertAlign w:val="subscript"/>
        </w:rPr>
        <w:t>sl</w:t>
      </w:r>
      <w:r w:rsidRPr="00C03B30">
        <w:rPr>
          <w:rFonts w:asciiTheme="minorHAnsi" w:hAnsiTheme="minorHAnsi" w:cstheme="minorHAnsi"/>
          <w:sz w:val="22"/>
          <w:szCs w:val="28"/>
        </w:rPr>
        <w:t xml:space="preserve"> and during all the slot durations of a defer duration </w:t>
      </w:r>
      <w:r w:rsidRPr="00C03B30">
        <w:rPr>
          <w:rFonts w:ascii="Cambria Math" w:hAnsi="Cambria Math" w:cs="Cambria Math"/>
          <w:sz w:val="22"/>
          <w:szCs w:val="28"/>
        </w:rPr>
        <w:t>𝑇</w:t>
      </w:r>
      <w:r w:rsidRPr="00C03B30">
        <w:rPr>
          <w:rFonts w:asciiTheme="minorHAnsi" w:hAnsiTheme="minorHAnsi" w:cstheme="minorHAnsi"/>
          <w:sz w:val="22"/>
          <w:szCs w:val="28"/>
          <w:vertAlign w:val="subscript"/>
        </w:rPr>
        <w:t>d</w:t>
      </w:r>
      <w:r w:rsidRPr="00C03B30">
        <w:rPr>
          <w:rFonts w:asciiTheme="minorHAnsi" w:hAnsiTheme="minorHAnsi" w:cstheme="minorHAnsi"/>
          <w:sz w:val="22"/>
          <w:szCs w:val="28"/>
        </w:rPr>
        <w:t xml:space="preserve"> immediately before the transmission.</w:t>
      </w:r>
    </w:p>
    <w:p w14:paraId="5742158A" w14:textId="561A25BA" w:rsidR="00A72300" w:rsidRDefault="00A72300" w:rsidP="00B0780D">
      <w:pPr>
        <w:pStyle w:val="ListParagraph"/>
        <w:numPr>
          <w:ilvl w:val="0"/>
          <w:numId w:val="15"/>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Channel access procedure for S-SSB</w:t>
      </w:r>
    </w:p>
    <w:p w14:paraId="44264276" w14:textId="76B1EA98" w:rsidR="00A72300" w:rsidRDefault="00A72300" w:rsidP="003B5D3E">
      <w:pPr>
        <w:pStyle w:val="ListParagraph"/>
        <w:numPr>
          <w:ilvl w:val="1"/>
          <w:numId w:val="15"/>
        </w:numPr>
        <w:ind w:leftChars="0"/>
        <w:rPr>
          <w:rFonts w:asciiTheme="minorHAnsi" w:hAnsiTheme="minorHAnsi" w:cstheme="minorHAnsi"/>
          <w:sz w:val="22"/>
          <w:szCs w:val="28"/>
        </w:rPr>
      </w:pPr>
      <w:r>
        <w:rPr>
          <w:rFonts w:asciiTheme="minorHAnsi" w:hAnsiTheme="minorHAnsi" w:cstheme="minorHAnsi"/>
          <w:sz w:val="22"/>
          <w:szCs w:val="28"/>
        </w:rPr>
        <w:t xml:space="preserve">Alt. 1: </w:t>
      </w:r>
      <w:r w:rsidRPr="00A72300">
        <w:rPr>
          <w:rFonts w:asciiTheme="minorHAnsi" w:hAnsiTheme="minorHAnsi" w:cstheme="minorHAnsi"/>
          <w:sz w:val="22"/>
          <w:szCs w:val="28"/>
        </w:rPr>
        <w:t>Type 2A channel access subject to a duty cycle constraint of at most 1/20 regardless of a shared channel occupancy</w:t>
      </w:r>
      <w:r>
        <w:rPr>
          <w:rFonts w:asciiTheme="minorHAnsi" w:hAnsiTheme="minorHAnsi" w:cstheme="minorHAnsi"/>
          <w:sz w:val="22"/>
          <w:szCs w:val="28"/>
        </w:rPr>
        <w:t xml:space="preserve"> </w:t>
      </w:r>
      <w:r w:rsidR="00670E9B">
        <w:rPr>
          <w:rFonts w:asciiTheme="minorHAnsi" w:hAnsiTheme="minorHAnsi" w:cstheme="minorHAnsi"/>
          <w:sz w:val="22"/>
          <w:szCs w:val="28"/>
        </w:rPr>
        <w:t>(same as NR-U) or the ETSI constrains</w:t>
      </w:r>
    </w:p>
    <w:p w14:paraId="537A4097" w14:textId="025948D1" w:rsidR="00A72300" w:rsidRPr="00A72300" w:rsidRDefault="00B573A5" w:rsidP="00A72300">
      <w:pPr>
        <w:pStyle w:val="ListParagraph"/>
        <w:numPr>
          <w:ilvl w:val="2"/>
          <w:numId w:val="15"/>
        </w:numPr>
        <w:ind w:leftChars="0"/>
        <w:rPr>
          <w:rFonts w:asciiTheme="minorHAnsi" w:hAnsiTheme="minorHAnsi" w:cstheme="minorHAnsi"/>
          <w:sz w:val="22"/>
          <w:szCs w:val="28"/>
        </w:rPr>
      </w:pPr>
      <w:r>
        <w:rPr>
          <w:rFonts w:asciiTheme="minorHAnsi" w:hAnsiTheme="minorHAnsi" w:cstheme="minorHAnsi"/>
          <w:color w:val="000000" w:themeColor="text1"/>
          <w:sz w:val="22"/>
          <w:szCs w:val="28"/>
        </w:rPr>
        <w:t>[6/vivo],</w:t>
      </w:r>
      <w:r>
        <w:rPr>
          <w:rFonts w:asciiTheme="minorHAnsi" w:hAnsiTheme="minorHAnsi" w:cstheme="minorHAnsi"/>
          <w:sz w:val="22"/>
          <w:szCs w:val="28"/>
        </w:rPr>
        <w:t xml:space="preserve"> </w:t>
      </w:r>
      <w:r w:rsidR="00232F49">
        <w:rPr>
          <w:rFonts w:asciiTheme="minorHAnsi" w:hAnsiTheme="minorHAnsi" w:cstheme="minorHAnsi"/>
          <w:sz w:val="22"/>
          <w:szCs w:val="28"/>
        </w:rPr>
        <w:t xml:space="preserve">[7/ZTE, SC], </w:t>
      </w:r>
      <w:r w:rsidR="00F432F2" w:rsidRPr="00A60929">
        <w:rPr>
          <w:rFonts w:asciiTheme="minorHAnsi" w:hAnsiTheme="minorHAnsi" w:cstheme="minorHAnsi"/>
          <w:sz w:val="22"/>
          <w:szCs w:val="28"/>
        </w:rPr>
        <w:t>[</w:t>
      </w:r>
      <w:r w:rsidR="00F432F2">
        <w:rPr>
          <w:rFonts w:asciiTheme="minorHAnsi" w:hAnsiTheme="minorHAnsi" w:cstheme="minorHAnsi"/>
          <w:sz w:val="22"/>
          <w:szCs w:val="28"/>
        </w:rPr>
        <w:t>9</w:t>
      </w:r>
      <w:r w:rsidR="00F432F2" w:rsidRPr="00A60929">
        <w:rPr>
          <w:rFonts w:asciiTheme="minorHAnsi" w:hAnsiTheme="minorHAnsi" w:cstheme="minorHAnsi"/>
          <w:sz w:val="22"/>
          <w:szCs w:val="28"/>
        </w:rPr>
        <w:t>/CATT, GH]</w:t>
      </w:r>
      <w:r w:rsidR="00F432F2">
        <w:rPr>
          <w:rFonts w:asciiTheme="minorHAnsi" w:hAnsiTheme="minorHAnsi" w:cstheme="minorHAnsi"/>
          <w:sz w:val="22"/>
          <w:szCs w:val="28"/>
        </w:rPr>
        <w:t xml:space="preserve">, </w:t>
      </w:r>
      <w:r w:rsidR="00B73F7D">
        <w:rPr>
          <w:rFonts w:asciiTheme="minorHAnsi" w:hAnsiTheme="minorHAnsi" w:cstheme="minorHAnsi"/>
          <w:sz w:val="22"/>
          <w:szCs w:val="28"/>
        </w:rPr>
        <w:t xml:space="preserve">[11/Intel] (not multiplex with other channels), </w:t>
      </w:r>
      <w:r w:rsidR="001342E1">
        <w:rPr>
          <w:rFonts w:asciiTheme="minorHAnsi" w:hAnsiTheme="minorHAnsi" w:cstheme="minorHAnsi"/>
          <w:sz w:val="22"/>
          <w:szCs w:val="28"/>
        </w:rPr>
        <w:t xml:space="preserve">[13/Sony], </w:t>
      </w:r>
      <w:r w:rsidR="002D7C75" w:rsidRPr="00E449A8">
        <w:rPr>
          <w:rFonts w:asciiTheme="minorHAnsi" w:hAnsiTheme="minorHAnsi" w:cstheme="minorHAnsi"/>
          <w:sz w:val="22"/>
          <w:szCs w:val="28"/>
        </w:rPr>
        <w:t>[14/NEC]</w:t>
      </w:r>
      <w:r w:rsidR="002D7C75">
        <w:rPr>
          <w:rFonts w:asciiTheme="minorHAnsi" w:hAnsiTheme="minorHAnsi" w:cstheme="minorHAnsi"/>
          <w:sz w:val="22"/>
          <w:szCs w:val="28"/>
        </w:rPr>
        <w:t>,</w:t>
      </w:r>
      <w:r w:rsidR="002D7C75">
        <w:rPr>
          <w:rFonts w:asciiTheme="minorHAnsi" w:hAnsiTheme="minorHAnsi" w:cstheme="minorHAnsi"/>
          <w:color w:val="000000" w:themeColor="text1"/>
          <w:sz w:val="22"/>
          <w:szCs w:val="28"/>
        </w:rPr>
        <w:t xml:space="preserve"> </w:t>
      </w:r>
      <w:r w:rsidR="00E51051" w:rsidRPr="00044B62">
        <w:rPr>
          <w:rFonts w:asciiTheme="minorHAnsi" w:hAnsiTheme="minorHAnsi" w:cstheme="minorHAnsi"/>
          <w:sz w:val="22"/>
          <w:szCs w:val="28"/>
        </w:rPr>
        <w:t>[15/Transsion]</w:t>
      </w:r>
      <w:r w:rsidR="00E51051">
        <w:rPr>
          <w:rFonts w:asciiTheme="minorHAnsi" w:hAnsiTheme="minorHAnsi" w:cstheme="minorHAnsi"/>
          <w:sz w:val="22"/>
          <w:szCs w:val="28"/>
        </w:rPr>
        <w:t>,</w:t>
      </w:r>
      <w:r w:rsidR="00E51051">
        <w:rPr>
          <w:rFonts w:asciiTheme="minorHAnsi" w:hAnsiTheme="minorHAnsi" w:cstheme="minorHAnsi"/>
          <w:color w:val="000000" w:themeColor="text1"/>
          <w:sz w:val="22"/>
          <w:szCs w:val="28"/>
        </w:rPr>
        <w:t xml:space="preserve"> </w:t>
      </w:r>
      <w:r w:rsidR="003B1BD9">
        <w:rPr>
          <w:rFonts w:asciiTheme="minorHAnsi" w:hAnsiTheme="minorHAnsi" w:cstheme="minorHAnsi"/>
          <w:color w:val="000000" w:themeColor="text1"/>
          <w:sz w:val="22"/>
          <w:szCs w:val="28"/>
        </w:rPr>
        <w:t xml:space="preserve">[17/xiaomi], </w:t>
      </w:r>
      <w:r w:rsidR="00965A9B">
        <w:rPr>
          <w:rFonts w:asciiTheme="minorHAnsi" w:hAnsiTheme="minorHAnsi" w:cstheme="minorHAnsi"/>
          <w:color w:val="000000" w:themeColor="text1"/>
          <w:sz w:val="22"/>
          <w:szCs w:val="28"/>
        </w:rPr>
        <w:t>[19/CMCC],</w:t>
      </w:r>
      <w:r w:rsidR="00965A9B" w:rsidRPr="00670E9B">
        <w:rPr>
          <w:rFonts w:asciiTheme="minorHAnsi" w:hAnsiTheme="minorHAnsi" w:cstheme="minorHAnsi"/>
          <w:sz w:val="22"/>
          <w:szCs w:val="28"/>
        </w:rPr>
        <w:t xml:space="preserve"> </w:t>
      </w:r>
      <w:r w:rsidR="00670E9B" w:rsidRPr="00670E9B">
        <w:rPr>
          <w:rFonts w:asciiTheme="minorHAnsi" w:hAnsiTheme="minorHAnsi" w:cstheme="minorHAnsi"/>
          <w:sz w:val="22"/>
          <w:szCs w:val="28"/>
        </w:rPr>
        <w:t>[22/LGE],</w:t>
      </w:r>
      <w:r w:rsidR="00670E9B">
        <w:rPr>
          <w:rFonts w:asciiTheme="minorHAnsi" w:hAnsiTheme="minorHAnsi" w:cstheme="minorHAnsi"/>
          <w:sz w:val="22"/>
          <w:szCs w:val="28"/>
        </w:rPr>
        <w:t xml:space="preserve"> </w:t>
      </w:r>
      <w:r w:rsidR="00C03B30">
        <w:rPr>
          <w:rFonts w:asciiTheme="minorHAnsi" w:hAnsiTheme="minorHAnsi" w:cstheme="minorHAnsi"/>
          <w:sz w:val="22"/>
          <w:szCs w:val="28"/>
        </w:rPr>
        <w:t xml:space="preserve">[25/Apple], </w:t>
      </w:r>
      <w:r w:rsidR="00C03B30" w:rsidRPr="00442485">
        <w:rPr>
          <w:rFonts w:asciiTheme="minorHAnsi" w:hAnsiTheme="minorHAnsi" w:cstheme="minorHAnsi"/>
          <w:sz w:val="22"/>
          <w:szCs w:val="28"/>
        </w:rPr>
        <w:t>[27/IDC]</w:t>
      </w:r>
      <w:r w:rsidR="00C03B30">
        <w:rPr>
          <w:rFonts w:asciiTheme="minorHAnsi" w:hAnsiTheme="minorHAnsi" w:cstheme="minorHAnsi"/>
          <w:sz w:val="22"/>
          <w:szCs w:val="28"/>
        </w:rPr>
        <w:t>,</w:t>
      </w:r>
      <w:r w:rsidR="00C03B30">
        <w:rPr>
          <w:rFonts w:asciiTheme="minorHAnsi" w:hAnsiTheme="minorHAnsi" w:cstheme="minorHAnsi"/>
          <w:color w:val="000000" w:themeColor="text1"/>
          <w:sz w:val="22"/>
          <w:szCs w:val="28"/>
        </w:rPr>
        <w:t xml:space="preserve"> </w:t>
      </w:r>
      <w:r w:rsidR="00605645">
        <w:rPr>
          <w:rFonts w:asciiTheme="minorHAnsi" w:hAnsiTheme="minorHAnsi" w:cstheme="minorHAnsi"/>
          <w:color w:val="000000" w:themeColor="text1"/>
          <w:sz w:val="22"/>
          <w:szCs w:val="28"/>
        </w:rPr>
        <w:t>[28/Samsung],</w:t>
      </w:r>
      <w:r w:rsidR="00605645">
        <w:rPr>
          <w:rFonts w:asciiTheme="minorHAnsi" w:hAnsiTheme="minorHAnsi" w:cstheme="minorHAnsi"/>
          <w:sz w:val="22"/>
          <w:szCs w:val="28"/>
        </w:rPr>
        <w:t xml:space="preserve"> </w:t>
      </w:r>
      <w:r w:rsidR="00642636">
        <w:rPr>
          <w:rFonts w:asciiTheme="minorHAnsi" w:hAnsiTheme="minorHAnsi" w:cstheme="minorHAnsi"/>
          <w:color w:val="000000" w:themeColor="text1"/>
          <w:sz w:val="22"/>
          <w:szCs w:val="28"/>
        </w:rPr>
        <w:t>[29/ITL],</w:t>
      </w:r>
      <w:r w:rsidR="00642636">
        <w:rPr>
          <w:rFonts w:asciiTheme="minorHAnsi" w:hAnsiTheme="minorHAnsi" w:cstheme="minorHAnsi"/>
          <w:sz w:val="22"/>
          <w:szCs w:val="28"/>
        </w:rPr>
        <w:t xml:space="preserve"> </w:t>
      </w:r>
      <w:r w:rsidR="009C60B7">
        <w:rPr>
          <w:rFonts w:asciiTheme="minorHAnsi" w:hAnsiTheme="minorHAnsi" w:cstheme="minorHAnsi"/>
          <w:sz w:val="22"/>
          <w:szCs w:val="28"/>
        </w:rPr>
        <w:t xml:space="preserve">[31/Panasonic], </w:t>
      </w:r>
      <w:r w:rsidR="00963B14">
        <w:rPr>
          <w:rFonts w:asciiTheme="minorHAnsi" w:hAnsiTheme="minorHAnsi" w:cstheme="minorHAnsi"/>
          <w:sz w:val="22"/>
          <w:szCs w:val="28"/>
        </w:rPr>
        <w:t xml:space="preserve">[32/DCM], </w:t>
      </w:r>
      <w:r w:rsidR="00A72300">
        <w:rPr>
          <w:rFonts w:asciiTheme="minorHAnsi" w:hAnsiTheme="minorHAnsi" w:cstheme="minorHAnsi"/>
          <w:sz w:val="22"/>
          <w:szCs w:val="28"/>
        </w:rPr>
        <w:t>[33/QC]</w:t>
      </w:r>
      <w:r w:rsidR="00F54773">
        <w:rPr>
          <w:rFonts w:asciiTheme="minorHAnsi" w:hAnsiTheme="minorHAnsi" w:cstheme="minorHAnsi"/>
          <w:sz w:val="22"/>
          <w:szCs w:val="28"/>
        </w:rPr>
        <w:t xml:space="preserve">, </w:t>
      </w:r>
      <w:r w:rsidR="00197B61">
        <w:rPr>
          <w:rFonts w:asciiTheme="minorHAnsi" w:hAnsiTheme="minorHAnsi" w:cstheme="minorHAnsi"/>
          <w:sz w:val="22"/>
          <w:szCs w:val="22"/>
        </w:rPr>
        <w:t>[35/BOSCH],</w:t>
      </w:r>
      <w:r w:rsidR="00197B61">
        <w:rPr>
          <w:rFonts w:asciiTheme="minorHAnsi" w:hAnsiTheme="minorHAnsi" w:cstheme="minorHAnsi"/>
          <w:sz w:val="22"/>
          <w:szCs w:val="28"/>
        </w:rPr>
        <w:t xml:space="preserve"> </w:t>
      </w:r>
      <w:r w:rsidR="00F54773">
        <w:rPr>
          <w:rFonts w:asciiTheme="minorHAnsi" w:hAnsiTheme="minorHAnsi" w:cstheme="minorHAnsi"/>
          <w:sz w:val="22"/>
          <w:szCs w:val="28"/>
        </w:rPr>
        <w:t>[36/E///]</w:t>
      </w:r>
    </w:p>
    <w:p w14:paraId="2DCAC528" w14:textId="56FA5A29" w:rsidR="005557F3" w:rsidRDefault="00A72300" w:rsidP="00A72300">
      <w:pPr>
        <w:pStyle w:val="ListParagraph"/>
        <w:numPr>
          <w:ilvl w:val="1"/>
          <w:numId w:val="15"/>
        </w:numPr>
        <w:spacing w:before="120"/>
        <w:ind w:leftChars="0"/>
        <w:rPr>
          <w:rFonts w:asciiTheme="minorHAnsi" w:hAnsiTheme="minorHAnsi" w:cstheme="minorHAnsi"/>
          <w:sz w:val="22"/>
          <w:szCs w:val="28"/>
        </w:rPr>
      </w:pPr>
      <w:r>
        <w:rPr>
          <w:rFonts w:asciiTheme="minorHAnsi" w:hAnsiTheme="minorHAnsi" w:cstheme="minorHAnsi"/>
          <w:sz w:val="22"/>
          <w:szCs w:val="28"/>
        </w:rPr>
        <w:t xml:space="preserve">Alt. 2: UE transmits S-SSB when </w:t>
      </w:r>
      <w:r w:rsidR="005557F3">
        <w:rPr>
          <w:rFonts w:asciiTheme="minorHAnsi" w:hAnsiTheme="minorHAnsi" w:cstheme="minorHAnsi"/>
          <w:sz w:val="22"/>
          <w:szCs w:val="28"/>
        </w:rPr>
        <w:t>the following two short control signalling constraints are met within an observation period of 50ms,</w:t>
      </w:r>
    </w:p>
    <w:p w14:paraId="53E82826" w14:textId="52E039DA" w:rsidR="00A72300" w:rsidRDefault="005557F3" w:rsidP="005557F3">
      <w:pPr>
        <w:pStyle w:val="ListParagraph"/>
        <w:numPr>
          <w:ilvl w:val="2"/>
          <w:numId w:val="15"/>
        </w:numPr>
        <w:ind w:leftChars="0"/>
        <w:rPr>
          <w:rFonts w:asciiTheme="minorHAnsi" w:hAnsiTheme="minorHAnsi" w:cstheme="minorHAnsi"/>
          <w:sz w:val="22"/>
          <w:szCs w:val="28"/>
        </w:rPr>
      </w:pPr>
      <w:r>
        <w:rPr>
          <w:rFonts w:asciiTheme="minorHAnsi" w:hAnsiTheme="minorHAnsi" w:cstheme="minorHAnsi"/>
          <w:sz w:val="22"/>
          <w:szCs w:val="28"/>
        </w:rPr>
        <w:t>No.</w:t>
      </w:r>
      <w:r w:rsidRPr="005557F3">
        <w:rPr>
          <w:rFonts w:asciiTheme="minorHAnsi" w:hAnsiTheme="minorHAnsi" w:cstheme="minorHAnsi"/>
          <w:sz w:val="22"/>
          <w:szCs w:val="28"/>
        </w:rPr>
        <w:t xml:space="preserve"> of Short Control Signalling Transmissions </w:t>
      </w:r>
      <w:r>
        <w:rPr>
          <w:rFonts w:asciiTheme="minorHAnsi" w:hAnsiTheme="minorHAnsi" w:cstheme="minorHAnsi"/>
          <w:sz w:val="22"/>
          <w:szCs w:val="28"/>
        </w:rPr>
        <w:t xml:space="preserve">(SCSt) by the UE </w:t>
      </w:r>
      <w:r w:rsidRPr="005557F3">
        <w:rPr>
          <w:rFonts w:asciiTheme="minorHAnsi" w:hAnsiTheme="minorHAnsi" w:cstheme="minorHAnsi"/>
          <w:sz w:val="22"/>
          <w:szCs w:val="28"/>
        </w:rPr>
        <w:t>shall be equal to or less than 50</w:t>
      </w:r>
    </w:p>
    <w:p w14:paraId="647E7DAB" w14:textId="4D6AFB96" w:rsidR="005557F3" w:rsidRDefault="005557F3" w:rsidP="005557F3">
      <w:pPr>
        <w:pStyle w:val="ListParagraph"/>
        <w:numPr>
          <w:ilvl w:val="2"/>
          <w:numId w:val="15"/>
        </w:numPr>
        <w:ind w:leftChars="0"/>
        <w:rPr>
          <w:rFonts w:asciiTheme="minorHAnsi" w:hAnsiTheme="minorHAnsi" w:cstheme="minorHAnsi"/>
          <w:sz w:val="22"/>
          <w:szCs w:val="28"/>
        </w:rPr>
      </w:pPr>
      <w:r>
        <w:rPr>
          <w:rFonts w:asciiTheme="minorHAnsi" w:hAnsiTheme="minorHAnsi" w:cstheme="minorHAnsi"/>
          <w:sz w:val="22"/>
          <w:szCs w:val="28"/>
        </w:rPr>
        <w:t>T</w:t>
      </w:r>
      <w:r w:rsidRPr="005557F3">
        <w:rPr>
          <w:rFonts w:asciiTheme="minorHAnsi" w:hAnsiTheme="minorHAnsi" w:cstheme="minorHAnsi"/>
          <w:sz w:val="22"/>
          <w:szCs w:val="28"/>
        </w:rPr>
        <w:t xml:space="preserve">otal duration of the </w:t>
      </w:r>
      <w:r>
        <w:rPr>
          <w:rFonts w:asciiTheme="minorHAnsi" w:hAnsiTheme="minorHAnsi" w:cstheme="minorHAnsi"/>
          <w:sz w:val="22"/>
          <w:szCs w:val="28"/>
        </w:rPr>
        <w:t>UE’s</w:t>
      </w:r>
      <w:r w:rsidRPr="005557F3">
        <w:rPr>
          <w:rFonts w:asciiTheme="minorHAnsi" w:hAnsiTheme="minorHAnsi" w:cstheme="minorHAnsi"/>
          <w:sz w:val="22"/>
          <w:szCs w:val="28"/>
        </w:rPr>
        <w:t xml:space="preserve"> </w:t>
      </w:r>
      <w:r>
        <w:rPr>
          <w:rFonts w:asciiTheme="minorHAnsi" w:hAnsiTheme="minorHAnsi" w:cstheme="minorHAnsi"/>
          <w:sz w:val="22"/>
          <w:szCs w:val="28"/>
        </w:rPr>
        <w:t>SCSt</w:t>
      </w:r>
      <w:r w:rsidRPr="005557F3">
        <w:rPr>
          <w:rFonts w:asciiTheme="minorHAnsi" w:hAnsiTheme="minorHAnsi" w:cstheme="minorHAnsi"/>
          <w:sz w:val="22"/>
          <w:szCs w:val="28"/>
        </w:rPr>
        <w:t xml:space="preserve"> shall be less than 2</w:t>
      </w:r>
      <w:r w:rsidR="00AF5196">
        <w:rPr>
          <w:rFonts w:asciiTheme="minorHAnsi" w:hAnsiTheme="minorHAnsi" w:cstheme="minorHAnsi"/>
          <w:sz w:val="22"/>
          <w:szCs w:val="28"/>
        </w:rPr>
        <w:t xml:space="preserve"> </w:t>
      </w:r>
      <w:r w:rsidRPr="005557F3">
        <w:rPr>
          <w:rFonts w:asciiTheme="minorHAnsi" w:hAnsiTheme="minorHAnsi" w:cstheme="minorHAnsi"/>
          <w:sz w:val="22"/>
          <w:szCs w:val="28"/>
        </w:rPr>
        <w:t>5</w:t>
      </w:r>
      <w:r w:rsidR="00AF5196">
        <w:rPr>
          <w:rFonts w:asciiTheme="minorHAnsi" w:hAnsiTheme="minorHAnsi" w:cstheme="minorHAnsi"/>
          <w:sz w:val="22"/>
          <w:szCs w:val="28"/>
        </w:rPr>
        <w:t>00 µ</w:t>
      </w:r>
      <w:r w:rsidRPr="005557F3">
        <w:rPr>
          <w:rFonts w:asciiTheme="minorHAnsi" w:hAnsiTheme="minorHAnsi" w:cstheme="minorHAnsi"/>
          <w:sz w:val="22"/>
          <w:szCs w:val="28"/>
        </w:rPr>
        <w:t>s</w:t>
      </w:r>
    </w:p>
    <w:p w14:paraId="7BFA978E" w14:textId="5FAB9F1C" w:rsidR="005557F3" w:rsidRPr="008621E0" w:rsidRDefault="00AF5196" w:rsidP="005557F3">
      <w:pPr>
        <w:pStyle w:val="ListParagraph"/>
        <w:numPr>
          <w:ilvl w:val="2"/>
          <w:numId w:val="15"/>
        </w:numPr>
        <w:ind w:leftChars="0"/>
        <w:rPr>
          <w:rFonts w:asciiTheme="minorHAnsi" w:hAnsiTheme="minorHAnsi" w:cstheme="minorHAnsi"/>
          <w:sz w:val="22"/>
          <w:szCs w:val="28"/>
          <w:lang w:val="it-IT"/>
        </w:rPr>
      </w:pPr>
      <w:r w:rsidRPr="008621E0">
        <w:rPr>
          <w:rFonts w:asciiTheme="minorHAnsi" w:hAnsiTheme="minorHAnsi" w:cstheme="minorHAnsi"/>
          <w:sz w:val="22"/>
          <w:szCs w:val="28"/>
          <w:lang w:val="it-IT"/>
        </w:rPr>
        <w:t xml:space="preserve">[2/Nokia, NSB], </w:t>
      </w:r>
      <w:r w:rsidR="009875C5" w:rsidRPr="008621E0">
        <w:rPr>
          <w:rFonts w:asciiTheme="minorHAnsi" w:hAnsiTheme="minorHAnsi" w:cstheme="minorHAnsi"/>
          <w:sz w:val="22"/>
          <w:szCs w:val="28"/>
          <w:lang w:val="it-IT"/>
        </w:rPr>
        <w:t xml:space="preserve">[7/ZTE, SC], </w:t>
      </w:r>
      <w:r w:rsidR="005557F3" w:rsidRPr="008621E0">
        <w:rPr>
          <w:rFonts w:asciiTheme="minorHAnsi" w:hAnsiTheme="minorHAnsi" w:cstheme="minorHAnsi"/>
          <w:sz w:val="22"/>
          <w:szCs w:val="28"/>
          <w:lang w:val="it-IT"/>
        </w:rPr>
        <w:t>[8/OPPO]</w:t>
      </w:r>
      <w:r w:rsidR="005140FD" w:rsidRPr="008621E0">
        <w:rPr>
          <w:rFonts w:asciiTheme="minorHAnsi" w:hAnsiTheme="minorHAnsi" w:cstheme="minorHAnsi"/>
          <w:sz w:val="22"/>
          <w:szCs w:val="28"/>
          <w:lang w:val="it-IT"/>
        </w:rPr>
        <w:t xml:space="preserve">, </w:t>
      </w:r>
      <w:r w:rsidR="006F046D" w:rsidRPr="008621E0">
        <w:rPr>
          <w:rFonts w:asciiTheme="minorHAnsi" w:hAnsiTheme="minorHAnsi" w:cstheme="minorHAnsi"/>
          <w:sz w:val="22"/>
          <w:szCs w:val="28"/>
          <w:lang w:val="it-IT"/>
        </w:rPr>
        <w:t xml:space="preserve">[18/Lenovo], </w:t>
      </w:r>
      <w:r w:rsidR="005140FD" w:rsidRPr="008621E0">
        <w:rPr>
          <w:rFonts w:asciiTheme="minorHAnsi" w:hAnsiTheme="minorHAnsi" w:cstheme="minorHAnsi"/>
          <w:color w:val="000000" w:themeColor="text1"/>
          <w:sz w:val="22"/>
          <w:szCs w:val="28"/>
          <w:lang w:val="it-IT"/>
        </w:rPr>
        <w:t>[23/MediaTek]</w:t>
      </w:r>
    </w:p>
    <w:p w14:paraId="1B347682" w14:textId="751A5119" w:rsidR="00232F49" w:rsidRDefault="00232F49" w:rsidP="00513C1D">
      <w:pPr>
        <w:pStyle w:val="ListParagraph"/>
        <w:numPr>
          <w:ilvl w:val="1"/>
          <w:numId w:val="15"/>
        </w:numPr>
        <w:ind w:leftChars="0"/>
        <w:rPr>
          <w:rFonts w:asciiTheme="minorHAnsi" w:hAnsiTheme="minorHAnsi" w:cstheme="minorHAnsi"/>
          <w:sz w:val="22"/>
          <w:szCs w:val="28"/>
        </w:rPr>
      </w:pPr>
      <w:r>
        <w:rPr>
          <w:rFonts w:asciiTheme="minorHAnsi" w:hAnsiTheme="minorHAnsi" w:cstheme="minorHAnsi"/>
          <w:sz w:val="22"/>
          <w:szCs w:val="28"/>
        </w:rPr>
        <w:t>Alt. 3: Within a COT, Type 2A/2B/2C are used depending on the gap length</w:t>
      </w:r>
    </w:p>
    <w:p w14:paraId="1559FEF6" w14:textId="2B6B0B81" w:rsidR="00232F49" w:rsidRDefault="00232F49" w:rsidP="00232F49">
      <w:pPr>
        <w:pStyle w:val="ListParagraph"/>
        <w:numPr>
          <w:ilvl w:val="2"/>
          <w:numId w:val="15"/>
        </w:numPr>
        <w:ind w:leftChars="0"/>
        <w:rPr>
          <w:rFonts w:asciiTheme="minorHAnsi" w:hAnsiTheme="minorHAnsi" w:cstheme="minorHAnsi"/>
          <w:sz w:val="22"/>
          <w:szCs w:val="28"/>
        </w:rPr>
      </w:pPr>
      <w:r>
        <w:rPr>
          <w:rFonts w:asciiTheme="minorHAnsi" w:hAnsiTheme="minorHAnsi" w:cstheme="minorHAnsi"/>
          <w:sz w:val="22"/>
          <w:szCs w:val="28"/>
        </w:rPr>
        <w:t>[7/ZTE, SC]</w:t>
      </w:r>
    </w:p>
    <w:p w14:paraId="7AAAFF29" w14:textId="22DD3484" w:rsidR="005515BF" w:rsidRDefault="003B5D3E" w:rsidP="00513C1D">
      <w:pPr>
        <w:pStyle w:val="ListParagraph"/>
        <w:numPr>
          <w:ilvl w:val="1"/>
          <w:numId w:val="15"/>
        </w:numPr>
        <w:ind w:leftChars="0"/>
        <w:rPr>
          <w:rFonts w:asciiTheme="minorHAnsi" w:hAnsiTheme="minorHAnsi" w:cstheme="minorHAnsi"/>
          <w:sz w:val="22"/>
          <w:szCs w:val="28"/>
        </w:rPr>
      </w:pPr>
      <w:r>
        <w:rPr>
          <w:rFonts w:asciiTheme="minorHAnsi" w:hAnsiTheme="minorHAnsi" w:cstheme="minorHAnsi"/>
          <w:sz w:val="22"/>
          <w:szCs w:val="28"/>
        </w:rPr>
        <w:t xml:space="preserve">[2/Nokia, NSB]: </w:t>
      </w:r>
      <w:r w:rsidRPr="003B5D3E">
        <w:rPr>
          <w:rFonts w:asciiTheme="minorHAnsi" w:hAnsiTheme="minorHAnsi" w:cstheme="minorHAnsi"/>
          <w:sz w:val="22"/>
          <w:szCs w:val="28"/>
        </w:rPr>
        <w:t xml:space="preserve">In case only Type 1 LBT is used for </w:t>
      </w:r>
      <w:r w:rsidR="005515BF">
        <w:rPr>
          <w:rFonts w:asciiTheme="minorHAnsi" w:hAnsiTheme="minorHAnsi" w:cstheme="minorHAnsi"/>
          <w:sz w:val="22"/>
          <w:szCs w:val="28"/>
        </w:rPr>
        <w:t>S-SSB</w:t>
      </w:r>
      <w:r w:rsidRPr="003B5D3E">
        <w:rPr>
          <w:rFonts w:asciiTheme="minorHAnsi" w:hAnsiTheme="minorHAnsi" w:cstheme="minorHAnsi"/>
          <w:sz w:val="22"/>
          <w:szCs w:val="28"/>
        </w:rPr>
        <w:t>, the selected CAPC should be p=1.</w:t>
      </w:r>
    </w:p>
    <w:p w14:paraId="517222DD" w14:textId="76F38F2F" w:rsidR="009E5748" w:rsidRPr="00513C1D" w:rsidRDefault="009E5748" w:rsidP="00513C1D">
      <w:pPr>
        <w:pStyle w:val="ListParagraph"/>
        <w:numPr>
          <w:ilvl w:val="1"/>
          <w:numId w:val="15"/>
        </w:numPr>
        <w:ind w:leftChars="0"/>
        <w:rPr>
          <w:rFonts w:asciiTheme="minorHAnsi" w:hAnsiTheme="minorHAnsi" w:cstheme="minorHAnsi"/>
          <w:sz w:val="22"/>
          <w:szCs w:val="28"/>
        </w:rPr>
      </w:pPr>
      <w:r>
        <w:rPr>
          <w:rFonts w:asciiTheme="minorHAnsi" w:hAnsiTheme="minorHAnsi" w:cstheme="minorHAnsi"/>
          <w:sz w:val="22"/>
          <w:szCs w:val="28"/>
        </w:rPr>
        <w:lastRenderedPageBreak/>
        <w:t xml:space="preserve">[6/vivo]: </w:t>
      </w:r>
      <w:r w:rsidRPr="009E5748">
        <w:rPr>
          <w:rFonts w:asciiTheme="minorHAnsi" w:hAnsiTheme="minorHAnsi" w:cstheme="minorHAnsi"/>
          <w:sz w:val="22"/>
          <w:szCs w:val="28"/>
        </w:rPr>
        <w:t>When a UE is intended to transmit S-SSB, it can directly transmit S-SSBs on subsequent SSB candidates after detecting a S-SSB from another UE with the same synchronization reference.</w:t>
      </w:r>
    </w:p>
    <w:p w14:paraId="396468C6" w14:textId="13666398" w:rsidR="00A72300" w:rsidRDefault="00A72300" w:rsidP="00B0780D">
      <w:pPr>
        <w:pStyle w:val="ListParagraph"/>
        <w:numPr>
          <w:ilvl w:val="0"/>
          <w:numId w:val="15"/>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Channel access procedure for PSFCH</w:t>
      </w:r>
    </w:p>
    <w:p w14:paraId="0771232C" w14:textId="0D8F14AB" w:rsidR="001E45B4" w:rsidRDefault="001E45B4" w:rsidP="003B5D3E">
      <w:pPr>
        <w:pStyle w:val="ListParagraph"/>
        <w:numPr>
          <w:ilvl w:val="1"/>
          <w:numId w:val="15"/>
        </w:numPr>
        <w:ind w:leftChars="0"/>
        <w:rPr>
          <w:rFonts w:asciiTheme="minorHAnsi" w:hAnsiTheme="minorHAnsi" w:cstheme="minorHAnsi"/>
          <w:sz w:val="22"/>
          <w:szCs w:val="28"/>
        </w:rPr>
      </w:pPr>
      <w:r>
        <w:rPr>
          <w:rFonts w:asciiTheme="minorHAnsi" w:hAnsiTheme="minorHAnsi" w:cstheme="minorHAnsi"/>
          <w:sz w:val="22"/>
          <w:szCs w:val="28"/>
        </w:rPr>
        <w:t xml:space="preserve">Alt. 1: </w:t>
      </w:r>
      <w:r w:rsidR="00F03C3C" w:rsidRPr="00F03C3C">
        <w:rPr>
          <w:rFonts w:asciiTheme="minorHAnsi" w:hAnsiTheme="minorHAnsi" w:cstheme="minorHAnsi"/>
          <w:sz w:val="22"/>
          <w:szCs w:val="28"/>
        </w:rPr>
        <w:t>Type 1 channel access as baseline and Type 2 according to COT sharing rules, in the presence of a shared COT (</w:t>
      </w:r>
      <w:r w:rsidR="00D367D9">
        <w:rPr>
          <w:rFonts w:asciiTheme="minorHAnsi" w:hAnsiTheme="minorHAnsi" w:cstheme="minorHAnsi"/>
          <w:sz w:val="22"/>
          <w:szCs w:val="28"/>
        </w:rPr>
        <w:t>same as PSSCH/PSCCH</w:t>
      </w:r>
      <w:r w:rsidR="00F03C3C" w:rsidRPr="00F03C3C">
        <w:rPr>
          <w:rFonts w:asciiTheme="minorHAnsi" w:hAnsiTheme="minorHAnsi" w:cstheme="minorHAnsi"/>
          <w:sz w:val="22"/>
          <w:szCs w:val="28"/>
        </w:rPr>
        <w:t>)</w:t>
      </w:r>
    </w:p>
    <w:p w14:paraId="7E0BE874" w14:textId="697DBFD4" w:rsidR="001E45B4" w:rsidRPr="008621E0" w:rsidRDefault="00AF5196" w:rsidP="001E45B4">
      <w:pPr>
        <w:pStyle w:val="ListParagraph"/>
        <w:numPr>
          <w:ilvl w:val="2"/>
          <w:numId w:val="15"/>
        </w:numPr>
        <w:ind w:leftChars="0"/>
        <w:rPr>
          <w:rFonts w:asciiTheme="minorHAnsi" w:hAnsiTheme="minorHAnsi" w:cstheme="minorHAnsi"/>
          <w:sz w:val="22"/>
          <w:szCs w:val="28"/>
          <w:lang w:val="it-IT"/>
        </w:rPr>
      </w:pPr>
      <w:r w:rsidRPr="008621E0">
        <w:rPr>
          <w:rFonts w:asciiTheme="minorHAnsi" w:hAnsiTheme="minorHAnsi" w:cstheme="minorHAnsi"/>
          <w:sz w:val="22"/>
          <w:szCs w:val="28"/>
          <w:lang w:val="it-IT"/>
        </w:rPr>
        <w:t xml:space="preserve">[2/Nokia, NSB], </w:t>
      </w:r>
      <w:r w:rsidR="00F8024F" w:rsidRPr="008621E0">
        <w:rPr>
          <w:rFonts w:asciiTheme="minorHAnsi" w:hAnsiTheme="minorHAnsi" w:cstheme="minorHAnsi"/>
          <w:sz w:val="22"/>
          <w:szCs w:val="28"/>
          <w:lang w:val="it-IT"/>
        </w:rPr>
        <w:t xml:space="preserve">[7/ZTE, SC], </w:t>
      </w:r>
      <w:r w:rsidR="00E13354" w:rsidRPr="008621E0">
        <w:rPr>
          <w:rFonts w:asciiTheme="minorHAnsi" w:hAnsiTheme="minorHAnsi" w:cstheme="minorHAnsi"/>
          <w:color w:val="000000" w:themeColor="text1"/>
          <w:sz w:val="22"/>
          <w:szCs w:val="28"/>
          <w:lang w:val="it-IT"/>
        </w:rPr>
        <w:t xml:space="preserve">[17/xiaomi], </w:t>
      </w:r>
      <w:r w:rsidR="005140FD" w:rsidRPr="008621E0">
        <w:rPr>
          <w:rFonts w:asciiTheme="minorHAnsi" w:hAnsiTheme="minorHAnsi" w:cstheme="minorHAnsi"/>
          <w:color w:val="000000" w:themeColor="text1"/>
          <w:sz w:val="22"/>
          <w:szCs w:val="28"/>
          <w:lang w:val="it-IT"/>
        </w:rPr>
        <w:t>[23/MediaTek],</w:t>
      </w:r>
      <w:r w:rsidR="005140FD" w:rsidRPr="008621E0">
        <w:rPr>
          <w:rFonts w:asciiTheme="minorHAnsi" w:hAnsiTheme="minorHAnsi" w:cstheme="minorHAnsi"/>
          <w:sz w:val="22"/>
          <w:szCs w:val="28"/>
          <w:lang w:val="it-IT"/>
        </w:rPr>
        <w:t xml:space="preserve"> </w:t>
      </w:r>
      <w:r w:rsidR="00D367D9" w:rsidRPr="008621E0">
        <w:rPr>
          <w:rFonts w:asciiTheme="minorHAnsi" w:hAnsiTheme="minorHAnsi" w:cstheme="minorHAnsi"/>
          <w:sz w:val="22"/>
          <w:szCs w:val="28"/>
          <w:lang w:val="it-IT"/>
        </w:rPr>
        <w:t>[33/QC]</w:t>
      </w:r>
      <w:r w:rsidR="00310479" w:rsidRPr="008621E0">
        <w:rPr>
          <w:rFonts w:asciiTheme="minorHAnsi" w:hAnsiTheme="minorHAnsi" w:cstheme="minorHAnsi"/>
          <w:sz w:val="22"/>
          <w:szCs w:val="28"/>
          <w:lang w:val="it-IT"/>
        </w:rPr>
        <w:t>, [36/E///]</w:t>
      </w:r>
    </w:p>
    <w:p w14:paraId="140ED933" w14:textId="5E668415" w:rsidR="001E45B4" w:rsidRDefault="001E45B4" w:rsidP="00AF5196">
      <w:pPr>
        <w:pStyle w:val="ListParagraph"/>
        <w:numPr>
          <w:ilvl w:val="1"/>
          <w:numId w:val="15"/>
        </w:numPr>
        <w:spacing w:before="120"/>
        <w:ind w:leftChars="0"/>
        <w:rPr>
          <w:rFonts w:asciiTheme="minorHAnsi" w:hAnsiTheme="minorHAnsi" w:cstheme="minorHAnsi"/>
          <w:sz w:val="22"/>
          <w:szCs w:val="28"/>
        </w:rPr>
      </w:pPr>
      <w:r>
        <w:rPr>
          <w:rFonts w:asciiTheme="minorHAnsi" w:hAnsiTheme="minorHAnsi" w:cstheme="minorHAnsi"/>
          <w:sz w:val="22"/>
          <w:szCs w:val="28"/>
        </w:rPr>
        <w:t xml:space="preserve">Alt. 2: UE transmits </w:t>
      </w:r>
      <w:r w:rsidR="00D367D9">
        <w:rPr>
          <w:rFonts w:asciiTheme="minorHAnsi" w:hAnsiTheme="minorHAnsi" w:cstheme="minorHAnsi"/>
          <w:sz w:val="22"/>
          <w:szCs w:val="28"/>
        </w:rPr>
        <w:t>PSFCH</w:t>
      </w:r>
      <w:r>
        <w:rPr>
          <w:rFonts w:asciiTheme="minorHAnsi" w:hAnsiTheme="minorHAnsi" w:cstheme="minorHAnsi"/>
          <w:sz w:val="22"/>
          <w:szCs w:val="28"/>
        </w:rPr>
        <w:t xml:space="preserve"> when the following two short control signalling constraints are met within an observation period of 50ms,</w:t>
      </w:r>
    </w:p>
    <w:p w14:paraId="18AF27C3" w14:textId="77777777" w:rsidR="001E45B4" w:rsidRDefault="001E45B4" w:rsidP="008A2701">
      <w:pPr>
        <w:pStyle w:val="ListParagraph"/>
        <w:numPr>
          <w:ilvl w:val="2"/>
          <w:numId w:val="15"/>
        </w:numPr>
        <w:ind w:leftChars="0"/>
        <w:rPr>
          <w:rFonts w:asciiTheme="minorHAnsi" w:hAnsiTheme="minorHAnsi" w:cstheme="minorHAnsi"/>
          <w:sz w:val="22"/>
          <w:szCs w:val="28"/>
        </w:rPr>
      </w:pPr>
      <w:r>
        <w:rPr>
          <w:rFonts w:asciiTheme="minorHAnsi" w:hAnsiTheme="minorHAnsi" w:cstheme="minorHAnsi"/>
          <w:sz w:val="22"/>
          <w:szCs w:val="28"/>
        </w:rPr>
        <w:t>No.</w:t>
      </w:r>
      <w:r w:rsidRPr="005557F3">
        <w:rPr>
          <w:rFonts w:asciiTheme="minorHAnsi" w:hAnsiTheme="minorHAnsi" w:cstheme="minorHAnsi"/>
          <w:sz w:val="22"/>
          <w:szCs w:val="28"/>
        </w:rPr>
        <w:t xml:space="preserve"> of Short Control Signalling Transmissions </w:t>
      </w:r>
      <w:r>
        <w:rPr>
          <w:rFonts w:asciiTheme="minorHAnsi" w:hAnsiTheme="minorHAnsi" w:cstheme="minorHAnsi"/>
          <w:sz w:val="22"/>
          <w:szCs w:val="28"/>
        </w:rPr>
        <w:t xml:space="preserve">(SCSt) by the UE </w:t>
      </w:r>
      <w:r w:rsidRPr="005557F3">
        <w:rPr>
          <w:rFonts w:asciiTheme="minorHAnsi" w:hAnsiTheme="minorHAnsi" w:cstheme="minorHAnsi"/>
          <w:sz w:val="22"/>
          <w:szCs w:val="28"/>
        </w:rPr>
        <w:t>shall be equal to or less than 50</w:t>
      </w:r>
    </w:p>
    <w:p w14:paraId="12951A17" w14:textId="5ED58AA5" w:rsidR="001E45B4" w:rsidRDefault="001E45B4" w:rsidP="008A2701">
      <w:pPr>
        <w:pStyle w:val="ListParagraph"/>
        <w:numPr>
          <w:ilvl w:val="2"/>
          <w:numId w:val="15"/>
        </w:numPr>
        <w:ind w:leftChars="0"/>
        <w:rPr>
          <w:rFonts w:asciiTheme="minorHAnsi" w:hAnsiTheme="minorHAnsi" w:cstheme="minorHAnsi"/>
          <w:sz w:val="22"/>
          <w:szCs w:val="28"/>
        </w:rPr>
      </w:pPr>
      <w:r>
        <w:rPr>
          <w:rFonts w:asciiTheme="minorHAnsi" w:hAnsiTheme="minorHAnsi" w:cstheme="minorHAnsi"/>
          <w:sz w:val="22"/>
          <w:szCs w:val="28"/>
        </w:rPr>
        <w:t>T</w:t>
      </w:r>
      <w:r w:rsidRPr="005557F3">
        <w:rPr>
          <w:rFonts w:asciiTheme="minorHAnsi" w:hAnsiTheme="minorHAnsi" w:cstheme="minorHAnsi"/>
          <w:sz w:val="22"/>
          <w:szCs w:val="28"/>
        </w:rPr>
        <w:t xml:space="preserve">otal duration of the </w:t>
      </w:r>
      <w:r>
        <w:rPr>
          <w:rFonts w:asciiTheme="minorHAnsi" w:hAnsiTheme="minorHAnsi" w:cstheme="minorHAnsi"/>
          <w:sz w:val="22"/>
          <w:szCs w:val="28"/>
        </w:rPr>
        <w:t>UE’s</w:t>
      </w:r>
      <w:r w:rsidRPr="005557F3">
        <w:rPr>
          <w:rFonts w:asciiTheme="minorHAnsi" w:hAnsiTheme="minorHAnsi" w:cstheme="minorHAnsi"/>
          <w:sz w:val="22"/>
          <w:szCs w:val="28"/>
        </w:rPr>
        <w:t xml:space="preserve"> </w:t>
      </w:r>
      <w:r>
        <w:rPr>
          <w:rFonts w:asciiTheme="minorHAnsi" w:hAnsiTheme="minorHAnsi" w:cstheme="minorHAnsi"/>
          <w:sz w:val="22"/>
          <w:szCs w:val="28"/>
        </w:rPr>
        <w:t>SCSt</w:t>
      </w:r>
      <w:r w:rsidRPr="005557F3">
        <w:rPr>
          <w:rFonts w:asciiTheme="minorHAnsi" w:hAnsiTheme="minorHAnsi" w:cstheme="minorHAnsi"/>
          <w:sz w:val="22"/>
          <w:szCs w:val="28"/>
        </w:rPr>
        <w:t xml:space="preserve"> shall be less than </w:t>
      </w:r>
      <w:r w:rsidR="00AF5196" w:rsidRPr="005557F3">
        <w:rPr>
          <w:rFonts w:asciiTheme="minorHAnsi" w:hAnsiTheme="minorHAnsi" w:cstheme="minorHAnsi"/>
          <w:sz w:val="22"/>
          <w:szCs w:val="28"/>
        </w:rPr>
        <w:t>2</w:t>
      </w:r>
      <w:r w:rsidR="00AF5196">
        <w:rPr>
          <w:rFonts w:asciiTheme="minorHAnsi" w:hAnsiTheme="minorHAnsi" w:cstheme="minorHAnsi"/>
          <w:sz w:val="22"/>
          <w:szCs w:val="28"/>
        </w:rPr>
        <w:t xml:space="preserve"> </w:t>
      </w:r>
      <w:r w:rsidR="00AF5196" w:rsidRPr="005557F3">
        <w:rPr>
          <w:rFonts w:asciiTheme="minorHAnsi" w:hAnsiTheme="minorHAnsi" w:cstheme="minorHAnsi"/>
          <w:sz w:val="22"/>
          <w:szCs w:val="28"/>
        </w:rPr>
        <w:t>5</w:t>
      </w:r>
      <w:r w:rsidR="00AF5196">
        <w:rPr>
          <w:rFonts w:asciiTheme="minorHAnsi" w:hAnsiTheme="minorHAnsi" w:cstheme="minorHAnsi"/>
          <w:sz w:val="22"/>
          <w:szCs w:val="28"/>
        </w:rPr>
        <w:t>00 µ</w:t>
      </w:r>
      <w:r w:rsidR="00AF5196" w:rsidRPr="005557F3">
        <w:rPr>
          <w:rFonts w:asciiTheme="minorHAnsi" w:hAnsiTheme="minorHAnsi" w:cstheme="minorHAnsi"/>
          <w:sz w:val="22"/>
          <w:szCs w:val="28"/>
        </w:rPr>
        <w:t>s</w:t>
      </w:r>
    </w:p>
    <w:p w14:paraId="5A07821A" w14:textId="61CE3BF3" w:rsidR="00A72300" w:rsidRPr="00222214" w:rsidRDefault="00AF5196" w:rsidP="008A2701">
      <w:pPr>
        <w:pStyle w:val="ListParagraph"/>
        <w:numPr>
          <w:ilvl w:val="2"/>
          <w:numId w:val="15"/>
        </w:numPr>
        <w:ind w:leftChars="0"/>
        <w:rPr>
          <w:rFonts w:asciiTheme="minorHAnsi" w:hAnsiTheme="minorHAnsi" w:cstheme="minorHAnsi"/>
          <w:b/>
          <w:bCs/>
          <w:sz w:val="22"/>
          <w:szCs w:val="28"/>
          <w:u w:val="single"/>
        </w:rPr>
      </w:pPr>
      <w:r>
        <w:rPr>
          <w:rFonts w:asciiTheme="minorHAnsi" w:hAnsiTheme="minorHAnsi" w:cstheme="minorHAnsi"/>
          <w:sz w:val="22"/>
          <w:szCs w:val="28"/>
        </w:rPr>
        <w:t xml:space="preserve">[2/Nokia, NSB], </w:t>
      </w:r>
      <w:r w:rsidR="00232F49">
        <w:rPr>
          <w:rFonts w:asciiTheme="minorHAnsi" w:hAnsiTheme="minorHAnsi" w:cstheme="minorHAnsi"/>
          <w:sz w:val="22"/>
          <w:szCs w:val="28"/>
        </w:rPr>
        <w:t xml:space="preserve">[7/ZTE, SC] (partially), </w:t>
      </w:r>
      <w:r w:rsidR="001E45B4">
        <w:rPr>
          <w:rFonts w:asciiTheme="minorHAnsi" w:hAnsiTheme="minorHAnsi" w:cstheme="minorHAnsi"/>
          <w:sz w:val="22"/>
          <w:szCs w:val="28"/>
        </w:rPr>
        <w:t>[8/OPPO]</w:t>
      </w:r>
      <w:r w:rsidR="006F046D">
        <w:rPr>
          <w:rFonts w:asciiTheme="minorHAnsi" w:hAnsiTheme="minorHAnsi" w:cstheme="minorHAnsi"/>
          <w:sz w:val="22"/>
          <w:szCs w:val="28"/>
        </w:rPr>
        <w:t>, [18/Lenovo]</w:t>
      </w:r>
    </w:p>
    <w:p w14:paraId="768E2871" w14:textId="2E425D75" w:rsidR="00222214" w:rsidRPr="009875C5" w:rsidRDefault="00222214" w:rsidP="008A2701">
      <w:pPr>
        <w:pStyle w:val="ListParagraph"/>
        <w:numPr>
          <w:ilvl w:val="2"/>
          <w:numId w:val="15"/>
        </w:numPr>
        <w:ind w:leftChars="0"/>
        <w:rPr>
          <w:rFonts w:asciiTheme="minorHAnsi" w:hAnsiTheme="minorHAnsi" w:cstheme="minorHAnsi"/>
          <w:b/>
          <w:bCs/>
          <w:sz w:val="22"/>
          <w:szCs w:val="28"/>
          <w:u w:val="single"/>
        </w:rPr>
      </w:pPr>
      <w:r>
        <w:rPr>
          <w:rFonts w:asciiTheme="minorHAnsi" w:hAnsiTheme="minorHAnsi" w:cstheme="minorHAnsi"/>
          <w:sz w:val="22"/>
          <w:szCs w:val="28"/>
        </w:rPr>
        <w:t>Not allowed: [25/Apple]</w:t>
      </w:r>
    </w:p>
    <w:p w14:paraId="44995B69" w14:textId="3D4080D5" w:rsidR="009875C5" w:rsidRPr="009875C5" w:rsidRDefault="009875C5" w:rsidP="009875C5">
      <w:pPr>
        <w:pStyle w:val="ListParagraph"/>
        <w:numPr>
          <w:ilvl w:val="1"/>
          <w:numId w:val="15"/>
        </w:numPr>
        <w:ind w:leftChars="0"/>
        <w:rPr>
          <w:rFonts w:asciiTheme="minorHAnsi" w:hAnsiTheme="minorHAnsi" w:cstheme="minorHAnsi"/>
          <w:b/>
          <w:bCs/>
          <w:sz w:val="22"/>
          <w:szCs w:val="28"/>
          <w:u w:val="single"/>
        </w:rPr>
      </w:pPr>
      <w:r>
        <w:rPr>
          <w:rFonts w:asciiTheme="minorHAnsi" w:hAnsiTheme="minorHAnsi" w:cstheme="minorHAnsi"/>
          <w:sz w:val="22"/>
          <w:szCs w:val="28"/>
        </w:rPr>
        <w:t xml:space="preserve">Alt. 3: </w:t>
      </w:r>
      <w:r w:rsidRPr="00A72300">
        <w:rPr>
          <w:rFonts w:asciiTheme="minorHAnsi" w:hAnsiTheme="minorHAnsi" w:cstheme="minorHAnsi"/>
          <w:sz w:val="22"/>
          <w:szCs w:val="28"/>
        </w:rPr>
        <w:t>Type 2A channel access subject to a duty cycle constraint of at most 1/20 regardless of a shared channel occupancy</w:t>
      </w:r>
      <w:r>
        <w:rPr>
          <w:rFonts w:asciiTheme="minorHAnsi" w:hAnsiTheme="minorHAnsi" w:cstheme="minorHAnsi"/>
          <w:sz w:val="22"/>
          <w:szCs w:val="28"/>
        </w:rPr>
        <w:t xml:space="preserve"> (same as NR-U) or the ETSI constrains</w:t>
      </w:r>
    </w:p>
    <w:p w14:paraId="6E9B4B6F" w14:textId="3A137675" w:rsidR="009875C5" w:rsidRPr="00232F49" w:rsidRDefault="009875C5" w:rsidP="009875C5">
      <w:pPr>
        <w:pStyle w:val="ListParagraph"/>
        <w:numPr>
          <w:ilvl w:val="2"/>
          <w:numId w:val="15"/>
        </w:numPr>
        <w:ind w:leftChars="0"/>
        <w:rPr>
          <w:rFonts w:asciiTheme="minorHAnsi" w:hAnsiTheme="minorHAnsi" w:cstheme="minorHAnsi"/>
          <w:b/>
          <w:bCs/>
          <w:sz w:val="22"/>
          <w:szCs w:val="28"/>
          <w:u w:val="single"/>
        </w:rPr>
      </w:pPr>
      <w:r>
        <w:rPr>
          <w:rFonts w:asciiTheme="minorHAnsi" w:hAnsiTheme="minorHAnsi" w:cstheme="minorHAnsi"/>
          <w:sz w:val="22"/>
          <w:szCs w:val="28"/>
        </w:rPr>
        <w:t>[7/ZTE, SC]</w:t>
      </w:r>
      <w:r w:rsidR="00965A9B">
        <w:rPr>
          <w:rFonts w:asciiTheme="minorHAnsi" w:hAnsiTheme="minorHAnsi" w:cstheme="minorHAnsi"/>
          <w:sz w:val="22"/>
          <w:szCs w:val="28"/>
        </w:rPr>
        <w:t xml:space="preserve">, </w:t>
      </w:r>
      <w:r w:rsidR="002D7C75" w:rsidRPr="00E449A8">
        <w:rPr>
          <w:rFonts w:asciiTheme="minorHAnsi" w:hAnsiTheme="minorHAnsi" w:cstheme="minorHAnsi"/>
          <w:sz w:val="22"/>
          <w:szCs w:val="28"/>
        </w:rPr>
        <w:t>[14/NEC]</w:t>
      </w:r>
      <w:r w:rsidR="002D7C75">
        <w:rPr>
          <w:rFonts w:asciiTheme="minorHAnsi" w:hAnsiTheme="minorHAnsi" w:cstheme="minorHAnsi"/>
          <w:sz w:val="22"/>
          <w:szCs w:val="28"/>
        </w:rPr>
        <w:t>,</w:t>
      </w:r>
      <w:r w:rsidR="002D7C75">
        <w:rPr>
          <w:rFonts w:asciiTheme="minorHAnsi" w:hAnsiTheme="minorHAnsi" w:cstheme="minorHAnsi"/>
          <w:color w:val="000000" w:themeColor="text1"/>
          <w:sz w:val="22"/>
          <w:szCs w:val="28"/>
        </w:rPr>
        <w:t xml:space="preserve"> </w:t>
      </w:r>
      <w:r w:rsidR="00E51051" w:rsidRPr="00044B62">
        <w:rPr>
          <w:rFonts w:asciiTheme="minorHAnsi" w:hAnsiTheme="minorHAnsi" w:cstheme="minorHAnsi"/>
          <w:sz w:val="22"/>
          <w:szCs w:val="28"/>
        </w:rPr>
        <w:t>[15/Transsion]</w:t>
      </w:r>
      <w:r w:rsidR="00E51051">
        <w:rPr>
          <w:rFonts w:asciiTheme="minorHAnsi" w:hAnsiTheme="minorHAnsi" w:cstheme="minorHAnsi"/>
          <w:sz w:val="22"/>
          <w:szCs w:val="28"/>
        </w:rPr>
        <w:t>,</w:t>
      </w:r>
      <w:r w:rsidR="00E51051">
        <w:rPr>
          <w:rFonts w:asciiTheme="minorHAnsi" w:hAnsiTheme="minorHAnsi" w:cstheme="minorHAnsi"/>
          <w:color w:val="000000" w:themeColor="text1"/>
          <w:sz w:val="22"/>
          <w:szCs w:val="28"/>
        </w:rPr>
        <w:t xml:space="preserve"> </w:t>
      </w:r>
      <w:r w:rsidR="00965A9B">
        <w:rPr>
          <w:rFonts w:asciiTheme="minorHAnsi" w:hAnsiTheme="minorHAnsi" w:cstheme="minorHAnsi"/>
          <w:color w:val="000000" w:themeColor="text1"/>
          <w:sz w:val="22"/>
          <w:szCs w:val="28"/>
        </w:rPr>
        <w:t>[19/CMCC]</w:t>
      </w:r>
      <w:r w:rsidR="00442485">
        <w:rPr>
          <w:rFonts w:asciiTheme="minorHAnsi" w:hAnsiTheme="minorHAnsi" w:cstheme="minorHAnsi"/>
          <w:color w:val="000000" w:themeColor="text1"/>
          <w:sz w:val="22"/>
          <w:szCs w:val="28"/>
        </w:rPr>
        <w:t xml:space="preserve">, </w:t>
      </w:r>
      <w:r w:rsidR="00442485" w:rsidRPr="00442485">
        <w:rPr>
          <w:rFonts w:asciiTheme="minorHAnsi" w:hAnsiTheme="minorHAnsi" w:cstheme="minorHAnsi"/>
          <w:sz w:val="22"/>
          <w:szCs w:val="28"/>
        </w:rPr>
        <w:t>[27/IDC]</w:t>
      </w:r>
      <w:r w:rsidR="00442485">
        <w:rPr>
          <w:rFonts w:asciiTheme="minorHAnsi" w:hAnsiTheme="minorHAnsi" w:cstheme="minorHAnsi"/>
          <w:sz w:val="22"/>
          <w:szCs w:val="28"/>
        </w:rPr>
        <w:t xml:space="preserve"> (Type 2C too)</w:t>
      </w:r>
      <w:r w:rsidR="00F43CF4">
        <w:rPr>
          <w:rFonts w:asciiTheme="minorHAnsi" w:hAnsiTheme="minorHAnsi" w:cstheme="minorHAnsi"/>
          <w:sz w:val="22"/>
          <w:szCs w:val="28"/>
        </w:rPr>
        <w:t xml:space="preserve">, </w:t>
      </w:r>
      <w:r w:rsidR="00642636">
        <w:rPr>
          <w:rFonts w:asciiTheme="minorHAnsi" w:hAnsiTheme="minorHAnsi" w:cstheme="minorHAnsi"/>
          <w:color w:val="000000" w:themeColor="text1"/>
          <w:sz w:val="22"/>
          <w:szCs w:val="28"/>
        </w:rPr>
        <w:t>[29/ITL],</w:t>
      </w:r>
      <w:r w:rsidR="00642636">
        <w:rPr>
          <w:rFonts w:asciiTheme="minorHAnsi" w:hAnsiTheme="minorHAnsi" w:cstheme="minorHAnsi"/>
          <w:sz w:val="22"/>
          <w:szCs w:val="28"/>
        </w:rPr>
        <w:t xml:space="preserve"> </w:t>
      </w:r>
      <w:r w:rsidR="00F43CF4">
        <w:rPr>
          <w:rFonts w:asciiTheme="minorHAnsi" w:hAnsiTheme="minorHAnsi" w:cstheme="minorHAnsi"/>
          <w:sz w:val="22"/>
          <w:szCs w:val="28"/>
        </w:rPr>
        <w:t>[31/Panasonic]</w:t>
      </w:r>
    </w:p>
    <w:p w14:paraId="0E1A23AB" w14:textId="57670861" w:rsidR="00586F88" w:rsidRPr="00834623" w:rsidRDefault="00586F88" w:rsidP="00B0780D">
      <w:pPr>
        <w:pStyle w:val="ListParagraph"/>
        <w:numPr>
          <w:ilvl w:val="0"/>
          <w:numId w:val="15"/>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 xml:space="preserve">Type 2A </w:t>
      </w:r>
      <w:r w:rsidR="00DC471C">
        <w:rPr>
          <w:rFonts w:asciiTheme="minorHAnsi" w:hAnsiTheme="minorHAnsi" w:cstheme="minorHAnsi"/>
          <w:b/>
          <w:bCs/>
          <w:sz w:val="22"/>
          <w:szCs w:val="28"/>
          <w:u w:val="single"/>
        </w:rPr>
        <w:t>channel access procedure</w:t>
      </w:r>
    </w:p>
    <w:p w14:paraId="67F6E834" w14:textId="2F97E615" w:rsidR="008A1083" w:rsidRPr="00551A21" w:rsidRDefault="004B06B8" w:rsidP="008A1083">
      <w:pPr>
        <w:pStyle w:val="ListParagraph"/>
        <w:numPr>
          <w:ilvl w:val="1"/>
          <w:numId w:val="15"/>
        </w:numPr>
        <w:ind w:leftChars="0"/>
        <w:rPr>
          <w:rFonts w:asciiTheme="minorHAnsi" w:hAnsiTheme="minorHAnsi" w:cstheme="minorHAnsi"/>
          <w:color w:val="000000" w:themeColor="text1"/>
          <w:sz w:val="22"/>
          <w:szCs w:val="28"/>
        </w:rPr>
      </w:pPr>
      <w:r w:rsidRPr="004B06B8">
        <w:rPr>
          <w:rFonts w:asciiTheme="minorHAnsi" w:hAnsiTheme="minorHAnsi" w:cstheme="minorHAnsi"/>
          <w:color w:val="000000" w:themeColor="text1"/>
          <w:sz w:val="22"/>
          <w:szCs w:val="28"/>
        </w:rPr>
        <w:t>FFS any other transmission by a UE (e.g., other than COT sharing)</w:t>
      </w:r>
    </w:p>
    <w:p w14:paraId="48065224" w14:textId="4B5AAC90" w:rsidR="008A1083" w:rsidRDefault="004B06B8" w:rsidP="008A1083">
      <w:pPr>
        <w:pStyle w:val="ListParagraph"/>
        <w:numPr>
          <w:ilvl w:val="2"/>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S-SSB: </w:t>
      </w:r>
      <w:r w:rsidRPr="004B06B8">
        <w:rPr>
          <w:rFonts w:asciiTheme="minorHAnsi" w:hAnsiTheme="minorHAnsi" w:cstheme="minorHAnsi"/>
          <w:color w:val="000000" w:themeColor="text1"/>
          <w:sz w:val="22"/>
          <w:szCs w:val="28"/>
        </w:rPr>
        <w:t>[4 HW, HiSi]</w:t>
      </w:r>
      <w:r w:rsidR="00232F49">
        <w:rPr>
          <w:rFonts w:asciiTheme="minorHAnsi" w:hAnsiTheme="minorHAnsi" w:cstheme="minorHAnsi"/>
          <w:color w:val="000000" w:themeColor="text1"/>
          <w:sz w:val="22"/>
          <w:szCs w:val="28"/>
        </w:rPr>
        <w:t>, [7/ZTE, SC]</w:t>
      </w:r>
    </w:p>
    <w:p w14:paraId="3043ECE7" w14:textId="0C4288C9" w:rsidR="00C55E92" w:rsidRPr="00551A21" w:rsidRDefault="00C55E92" w:rsidP="008A1083">
      <w:pPr>
        <w:pStyle w:val="ListParagraph"/>
        <w:numPr>
          <w:ilvl w:val="2"/>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PSFCH: </w:t>
      </w:r>
      <w:r w:rsidR="00B573A5">
        <w:rPr>
          <w:rFonts w:asciiTheme="minorHAnsi" w:hAnsiTheme="minorHAnsi" w:cstheme="minorHAnsi"/>
          <w:color w:val="000000" w:themeColor="text1"/>
          <w:sz w:val="22"/>
          <w:szCs w:val="28"/>
        </w:rPr>
        <w:t xml:space="preserve">[6/vivo], </w:t>
      </w:r>
      <w:r>
        <w:rPr>
          <w:rFonts w:asciiTheme="minorHAnsi" w:hAnsiTheme="minorHAnsi" w:cstheme="minorHAnsi"/>
          <w:color w:val="000000" w:themeColor="text1"/>
          <w:sz w:val="22"/>
          <w:szCs w:val="28"/>
        </w:rPr>
        <w:t>[11/Intel]</w:t>
      </w:r>
    </w:p>
    <w:p w14:paraId="22685F03" w14:textId="7864CE12" w:rsidR="00586F88" w:rsidRPr="00551A21" w:rsidRDefault="00586F88" w:rsidP="00B0780D">
      <w:pPr>
        <w:pStyle w:val="ListParagraph"/>
        <w:numPr>
          <w:ilvl w:val="0"/>
          <w:numId w:val="15"/>
        </w:numPr>
        <w:spacing w:before="120"/>
        <w:ind w:leftChars="0"/>
        <w:rPr>
          <w:rFonts w:asciiTheme="minorHAnsi" w:hAnsiTheme="minorHAnsi" w:cstheme="minorHAnsi"/>
          <w:b/>
          <w:bCs/>
          <w:sz w:val="22"/>
          <w:szCs w:val="28"/>
          <w:u w:val="single"/>
        </w:rPr>
      </w:pPr>
      <w:r w:rsidRPr="00551A21">
        <w:rPr>
          <w:rFonts w:asciiTheme="minorHAnsi" w:hAnsiTheme="minorHAnsi" w:cstheme="minorHAnsi"/>
          <w:b/>
          <w:bCs/>
          <w:sz w:val="22"/>
          <w:szCs w:val="28"/>
          <w:u w:val="single"/>
        </w:rPr>
        <w:t xml:space="preserve">Type 2B </w:t>
      </w:r>
      <w:r w:rsidR="00DC471C" w:rsidRPr="00551A21">
        <w:rPr>
          <w:rFonts w:asciiTheme="minorHAnsi" w:hAnsiTheme="minorHAnsi" w:cstheme="minorHAnsi"/>
          <w:b/>
          <w:bCs/>
          <w:sz w:val="22"/>
          <w:szCs w:val="28"/>
          <w:u w:val="single"/>
        </w:rPr>
        <w:t>channel access procedure</w:t>
      </w:r>
    </w:p>
    <w:p w14:paraId="1911CA3D" w14:textId="491F31E4" w:rsidR="00586F88" w:rsidRPr="00551A21" w:rsidRDefault="004B06B8" w:rsidP="00B0780D">
      <w:pPr>
        <w:pStyle w:val="ListParagraph"/>
        <w:numPr>
          <w:ilvl w:val="1"/>
          <w:numId w:val="15"/>
        </w:numPr>
        <w:ind w:leftChars="0"/>
        <w:rPr>
          <w:rFonts w:asciiTheme="minorHAnsi" w:hAnsiTheme="minorHAnsi" w:cstheme="minorHAnsi"/>
          <w:color w:val="000000" w:themeColor="text1"/>
          <w:sz w:val="22"/>
          <w:szCs w:val="28"/>
        </w:rPr>
      </w:pPr>
      <w:r w:rsidRPr="004B06B8">
        <w:rPr>
          <w:rFonts w:asciiTheme="minorHAnsi" w:hAnsiTheme="minorHAnsi" w:cstheme="minorHAnsi"/>
          <w:color w:val="000000" w:themeColor="text1"/>
          <w:sz w:val="22"/>
          <w:szCs w:val="28"/>
        </w:rPr>
        <w:t>FFS the case when the gap is between 16 and 25μs</w:t>
      </w:r>
    </w:p>
    <w:p w14:paraId="145EEF67" w14:textId="08095602" w:rsidR="004B06B8" w:rsidRDefault="004B06B8" w:rsidP="00963461">
      <w:pPr>
        <w:pStyle w:val="ListParagraph"/>
        <w:numPr>
          <w:ilvl w:val="2"/>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Support: </w:t>
      </w:r>
      <w:r w:rsidR="00544D9D">
        <w:rPr>
          <w:rFonts w:asciiTheme="minorHAnsi" w:hAnsiTheme="minorHAnsi" w:cstheme="minorHAnsi"/>
          <w:color w:val="000000" w:themeColor="text1"/>
          <w:sz w:val="22"/>
          <w:szCs w:val="28"/>
        </w:rPr>
        <w:t xml:space="preserve">[3/FW], </w:t>
      </w:r>
      <w:r w:rsidR="00C55E92">
        <w:rPr>
          <w:rFonts w:asciiTheme="minorHAnsi" w:hAnsiTheme="minorHAnsi" w:cstheme="minorHAnsi"/>
          <w:color w:val="000000" w:themeColor="text1"/>
          <w:sz w:val="22"/>
          <w:szCs w:val="28"/>
        </w:rPr>
        <w:t xml:space="preserve">[8/OPPO], </w:t>
      </w:r>
      <w:r w:rsidR="00193849" w:rsidRPr="00A60929">
        <w:rPr>
          <w:rFonts w:asciiTheme="minorHAnsi" w:hAnsiTheme="minorHAnsi" w:cstheme="minorHAnsi"/>
          <w:sz w:val="22"/>
          <w:szCs w:val="28"/>
        </w:rPr>
        <w:t>[</w:t>
      </w:r>
      <w:r w:rsidR="00193849">
        <w:rPr>
          <w:rFonts w:asciiTheme="minorHAnsi" w:hAnsiTheme="minorHAnsi" w:cstheme="minorHAnsi"/>
          <w:sz w:val="22"/>
          <w:szCs w:val="28"/>
        </w:rPr>
        <w:t>9</w:t>
      </w:r>
      <w:r w:rsidR="00193849" w:rsidRPr="00A60929">
        <w:rPr>
          <w:rFonts w:asciiTheme="minorHAnsi" w:hAnsiTheme="minorHAnsi" w:cstheme="minorHAnsi"/>
          <w:sz w:val="22"/>
          <w:szCs w:val="28"/>
        </w:rPr>
        <w:t>/CATT, GH]</w:t>
      </w:r>
      <w:r w:rsidR="00193849">
        <w:rPr>
          <w:rFonts w:asciiTheme="minorHAnsi" w:hAnsiTheme="minorHAnsi" w:cstheme="minorHAnsi"/>
          <w:sz w:val="22"/>
          <w:szCs w:val="28"/>
        </w:rPr>
        <w:t>,</w:t>
      </w:r>
      <w:r w:rsidR="00193849">
        <w:rPr>
          <w:rFonts w:asciiTheme="minorHAnsi" w:hAnsiTheme="minorHAnsi" w:cstheme="minorHAnsi"/>
          <w:color w:val="000000" w:themeColor="text1"/>
          <w:sz w:val="22"/>
          <w:szCs w:val="28"/>
        </w:rPr>
        <w:t xml:space="preserve"> </w:t>
      </w:r>
      <w:r w:rsidR="00787B04">
        <w:rPr>
          <w:rFonts w:asciiTheme="minorHAnsi" w:hAnsiTheme="minorHAnsi" w:cstheme="minorHAnsi"/>
          <w:color w:val="000000" w:themeColor="text1"/>
          <w:sz w:val="22"/>
          <w:szCs w:val="28"/>
        </w:rPr>
        <w:t>[11/Intel]</w:t>
      </w:r>
      <w:r w:rsidR="00274D92">
        <w:rPr>
          <w:rFonts w:asciiTheme="minorHAnsi" w:hAnsiTheme="minorHAnsi" w:cstheme="minorHAnsi"/>
          <w:color w:val="000000" w:themeColor="text1"/>
          <w:sz w:val="22"/>
          <w:szCs w:val="28"/>
        </w:rPr>
        <w:t>, [17/xiaomi]</w:t>
      </w:r>
    </w:p>
    <w:p w14:paraId="228C4CEB" w14:textId="3DA709EE" w:rsidR="004B06B8" w:rsidRDefault="00787B04" w:rsidP="004B06B8">
      <w:pPr>
        <w:pStyle w:val="ListParagraph"/>
        <w:numPr>
          <w:ilvl w:val="3"/>
          <w:numId w:val="15"/>
        </w:numPr>
        <w:ind w:leftChars="0"/>
        <w:rPr>
          <w:rFonts w:asciiTheme="minorHAnsi" w:hAnsiTheme="minorHAnsi" w:cstheme="minorHAnsi"/>
          <w:color w:val="000000" w:themeColor="text1"/>
          <w:sz w:val="22"/>
          <w:szCs w:val="28"/>
        </w:rPr>
      </w:pPr>
      <w:r w:rsidRPr="00787B04">
        <w:rPr>
          <w:rFonts w:asciiTheme="minorHAnsi" w:hAnsiTheme="minorHAnsi" w:cstheme="minorHAnsi"/>
          <w:color w:val="000000" w:themeColor="text1"/>
          <w:sz w:val="22"/>
          <w:szCs w:val="28"/>
        </w:rPr>
        <w:t>an exact 16 us may not be able to be quantified by the UEs</w:t>
      </w:r>
    </w:p>
    <w:p w14:paraId="4C34BB10" w14:textId="31D2D1C5" w:rsidR="00787B04" w:rsidRDefault="00787B04" w:rsidP="004B06B8">
      <w:pPr>
        <w:pStyle w:val="ListParagraph"/>
        <w:numPr>
          <w:ilvl w:val="3"/>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due to sync error</w:t>
      </w:r>
    </w:p>
    <w:p w14:paraId="0AE047FC" w14:textId="5205A566" w:rsidR="00787B04" w:rsidRDefault="00787B04" w:rsidP="004B06B8">
      <w:pPr>
        <w:pStyle w:val="ListParagraph"/>
        <w:numPr>
          <w:ilvl w:val="3"/>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due to</w:t>
      </w:r>
      <w:r w:rsidRPr="00787B04">
        <w:rPr>
          <w:rFonts w:asciiTheme="minorHAnsi" w:hAnsiTheme="minorHAnsi" w:cstheme="minorHAnsi"/>
          <w:color w:val="000000" w:themeColor="text1"/>
          <w:sz w:val="22"/>
          <w:szCs w:val="28"/>
        </w:rPr>
        <w:t xml:space="preserve"> relative propagation delays across UEs</w:t>
      </w:r>
    </w:p>
    <w:p w14:paraId="5024FC2D" w14:textId="302A2733" w:rsidR="00963461" w:rsidRDefault="004B06B8" w:rsidP="00963461">
      <w:pPr>
        <w:pStyle w:val="ListParagraph"/>
        <w:numPr>
          <w:ilvl w:val="2"/>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Not support: </w:t>
      </w:r>
      <w:r w:rsidR="0011627B">
        <w:rPr>
          <w:rFonts w:asciiTheme="minorHAnsi" w:hAnsiTheme="minorHAnsi" w:cstheme="minorHAnsi"/>
          <w:color w:val="000000" w:themeColor="text1"/>
          <w:sz w:val="22"/>
          <w:szCs w:val="28"/>
        </w:rPr>
        <w:t>[4/HW, HiSi]</w:t>
      </w:r>
      <w:r w:rsidR="00C55E92">
        <w:rPr>
          <w:rFonts w:asciiTheme="minorHAnsi" w:hAnsiTheme="minorHAnsi" w:cstheme="minorHAnsi"/>
          <w:color w:val="000000" w:themeColor="text1"/>
          <w:sz w:val="22"/>
          <w:szCs w:val="28"/>
        </w:rPr>
        <w:t xml:space="preserve">, </w:t>
      </w:r>
      <w:r w:rsidR="00EB1CC2">
        <w:rPr>
          <w:rFonts w:asciiTheme="minorHAnsi" w:hAnsiTheme="minorHAnsi" w:cstheme="minorHAnsi"/>
          <w:color w:val="000000" w:themeColor="text1"/>
          <w:sz w:val="22"/>
          <w:szCs w:val="28"/>
        </w:rPr>
        <w:t xml:space="preserve">[19/CMCC], </w:t>
      </w:r>
      <w:r w:rsidR="00C55E92" w:rsidRPr="00C55E92">
        <w:rPr>
          <w:rFonts w:asciiTheme="minorHAnsi" w:hAnsiTheme="minorHAnsi" w:cstheme="minorHAnsi"/>
          <w:sz w:val="22"/>
          <w:szCs w:val="28"/>
        </w:rPr>
        <w:t>[22/LGE]</w:t>
      </w:r>
    </w:p>
    <w:p w14:paraId="0D4F09BC" w14:textId="596372CF" w:rsidR="0011627B" w:rsidRPr="00551A21" w:rsidRDefault="0011627B" w:rsidP="0011627B">
      <w:pPr>
        <w:pStyle w:val="ListParagraph"/>
        <w:numPr>
          <w:ilvl w:val="3"/>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S</w:t>
      </w:r>
      <w:r w:rsidRPr="0011627B">
        <w:rPr>
          <w:rFonts w:asciiTheme="minorHAnsi" w:hAnsiTheme="minorHAnsi" w:cstheme="minorHAnsi"/>
          <w:color w:val="000000" w:themeColor="text1"/>
          <w:sz w:val="22"/>
          <w:szCs w:val="28"/>
        </w:rPr>
        <w:t>ince sensing slot granularity is 9μs, the case when the gap is between 16 and 25μs will not happen based on current Type 2 procedure</w:t>
      </w:r>
    </w:p>
    <w:p w14:paraId="5A8838F6" w14:textId="102F83F2" w:rsidR="00586F88" w:rsidRPr="00551A21" w:rsidRDefault="00586F88" w:rsidP="00B0780D">
      <w:pPr>
        <w:pStyle w:val="ListParagraph"/>
        <w:numPr>
          <w:ilvl w:val="0"/>
          <w:numId w:val="15"/>
        </w:numPr>
        <w:spacing w:before="120"/>
        <w:ind w:leftChars="0"/>
        <w:rPr>
          <w:rFonts w:asciiTheme="minorHAnsi" w:hAnsiTheme="minorHAnsi" w:cstheme="minorHAnsi"/>
          <w:b/>
          <w:bCs/>
          <w:sz w:val="22"/>
          <w:szCs w:val="28"/>
          <w:u w:val="single"/>
        </w:rPr>
      </w:pPr>
      <w:r w:rsidRPr="00551A21">
        <w:rPr>
          <w:rFonts w:asciiTheme="minorHAnsi" w:hAnsiTheme="minorHAnsi" w:cstheme="minorHAnsi"/>
          <w:b/>
          <w:bCs/>
          <w:sz w:val="22"/>
          <w:szCs w:val="28"/>
          <w:u w:val="single"/>
        </w:rPr>
        <w:t xml:space="preserve">Type 2C </w:t>
      </w:r>
      <w:r w:rsidR="00DC471C" w:rsidRPr="00551A21">
        <w:rPr>
          <w:rFonts w:asciiTheme="minorHAnsi" w:hAnsiTheme="minorHAnsi" w:cstheme="minorHAnsi"/>
          <w:b/>
          <w:bCs/>
          <w:sz w:val="22"/>
          <w:szCs w:val="28"/>
          <w:u w:val="single"/>
        </w:rPr>
        <w:t>channel access procedure</w:t>
      </w:r>
    </w:p>
    <w:p w14:paraId="36FE150D" w14:textId="2C7A64D1" w:rsidR="00586F88" w:rsidRPr="00551A21" w:rsidRDefault="006F694F" w:rsidP="00B0780D">
      <w:pPr>
        <w:pStyle w:val="ListParagraph"/>
        <w:numPr>
          <w:ilvl w:val="1"/>
          <w:numId w:val="15"/>
        </w:numPr>
        <w:ind w:leftChars="0"/>
        <w:rPr>
          <w:rFonts w:asciiTheme="minorHAnsi" w:hAnsiTheme="minorHAnsi" w:cstheme="minorHAnsi"/>
          <w:color w:val="000000" w:themeColor="text1"/>
          <w:sz w:val="22"/>
          <w:szCs w:val="28"/>
        </w:rPr>
      </w:pPr>
      <w:r w:rsidRPr="006F694F">
        <w:rPr>
          <w:rFonts w:asciiTheme="minorHAnsi" w:hAnsiTheme="minorHAnsi" w:cstheme="minorHAnsi"/>
          <w:color w:val="000000" w:themeColor="text1"/>
          <w:sz w:val="22"/>
          <w:szCs w:val="28"/>
        </w:rPr>
        <w:t>FFS under which conditions Type 2B or Type 2C is applied in case of a gap of 16 μs</w:t>
      </w:r>
    </w:p>
    <w:p w14:paraId="26EC041F" w14:textId="12A7601E" w:rsidR="00963461" w:rsidRDefault="006F694F" w:rsidP="00963461">
      <w:pPr>
        <w:pStyle w:val="ListParagraph"/>
        <w:numPr>
          <w:ilvl w:val="2"/>
          <w:numId w:val="15"/>
        </w:numPr>
        <w:ind w:leftChars="0"/>
        <w:rPr>
          <w:rFonts w:asciiTheme="minorHAnsi" w:hAnsiTheme="minorHAnsi" w:cstheme="minorHAnsi"/>
          <w:color w:val="000000" w:themeColor="text1"/>
          <w:sz w:val="22"/>
          <w:szCs w:val="28"/>
        </w:rPr>
      </w:pPr>
      <w:r w:rsidRPr="006F694F">
        <w:rPr>
          <w:rFonts w:asciiTheme="minorHAnsi" w:hAnsiTheme="minorHAnsi" w:cstheme="minorHAnsi"/>
          <w:color w:val="000000" w:themeColor="text1"/>
          <w:sz w:val="22"/>
          <w:szCs w:val="28"/>
        </w:rPr>
        <w:t xml:space="preserve">Up to UE implementation: </w:t>
      </w:r>
      <w:r w:rsidR="003424CA">
        <w:rPr>
          <w:rFonts w:asciiTheme="minorHAnsi" w:hAnsiTheme="minorHAnsi" w:cstheme="minorHAnsi"/>
          <w:color w:val="000000" w:themeColor="text1"/>
          <w:sz w:val="22"/>
          <w:szCs w:val="28"/>
        </w:rPr>
        <w:t xml:space="preserve">[3/FW], </w:t>
      </w:r>
      <w:r w:rsidRPr="006F694F">
        <w:rPr>
          <w:rFonts w:asciiTheme="minorHAnsi" w:hAnsiTheme="minorHAnsi" w:cstheme="minorHAnsi"/>
          <w:color w:val="000000" w:themeColor="text1"/>
          <w:sz w:val="22"/>
          <w:szCs w:val="28"/>
        </w:rPr>
        <w:t>[4/HW, HiSi]</w:t>
      </w:r>
      <w:r w:rsidR="00A40328">
        <w:rPr>
          <w:rFonts w:asciiTheme="minorHAnsi" w:hAnsiTheme="minorHAnsi" w:cstheme="minorHAnsi"/>
          <w:color w:val="000000" w:themeColor="text1"/>
          <w:sz w:val="22"/>
          <w:szCs w:val="28"/>
        </w:rPr>
        <w:t xml:space="preserve">, </w:t>
      </w:r>
      <w:r w:rsidR="00F61C08">
        <w:rPr>
          <w:rFonts w:asciiTheme="minorHAnsi" w:hAnsiTheme="minorHAnsi" w:cstheme="minorHAnsi"/>
          <w:color w:val="000000" w:themeColor="text1"/>
          <w:sz w:val="22"/>
          <w:szCs w:val="28"/>
        </w:rPr>
        <w:t xml:space="preserve">[6/vivo], </w:t>
      </w:r>
      <w:r w:rsidR="00232F49">
        <w:rPr>
          <w:rFonts w:asciiTheme="minorHAnsi" w:hAnsiTheme="minorHAnsi" w:cstheme="minorHAnsi"/>
          <w:color w:val="000000" w:themeColor="text1"/>
          <w:sz w:val="22"/>
          <w:szCs w:val="28"/>
        </w:rPr>
        <w:t xml:space="preserve">[7/ZTE, SC], </w:t>
      </w:r>
      <w:r w:rsidR="00A40328">
        <w:rPr>
          <w:rFonts w:asciiTheme="minorHAnsi" w:hAnsiTheme="minorHAnsi" w:cstheme="minorHAnsi"/>
          <w:color w:val="000000" w:themeColor="text1"/>
          <w:sz w:val="22"/>
          <w:szCs w:val="28"/>
        </w:rPr>
        <w:t>[11/Intel]</w:t>
      </w:r>
      <w:r w:rsidR="00DD1D28">
        <w:rPr>
          <w:rFonts w:asciiTheme="minorHAnsi" w:hAnsiTheme="minorHAnsi" w:cstheme="minorHAnsi"/>
          <w:color w:val="000000" w:themeColor="text1"/>
          <w:sz w:val="22"/>
          <w:szCs w:val="28"/>
        </w:rPr>
        <w:t xml:space="preserve">, </w:t>
      </w:r>
      <w:r w:rsidR="004E7A72">
        <w:rPr>
          <w:rFonts w:asciiTheme="minorHAnsi" w:hAnsiTheme="minorHAnsi" w:cstheme="minorHAnsi"/>
          <w:color w:val="000000" w:themeColor="text1"/>
          <w:sz w:val="22"/>
          <w:szCs w:val="28"/>
        </w:rPr>
        <w:t xml:space="preserve">[17/xiaomi], </w:t>
      </w:r>
      <w:r w:rsidR="005F31C9">
        <w:rPr>
          <w:rFonts w:asciiTheme="minorHAnsi" w:hAnsiTheme="minorHAnsi" w:cstheme="minorHAnsi"/>
          <w:color w:val="000000" w:themeColor="text1"/>
          <w:sz w:val="22"/>
          <w:szCs w:val="28"/>
        </w:rPr>
        <w:t xml:space="preserve">[19/CMCC], </w:t>
      </w:r>
      <w:r w:rsidR="00DD1D28">
        <w:rPr>
          <w:rFonts w:asciiTheme="minorHAnsi" w:hAnsiTheme="minorHAnsi" w:cstheme="minorHAnsi"/>
          <w:color w:val="000000" w:themeColor="text1"/>
          <w:sz w:val="22"/>
          <w:szCs w:val="28"/>
        </w:rPr>
        <w:t>[28/Samsung]</w:t>
      </w:r>
    </w:p>
    <w:p w14:paraId="49E90C1E" w14:textId="5A3C333D" w:rsidR="0021570A" w:rsidRPr="006F694F" w:rsidRDefault="0021570A" w:rsidP="00963461">
      <w:pPr>
        <w:pStyle w:val="ListParagraph"/>
        <w:numPr>
          <w:ilvl w:val="2"/>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Subject to Tx duration at most 584us: [23/MediaTek]</w:t>
      </w:r>
      <w:r w:rsidR="008254C6">
        <w:rPr>
          <w:rFonts w:asciiTheme="minorHAnsi" w:hAnsiTheme="minorHAnsi" w:cstheme="minorHAnsi"/>
          <w:color w:val="000000" w:themeColor="text1"/>
          <w:sz w:val="22"/>
          <w:szCs w:val="28"/>
        </w:rPr>
        <w:t xml:space="preserve">, </w:t>
      </w:r>
      <w:r w:rsidR="008254C6">
        <w:rPr>
          <w:rFonts w:asciiTheme="minorHAnsi" w:hAnsiTheme="minorHAnsi" w:cstheme="minorHAnsi"/>
          <w:sz w:val="22"/>
          <w:szCs w:val="28"/>
        </w:rPr>
        <w:t>[18/Lenovo]</w:t>
      </w:r>
    </w:p>
    <w:p w14:paraId="40D9DB8B" w14:textId="32583833" w:rsidR="00B16C71" w:rsidRPr="00834623" w:rsidRDefault="00B16C71" w:rsidP="00B16C71">
      <w:pPr>
        <w:pStyle w:val="ListParagraph"/>
        <w:numPr>
          <w:ilvl w:val="0"/>
          <w:numId w:val="15"/>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Energy detection (ED) threshold setting</w:t>
      </w:r>
    </w:p>
    <w:p w14:paraId="413A495F" w14:textId="77777777" w:rsidR="009E5748" w:rsidRDefault="009659DF" w:rsidP="00B16C71">
      <w:pPr>
        <w:pStyle w:val="ListParagraph"/>
        <w:numPr>
          <w:ilvl w:val="1"/>
          <w:numId w:val="15"/>
        </w:numPr>
        <w:ind w:leftChars="0"/>
        <w:rPr>
          <w:rFonts w:asciiTheme="minorHAnsi" w:hAnsiTheme="minorHAnsi" w:cstheme="minorHAnsi"/>
          <w:sz w:val="22"/>
          <w:szCs w:val="28"/>
        </w:rPr>
      </w:pPr>
      <w:r w:rsidRPr="009659DF">
        <w:rPr>
          <w:rFonts w:asciiTheme="minorHAnsi" w:hAnsiTheme="minorHAnsi" w:cstheme="minorHAnsi"/>
          <w:sz w:val="22"/>
          <w:szCs w:val="28"/>
        </w:rPr>
        <w:t xml:space="preserve">[6/vivo]: </w:t>
      </w:r>
    </w:p>
    <w:p w14:paraId="2F4518B6" w14:textId="56D791F3" w:rsidR="009E5748" w:rsidRDefault="009E5748" w:rsidP="009E5748">
      <w:pPr>
        <w:pStyle w:val="ListParagraph"/>
        <w:numPr>
          <w:ilvl w:val="2"/>
          <w:numId w:val="15"/>
        </w:numPr>
        <w:ind w:leftChars="0"/>
        <w:rPr>
          <w:rFonts w:asciiTheme="minorHAnsi" w:hAnsiTheme="minorHAnsi" w:cstheme="minorHAnsi"/>
          <w:sz w:val="22"/>
          <w:szCs w:val="28"/>
        </w:rPr>
      </w:pPr>
      <w:r w:rsidRPr="009E5748">
        <w:rPr>
          <w:rFonts w:asciiTheme="minorHAnsi" w:hAnsiTheme="minorHAnsi" w:cstheme="minorHAnsi"/>
          <w:sz w:val="22"/>
          <w:szCs w:val="28"/>
        </w:rPr>
        <w:t>No enhancement on the UE-to-UE ED threshold is needed.</w:t>
      </w:r>
    </w:p>
    <w:p w14:paraId="64C05A18" w14:textId="741D9E0C" w:rsidR="009659DF" w:rsidRPr="009659DF" w:rsidRDefault="009659DF" w:rsidP="009E5748">
      <w:pPr>
        <w:pStyle w:val="ListParagraph"/>
        <w:numPr>
          <w:ilvl w:val="2"/>
          <w:numId w:val="15"/>
        </w:numPr>
        <w:ind w:leftChars="0"/>
        <w:rPr>
          <w:rFonts w:asciiTheme="minorHAnsi" w:hAnsiTheme="minorHAnsi" w:cstheme="minorHAnsi"/>
          <w:sz w:val="22"/>
          <w:szCs w:val="28"/>
        </w:rPr>
      </w:pPr>
      <w:r w:rsidRPr="009659DF">
        <w:rPr>
          <w:rFonts w:asciiTheme="minorHAnsi" w:hAnsiTheme="minorHAnsi" w:cstheme="minorHAnsi"/>
          <w:sz w:val="22"/>
          <w:szCs w:val="28"/>
        </w:rPr>
        <w:t>SL UE deems channel busy only if the UE detects transmission other than SL occupying the channel (e.g., exceeding the energy detection threshold) during the LBT duration, i.e., the energy detection in LBT procedure does not take into account the SL transmissions.</w:t>
      </w:r>
    </w:p>
    <w:p w14:paraId="0102B99A" w14:textId="666250BD" w:rsidR="00B05662" w:rsidRPr="00AB3A6E" w:rsidRDefault="00466359" w:rsidP="00B16C71">
      <w:pPr>
        <w:pStyle w:val="ListParagraph"/>
        <w:numPr>
          <w:ilvl w:val="1"/>
          <w:numId w:val="15"/>
        </w:numPr>
        <w:ind w:leftChars="0"/>
        <w:rPr>
          <w:rFonts w:asciiTheme="minorHAnsi" w:hAnsiTheme="minorHAnsi" w:cstheme="minorHAnsi"/>
          <w:sz w:val="22"/>
          <w:szCs w:val="28"/>
        </w:rPr>
      </w:pPr>
      <w:r w:rsidRPr="00AB3A6E">
        <w:rPr>
          <w:rFonts w:asciiTheme="minorHAnsi" w:hAnsiTheme="minorHAnsi" w:cstheme="minorHAnsi"/>
          <w:sz w:val="22"/>
          <w:szCs w:val="28"/>
        </w:rPr>
        <w:t>[7/ZTE, SC]</w:t>
      </w:r>
      <w:r w:rsidR="00B05662" w:rsidRPr="00AB3A6E">
        <w:rPr>
          <w:rFonts w:asciiTheme="minorHAnsi" w:hAnsiTheme="minorHAnsi" w:cstheme="minorHAnsi"/>
          <w:sz w:val="22"/>
          <w:szCs w:val="28"/>
        </w:rPr>
        <w:t>: At least the default maximum energy detection threshold is supported.</w:t>
      </w:r>
    </w:p>
    <w:p w14:paraId="00C843EF" w14:textId="690F9F5F" w:rsidR="00B16C71" w:rsidRPr="00543770" w:rsidRDefault="00B05662" w:rsidP="00B16C71">
      <w:pPr>
        <w:pStyle w:val="ListParagraph"/>
        <w:numPr>
          <w:ilvl w:val="1"/>
          <w:numId w:val="15"/>
        </w:numPr>
        <w:ind w:leftChars="0"/>
        <w:rPr>
          <w:rFonts w:asciiTheme="minorHAnsi" w:hAnsiTheme="minorHAnsi" w:cstheme="minorHAnsi"/>
          <w:sz w:val="22"/>
          <w:szCs w:val="28"/>
        </w:rPr>
      </w:pPr>
      <w:r w:rsidRPr="00543770">
        <w:rPr>
          <w:rFonts w:asciiTheme="minorHAnsi" w:hAnsiTheme="minorHAnsi" w:cstheme="minorHAnsi"/>
          <w:sz w:val="22"/>
          <w:szCs w:val="28"/>
        </w:rPr>
        <w:t>[</w:t>
      </w:r>
      <w:r w:rsidR="00657FA4" w:rsidRPr="00543770">
        <w:rPr>
          <w:rFonts w:asciiTheme="minorHAnsi" w:hAnsiTheme="minorHAnsi" w:cstheme="minorHAnsi"/>
          <w:sz w:val="22"/>
          <w:szCs w:val="28"/>
        </w:rPr>
        <w:t>22/LGE</w:t>
      </w:r>
      <w:r w:rsidRPr="00543770">
        <w:rPr>
          <w:rFonts w:asciiTheme="minorHAnsi" w:hAnsiTheme="minorHAnsi" w:cstheme="minorHAnsi"/>
          <w:sz w:val="22"/>
          <w:szCs w:val="28"/>
        </w:rPr>
        <w:t xml:space="preserve">]: </w:t>
      </w:r>
      <w:r w:rsidR="009842BA" w:rsidRPr="00543770">
        <w:rPr>
          <w:rFonts w:asciiTheme="minorHAnsi" w:hAnsiTheme="minorHAnsi" w:cstheme="minorHAnsi"/>
          <w:sz w:val="22"/>
          <w:szCs w:val="28"/>
        </w:rPr>
        <w:t>E</w:t>
      </w:r>
      <w:r w:rsidR="00B16C71" w:rsidRPr="00543770">
        <w:rPr>
          <w:rFonts w:asciiTheme="minorHAnsi" w:hAnsiTheme="minorHAnsi" w:cstheme="minorHAnsi"/>
          <w:sz w:val="22"/>
          <w:szCs w:val="28"/>
        </w:rPr>
        <w:t xml:space="preserve">nergy detection threshold adaptation procedure </w:t>
      </w:r>
      <w:r w:rsidR="009842BA" w:rsidRPr="00543770">
        <w:rPr>
          <w:rFonts w:asciiTheme="minorHAnsi" w:hAnsiTheme="minorHAnsi" w:cstheme="minorHAnsi"/>
          <w:sz w:val="22"/>
          <w:szCs w:val="28"/>
        </w:rPr>
        <w:t xml:space="preserve">for UL </w:t>
      </w:r>
      <w:r w:rsidR="00B16C71" w:rsidRPr="00543770">
        <w:rPr>
          <w:rFonts w:asciiTheme="minorHAnsi" w:hAnsiTheme="minorHAnsi" w:cstheme="minorHAnsi"/>
          <w:sz w:val="22"/>
          <w:szCs w:val="28"/>
        </w:rPr>
        <w:t xml:space="preserve">is </w:t>
      </w:r>
      <w:r w:rsidR="009842BA" w:rsidRPr="00543770">
        <w:rPr>
          <w:rFonts w:asciiTheme="minorHAnsi" w:hAnsiTheme="minorHAnsi" w:cstheme="minorHAnsi"/>
          <w:sz w:val="22"/>
          <w:szCs w:val="28"/>
        </w:rPr>
        <w:t>considered</w:t>
      </w:r>
      <w:r w:rsidR="00B16C71" w:rsidRPr="00543770">
        <w:rPr>
          <w:rFonts w:asciiTheme="minorHAnsi" w:hAnsiTheme="minorHAnsi" w:cstheme="minorHAnsi"/>
          <w:sz w:val="22"/>
          <w:szCs w:val="28"/>
        </w:rPr>
        <w:t xml:space="preserve"> as baseline</w:t>
      </w:r>
      <w:r w:rsidRPr="00543770">
        <w:rPr>
          <w:rFonts w:asciiTheme="minorHAnsi" w:hAnsiTheme="minorHAnsi" w:cstheme="minorHAnsi"/>
          <w:sz w:val="22"/>
          <w:szCs w:val="28"/>
        </w:rPr>
        <w:t>.</w:t>
      </w:r>
    </w:p>
    <w:p w14:paraId="0C260BC2" w14:textId="77777777" w:rsidR="00117800" w:rsidRPr="00117800" w:rsidRDefault="00BC644A" w:rsidP="00B16C71">
      <w:pPr>
        <w:pStyle w:val="ListParagraph"/>
        <w:numPr>
          <w:ilvl w:val="1"/>
          <w:numId w:val="15"/>
        </w:numPr>
        <w:ind w:leftChars="0"/>
        <w:rPr>
          <w:rFonts w:asciiTheme="minorHAnsi" w:hAnsiTheme="minorHAnsi" w:cstheme="minorHAnsi"/>
          <w:color w:val="000000" w:themeColor="text1"/>
          <w:sz w:val="22"/>
          <w:szCs w:val="28"/>
        </w:rPr>
      </w:pPr>
      <w:r w:rsidRPr="00117800">
        <w:rPr>
          <w:rFonts w:asciiTheme="minorHAnsi" w:hAnsiTheme="minorHAnsi" w:cstheme="minorHAnsi"/>
          <w:color w:val="000000" w:themeColor="text1"/>
          <w:sz w:val="22"/>
          <w:szCs w:val="28"/>
        </w:rPr>
        <w:t>[11/Intel]</w:t>
      </w:r>
      <w:r w:rsidR="00B06D2A" w:rsidRPr="00117800">
        <w:rPr>
          <w:rFonts w:asciiTheme="minorHAnsi" w:hAnsiTheme="minorHAnsi" w:cstheme="minorHAnsi"/>
          <w:color w:val="000000" w:themeColor="text1"/>
          <w:sz w:val="22"/>
          <w:szCs w:val="28"/>
        </w:rPr>
        <w:t xml:space="preserve">: </w:t>
      </w:r>
    </w:p>
    <w:p w14:paraId="034E82A9" w14:textId="7B2BF9A3" w:rsidR="00117800" w:rsidRPr="00117800" w:rsidRDefault="00117800" w:rsidP="00117800">
      <w:pPr>
        <w:pStyle w:val="ListParagraph"/>
        <w:numPr>
          <w:ilvl w:val="2"/>
          <w:numId w:val="15"/>
        </w:numPr>
        <w:ind w:leftChars="0"/>
        <w:rPr>
          <w:rFonts w:asciiTheme="minorHAnsi" w:hAnsiTheme="minorHAnsi" w:cstheme="minorHAnsi"/>
          <w:color w:val="000000" w:themeColor="text1"/>
          <w:sz w:val="22"/>
          <w:szCs w:val="28"/>
        </w:rPr>
      </w:pPr>
      <w:r w:rsidRPr="00117800">
        <w:rPr>
          <w:rFonts w:asciiTheme="minorHAnsi" w:hAnsiTheme="minorHAnsi" w:cstheme="minorHAnsi"/>
          <w:color w:val="000000" w:themeColor="text1"/>
          <w:sz w:val="22"/>
          <w:szCs w:val="28"/>
        </w:rPr>
        <w:t>The ED threshold within the legacy Rel.16 Sensing and resource selection procedure is aligned with the ED threshold used for the LBT procedure.</w:t>
      </w:r>
    </w:p>
    <w:p w14:paraId="64DB1D3B" w14:textId="2A9DD058" w:rsidR="00B06D2A" w:rsidRPr="00117800" w:rsidRDefault="00B06D2A" w:rsidP="00117800">
      <w:pPr>
        <w:pStyle w:val="ListParagraph"/>
        <w:numPr>
          <w:ilvl w:val="2"/>
          <w:numId w:val="15"/>
        </w:numPr>
        <w:ind w:leftChars="0"/>
        <w:rPr>
          <w:rFonts w:asciiTheme="minorHAnsi" w:hAnsiTheme="minorHAnsi" w:cstheme="minorHAnsi"/>
          <w:color w:val="000000" w:themeColor="text1"/>
          <w:sz w:val="22"/>
          <w:szCs w:val="28"/>
        </w:rPr>
      </w:pPr>
      <w:r w:rsidRPr="00117800">
        <w:rPr>
          <w:rFonts w:asciiTheme="minorHAnsi" w:hAnsiTheme="minorHAnsi" w:cstheme="minorHAnsi"/>
          <w:color w:val="000000" w:themeColor="text1"/>
          <w:sz w:val="22"/>
          <w:szCs w:val="28"/>
        </w:rPr>
        <w:t>FFS whether any enhancements are needed to the ED threshold defined in TS37.213 to operate in band n102 for VLP (very lower power) operation.</w:t>
      </w:r>
    </w:p>
    <w:p w14:paraId="5AC05A8F" w14:textId="7B01942F" w:rsidR="00A8735B" w:rsidRPr="00044B62" w:rsidRDefault="00BC644A" w:rsidP="00B16C71">
      <w:pPr>
        <w:pStyle w:val="ListParagraph"/>
        <w:numPr>
          <w:ilvl w:val="1"/>
          <w:numId w:val="15"/>
        </w:numPr>
        <w:ind w:leftChars="0"/>
        <w:rPr>
          <w:rFonts w:asciiTheme="minorHAnsi" w:hAnsiTheme="minorHAnsi" w:cstheme="minorHAnsi"/>
          <w:sz w:val="22"/>
          <w:szCs w:val="28"/>
        </w:rPr>
      </w:pPr>
      <w:r w:rsidRPr="00044B62">
        <w:rPr>
          <w:rFonts w:asciiTheme="minorHAnsi" w:hAnsiTheme="minorHAnsi" w:cstheme="minorHAnsi"/>
          <w:sz w:val="22"/>
          <w:szCs w:val="28"/>
        </w:rPr>
        <w:lastRenderedPageBreak/>
        <w:t>[15/Transsion]</w:t>
      </w:r>
      <w:r w:rsidR="00A8735B" w:rsidRPr="00044B62">
        <w:rPr>
          <w:rFonts w:asciiTheme="minorHAnsi" w:hAnsiTheme="minorHAnsi" w:cstheme="minorHAnsi"/>
          <w:sz w:val="22"/>
          <w:szCs w:val="28"/>
        </w:rPr>
        <w:t>: The EDT determination method for NR-U/LAA uplink can be used as a starting point for the study of EDT determination method for sidelink unlicensed access system.</w:t>
      </w:r>
    </w:p>
    <w:p w14:paraId="7521B648" w14:textId="77777777" w:rsidR="00E449A8" w:rsidRPr="0090258E" w:rsidRDefault="00E449A8" w:rsidP="00E449A8">
      <w:pPr>
        <w:pStyle w:val="ListParagraph"/>
        <w:numPr>
          <w:ilvl w:val="1"/>
          <w:numId w:val="15"/>
        </w:numPr>
        <w:ind w:leftChars="0"/>
        <w:rPr>
          <w:rFonts w:asciiTheme="minorHAnsi" w:hAnsiTheme="minorHAnsi" w:cstheme="minorHAnsi"/>
          <w:sz w:val="22"/>
          <w:szCs w:val="22"/>
        </w:rPr>
      </w:pPr>
      <w:r w:rsidRPr="0090258E">
        <w:rPr>
          <w:rFonts w:asciiTheme="minorHAnsi" w:hAnsiTheme="minorHAnsi" w:cstheme="minorHAnsi"/>
          <w:sz w:val="22"/>
          <w:szCs w:val="22"/>
        </w:rPr>
        <w:t xml:space="preserve">[30/Sharp] </w:t>
      </w:r>
      <w:r w:rsidRPr="0090258E">
        <w:rPr>
          <w:rFonts w:asciiTheme="minorHAnsi" w:eastAsiaTheme="minorEastAsia" w:hAnsiTheme="minorHAnsi" w:cstheme="minorHAnsi"/>
          <w:sz w:val="22"/>
          <w:szCs w:val="22"/>
          <w:lang w:eastAsia="zh-CN"/>
        </w:rPr>
        <w:t>When estimating the detected power on a channel within a sensing slot duration, energy on any frequency resources in the channel previously reserved by SCI, if any, is excluded.</w:t>
      </w:r>
    </w:p>
    <w:p w14:paraId="261A709D" w14:textId="48BFE6A2" w:rsidR="00B16C71" w:rsidRPr="005D441F" w:rsidRDefault="00582FC8" w:rsidP="005D441F">
      <w:pPr>
        <w:pStyle w:val="ListParagraph"/>
        <w:numPr>
          <w:ilvl w:val="0"/>
          <w:numId w:val="15"/>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C</w:t>
      </w:r>
      <w:r w:rsidR="00990545">
        <w:rPr>
          <w:rFonts w:asciiTheme="minorHAnsi" w:hAnsiTheme="minorHAnsi" w:cstheme="minorHAnsi"/>
          <w:b/>
          <w:bCs/>
          <w:sz w:val="22"/>
          <w:szCs w:val="28"/>
          <w:u w:val="single"/>
        </w:rPr>
        <w:t>ontention window (CW)</w:t>
      </w:r>
      <w:r>
        <w:rPr>
          <w:rFonts w:asciiTheme="minorHAnsi" w:hAnsiTheme="minorHAnsi" w:cstheme="minorHAnsi"/>
          <w:b/>
          <w:bCs/>
          <w:sz w:val="22"/>
          <w:szCs w:val="28"/>
          <w:u w:val="single"/>
        </w:rPr>
        <w:t xml:space="preserve"> adjustment</w:t>
      </w:r>
    </w:p>
    <w:p w14:paraId="68ECAF70" w14:textId="243BFDB8" w:rsidR="009361EC" w:rsidRDefault="009361EC" w:rsidP="000F53D7">
      <w:pPr>
        <w:pStyle w:val="ListParagraph"/>
        <w:numPr>
          <w:ilvl w:val="1"/>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SL-HARQ feedback is disabled in SCI (e.g., all cast types):</w:t>
      </w:r>
    </w:p>
    <w:p w14:paraId="2C81492C" w14:textId="33BC9396" w:rsidR="009361EC" w:rsidRDefault="00250AB2" w:rsidP="009361EC">
      <w:pPr>
        <w:pStyle w:val="ListParagraph"/>
        <w:numPr>
          <w:ilvl w:val="2"/>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Maintain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Pr>
          <w:rFonts w:asciiTheme="minorHAnsi" w:hAnsiTheme="minorHAnsi" w:cstheme="minorHAnsi"/>
          <w:color w:val="000000" w:themeColor="text1"/>
          <w:sz w:val="22"/>
          <w:szCs w:val="28"/>
        </w:rPr>
        <w:t xml:space="preserve"> as per Step 2) in DL CW adjustment procedures for NR-U</w:t>
      </w:r>
    </w:p>
    <w:p w14:paraId="6476AC0B" w14:textId="637DB4C8" w:rsidR="004874D4" w:rsidRPr="008621E0" w:rsidRDefault="00067F53" w:rsidP="004874D4">
      <w:pPr>
        <w:pStyle w:val="ListParagraph"/>
        <w:numPr>
          <w:ilvl w:val="3"/>
          <w:numId w:val="15"/>
        </w:numPr>
        <w:ind w:leftChars="0"/>
        <w:rPr>
          <w:rFonts w:asciiTheme="minorHAnsi" w:hAnsiTheme="minorHAnsi" w:cstheme="minorHAnsi"/>
          <w:color w:val="000000" w:themeColor="text1"/>
          <w:sz w:val="22"/>
          <w:szCs w:val="28"/>
          <w:lang w:val="it-IT"/>
        </w:rPr>
      </w:pPr>
      <w:r w:rsidRPr="008621E0">
        <w:rPr>
          <w:rFonts w:asciiTheme="minorHAnsi" w:hAnsiTheme="minorHAnsi" w:cstheme="minorHAnsi"/>
          <w:color w:val="000000" w:themeColor="text1"/>
          <w:sz w:val="22"/>
          <w:szCs w:val="28"/>
          <w:lang w:val="it-IT"/>
        </w:rPr>
        <w:t xml:space="preserve">[3/FW] (min p level), </w:t>
      </w:r>
      <w:r w:rsidR="004528DB" w:rsidRPr="008621E0">
        <w:rPr>
          <w:rFonts w:asciiTheme="minorHAnsi" w:hAnsiTheme="minorHAnsi" w:cstheme="minorHAnsi"/>
          <w:color w:val="000000" w:themeColor="text1"/>
          <w:sz w:val="22"/>
          <w:szCs w:val="28"/>
          <w:lang w:val="it-IT"/>
        </w:rPr>
        <w:t xml:space="preserve">[6/vivo], </w:t>
      </w:r>
      <w:r w:rsidR="004874D4" w:rsidRPr="008621E0">
        <w:rPr>
          <w:rFonts w:asciiTheme="minorHAnsi" w:hAnsiTheme="minorHAnsi" w:cstheme="minorHAnsi"/>
          <w:color w:val="000000" w:themeColor="text1"/>
          <w:sz w:val="22"/>
          <w:szCs w:val="28"/>
          <w:lang w:val="it-IT"/>
        </w:rPr>
        <w:t>[8/OPPO]</w:t>
      </w:r>
      <w:r w:rsidR="00EC7D69" w:rsidRPr="008621E0">
        <w:rPr>
          <w:rFonts w:asciiTheme="minorHAnsi" w:hAnsiTheme="minorHAnsi" w:cstheme="minorHAnsi"/>
          <w:color w:val="000000" w:themeColor="text1"/>
          <w:sz w:val="22"/>
          <w:szCs w:val="28"/>
          <w:lang w:val="it-IT"/>
        </w:rPr>
        <w:t>, [11/Intel]</w:t>
      </w:r>
      <w:r w:rsidR="007615A6" w:rsidRPr="008621E0">
        <w:rPr>
          <w:rFonts w:asciiTheme="minorHAnsi" w:hAnsiTheme="minorHAnsi" w:cstheme="minorHAnsi"/>
          <w:color w:val="000000" w:themeColor="text1"/>
          <w:sz w:val="22"/>
          <w:szCs w:val="28"/>
          <w:lang w:val="it-IT"/>
        </w:rPr>
        <w:t xml:space="preserve">, </w:t>
      </w:r>
      <w:r w:rsidR="00EA1835" w:rsidRPr="008621E0">
        <w:rPr>
          <w:rFonts w:asciiTheme="minorHAnsi" w:hAnsiTheme="minorHAnsi" w:cstheme="minorHAnsi"/>
          <w:sz w:val="22"/>
          <w:szCs w:val="28"/>
          <w:lang w:val="it-IT"/>
        </w:rPr>
        <w:t>[20/ETRI],</w:t>
      </w:r>
      <w:r w:rsidR="00EA1835" w:rsidRPr="008621E0">
        <w:rPr>
          <w:rFonts w:asciiTheme="minorHAnsi" w:hAnsiTheme="minorHAnsi" w:cstheme="minorHAnsi"/>
          <w:color w:val="000000" w:themeColor="text1"/>
          <w:sz w:val="22"/>
          <w:szCs w:val="28"/>
          <w:lang w:val="it-IT"/>
        </w:rPr>
        <w:t xml:space="preserve"> </w:t>
      </w:r>
      <w:r w:rsidR="007615A6" w:rsidRPr="008621E0">
        <w:rPr>
          <w:rFonts w:asciiTheme="minorHAnsi" w:hAnsiTheme="minorHAnsi" w:cstheme="minorHAnsi"/>
          <w:color w:val="000000" w:themeColor="text1"/>
          <w:sz w:val="22"/>
          <w:szCs w:val="28"/>
          <w:lang w:val="it-IT"/>
        </w:rPr>
        <w:t>[22/LGE]</w:t>
      </w:r>
      <w:r w:rsidR="00267801" w:rsidRPr="008621E0">
        <w:rPr>
          <w:rFonts w:asciiTheme="minorHAnsi" w:hAnsiTheme="minorHAnsi" w:cstheme="minorHAnsi"/>
          <w:color w:val="000000" w:themeColor="text1"/>
          <w:sz w:val="22"/>
          <w:szCs w:val="28"/>
          <w:lang w:val="it-IT"/>
        </w:rPr>
        <w:t>, [23/MediaTek]</w:t>
      </w:r>
      <w:r w:rsidR="00C31805" w:rsidRPr="008621E0">
        <w:rPr>
          <w:rFonts w:asciiTheme="minorHAnsi" w:hAnsiTheme="minorHAnsi" w:cstheme="minorHAnsi"/>
          <w:color w:val="000000" w:themeColor="text1"/>
          <w:sz w:val="22"/>
          <w:szCs w:val="28"/>
          <w:lang w:val="it-IT"/>
        </w:rPr>
        <w:t xml:space="preserve">, </w:t>
      </w:r>
      <w:r w:rsidR="0031193F" w:rsidRPr="008621E0">
        <w:rPr>
          <w:rFonts w:asciiTheme="minorHAnsi" w:hAnsiTheme="minorHAnsi" w:cstheme="minorHAnsi"/>
          <w:color w:val="000000" w:themeColor="text1"/>
          <w:sz w:val="22"/>
          <w:szCs w:val="28"/>
          <w:lang w:val="it-IT"/>
        </w:rPr>
        <w:t xml:space="preserve">[26/NSC], </w:t>
      </w:r>
      <w:r w:rsidR="00C31805" w:rsidRPr="008621E0">
        <w:rPr>
          <w:rFonts w:asciiTheme="minorHAnsi" w:hAnsiTheme="minorHAnsi" w:cstheme="minorHAnsi"/>
          <w:color w:val="000000" w:themeColor="text1"/>
          <w:sz w:val="22"/>
          <w:szCs w:val="28"/>
          <w:lang w:val="it-IT"/>
        </w:rPr>
        <w:t>[32/DCM]</w:t>
      </w:r>
      <w:r w:rsidR="002F6AF6" w:rsidRPr="008621E0">
        <w:rPr>
          <w:rFonts w:asciiTheme="minorHAnsi" w:hAnsiTheme="minorHAnsi" w:cstheme="minorHAnsi"/>
          <w:color w:val="000000" w:themeColor="text1"/>
          <w:sz w:val="22"/>
          <w:szCs w:val="28"/>
          <w:lang w:val="it-IT"/>
        </w:rPr>
        <w:t>, [37/WILUS]</w:t>
      </w:r>
    </w:p>
    <w:p w14:paraId="591CD645" w14:textId="2C41960D" w:rsidR="003F3B10" w:rsidRDefault="003F3B10" w:rsidP="009361EC">
      <w:pPr>
        <w:pStyle w:val="ListParagraph"/>
        <w:numPr>
          <w:ilvl w:val="2"/>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Adjust </w:t>
      </w:r>
      <w:r w:rsidRPr="003F3B10">
        <w:rPr>
          <w:rFonts w:asciiTheme="minorHAnsi" w:hAnsiTheme="minorHAnsi" w:cstheme="minorHAnsi"/>
          <w:color w:val="000000" w:themeColor="text1"/>
          <w:sz w:val="22"/>
          <w:szCs w:val="28"/>
        </w:rPr>
        <w:t xml:space="preserve">CW according to </w:t>
      </w:r>
      <w:r>
        <w:rPr>
          <w:rFonts w:asciiTheme="minorHAnsi" w:hAnsiTheme="minorHAnsi" w:cstheme="minorHAnsi"/>
          <w:color w:val="000000" w:themeColor="text1"/>
          <w:sz w:val="22"/>
          <w:szCs w:val="28"/>
        </w:rPr>
        <w:t xml:space="preserve">a </w:t>
      </w:r>
      <w:r w:rsidRPr="003F3B10">
        <w:rPr>
          <w:rFonts w:asciiTheme="minorHAnsi" w:hAnsiTheme="minorHAnsi" w:cstheme="minorHAnsi"/>
          <w:color w:val="000000" w:themeColor="text1"/>
          <w:sz w:val="22"/>
          <w:szCs w:val="28"/>
        </w:rPr>
        <w:t>number or ratio of blind retransmissions within a COT</w:t>
      </w:r>
    </w:p>
    <w:p w14:paraId="6B264CBB" w14:textId="0042DC68" w:rsidR="003F3B10" w:rsidRDefault="003F3B10" w:rsidP="003F3B10">
      <w:pPr>
        <w:pStyle w:val="ListParagraph"/>
        <w:numPr>
          <w:ilvl w:val="3"/>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[4/HW, HiSi]]</w:t>
      </w:r>
    </w:p>
    <w:p w14:paraId="005BDD3A" w14:textId="20D9A85E" w:rsidR="00250AB2" w:rsidRDefault="00273368" w:rsidP="009361EC">
      <w:pPr>
        <w:pStyle w:val="ListParagraph"/>
        <w:numPr>
          <w:ilvl w:val="2"/>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Use</w:t>
      </w:r>
      <w:r w:rsidRPr="00273368">
        <w:rPr>
          <w:rFonts w:asciiTheme="minorHAnsi" w:hAnsiTheme="minorHAnsi" w:cstheme="minorHAnsi"/>
          <w:color w:val="000000" w:themeColor="text1"/>
          <w:sz w:val="22"/>
          <w:szCs w:val="28"/>
        </w:rPr>
        <w:t xml:space="preserve"> sidelink CBR</w:t>
      </w:r>
      <w:r>
        <w:rPr>
          <w:rFonts w:asciiTheme="minorHAnsi" w:hAnsiTheme="minorHAnsi" w:cstheme="minorHAnsi"/>
          <w:color w:val="000000" w:themeColor="text1"/>
          <w:sz w:val="22"/>
          <w:szCs w:val="28"/>
        </w:rPr>
        <w:t xml:space="preserve"> and/or CR</w:t>
      </w:r>
      <w:r w:rsidRPr="00273368">
        <w:rPr>
          <w:rFonts w:asciiTheme="minorHAnsi" w:hAnsiTheme="minorHAnsi" w:cstheme="minorHAnsi"/>
          <w:color w:val="000000" w:themeColor="text1"/>
          <w:sz w:val="22"/>
          <w:szCs w:val="28"/>
        </w:rPr>
        <w:t xml:space="preserve"> </w:t>
      </w:r>
      <w:r>
        <w:rPr>
          <w:rFonts w:asciiTheme="minorHAnsi" w:hAnsiTheme="minorHAnsi" w:cstheme="minorHAnsi"/>
          <w:color w:val="000000" w:themeColor="text1"/>
          <w:sz w:val="22"/>
          <w:szCs w:val="28"/>
        </w:rPr>
        <w:t xml:space="preserve">measurement </w:t>
      </w:r>
      <w:r w:rsidRPr="00273368">
        <w:rPr>
          <w:rFonts w:asciiTheme="minorHAnsi" w:hAnsiTheme="minorHAnsi" w:cstheme="minorHAnsi"/>
          <w:color w:val="000000" w:themeColor="text1"/>
          <w:sz w:val="22"/>
          <w:szCs w:val="28"/>
        </w:rPr>
        <w:t xml:space="preserve">for </w:t>
      </w:r>
      <w:r>
        <w:rPr>
          <w:rFonts w:asciiTheme="minorHAnsi" w:hAnsiTheme="minorHAnsi" w:cstheme="minorHAnsi"/>
          <w:color w:val="000000" w:themeColor="text1"/>
          <w:sz w:val="22"/>
          <w:szCs w:val="28"/>
        </w:rPr>
        <w:t>CW</w:t>
      </w:r>
      <w:r w:rsidRPr="00273368">
        <w:rPr>
          <w:rFonts w:asciiTheme="minorHAnsi" w:hAnsiTheme="minorHAnsi" w:cstheme="minorHAnsi"/>
          <w:color w:val="000000" w:themeColor="text1"/>
          <w:sz w:val="22"/>
          <w:szCs w:val="28"/>
        </w:rPr>
        <w:t xml:space="preserve"> adjustment</w:t>
      </w:r>
    </w:p>
    <w:p w14:paraId="421C0946" w14:textId="2739A8DF" w:rsidR="00273368" w:rsidRPr="00273368" w:rsidRDefault="00E64077" w:rsidP="00273368">
      <w:pPr>
        <w:pStyle w:val="ListParagraph"/>
        <w:numPr>
          <w:ilvl w:val="3"/>
          <w:numId w:val="15"/>
        </w:numPr>
        <w:ind w:leftChars="0"/>
        <w:rPr>
          <w:rFonts w:asciiTheme="minorHAnsi" w:hAnsiTheme="minorHAnsi" w:cstheme="minorHAnsi"/>
          <w:sz w:val="22"/>
          <w:szCs w:val="28"/>
        </w:rPr>
      </w:pPr>
      <w:r>
        <w:rPr>
          <w:rFonts w:asciiTheme="minorHAnsi" w:hAnsiTheme="minorHAnsi" w:cstheme="minorHAnsi"/>
          <w:sz w:val="22"/>
          <w:szCs w:val="28"/>
        </w:rPr>
        <w:t xml:space="preserve">[2/Nokia, NSB], </w:t>
      </w:r>
      <w:r w:rsidR="00273368" w:rsidRPr="00273368">
        <w:rPr>
          <w:rFonts w:asciiTheme="minorHAnsi" w:hAnsiTheme="minorHAnsi" w:cstheme="minorHAnsi"/>
          <w:sz w:val="22"/>
          <w:szCs w:val="28"/>
        </w:rPr>
        <w:t xml:space="preserve">[5/Spreadtrum], </w:t>
      </w:r>
      <w:r w:rsidR="00E80C33" w:rsidRPr="00273368">
        <w:rPr>
          <w:rFonts w:asciiTheme="minorHAnsi" w:hAnsiTheme="minorHAnsi" w:cstheme="minorHAnsi"/>
          <w:sz w:val="22"/>
          <w:szCs w:val="28"/>
        </w:rPr>
        <w:t>[7/ZTE, SC]</w:t>
      </w:r>
      <w:r w:rsidR="00E80C33">
        <w:rPr>
          <w:rFonts w:asciiTheme="minorHAnsi" w:hAnsiTheme="minorHAnsi" w:cstheme="minorHAnsi"/>
          <w:sz w:val="22"/>
          <w:szCs w:val="28"/>
        </w:rPr>
        <w:t xml:space="preserve">, </w:t>
      </w:r>
      <w:r w:rsidR="00273368" w:rsidRPr="00273368">
        <w:rPr>
          <w:rFonts w:asciiTheme="minorHAnsi" w:hAnsiTheme="minorHAnsi" w:cstheme="minorHAnsi"/>
          <w:sz w:val="22"/>
          <w:szCs w:val="28"/>
        </w:rPr>
        <w:t xml:space="preserve">[14/NEC], </w:t>
      </w:r>
      <w:r w:rsidR="00D633E6">
        <w:rPr>
          <w:rFonts w:asciiTheme="minorHAnsi" w:hAnsiTheme="minorHAnsi" w:cstheme="minorHAnsi"/>
          <w:sz w:val="22"/>
          <w:szCs w:val="28"/>
        </w:rPr>
        <w:t xml:space="preserve">[16/CAICT], </w:t>
      </w:r>
      <w:r w:rsidR="00273368" w:rsidRPr="00273368">
        <w:rPr>
          <w:rFonts w:asciiTheme="minorHAnsi" w:hAnsiTheme="minorHAnsi" w:cstheme="minorHAnsi"/>
          <w:sz w:val="22"/>
          <w:szCs w:val="28"/>
        </w:rPr>
        <w:t xml:space="preserve">[28/Samsung], </w:t>
      </w:r>
      <w:r w:rsidR="00E449A8">
        <w:rPr>
          <w:rFonts w:asciiTheme="minorHAnsi" w:hAnsiTheme="minorHAnsi" w:cstheme="minorHAnsi"/>
          <w:sz w:val="22"/>
          <w:szCs w:val="28"/>
        </w:rPr>
        <w:t xml:space="preserve">[30/Sharp], </w:t>
      </w:r>
      <w:r w:rsidR="00A34BD4">
        <w:rPr>
          <w:rFonts w:asciiTheme="minorHAnsi" w:hAnsiTheme="minorHAnsi" w:cstheme="minorHAnsi"/>
          <w:sz w:val="22"/>
          <w:szCs w:val="28"/>
        </w:rPr>
        <w:t>[31/Panasonic]</w:t>
      </w:r>
    </w:p>
    <w:p w14:paraId="25207BCD" w14:textId="0700307D" w:rsidR="006A602C" w:rsidRDefault="009361EC" w:rsidP="000F53D7">
      <w:pPr>
        <w:pStyle w:val="ListParagraph"/>
        <w:numPr>
          <w:ilvl w:val="1"/>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For SL groupcast option 1 (NACK-only): </w:t>
      </w:r>
    </w:p>
    <w:p w14:paraId="72BA8E93" w14:textId="629CB55A" w:rsidR="009361EC" w:rsidRPr="00562ED3" w:rsidRDefault="00562ED3" w:rsidP="009361EC">
      <w:pPr>
        <w:pStyle w:val="ListParagraph"/>
        <w:numPr>
          <w:ilvl w:val="2"/>
          <w:numId w:val="15"/>
        </w:numPr>
        <w:ind w:leftChars="0"/>
        <w:rPr>
          <w:rFonts w:asciiTheme="minorHAnsi" w:hAnsiTheme="minorHAnsi" w:cstheme="minorHAnsi"/>
          <w:sz w:val="22"/>
          <w:szCs w:val="22"/>
        </w:rPr>
      </w:pPr>
      <w:r w:rsidRPr="00562ED3">
        <w:rPr>
          <w:rFonts w:asciiTheme="minorHAnsi" w:hAnsiTheme="minorHAnsi" w:cstheme="minorHAnsi"/>
          <w:sz w:val="22"/>
          <w:szCs w:val="22"/>
        </w:rPr>
        <w:t xml:space="preserve">When at least one NACK is received, </w:t>
      </w:r>
      <w:r w:rsidR="004A340C">
        <w:rPr>
          <w:rFonts w:asciiTheme="minorHAnsi" w:hAnsiTheme="minorHAnsi" w:cstheme="minorHAnsi"/>
          <w:sz w:val="22"/>
          <w:szCs w:val="22"/>
        </w:rPr>
        <w:t>i</w:t>
      </w:r>
      <w:r w:rsidRPr="00562ED3">
        <w:rPr>
          <w:rFonts w:asciiTheme="minorHAnsi" w:hAnsiTheme="minorHAnsi" w:cstheme="minorHAnsi"/>
          <w:sz w:val="22"/>
          <w:szCs w:val="22"/>
        </w:rPr>
        <w:t xml:space="preserve">ncrease </w:t>
      </w:r>
      <m:oMath>
        <m:r>
          <w:rPr>
            <w:rFonts w:ascii="Cambria Math" w:hAnsi="Cambria Math" w:cstheme="minorHAnsi"/>
            <w:sz w:val="22"/>
            <w:szCs w:val="22"/>
          </w:rPr>
          <m:t>C</m:t>
        </m:r>
        <m:sSub>
          <m:sSubPr>
            <m:ctrlPr>
              <w:rPr>
                <w:rFonts w:ascii="Cambria Math" w:hAnsi="Cambria Math" w:cstheme="minorHAnsi"/>
                <w:i/>
                <w:sz w:val="22"/>
                <w:szCs w:val="22"/>
              </w:rPr>
            </m:ctrlPr>
          </m:sSubPr>
          <m:e>
            <m:r>
              <w:rPr>
                <w:rFonts w:ascii="Cambria Math" w:hAnsi="Cambria Math" w:cstheme="minorHAnsi"/>
                <w:sz w:val="22"/>
                <w:szCs w:val="22"/>
              </w:rPr>
              <m:t>W</m:t>
            </m:r>
          </m:e>
          <m:sub>
            <m:r>
              <w:rPr>
                <w:rFonts w:ascii="Cambria Math" w:hAnsi="Cambria Math" w:cstheme="minorHAnsi"/>
                <w:sz w:val="22"/>
                <w:szCs w:val="22"/>
              </w:rPr>
              <m:t>p</m:t>
            </m:r>
          </m:sub>
        </m:sSub>
      </m:oMath>
      <w:r w:rsidRPr="00562ED3">
        <w:rPr>
          <w:rFonts w:asciiTheme="minorHAnsi" w:hAnsiTheme="minorHAnsi" w:cstheme="minorHAnsi"/>
          <w:sz w:val="22"/>
          <w:szCs w:val="22"/>
          <w:lang w:val="en-US"/>
        </w:rPr>
        <w:t xml:space="preserve"> for every priority class </w:t>
      </w:r>
      <m:oMath>
        <m:r>
          <w:rPr>
            <w:rFonts w:ascii="Cambria Math" w:hAnsi="Cambria Math" w:cstheme="minorHAnsi"/>
            <w:sz w:val="22"/>
            <w:szCs w:val="22"/>
          </w:rPr>
          <m:t>p∈</m:t>
        </m:r>
        <m:d>
          <m:dPr>
            <m:begChr m:val="{"/>
            <m:endChr m:val="}"/>
            <m:ctrlPr>
              <w:rPr>
                <w:rFonts w:ascii="Cambria Math" w:hAnsi="Cambria Math" w:cstheme="minorHAnsi"/>
                <w:i/>
                <w:sz w:val="22"/>
                <w:szCs w:val="22"/>
              </w:rPr>
            </m:ctrlPr>
          </m:dPr>
          <m:e>
            <m:r>
              <w:rPr>
                <w:rFonts w:ascii="Cambria Math" w:hAnsi="Cambria Math" w:cstheme="minorHAnsi"/>
                <w:sz w:val="22"/>
                <w:szCs w:val="22"/>
              </w:rPr>
              <m:t>1,2,3,4</m:t>
            </m:r>
          </m:e>
        </m:d>
      </m:oMath>
      <w:r w:rsidRPr="00562ED3">
        <w:rPr>
          <w:rFonts w:asciiTheme="minorHAnsi" w:hAnsiTheme="minorHAnsi" w:cstheme="minorHAnsi"/>
          <w:sz w:val="22"/>
          <w:szCs w:val="22"/>
        </w:rPr>
        <w:t xml:space="preserve"> to the next higher value</w:t>
      </w:r>
      <w:r w:rsidR="004A340C">
        <w:rPr>
          <w:rFonts w:asciiTheme="minorHAnsi" w:hAnsiTheme="minorHAnsi" w:cstheme="minorHAnsi"/>
          <w:sz w:val="22"/>
          <w:szCs w:val="22"/>
        </w:rPr>
        <w:t xml:space="preserve"> using Step 4) of </w:t>
      </w:r>
      <w:r w:rsidR="004A340C">
        <w:rPr>
          <w:rFonts w:asciiTheme="minorHAnsi" w:hAnsiTheme="minorHAnsi" w:cstheme="minorHAnsi"/>
          <w:color w:val="000000" w:themeColor="text1"/>
          <w:sz w:val="22"/>
          <w:szCs w:val="28"/>
        </w:rPr>
        <w:t>DL CW adjustment procedures for NR-U</w:t>
      </w:r>
    </w:p>
    <w:p w14:paraId="47FA6C2D" w14:textId="2D717B84" w:rsidR="00562ED3" w:rsidRPr="008621E0" w:rsidRDefault="00E64077" w:rsidP="00562ED3">
      <w:pPr>
        <w:pStyle w:val="ListParagraph"/>
        <w:numPr>
          <w:ilvl w:val="3"/>
          <w:numId w:val="15"/>
        </w:numPr>
        <w:ind w:leftChars="0"/>
        <w:rPr>
          <w:rFonts w:asciiTheme="minorHAnsi" w:hAnsiTheme="minorHAnsi" w:cstheme="minorHAnsi"/>
          <w:sz w:val="22"/>
          <w:szCs w:val="28"/>
          <w:lang w:val="it-IT"/>
        </w:rPr>
      </w:pPr>
      <w:r w:rsidRPr="008621E0">
        <w:rPr>
          <w:rFonts w:asciiTheme="minorHAnsi" w:hAnsiTheme="minorHAnsi" w:cstheme="minorHAnsi"/>
          <w:sz w:val="22"/>
          <w:szCs w:val="28"/>
          <w:lang w:val="it-IT"/>
        </w:rPr>
        <w:t>[2/Nokia, NSB],</w:t>
      </w:r>
      <w:r w:rsidR="00B73E70" w:rsidRPr="008621E0">
        <w:rPr>
          <w:rFonts w:asciiTheme="minorHAnsi" w:hAnsiTheme="minorHAnsi" w:cstheme="minorHAnsi"/>
          <w:sz w:val="22"/>
          <w:szCs w:val="28"/>
          <w:lang w:val="it-IT"/>
        </w:rPr>
        <w:t xml:space="preserve"> </w:t>
      </w:r>
      <w:r w:rsidR="008F07C4" w:rsidRPr="008621E0">
        <w:rPr>
          <w:rFonts w:asciiTheme="minorHAnsi" w:hAnsiTheme="minorHAnsi" w:cstheme="minorHAnsi"/>
          <w:sz w:val="22"/>
          <w:szCs w:val="28"/>
          <w:lang w:val="it-IT"/>
        </w:rPr>
        <w:t xml:space="preserve">[6/vivo], </w:t>
      </w:r>
      <w:r w:rsidR="00B73E70" w:rsidRPr="008621E0">
        <w:rPr>
          <w:rFonts w:asciiTheme="minorHAnsi" w:hAnsiTheme="minorHAnsi" w:cstheme="minorHAnsi"/>
          <w:sz w:val="22"/>
          <w:szCs w:val="28"/>
          <w:lang w:val="it-IT"/>
        </w:rPr>
        <w:t>[8/OPPO],</w:t>
      </w:r>
      <w:r w:rsidRPr="008621E0">
        <w:rPr>
          <w:rFonts w:asciiTheme="minorHAnsi" w:hAnsiTheme="minorHAnsi" w:cstheme="minorHAnsi"/>
          <w:sz w:val="22"/>
          <w:szCs w:val="28"/>
          <w:lang w:val="it-IT"/>
        </w:rPr>
        <w:t xml:space="preserve"> </w:t>
      </w:r>
      <w:r w:rsidR="00864D0C" w:rsidRPr="008621E0">
        <w:rPr>
          <w:rFonts w:asciiTheme="minorHAnsi" w:hAnsiTheme="minorHAnsi" w:cstheme="minorHAnsi"/>
          <w:sz w:val="22"/>
          <w:szCs w:val="28"/>
          <w:lang w:val="it-IT"/>
        </w:rPr>
        <w:t xml:space="preserve">[20/ETRI], </w:t>
      </w:r>
      <w:r w:rsidR="00562ED3" w:rsidRPr="008621E0">
        <w:rPr>
          <w:rFonts w:asciiTheme="minorHAnsi" w:hAnsiTheme="minorHAnsi" w:cstheme="minorHAnsi"/>
          <w:sz w:val="22"/>
          <w:szCs w:val="28"/>
          <w:lang w:val="it-IT"/>
        </w:rPr>
        <w:t>[22/LGE]</w:t>
      </w:r>
      <w:r w:rsidR="00EE3DC1" w:rsidRPr="008621E0">
        <w:rPr>
          <w:rFonts w:asciiTheme="minorHAnsi" w:hAnsiTheme="minorHAnsi" w:cstheme="minorHAnsi"/>
          <w:sz w:val="22"/>
          <w:szCs w:val="28"/>
          <w:lang w:val="it-IT"/>
        </w:rPr>
        <w:t>, [28/Samsung]</w:t>
      </w:r>
      <w:r w:rsidR="00C31805" w:rsidRPr="008621E0">
        <w:rPr>
          <w:rFonts w:asciiTheme="minorHAnsi" w:hAnsiTheme="minorHAnsi" w:cstheme="minorHAnsi"/>
          <w:sz w:val="22"/>
          <w:szCs w:val="28"/>
          <w:lang w:val="it-IT"/>
        </w:rPr>
        <w:t>, [32/DCM]</w:t>
      </w:r>
    </w:p>
    <w:p w14:paraId="3EA6FC20" w14:textId="77777777" w:rsidR="00701EE8" w:rsidRDefault="00273368" w:rsidP="00273368">
      <w:pPr>
        <w:pStyle w:val="ListParagraph"/>
        <w:numPr>
          <w:ilvl w:val="2"/>
          <w:numId w:val="15"/>
        </w:numPr>
        <w:ind w:leftChars="0"/>
        <w:rPr>
          <w:rFonts w:asciiTheme="minorHAnsi" w:hAnsiTheme="minorHAnsi" w:cstheme="minorHAnsi"/>
          <w:sz w:val="22"/>
          <w:szCs w:val="28"/>
        </w:rPr>
      </w:pPr>
      <w:r>
        <w:rPr>
          <w:rFonts w:asciiTheme="minorHAnsi" w:hAnsiTheme="minorHAnsi" w:cstheme="minorHAnsi"/>
          <w:sz w:val="22"/>
          <w:szCs w:val="28"/>
        </w:rPr>
        <w:t>When</w:t>
      </w:r>
      <w:r w:rsidRPr="00273368">
        <w:rPr>
          <w:rFonts w:asciiTheme="minorHAnsi" w:hAnsiTheme="minorHAnsi" w:cstheme="minorHAnsi"/>
          <w:sz w:val="22"/>
          <w:szCs w:val="28"/>
        </w:rPr>
        <w:t xml:space="preserve"> no NACK </w:t>
      </w:r>
      <w:r>
        <w:rPr>
          <w:rFonts w:asciiTheme="minorHAnsi" w:hAnsiTheme="minorHAnsi" w:cstheme="minorHAnsi"/>
          <w:sz w:val="22"/>
          <w:szCs w:val="28"/>
        </w:rPr>
        <w:t>is</w:t>
      </w:r>
      <w:r w:rsidRPr="00273368">
        <w:rPr>
          <w:rFonts w:asciiTheme="minorHAnsi" w:hAnsiTheme="minorHAnsi" w:cstheme="minorHAnsi"/>
          <w:sz w:val="22"/>
          <w:szCs w:val="28"/>
        </w:rPr>
        <w:t xml:space="preserve"> received, </w:t>
      </w:r>
    </w:p>
    <w:p w14:paraId="5914662C" w14:textId="501487B5" w:rsidR="00273368" w:rsidRDefault="00273368" w:rsidP="00701EE8">
      <w:pPr>
        <w:pStyle w:val="ListParagraph"/>
        <w:numPr>
          <w:ilvl w:val="3"/>
          <w:numId w:val="15"/>
        </w:numPr>
        <w:ind w:leftChars="0"/>
        <w:rPr>
          <w:rFonts w:asciiTheme="minorHAnsi" w:hAnsiTheme="minorHAnsi" w:cstheme="minorHAnsi"/>
          <w:sz w:val="22"/>
          <w:szCs w:val="28"/>
        </w:rPr>
      </w:pPr>
      <w:r w:rsidRPr="00273368">
        <w:rPr>
          <w:rFonts w:asciiTheme="minorHAnsi" w:hAnsiTheme="minorHAnsi" w:cstheme="minorHAnsi"/>
          <w:sz w:val="22"/>
          <w:szCs w:val="28"/>
        </w:rPr>
        <w:t xml:space="preserve">CWS </w:t>
      </w:r>
      <w:r>
        <w:rPr>
          <w:rFonts w:asciiTheme="minorHAnsi" w:hAnsiTheme="minorHAnsi" w:cstheme="minorHAnsi"/>
          <w:sz w:val="22"/>
          <w:szCs w:val="28"/>
        </w:rPr>
        <w:t>is reset</w:t>
      </w:r>
      <w:r w:rsidR="00B73E70">
        <w:rPr>
          <w:rFonts w:asciiTheme="minorHAnsi" w:hAnsiTheme="minorHAnsi" w:cstheme="minorHAnsi"/>
          <w:sz w:val="22"/>
          <w:szCs w:val="28"/>
        </w:rPr>
        <w:t xml:space="preserve"> to </w:t>
      </w:r>
      <m:oMath>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min</m:t>
                </m:r>
                <m:r>
                  <w:rPr>
                    <w:rFonts w:ascii="Cambria Math" w:hAnsi="Cambria Math"/>
                    <w:lang w:val="en-US"/>
                  </w:rPr>
                  <m:t>,</m:t>
                </m:r>
              </m:fName>
              <m:e>
                <m:r>
                  <w:rPr>
                    <w:rFonts w:ascii="Cambria Math" w:hAnsi="Cambria Math"/>
                  </w:rPr>
                  <m:t>p</m:t>
                </m:r>
              </m:e>
            </m:func>
          </m:sub>
        </m:sSub>
      </m:oMath>
      <w:r w:rsidR="00B73E70">
        <w:rPr>
          <w:rFonts w:asciiTheme="minorHAnsi" w:hAnsiTheme="minorHAnsi" w:cstheme="minorHAnsi"/>
        </w:rPr>
        <w:t xml:space="preserve"> </w:t>
      </w:r>
      <w:r w:rsidR="00B73E70" w:rsidRPr="00562ED3">
        <w:rPr>
          <w:rFonts w:asciiTheme="minorHAnsi" w:hAnsiTheme="minorHAnsi" w:cstheme="minorHAnsi"/>
          <w:sz w:val="22"/>
          <w:szCs w:val="22"/>
          <w:lang w:val="en-US"/>
        </w:rPr>
        <w:t xml:space="preserve">for every priority class </w:t>
      </w:r>
      <m:oMath>
        <m:r>
          <w:rPr>
            <w:rFonts w:ascii="Cambria Math" w:hAnsi="Cambria Math" w:cstheme="minorHAnsi"/>
            <w:sz w:val="22"/>
            <w:szCs w:val="22"/>
          </w:rPr>
          <m:t>p∈</m:t>
        </m:r>
        <m:d>
          <m:dPr>
            <m:begChr m:val="{"/>
            <m:endChr m:val="}"/>
            <m:ctrlPr>
              <w:rPr>
                <w:rFonts w:ascii="Cambria Math" w:hAnsi="Cambria Math" w:cstheme="minorHAnsi"/>
                <w:i/>
                <w:sz w:val="22"/>
                <w:szCs w:val="22"/>
              </w:rPr>
            </m:ctrlPr>
          </m:dPr>
          <m:e>
            <m:r>
              <w:rPr>
                <w:rFonts w:ascii="Cambria Math" w:hAnsi="Cambria Math" w:cstheme="minorHAnsi"/>
                <w:sz w:val="22"/>
                <w:szCs w:val="22"/>
              </w:rPr>
              <m:t>1,2,3,4</m:t>
            </m:r>
          </m:e>
        </m:d>
      </m:oMath>
    </w:p>
    <w:p w14:paraId="65C2B4F3" w14:textId="376202F2" w:rsidR="00273368" w:rsidRPr="008621E0" w:rsidRDefault="00E64077" w:rsidP="00701EE8">
      <w:pPr>
        <w:pStyle w:val="ListParagraph"/>
        <w:numPr>
          <w:ilvl w:val="4"/>
          <w:numId w:val="15"/>
        </w:numPr>
        <w:ind w:leftChars="0"/>
        <w:rPr>
          <w:rFonts w:asciiTheme="minorHAnsi" w:hAnsiTheme="minorHAnsi" w:cstheme="minorHAnsi"/>
          <w:sz w:val="22"/>
          <w:szCs w:val="28"/>
          <w:lang w:val="it-IT"/>
        </w:rPr>
      </w:pPr>
      <w:r w:rsidRPr="008621E0">
        <w:rPr>
          <w:rFonts w:asciiTheme="minorHAnsi" w:hAnsiTheme="minorHAnsi" w:cstheme="minorHAnsi"/>
          <w:sz w:val="22"/>
          <w:szCs w:val="28"/>
          <w:lang w:val="it-IT"/>
        </w:rPr>
        <w:t>[2/Nokia, NSB], [8/OPPO]</w:t>
      </w:r>
      <w:r w:rsidR="007B2FFF" w:rsidRPr="008621E0">
        <w:rPr>
          <w:rFonts w:asciiTheme="minorHAnsi" w:hAnsiTheme="minorHAnsi" w:cstheme="minorHAnsi"/>
          <w:sz w:val="22"/>
          <w:szCs w:val="28"/>
          <w:lang w:val="it-IT"/>
        </w:rPr>
        <w:t>,</w:t>
      </w:r>
      <w:r w:rsidRPr="008621E0">
        <w:rPr>
          <w:rFonts w:asciiTheme="minorHAnsi" w:hAnsiTheme="minorHAnsi" w:cstheme="minorHAnsi"/>
          <w:sz w:val="22"/>
          <w:szCs w:val="28"/>
          <w:lang w:val="it-IT"/>
        </w:rPr>
        <w:t xml:space="preserve"> </w:t>
      </w:r>
      <w:r w:rsidR="007B2FFF" w:rsidRPr="008621E0">
        <w:rPr>
          <w:rFonts w:asciiTheme="minorHAnsi" w:hAnsiTheme="minorHAnsi" w:cstheme="minorHAnsi"/>
          <w:sz w:val="22"/>
          <w:szCs w:val="28"/>
          <w:lang w:val="it-IT"/>
        </w:rPr>
        <w:t xml:space="preserve">[20/ETRI], </w:t>
      </w:r>
      <w:r w:rsidR="00273368" w:rsidRPr="008621E0">
        <w:rPr>
          <w:rFonts w:asciiTheme="minorHAnsi" w:hAnsiTheme="minorHAnsi" w:cstheme="minorHAnsi"/>
          <w:sz w:val="22"/>
          <w:szCs w:val="28"/>
          <w:lang w:val="it-IT"/>
        </w:rPr>
        <w:t>[37/WILUS]</w:t>
      </w:r>
    </w:p>
    <w:p w14:paraId="0DAEA293" w14:textId="2CB2E961" w:rsidR="00701EE8" w:rsidRPr="00701EE8" w:rsidRDefault="00701EE8" w:rsidP="00701EE8">
      <w:pPr>
        <w:pStyle w:val="ListParagraph"/>
        <w:numPr>
          <w:ilvl w:val="3"/>
          <w:numId w:val="15"/>
        </w:numPr>
        <w:ind w:leftChars="0"/>
        <w:rPr>
          <w:rFonts w:asciiTheme="minorHAnsi" w:hAnsiTheme="minorHAnsi" w:cstheme="minorHAnsi"/>
          <w:sz w:val="22"/>
          <w:szCs w:val="28"/>
        </w:rPr>
      </w:pPr>
      <w:r>
        <w:rPr>
          <w:rFonts w:asciiTheme="minorHAnsi" w:hAnsiTheme="minorHAnsi" w:cstheme="minorHAnsi"/>
          <w:sz w:val="22"/>
          <w:szCs w:val="28"/>
        </w:rPr>
        <w:t xml:space="preserve">CW is maintained for every priority class </w:t>
      </w:r>
      <m:oMath>
        <m:r>
          <w:rPr>
            <w:rFonts w:ascii="Cambria Math" w:hAnsi="Cambria Math" w:cstheme="minorHAnsi"/>
            <w:sz w:val="22"/>
            <w:szCs w:val="22"/>
          </w:rPr>
          <m:t>p∈</m:t>
        </m:r>
        <m:d>
          <m:dPr>
            <m:begChr m:val="{"/>
            <m:endChr m:val="}"/>
            <m:ctrlPr>
              <w:rPr>
                <w:rFonts w:ascii="Cambria Math" w:hAnsi="Cambria Math" w:cstheme="minorHAnsi"/>
                <w:i/>
                <w:sz w:val="22"/>
                <w:szCs w:val="22"/>
              </w:rPr>
            </m:ctrlPr>
          </m:dPr>
          <m:e>
            <m:r>
              <w:rPr>
                <w:rFonts w:ascii="Cambria Math" w:hAnsi="Cambria Math" w:cstheme="minorHAnsi"/>
                <w:sz w:val="22"/>
                <w:szCs w:val="22"/>
              </w:rPr>
              <m:t>1,2,3,4</m:t>
            </m:r>
          </m:e>
        </m:d>
      </m:oMath>
    </w:p>
    <w:p w14:paraId="66AFF558" w14:textId="03F53C92" w:rsidR="00701EE8" w:rsidRDefault="00701EE8" w:rsidP="00701EE8">
      <w:pPr>
        <w:pStyle w:val="ListParagraph"/>
        <w:numPr>
          <w:ilvl w:val="4"/>
          <w:numId w:val="15"/>
        </w:numPr>
        <w:ind w:leftChars="0"/>
        <w:rPr>
          <w:rFonts w:asciiTheme="minorHAnsi" w:hAnsiTheme="minorHAnsi" w:cstheme="minorHAnsi"/>
          <w:sz w:val="22"/>
          <w:szCs w:val="28"/>
        </w:rPr>
      </w:pPr>
      <w:r>
        <w:rPr>
          <w:rFonts w:asciiTheme="minorHAnsi" w:hAnsiTheme="minorHAnsi" w:cstheme="minorHAnsi"/>
          <w:sz w:val="22"/>
          <w:szCs w:val="28"/>
        </w:rPr>
        <w:t>[6/vivo]</w:t>
      </w:r>
      <w:r w:rsidR="001F7E16">
        <w:rPr>
          <w:rFonts w:asciiTheme="minorHAnsi" w:hAnsiTheme="minorHAnsi" w:cstheme="minorHAnsi"/>
          <w:sz w:val="22"/>
          <w:szCs w:val="28"/>
        </w:rPr>
        <w:t>, [25/Apple]</w:t>
      </w:r>
    </w:p>
    <w:p w14:paraId="575F1B56" w14:textId="4DFE3D84" w:rsidR="003F3B10" w:rsidRPr="003F3B10" w:rsidRDefault="003F3B10" w:rsidP="003050F1">
      <w:pPr>
        <w:pStyle w:val="ListParagraph"/>
        <w:numPr>
          <w:ilvl w:val="2"/>
          <w:numId w:val="15"/>
        </w:numPr>
        <w:ind w:leftChars="0"/>
        <w:rPr>
          <w:rFonts w:asciiTheme="minorHAnsi" w:hAnsiTheme="minorHAnsi" w:cstheme="minorHAnsi"/>
          <w:sz w:val="22"/>
          <w:szCs w:val="28"/>
        </w:rPr>
      </w:pPr>
      <w:r>
        <w:rPr>
          <w:rFonts w:asciiTheme="minorHAnsi" w:hAnsiTheme="minorHAnsi" w:cstheme="minorHAnsi"/>
          <w:sz w:val="22"/>
          <w:szCs w:val="28"/>
        </w:rPr>
        <w:t xml:space="preserve">CW is maintained for every priority class </w:t>
      </w:r>
      <m:oMath>
        <m:r>
          <w:rPr>
            <w:rFonts w:ascii="Cambria Math" w:hAnsi="Cambria Math" w:cstheme="minorHAnsi"/>
            <w:sz w:val="22"/>
            <w:szCs w:val="22"/>
          </w:rPr>
          <m:t>p∈</m:t>
        </m:r>
        <m:d>
          <m:dPr>
            <m:begChr m:val="{"/>
            <m:endChr m:val="}"/>
            <m:ctrlPr>
              <w:rPr>
                <w:rFonts w:ascii="Cambria Math" w:hAnsi="Cambria Math" w:cstheme="minorHAnsi"/>
                <w:i/>
                <w:sz w:val="22"/>
                <w:szCs w:val="22"/>
              </w:rPr>
            </m:ctrlPr>
          </m:dPr>
          <m:e>
            <m:r>
              <w:rPr>
                <w:rFonts w:ascii="Cambria Math" w:hAnsi="Cambria Math" w:cstheme="minorHAnsi"/>
                <w:sz w:val="22"/>
                <w:szCs w:val="22"/>
              </w:rPr>
              <m:t>1,2,3,4</m:t>
            </m:r>
          </m:e>
        </m:d>
      </m:oMath>
    </w:p>
    <w:p w14:paraId="2D8ACC98" w14:textId="4E1543DF" w:rsidR="003F3B10" w:rsidRDefault="003F3B10" w:rsidP="003F3B10">
      <w:pPr>
        <w:pStyle w:val="ListParagraph"/>
        <w:numPr>
          <w:ilvl w:val="3"/>
          <w:numId w:val="15"/>
        </w:numPr>
        <w:ind w:leftChars="0"/>
        <w:rPr>
          <w:rFonts w:asciiTheme="minorHAnsi" w:hAnsiTheme="minorHAnsi" w:cstheme="minorHAnsi"/>
          <w:sz w:val="22"/>
          <w:szCs w:val="28"/>
        </w:rPr>
      </w:pPr>
      <w:r>
        <w:rPr>
          <w:rFonts w:asciiTheme="minorHAnsi" w:hAnsiTheme="minorHAnsi" w:cstheme="minorHAnsi"/>
          <w:sz w:val="22"/>
          <w:szCs w:val="28"/>
        </w:rPr>
        <w:t>[4/HW, HiSi]</w:t>
      </w:r>
    </w:p>
    <w:p w14:paraId="53D70745" w14:textId="17A5F9FF" w:rsidR="00BD7738" w:rsidRDefault="00BD7738" w:rsidP="003050F1">
      <w:pPr>
        <w:pStyle w:val="ListParagraph"/>
        <w:numPr>
          <w:ilvl w:val="2"/>
          <w:numId w:val="15"/>
        </w:numPr>
        <w:ind w:leftChars="0"/>
        <w:rPr>
          <w:rFonts w:asciiTheme="minorHAnsi" w:hAnsiTheme="minorHAnsi" w:cstheme="minorHAnsi"/>
          <w:sz w:val="22"/>
          <w:szCs w:val="28"/>
        </w:rPr>
      </w:pPr>
      <w:r>
        <w:rPr>
          <w:rFonts w:asciiTheme="minorHAnsi" w:hAnsiTheme="minorHAnsi" w:cstheme="minorHAnsi"/>
          <w:sz w:val="22"/>
          <w:szCs w:val="28"/>
        </w:rPr>
        <w:t>An ACK-only procedure</w:t>
      </w:r>
    </w:p>
    <w:p w14:paraId="557471EB" w14:textId="7D2F6E8C" w:rsidR="00BD7738" w:rsidRDefault="00BD7738" w:rsidP="00BD7738">
      <w:pPr>
        <w:pStyle w:val="ListParagraph"/>
        <w:numPr>
          <w:ilvl w:val="3"/>
          <w:numId w:val="15"/>
        </w:numPr>
        <w:ind w:leftChars="0"/>
        <w:rPr>
          <w:rFonts w:asciiTheme="minorHAnsi" w:hAnsiTheme="minorHAnsi" w:cstheme="minorHAnsi"/>
          <w:sz w:val="22"/>
          <w:szCs w:val="28"/>
        </w:rPr>
      </w:pPr>
      <w:r>
        <w:rPr>
          <w:rFonts w:asciiTheme="minorHAnsi" w:hAnsiTheme="minorHAnsi" w:cstheme="minorHAnsi"/>
          <w:sz w:val="22"/>
          <w:szCs w:val="28"/>
        </w:rPr>
        <w:t>[11/Intel]</w:t>
      </w:r>
      <w:r w:rsidR="00780E6C">
        <w:rPr>
          <w:rFonts w:asciiTheme="minorHAnsi" w:hAnsiTheme="minorHAnsi" w:cstheme="minorHAnsi"/>
          <w:sz w:val="22"/>
          <w:szCs w:val="28"/>
        </w:rPr>
        <w:t>, [7/ZTE, SC]</w:t>
      </w:r>
    </w:p>
    <w:p w14:paraId="59336C32" w14:textId="030D8892" w:rsidR="00A13DD1" w:rsidRDefault="00A13DD1" w:rsidP="003050F1">
      <w:pPr>
        <w:pStyle w:val="ListParagraph"/>
        <w:numPr>
          <w:ilvl w:val="2"/>
          <w:numId w:val="15"/>
        </w:numPr>
        <w:ind w:leftChars="0"/>
        <w:rPr>
          <w:rFonts w:asciiTheme="minorHAnsi" w:hAnsiTheme="minorHAnsi" w:cstheme="minorHAnsi"/>
          <w:sz w:val="22"/>
          <w:szCs w:val="28"/>
        </w:rPr>
      </w:pPr>
      <w:r>
        <w:rPr>
          <w:rFonts w:asciiTheme="minorHAnsi" w:hAnsiTheme="minorHAnsi" w:cstheme="minorHAnsi"/>
          <w:sz w:val="22"/>
          <w:szCs w:val="28"/>
        </w:rPr>
        <w:t>Introduce additional PSFCH opportunity. If no NACK is received, CW reset to min.</w:t>
      </w:r>
    </w:p>
    <w:p w14:paraId="393CEE34" w14:textId="53F4D634" w:rsidR="00A13DD1" w:rsidRDefault="00A13DD1" w:rsidP="00A13DD1">
      <w:pPr>
        <w:pStyle w:val="ListParagraph"/>
        <w:numPr>
          <w:ilvl w:val="3"/>
          <w:numId w:val="15"/>
        </w:numPr>
        <w:ind w:leftChars="0"/>
        <w:rPr>
          <w:rFonts w:asciiTheme="minorHAnsi" w:hAnsiTheme="minorHAnsi" w:cstheme="minorHAnsi"/>
          <w:sz w:val="22"/>
          <w:szCs w:val="28"/>
        </w:rPr>
      </w:pPr>
      <w:r>
        <w:rPr>
          <w:rFonts w:asciiTheme="minorHAnsi" w:hAnsiTheme="minorHAnsi" w:cstheme="minorHAnsi"/>
          <w:sz w:val="22"/>
          <w:szCs w:val="28"/>
        </w:rPr>
        <w:t>[3/FW]</w:t>
      </w:r>
    </w:p>
    <w:p w14:paraId="3EDB0517" w14:textId="62EA7FBD" w:rsidR="00AC48CC" w:rsidRPr="00AC48CC" w:rsidRDefault="00AC48CC" w:rsidP="003050F1">
      <w:pPr>
        <w:pStyle w:val="ListParagraph"/>
        <w:numPr>
          <w:ilvl w:val="2"/>
          <w:numId w:val="15"/>
        </w:numPr>
        <w:ind w:leftChars="0"/>
        <w:rPr>
          <w:rFonts w:asciiTheme="minorHAnsi" w:hAnsiTheme="minorHAnsi" w:cstheme="minorHAnsi"/>
          <w:sz w:val="22"/>
          <w:szCs w:val="28"/>
        </w:rPr>
      </w:pPr>
      <w:r>
        <w:rPr>
          <w:rFonts w:asciiTheme="minorHAnsi" w:hAnsiTheme="minorHAnsi" w:cstheme="minorHAnsi"/>
          <w:sz w:val="22"/>
          <w:szCs w:val="28"/>
        </w:rPr>
        <w:t xml:space="preserve">Introduce ACK reporting and at least one ACK is received, </w:t>
      </w:r>
      <w:r w:rsidRPr="00273368">
        <w:rPr>
          <w:rFonts w:asciiTheme="minorHAnsi" w:hAnsiTheme="minorHAnsi" w:cstheme="minorHAnsi"/>
          <w:sz w:val="22"/>
          <w:szCs w:val="28"/>
        </w:rPr>
        <w:t xml:space="preserve">CWS </w:t>
      </w:r>
      <w:r>
        <w:rPr>
          <w:rFonts w:asciiTheme="minorHAnsi" w:hAnsiTheme="minorHAnsi" w:cstheme="minorHAnsi"/>
          <w:sz w:val="22"/>
          <w:szCs w:val="28"/>
        </w:rPr>
        <w:t xml:space="preserve">is reset to </w:t>
      </w:r>
      <m:oMath>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min</m:t>
                </m:r>
                <m:r>
                  <w:rPr>
                    <w:rFonts w:ascii="Cambria Math" w:hAnsi="Cambria Math"/>
                    <w:lang w:val="en-US"/>
                  </w:rPr>
                  <m:t>,</m:t>
                </m:r>
              </m:fName>
              <m:e>
                <m:r>
                  <w:rPr>
                    <w:rFonts w:ascii="Cambria Math" w:hAnsi="Cambria Math"/>
                  </w:rPr>
                  <m:t>p</m:t>
                </m:r>
              </m:e>
            </m:func>
          </m:sub>
        </m:sSub>
      </m:oMath>
      <w:r>
        <w:rPr>
          <w:rFonts w:asciiTheme="minorHAnsi" w:hAnsiTheme="minorHAnsi" w:cstheme="minorHAnsi"/>
        </w:rPr>
        <w:t xml:space="preserve"> </w:t>
      </w:r>
      <w:r w:rsidRPr="00562ED3">
        <w:rPr>
          <w:rFonts w:asciiTheme="minorHAnsi" w:hAnsiTheme="minorHAnsi" w:cstheme="minorHAnsi"/>
          <w:sz w:val="22"/>
          <w:szCs w:val="22"/>
          <w:lang w:val="en-US"/>
        </w:rPr>
        <w:t xml:space="preserve">for every priority class </w:t>
      </w:r>
      <m:oMath>
        <m:r>
          <w:rPr>
            <w:rFonts w:ascii="Cambria Math" w:hAnsi="Cambria Math" w:cstheme="minorHAnsi"/>
            <w:sz w:val="22"/>
            <w:szCs w:val="22"/>
          </w:rPr>
          <m:t>p∈</m:t>
        </m:r>
        <m:d>
          <m:dPr>
            <m:begChr m:val="{"/>
            <m:endChr m:val="}"/>
            <m:ctrlPr>
              <w:rPr>
                <w:rFonts w:ascii="Cambria Math" w:hAnsi="Cambria Math" w:cstheme="minorHAnsi"/>
                <w:i/>
                <w:sz w:val="22"/>
                <w:szCs w:val="22"/>
              </w:rPr>
            </m:ctrlPr>
          </m:dPr>
          <m:e>
            <m:r>
              <w:rPr>
                <w:rFonts w:ascii="Cambria Math" w:hAnsi="Cambria Math" w:cstheme="minorHAnsi"/>
                <w:sz w:val="22"/>
                <w:szCs w:val="22"/>
              </w:rPr>
              <m:t>1,2,3,4</m:t>
            </m:r>
          </m:e>
        </m:d>
      </m:oMath>
    </w:p>
    <w:p w14:paraId="2837B5EC" w14:textId="0F2CA923" w:rsidR="00AC48CC" w:rsidRDefault="00AC48CC" w:rsidP="00AC48CC">
      <w:pPr>
        <w:pStyle w:val="ListParagraph"/>
        <w:numPr>
          <w:ilvl w:val="3"/>
          <w:numId w:val="15"/>
        </w:numPr>
        <w:ind w:leftChars="0"/>
        <w:rPr>
          <w:rFonts w:asciiTheme="minorHAnsi" w:hAnsiTheme="minorHAnsi" w:cstheme="minorHAnsi"/>
          <w:sz w:val="22"/>
          <w:szCs w:val="28"/>
        </w:rPr>
      </w:pPr>
      <w:r>
        <w:rPr>
          <w:rFonts w:asciiTheme="minorHAnsi" w:hAnsiTheme="minorHAnsi" w:cstheme="minorHAnsi"/>
          <w:sz w:val="22"/>
          <w:szCs w:val="22"/>
        </w:rPr>
        <w:t>[22/LGE]</w:t>
      </w:r>
      <w:r w:rsidR="00E65E22">
        <w:rPr>
          <w:rFonts w:asciiTheme="minorHAnsi" w:hAnsiTheme="minorHAnsi" w:cstheme="minorHAnsi"/>
          <w:sz w:val="22"/>
          <w:szCs w:val="22"/>
        </w:rPr>
        <w:t>, [6/vivo]</w:t>
      </w:r>
    </w:p>
    <w:p w14:paraId="128203D0" w14:textId="6F30D151" w:rsidR="003050F1" w:rsidRPr="003050F1" w:rsidRDefault="003050F1" w:rsidP="003050F1">
      <w:pPr>
        <w:pStyle w:val="ListParagraph"/>
        <w:numPr>
          <w:ilvl w:val="2"/>
          <w:numId w:val="15"/>
        </w:numPr>
        <w:ind w:leftChars="0"/>
        <w:rPr>
          <w:rFonts w:asciiTheme="minorHAnsi" w:hAnsiTheme="minorHAnsi" w:cstheme="minorHAnsi"/>
          <w:sz w:val="22"/>
          <w:szCs w:val="28"/>
        </w:rPr>
      </w:pPr>
      <w:r>
        <w:rPr>
          <w:rFonts w:asciiTheme="minorHAnsi" w:hAnsiTheme="minorHAnsi" w:cstheme="minorHAnsi"/>
          <w:sz w:val="22"/>
          <w:szCs w:val="28"/>
        </w:rPr>
        <w:t xml:space="preserve">When NACK is feedback from all UEs, </w:t>
      </w:r>
      <w:r>
        <w:rPr>
          <w:rFonts w:asciiTheme="minorHAnsi" w:hAnsiTheme="minorHAnsi" w:cstheme="minorHAnsi"/>
          <w:sz w:val="22"/>
          <w:szCs w:val="22"/>
        </w:rPr>
        <w:t>i</w:t>
      </w:r>
      <w:r w:rsidRPr="00562ED3">
        <w:rPr>
          <w:rFonts w:asciiTheme="minorHAnsi" w:hAnsiTheme="minorHAnsi" w:cstheme="minorHAnsi"/>
          <w:sz w:val="22"/>
          <w:szCs w:val="22"/>
        </w:rPr>
        <w:t xml:space="preserve">ncrease </w:t>
      </w:r>
      <m:oMath>
        <m:r>
          <w:rPr>
            <w:rFonts w:ascii="Cambria Math" w:hAnsi="Cambria Math" w:cstheme="minorHAnsi"/>
            <w:sz w:val="22"/>
            <w:szCs w:val="22"/>
          </w:rPr>
          <m:t>C</m:t>
        </m:r>
        <m:sSub>
          <m:sSubPr>
            <m:ctrlPr>
              <w:rPr>
                <w:rFonts w:ascii="Cambria Math" w:hAnsi="Cambria Math" w:cstheme="minorHAnsi"/>
                <w:i/>
                <w:sz w:val="22"/>
                <w:szCs w:val="22"/>
              </w:rPr>
            </m:ctrlPr>
          </m:sSubPr>
          <m:e>
            <m:r>
              <w:rPr>
                <w:rFonts w:ascii="Cambria Math" w:hAnsi="Cambria Math" w:cstheme="minorHAnsi"/>
                <w:sz w:val="22"/>
                <w:szCs w:val="22"/>
              </w:rPr>
              <m:t>W</m:t>
            </m:r>
          </m:e>
          <m:sub>
            <m:r>
              <w:rPr>
                <w:rFonts w:ascii="Cambria Math" w:hAnsi="Cambria Math" w:cstheme="minorHAnsi"/>
                <w:sz w:val="22"/>
                <w:szCs w:val="22"/>
              </w:rPr>
              <m:t>p</m:t>
            </m:r>
          </m:sub>
        </m:sSub>
      </m:oMath>
      <w:r w:rsidRPr="00562ED3">
        <w:rPr>
          <w:rFonts w:asciiTheme="minorHAnsi" w:hAnsiTheme="minorHAnsi" w:cstheme="minorHAnsi"/>
          <w:sz w:val="22"/>
          <w:szCs w:val="22"/>
          <w:lang w:val="en-US"/>
        </w:rPr>
        <w:t xml:space="preserve"> for every priority class </w:t>
      </w:r>
      <m:oMath>
        <m:r>
          <w:rPr>
            <w:rFonts w:ascii="Cambria Math" w:hAnsi="Cambria Math" w:cstheme="minorHAnsi"/>
            <w:sz w:val="22"/>
            <w:szCs w:val="22"/>
          </w:rPr>
          <m:t>p∈</m:t>
        </m:r>
        <m:d>
          <m:dPr>
            <m:begChr m:val="{"/>
            <m:endChr m:val="}"/>
            <m:ctrlPr>
              <w:rPr>
                <w:rFonts w:ascii="Cambria Math" w:hAnsi="Cambria Math" w:cstheme="minorHAnsi"/>
                <w:i/>
                <w:sz w:val="22"/>
                <w:szCs w:val="22"/>
              </w:rPr>
            </m:ctrlPr>
          </m:dPr>
          <m:e>
            <m:r>
              <w:rPr>
                <w:rFonts w:ascii="Cambria Math" w:hAnsi="Cambria Math" w:cstheme="minorHAnsi"/>
                <w:sz w:val="22"/>
                <w:szCs w:val="22"/>
              </w:rPr>
              <m:t>1,2,3,4</m:t>
            </m:r>
          </m:e>
        </m:d>
      </m:oMath>
      <w:r w:rsidRPr="00562ED3">
        <w:rPr>
          <w:rFonts w:asciiTheme="minorHAnsi" w:hAnsiTheme="minorHAnsi" w:cstheme="minorHAnsi"/>
          <w:sz w:val="22"/>
          <w:szCs w:val="22"/>
        </w:rPr>
        <w:t xml:space="preserve"> to the next higher value</w:t>
      </w:r>
    </w:p>
    <w:p w14:paraId="033BAE56" w14:textId="296DD988" w:rsidR="003050F1" w:rsidRPr="00835752" w:rsidRDefault="003050F1" w:rsidP="003050F1">
      <w:pPr>
        <w:pStyle w:val="ListParagraph"/>
        <w:numPr>
          <w:ilvl w:val="3"/>
          <w:numId w:val="15"/>
        </w:numPr>
        <w:ind w:leftChars="0"/>
        <w:rPr>
          <w:rFonts w:asciiTheme="minorHAnsi" w:hAnsiTheme="minorHAnsi" w:cstheme="minorHAnsi"/>
          <w:sz w:val="22"/>
          <w:szCs w:val="28"/>
        </w:rPr>
      </w:pPr>
      <w:r>
        <w:rPr>
          <w:rFonts w:asciiTheme="minorHAnsi" w:hAnsiTheme="minorHAnsi" w:cstheme="minorHAnsi"/>
          <w:sz w:val="22"/>
          <w:szCs w:val="22"/>
        </w:rPr>
        <w:t>[37/WILUS]</w:t>
      </w:r>
      <w:r w:rsidR="00370CF0">
        <w:rPr>
          <w:rFonts w:asciiTheme="minorHAnsi" w:hAnsiTheme="minorHAnsi" w:cstheme="minorHAnsi"/>
          <w:sz w:val="22"/>
          <w:szCs w:val="22"/>
        </w:rPr>
        <w:t xml:space="preserve">, </w:t>
      </w:r>
      <w:r w:rsidR="00370CF0" w:rsidRPr="00273368">
        <w:rPr>
          <w:rFonts w:asciiTheme="minorHAnsi" w:hAnsiTheme="minorHAnsi" w:cstheme="minorHAnsi"/>
          <w:sz w:val="22"/>
          <w:szCs w:val="28"/>
        </w:rPr>
        <w:t>[5/Spreadtrum]</w:t>
      </w:r>
    </w:p>
    <w:p w14:paraId="033428EC" w14:textId="087B19D0" w:rsidR="00835752" w:rsidRPr="00835752" w:rsidRDefault="00835752" w:rsidP="00835752">
      <w:pPr>
        <w:pStyle w:val="ListParagraph"/>
        <w:numPr>
          <w:ilvl w:val="2"/>
          <w:numId w:val="15"/>
        </w:numPr>
        <w:ind w:leftChars="0"/>
        <w:rPr>
          <w:rFonts w:asciiTheme="minorHAnsi" w:hAnsiTheme="minorHAnsi" w:cstheme="minorHAnsi"/>
          <w:sz w:val="22"/>
          <w:szCs w:val="28"/>
        </w:rPr>
      </w:pPr>
      <w:r>
        <w:rPr>
          <w:rFonts w:asciiTheme="minorHAnsi" w:hAnsiTheme="minorHAnsi" w:cstheme="minorHAnsi"/>
          <w:sz w:val="22"/>
          <w:szCs w:val="22"/>
        </w:rPr>
        <w:t>Not supported</w:t>
      </w:r>
    </w:p>
    <w:p w14:paraId="7599EF8A" w14:textId="2D877D11" w:rsidR="00835752" w:rsidRPr="00562ED3" w:rsidRDefault="00835752" w:rsidP="00835752">
      <w:pPr>
        <w:pStyle w:val="ListParagraph"/>
        <w:numPr>
          <w:ilvl w:val="3"/>
          <w:numId w:val="15"/>
        </w:numPr>
        <w:ind w:leftChars="0"/>
        <w:rPr>
          <w:rFonts w:asciiTheme="minorHAnsi" w:hAnsiTheme="minorHAnsi" w:cstheme="minorHAnsi"/>
          <w:sz w:val="22"/>
          <w:szCs w:val="28"/>
        </w:rPr>
      </w:pPr>
      <w:r>
        <w:rPr>
          <w:rFonts w:asciiTheme="minorHAnsi" w:hAnsiTheme="minorHAnsi" w:cstheme="minorHAnsi"/>
          <w:sz w:val="22"/>
          <w:szCs w:val="28"/>
        </w:rPr>
        <w:t>[7/ZTE, SC]</w:t>
      </w:r>
    </w:p>
    <w:p w14:paraId="35AF2C94" w14:textId="72D1B931" w:rsidR="009361EC" w:rsidRDefault="009361EC" w:rsidP="000F53D7">
      <w:pPr>
        <w:pStyle w:val="ListParagraph"/>
        <w:numPr>
          <w:ilvl w:val="1"/>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For SL groupcast option 2 (ACK and NACK):</w:t>
      </w:r>
    </w:p>
    <w:p w14:paraId="6B81D89D" w14:textId="77777777" w:rsidR="009A57D0" w:rsidRPr="00562ED3" w:rsidRDefault="009A57D0" w:rsidP="009A57D0">
      <w:pPr>
        <w:pStyle w:val="ListParagraph"/>
        <w:numPr>
          <w:ilvl w:val="2"/>
          <w:numId w:val="15"/>
        </w:numPr>
        <w:ind w:leftChars="0"/>
        <w:rPr>
          <w:rFonts w:asciiTheme="minorHAnsi" w:hAnsiTheme="minorHAnsi" w:cstheme="minorHAnsi"/>
          <w:sz w:val="22"/>
          <w:szCs w:val="22"/>
        </w:rPr>
      </w:pPr>
      <w:r w:rsidRPr="00562ED3">
        <w:rPr>
          <w:rFonts w:asciiTheme="minorHAnsi" w:hAnsiTheme="minorHAnsi" w:cstheme="minorHAnsi"/>
          <w:sz w:val="22"/>
          <w:szCs w:val="22"/>
        </w:rPr>
        <w:t xml:space="preserve">When at least one NACK is received, </w:t>
      </w:r>
      <w:r>
        <w:rPr>
          <w:rFonts w:asciiTheme="minorHAnsi" w:hAnsiTheme="minorHAnsi" w:cstheme="minorHAnsi"/>
          <w:sz w:val="22"/>
          <w:szCs w:val="22"/>
        </w:rPr>
        <w:t>i</w:t>
      </w:r>
      <w:r w:rsidRPr="00562ED3">
        <w:rPr>
          <w:rFonts w:asciiTheme="minorHAnsi" w:hAnsiTheme="minorHAnsi" w:cstheme="minorHAnsi"/>
          <w:sz w:val="22"/>
          <w:szCs w:val="22"/>
        </w:rPr>
        <w:t xml:space="preserve">ncrease </w:t>
      </w:r>
      <m:oMath>
        <m:r>
          <w:rPr>
            <w:rFonts w:ascii="Cambria Math" w:hAnsi="Cambria Math" w:cstheme="minorHAnsi"/>
            <w:sz w:val="22"/>
            <w:szCs w:val="22"/>
          </w:rPr>
          <m:t>C</m:t>
        </m:r>
        <m:sSub>
          <m:sSubPr>
            <m:ctrlPr>
              <w:rPr>
                <w:rFonts w:ascii="Cambria Math" w:hAnsi="Cambria Math" w:cstheme="minorHAnsi"/>
                <w:i/>
                <w:sz w:val="22"/>
                <w:szCs w:val="22"/>
              </w:rPr>
            </m:ctrlPr>
          </m:sSubPr>
          <m:e>
            <m:r>
              <w:rPr>
                <w:rFonts w:ascii="Cambria Math" w:hAnsi="Cambria Math" w:cstheme="minorHAnsi"/>
                <w:sz w:val="22"/>
                <w:szCs w:val="22"/>
              </w:rPr>
              <m:t>W</m:t>
            </m:r>
          </m:e>
          <m:sub>
            <m:r>
              <w:rPr>
                <w:rFonts w:ascii="Cambria Math" w:hAnsi="Cambria Math" w:cstheme="minorHAnsi"/>
                <w:sz w:val="22"/>
                <w:szCs w:val="22"/>
              </w:rPr>
              <m:t>p</m:t>
            </m:r>
          </m:sub>
        </m:sSub>
      </m:oMath>
      <w:r w:rsidRPr="00562ED3">
        <w:rPr>
          <w:rFonts w:asciiTheme="minorHAnsi" w:hAnsiTheme="minorHAnsi" w:cstheme="minorHAnsi"/>
          <w:sz w:val="22"/>
          <w:szCs w:val="22"/>
          <w:lang w:val="en-US"/>
        </w:rPr>
        <w:t xml:space="preserve"> for every priority class </w:t>
      </w:r>
      <m:oMath>
        <m:r>
          <w:rPr>
            <w:rFonts w:ascii="Cambria Math" w:hAnsi="Cambria Math" w:cstheme="minorHAnsi"/>
            <w:sz w:val="22"/>
            <w:szCs w:val="22"/>
          </w:rPr>
          <m:t>p∈</m:t>
        </m:r>
        <m:d>
          <m:dPr>
            <m:begChr m:val="{"/>
            <m:endChr m:val="}"/>
            <m:ctrlPr>
              <w:rPr>
                <w:rFonts w:ascii="Cambria Math" w:hAnsi="Cambria Math" w:cstheme="minorHAnsi"/>
                <w:i/>
                <w:sz w:val="22"/>
                <w:szCs w:val="22"/>
              </w:rPr>
            </m:ctrlPr>
          </m:dPr>
          <m:e>
            <m:r>
              <w:rPr>
                <w:rFonts w:ascii="Cambria Math" w:hAnsi="Cambria Math" w:cstheme="minorHAnsi"/>
                <w:sz w:val="22"/>
                <w:szCs w:val="22"/>
              </w:rPr>
              <m:t>1,2,3,4</m:t>
            </m:r>
          </m:e>
        </m:d>
      </m:oMath>
      <w:r w:rsidRPr="00562ED3">
        <w:rPr>
          <w:rFonts w:asciiTheme="minorHAnsi" w:hAnsiTheme="minorHAnsi" w:cstheme="minorHAnsi"/>
          <w:sz w:val="22"/>
          <w:szCs w:val="22"/>
        </w:rPr>
        <w:t xml:space="preserve"> to the next higher value</w:t>
      </w:r>
      <w:r>
        <w:rPr>
          <w:rFonts w:asciiTheme="minorHAnsi" w:hAnsiTheme="minorHAnsi" w:cstheme="minorHAnsi"/>
          <w:sz w:val="22"/>
          <w:szCs w:val="22"/>
        </w:rPr>
        <w:t xml:space="preserve"> using Step 4) of </w:t>
      </w:r>
      <w:r>
        <w:rPr>
          <w:rFonts w:asciiTheme="minorHAnsi" w:hAnsiTheme="minorHAnsi" w:cstheme="minorHAnsi"/>
          <w:color w:val="000000" w:themeColor="text1"/>
          <w:sz w:val="22"/>
          <w:szCs w:val="28"/>
        </w:rPr>
        <w:t>DL CW adjustment procedures for NR-U</w:t>
      </w:r>
    </w:p>
    <w:p w14:paraId="559C62A9" w14:textId="7A3E6B7D" w:rsidR="009A57D0" w:rsidRPr="009A57D0" w:rsidRDefault="009A57D0" w:rsidP="009A57D0">
      <w:pPr>
        <w:pStyle w:val="ListParagraph"/>
        <w:numPr>
          <w:ilvl w:val="3"/>
          <w:numId w:val="15"/>
        </w:numPr>
        <w:ind w:leftChars="0"/>
        <w:rPr>
          <w:rFonts w:asciiTheme="minorHAnsi" w:hAnsiTheme="minorHAnsi" w:cstheme="minorHAnsi"/>
          <w:sz w:val="22"/>
          <w:szCs w:val="28"/>
        </w:rPr>
      </w:pPr>
      <w:r>
        <w:rPr>
          <w:rFonts w:asciiTheme="minorHAnsi" w:hAnsiTheme="minorHAnsi" w:cstheme="minorHAnsi"/>
          <w:sz w:val="22"/>
          <w:szCs w:val="28"/>
        </w:rPr>
        <w:t>[2/Nokia, NSB]</w:t>
      </w:r>
      <w:r w:rsidR="00D455A3">
        <w:rPr>
          <w:rFonts w:asciiTheme="minorHAnsi" w:hAnsiTheme="minorHAnsi" w:cstheme="minorHAnsi"/>
          <w:sz w:val="22"/>
          <w:szCs w:val="28"/>
        </w:rPr>
        <w:t xml:space="preserve">, </w:t>
      </w:r>
      <w:r w:rsidR="009454D3">
        <w:rPr>
          <w:rFonts w:asciiTheme="minorHAnsi" w:hAnsiTheme="minorHAnsi" w:cstheme="minorHAnsi"/>
          <w:sz w:val="22"/>
          <w:szCs w:val="28"/>
        </w:rPr>
        <w:t xml:space="preserve">[20/ETRI], </w:t>
      </w:r>
      <w:r w:rsidR="00D455A3">
        <w:rPr>
          <w:rFonts w:asciiTheme="minorHAnsi" w:hAnsiTheme="minorHAnsi" w:cstheme="minorHAnsi"/>
          <w:sz w:val="22"/>
          <w:szCs w:val="28"/>
        </w:rPr>
        <w:t>[32/DCM]</w:t>
      </w:r>
    </w:p>
    <w:p w14:paraId="17D826D4" w14:textId="77777777" w:rsidR="009A57D0" w:rsidRDefault="009A57D0" w:rsidP="009A57D0">
      <w:pPr>
        <w:pStyle w:val="ListParagraph"/>
        <w:numPr>
          <w:ilvl w:val="2"/>
          <w:numId w:val="15"/>
        </w:numPr>
        <w:ind w:leftChars="0"/>
        <w:rPr>
          <w:rFonts w:asciiTheme="minorHAnsi" w:hAnsiTheme="minorHAnsi" w:cstheme="minorHAnsi"/>
          <w:sz w:val="22"/>
          <w:szCs w:val="28"/>
        </w:rPr>
      </w:pPr>
      <w:r>
        <w:rPr>
          <w:rFonts w:asciiTheme="minorHAnsi" w:hAnsiTheme="minorHAnsi" w:cstheme="minorHAnsi"/>
          <w:sz w:val="22"/>
          <w:szCs w:val="28"/>
        </w:rPr>
        <w:t>When</w:t>
      </w:r>
      <w:r w:rsidRPr="00273368">
        <w:rPr>
          <w:rFonts w:asciiTheme="minorHAnsi" w:hAnsiTheme="minorHAnsi" w:cstheme="minorHAnsi"/>
          <w:sz w:val="22"/>
          <w:szCs w:val="28"/>
        </w:rPr>
        <w:t xml:space="preserve"> no NACK </w:t>
      </w:r>
      <w:r>
        <w:rPr>
          <w:rFonts w:asciiTheme="minorHAnsi" w:hAnsiTheme="minorHAnsi" w:cstheme="minorHAnsi"/>
          <w:sz w:val="22"/>
          <w:szCs w:val="28"/>
        </w:rPr>
        <w:t>is</w:t>
      </w:r>
      <w:r w:rsidRPr="00273368">
        <w:rPr>
          <w:rFonts w:asciiTheme="minorHAnsi" w:hAnsiTheme="minorHAnsi" w:cstheme="minorHAnsi"/>
          <w:sz w:val="22"/>
          <w:szCs w:val="28"/>
        </w:rPr>
        <w:t xml:space="preserve"> received, CWS </w:t>
      </w:r>
      <w:r>
        <w:rPr>
          <w:rFonts w:asciiTheme="minorHAnsi" w:hAnsiTheme="minorHAnsi" w:cstheme="minorHAnsi"/>
          <w:sz w:val="22"/>
          <w:szCs w:val="28"/>
        </w:rPr>
        <w:t xml:space="preserve">is reset to </w:t>
      </w:r>
      <m:oMath>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min</m:t>
                </m:r>
                <m:r>
                  <w:rPr>
                    <w:rFonts w:ascii="Cambria Math" w:hAnsi="Cambria Math"/>
                    <w:lang w:val="en-US"/>
                  </w:rPr>
                  <m:t>,</m:t>
                </m:r>
              </m:fName>
              <m:e>
                <m:r>
                  <w:rPr>
                    <w:rFonts w:ascii="Cambria Math" w:hAnsi="Cambria Math"/>
                  </w:rPr>
                  <m:t>p</m:t>
                </m:r>
              </m:e>
            </m:func>
          </m:sub>
        </m:sSub>
      </m:oMath>
      <w:r>
        <w:rPr>
          <w:rFonts w:asciiTheme="minorHAnsi" w:hAnsiTheme="minorHAnsi" w:cstheme="minorHAnsi"/>
        </w:rPr>
        <w:t xml:space="preserve"> </w:t>
      </w:r>
      <w:r w:rsidRPr="00562ED3">
        <w:rPr>
          <w:rFonts w:asciiTheme="minorHAnsi" w:hAnsiTheme="minorHAnsi" w:cstheme="minorHAnsi"/>
          <w:sz w:val="22"/>
          <w:szCs w:val="22"/>
          <w:lang w:val="en-US"/>
        </w:rPr>
        <w:t xml:space="preserve">for every priority class </w:t>
      </w:r>
      <m:oMath>
        <m:r>
          <w:rPr>
            <w:rFonts w:ascii="Cambria Math" w:hAnsi="Cambria Math" w:cstheme="minorHAnsi"/>
            <w:sz w:val="22"/>
            <w:szCs w:val="22"/>
          </w:rPr>
          <m:t>p∈</m:t>
        </m:r>
        <m:d>
          <m:dPr>
            <m:begChr m:val="{"/>
            <m:endChr m:val="}"/>
            <m:ctrlPr>
              <w:rPr>
                <w:rFonts w:ascii="Cambria Math" w:hAnsi="Cambria Math" w:cstheme="minorHAnsi"/>
                <w:i/>
                <w:sz w:val="22"/>
                <w:szCs w:val="22"/>
              </w:rPr>
            </m:ctrlPr>
          </m:dPr>
          <m:e>
            <m:r>
              <w:rPr>
                <w:rFonts w:ascii="Cambria Math" w:hAnsi="Cambria Math" w:cstheme="minorHAnsi"/>
                <w:sz w:val="22"/>
                <w:szCs w:val="22"/>
              </w:rPr>
              <m:t>1,2,3,4</m:t>
            </m:r>
          </m:e>
        </m:d>
      </m:oMath>
    </w:p>
    <w:p w14:paraId="5A56407F" w14:textId="5E05618D" w:rsidR="009A57D0" w:rsidRDefault="009A57D0" w:rsidP="009A57D0">
      <w:pPr>
        <w:pStyle w:val="ListParagraph"/>
        <w:numPr>
          <w:ilvl w:val="3"/>
          <w:numId w:val="15"/>
        </w:numPr>
        <w:ind w:leftChars="0"/>
        <w:rPr>
          <w:rFonts w:asciiTheme="minorHAnsi" w:hAnsiTheme="minorHAnsi" w:cstheme="minorHAnsi"/>
          <w:sz w:val="22"/>
          <w:szCs w:val="28"/>
        </w:rPr>
      </w:pPr>
      <w:r>
        <w:rPr>
          <w:rFonts w:asciiTheme="minorHAnsi" w:hAnsiTheme="minorHAnsi" w:cstheme="minorHAnsi"/>
          <w:sz w:val="22"/>
          <w:szCs w:val="28"/>
        </w:rPr>
        <w:t>[2/Nokia, NSB]</w:t>
      </w:r>
      <w:r w:rsidR="00D455A3">
        <w:rPr>
          <w:rFonts w:asciiTheme="minorHAnsi" w:hAnsiTheme="minorHAnsi" w:cstheme="minorHAnsi"/>
          <w:sz w:val="22"/>
          <w:szCs w:val="28"/>
        </w:rPr>
        <w:t xml:space="preserve">, </w:t>
      </w:r>
      <w:r w:rsidR="009454D3">
        <w:rPr>
          <w:rFonts w:asciiTheme="minorHAnsi" w:hAnsiTheme="minorHAnsi" w:cstheme="minorHAnsi"/>
          <w:sz w:val="22"/>
          <w:szCs w:val="28"/>
        </w:rPr>
        <w:t xml:space="preserve">[20/ETRI], </w:t>
      </w:r>
      <w:r w:rsidR="00D455A3">
        <w:rPr>
          <w:rFonts w:asciiTheme="minorHAnsi" w:hAnsiTheme="minorHAnsi" w:cstheme="minorHAnsi"/>
          <w:sz w:val="22"/>
          <w:szCs w:val="28"/>
        </w:rPr>
        <w:t>[32/DCM]</w:t>
      </w:r>
    </w:p>
    <w:p w14:paraId="1F82AA73" w14:textId="3CE869B6" w:rsidR="009361EC" w:rsidRDefault="00250AB2" w:rsidP="009361EC">
      <w:pPr>
        <w:pStyle w:val="ListParagraph"/>
        <w:numPr>
          <w:ilvl w:val="2"/>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At least </w:t>
      </w:r>
      <w:r w:rsidR="00F55A08">
        <w:rPr>
          <w:rFonts w:asciiTheme="minorHAnsi" w:hAnsiTheme="minorHAnsi" w:cstheme="minorHAnsi"/>
          <w:color w:val="000000" w:themeColor="text1"/>
          <w:sz w:val="22"/>
          <w:szCs w:val="28"/>
        </w:rPr>
        <w:t xml:space="preserve">one or </w:t>
      </w:r>
      <w:r w:rsidR="00780E6C">
        <w:rPr>
          <w:rFonts w:asciiTheme="minorHAnsi" w:hAnsiTheme="minorHAnsi" w:cstheme="minorHAnsi"/>
          <w:color w:val="000000" w:themeColor="text1"/>
          <w:sz w:val="22"/>
          <w:szCs w:val="28"/>
        </w:rPr>
        <w:t>ratio/</w:t>
      </w:r>
      <w:r w:rsidR="00E65E22">
        <w:rPr>
          <w:rFonts w:asciiTheme="minorHAnsi" w:hAnsiTheme="minorHAnsi" w:cstheme="minorHAnsi"/>
          <w:color w:val="000000" w:themeColor="text1"/>
          <w:sz w:val="22"/>
          <w:szCs w:val="28"/>
        </w:rPr>
        <w:t>portion</w:t>
      </w:r>
      <w:r>
        <w:rPr>
          <w:rFonts w:asciiTheme="minorHAnsi" w:hAnsiTheme="minorHAnsi" w:cstheme="minorHAnsi"/>
          <w:color w:val="000000" w:themeColor="text1"/>
          <w:sz w:val="22"/>
          <w:szCs w:val="28"/>
        </w:rPr>
        <w:t xml:space="preserve"> of SL HARQ-ACK feedbacks is ‘ACK’ as per Step 3a) in DL CW adjustment procedures for NR-U</w:t>
      </w:r>
    </w:p>
    <w:p w14:paraId="2140D078" w14:textId="72C837C1" w:rsidR="00940FA3" w:rsidRPr="008621E0" w:rsidRDefault="00370CF0" w:rsidP="00940FA3">
      <w:pPr>
        <w:pStyle w:val="ListParagraph"/>
        <w:numPr>
          <w:ilvl w:val="3"/>
          <w:numId w:val="15"/>
        </w:numPr>
        <w:ind w:leftChars="0"/>
        <w:rPr>
          <w:rFonts w:asciiTheme="minorHAnsi" w:hAnsiTheme="minorHAnsi" w:cstheme="minorHAnsi"/>
          <w:color w:val="000000" w:themeColor="text1"/>
          <w:sz w:val="22"/>
          <w:szCs w:val="28"/>
          <w:lang w:val="it-IT"/>
        </w:rPr>
      </w:pPr>
      <w:r w:rsidRPr="008621E0">
        <w:rPr>
          <w:rFonts w:asciiTheme="minorHAnsi" w:hAnsiTheme="minorHAnsi" w:cstheme="minorHAnsi"/>
          <w:sz w:val="22"/>
          <w:szCs w:val="28"/>
          <w:lang w:val="it-IT"/>
        </w:rPr>
        <w:lastRenderedPageBreak/>
        <w:t>[5/Spreadtrum],</w:t>
      </w:r>
      <w:r w:rsidRPr="008621E0">
        <w:rPr>
          <w:rFonts w:asciiTheme="minorHAnsi" w:hAnsiTheme="minorHAnsi" w:cstheme="minorHAnsi"/>
          <w:color w:val="000000" w:themeColor="text1"/>
          <w:sz w:val="22"/>
          <w:szCs w:val="28"/>
          <w:lang w:val="it-IT"/>
        </w:rPr>
        <w:t xml:space="preserve"> </w:t>
      </w:r>
      <w:r w:rsidR="00E65E22" w:rsidRPr="008621E0">
        <w:rPr>
          <w:rFonts w:asciiTheme="minorHAnsi" w:hAnsiTheme="minorHAnsi" w:cstheme="minorHAnsi"/>
          <w:color w:val="000000" w:themeColor="text1"/>
          <w:sz w:val="22"/>
          <w:szCs w:val="28"/>
          <w:lang w:val="it-IT"/>
        </w:rPr>
        <w:t xml:space="preserve">[6/vivo], </w:t>
      </w:r>
      <w:r w:rsidR="00780E6C" w:rsidRPr="008621E0">
        <w:rPr>
          <w:rFonts w:asciiTheme="minorHAnsi" w:hAnsiTheme="minorHAnsi" w:cstheme="minorHAnsi"/>
          <w:color w:val="000000" w:themeColor="text1"/>
          <w:sz w:val="22"/>
          <w:szCs w:val="28"/>
          <w:lang w:val="it-IT"/>
        </w:rPr>
        <w:t xml:space="preserve">[7/ZTE, SC], </w:t>
      </w:r>
      <w:r w:rsidR="00940FA3" w:rsidRPr="008621E0">
        <w:rPr>
          <w:rFonts w:asciiTheme="minorHAnsi" w:hAnsiTheme="minorHAnsi" w:cstheme="minorHAnsi"/>
          <w:color w:val="000000" w:themeColor="text1"/>
          <w:sz w:val="22"/>
          <w:szCs w:val="28"/>
          <w:lang w:val="it-IT"/>
        </w:rPr>
        <w:t>[8/OPPO]</w:t>
      </w:r>
      <w:r w:rsidR="00F55A08" w:rsidRPr="008621E0">
        <w:rPr>
          <w:rFonts w:asciiTheme="minorHAnsi" w:hAnsiTheme="minorHAnsi" w:cstheme="minorHAnsi"/>
          <w:color w:val="000000" w:themeColor="text1"/>
          <w:sz w:val="22"/>
          <w:szCs w:val="28"/>
          <w:lang w:val="it-IT"/>
        </w:rPr>
        <w:t>,</w:t>
      </w:r>
      <w:r w:rsidR="00DD6C13" w:rsidRPr="008621E0">
        <w:rPr>
          <w:rFonts w:asciiTheme="minorHAnsi" w:hAnsiTheme="minorHAnsi" w:cstheme="minorHAnsi"/>
          <w:color w:val="000000" w:themeColor="text1"/>
          <w:sz w:val="22"/>
          <w:szCs w:val="28"/>
          <w:lang w:val="it-IT"/>
        </w:rPr>
        <w:t xml:space="preserve"> [11/Intel],</w:t>
      </w:r>
      <w:r w:rsidR="00F55A08" w:rsidRPr="008621E0">
        <w:rPr>
          <w:rFonts w:asciiTheme="minorHAnsi" w:hAnsiTheme="minorHAnsi" w:cstheme="minorHAnsi"/>
          <w:color w:val="000000" w:themeColor="text1"/>
          <w:sz w:val="22"/>
          <w:szCs w:val="28"/>
          <w:lang w:val="it-IT"/>
        </w:rPr>
        <w:t xml:space="preserve"> </w:t>
      </w:r>
      <w:r w:rsidR="00EA1835" w:rsidRPr="008621E0">
        <w:rPr>
          <w:rFonts w:asciiTheme="minorHAnsi" w:hAnsiTheme="minorHAnsi" w:cstheme="minorHAnsi"/>
          <w:sz w:val="22"/>
          <w:szCs w:val="28"/>
          <w:lang w:val="it-IT"/>
        </w:rPr>
        <w:t>[20/ETRI],</w:t>
      </w:r>
      <w:r w:rsidR="00EA1835" w:rsidRPr="008621E0">
        <w:rPr>
          <w:rFonts w:asciiTheme="minorHAnsi" w:hAnsiTheme="minorHAnsi" w:cstheme="minorHAnsi"/>
          <w:color w:val="000000" w:themeColor="text1"/>
          <w:sz w:val="22"/>
          <w:szCs w:val="28"/>
          <w:lang w:val="it-IT"/>
        </w:rPr>
        <w:t xml:space="preserve"> </w:t>
      </w:r>
      <w:r w:rsidR="006528B4" w:rsidRPr="008621E0">
        <w:rPr>
          <w:rFonts w:asciiTheme="minorHAnsi" w:hAnsiTheme="minorHAnsi" w:cstheme="minorHAnsi"/>
          <w:color w:val="000000" w:themeColor="text1"/>
          <w:sz w:val="22"/>
          <w:szCs w:val="28"/>
          <w:lang w:val="it-IT"/>
        </w:rPr>
        <w:t xml:space="preserve">[22/LGE], </w:t>
      </w:r>
      <w:r w:rsidR="00EE3DC1" w:rsidRPr="008621E0">
        <w:rPr>
          <w:rFonts w:asciiTheme="minorHAnsi" w:hAnsiTheme="minorHAnsi" w:cstheme="minorHAnsi"/>
          <w:color w:val="000000" w:themeColor="text1"/>
          <w:sz w:val="22"/>
          <w:szCs w:val="28"/>
          <w:lang w:val="it-IT"/>
        </w:rPr>
        <w:t xml:space="preserve">[28/Samsung], </w:t>
      </w:r>
      <w:r w:rsidR="00F55A08" w:rsidRPr="008621E0">
        <w:rPr>
          <w:rFonts w:asciiTheme="minorHAnsi" w:hAnsiTheme="minorHAnsi" w:cstheme="minorHAnsi"/>
          <w:color w:val="000000" w:themeColor="text1"/>
          <w:sz w:val="22"/>
          <w:szCs w:val="28"/>
          <w:lang w:val="it-IT"/>
        </w:rPr>
        <w:t>[36/E///]</w:t>
      </w:r>
    </w:p>
    <w:p w14:paraId="5329F4FB" w14:textId="78DD3A4D" w:rsidR="00940FA3" w:rsidRDefault="00C76824" w:rsidP="009361EC">
      <w:pPr>
        <w:pStyle w:val="ListParagraph"/>
        <w:numPr>
          <w:ilvl w:val="2"/>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The </w:t>
      </w:r>
      <w:r w:rsidRPr="00C76824">
        <w:rPr>
          <w:rFonts w:asciiTheme="minorHAnsi" w:hAnsiTheme="minorHAnsi" w:cstheme="minorHAnsi"/>
          <w:color w:val="000000" w:themeColor="text1"/>
          <w:sz w:val="22"/>
          <w:szCs w:val="28"/>
        </w:rPr>
        <w:t xml:space="preserve">number of received </w:t>
      </w:r>
      <w:r>
        <w:rPr>
          <w:rFonts w:asciiTheme="minorHAnsi" w:hAnsiTheme="minorHAnsi" w:cstheme="minorHAnsi"/>
          <w:color w:val="000000" w:themeColor="text1"/>
          <w:sz w:val="22"/>
          <w:szCs w:val="28"/>
        </w:rPr>
        <w:t>SL-HARQs</w:t>
      </w:r>
      <w:r w:rsidRPr="00C76824">
        <w:rPr>
          <w:rFonts w:asciiTheme="minorHAnsi" w:hAnsiTheme="minorHAnsi" w:cstheme="minorHAnsi"/>
          <w:color w:val="000000" w:themeColor="text1"/>
          <w:sz w:val="22"/>
          <w:szCs w:val="28"/>
        </w:rPr>
        <w:t xml:space="preserve"> over the number of receivers of the groupcast, if the ratio is above a threshold reset the CW, otherwise expand the CW</w:t>
      </w:r>
    </w:p>
    <w:p w14:paraId="1B8E768F" w14:textId="5226B807" w:rsidR="00940FA3" w:rsidRDefault="00940FA3" w:rsidP="00940FA3">
      <w:pPr>
        <w:pStyle w:val="ListParagraph"/>
        <w:numPr>
          <w:ilvl w:val="3"/>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[33/QC]</w:t>
      </w:r>
    </w:p>
    <w:p w14:paraId="326EC61A" w14:textId="19137703" w:rsidR="00273368" w:rsidRPr="00273368" w:rsidRDefault="008E271A" w:rsidP="00273368">
      <w:pPr>
        <w:pStyle w:val="ListParagraph"/>
        <w:numPr>
          <w:ilvl w:val="2"/>
          <w:numId w:val="15"/>
        </w:numPr>
        <w:ind w:leftChars="0"/>
        <w:rPr>
          <w:rFonts w:asciiTheme="minorHAnsi" w:hAnsiTheme="minorHAnsi" w:cstheme="minorHAnsi"/>
          <w:sz w:val="22"/>
          <w:szCs w:val="28"/>
        </w:rPr>
      </w:pPr>
      <w:r>
        <w:rPr>
          <w:rFonts w:asciiTheme="minorHAnsi" w:hAnsiTheme="minorHAnsi" w:cstheme="minorHAnsi"/>
          <w:sz w:val="22"/>
          <w:szCs w:val="28"/>
        </w:rPr>
        <w:t xml:space="preserve">Adjust </w:t>
      </w:r>
      <w:r w:rsidRPr="008E271A">
        <w:rPr>
          <w:rFonts w:asciiTheme="minorHAnsi" w:hAnsiTheme="minorHAnsi" w:cstheme="minorHAnsi"/>
          <w:sz w:val="22"/>
          <w:szCs w:val="28"/>
        </w:rPr>
        <w:t>CW based on whether at least one ACK is reported by each groupcast Rx UE within the reference duration</w:t>
      </w:r>
    </w:p>
    <w:p w14:paraId="2D8DC867" w14:textId="4A8F6D2B" w:rsidR="00273368" w:rsidRDefault="00273368" w:rsidP="00273368">
      <w:pPr>
        <w:pStyle w:val="ListParagraph"/>
        <w:numPr>
          <w:ilvl w:val="3"/>
          <w:numId w:val="15"/>
        </w:numPr>
        <w:ind w:leftChars="0"/>
        <w:rPr>
          <w:rFonts w:asciiTheme="minorHAnsi" w:hAnsiTheme="minorHAnsi" w:cstheme="minorHAnsi"/>
          <w:sz w:val="22"/>
          <w:szCs w:val="28"/>
        </w:rPr>
      </w:pPr>
      <w:r w:rsidRPr="00273368">
        <w:rPr>
          <w:rFonts w:asciiTheme="minorHAnsi" w:hAnsiTheme="minorHAnsi" w:cstheme="minorHAnsi"/>
          <w:sz w:val="22"/>
          <w:szCs w:val="28"/>
        </w:rPr>
        <w:t>[</w:t>
      </w:r>
      <w:r w:rsidR="008E271A">
        <w:rPr>
          <w:rFonts w:asciiTheme="minorHAnsi" w:hAnsiTheme="minorHAnsi" w:cstheme="minorHAnsi"/>
          <w:sz w:val="22"/>
          <w:szCs w:val="28"/>
        </w:rPr>
        <w:t>4/HW, HiSi</w:t>
      </w:r>
      <w:r w:rsidRPr="00273368">
        <w:rPr>
          <w:rFonts w:asciiTheme="minorHAnsi" w:hAnsiTheme="minorHAnsi" w:cstheme="minorHAnsi"/>
          <w:sz w:val="22"/>
          <w:szCs w:val="28"/>
        </w:rPr>
        <w:t>]</w:t>
      </w:r>
    </w:p>
    <w:p w14:paraId="0E4F51BA" w14:textId="1164BC41" w:rsidR="007615A6" w:rsidRDefault="007615A6" w:rsidP="00EC7D69">
      <w:pPr>
        <w:pStyle w:val="ListParagraph"/>
        <w:numPr>
          <w:ilvl w:val="1"/>
          <w:numId w:val="15"/>
        </w:numPr>
        <w:ind w:leftChars="0"/>
        <w:rPr>
          <w:rFonts w:asciiTheme="minorHAnsi" w:hAnsiTheme="minorHAnsi" w:cstheme="minorHAnsi"/>
          <w:sz w:val="22"/>
          <w:szCs w:val="28"/>
        </w:rPr>
      </w:pPr>
      <w:r>
        <w:rPr>
          <w:rFonts w:asciiTheme="minorHAnsi" w:hAnsiTheme="minorHAnsi" w:cstheme="minorHAnsi"/>
          <w:sz w:val="22"/>
          <w:szCs w:val="28"/>
        </w:rPr>
        <w:t>Definition of reference duration:</w:t>
      </w:r>
    </w:p>
    <w:p w14:paraId="70D2D41B" w14:textId="4642558D" w:rsidR="007615A6" w:rsidRPr="007615A6" w:rsidRDefault="007615A6" w:rsidP="007615A6">
      <w:pPr>
        <w:pStyle w:val="ListParagraph"/>
        <w:numPr>
          <w:ilvl w:val="2"/>
          <w:numId w:val="15"/>
        </w:numPr>
        <w:ind w:leftChars="0"/>
        <w:rPr>
          <w:rFonts w:asciiTheme="minorHAnsi" w:hAnsiTheme="minorHAnsi" w:cstheme="minorHAnsi"/>
          <w:sz w:val="22"/>
          <w:szCs w:val="28"/>
        </w:rPr>
      </w:pPr>
      <w:r>
        <w:rPr>
          <w:rFonts w:asciiTheme="minorHAnsi" w:hAnsiTheme="minorHAnsi" w:cstheme="minorHAnsi"/>
          <w:sz w:val="22"/>
          <w:szCs w:val="28"/>
        </w:rPr>
        <w:t xml:space="preserve">[4/HW, HiSi]: </w:t>
      </w:r>
      <w:r w:rsidRPr="007615A6">
        <w:rPr>
          <w:rFonts w:asciiTheme="minorHAnsi" w:hAnsiTheme="minorHAnsi" w:cstheme="minorHAnsi"/>
          <w:sz w:val="22"/>
          <w:szCs w:val="28"/>
        </w:rPr>
        <w:t>a duration starting from the first slot where the HARQ is enabled in the channel occupancy until the end of the channel occupancy.</w:t>
      </w:r>
    </w:p>
    <w:p w14:paraId="5BF8424F" w14:textId="77777777" w:rsidR="007615A6" w:rsidRDefault="007615A6" w:rsidP="007615A6">
      <w:pPr>
        <w:pStyle w:val="ListParagraph"/>
        <w:numPr>
          <w:ilvl w:val="1"/>
          <w:numId w:val="15"/>
        </w:numPr>
        <w:ind w:leftChars="0" w:left="2160"/>
        <w:rPr>
          <w:rFonts w:asciiTheme="minorHAnsi" w:hAnsiTheme="minorHAnsi" w:cstheme="minorHAnsi"/>
          <w:sz w:val="22"/>
          <w:szCs w:val="28"/>
        </w:rPr>
      </w:pPr>
      <w:r>
        <w:rPr>
          <w:rFonts w:asciiTheme="minorHAnsi" w:hAnsiTheme="minorHAnsi" w:cstheme="minorHAnsi"/>
          <w:sz w:val="22"/>
          <w:szCs w:val="28"/>
        </w:rPr>
        <w:t xml:space="preserve">[11/Intel] </w:t>
      </w:r>
      <w:r w:rsidRPr="00EC7D69">
        <w:rPr>
          <w:rFonts w:asciiTheme="minorHAnsi" w:hAnsiTheme="minorHAnsi" w:cstheme="minorHAnsi"/>
          <w:sz w:val="22"/>
          <w:szCs w:val="28"/>
        </w:rPr>
        <w:t>A SL reference burst is defined as any burst from the beginning of the channel occupancy until either</w:t>
      </w:r>
    </w:p>
    <w:p w14:paraId="5E14A6DE" w14:textId="77777777" w:rsidR="007615A6" w:rsidRPr="00EC7D69" w:rsidRDefault="007615A6" w:rsidP="007615A6">
      <w:pPr>
        <w:pStyle w:val="ListParagraph"/>
        <w:numPr>
          <w:ilvl w:val="3"/>
          <w:numId w:val="28"/>
        </w:numPr>
        <w:ind w:leftChars="0"/>
        <w:rPr>
          <w:rFonts w:asciiTheme="minorHAnsi" w:hAnsiTheme="minorHAnsi" w:cstheme="minorHAnsi"/>
          <w:sz w:val="22"/>
          <w:szCs w:val="22"/>
        </w:rPr>
      </w:pPr>
      <w:r w:rsidRPr="00EC7D69">
        <w:rPr>
          <w:rFonts w:asciiTheme="minorHAnsi" w:hAnsiTheme="minorHAnsi" w:cstheme="minorHAnsi"/>
          <w:sz w:val="22"/>
          <w:szCs w:val="22"/>
        </w:rPr>
        <w:t>the end of the first slot where at least one unicast PSSCH or a groupcast PSSCH with HARQ-ACK feedback enabled in SCI is transmitted, or</w:t>
      </w:r>
    </w:p>
    <w:p w14:paraId="59526824" w14:textId="77777777" w:rsidR="007615A6" w:rsidRPr="00EC7D69" w:rsidRDefault="007615A6" w:rsidP="007615A6">
      <w:pPr>
        <w:pStyle w:val="ListParagraph"/>
        <w:numPr>
          <w:ilvl w:val="3"/>
          <w:numId w:val="28"/>
        </w:numPr>
        <w:ind w:leftChars="0"/>
        <w:rPr>
          <w:rFonts w:asciiTheme="minorHAnsi" w:hAnsiTheme="minorHAnsi" w:cstheme="minorHAnsi"/>
          <w:sz w:val="22"/>
          <w:szCs w:val="22"/>
        </w:rPr>
      </w:pPr>
      <w:r w:rsidRPr="00EC7D69">
        <w:rPr>
          <w:rFonts w:asciiTheme="minorHAnsi" w:hAnsiTheme="minorHAnsi" w:cstheme="minorHAnsi"/>
          <w:sz w:val="22"/>
          <w:szCs w:val="22"/>
        </w:rPr>
        <w:t>the end of the first transmission burst that contains a unicast PSSCH or a groupcast PSSCH with HARQ-ACK feedback enabled in SCI,</w:t>
      </w:r>
    </w:p>
    <w:p w14:paraId="49721095" w14:textId="77777777" w:rsidR="007615A6" w:rsidRPr="00EC7D69" w:rsidRDefault="007615A6" w:rsidP="007615A6">
      <w:pPr>
        <w:pStyle w:val="ListParagraph"/>
        <w:ind w:leftChars="0" w:left="2138"/>
        <w:rPr>
          <w:rFonts w:asciiTheme="minorHAnsi" w:hAnsiTheme="minorHAnsi" w:cstheme="minorHAnsi"/>
          <w:sz w:val="22"/>
          <w:szCs w:val="22"/>
        </w:rPr>
      </w:pPr>
      <w:r w:rsidRPr="00EC7D69">
        <w:rPr>
          <w:rFonts w:asciiTheme="minorHAnsi" w:hAnsiTheme="minorHAnsi" w:cstheme="minorHAnsi"/>
          <w:sz w:val="22"/>
          <w:szCs w:val="22"/>
        </w:rPr>
        <w:t>whichever occurs earlier.</w:t>
      </w:r>
    </w:p>
    <w:p w14:paraId="6096B359" w14:textId="5DC6861C" w:rsidR="007615A6" w:rsidRDefault="007615A6" w:rsidP="007615A6">
      <w:pPr>
        <w:pStyle w:val="ListParagraph"/>
        <w:numPr>
          <w:ilvl w:val="2"/>
          <w:numId w:val="15"/>
        </w:numPr>
        <w:ind w:leftChars="0"/>
        <w:rPr>
          <w:rFonts w:asciiTheme="minorHAnsi" w:hAnsiTheme="minorHAnsi" w:cstheme="minorHAnsi"/>
          <w:sz w:val="22"/>
          <w:szCs w:val="28"/>
        </w:rPr>
      </w:pPr>
      <w:r>
        <w:rPr>
          <w:rFonts w:asciiTheme="minorHAnsi" w:hAnsiTheme="minorHAnsi" w:cstheme="minorHAnsi"/>
          <w:sz w:val="22"/>
          <w:szCs w:val="28"/>
        </w:rPr>
        <w:t xml:space="preserve">[22/LGE]: </w:t>
      </w:r>
      <w:r w:rsidRPr="007615A6">
        <w:rPr>
          <w:rFonts w:asciiTheme="minorHAnsi" w:hAnsiTheme="minorHAnsi" w:cstheme="minorHAnsi"/>
          <w:sz w:val="22"/>
          <w:szCs w:val="28"/>
        </w:rPr>
        <w:t>Reference duration of UL channel access is reused by replacing PUSCH with PSSCH.</w:t>
      </w:r>
    </w:p>
    <w:p w14:paraId="2493A48C" w14:textId="0D574A6A" w:rsidR="00EC7D69" w:rsidRDefault="008945A8" w:rsidP="00EC7D69">
      <w:pPr>
        <w:pStyle w:val="ListParagraph"/>
        <w:numPr>
          <w:ilvl w:val="1"/>
          <w:numId w:val="15"/>
        </w:numPr>
        <w:ind w:leftChars="0"/>
        <w:rPr>
          <w:rFonts w:asciiTheme="minorHAnsi" w:hAnsiTheme="minorHAnsi" w:cstheme="minorHAnsi"/>
          <w:sz w:val="22"/>
          <w:szCs w:val="28"/>
        </w:rPr>
      </w:pPr>
      <w:r>
        <w:rPr>
          <w:rFonts w:asciiTheme="minorHAnsi" w:hAnsiTheme="minorHAnsi" w:cstheme="minorHAnsi"/>
          <w:sz w:val="22"/>
          <w:szCs w:val="28"/>
        </w:rPr>
        <w:t>Areas for further study:</w:t>
      </w:r>
    </w:p>
    <w:p w14:paraId="789B8D66" w14:textId="0F69E865" w:rsidR="008945A8" w:rsidRPr="008945A8" w:rsidRDefault="008945A8" w:rsidP="008945A8">
      <w:pPr>
        <w:pStyle w:val="ListParagraph"/>
        <w:numPr>
          <w:ilvl w:val="2"/>
          <w:numId w:val="15"/>
        </w:numPr>
        <w:ind w:leftChars="0"/>
        <w:rPr>
          <w:rFonts w:asciiTheme="minorHAnsi" w:hAnsiTheme="minorHAnsi" w:cstheme="minorHAnsi"/>
          <w:bCs/>
          <w:sz w:val="22"/>
          <w:szCs w:val="22"/>
        </w:rPr>
      </w:pPr>
      <w:r w:rsidRPr="008945A8">
        <w:rPr>
          <w:rFonts w:asciiTheme="minorHAnsi" w:hAnsiTheme="minorHAnsi" w:cstheme="minorHAnsi"/>
          <w:bCs/>
          <w:sz w:val="22"/>
          <w:szCs w:val="22"/>
        </w:rPr>
        <w:t>FFS how to handle CW size and further evaluate the impact of miss detection of PSCCH/PSFCH of CW adjustment.</w:t>
      </w:r>
    </w:p>
    <w:p w14:paraId="6E6A81A3" w14:textId="353AFC2F" w:rsidR="008945A8" w:rsidRPr="008945A8" w:rsidRDefault="008945A8" w:rsidP="008945A8">
      <w:pPr>
        <w:pStyle w:val="ListParagraph"/>
        <w:numPr>
          <w:ilvl w:val="2"/>
          <w:numId w:val="15"/>
        </w:numPr>
        <w:ind w:leftChars="0"/>
        <w:rPr>
          <w:rFonts w:asciiTheme="minorHAnsi" w:hAnsiTheme="minorHAnsi" w:cstheme="minorHAnsi"/>
          <w:bCs/>
          <w:sz w:val="22"/>
          <w:szCs w:val="22"/>
        </w:rPr>
      </w:pPr>
      <w:r w:rsidRPr="008945A8">
        <w:rPr>
          <w:rFonts w:asciiTheme="minorHAnsi" w:hAnsiTheme="minorHAnsi" w:cstheme="minorHAnsi"/>
          <w:bCs/>
          <w:sz w:val="22"/>
          <w:szCs w:val="22"/>
        </w:rPr>
        <w:t>FFS Whether and how SL measurement can contribute to contention window size adjustment.</w:t>
      </w:r>
    </w:p>
    <w:p w14:paraId="4FA3492B" w14:textId="298C49CE" w:rsidR="008C2769" w:rsidRDefault="008C2769" w:rsidP="00666368">
      <w:pPr>
        <w:pStyle w:val="ListParagraph"/>
        <w:numPr>
          <w:ilvl w:val="0"/>
          <w:numId w:val="15"/>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CAPC</w:t>
      </w:r>
    </w:p>
    <w:p w14:paraId="488C175F" w14:textId="370EC8D5" w:rsidR="00FC3110" w:rsidRDefault="00990545" w:rsidP="00054376">
      <w:pPr>
        <w:pStyle w:val="ListParagraph"/>
        <w:numPr>
          <w:ilvl w:val="1"/>
          <w:numId w:val="15"/>
        </w:numPr>
        <w:ind w:leftChars="0"/>
        <w:rPr>
          <w:rFonts w:asciiTheme="minorHAnsi" w:hAnsiTheme="minorHAnsi" w:cstheme="minorHAnsi"/>
          <w:color w:val="000000" w:themeColor="text1"/>
          <w:sz w:val="22"/>
          <w:szCs w:val="28"/>
        </w:rPr>
      </w:pPr>
      <w:r w:rsidRPr="00990545">
        <w:rPr>
          <w:rFonts w:asciiTheme="minorHAnsi" w:hAnsiTheme="minorHAnsi" w:cstheme="minorHAnsi"/>
          <w:color w:val="000000" w:themeColor="text1"/>
          <w:sz w:val="22"/>
          <w:szCs w:val="28"/>
          <w:u w:val="single"/>
        </w:rPr>
        <w:t>DL</w:t>
      </w:r>
      <w:r w:rsidR="00FC3110" w:rsidRPr="00990545">
        <w:rPr>
          <w:rFonts w:asciiTheme="minorHAnsi" w:hAnsiTheme="minorHAnsi" w:cstheme="minorHAnsi"/>
          <w:color w:val="000000" w:themeColor="text1"/>
          <w:sz w:val="22"/>
          <w:szCs w:val="28"/>
          <w:u w:val="single"/>
        </w:rPr>
        <w:t xml:space="preserve"> CAPC table</w:t>
      </w:r>
      <w:r w:rsidR="00FC3110" w:rsidRPr="00607A8F">
        <w:rPr>
          <w:rFonts w:asciiTheme="minorHAnsi" w:hAnsiTheme="minorHAnsi" w:cstheme="minorHAnsi"/>
          <w:color w:val="000000" w:themeColor="text1"/>
          <w:sz w:val="22"/>
          <w:szCs w:val="28"/>
        </w:rPr>
        <w:t xml:space="preserve"> is used for SL-U: </w:t>
      </w:r>
      <w:r w:rsidR="005F5615" w:rsidRPr="00257A00">
        <w:rPr>
          <w:rFonts w:asciiTheme="minorHAnsi" w:hAnsiTheme="minorHAnsi" w:cstheme="minorHAnsi"/>
          <w:sz w:val="22"/>
          <w:szCs w:val="28"/>
        </w:rPr>
        <w:t xml:space="preserve">[3/FW] (initiator), </w:t>
      </w:r>
      <w:r w:rsidR="00081E40" w:rsidRPr="00257A00">
        <w:rPr>
          <w:rFonts w:asciiTheme="minorHAnsi" w:hAnsiTheme="minorHAnsi" w:cstheme="minorHAnsi"/>
          <w:sz w:val="22"/>
          <w:szCs w:val="28"/>
        </w:rPr>
        <w:t>[2</w:t>
      </w:r>
      <w:r w:rsidR="00081E40" w:rsidRPr="00DA20DC">
        <w:rPr>
          <w:rFonts w:asciiTheme="minorHAnsi" w:hAnsiTheme="minorHAnsi" w:cstheme="minorHAnsi"/>
          <w:color w:val="000000" w:themeColor="text1"/>
          <w:sz w:val="22"/>
          <w:szCs w:val="28"/>
        </w:rPr>
        <w:t>/Nokia, NSB]</w:t>
      </w:r>
      <w:r w:rsidR="00603BB6" w:rsidRPr="00DA20DC">
        <w:rPr>
          <w:rFonts w:asciiTheme="minorHAnsi" w:hAnsiTheme="minorHAnsi" w:cstheme="minorHAnsi"/>
          <w:color w:val="000000" w:themeColor="text1"/>
          <w:sz w:val="22"/>
          <w:szCs w:val="28"/>
        </w:rPr>
        <w:t xml:space="preserve">, </w:t>
      </w:r>
      <w:r w:rsidR="00482133" w:rsidRPr="00DA20DC">
        <w:rPr>
          <w:rFonts w:asciiTheme="minorHAnsi" w:hAnsiTheme="minorHAnsi" w:cstheme="minorHAnsi"/>
          <w:color w:val="000000" w:themeColor="text1"/>
          <w:sz w:val="22"/>
          <w:szCs w:val="28"/>
        </w:rPr>
        <w:t>[8</w:t>
      </w:r>
      <w:r w:rsidR="00482133" w:rsidRPr="00482133">
        <w:rPr>
          <w:rFonts w:asciiTheme="minorHAnsi" w:hAnsiTheme="minorHAnsi" w:cstheme="minorHAnsi"/>
          <w:color w:val="000000" w:themeColor="text1"/>
          <w:sz w:val="22"/>
          <w:szCs w:val="28"/>
        </w:rPr>
        <w:t>/OPPO],</w:t>
      </w:r>
      <w:r w:rsidR="00482133">
        <w:rPr>
          <w:rFonts w:asciiTheme="minorHAnsi" w:hAnsiTheme="minorHAnsi" w:cstheme="minorHAnsi"/>
          <w:color w:val="FF0000"/>
          <w:sz w:val="22"/>
          <w:szCs w:val="28"/>
        </w:rPr>
        <w:t xml:space="preserve"> </w:t>
      </w:r>
      <w:r w:rsidR="000E619F" w:rsidRPr="000E619F">
        <w:rPr>
          <w:rFonts w:asciiTheme="minorHAnsi" w:hAnsiTheme="minorHAnsi" w:cstheme="minorHAnsi"/>
          <w:color w:val="000000" w:themeColor="text1"/>
          <w:sz w:val="22"/>
          <w:szCs w:val="28"/>
        </w:rPr>
        <w:t>[11/Intel] (mode</w:t>
      </w:r>
      <w:r w:rsidR="000E619F">
        <w:rPr>
          <w:rFonts w:asciiTheme="minorHAnsi" w:hAnsiTheme="minorHAnsi" w:cstheme="minorHAnsi"/>
          <w:color w:val="000000" w:themeColor="text1"/>
          <w:sz w:val="22"/>
          <w:szCs w:val="28"/>
        </w:rPr>
        <w:t>2</w:t>
      </w:r>
      <w:r w:rsidR="000E619F" w:rsidRPr="000E619F">
        <w:rPr>
          <w:rFonts w:asciiTheme="minorHAnsi" w:hAnsiTheme="minorHAnsi" w:cstheme="minorHAnsi"/>
          <w:color w:val="000000" w:themeColor="text1"/>
          <w:sz w:val="22"/>
          <w:szCs w:val="28"/>
        </w:rPr>
        <w:t>),</w:t>
      </w:r>
      <w:r w:rsidR="000E619F">
        <w:rPr>
          <w:rFonts w:asciiTheme="minorHAnsi" w:hAnsiTheme="minorHAnsi" w:cstheme="minorHAnsi"/>
          <w:color w:val="FF0000"/>
          <w:sz w:val="22"/>
          <w:szCs w:val="28"/>
        </w:rPr>
        <w:t xml:space="preserve"> </w:t>
      </w:r>
      <w:r w:rsidR="0021570A">
        <w:rPr>
          <w:rFonts w:asciiTheme="minorHAnsi" w:hAnsiTheme="minorHAnsi" w:cstheme="minorHAnsi"/>
          <w:color w:val="000000" w:themeColor="text1"/>
          <w:sz w:val="22"/>
          <w:szCs w:val="28"/>
        </w:rPr>
        <w:t>[23/MediaTek] (adaptive),</w:t>
      </w:r>
      <w:r w:rsidR="0021570A" w:rsidRPr="00DA20DC">
        <w:rPr>
          <w:rFonts w:asciiTheme="minorHAnsi" w:hAnsiTheme="minorHAnsi" w:cstheme="minorHAnsi"/>
          <w:color w:val="000000" w:themeColor="text1"/>
          <w:sz w:val="22"/>
          <w:szCs w:val="28"/>
        </w:rPr>
        <w:t xml:space="preserve"> </w:t>
      </w:r>
      <w:r w:rsidR="00381FAF">
        <w:rPr>
          <w:rFonts w:asciiTheme="minorHAnsi" w:hAnsiTheme="minorHAnsi" w:cstheme="minorHAnsi"/>
          <w:color w:val="000000" w:themeColor="text1"/>
          <w:sz w:val="22"/>
          <w:szCs w:val="28"/>
        </w:rPr>
        <w:t xml:space="preserve">[29/ITL] (configurable), </w:t>
      </w:r>
      <w:r w:rsidR="003E5DF6">
        <w:rPr>
          <w:rFonts w:asciiTheme="minorHAnsi" w:hAnsiTheme="minorHAnsi" w:cstheme="minorHAnsi"/>
          <w:sz w:val="22"/>
          <w:szCs w:val="28"/>
        </w:rPr>
        <w:t>[31/Panasonic],</w:t>
      </w:r>
      <w:r w:rsidR="003E5DF6" w:rsidRPr="00DA20DC">
        <w:rPr>
          <w:rFonts w:asciiTheme="minorHAnsi" w:hAnsiTheme="minorHAnsi" w:cstheme="minorHAnsi"/>
          <w:color w:val="000000" w:themeColor="text1"/>
          <w:sz w:val="22"/>
          <w:szCs w:val="28"/>
        </w:rPr>
        <w:t xml:space="preserve"> </w:t>
      </w:r>
      <w:r w:rsidR="00B70434" w:rsidRPr="00DA20DC">
        <w:rPr>
          <w:rFonts w:asciiTheme="minorHAnsi" w:hAnsiTheme="minorHAnsi" w:cstheme="minorHAnsi"/>
          <w:color w:val="000000" w:themeColor="text1"/>
          <w:sz w:val="22"/>
          <w:szCs w:val="28"/>
        </w:rPr>
        <w:t>[</w:t>
      </w:r>
      <w:r w:rsidR="00263C76" w:rsidRPr="00DA20DC">
        <w:rPr>
          <w:rFonts w:asciiTheme="minorHAnsi" w:hAnsiTheme="minorHAnsi" w:cstheme="minorHAnsi"/>
          <w:color w:val="000000" w:themeColor="text1"/>
          <w:sz w:val="22"/>
          <w:szCs w:val="28"/>
        </w:rPr>
        <w:t>36/E///</w:t>
      </w:r>
      <w:r w:rsidR="00B70434" w:rsidRPr="00DA20DC">
        <w:rPr>
          <w:rFonts w:asciiTheme="minorHAnsi" w:hAnsiTheme="minorHAnsi" w:cstheme="minorHAnsi"/>
          <w:color w:val="000000" w:themeColor="text1"/>
          <w:sz w:val="22"/>
          <w:szCs w:val="28"/>
        </w:rPr>
        <w:t>]</w:t>
      </w:r>
    </w:p>
    <w:p w14:paraId="7E53FB2F" w14:textId="399E5B8B" w:rsidR="008945A8" w:rsidRDefault="008945A8" w:rsidP="00607A8F">
      <w:pPr>
        <w:pStyle w:val="ListParagraph"/>
        <w:numPr>
          <w:ilvl w:val="2"/>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The type of channel access procedure to perform is purely determined by the UE (as a supervising role)</w:t>
      </w:r>
    </w:p>
    <w:p w14:paraId="63AA9CF6" w14:textId="042E4684" w:rsidR="00607A8F" w:rsidRDefault="00607A8F" w:rsidP="00607A8F">
      <w:pPr>
        <w:pStyle w:val="ListParagraph"/>
        <w:numPr>
          <w:ilvl w:val="2"/>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A</w:t>
      </w:r>
      <w:r w:rsidRPr="00607A8F">
        <w:rPr>
          <w:rFonts w:asciiTheme="minorHAnsi" w:hAnsiTheme="minorHAnsi" w:cstheme="minorHAnsi"/>
          <w:color w:val="000000" w:themeColor="text1"/>
          <w:sz w:val="22"/>
          <w:szCs w:val="28"/>
        </w:rPr>
        <w:t xml:space="preserve">pplications with anchor-node UE to consistently share </w:t>
      </w:r>
      <w:r>
        <w:rPr>
          <w:rFonts w:asciiTheme="minorHAnsi" w:hAnsiTheme="minorHAnsi" w:cstheme="minorHAnsi"/>
          <w:color w:val="000000" w:themeColor="text1"/>
          <w:sz w:val="22"/>
          <w:szCs w:val="28"/>
        </w:rPr>
        <w:t>longer</w:t>
      </w:r>
      <w:r w:rsidRPr="00607A8F">
        <w:rPr>
          <w:rFonts w:asciiTheme="minorHAnsi" w:hAnsiTheme="minorHAnsi" w:cstheme="minorHAnsi"/>
          <w:color w:val="000000" w:themeColor="text1"/>
          <w:sz w:val="22"/>
          <w:szCs w:val="28"/>
        </w:rPr>
        <w:t xml:space="preserve"> </w:t>
      </w:r>
      <w:r>
        <w:rPr>
          <w:rFonts w:asciiTheme="minorHAnsi" w:hAnsiTheme="minorHAnsi" w:cstheme="minorHAnsi"/>
          <w:color w:val="000000" w:themeColor="text1"/>
          <w:sz w:val="22"/>
          <w:szCs w:val="28"/>
        </w:rPr>
        <w:t xml:space="preserve">duration </w:t>
      </w:r>
      <w:r w:rsidRPr="00607A8F">
        <w:rPr>
          <w:rFonts w:asciiTheme="minorHAnsi" w:hAnsiTheme="minorHAnsi" w:cstheme="minorHAnsi"/>
          <w:color w:val="000000" w:themeColor="text1"/>
          <w:sz w:val="22"/>
          <w:szCs w:val="28"/>
        </w:rPr>
        <w:t>COT</w:t>
      </w:r>
      <w:r w:rsidR="00913E1D">
        <w:rPr>
          <w:rFonts w:asciiTheme="minorHAnsi" w:hAnsiTheme="minorHAnsi" w:cstheme="minorHAnsi"/>
          <w:color w:val="000000" w:themeColor="text1"/>
          <w:sz w:val="22"/>
          <w:szCs w:val="28"/>
        </w:rPr>
        <w:t>s.</w:t>
      </w:r>
    </w:p>
    <w:p w14:paraId="39B01E4F" w14:textId="18F9EB4A" w:rsidR="00607A8F" w:rsidRPr="00607A8F" w:rsidRDefault="003E19FA" w:rsidP="00607A8F">
      <w:pPr>
        <w:pStyle w:val="ListParagraph"/>
        <w:numPr>
          <w:ilvl w:val="2"/>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Acting as a supervising role in Mode 2 IUC</w:t>
      </w:r>
    </w:p>
    <w:p w14:paraId="2B8E9460" w14:textId="15F6CFD3" w:rsidR="00054376" w:rsidRPr="00913E1D" w:rsidRDefault="00990545" w:rsidP="00054376">
      <w:pPr>
        <w:pStyle w:val="ListParagraph"/>
        <w:numPr>
          <w:ilvl w:val="1"/>
          <w:numId w:val="15"/>
        </w:numPr>
        <w:ind w:leftChars="0"/>
        <w:rPr>
          <w:rFonts w:asciiTheme="minorHAnsi" w:hAnsiTheme="minorHAnsi" w:cstheme="minorHAnsi"/>
          <w:color w:val="000000" w:themeColor="text1"/>
          <w:sz w:val="22"/>
          <w:szCs w:val="28"/>
        </w:rPr>
      </w:pPr>
      <w:r w:rsidRPr="00990545">
        <w:rPr>
          <w:rFonts w:asciiTheme="minorHAnsi" w:hAnsiTheme="minorHAnsi" w:cstheme="minorHAnsi"/>
          <w:color w:val="000000" w:themeColor="text1"/>
          <w:sz w:val="22"/>
          <w:szCs w:val="28"/>
          <w:u w:val="single"/>
        </w:rPr>
        <w:t>UL</w:t>
      </w:r>
      <w:r w:rsidR="00054376" w:rsidRPr="00990545">
        <w:rPr>
          <w:rFonts w:asciiTheme="minorHAnsi" w:hAnsiTheme="minorHAnsi" w:cstheme="minorHAnsi"/>
          <w:color w:val="000000" w:themeColor="text1"/>
          <w:sz w:val="22"/>
          <w:szCs w:val="28"/>
          <w:u w:val="single"/>
        </w:rPr>
        <w:t xml:space="preserve"> CAPC table</w:t>
      </w:r>
      <w:r w:rsidR="00054376" w:rsidRPr="00607A8F">
        <w:rPr>
          <w:rFonts w:asciiTheme="minorHAnsi" w:hAnsiTheme="minorHAnsi" w:cstheme="minorHAnsi"/>
          <w:color w:val="000000" w:themeColor="text1"/>
          <w:sz w:val="22"/>
          <w:szCs w:val="28"/>
        </w:rPr>
        <w:t xml:space="preserve"> is used for SL-U: </w:t>
      </w:r>
      <w:r w:rsidR="00081E40" w:rsidRPr="006F694F">
        <w:rPr>
          <w:rFonts w:asciiTheme="minorHAnsi" w:hAnsiTheme="minorHAnsi" w:cstheme="minorHAnsi"/>
          <w:color w:val="000000" w:themeColor="text1"/>
          <w:sz w:val="22"/>
          <w:szCs w:val="28"/>
        </w:rPr>
        <w:t>[4/HW, HiSi</w:t>
      </w:r>
      <w:r w:rsidR="006F694F" w:rsidRPr="00370CF0">
        <w:rPr>
          <w:rFonts w:asciiTheme="minorHAnsi" w:hAnsiTheme="minorHAnsi" w:cstheme="minorHAnsi"/>
          <w:sz w:val="22"/>
          <w:szCs w:val="28"/>
        </w:rPr>
        <w:t>]</w:t>
      </w:r>
      <w:r w:rsidR="009E494F" w:rsidRPr="00370CF0">
        <w:rPr>
          <w:rFonts w:asciiTheme="minorHAnsi" w:hAnsiTheme="minorHAnsi" w:cstheme="minorHAnsi"/>
          <w:sz w:val="22"/>
          <w:szCs w:val="28"/>
        </w:rPr>
        <w:t xml:space="preserve">, </w:t>
      </w:r>
      <w:r w:rsidR="00081E40" w:rsidRPr="00370CF0">
        <w:rPr>
          <w:rFonts w:asciiTheme="minorHAnsi" w:hAnsiTheme="minorHAnsi" w:cstheme="minorHAnsi"/>
          <w:sz w:val="22"/>
          <w:szCs w:val="28"/>
        </w:rPr>
        <w:t>[5/Spreadtrum]</w:t>
      </w:r>
      <w:r w:rsidR="00DA0FC9" w:rsidRPr="00370CF0">
        <w:rPr>
          <w:rFonts w:asciiTheme="minorHAnsi" w:hAnsiTheme="minorHAnsi" w:cstheme="minorHAnsi"/>
          <w:sz w:val="22"/>
          <w:szCs w:val="28"/>
        </w:rPr>
        <w:t xml:space="preserve">, </w:t>
      </w:r>
      <w:r w:rsidR="00466359" w:rsidRPr="00370CF0">
        <w:rPr>
          <w:rFonts w:asciiTheme="minorHAnsi" w:hAnsiTheme="minorHAnsi" w:cstheme="minorHAnsi"/>
          <w:sz w:val="22"/>
          <w:szCs w:val="28"/>
        </w:rPr>
        <w:t>[</w:t>
      </w:r>
      <w:r w:rsidR="00466359" w:rsidRPr="00765CE1">
        <w:rPr>
          <w:rFonts w:asciiTheme="minorHAnsi" w:hAnsiTheme="minorHAnsi" w:cstheme="minorHAnsi"/>
          <w:sz w:val="22"/>
          <w:szCs w:val="28"/>
        </w:rPr>
        <w:t>6/vivo</w:t>
      </w:r>
      <w:r w:rsidR="00466359" w:rsidRPr="00F8024F">
        <w:rPr>
          <w:rFonts w:asciiTheme="minorHAnsi" w:hAnsiTheme="minorHAnsi" w:cstheme="minorHAnsi"/>
          <w:sz w:val="22"/>
          <w:szCs w:val="28"/>
        </w:rPr>
        <w:t>]</w:t>
      </w:r>
      <w:r w:rsidR="00015F7A" w:rsidRPr="00F8024F">
        <w:rPr>
          <w:rFonts w:asciiTheme="minorHAnsi" w:hAnsiTheme="minorHAnsi" w:cstheme="minorHAnsi"/>
          <w:sz w:val="22"/>
          <w:szCs w:val="28"/>
        </w:rPr>
        <w:t xml:space="preserve">, </w:t>
      </w:r>
      <w:r w:rsidR="00466359" w:rsidRPr="00F8024F">
        <w:rPr>
          <w:rFonts w:asciiTheme="minorHAnsi" w:hAnsiTheme="minorHAnsi" w:cstheme="minorHAnsi"/>
          <w:sz w:val="22"/>
          <w:szCs w:val="28"/>
        </w:rPr>
        <w:t>[7/ZTE, SC]</w:t>
      </w:r>
      <w:r w:rsidR="00B61981" w:rsidRPr="00F8024F">
        <w:rPr>
          <w:rFonts w:asciiTheme="minorHAnsi" w:hAnsiTheme="minorHAnsi" w:cstheme="minorHAnsi"/>
          <w:sz w:val="22"/>
          <w:szCs w:val="28"/>
        </w:rPr>
        <w:t xml:space="preserve">, </w:t>
      </w:r>
      <w:r w:rsidR="00BC644A" w:rsidRPr="00E449A8">
        <w:rPr>
          <w:rFonts w:asciiTheme="minorHAnsi" w:hAnsiTheme="minorHAnsi" w:cstheme="minorHAnsi"/>
          <w:sz w:val="22"/>
          <w:szCs w:val="28"/>
        </w:rPr>
        <w:t>[14/NEC]</w:t>
      </w:r>
      <w:r w:rsidR="005D7050" w:rsidRPr="00E449A8">
        <w:rPr>
          <w:rFonts w:asciiTheme="minorHAnsi" w:hAnsiTheme="minorHAnsi" w:cstheme="minorHAnsi"/>
          <w:sz w:val="22"/>
          <w:szCs w:val="28"/>
        </w:rPr>
        <w:t xml:space="preserve">, </w:t>
      </w:r>
      <w:r w:rsidR="006E5802" w:rsidRPr="00E449A8">
        <w:rPr>
          <w:rFonts w:asciiTheme="minorHAnsi" w:hAnsiTheme="minorHAnsi" w:cstheme="minorHAnsi"/>
          <w:sz w:val="22"/>
          <w:szCs w:val="28"/>
        </w:rPr>
        <w:t>[</w:t>
      </w:r>
      <w:r w:rsidR="00BC644A" w:rsidRPr="00782C84">
        <w:rPr>
          <w:rFonts w:asciiTheme="minorHAnsi" w:hAnsiTheme="minorHAnsi" w:cstheme="minorHAnsi"/>
          <w:sz w:val="22"/>
          <w:szCs w:val="28"/>
        </w:rPr>
        <w:t>21/Fraunhofer</w:t>
      </w:r>
      <w:r w:rsidR="006E5802" w:rsidRPr="00782C84">
        <w:rPr>
          <w:rFonts w:asciiTheme="minorHAnsi" w:hAnsiTheme="minorHAnsi" w:cstheme="minorHAnsi"/>
          <w:sz w:val="22"/>
          <w:szCs w:val="28"/>
        </w:rPr>
        <w:t xml:space="preserve">], </w:t>
      </w:r>
      <w:r w:rsidR="00BC644A" w:rsidRPr="00782C84">
        <w:rPr>
          <w:rFonts w:asciiTheme="minorHAnsi" w:hAnsiTheme="minorHAnsi" w:cstheme="minorHAnsi"/>
          <w:sz w:val="22"/>
          <w:szCs w:val="28"/>
        </w:rPr>
        <w:t>[11/In</w:t>
      </w:r>
      <w:r w:rsidR="00BC644A" w:rsidRPr="000E619F">
        <w:rPr>
          <w:rFonts w:asciiTheme="minorHAnsi" w:hAnsiTheme="minorHAnsi" w:cstheme="minorHAnsi"/>
          <w:color w:val="000000" w:themeColor="text1"/>
          <w:sz w:val="22"/>
          <w:szCs w:val="28"/>
        </w:rPr>
        <w:t>tel]</w:t>
      </w:r>
      <w:r w:rsidR="000E619F" w:rsidRPr="000E619F">
        <w:rPr>
          <w:rFonts w:asciiTheme="minorHAnsi" w:hAnsiTheme="minorHAnsi" w:cstheme="minorHAnsi"/>
          <w:color w:val="000000" w:themeColor="text1"/>
          <w:sz w:val="22"/>
          <w:szCs w:val="28"/>
        </w:rPr>
        <w:t xml:space="preserve"> (mode1)</w:t>
      </w:r>
      <w:r w:rsidR="00DE3900" w:rsidRPr="000E619F">
        <w:rPr>
          <w:rFonts w:asciiTheme="minorHAnsi" w:hAnsiTheme="minorHAnsi" w:cstheme="minorHAnsi"/>
          <w:color w:val="000000" w:themeColor="text1"/>
          <w:sz w:val="22"/>
          <w:szCs w:val="28"/>
        </w:rPr>
        <w:t>,</w:t>
      </w:r>
      <w:r w:rsidR="00DE3900" w:rsidRPr="00990545">
        <w:rPr>
          <w:rFonts w:asciiTheme="minorHAnsi" w:hAnsiTheme="minorHAnsi" w:cstheme="minorHAnsi"/>
          <w:color w:val="FF0000"/>
          <w:sz w:val="22"/>
          <w:szCs w:val="28"/>
        </w:rPr>
        <w:t xml:space="preserve"> </w:t>
      </w:r>
      <w:r w:rsidR="00791E24" w:rsidRPr="00A665BC">
        <w:rPr>
          <w:rFonts w:asciiTheme="minorHAnsi" w:hAnsiTheme="minorHAnsi" w:cstheme="minorHAnsi"/>
          <w:sz w:val="22"/>
          <w:szCs w:val="28"/>
        </w:rPr>
        <w:t>[18/Lenovo]</w:t>
      </w:r>
      <w:r w:rsidR="00791E24">
        <w:rPr>
          <w:rFonts w:asciiTheme="minorHAnsi" w:hAnsiTheme="minorHAnsi" w:cstheme="minorHAnsi"/>
          <w:sz w:val="22"/>
          <w:szCs w:val="28"/>
        </w:rPr>
        <w:t>,</w:t>
      </w:r>
      <w:r w:rsidR="00791E24">
        <w:rPr>
          <w:rFonts w:asciiTheme="minorHAnsi" w:hAnsiTheme="minorHAnsi" w:cstheme="minorHAnsi"/>
          <w:color w:val="FF0000"/>
          <w:sz w:val="22"/>
          <w:szCs w:val="28"/>
        </w:rPr>
        <w:t xml:space="preserve"> </w:t>
      </w:r>
      <w:r w:rsidR="00234958" w:rsidRPr="00234958">
        <w:rPr>
          <w:rFonts w:asciiTheme="minorHAnsi" w:hAnsiTheme="minorHAnsi" w:cstheme="minorHAnsi"/>
          <w:sz w:val="22"/>
          <w:szCs w:val="28"/>
        </w:rPr>
        <w:t>[22/LGE],</w:t>
      </w:r>
      <w:r w:rsidR="00234958">
        <w:rPr>
          <w:rFonts w:asciiTheme="minorHAnsi" w:hAnsiTheme="minorHAnsi" w:cstheme="minorHAnsi"/>
          <w:color w:val="FF0000"/>
          <w:sz w:val="22"/>
          <w:szCs w:val="28"/>
        </w:rPr>
        <w:t xml:space="preserve"> </w:t>
      </w:r>
      <w:r w:rsidR="0021570A">
        <w:rPr>
          <w:rFonts w:asciiTheme="minorHAnsi" w:hAnsiTheme="minorHAnsi" w:cstheme="minorHAnsi"/>
          <w:color w:val="000000" w:themeColor="text1"/>
          <w:sz w:val="22"/>
          <w:szCs w:val="28"/>
        </w:rPr>
        <w:t>[23/MediaTek] (adaptive</w:t>
      </w:r>
      <w:r w:rsidR="0021570A" w:rsidRPr="00DD1D28">
        <w:rPr>
          <w:rFonts w:asciiTheme="minorHAnsi" w:hAnsiTheme="minorHAnsi" w:cstheme="minorHAnsi"/>
          <w:sz w:val="22"/>
          <w:szCs w:val="28"/>
        </w:rPr>
        <w:t xml:space="preserve">), </w:t>
      </w:r>
      <w:r w:rsidR="000F7071" w:rsidRPr="00DD1D28">
        <w:rPr>
          <w:rFonts w:asciiTheme="minorHAnsi" w:hAnsiTheme="minorHAnsi" w:cstheme="minorHAnsi"/>
          <w:sz w:val="22"/>
          <w:szCs w:val="28"/>
        </w:rPr>
        <w:t>[</w:t>
      </w:r>
      <w:r w:rsidR="007B2CAB" w:rsidRPr="00DD1D28">
        <w:rPr>
          <w:rFonts w:asciiTheme="minorHAnsi" w:hAnsiTheme="minorHAnsi" w:cstheme="minorHAnsi"/>
          <w:sz w:val="22"/>
          <w:szCs w:val="28"/>
        </w:rPr>
        <w:t>28/Samsung</w:t>
      </w:r>
      <w:r w:rsidR="000F7071" w:rsidRPr="00DD1D28">
        <w:rPr>
          <w:rFonts w:asciiTheme="minorHAnsi" w:hAnsiTheme="minorHAnsi" w:cstheme="minorHAnsi"/>
          <w:sz w:val="22"/>
          <w:szCs w:val="28"/>
        </w:rPr>
        <w:t xml:space="preserve">], </w:t>
      </w:r>
      <w:r w:rsidR="00124200" w:rsidRPr="00442485">
        <w:rPr>
          <w:rFonts w:asciiTheme="minorHAnsi" w:hAnsiTheme="minorHAnsi" w:cstheme="minorHAnsi"/>
          <w:sz w:val="22"/>
          <w:szCs w:val="28"/>
        </w:rPr>
        <w:t>[</w:t>
      </w:r>
      <w:r w:rsidR="007B2CAB" w:rsidRPr="00442485">
        <w:rPr>
          <w:rFonts w:asciiTheme="minorHAnsi" w:hAnsiTheme="minorHAnsi" w:cstheme="minorHAnsi"/>
          <w:sz w:val="22"/>
          <w:szCs w:val="28"/>
        </w:rPr>
        <w:t>27/IDC</w:t>
      </w:r>
      <w:r w:rsidR="00124200" w:rsidRPr="00442485">
        <w:rPr>
          <w:rFonts w:asciiTheme="minorHAnsi" w:hAnsiTheme="minorHAnsi" w:cstheme="minorHAnsi"/>
          <w:sz w:val="22"/>
          <w:szCs w:val="28"/>
        </w:rPr>
        <w:t>],</w:t>
      </w:r>
      <w:r w:rsidR="00124200" w:rsidRPr="00990545">
        <w:rPr>
          <w:rFonts w:asciiTheme="minorHAnsi" w:hAnsiTheme="minorHAnsi" w:cstheme="minorHAnsi"/>
          <w:color w:val="FF0000"/>
          <w:sz w:val="22"/>
          <w:szCs w:val="28"/>
        </w:rPr>
        <w:t xml:space="preserve"> </w:t>
      </w:r>
      <w:r w:rsidR="00B50A84" w:rsidRPr="00C03B30">
        <w:rPr>
          <w:rFonts w:asciiTheme="minorHAnsi" w:hAnsiTheme="minorHAnsi" w:cstheme="minorHAnsi"/>
          <w:sz w:val="22"/>
          <w:szCs w:val="28"/>
        </w:rPr>
        <w:t>[</w:t>
      </w:r>
      <w:r w:rsidR="007B2CAB" w:rsidRPr="00C03B30">
        <w:rPr>
          <w:rFonts w:asciiTheme="minorHAnsi" w:hAnsiTheme="minorHAnsi" w:cstheme="minorHAnsi"/>
          <w:sz w:val="22"/>
          <w:szCs w:val="28"/>
        </w:rPr>
        <w:t>25/</w:t>
      </w:r>
      <w:r w:rsidR="007B2CAB" w:rsidRPr="00B00116">
        <w:rPr>
          <w:rFonts w:asciiTheme="minorHAnsi" w:hAnsiTheme="minorHAnsi" w:cstheme="minorHAnsi"/>
          <w:sz w:val="22"/>
          <w:szCs w:val="28"/>
        </w:rPr>
        <w:t>Apple</w:t>
      </w:r>
      <w:r w:rsidR="00B50A84" w:rsidRPr="00B00116">
        <w:rPr>
          <w:rFonts w:asciiTheme="minorHAnsi" w:hAnsiTheme="minorHAnsi" w:cstheme="minorHAnsi"/>
          <w:sz w:val="22"/>
          <w:szCs w:val="28"/>
        </w:rPr>
        <w:t>]</w:t>
      </w:r>
      <w:r w:rsidR="00913E1D" w:rsidRPr="00B00116">
        <w:rPr>
          <w:rFonts w:asciiTheme="minorHAnsi" w:hAnsiTheme="minorHAnsi" w:cstheme="minorHAnsi"/>
          <w:sz w:val="22"/>
          <w:szCs w:val="28"/>
        </w:rPr>
        <w:t>,</w:t>
      </w:r>
      <w:r w:rsidR="003E5DF6" w:rsidRPr="00B00116">
        <w:rPr>
          <w:rFonts w:asciiTheme="minorHAnsi" w:hAnsiTheme="minorHAnsi" w:cstheme="minorHAnsi"/>
          <w:sz w:val="22"/>
          <w:szCs w:val="28"/>
        </w:rPr>
        <w:t xml:space="preserve"> </w:t>
      </w:r>
      <w:r w:rsidR="00381FAF">
        <w:rPr>
          <w:rFonts w:asciiTheme="minorHAnsi" w:hAnsiTheme="minorHAnsi" w:cstheme="minorHAnsi"/>
          <w:color w:val="000000" w:themeColor="text1"/>
          <w:sz w:val="22"/>
          <w:szCs w:val="28"/>
        </w:rPr>
        <w:t>[29/ITL] (configurable),</w:t>
      </w:r>
      <w:r w:rsidR="00381FAF" w:rsidRPr="00B00116">
        <w:rPr>
          <w:rFonts w:asciiTheme="minorHAnsi" w:hAnsiTheme="minorHAnsi" w:cstheme="minorHAnsi"/>
          <w:sz w:val="22"/>
          <w:szCs w:val="28"/>
        </w:rPr>
        <w:t xml:space="preserve"> </w:t>
      </w:r>
      <w:r w:rsidR="003E5DF6" w:rsidRPr="00B00116">
        <w:rPr>
          <w:rFonts w:asciiTheme="minorHAnsi" w:hAnsiTheme="minorHAnsi" w:cstheme="minorHAnsi"/>
          <w:sz w:val="22"/>
          <w:szCs w:val="28"/>
        </w:rPr>
        <w:t>[30/Sharp],</w:t>
      </w:r>
      <w:r w:rsidR="00375ECB" w:rsidRPr="00B00116">
        <w:rPr>
          <w:rFonts w:asciiTheme="minorHAnsi" w:hAnsiTheme="minorHAnsi" w:cstheme="minorHAnsi"/>
          <w:sz w:val="22"/>
          <w:szCs w:val="28"/>
        </w:rPr>
        <w:t xml:space="preserve"> </w:t>
      </w:r>
      <w:r w:rsidR="003E5DF6" w:rsidRPr="00B00116">
        <w:rPr>
          <w:rFonts w:asciiTheme="minorHAnsi" w:hAnsiTheme="minorHAnsi" w:cstheme="minorHAnsi"/>
          <w:sz w:val="22"/>
          <w:szCs w:val="28"/>
        </w:rPr>
        <w:t>[31/Panasonic</w:t>
      </w:r>
      <w:r w:rsidR="003E5DF6">
        <w:rPr>
          <w:rFonts w:asciiTheme="minorHAnsi" w:hAnsiTheme="minorHAnsi" w:cstheme="minorHAnsi"/>
          <w:sz w:val="22"/>
          <w:szCs w:val="28"/>
        </w:rPr>
        <w:t xml:space="preserve">], </w:t>
      </w:r>
      <w:r w:rsidR="00375ECB" w:rsidRPr="00313379">
        <w:rPr>
          <w:rFonts w:asciiTheme="minorHAnsi" w:hAnsiTheme="minorHAnsi" w:cstheme="minorHAnsi"/>
          <w:sz w:val="22"/>
          <w:szCs w:val="28"/>
        </w:rPr>
        <w:t>[3</w:t>
      </w:r>
      <w:r w:rsidR="00C2369F" w:rsidRPr="00313379">
        <w:rPr>
          <w:rFonts w:asciiTheme="minorHAnsi" w:hAnsiTheme="minorHAnsi" w:cstheme="minorHAnsi"/>
          <w:sz w:val="22"/>
          <w:szCs w:val="28"/>
        </w:rPr>
        <w:t>7</w:t>
      </w:r>
      <w:r w:rsidR="00375ECB" w:rsidRPr="00313379">
        <w:rPr>
          <w:rFonts w:asciiTheme="minorHAnsi" w:hAnsiTheme="minorHAnsi" w:cstheme="minorHAnsi"/>
          <w:sz w:val="22"/>
          <w:szCs w:val="28"/>
        </w:rPr>
        <w:t>/WILUS]</w:t>
      </w:r>
    </w:p>
    <w:p w14:paraId="318F0CC2" w14:textId="39C4799B" w:rsidR="003A5516" w:rsidRDefault="00913E1D" w:rsidP="00B05BC0">
      <w:pPr>
        <w:pStyle w:val="ListParagraph"/>
        <w:numPr>
          <w:ilvl w:val="2"/>
          <w:numId w:val="15"/>
        </w:numPr>
        <w:ind w:leftChars="0"/>
        <w:jc w:val="both"/>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I</w:t>
      </w:r>
      <w:r w:rsidRPr="00913E1D">
        <w:rPr>
          <w:rFonts w:asciiTheme="minorHAnsi" w:hAnsiTheme="minorHAnsi" w:cstheme="minorHAnsi"/>
          <w:color w:val="000000" w:themeColor="text1"/>
          <w:sz w:val="22"/>
          <w:szCs w:val="28"/>
        </w:rPr>
        <w:t xml:space="preserve">n ultra-dense networks, a wider range of </w:t>
      </w:r>
      <w:r>
        <w:rPr>
          <w:rFonts w:asciiTheme="minorHAnsi" w:hAnsiTheme="minorHAnsi" w:cstheme="minorHAnsi"/>
          <w:color w:val="000000" w:themeColor="text1"/>
          <w:sz w:val="22"/>
          <w:szCs w:val="28"/>
        </w:rPr>
        <w:t>CW</w:t>
      </w:r>
      <w:r w:rsidRPr="00913E1D">
        <w:rPr>
          <w:rFonts w:asciiTheme="minorHAnsi" w:hAnsiTheme="minorHAnsi" w:cstheme="minorHAnsi"/>
          <w:color w:val="000000" w:themeColor="text1"/>
          <w:sz w:val="22"/>
          <w:szCs w:val="28"/>
        </w:rPr>
        <w:t xml:space="preserve">s </w:t>
      </w:r>
      <w:r>
        <w:rPr>
          <w:rFonts w:asciiTheme="minorHAnsi" w:hAnsiTheme="minorHAnsi" w:cstheme="minorHAnsi"/>
          <w:color w:val="000000" w:themeColor="text1"/>
          <w:sz w:val="22"/>
          <w:szCs w:val="28"/>
        </w:rPr>
        <w:t>offers</w:t>
      </w:r>
      <w:r w:rsidRPr="00913E1D">
        <w:rPr>
          <w:rFonts w:asciiTheme="minorHAnsi" w:hAnsiTheme="minorHAnsi" w:cstheme="minorHAnsi"/>
          <w:color w:val="000000" w:themeColor="text1"/>
          <w:sz w:val="22"/>
          <w:szCs w:val="28"/>
        </w:rPr>
        <w:t xml:space="preserve"> more chances to back off</w:t>
      </w:r>
      <w:r>
        <w:rPr>
          <w:rFonts w:asciiTheme="minorHAnsi" w:hAnsiTheme="minorHAnsi" w:cstheme="minorHAnsi"/>
          <w:color w:val="000000" w:themeColor="text1"/>
          <w:sz w:val="22"/>
          <w:szCs w:val="28"/>
        </w:rPr>
        <w:t xml:space="preserve"> if collisions occur</w:t>
      </w:r>
      <w:r w:rsidRPr="00913E1D">
        <w:rPr>
          <w:rFonts w:asciiTheme="minorHAnsi" w:hAnsiTheme="minorHAnsi" w:cstheme="minorHAnsi"/>
          <w:color w:val="000000" w:themeColor="text1"/>
          <w:sz w:val="22"/>
          <w:szCs w:val="28"/>
        </w:rPr>
        <w:t>.</w:t>
      </w:r>
    </w:p>
    <w:p w14:paraId="76A6B475" w14:textId="14B9A8D7" w:rsidR="00913E1D" w:rsidRDefault="003A5516" w:rsidP="00B05BC0">
      <w:pPr>
        <w:pStyle w:val="ListParagraph"/>
        <w:numPr>
          <w:ilvl w:val="2"/>
          <w:numId w:val="15"/>
        </w:numPr>
        <w:ind w:leftChars="0"/>
        <w:jc w:val="both"/>
        <w:rPr>
          <w:rFonts w:asciiTheme="minorHAnsi" w:hAnsiTheme="minorHAnsi" w:cstheme="minorHAnsi"/>
          <w:color w:val="000000" w:themeColor="text1"/>
          <w:sz w:val="22"/>
          <w:szCs w:val="28"/>
        </w:rPr>
      </w:pPr>
      <w:r w:rsidRPr="003A5516">
        <w:rPr>
          <w:rFonts w:asciiTheme="minorHAnsi" w:hAnsiTheme="minorHAnsi" w:cstheme="minorHAnsi"/>
          <w:color w:val="000000" w:themeColor="text1"/>
          <w:sz w:val="22"/>
          <w:szCs w:val="28"/>
        </w:rPr>
        <w:t>A larger CWmax allows more channel access opportunities if one fails.</w:t>
      </w:r>
    </w:p>
    <w:p w14:paraId="70116D78" w14:textId="478952BE" w:rsidR="003E19FA" w:rsidRDefault="003E19FA" w:rsidP="00B05BC0">
      <w:pPr>
        <w:pStyle w:val="ListParagraph"/>
        <w:numPr>
          <w:ilvl w:val="2"/>
          <w:numId w:val="15"/>
        </w:numPr>
        <w:ind w:leftChars="0"/>
        <w:jc w:val="both"/>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Acting as a supervised role in Mode 1</w:t>
      </w:r>
    </w:p>
    <w:p w14:paraId="7A381BE3" w14:textId="79689DAE" w:rsidR="00015F7A" w:rsidRPr="00607A8F" w:rsidRDefault="00015F7A" w:rsidP="00B05BC0">
      <w:pPr>
        <w:pStyle w:val="ListParagraph"/>
        <w:numPr>
          <w:ilvl w:val="2"/>
          <w:numId w:val="15"/>
        </w:numPr>
        <w:ind w:leftChars="0"/>
        <w:jc w:val="both"/>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U</w:t>
      </w:r>
      <w:r w:rsidRPr="00015F7A">
        <w:rPr>
          <w:rFonts w:asciiTheme="minorHAnsi" w:hAnsiTheme="minorHAnsi" w:cstheme="minorHAnsi"/>
          <w:color w:val="000000" w:themeColor="text1"/>
          <w:sz w:val="22"/>
          <w:szCs w:val="28"/>
        </w:rPr>
        <w:t xml:space="preserve">nified scheme to access the channel </w:t>
      </w:r>
      <w:r>
        <w:rPr>
          <w:rFonts w:asciiTheme="minorHAnsi" w:hAnsiTheme="minorHAnsi" w:cstheme="minorHAnsi"/>
          <w:color w:val="000000" w:themeColor="text1"/>
          <w:sz w:val="22"/>
          <w:szCs w:val="28"/>
        </w:rPr>
        <w:t>between</w:t>
      </w:r>
      <w:r w:rsidRPr="00015F7A">
        <w:rPr>
          <w:rFonts w:asciiTheme="minorHAnsi" w:hAnsiTheme="minorHAnsi" w:cstheme="minorHAnsi"/>
          <w:color w:val="000000" w:themeColor="text1"/>
          <w:sz w:val="22"/>
          <w:szCs w:val="28"/>
        </w:rPr>
        <w:t xml:space="preserve"> UL and SL transmission</w:t>
      </w:r>
      <w:r>
        <w:rPr>
          <w:rFonts w:asciiTheme="minorHAnsi" w:hAnsiTheme="minorHAnsi" w:cstheme="minorHAnsi"/>
          <w:color w:val="000000" w:themeColor="text1"/>
          <w:sz w:val="22"/>
          <w:szCs w:val="28"/>
        </w:rPr>
        <w:t>s</w:t>
      </w:r>
      <w:r w:rsidRPr="00015F7A">
        <w:rPr>
          <w:rFonts w:asciiTheme="minorHAnsi" w:hAnsiTheme="minorHAnsi" w:cstheme="minorHAnsi"/>
          <w:color w:val="000000" w:themeColor="text1"/>
          <w:sz w:val="22"/>
          <w:szCs w:val="28"/>
        </w:rPr>
        <w:t>.</w:t>
      </w:r>
    </w:p>
    <w:p w14:paraId="7CCF233D" w14:textId="77777777" w:rsidR="00520024" w:rsidRPr="00520024" w:rsidRDefault="00081E40" w:rsidP="006D6169">
      <w:pPr>
        <w:pStyle w:val="ListParagraph"/>
        <w:numPr>
          <w:ilvl w:val="1"/>
          <w:numId w:val="15"/>
        </w:numPr>
        <w:ind w:leftChars="0"/>
        <w:jc w:val="both"/>
        <w:rPr>
          <w:rFonts w:asciiTheme="minorHAnsi" w:hAnsiTheme="minorHAnsi" w:cstheme="minorHAnsi"/>
          <w:color w:val="000000" w:themeColor="text1"/>
          <w:sz w:val="22"/>
          <w:szCs w:val="28"/>
        </w:rPr>
      </w:pPr>
      <w:r w:rsidRPr="00520024">
        <w:rPr>
          <w:rFonts w:asciiTheme="minorHAnsi" w:hAnsiTheme="minorHAnsi" w:cstheme="minorHAnsi"/>
          <w:color w:val="000000" w:themeColor="text1"/>
          <w:sz w:val="22"/>
          <w:szCs w:val="28"/>
        </w:rPr>
        <w:t>[2/Nokia, NSB]</w:t>
      </w:r>
      <w:r w:rsidR="003E19FA" w:rsidRPr="00520024">
        <w:rPr>
          <w:rFonts w:asciiTheme="minorHAnsi" w:hAnsiTheme="minorHAnsi" w:cstheme="minorHAnsi"/>
          <w:color w:val="000000" w:themeColor="text1"/>
          <w:sz w:val="22"/>
          <w:szCs w:val="28"/>
        </w:rPr>
        <w:t xml:space="preserve">: </w:t>
      </w:r>
    </w:p>
    <w:p w14:paraId="3994CC6A" w14:textId="2C6BAFC1" w:rsidR="003E19FA" w:rsidRPr="00520024" w:rsidRDefault="00520024" w:rsidP="00520024">
      <w:pPr>
        <w:pStyle w:val="ListParagraph"/>
        <w:numPr>
          <w:ilvl w:val="2"/>
          <w:numId w:val="15"/>
        </w:numPr>
        <w:ind w:leftChars="0"/>
        <w:jc w:val="both"/>
        <w:rPr>
          <w:rFonts w:asciiTheme="minorHAnsi" w:hAnsiTheme="minorHAnsi" w:cstheme="minorHAnsi"/>
          <w:color w:val="000000" w:themeColor="text1"/>
          <w:sz w:val="22"/>
          <w:szCs w:val="28"/>
        </w:rPr>
      </w:pPr>
      <w:r w:rsidRPr="00520024">
        <w:rPr>
          <w:rFonts w:asciiTheme="minorHAnsi" w:hAnsiTheme="minorHAnsi" w:cstheme="minorHAnsi"/>
          <w:color w:val="000000" w:themeColor="text1"/>
          <w:sz w:val="22"/>
          <w:szCs w:val="28"/>
        </w:rPr>
        <w:t>The choice of CAPC for transmitting PSFCH can be associated with the L1 priority present in the SCI of the associated PSCCH/PSSCH transmission, in case Type 1 LBT is performed for transmitting PSFCH.</w:t>
      </w:r>
    </w:p>
    <w:p w14:paraId="3A425A74" w14:textId="31344CE7" w:rsidR="00520024" w:rsidRDefault="00520024" w:rsidP="00520024">
      <w:pPr>
        <w:pStyle w:val="ListParagraph"/>
        <w:numPr>
          <w:ilvl w:val="2"/>
          <w:numId w:val="15"/>
        </w:numPr>
        <w:ind w:leftChars="0"/>
        <w:jc w:val="both"/>
        <w:rPr>
          <w:rFonts w:asciiTheme="minorHAnsi" w:hAnsiTheme="minorHAnsi" w:cstheme="minorHAnsi"/>
          <w:color w:val="000000" w:themeColor="text1"/>
          <w:sz w:val="22"/>
          <w:szCs w:val="28"/>
        </w:rPr>
      </w:pPr>
      <w:r w:rsidRPr="00520024">
        <w:rPr>
          <w:rFonts w:asciiTheme="minorHAnsi" w:hAnsiTheme="minorHAnsi" w:cstheme="minorHAnsi"/>
          <w:color w:val="000000" w:themeColor="text1"/>
          <w:sz w:val="22"/>
          <w:szCs w:val="28"/>
        </w:rPr>
        <w:t>In case of simultaneous PSFCH transmissions mapped to the same PSFCH slot, if type 1 LBT is applied for transmitting PSFCH, the UEs should select the CAPC associated with the highest transmission priority among the monitored SCIs.</w:t>
      </w:r>
    </w:p>
    <w:p w14:paraId="3E7702AC" w14:textId="76AE68A2" w:rsidR="00520024" w:rsidRPr="00520024" w:rsidRDefault="00520024" w:rsidP="00520024">
      <w:pPr>
        <w:pStyle w:val="ListParagraph"/>
        <w:numPr>
          <w:ilvl w:val="2"/>
          <w:numId w:val="15"/>
        </w:numPr>
        <w:ind w:leftChars="0"/>
        <w:jc w:val="both"/>
        <w:rPr>
          <w:rFonts w:asciiTheme="minorHAnsi" w:hAnsiTheme="minorHAnsi" w:cstheme="minorHAnsi"/>
          <w:bCs/>
          <w:iCs/>
          <w:color w:val="000000" w:themeColor="text1"/>
          <w:sz w:val="24"/>
          <w:szCs w:val="32"/>
        </w:rPr>
      </w:pPr>
      <w:r w:rsidRPr="00520024">
        <w:rPr>
          <w:rFonts w:asciiTheme="minorHAnsi" w:hAnsiTheme="minorHAnsi" w:cstheme="minorHAnsi"/>
          <w:bCs/>
          <w:iCs/>
          <w:sz w:val="22"/>
          <w:szCs w:val="28"/>
          <w:lang w:val="en-US"/>
        </w:rPr>
        <w:t>In case of multiple PSFCH is supported, if type 1 LBT is applied for transmitting PSFCH, the UEs can be allowed to upgrade the CAPC to a higher priority depending on LBT status of previous PSFCH transmission attempts.</w:t>
      </w:r>
    </w:p>
    <w:p w14:paraId="503D488B" w14:textId="54D45A45" w:rsidR="00800A05" w:rsidRPr="0021570A" w:rsidRDefault="00800A05" w:rsidP="00B05BC0">
      <w:pPr>
        <w:pStyle w:val="ListParagraph"/>
        <w:numPr>
          <w:ilvl w:val="1"/>
          <w:numId w:val="15"/>
        </w:numPr>
        <w:ind w:leftChars="0"/>
        <w:jc w:val="both"/>
        <w:rPr>
          <w:rFonts w:asciiTheme="minorHAnsi" w:hAnsiTheme="minorHAnsi" w:cstheme="minorHAnsi"/>
          <w:sz w:val="22"/>
          <w:szCs w:val="28"/>
        </w:rPr>
      </w:pPr>
      <w:r w:rsidRPr="0021570A">
        <w:rPr>
          <w:rFonts w:asciiTheme="minorHAnsi" w:hAnsiTheme="minorHAnsi" w:cstheme="minorHAnsi"/>
          <w:sz w:val="22"/>
          <w:szCs w:val="28"/>
        </w:rPr>
        <w:t>[</w:t>
      </w:r>
      <w:r w:rsidR="007B2CAB" w:rsidRPr="0021570A">
        <w:rPr>
          <w:rFonts w:asciiTheme="minorHAnsi" w:hAnsiTheme="minorHAnsi" w:cstheme="minorHAnsi"/>
          <w:sz w:val="22"/>
          <w:szCs w:val="28"/>
        </w:rPr>
        <w:t>23/MediaTek</w:t>
      </w:r>
      <w:r w:rsidRPr="0021570A">
        <w:rPr>
          <w:rFonts w:asciiTheme="minorHAnsi" w:hAnsiTheme="minorHAnsi" w:cstheme="minorHAnsi"/>
          <w:sz w:val="22"/>
          <w:szCs w:val="28"/>
        </w:rPr>
        <w:t xml:space="preserve">]: </w:t>
      </w:r>
      <w:r w:rsidR="00F6148B" w:rsidRPr="0021570A">
        <w:rPr>
          <w:rFonts w:asciiTheme="minorHAnsi" w:hAnsiTheme="minorHAnsi" w:cstheme="minorHAnsi"/>
          <w:sz w:val="22"/>
          <w:szCs w:val="28"/>
        </w:rPr>
        <w:t>The CAPC in SL-U can be mapped from PQI with the following two options:</w:t>
      </w:r>
    </w:p>
    <w:p w14:paraId="50D8BE4F" w14:textId="0424D20C" w:rsidR="00F6148B" w:rsidRPr="0021570A" w:rsidRDefault="00F6148B" w:rsidP="00F6148B">
      <w:pPr>
        <w:pStyle w:val="ListParagraph"/>
        <w:numPr>
          <w:ilvl w:val="2"/>
          <w:numId w:val="15"/>
        </w:numPr>
        <w:ind w:leftChars="0"/>
        <w:jc w:val="both"/>
        <w:rPr>
          <w:rFonts w:asciiTheme="minorHAnsi" w:hAnsiTheme="minorHAnsi" w:cstheme="minorHAnsi"/>
          <w:sz w:val="22"/>
          <w:szCs w:val="28"/>
        </w:rPr>
      </w:pPr>
      <w:r w:rsidRPr="0021570A">
        <w:rPr>
          <w:rFonts w:asciiTheme="minorHAnsi" w:hAnsiTheme="minorHAnsi" w:cstheme="minorHAnsi"/>
          <w:sz w:val="22"/>
          <w:szCs w:val="28"/>
        </w:rPr>
        <w:t>Option 1: Indirectly mapped from PQI with 5QI as an intermediary.</w:t>
      </w:r>
    </w:p>
    <w:p w14:paraId="139ADC1F" w14:textId="6A1402A0" w:rsidR="00F6148B" w:rsidRPr="0021570A" w:rsidRDefault="00F6148B" w:rsidP="00F6148B">
      <w:pPr>
        <w:pStyle w:val="ListParagraph"/>
        <w:numPr>
          <w:ilvl w:val="2"/>
          <w:numId w:val="15"/>
        </w:numPr>
        <w:ind w:leftChars="0"/>
        <w:jc w:val="both"/>
        <w:rPr>
          <w:rFonts w:asciiTheme="minorHAnsi" w:hAnsiTheme="minorHAnsi" w:cstheme="minorHAnsi"/>
          <w:sz w:val="22"/>
          <w:szCs w:val="28"/>
        </w:rPr>
      </w:pPr>
      <w:r w:rsidRPr="0021570A">
        <w:rPr>
          <w:rFonts w:asciiTheme="minorHAnsi" w:hAnsiTheme="minorHAnsi" w:cstheme="minorHAnsi"/>
          <w:sz w:val="22"/>
          <w:szCs w:val="28"/>
        </w:rPr>
        <w:lastRenderedPageBreak/>
        <w:t>Option 2: Directly mapped from PQI with a new defined mapping relation between CAPC and PQI.</w:t>
      </w:r>
    </w:p>
    <w:p w14:paraId="16901CF7" w14:textId="77777777" w:rsidR="00520024" w:rsidRPr="00C31805" w:rsidRDefault="00520024" w:rsidP="00520024">
      <w:pPr>
        <w:pStyle w:val="ListParagraph"/>
        <w:numPr>
          <w:ilvl w:val="1"/>
          <w:numId w:val="15"/>
        </w:numPr>
        <w:ind w:leftChars="0"/>
        <w:jc w:val="both"/>
        <w:rPr>
          <w:rFonts w:asciiTheme="minorHAnsi" w:hAnsiTheme="minorHAnsi" w:cstheme="minorHAnsi"/>
          <w:sz w:val="22"/>
          <w:szCs w:val="28"/>
        </w:rPr>
      </w:pPr>
      <w:r w:rsidRPr="00C31805">
        <w:rPr>
          <w:rFonts w:asciiTheme="minorHAnsi" w:hAnsiTheme="minorHAnsi" w:cstheme="minorHAnsi"/>
          <w:sz w:val="22"/>
          <w:szCs w:val="28"/>
        </w:rPr>
        <w:t>[32/DCM]: If treated as supervising device, DL CAPC table in 37.213 is reused. If treated as supervised device, UL CAPC table in 37.213 is reused.</w:t>
      </w:r>
    </w:p>
    <w:p w14:paraId="31B3DB1D" w14:textId="07858513" w:rsidR="00520024" w:rsidRPr="00C31805" w:rsidRDefault="00C31805" w:rsidP="00520024">
      <w:pPr>
        <w:pStyle w:val="ListParagraph"/>
        <w:numPr>
          <w:ilvl w:val="2"/>
          <w:numId w:val="15"/>
        </w:numPr>
        <w:ind w:leftChars="0"/>
        <w:jc w:val="both"/>
        <w:rPr>
          <w:rFonts w:asciiTheme="minorHAnsi" w:hAnsiTheme="minorHAnsi" w:cstheme="minorHAnsi"/>
          <w:sz w:val="22"/>
          <w:szCs w:val="28"/>
        </w:rPr>
      </w:pPr>
      <w:r w:rsidRPr="00C31805">
        <w:rPr>
          <w:rFonts w:asciiTheme="minorHAnsi" w:hAnsiTheme="minorHAnsi" w:cstheme="minorHAnsi"/>
          <w:sz w:val="22"/>
          <w:szCs w:val="28"/>
        </w:rPr>
        <w:t>CAPC of TXs not including SL data TX can be any value.</w:t>
      </w:r>
    </w:p>
    <w:p w14:paraId="5BE9C7E4" w14:textId="77777777" w:rsidR="00520024" w:rsidRPr="00C31805" w:rsidRDefault="00520024" w:rsidP="00520024">
      <w:pPr>
        <w:pStyle w:val="ListParagraph"/>
        <w:numPr>
          <w:ilvl w:val="2"/>
          <w:numId w:val="15"/>
        </w:numPr>
        <w:ind w:leftChars="0"/>
        <w:jc w:val="both"/>
        <w:rPr>
          <w:rFonts w:asciiTheme="minorHAnsi" w:hAnsiTheme="minorHAnsi" w:cstheme="minorHAnsi"/>
          <w:sz w:val="22"/>
          <w:szCs w:val="28"/>
        </w:rPr>
      </w:pPr>
      <w:r w:rsidRPr="00C31805">
        <w:rPr>
          <w:rFonts w:asciiTheme="minorHAnsi" w:eastAsiaTheme="minorEastAsia" w:hAnsiTheme="minorHAnsi" w:cstheme="minorHAnsi"/>
          <w:iCs/>
          <w:sz w:val="22"/>
          <w:lang w:val="en-US"/>
        </w:rPr>
        <w:t>CAPC is determined such that subsequent TXs are included in the same COT.</w:t>
      </w:r>
    </w:p>
    <w:p w14:paraId="2072C02E" w14:textId="580A01F9" w:rsidR="007E0DAA" w:rsidRDefault="007E0DAA" w:rsidP="00666368">
      <w:pPr>
        <w:pStyle w:val="ListParagraph"/>
        <w:numPr>
          <w:ilvl w:val="0"/>
          <w:numId w:val="15"/>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Inter-UE / mutual blocking</w:t>
      </w:r>
    </w:p>
    <w:p w14:paraId="45C1F9A8" w14:textId="7B5C7E17" w:rsidR="00F542DA" w:rsidRPr="00C31805" w:rsidRDefault="00F542DA" w:rsidP="00DD0478">
      <w:pPr>
        <w:pStyle w:val="ListParagraph"/>
        <w:numPr>
          <w:ilvl w:val="1"/>
          <w:numId w:val="15"/>
        </w:numPr>
        <w:ind w:leftChars="0" w:hanging="357"/>
        <w:rPr>
          <w:rFonts w:asciiTheme="minorHAnsi" w:hAnsiTheme="minorHAnsi" w:cstheme="minorHAnsi"/>
          <w:sz w:val="22"/>
          <w:szCs w:val="28"/>
        </w:rPr>
      </w:pPr>
      <w:r w:rsidRPr="00C31805">
        <w:rPr>
          <w:rFonts w:asciiTheme="minorHAnsi" w:hAnsiTheme="minorHAnsi" w:cstheme="minorHAnsi"/>
          <w:sz w:val="22"/>
          <w:szCs w:val="28"/>
        </w:rPr>
        <w:t>[32/DCM]: In SL-U, for two non-contiguous TXs of a single UE, there is a case where LBT duration for 2nd TX is overlapped with the 1st TX. Study the following potential solutions.</w:t>
      </w:r>
    </w:p>
    <w:p w14:paraId="16CFE0FE" w14:textId="77777777" w:rsidR="00F542DA" w:rsidRPr="00C31805" w:rsidRDefault="00F542DA" w:rsidP="00DD0478">
      <w:pPr>
        <w:numPr>
          <w:ilvl w:val="2"/>
          <w:numId w:val="15"/>
        </w:numPr>
        <w:ind w:hanging="357"/>
        <w:rPr>
          <w:rFonts w:asciiTheme="minorHAnsi" w:eastAsiaTheme="minorEastAsia" w:hAnsiTheme="minorHAnsi" w:cstheme="minorHAnsi"/>
          <w:iCs/>
          <w:sz w:val="22"/>
          <w:lang w:val="en-US"/>
        </w:rPr>
      </w:pPr>
      <w:r w:rsidRPr="00C31805">
        <w:rPr>
          <w:rFonts w:asciiTheme="minorHAnsi" w:eastAsiaTheme="minorEastAsia" w:hAnsiTheme="minorHAnsi" w:cstheme="minorHAnsi"/>
          <w:iCs/>
          <w:sz w:val="22"/>
          <w:lang w:val="en-US"/>
        </w:rPr>
        <w:t>Option 1: LBT back-off count is pending during the 1st TX and restarted after that</w:t>
      </w:r>
    </w:p>
    <w:p w14:paraId="3FF73249" w14:textId="77777777" w:rsidR="00F542DA" w:rsidRPr="00C31805" w:rsidRDefault="00F542DA" w:rsidP="00DD0478">
      <w:pPr>
        <w:numPr>
          <w:ilvl w:val="2"/>
          <w:numId w:val="15"/>
        </w:numPr>
        <w:ind w:hanging="357"/>
        <w:rPr>
          <w:rFonts w:asciiTheme="minorHAnsi" w:eastAsiaTheme="minorEastAsia" w:hAnsiTheme="minorHAnsi" w:cstheme="minorHAnsi"/>
          <w:iCs/>
          <w:sz w:val="22"/>
          <w:lang w:val="en-US"/>
        </w:rPr>
      </w:pPr>
      <w:r w:rsidRPr="00C31805">
        <w:rPr>
          <w:rFonts w:asciiTheme="minorHAnsi" w:eastAsiaTheme="minorEastAsia" w:hAnsiTheme="minorHAnsi" w:cstheme="minorHAnsi"/>
          <w:iCs/>
          <w:sz w:val="22"/>
          <w:lang w:val="en-US"/>
        </w:rPr>
        <w:t>Option 2: LBT back-off count is maintained without LBT sensing duration the 1st TX</w:t>
      </w:r>
    </w:p>
    <w:p w14:paraId="0950F556" w14:textId="77777777" w:rsidR="00F542DA" w:rsidRPr="00C31805" w:rsidRDefault="00F542DA" w:rsidP="00DD0478">
      <w:pPr>
        <w:numPr>
          <w:ilvl w:val="2"/>
          <w:numId w:val="15"/>
        </w:numPr>
        <w:ind w:hanging="357"/>
        <w:rPr>
          <w:rFonts w:asciiTheme="minorHAnsi" w:eastAsiaTheme="minorEastAsia" w:hAnsiTheme="minorHAnsi" w:cstheme="minorHAnsi"/>
          <w:iCs/>
          <w:sz w:val="22"/>
          <w:lang w:val="en-US"/>
        </w:rPr>
      </w:pPr>
      <w:r w:rsidRPr="00C31805">
        <w:rPr>
          <w:rFonts w:asciiTheme="minorHAnsi" w:eastAsiaTheme="minorEastAsia" w:hAnsiTheme="minorHAnsi" w:cstheme="minorHAnsi"/>
          <w:iCs/>
          <w:sz w:val="22"/>
          <w:lang w:val="en-US"/>
        </w:rPr>
        <w:t>Option 3: the UE assumes the LBT for the 2nd TX is failed</w:t>
      </w:r>
    </w:p>
    <w:p w14:paraId="265E28F9" w14:textId="58531EE6" w:rsidR="00F542DA" w:rsidRPr="00C31805" w:rsidRDefault="00F542DA" w:rsidP="00DD0478">
      <w:pPr>
        <w:numPr>
          <w:ilvl w:val="2"/>
          <w:numId w:val="15"/>
        </w:numPr>
        <w:ind w:hanging="357"/>
        <w:rPr>
          <w:rFonts w:asciiTheme="minorHAnsi" w:eastAsiaTheme="minorEastAsia" w:hAnsiTheme="minorHAnsi" w:cstheme="minorHAnsi"/>
          <w:iCs/>
          <w:sz w:val="22"/>
          <w:lang w:val="en-US"/>
        </w:rPr>
      </w:pPr>
      <w:r w:rsidRPr="00C31805">
        <w:rPr>
          <w:rFonts w:asciiTheme="minorHAnsi" w:eastAsiaTheme="minorEastAsia" w:hAnsiTheme="minorHAnsi" w:cstheme="minorHAnsi"/>
          <w:iCs/>
          <w:sz w:val="22"/>
          <w:lang w:val="en-US"/>
        </w:rPr>
        <w:t>Option 4: resource allocation is performed such that the situation does not occur</w:t>
      </w:r>
    </w:p>
    <w:p w14:paraId="4B1D53DD" w14:textId="28FA85DE" w:rsidR="00DD0478" w:rsidRPr="00C31805" w:rsidRDefault="00DD0478" w:rsidP="002851E8">
      <w:pPr>
        <w:pStyle w:val="ListParagraph"/>
        <w:numPr>
          <w:ilvl w:val="1"/>
          <w:numId w:val="15"/>
        </w:numPr>
        <w:ind w:leftChars="0"/>
        <w:rPr>
          <w:rFonts w:asciiTheme="minorHAnsi" w:hAnsiTheme="minorHAnsi" w:cstheme="minorHAnsi"/>
          <w:sz w:val="22"/>
          <w:szCs w:val="28"/>
        </w:rPr>
      </w:pPr>
      <w:r w:rsidRPr="00C31805">
        <w:rPr>
          <w:rFonts w:asciiTheme="minorHAnsi" w:hAnsiTheme="minorHAnsi" w:cstheme="minorHAnsi"/>
          <w:sz w:val="22"/>
          <w:szCs w:val="28"/>
          <w:lang w:val="en-US"/>
        </w:rPr>
        <w:t xml:space="preserve">[32/DCM]: </w:t>
      </w:r>
      <w:r w:rsidRPr="00C31805">
        <w:rPr>
          <w:rFonts w:asciiTheme="minorHAnsi" w:hAnsiTheme="minorHAnsi" w:cstheme="minorHAnsi"/>
          <w:sz w:val="22"/>
          <w:szCs w:val="28"/>
        </w:rPr>
        <w:t>In SL-U, for two non-contiguous TXs of different UEs, there is a case where LBT duration for UE-B’s TX is overlapped with UE-A’s TX. Study the following potential solutions.</w:t>
      </w:r>
    </w:p>
    <w:p w14:paraId="5B049BCA" w14:textId="77777777" w:rsidR="00DD0478" w:rsidRPr="00C31805" w:rsidRDefault="00DD0478" w:rsidP="00DD0478">
      <w:pPr>
        <w:numPr>
          <w:ilvl w:val="2"/>
          <w:numId w:val="15"/>
        </w:numPr>
        <w:rPr>
          <w:rFonts w:asciiTheme="minorHAnsi" w:eastAsiaTheme="minorEastAsia" w:hAnsiTheme="minorHAnsi" w:cstheme="minorHAnsi"/>
          <w:iCs/>
          <w:sz w:val="22"/>
        </w:rPr>
      </w:pPr>
      <w:r w:rsidRPr="00C31805">
        <w:rPr>
          <w:rFonts w:asciiTheme="minorHAnsi" w:eastAsiaTheme="minorEastAsia" w:hAnsiTheme="minorHAnsi" w:cstheme="minorHAnsi"/>
          <w:iCs/>
          <w:sz w:val="22"/>
        </w:rPr>
        <w:t>Option 1: When UE-B detects a busy LBT-sensing slot, UE-B continues LBT until completion timing of SL-TX decoding from the busy LBT-sensing slot.</w:t>
      </w:r>
    </w:p>
    <w:p w14:paraId="5AD96C6C" w14:textId="18B724A2" w:rsidR="00DD0478" w:rsidRPr="00C31805" w:rsidRDefault="00DD0478" w:rsidP="00DD0478">
      <w:pPr>
        <w:numPr>
          <w:ilvl w:val="3"/>
          <w:numId w:val="15"/>
        </w:numPr>
        <w:rPr>
          <w:rFonts w:asciiTheme="minorHAnsi" w:eastAsiaTheme="minorEastAsia" w:hAnsiTheme="minorHAnsi" w:cstheme="minorHAnsi"/>
          <w:iCs/>
          <w:sz w:val="22"/>
        </w:rPr>
      </w:pPr>
      <w:r w:rsidRPr="00C31805">
        <w:rPr>
          <w:rFonts w:asciiTheme="minorHAnsi" w:eastAsiaTheme="minorEastAsia" w:hAnsiTheme="minorHAnsi" w:cstheme="minorHAnsi"/>
          <w:iCs/>
          <w:sz w:val="22"/>
        </w:rPr>
        <w:t>If UE-A’s SL TX is detected, UE follows behaviour for two non-contiguous TXs of a single UEs; otherwise, UE-B assumes the LBT is failed</w:t>
      </w:r>
    </w:p>
    <w:p w14:paraId="6221557B" w14:textId="77777777" w:rsidR="00DD0478" w:rsidRPr="00C31805" w:rsidRDefault="00DD0478" w:rsidP="00DD0478">
      <w:pPr>
        <w:numPr>
          <w:ilvl w:val="2"/>
          <w:numId w:val="15"/>
        </w:numPr>
        <w:rPr>
          <w:rFonts w:asciiTheme="minorHAnsi" w:eastAsiaTheme="minorEastAsia" w:hAnsiTheme="minorHAnsi" w:cstheme="minorHAnsi"/>
          <w:iCs/>
          <w:sz w:val="22"/>
        </w:rPr>
      </w:pPr>
      <w:r w:rsidRPr="00C31805">
        <w:rPr>
          <w:rFonts w:asciiTheme="minorHAnsi" w:eastAsiaTheme="minorEastAsia" w:hAnsiTheme="minorHAnsi" w:cstheme="minorHAnsi"/>
          <w:iCs/>
          <w:sz w:val="22"/>
        </w:rPr>
        <w:t>Option 2: UE-B assumes the LBT is failed</w:t>
      </w:r>
    </w:p>
    <w:p w14:paraId="2DEE6021" w14:textId="60C1A80A" w:rsidR="00DD0478" w:rsidRPr="00C31805" w:rsidRDefault="00DD0478" w:rsidP="00DD0478">
      <w:pPr>
        <w:numPr>
          <w:ilvl w:val="2"/>
          <w:numId w:val="15"/>
        </w:numPr>
        <w:rPr>
          <w:rFonts w:asciiTheme="minorHAnsi" w:eastAsiaTheme="minorEastAsia" w:hAnsiTheme="minorHAnsi" w:cstheme="minorHAnsi"/>
          <w:iCs/>
          <w:sz w:val="22"/>
        </w:rPr>
      </w:pPr>
      <w:r w:rsidRPr="00C31805">
        <w:rPr>
          <w:rFonts w:asciiTheme="minorHAnsi" w:eastAsiaTheme="minorEastAsia" w:hAnsiTheme="minorHAnsi" w:cstheme="minorHAnsi"/>
          <w:iCs/>
          <w:sz w:val="22"/>
        </w:rPr>
        <w:t>Option 3: resource allocation is performed such that the situation does not occur</w:t>
      </w:r>
    </w:p>
    <w:p w14:paraId="386E3F46" w14:textId="01435019" w:rsidR="00EC7D69" w:rsidRPr="00EC7D69" w:rsidRDefault="002851E8" w:rsidP="00EC7D69">
      <w:pPr>
        <w:pStyle w:val="ListParagraph"/>
        <w:numPr>
          <w:ilvl w:val="1"/>
          <w:numId w:val="15"/>
        </w:numPr>
        <w:ind w:leftChars="0"/>
        <w:rPr>
          <w:rFonts w:asciiTheme="minorHAnsi" w:hAnsiTheme="minorHAnsi" w:cstheme="minorHAnsi"/>
          <w:color w:val="000000" w:themeColor="text1"/>
          <w:sz w:val="22"/>
          <w:szCs w:val="28"/>
        </w:rPr>
      </w:pPr>
      <w:r w:rsidRPr="00EC7D69">
        <w:rPr>
          <w:rFonts w:asciiTheme="minorHAnsi" w:hAnsiTheme="minorHAnsi" w:cstheme="minorHAnsi"/>
          <w:color w:val="000000" w:themeColor="text1"/>
          <w:sz w:val="22"/>
          <w:szCs w:val="28"/>
        </w:rPr>
        <w:t>[</w:t>
      </w:r>
      <w:r w:rsidR="00263C76" w:rsidRPr="00EC7D69">
        <w:rPr>
          <w:rFonts w:asciiTheme="minorHAnsi" w:hAnsiTheme="minorHAnsi" w:cstheme="minorHAnsi"/>
          <w:color w:val="000000" w:themeColor="text1"/>
          <w:sz w:val="22"/>
          <w:szCs w:val="28"/>
        </w:rPr>
        <w:t>36/E///</w:t>
      </w:r>
      <w:r w:rsidRPr="00EC7D69">
        <w:rPr>
          <w:rFonts w:asciiTheme="minorHAnsi" w:hAnsiTheme="minorHAnsi" w:cstheme="minorHAnsi"/>
          <w:color w:val="000000" w:themeColor="text1"/>
          <w:sz w:val="22"/>
          <w:szCs w:val="28"/>
        </w:rPr>
        <w:t xml:space="preserve">]: </w:t>
      </w:r>
      <w:r w:rsidR="00EC7D69" w:rsidRPr="00EC7D69">
        <w:rPr>
          <w:rFonts w:asciiTheme="minorHAnsi" w:hAnsiTheme="minorHAnsi" w:cstheme="minorHAnsi"/>
          <w:color w:val="000000" w:themeColor="text1"/>
          <w:sz w:val="22"/>
          <w:szCs w:val="28"/>
        </w:rPr>
        <w:t>Due to imperfect synchronization between UEs, small differences in timing references result in inter-UE blocking. Timing offsets are used for preventing inter-UE blocking of high-priority transmissions and transmissions on reserved resources.</w:t>
      </w:r>
    </w:p>
    <w:p w14:paraId="3176FA82" w14:textId="77777777" w:rsidR="00990545" w:rsidRDefault="00990545" w:rsidP="00990545">
      <w:pPr>
        <w:pStyle w:val="ListParagraph"/>
        <w:numPr>
          <w:ilvl w:val="0"/>
          <w:numId w:val="15"/>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FBE-based semi-static channel access</w:t>
      </w:r>
    </w:p>
    <w:p w14:paraId="3C751E99" w14:textId="7CFBA544" w:rsidR="00990545" w:rsidRDefault="00990545" w:rsidP="00990545">
      <w:pPr>
        <w:pStyle w:val="ListParagraph"/>
        <w:numPr>
          <w:ilvl w:val="1"/>
          <w:numId w:val="15"/>
        </w:numPr>
        <w:ind w:leftChars="0"/>
        <w:rPr>
          <w:rFonts w:asciiTheme="minorHAnsi" w:hAnsiTheme="minorHAnsi" w:cstheme="minorHAnsi"/>
          <w:sz w:val="22"/>
          <w:szCs w:val="28"/>
        </w:rPr>
      </w:pPr>
      <w:r>
        <w:rPr>
          <w:rFonts w:asciiTheme="minorHAnsi" w:hAnsiTheme="minorHAnsi" w:cstheme="minorHAnsi"/>
          <w:sz w:val="22"/>
          <w:szCs w:val="28"/>
        </w:rPr>
        <w:t>Support</w:t>
      </w:r>
      <w:r w:rsidRPr="00FE1FC1">
        <w:rPr>
          <w:rFonts w:asciiTheme="minorHAnsi" w:hAnsiTheme="minorHAnsi" w:cstheme="minorHAnsi"/>
          <w:sz w:val="22"/>
          <w:szCs w:val="28"/>
        </w:rPr>
        <w:t xml:space="preserve">: </w:t>
      </w:r>
      <w:r w:rsidR="00081E40" w:rsidRPr="00EC7D69">
        <w:rPr>
          <w:rFonts w:asciiTheme="minorHAnsi" w:hAnsiTheme="minorHAnsi" w:cstheme="minorHAnsi"/>
          <w:color w:val="000000" w:themeColor="text1"/>
          <w:sz w:val="22"/>
          <w:szCs w:val="28"/>
        </w:rPr>
        <w:t>[2/Nokia, NSB]</w:t>
      </w:r>
      <w:r w:rsidRPr="00EC7D69">
        <w:rPr>
          <w:rFonts w:asciiTheme="minorHAnsi" w:hAnsiTheme="minorHAnsi" w:cstheme="minorHAnsi"/>
          <w:color w:val="000000" w:themeColor="text1"/>
          <w:sz w:val="22"/>
          <w:szCs w:val="28"/>
        </w:rPr>
        <w:t xml:space="preserve">, </w:t>
      </w:r>
      <w:r w:rsidR="00081E40" w:rsidRPr="00EC7D69">
        <w:rPr>
          <w:rFonts w:asciiTheme="minorHAnsi" w:hAnsiTheme="minorHAnsi" w:cstheme="minorHAnsi"/>
          <w:color w:val="000000" w:themeColor="text1"/>
          <w:sz w:val="22"/>
          <w:szCs w:val="28"/>
        </w:rPr>
        <w:t xml:space="preserve">[4/HW, </w:t>
      </w:r>
      <w:r w:rsidR="00081E40" w:rsidRPr="00370CF0">
        <w:rPr>
          <w:rFonts w:asciiTheme="minorHAnsi" w:hAnsiTheme="minorHAnsi" w:cstheme="minorHAnsi"/>
          <w:sz w:val="22"/>
          <w:szCs w:val="28"/>
        </w:rPr>
        <w:t>HiSi]</w:t>
      </w:r>
      <w:r w:rsidRPr="00370CF0">
        <w:rPr>
          <w:rFonts w:asciiTheme="minorHAnsi" w:hAnsiTheme="minorHAnsi" w:cstheme="minorHAnsi"/>
          <w:sz w:val="22"/>
          <w:szCs w:val="28"/>
        </w:rPr>
        <w:t xml:space="preserve">, </w:t>
      </w:r>
      <w:r w:rsidR="00081E40" w:rsidRPr="00370CF0">
        <w:rPr>
          <w:rFonts w:asciiTheme="minorHAnsi" w:hAnsiTheme="minorHAnsi" w:cstheme="minorHAnsi"/>
          <w:sz w:val="22"/>
          <w:szCs w:val="28"/>
        </w:rPr>
        <w:t>[5/Spreadtrum]</w:t>
      </w:r>
      <w:r w:rsidRPr="00370CF0">
        <w:rPr>
          <w:rFonts w:asciiTheme="minorHAnsi" w:hAnsiTheme="minorHAnsi" w:cstheme="minorHAnsi"/>
          <w:sz w:val="22"/>
          <w:szCs w:val="28"/>
        </w:rPr>
        <w:t>, [</w:t>
      </w:r>
      <w:r w:rsidR="00657FA4" w:rsidRPr="00370CF0">
        <w:rPr>
          <w:rFonts w:asciiTheme="minorHAnsi" w:hAnsiTheme="minorHAnsi" w:cstheme="minorHAnsi"/>
          <w:sz w:val="22"/>
          <w:szCs w:val="28"/>
        </w:rPr>
        <w:t>22/LGE</w:t>
      </w:r>
      <w:r w:rsidRPr="00370CF0">
        <w:rPr>
          <w:rFonts w:asciiTheme="minorHAnsi" w:hAnsiTheme="minorHAnsi" w:cstheme="minorHAnsi"/>
          <w:sz w:val="22"/>
          <w:szCs w:val="28"/>
        </w:rPr>
        <w:t xml:space="preserve">], </w:t>
      </w:r>
      <w:r w:rsidR="00466359" w:rsidRPr="00A555CF">
        <w:rPr>
          <w:rFonts w:asciiTheme="minorHAnsi" w:hAnsiTheme="minorHAnsi" w:cstheme="minorHAnsi"/>
          <w:sz w:val="22"/>
          <w:szCs w:val="28"/>
        </w:rPr>
        <w:t>[6/</w:t>
      </w:r>
      <w:r w:rsidR="00466359" w:rsidRPr="00A665BC">
        <w:rPr>
          <w:rFonts w:asciiTheme="minorHAnsi" w:hAnsiTheme="minorHAnsi" w:cstheme="minorHAnsi"/>
          <w:sz w:val="22"/>
          <w:szCs w:val="28"/>
        </w:rPr>
        <w:t>vivo]</w:t>
      </w:r>
      <w:r w:rsidRPr="00A665BC">
        <w:rPr>
          <w:rFonts w:asciiTheme="minorHAnsi" w:hAnsiTheme="minorHAnsi" w:cstheme="minorHAnsi"/>
          <w:sz w:val="22"/>
          <w:szCs w:val="28"/>
        </w:rPr>
        <w:t>, [</w:t>
      </w:r>
      <w:r w:rsidR="00BC644A" w:rsidRPr="00A665BC">
        <w:rPr>
          <w:rFonts w:asciiTheme="minorHAnsi" w:hAnsiTheme="minorHAnsi" w:cstheme="minorHAnsi"/>
          <w:sz w:val="22"/>
          <w:szCs w:val="28"/>
        </w:rPr>
        <w:t>18/Lenovo</w:t>
      </w:r>
      <w:r w:rsidRPr="00A665BC">
        <w:rPr>
          <w:rFonts w:asciiTheme="minorHAnsi" w:hAnsiTheme="minorHAnsi" w:cstheme="minorHAnsi"/>
          <w:sz w:val="22"/>
          <w:szCs w:val="28"/>
        </w:rPr>
        <w:t xml:space="preserve">], </w:t>
      </w:r>
      <w:r w:rsidR="00466359" w:rsidRPr="00EC7D69">
        <w:rPr>
          <w:rFonts w:asciiTheme="minorHAnsi" w:hAnsiTheme="minorHAnsi" w:cstheme="minorHAnsi"/>
          <w:color w:val="000000" w:themeColor="text1"/>
          <w:sz w:val="22"/>
          <w:szCs w:val="28"/>
        </w:rPr>
        <w:t>[8/</w:t>
      </w:r>
      <w:r w:rsidR="00466359" w:rsidRPr="00187664">
        <w:rPr>
          <w:rFonts w:asciiTheme="minorHAnsi" w:hAnsiTheme="minorHAnsi" w:cstheme="minorHAnsi"/>
          <w:sz w:val="22"/>
          <w:szCs w:val="28"/>
        </w:rPr>
        <w:t>OPPO]</w:t>
      </w:r>
      <w:r w:rsidRPr="00187664">
        <w:rPr>
          <w:rFonts w:asciiTheme="minorHAnsi" w:hAnsiTheme="minorHAnsi" w:cstheme="minorHAnsi"/>
          <w:sz w:val="22"/>
          <w:szCs w:val="28"/>
        </w:rPr>
        <w:t xml:space="preserve">, </w:t>
      </w:r>
      <w:r w:rsidR="00BC644A" w:rsidRPr="00187664">
        <w:rPr>
          <w:rFonts w:asciiTheme="minorHAnsi" w:hAnsiTheme="minorHAnsi" w:cstheme="minorHAnsi"/>
          <w:sz w:val="22"/>
          <w:szCs w:val="28"/>
        </w:rPr>
        <w:t>[11/Intel]</w:t>
      </w:r>
      <w:r w:rsidRPr="00187664">
        <w:rPr>
          <w:rFonts w:asciiTheme="minorHAnsi" w:hAnsiTheme="minorHAnsi" w:cstheme="minorHAnsi"/>
          <w:sz w:val="22"/>
          <w:szCs w:val="28"/>
        </w:rPr>
        <w:t>, [</w:t>
      </w:r>
      <w:r w:rsidR="007B2CAB" w:rsidRPr="00187664">
        <w:rPr>
          <w:rFonts w:asciiTheme="minorHAnsi" w:hAnsiTheme="minorHAnsi" w:cstheme="minorHAnsi"/>
          <w:sz w:val="22"/>
          <w:szCs w:val="28"/>
        </w:rPr>
        <w:t>28/</w:t>
      </w:r>
      <w:r w:rsidR="007B2CAB" w:rsidRPr="005456FD">
        <w:rPr>
          <w:rFonts w:asciiTheme="minorHAnsi" w:hAnsiTheme="minorHAnsi" w:cstheme="minorHAnsi"/>
          <w:sz w:val="22"/>
          <w:szCs w:val="28"/>
        </w:rPr>
        <w:t>Samsung</w:t>
      </w:r>
      <w:r w:rsidRPr="005456FD">
        <w:rPr>
          <w:rFonts w:asciiTheme="minorHAnsi" w:hAnsiTheme="minorHAnsi" w:cstheme="minorHAnsi"/>
          <w:sz w:val="22"/>
          <w:szCs w:val="28"/>
        </w:rPr>
        <w:t>], [2</w:t>
      </w:r>
      <w:r w:rsidR="007B2CAB" w:rsidRPr="005456FD">
        <w:rPr>
          <w:rFonts w:asciiTheme="minorHAnsi" w:hAnsiTheme="minorHAnsi" w:cstheme="minorHAnsi"/>
          <w:sz w:val="22"/>
          <w:szCs w:val="28"/>
        </w:rPr>
        <w:t>9</w:t>
      </w:r>
      <w:r w:rsidRPr="005456FD">
        <w:rPr>
          <w:rFonts w:asciiTheme="minorHAnsi" w:hAnsiTheme="minorHAnsi" w:cstheme="minorHAnsi"/>
          <w:sz w:val="22"/>
          <w:szCs w:val="28"/>
        </w:rPr>
        <w:t>/ITL],</w:t>
      </w:r>
      <w:r w:rsidRPr="00990545">
        <w:rPr>
          <w:rFonts w:asciiTheme="minorHAnsi" w:hAnsiTheme="minorHAnsi" w:cstheme="minorHAnsi"/>
          <w:color w:val="FF0000"/>
          <w:sz w:val="22"/>
          <w:szCs w:val="28"/>
        </w:rPr>
        <w:t xml:space="preserve"> </w:t>
      </w:r>
      <w:r w:rsidRPr="00830C73">
        <w:rPr>
          <w:rFonts w:asciiTheme="minorHAnsi" w:hAnsiTheme="minorHAnsi" w:cstheme="minorHAnsi"/>
          <w:sz w:val="22"/>
          <w:szCs w:val="28"/>
        </w:rPr>
        <w:t>[</w:t>
      </w:r>
      <w:r w:rsidR="00BC644A" w:rsidRPr="00830C73">
        <w:rPr>
          <w:rFonts w:asciiTheme="minorHAnsi" w:hAnsiTheme="minorHAnsi" w:cstheme="minorHAnsi"/>
          <w:sz w:val="22"/>
          <w:szCs w:val="28"/>
        </w:rPr>
        <w:t>19/CMCC</w:t>
      </w:r>
      <w:r w:rsidRPr="00F54B1A">
        <w:rPr>
          <w:rFonts w:asciiTheme="minorHAnsi" w:hAnsiTheme="minorHAnsi" w:cstheme="minorHAnsi"/>
          <w:sz w:val="22"/>
          <w:szCs w:val="28"/>
        </w:rPr>
        <w:t>], [</w:t>
      </w:r>
      <w:r w:rsidR="00263C76" w:rsidRPr="00F54B1A">
        <w:rPr>
          <w:rFonts w:asciiTheme="minorHAnsi" w:hAnsiTheme="minorHAnsi" w:cstheme="minorHAnsi"/>
          <w:sz w:val="22"/>
          <w:szCs w:val="28"/>
        </w:rPr>
        <w:t>35/BOSCH</w:t>
      </w:r>
      <w:r w:rsidRPr="00F54B1A">
        <w:rPr>
          <w:rFonts w:asciiTheme="minorHAnsi" w:hAnsiTheme="minorHAnsi" w:cstheme="minorHAnsi"/>
          <w:sz w:val="22"/>
          <w:szCs w:val="28"/>
        </w:rPr>
        <w:t xml:space="preserve">], </w:t>
      </w:r>
      <w:r w:rsidR="00BC644A" w:rsidRPr="00D07B6D">
        <w:rPr>
          <w:rFonts w:asciiTheme="minorHAnsi" w:hAnsiTheme="minorHAnsi" w:cstheme="minorHAnsi"/>
          <w:sz w:val="22"/>
          <w:szCs w:val="28"/>
        </w:rPr>
        <w:t>[12/JHU]</w:t>
      </w:r>
    </w:p>
    <w:p w14:paraId="7423B775" w14:textId="5214463B" w:rsidR="00990545" w:rsidRPr="000464C9" w:rsidRDefault="00990545" w:rsidP="00990545">
      <w:pPr>
        <w:pStyle w:val="ListParagraph"/>
        <w:numPr>
          <w:ilvl w:val="1"/>
          <w:numId w:val="15"/>
        </w:numPr>
        <w:ind w:leftChars="0"/>
        <w:rPr>
          <w:rFonts w:asciiTheme="minorHAnsi" w:hAnsiTheme="minorHAnsi" w:cstheme="minorHAnsi"/>
          <w:sz w:val="22"/>
          <w:szCs w:val="28"/>
        </w:rPr>
      </w:pPr>
      <w:r>
        <w:rPr>
          <w:rFonts w:asciiTheme="minorHAnsi" w:hAnsiTheme="minorHAnsi" w:cstheme="minorHAnsi"/>
          <w:sz w:val="22"/>
          <w:szCs w:val="28"/>
        </w:rPr>
        <w:t>FFS/de-</w:t>
      </w:r>
      <w:r w:rsidRPr="00E449A8">
        <w:rPr>
          <w:rFonts w:asciiTheme="minorHAnsi" w:hAnsiTheme="minorHAnsi" w:cstheme="minorHAnsi"/>
          <w:sz w:val="22"/>
          <w:szCs w:val="28"/>
        </w:rPr>
        <w:t xml:space="preserve">prioritized: </w:t>
      </w:r>
      <w:r w:rsidR="00BC644A" w:rsidRPr="00E449A8">
        <w:rPr>
          <w:rFonts w:asciiTheme="minorHAnsi" w:hAnsiTheme="minorHAnsi" w:cstheme="minorHAnsi"/>
          <w:sz w:val="22"/>
          <w:szCs w:val="28"/>
        </w:rPr>
        <w:t>[14/</w:t>
      </w:r>
      <w:r w:rsidR="00BC644A" w:rsidRPr="0009013C">
        <w:rPr>
          <w:rFonts w:asciiTheme="minorHAnsi" w:hAnsiTheme="minorHAnsi" w:cstheme="minorHAnsi"/>
          <w:sz w:val="22"/>
          <w:szCs w:val="28"/>
        </w:rPr>
        <w:t>NEC]</w:t>
      </w:r>
      <w:r w:rsidRPr="0009013C">
        <w:rPr>
          <w:rFonts w:asciiTheme="minorHAnsi" w:hAnsiTheme="minorHAnsi" w:cstheme="minorHAnsi"/>
          <w:sz w:val="22"/>
          <w:szCs w:val="28"/>
        </w:rPr>
        <w:t xml:space="preserve">, </w:t>
      </w:r>
      <w:r w:rsidR="00BC644A" w:rsidRPr="0009013C">
        <w:rPr>
          <w:rFonts w:asciiTheme="minorHAnsi" w:hAnsiTheme="minorHAnsi" w:cstheme="minorHAnsi"/>
          <w:sz w:val="22"/>
          <w:szCs w:val="28"/>
        </w:rPr>
        <w:t>[15/Transsion]</w:t>
      </w:r>
      <w:r w:rsidRPr="0009013C">
        <w:rPr>
          <w:rFonts w:asciiTheme="minorHAnsi" w:hAnsiTheme="minorHAnsi" w:cstheme="minorHAnsi"/>
          <w:sz w:val="22"/>
          <w:szCs w:val="28"/>
        </w:rPr>
        <w:t xml:space="preserve">, </w:t>
      </w:r>
      <w:r w:rsidRPr="00EC7D69">
        <w:rPr>
          <w:rFonts w:asciiTheme="minorHAnsi" w:hAnsiTheme="minorHAnsi" w:cstheme="minorHAnsi"/>
          <w:color w:val="000000" w:themeColor="text1"/>
          <w:sz w:val="22"/>
          <w:szCs w:val="28"/>
        </w:rPr>
        <w:t>[</w:t>
      </w:r>
      <w:r w:rsidR="00263C76" w:rsidRPr="00EC7D69">
        <w:rPr>
          <w:rFonts w:asciiTheme="minorHAnsi" w:hAnsiTheme="minorHAnsi" w:cstheme="minorHAnsi"/>
          <w:color w:val="000000" w:themeColor="text1"/>
          <w:sz w:val="22"/>
          <w:szCs w:val="28"/>
        </w:rPr>
        <w:t>36/E///</w:t>
      </w:r>
      <w:r w:rsidRPr="00EC7D69">
        <w:rPr>
          <w:rFonts w:asciiTheme="minorHAnsi" w:hAnsiTheme="minorHAnsi" w:cstheme="minorHAnsi"/>
          <w:color w:val="000000" w:themeColor="text1"/>
          <w:sz w:val="22"/>
          <w:szCs w:val="28"/>
        </w:rPr>
        <w:t>] (limited applicable scenarios)</w:t>
      </w:r>
    </w:p>
    <w:p w14:paraId="19420894" w14:textId="77777777" w:rsidR="00990545" w:rsidRDefault="00990545" w:rsidP="00990545">
      <w:pPr>
        <w:pStyle w:val="ListParagraph"/>
        <w:numPr>
          <w:ilvl w:val="1"/>
          <w:numId w:val="15"/>
        </w:numPr>
        <w:ind w:leftChars="0"/>
        <w:rPr>
          <w:rFonts w:asciiTheme="minorHAnsi" w:hAnsiTheme="minorHAnsi" w:cstheme="minorHAnsi"/>
          <w:sz w:val="22"/>
          <w:szCs w:val="28"/>
        </w:rPr>
      </w:pPr>
      <w:r>
        <w:rPr>
          <w:rFonts w:asciiTheme="minorHAnsi" w:hAnsiTheme="minorHAnsi" w:cstheme="minorHAnsi"/>
          <w:sz w:val="22"/>
          <w:szCs w:val="28"/>
        </w:rPr>
        <w:t>Issues to be further studied:</w:t>
      </w:r>
    </w:p>
    <w:p w14:paraId="154FE006" w14:textId="77777777" w:rsidR="00990545" w:rsidRPr="00670E9B" w:rsidRDefault="00990545" w:rsidP="00990545">
      <w:pPr>
        <w:pStyle w:val="ListParagraph"/>
        <w:numPr>
          <w:ilvl w:val="2"/>
          <w:numId w:val="15"/>
        </w:numPr>
        <w:ind w:leftChars="0"/>
        <w:rPr>
          <w:rFonts w:asciiTheme="minorHAnsi" w:hAnsiTheme="minorHAnsi" w:cstheme="minorHAnsi"/>
          <w:sz w:val="22"/>
          <w:szCs w:val="28"/>
        </w:rPr>
      </w:pPr>
      <w:r w:rsidRPr="00670E9B">
        <w:rPr>
          <w:rFonts w:asciiTheme="minorHAnsi" w:hAnsiTheme="minorHAnsi" w:cstheme="minorHAnsi"/>
          <w:sz w:val="22"/>
          <w:szCs w:val="28"/>
        </w:rPr>
        <w:t>How to set FFP (fixed frame period) and what is the granularity of configuration for FFP</w:t>
      </w:r>
    </w:p>
    <w:p w14:paraId="118BE894" w14:textId="77777777" w:rsidR="00FF0319" w:rsidRPr="00D72B43" w:rsidRDefault="00FF0319" w:rsidP="00FF0319">
      <w:pPr>
        <w:pStyle w:val="ListParagraph"/>
        <w:numPr>
          <w:ilvl w:val="0"/>
          <w:numId w:val="15"/>
        </w:numPr>
        <w:ind w:leftChars="0"/>
        <w:rPr>
          <w:rFonts w:asciiTheme="minorHAnsi" w:hAnsiTheme="minorHAnsi" w:cstheme="minorHAnsi"/>
          <w:b/>
          <w:bCs/>
          <w:color w:val="000000" w:themeColor="text1"/>
          <w:sz w:val="22"/>
          <w:szCs w:val="28"/>
          <w:u w:val="single"/>
        </w:rPr>
      </w:pPr>
      <w:r w:rsidRPr="00D72B43">
        <w:rPr>
          <w:rFonts w:asciiTheme="minorHAnsi" w:hAnsiTheme="minorHAnsi" w:cstheme="minorHAnsi"/>
          <w:b/>
          <w:bCs/>
          <w:color w:val="000000" w:themeColor="text1"/>
          <w:sz w:val="22"/>
          <w:szCs w:val="28"/>
          <w:u w:val="single"/>
        </w:rPr>
        <w:t>Others</w:t>
      </w:r>
    </w:p>
    <w:p w14:paraId="06A4B9E6" w14:textId="450C2C7B" w:rsidR="00C55E92" w:rsidRPr="00C55E92" w:rsidRDefault="00C55E92" w:rsidP="000C268C">
      <w:pPr>
        <w:pStyle w:val="ListParagraph"/>
        <w:numPr>
          <w:ilvl w:val="1"/>
          <w:numId w:val="15"/>
        </w:numPr>
        <w:ind w:leftChars="0"/>
        <w:rPr>
          <w:rFonts w:asciiTheme="minorHAnsi" w:hAnsiTheme="minorHAnsi" w:cstheme="minorHAnsi"/>
          <w:sz w:val="22"/>
          <w:szCs w:val="28"/>
        </w:rPr>
      </w:pPr>
      <w:r w:rsidRPr="00C55E92">
        <w:rPr>
          <w:rFonts w:asciiTheme="minorHAnsi" w:hAnsiTheme="minorHAnsi" w:cstheme="minorHAnsi"/>
          <w:sz w:val="22"/>
          <w:szCs w:val="28"/>
        </w:rPr>
        <w:t>[22/LGE] For Type 2A/2B/2C SL channel access procedure, a time gap to decide the type is measured according to one or more of followings:</w:t>
      </w:r>
    </w:p>
    <w:p w14:paraId="06A33F4F" w14:textId="21ED911B" w:rsidR="00C55E92" w:rsidRPr="00C55E92" w:rsidRDefault="00C55E92" w:rsidP="00C55E92">
      <w:pPr>
        <w:pStyle w:val="ListParagraph"/>
        <w:numPr>
          <w:ilvl w:val="2"/>
          <w:numId w:val="15"/>
        </w:numPr>
        <w:ind w:leftChars="0"/>
        <w:rPr>
          <w:rFonts w:asciiTheme="minorHAnsi" w:hAnsiTheme="minorHAnsi" w:cstheme="minorHAnsi"/>
          <w:sz w:val="22"/>
          <w:szCs w:val="28"/>
        </w:rPr>
      </w:pPr>
      <w:r w:rsidRPr="00C55E92">
        <w:rPr>
          <w:rFonts w:asciiTheme="minorHAnsi" w:hAnsiTheme="minorHAnsi" w:cstheme="minorHAnsi"/>
          <w:sz w:val="22"/>
          <w:szCs w:val="28"/>
        </w:rPr>
        <w:t>Recently received PSCCH/PSSCH of which source ID and destination ID are the same as those of PSCCH/PSSCH conveying COT sharing information.</w:t>
      </w:r>
    </w:p>
    <w:p w14:paraId="31E477F0" w14:textId="4B1361E6" w:rsidR="00C55E92" w:rsidRPr="00C55E92" w:rsidRDefault="00C55E92" w:rsidP="00C55E92">
      <w:pPr>
        <w:pStyle w:val="ListParagraph"/>
        <w:numPr>
          <w:ilvl w:val="2"/>
          <w:numId w:val="15"/>
        </w:numPr>
        <w:ind w:leftChars="0"/>
        <w:rPr>
          <w:rFonts w:asciiTheme="minorHAnsi" w:hAnsiTheme="minorHAnsi" w:cstheme="minorHAnsi"/>
          <w:sz w:val="22"/>
          <w:szCs w:val="28"/>
        </w:rPr>
      </w:pPr>
      <w:r w:rsidRPr="00C55E92">
        <w:rPr>
          <w:rFonts w:asciiTheme="minorHAnsi" w:hAnsiTheme="minorHAnsi" w:cstheme="minorHAnsi"/>
          <w:sz w:val="22"/>
          <w:szCs w:val="28"/>
        </w:rPr>
        <w:t>Recently received PSFCH in response of PSSCH transmission to the COT initiator UE.</w:t>
      </w:r>
    </w:p>
    <w:p w14:paraId="0A4657BF" w14:textId="07C414B0" w:rsidR="00586F88" w:rsidRDefault="00586F88" w:rsidP="007217D9">
      <w:pPr>
        <w:rPr>
          <w:lang w:eastAsia="x-none"/>
        </w:rPr>
      </w:pPr>
    </w:p>
    <w:p w14:paraId="0AEFA52B" w14:textId="29ADE559" w:rsidR="00586F88" w:rsidRPr="00E44C8F" w:rsidRDefault="00502DA5" w:rsidP="00586F88">
      <w:pPr>
        <w:pStyle w:val="Heading2"/>
      </w:pPr>
      <w:r>
        <w:t xml:space="preserve">UE-to-UE </w:t>
      </w:r>
      <w:r w:rsidR="00586F88" w:rsidRPr="00E44C8F">
        <w:t>COT sharing</w:t>
      </w:r>
    </w:p>
    <w:p w14:paraId="786CC4DF" w14:textId="5039DC35" w:rsidR="00357366" w:rsidRDefault="00357366" w:rsidP="00F87C9C">
      <w:pPr>
        <w:pStyle w:val="ListParagraph"/>
        <w:numPr>
          <w:ilvl w:val="0"/>
          <w:numId w:val="15"/>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Simulation performance results</w:t>
      </w:r>
    </w:p>
    <w:p w14:paraId="56C1BD16" w14:textId="351A802B" w:rsidR="00357366" w:rsidRPr="00357366" w:rsidRDefault="00357366" w:rsidP="008A2701">
      <w:pPr>
        <w:pStyle w:val="ListParagraph"/>
        <w:numPr>
          <w:ilvl w:val="1"/>
          <w:numId w:val="15"/>
        </w:numPr>
        <w:ind w:leftChars="0"/>
        <w:rPr>
          <w:rFonts w:asciiTheme="minorHAnsi" w:hAnsiTheme="minorHAnsi" w:cstheme="minorHAnsi"/>
          <w:sz w:val="22"/>
          <w:szCs w:val="28"/>
        </w:rPr>
      </w:pPr>
      <w:r w:rsidRPr="00357366">
        <w:rPr>
          <w:rFonts w:asciiTheme="minorHAnsi" w:hAnsiTheme="minorHAnsi" w:cstheme="minorHAnsi"/>
          <w:sz w:val="22"/>
          <w:szCs w:val="28"/>
        </w:rPr>
        <w:t>[4/HW, HiSi]</w:t>
      </w:r>
      <w:r>
        <w:rPr>
          <w:rFonts w:asciiTheme="minorHAnsi" w:hAnsiTheme="minorHAnsi" w:cstheme="minorHAnsi"/>
          <w:sz w:val="22"/>
          <w:szCs w:val="28"/>
        </w:rPr>
        <w:t>: MCSt with priority-</w:t>
      </w:r>
      <w:r w:rsidRPr="00357366">
        <w:rPr>
          <w:rFonts w:asciiTheme="minorHAnsi" w:hAnsiTheme="minorHAnsi" w:cstheme="minorHAnsi"/>
          <w:sz w:val="22"/>
          <w:szCs w:val="28"/>
        </w:rPr>
        <w:t xml:space="preserve">based COT sharing can increase UPT significantly compared to </w:t>
      </w:r>
      <w:r>
        <w:rPr>
          <w:rFonts w:asciiTheme="minorHAnsi" w:hAnsiTheme="minorHAnsi" w:cstheme="minorHAnsi"/>
          <w:sz w:val="22"/>
          <w:szCs w:val="28"/>
        </w:rPr>
        <w:t>MCSt without COT sharing (19.9 vs. 10.9 Mbp</w:t>
      </w:r>
      <w:r w:rsidRPr="008A2701">
        <w:rPr>
          <w:rFonts w:asciiTheme="minorHAnsi" w:hAnsiTheme="minorHAnsi" w:cstheme="minorHAnsi"/>
          <w:sz w:val="22"/>
          <w:szCs w:val="28"/>
        </w:rPr>
        <w:t>s). This is because the proposed schemes can effectively increase the probability that a high-priority traffic to obtain a COT as soon as possible.</w:t>
      </w:r>
    </w:p>
    <w:p w14:paraId="1979ABDE" w14:textId="7EC285A7" w:rsidR="008A2701" w:rsidRDefault="008A2701" w:rsidP="00F87C9C">
      <w:pPr>
        <w:pStyle w:val="ListParagraph"/>
        <w:numPr>
          <w:ilvl w:val="0"/>
          <w:numId w:val="15"/>
        </w:numPr>
        <w:spacing w:before="120"/>
        <w:ind w:leftChars="0"/>
        <w:rPr>
          <w:rFonts w:asciiTheme="minorHAnsi" w:hAnsiTheme="minorHAnsi" w:cstheme="minorHAnsi"/>
          <w:b/>
          <w:bCs/>
          <w:sz w:val="22"/>
          <w:szCs w:val="28"/>
          <w:u w:val="single"/>
        </w:rPr>
      </w:pPr>
      <w:r w:rsidRPr="008A2701">
        <w:rPr>
          <w:rFonts w:asciiTheme="minorHAnsi" w:hAnsiTheme="minorHAnsi" w:cstheme="minorHAnsi"/>
          <w:b/>
          <w:bCs/>
          <w:sz w:val="22"/>
          <w:szCs w:val="28"/>
          <w:u w:val="single"/>
        </w:rPr>
        <w:t xml:space="preserve">Alt. 1: A responding SL UE can utilize a COT shared by a COT initiating UE when the responding SL UE is a target receiver of the at least COT </w:t>
      </w:r>
      <w:r w:rsidRPr="001137E4">
        <w:rPr>
          <w:rFonts w:asciiTheme="minorHAnsi" w:hAnsiTheme="minorHAnsi" w:cstheme="minorHAnsi"/>
          <w:b/>
          <w:bCs/>
          <w:sz w:val="22"/>
          <w:szCs w:val="28"/>
          <w:u w:val="single"/>
        </w:rPr>
        <w:t>initiating UE’s PSSCH data transmission</w:t>
      </w:r>
      <w:r w:rsidRPr="008A2701">
        <w:rPr>
          <w:rFonts w:asciiTheme="minorHAnsi" w:hAnsiTheme="minorHAnsi" w:cstheme="minorHAnsi"/>
          <w:b/>
          <w:bCs/>
          <w:sz w:val="22"/>
          <w:szCs w:val="28"/>
          <w:u w:val="single"/>
        </w:rPr>
        <w:t xml:space="preserve"> in the COT</w:t>
      </w:r>
    </w:p>
    <w:p w14:paraId="2EBDA253" w14:textId="77777777" w:rsidR="008A2701" w:rsidRDefault="008A2701" w:rsidP="008A2701">
      <w:pPr>
        <w:pStyle w:val="ListParagraph"/>
        <w:numPr>
          <w:ilvl w:val="1"/>
          <w:numId w:val="15"/>
        </w:numPr>
        <w:ind w:leftChars="0"/>
        <w:rPr>
          <w:rFonts w:asciiTheme="minorHAnsi" w:hAnsiTheme="minorHAnsi" w:cstheme="minorHAnsi"/>
          <w:b/>
          <w:bCs/>
          <w:sz w:val="22"/>
          <w:szCs w:val="28"/>
          <w:u w:val="single"/>
        </w:rPr>
      </w:pPr>
      <w:r w:rsidRPr="008A2701">
        <w:rPr>
          <w:rFonts w:asciiTheme="minorHAnsi" w:hAnsiTheme="minorHAnsi" w:cstheme="minorHAnsi"/>
          <w:b/>
          <w:bCs/>
          <w:sz w:val="22"/>
          <w:szCs w:val="28"/>
          <w:u w:val="single"/>
        </w:rPr>
        <w:t>When the responding UE uses the shared COT for its transmission has an equal or smaller CAPC value than the CAPC value indicated in a shared COT information</w:t>
      </w:r>
    </w:p>
    <w:p w14:paraId="2804069B" w14:textId="6A1B7C13" w:rsidR="008A2701" w:rsidRPr="00166716" w:rsidRDefault="00CB7FEF" w:rsidP="008A2701">
      <w:pPr>
        <w:pStyle w:val="ListParagraph"/>
        <w:numPr>
          <w:ilvl w:val="1"/>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[3/FW], </w:t>
      </w:r>
      <w:r w:rsidR="00107BCE" w:rsidRPr="00370CF0">
        <w:rPr>
          <w:rFonts w:asciiTheme="minorHAnsi" w:hAnsiTheme="minorHAnsi" w:cstheme="minorHAnsi"/>
          <w:sz w:val="22"/>
          <w:szCs w:val="28"/>
        </w:rPr>
        <w:t>[5/Spreadtrum]</w:t>
      </w:r>
      <w:r w:rsidR="00107BCE">
        <w:rPr>
          <w:rFonts w:asciiTheme="minorHAnsi" w:hAnsiTheme="minorHAnsi" w:cstheme="minorHAnsi"/>
          <w:sz w:val="22"/>
          <w:szCs w:val="28"/>
        </w:rPr>
        <w:t>,</w:t>
      </w:r>
      <w:r w:rsidR="00107BCE" w:rsidRPr="00166716">
        <w:rPr>
          <w:rFonts w:asciiTheme="minorHAnsi" w:hAnsiTheme="minorHAnsi" w:cstheme="minorHAnsi"/>
          <w:color w:val="000000" w:themeColor="text1"/>
          <w:sz w:val="22"/>
          <w:szCs w:val="28"/>
        </w:rPr>
        <w:t xml:space="preserve"> </w:t>
      </w:r>
      <w:r w:rsidR="008A2701" w:rsidRPr="00166716">
        <w:rPr>
          <w:rFonts w:asciiTheme="minorHAnsi" w:hAnsiTheme="minorHAnsi" w:cstheme="minorHAnsi"/>
          <w:color w:val="000000" w:themeColor="text1"/>
          <w:sz w:val="22"/>
          <w:szCs w:val="28"/>
        </w:rPr>
        <w:t>[8/OPPO]</w:t>
      </w:r>
      <w:r w:rsidR="000E7ED4">
        <w:rPr>
          <w:rFonts w:asciiTheme="minorHAnsi" w:hAnsiTheme="minorHAnsi" w:cstheme="minorHAnsi"/>
          <w:color w:val="000000" w:themeColor="text1"/>
          <w:sz w:val="22"/>
          <w:szCs w:val="28"/>
        </w:rPr>
        <w:t>,</w:t>
      </w:r>
      <w:r w:rsidR="005F256B">
        <w:rPr>
          <w:rFonts w:asciiTheme="minorHAnsi" w:hAnsiTheme="minorHAnsi" w:cstheme="minorHAnsi"/>
          <w:color w:val="000000" w:themeColor="text1"/>
          <w:sz w:val="22"/>
          <w:szCs w:val="28"/>
        </w:rPr>
        <w:t xml:space="preserve"> </w:t>
      </w:r>
      <w:r w:rsidR="001137E4">
        <w:rPr>
          <w:rFonts w:asciiTheme="minorHAnsi" w:hAnsiTheme="minorHAnsi" w:cstheme="minorHAnsi"/>
          <w:color w:val="000000" w:themeColor="text1"/>
          <w:sz w:val="22"/>
          <w:szCs w:val="28"/>
        </w:rPr>
        <w:t xml:space="preserve">[10/Fujitsu], </w:t>
      </w:r>
      <w:r w:rsidR="00214A84" w:rsidRPr="00044B62">
        <w:rPr>
          <w:rFonts w:asciiTheme="minorHAnsi" w:hAnsiTheme="minorHAnsi" w:cstheme="minorHAnsi"/>
          <w:sz w:val="22"/>
          <w:szCs w:val="28"/>
        </w:rPr>
        <w:t>[15/Transsion]</w:t>
      </w:r>
      <w:r w:rsidR="00214A84">
        <w:rPr>
          <w:rFonts w:asciiTheme="minorHAnsi" w:hAnsiTheme="minorHAnsi" w:cstheme="minorHAnsi"/>
          <w:sz w:val="22"/>
          <w:szCs w:val="28"/>
        </w:rPr>
        <w:t>,</w:t>
      </w:r>
      <w:r w:rsidR="00214A84">
        <w:rPr>
          <w:rFonts w:asciiTheme="minorHAnsi" w:hAnsiTheme="minorHAnsi" w:cstheme="minorHAnsi"/>
          <w:color w:val="000000" w:themeColor="text1"/>
          <w:sz w:val="22"/>
          <w:szCs w:val="28"/>
        </w:rPr>
        <w:t xml:space="preserve"> </w:t>
      </w:r>
      <w:r w:rsidR="00931338">
        <w:rPr>
          <w:rFonts w:asciiTheme="minorHAnsi" w:hAnsiTheme="minorHAnsi" w:cstheme="minorHAnsi"/>
          <w:color w:val="000000" w:themeColor="text1"/>
          <w:sz w:val="22"/>
          <w:szCs w:val="28"/>
        </w:rPr>
        <w:t xml:space="preserve">[17/xiaomi], </w:t>
      </w:r>
      <w:r w:rsidR="005F256B">
        <w:rPr>
          <w:rFonts w:asciiTheme="minorHAnsi" w:hAnsiTheme="minorHAnsi" w:cstheme="minorHAnsi"/>
          <w:color w:val="000000" w:themeColor="text1"/>
          <w:sz w:val="22"/>
          <w:szCs w:val="28"/>
        </w:rPr>
        <w:t>[19/CMCC],</w:t>
      </w:r>
      <w:r w:rsidR="000E7ED4">
        <w:rPr>
          <w:rFonts w:asciiTheme="minorHAnsi" w:hAnsiTheme="minorHAnsi" w:cstheme="minorHAnsi"/>
          <w:color w:val="000000" w:themeColor="text1"/>
          <w:sz w:val="22"/>
          <w:szCs w:val="28"/>
        </w:rPr>
        <w:t xml:space="preserve"> </w:t>
      </w:r>
      <w:r w:rsidR="00EA1835">
        <w:rPr>
          <w:rFonts w:asciiTheme="minorHAnsi" w:hAnsiTheme="minorHAnsi" w:cstheme="minorHAnsi"/>
          <w:color w:val="000000" w:themeColor="text1"/>
          <w:sz w:val="22"/>
          <w:szCs w:val="28"/>
        </w:rPr>
        <w:t xml:space="preserve">[20/ETRI], </w:t>
      </w:r>
      <w:r w:rsidR="00F24836">
        <w:rPr>
          <w:rFonts w:asciiTheme="minorHAnsi" w:hAnsiTheme="minorHAnsi" w:cstheme="minorHAnsi"/>
          <w:color w:val="000000" w:themeColor="text1"/>
          <w:sz w:val="22"/>
          <w:szCs w:val="28"/>
        </w:rPr>
        <w:t xml:space="preserve">[29/ITL], </w:t>
      </w:r>
      <w:r w:rsidR="00C73F39">
        <w:rPr>
          <w:rFonts w:asciiTheme="minorHAnsi" w:hAnsiTheme="minorHAnsi" w:cstheme="minorHAnsi"/>
          <w:color w:val="000000" w:themeColor="text1"/>
          <w:sz w:val="22"/>
          <w:szCs w:val="28"/>
        </w:rPr>
        <w:t xml:space="preserve">[35/BOSCH], </w:t>
      </w:r>
      <w:r w:rsidR="000E7ED4">
        <w:rPr>
          <w:rFonts w:asciiTheme="minorHAnsi" w:hAnsiTheme="minorHAnsi" w:cstheme="minorHAnsi"/>
          <w:sz w:val="22"/>
          <w:szCs w:val="28"/>
        </w:rPr>
        <w:t>[36/E///]</w:t>
      </w:r>
    </w:p>
    <w:p w14:paraId="6D817B95" w14:textId="65C70183" w:rsidR="008A2701" w:rsidRPr="00166716" w:rsidRDefault="008A2701" w:rsidP="008A2701">
      <w:pPr>
        <w:pStyle w:val="ListParagraph"/>
        <w:numPr>
          <w:ilvl w:val="1"/>
          <w:numId w:val="15"/>
        </w:numPr>
        <w:ind w:leftChars="0"/>
        <w:rPr>
          <w:rFonts w:asciiTheme="minorHAnsi" w:hAnsiTheme="minorHAnsi" w:cstheme="minorHAnsi"/>
          <w:color w:val="000000" w:themeColor="text1"/>
          <w:sz w:val="22"/>
          <w:szCs w:val="28"/>
        </w:rPr>
      </w:pPr>
      <w:r w:rsidRPr="00166716">
        <w:rPr>
          <w:rFonts w:asciiTheme="minorHAnsi" w:hAnsiTheme="minorHAnsi" w:cstheme="minorHAnsi"/>
          <w:color w:val="000000" w:themeColor="text1"/>
          <w:sz w:val="22"/>
          <w:szCs w:val="28"/>
        </w:rPr>
        <w:t>The target receiver is determined by the destination ID in the SCI or COT sharing info</w:t>
      </w:r>
    </w:p>
    <w:p w14:paraId="1E91F3DB" w14:textId="00FB158A" w:rsidR="008A2701" w:rsidRPr="00166716" w:rsidRDefault="008A2701" w:rsidP="008A2701">
      <w:pPr>
        <w:pStyle w:val="ListParagraph"/>
        <w:numPr>
          <w:ilvl w:val="2"/>
          <w:numId w:val="15"/>
        </w:numPr>
        <w:ind w:leftChars="0"/>
        <w:rPr>
          <w:rFonts w:asciiTheme="minorHAnsi" w:hAnsiTheme="minorHAnsi" w:cstheme="minorHAnsi"/>
          <w:color w:val="000000" w:themeColor="text1"/>
          <w:sz w:val="22"/>
          <w:szCs w:val="28"/>
        </w:rPr>
      </w:pPr>
      <w:r w:rsidRPr="00166716">
        <w:rPr>
          <w:rFonts w:asciiTheme="minorHAnsi" w:hAnsiTheme="minorHAnsi" w:cstheme="minorHAnsi"/>
          <w:color w:val="000000" w:themeColor="text1"/>
          <w:sz w:val="22"/>
          <w:szCs w:val="28"/>
        </w:rPr>
        <w:lastRenderedPageBreak/>
        <w:t>[8/OPPO]</w:t>
      </w:r>
      <w:r w:rsidR="00B70A99" w:rsidRPr="00166716">
        <w:rPr>
          <w:rFonts w:asciiTheme="minorHAnsi" w:hAnsiTheme="minorHAnsi" w:cstheme="minorHAnsi"/>
          <w:color w:val="000000" w:themeColor="text1"/>
          <w:sz w:val="22"/>
          <w:szCs w:val="28"/>
        </w:rPr>
        <w:t>, [17/xiaomi], [27/IDC]</w:t>
      </w:r>
      <w:r w:rsidR="00F54773">
        <w:rPr>
          <w:rFonts w:asciiTheme="minorHAnsi" w:hAnsiTheme="minorHAnsi" w:cstheme="minorHAnsi"/>
          <w:color w:val="000000" w:themeColor="text1"/>
          <w:sz w:val="22"/>
          <w:szCs w:val="28"/>
        </w:rPr>
        <w:t xml:space="preserve">, </w:t>
      </w:r>
      <w:r w:rsidR="00F54773">
        <w:rPr>
          <w:rFonts w:asciiTheme="minorHAnsi" w:hAnsiTheme="minorHAnsi" w:cstheme="minorHAnsi"/>
          <w:sz w:val="22"/>
          <w:szCs w:val="28"/>
        </w:rPr>
        <w:t>[36/E///] (unicast only)</w:t>
      </w:r>
    </w:p>
    <w:p w14:paraId="5EB75A58" w14:textId="454621FC" w:rsidR="008A2701" w:rsidRDefault="008A2701" w:rsidP="00F87C9C">
      <w:pPr>
        <w:pStyle w:val="ListParagraph"/>
        <w:numPr>
          <w:ilvl w:val="0"/>
          <w:numId w:val="15"/>
        </w:numPr>
        <w:spacing w:before="120"/>
        <w:ind w:leftChars="0"/>
        <w:rPr>
          <w:rFonts w:asciiTheme="minorHAnsi" w:hAnsiTheme="minorHAnsi" w:cstheme="minorHAnsi"/>
          <w:b/>
          <w:bCs/>
          <w:sz w:val="22"/>
          <w:szCs w:val="28"/>
          <w:u w:val="single"/>
        </w:rPr>
      </w:pPr>
      <w:r w:rsidRPr="008A2701">
        <w:rPr>
          <w:rFonts w:asciiTheme="minorHAnsi" w:hAnsiTheme="minorHAnsi" w:cstheme="minorHAnsi"/>
          <w:b/>
          <w:bCs/>
          <w:sz w:val="22"/>
          <w:szCs w:val="28"/>
          <w:u w:val="single"/>
        </w:rPr>
        <w:t>Alt. 2: A responding SL UE can utilize a COT shared by a COT initiating UE when the responding SL UE is a target receiver of the COT initiating UE’s transmission in the COT</w:t>
      </w:r>
    </w:p>
    <w:p w14:paraId="2E92A075" w14:textId="67BD0C02" w:rsidR="008A2701" w:rsidRDefault="008A2701" w:rsidP="008A2701">
      <w:pPr>
        <w:pStyle w:val="ListParagraph"/>
        <w:numPr>
          <w:ilvl w:val="1"/>
          <w:numId w:val="15"/>
        </w:numPr>
        <w:ind w:leftChars="0"/>
        <w:rPr>
          <w:rFonts w:asciiTheme="minorHAnsi" w:hAnsiTheme="minorHAnsi" w:cstheme="minorHAnsi"/>
          <w:b/>
          <w:bCs/>
          <w:sz w:val="22"/>
          <w:szCs w:val="28"/>
          <w:u w:val="single"/>
        </w:rPr>
      </w:pPr>
      <w:r w:rsidRPr="008A2701">
        <w:rPr>
          <w:rFonts w:asciiTheme="minorHAnsi" w:hAnsiTheme="minorHAnsi" w:cstheme="minorHAnsi"/>
          <w:b/>
          <w:bCs/>
          <w:sz w:val="22"/>
          <w:szCs w:val="28"/>
          <w:u w:val="single"/>
        </w:rPr>
        <w:t>When the responding UE uses the shared COT for its transmission has an equal or smaller CAPC value than the CAPC value indicated in a shared COT information</w:t>
      </w:r>
    </w:p>
    <w:p w14:paraId="3D7E418C" w14:textId="7F05DAC5" w:rsidR="008A2701" w:rsidRPr="001E5BBA" w:rsidRDefault="008A2701" w:rsidP="008A2701">
      <w:pPr>
        <w:pStyle w:val="ListParagraph"/>
        <w:numPr>
          <w:ilvl w:val="1"/>
          <w:numId w:val="15"/>
        </w:numPr>
        <w:ind w:leftChars="0"/>
        <w:rPr>
          <w:rFonts w:asciiTheme="minorHAnsi" w:hAnsiTheme="minorHAnsi" w:cstheme="minorHAnsi"/>
          <w:color w:val="000000" w:themeColor="text1"/>
          <w:sz w:val="22"/>
          <w:szCs w:val="28"/>
          <w:lang w:val="de-DE"/>
        </w:rPr>
      </w:pPr>
      <w:r w:rsidRPr="001E5BBA">
        <w:rPr>
          <w:rFonts w:asciiTheme="minorHAnsi" w:hAnsiTheme="minorHAnsi" w:cstheme="minorHAnsi"/>
          <w:color w:val="000000" w:themeColor="text1"/>
          <w:sz w:val="22"/>
          <w:szCs w:val="28"/>
          <w:lang w:val="de-DE"/>
        </w:rPr>
        <w:t xml:space="preserve">[4/HW, HiSi], </w:t>
      </w:r>
      <w:r w:rsidR="00563111" w:rsidRPr="001E5BBA">
        <w:rPr>
          <w:rFonts w:asciiTheme="minorHAnsi" w:hAnsiTheme="minorHAnsi" w:cstheme="minorHAnsi"/>
          <w:color w:val="000000" w:themeColor="text1"/>
          <w:sz w:val="22"/>
          <w:szCs w:val="28"/>
          <w:lang w:val="de-DE"/>
        </w:rPr>
        <w:t xml:space="preserve">[6/vivo], </w:t>
      </w:r>
      <w:r w:rsidR="00B67ED9" w:rsidRPr="001E5BBA">
        <w:rPr>
          <w:rFonts w:asciiTheme="minorHAnsi" w:hAnsiTheme="minorHAnsi" w:cstheme="minorHAnsi"/>
          <w:color w:val="000000" w:themeColor="text1"/>
          <w:sz w:val="22"/>
          <w:szCs w:val="28"/>
          <w:lang w:val="de-DE"/>
        </w:rPr>
        <w:t xml:space="preserve">[11/Intel], </w:t>
      </w:r>
      <w:r w:rsidR="001A445D" w:rsidRPr="001E5BBA">
        <w:rPr>
          <w:rFonts w:asciiTheme="minorHAnsi" w:hAnsiTheme="minorHAnsi" w:cstheme="minorHAnsi"/>
          <w:sz w:val="22"/>
          <w:szCs w:val="28"/>
          <w:lang w:val="de-DE"/>
        </w:rPr>
        <w:t xml:space="preserve">[12/JHU], </w:t>
      </w:r>
      <w:r w:rsidR="00674C9A" w:rsidRPr="001E5BBA">
        <w:rPr>
          <w:rFonts w:asciiTheme="minorHAnsi" w:hAnsiTheme="minorHAnsi" w:cstheme="minorHAnsi"/>
          <w:sz w:val="22"/>
          <w:szCs w:val="28"/>
          <w:lang w:val="de-DE"/>
        </w:rPr>
        <w:t>[18/Lenovo],</w:t>
      </w:r>
      <w:r w:rsidR="00674C9A" w:rsidRPr="001E5BBA">
        <w:rPr>
          <w:rFonts w:asciiTheme="minorHAnsi" w:hAnsiTheme="minorHAnsi" w:cstheme="minorHAnsi"/>
          <w:color w:val="000000" w:themeColor="text1"/>
          <w:sz w:val="22"/>
          <w:szCs w:val="28"/>
          <w:lang w:val="de-DE"/>
        </w:rPr>
        <w:t xml:space="preserve"> </w:t>
      </w:r>
      <w:r w:rsidR="00782C84" w:rsidRPr="001E5BBA">
        <w:rPr>
          <w:rFonts w:asciiTheme="minorHAnsi" w:hAnsiTheme="minorHAnsi" w:cstheme="minorHAnsi"/>
          <w:sz w:val="22"/>
          <w:szCs w:val="28"/>
          <w:lang w:val="de-DE"/>
        </w:rPr>
        <w:t>[21/Fraunhofer],</w:t>
      </w:r>
      <w:r w:rsidR="00782C84" w:rsidRPr="001E5BBA">
        <w:rPr>
          <w:rFonts w:asciiTheme="minorHAnsi" w:hAnsiTheme="minorHAnsi" w:cstheme="minorHAnsi"/>
          <w:color w:val="000000" w:themeColor="text1"/>
          <w:sz w:val="22"/>
          <w:szCs w:val="28"/>
          <w:lang w:val="de-DE"/>
        </w:rPr>
        <w:t xml:space="preserve"> </w:t>
      </w:r>
      <w:r w:rsidR="00D010DC" w:rsidRPr="001E5BBA">
        <w:rPr>
          <w:rFonts w:asciiTheme="minorHAnsi" w:hAnsiTheme="minorHAnsi" w:cstheme="minorHAnsi"/>
          <w:color w:val="000000" w:themeColor="text1"/>
          <w:sz w:val="22"/>
          <w:szCs w:val="28"/>
          <w:lang w:val="de-DE"/>
        </w:rPr>
        <w:t xml:space="preserve">[28/Samsung], </w:t>
      </w:r>
      <w:r w:rsidR="0031193F" w:rsidRPr="001E5BBA">
        <w:rPr>
          <w:rFonts w:asciiTheme="minorHAnsi" w:hAnsiTheme="minorHAnsi" w:cstheme="minorHAnsi"/>
          <w:color w:val="000000" w:themeColor="text1"/>
          <w:sz w:val="22"/>
          <w:szCs w:val="28"/>
          <w:lang w:val="de-DE"/>
        </w:rPr>
        <w:t xml:space="preserve">[26/NSC], </w:t>
      </w:r>
      <w:r w:rsidR="00425378" w:rsidRPr="001E5BBA">
        <w:rPr>
          <w:rFonts w:asciiTheme="minorHAnsi" w:hAnsiTheme="minorHAnsi" w:cstheme="minorHAnsi"/>
          <w:color w:val="000000" w:themeColor="text1"/>
          <w:sz w:val="22"/>
          <w:szCs w:val="28"/>
          <w:lang w:val="de-DE"/>
        </w:rPr>
        <w:t xml:space="preserve">[32/DCM], </w:t>
      </w:r>
      <w:r w:rsidRPr="001E5BBA">
        <w:rPr>
          <w:rFonts w:asciiTheme="minorHAnsi" w:hAnsiTheme="minorHAnsi" w:cstheme="minorHAnsi"/>
          <w:color w:val="000000" w:themeColor="text1"/>
          <w:sz w:val="22"/>
          <w:szCs w:val="28"/>
          <w:lang w:val="de-DE"/>
        </w:rPr>
        <w:t>[33/QC]</w:t>
      </w:r>
      <w:r w:rsidR="00D66F34" w:rsidRPr="001E5BBA">
        <w:rPr>
          <w:rFonts w:asciiTheme="minorHAnsi" w:hAnsiTheme="minorHAnsi" w:cstheme="minorHAnsi"/>
          <w:color w:val="000000" w:themeColor="text1"/>
          <w:sz w:val="22"/>
          <w:szCs w:val="28"/>
          <w:lang w:val="de-DE"/>
        </w:rPr>
        <w:t>, [37/WILUS]</w:t>
      </w:r>
    </w:p>
    <w:p w14:paraId="70731096" w14:textId="15FBDFC6" w:rsidR="00577E05" w:rsidRDefault="00577E05" w:rsidP="008A2701">
      <w:pPr>
        <w:pStyle w:val="ListParagraph"/>
        <w:numPr>
          <w:ilvl w:val="1"/>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T</w:t>
      </w:r>
      <w:r w:rsidRPr="00577E05">
        <w:rPr>
          <w:rFonts w:asciiTheme="minorHAnsi" w:hAnsiTheme="minorHAnsi" w:cstheme="minorHAnsi"/>
          <w:color w:val="000000" w:themeColor="text1"/>
          <w:sz w:val="22"/>
          <w:szCs w:val="28"/>
        </w:rPr>
        <w:t>he responding SL UE is a target receiver of the COT initiating UE’s transmission in the COT</w:t>
      </w:r>
    </w:p>
    <w:p w14:paraId="3968D309" w14:textId="3E21EC59" w:rsidR="00166716" w:rsidRDefault="00166716" w:rsidP="008A2701">
      <w:pPr>
        <w:pStyle w:val="ListParagraph"/>
        <w:numPr>
          <w:ilvl w:val="1"/>
          <w:numId w:val="15"/>
        </w:numPr>
        <w:ind w:leftChars="0"/>
        <w:rPr>
          <w:rFonts w:asciiTheme="minorHAnsi" w:hAnsiTheme="minorHAnsi" w:cstheme="minorHAnsi"/>
          <w:color w:val="000000" w:themeColor="text1"/>
          <w:sz w:val="22"/>
          <w:szCs w:val="28"/>
        </w:rPr>
      </w:pPr>
      <w:r w:rsidRPr="00166716">
        <w:rPr>
          <w:rFonts w:asciiTheme="minorHAnsi" w:hAnsiTheme="minorHAnsi" w:cstheme="minorHAnsi"/>
          <w:color w:val="000000" w:themeColor="text1"/>
          <w:sz w:val="22"/>
          <w:szCs w:val="28"/>
        </w:rPr>
        <w:t xml:space="preserve">The target receiver </w:t>
      </w:r>
      <w:r w:rsidR="00BD4B05">
        <w:rPr>
          <w:rFonts w:asciiTheme="minorHAnsi" w:hAnsiTheme="minorHAnsi" w:cstheme="minorHAnsi"/>
          <w:color w:val="000000" w:themeColor="text1"/>
          <w:sz w:val="22"/>
          <w:szCs w:val="28"/>
        </w:rPr>
        <w:t xml:space="preserve">for sharing a COT </w:t>
      </w:r>
      <w:r w:rsidRPr="00166716">
        <w:rPr>
          <w:rFonts w:asciiTheme="minorHAnsi" w:hAnsiTheme="minorHAnsi" w:cstheme="minorHAnsi"/>
          <w:color w:val="000000" w:themeColor="text1"/>
          <w:sz w:val="22"/>
          <w:szCs w:val="28"/>
        </w:rPr>
        <w:t xml:space="preserve">is </w:t>
      </w:r>
      <w:r w:rsidR="00577E05">
        <w:rPr>
          <w:rFonts w:asciiTheme="minorHAnsi" w:hAnsiTheme="minorHAnsi" w:cstheme="minorHAnsi"/>
          <w:color w:val="000000" w:themeColor="text1"/>
          <w:sz w:val="22"/>
          <w:szCs w:val="28"/>
        </w:rPr>
        <w:t>identified</w:t>
      </w:r>
      <w:r w:rsidRPr="00166716">
        <w:rPr>
          <w:rFonts w:asciiTheme="minorHAnsi" w:hAnsiTheme="minorHAnsi" w:cstheme="minorHAnsi"/>
          <w:color w:val="000000" w:themeColor="text1"/>
          <w:sz w:val="22"/>
          <w:szCs w:val="28"/>
        </w:rPr>
        <w:t xml:space="preserve"> </w:t>
      </w:r>
      <w:r w:rsidR="00BD4B05">
        <w:rPr>
          <w:rFonts w:asciiTheme="minorHAnsi" w:hAnsiTheme="minorHAnsi" w:cstheme="minorHAnsi"/>
          <w:color w:val="000000" w:themeColor="text1"/>
          <w:sz w:val="22"/>
          <w:szCs w:val="28"/>
        </w:rPr>
        <w:t xml:space="preserve">via the </w:t>
      </w:r>
      <w:r w:rsidRPr="00166716">
        <w:rPr>
          <w:rFonts w:asciiTheme="minorHAnsi" w:hAnsiTheme="minorHAnsi" w:cstheme="minorHAnsi"/>
          <w:color w:val="000000" w:themeColor="text1"/>
          <w:sz w:val="22"/>
          <w:szCs w:val="28"/>
        </w:rPr>
        <w:t xml:space="preserve">COT </w:t>
      </w:r>
      <w:r w:rsidR="00BD4B05">
        <w:rPr>
          <w:rFonts w:asciiTheme="minorHAnsi" w:hAnsiTheme="minorHAnsi" w:cstheme="minorHAnsi"/>
          <w:color w:val="000000" w:themeColor="text1"/>
          <w:sz w:val="22"/>
          <w:szCs w:val="28"/>
        </w:rPr>
        <w:t>identification</w:t>
      </w:r>
      <w:r w:rsidRPr="00166716">
        <w:rPr>
          <w:rFonts w:asciiTheme="minorHAnsi" w:hAnsiTheme="minorHAnsi" w:cstheme="minorHAnsi"/>
          <w:color w:val="000000" w:themeColor="text1"/>
          <w:sz w:val="22"/>
          <w:szCs w:val="28"/>
        </w:rPr>
        <w:t xml:space="preserve"> info</w:t>
      </w:r>
      <w:r w:rsidR="00BD4B05">
        <w:rPr>
          <w:rFonts w:asciiTheme="minorHAnsi" w:hAnsiTheme="minorHAnsi" w:cstheme="minorHAnsi"/>
          <w:color w:val="000000" w:themeColor="text1"/>
          <w:sz w:val="22"/>
          <w:szCs w:val="28"/>
        </w:rPr>
        <w:t xml:space="preserve"> signalling (in PSCCH or PSSCH)</w:t>
      </w:r>
    </w:p>
    <w:p w14:paraId="1947635C" w14:textId="6561D2D1" w:rsidR="00577E05" w:rsidRPr="00166716" w:rsidRDefault="00577E05" w:rsidP="008A2701">
      <w:pPr>
        <w:pStyle w:val="ListParagraph"/>
        <w:numPr>
          <w:ilvl w:val="1"/>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Less restrictive</w:t>
      </w:r>
    </w:p>
    <w:p w14:paraId="4F3D486A" w14:textId="488EC63A" w:rsidR="00495510" w:rsidRDefault="00495510" w:rsidP="00F87C9C">
      <w:pPr>
        <w:pStyle w:val="ListParagraph"/>
        <w:numPr>
          <w:ilvl w:val="0"/>
          <w:numId w:val="15"/>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Alt. 3: A responding SL UE can utilize a COT shared by a COT initiating UE when the responding SL UE receives the COT sharing information</w:t>
      </w:r>
    </w:p>
    <w:p w14:paraId="28578B88" w14:textId="46D44598" w:rsidR="00495510" w:rsidRDefault="00495510" w:rsidP="00495510">
      <w:pPr>
        <w:pStyle w:val="ListParagraph"/>
        <w:numPr>
          <w:ilvl w:val="1"/>
          <w:numId w:val="15"/>
        </w:numPr>
        <w:ind w:leftChars="0"/>
        <w:rPr>
          <w:rFonts w:asciiTheme="minorHAnsi" w:hAnsiTheme="minorHAnsi" w:cstheme="minorHAnsi"/>
          <w:b/>
          <w:bCs/>
          <w:sz w:val="22"/>
          <w:szCs w:val="28"/>
          <w:u w:val="single"/>
        </w:rPr>
      </w:pPr>
      <w:r>
        <w:rPr>
          <w:rFonts w:asciiTheme="minorHAnsi" w:hAnsiTheme="minorHAnsi" w:cstheme="minorHAnsi"/>
          <w:color w:val="000000" w:themeColor="text1"/>
          <w:sz w:val="22"/>
          <w:szCs w:val="28"/>
        </w:rPr>
        <w:t>[2/Nokia, NSB],</w:t>
      </w:r>
    </w:p>
    <w:p w14:paraId="3CF1788A" w14:textId="0B8A2F17" w:rsidR="00BD4B05" w:rsidRDefault="00607237" w:rsidP="00F87C9C">
      <w:pPr>
        <w:pStyle w:val="ListParagraph"/>
        <w:numPr>
          <w:ilvl w:val="0"/>
          <w:numId w:val="15"/>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Channel types of r</w:t>
      </w:r>
      <w:r w:rsidR="00BD4B05" w:rsidRPr="00BD4B05">
        <w:rPr>
          <w:rFonts w:asciiTheme="minorHAnsi" w:hAnsiTheme="minorHAnsi" w:cstheme="minorHAnsi"/>
          <w:b/>
          <w:bCs/>
          <w:sz w:val="22"/>
          <w:szCs w:val="28"/>
          <w:u w:val="single"/>
        </w:rPr>
        <w:t>esponding UE’s transmission</w:t>
      </w:r>
      <w:r w:rsidR="00BD4B05">
        <w:rPr>
          <w:rFonts w:asciiTheme="minorHAnsi" w:hAnsiTheme="minorHAnsi" w:cstheme="minorHAnsi"/>
          <w:b/>
          <w:bCs/>
          <w:sz w:val="22"/>
          <w:szCs w:val="28"/>
          <w:u w:val="single"/>
        </w:rPr>
        <w:t xml:space="preserve"> within a COT</w:t>
      </w:r>
    </w:p>
    <w:p w14:paraId="0E8C15A3" w14:textId="7F86D932" w:rsidR="00BD4B05" w:rsidRDefault="00607237" w:rsidP="002E1050">
      <w:pPr>
        <w:pStyle w:val="ListParagraph"/>
        <w:numPr>
          <w:ilvl w:val="1"/>
          <w:numId w:val="15"/>
        </w:numPr>
        <w:ind w:leftChars="0"/>
        <w:rPr>
          <w:rFonts w:asciiTheme="minorHAnsi" w:hAnsiTheme="minorHAnsi" w:cstheme="minorHAnsi"/>
          <w:sz w:val="22"/>
          <w:szCs w:val="28"/>
        </w:rPr>
      </w:pPr>
      <w:r>
        <w:rPr>
          <w:rFonts w:asciiTheme="minorHAnsi" w:hAnsiTheme="minorHAnsi" w:cstheme="minorHAnsi"/>
          <w:sz w:val="22"/>
          <w:szCs w:val="28"/>
        </w:rPr>
        <w:t>All channel types (PSCCH/PSSCH/PSFCH/</w:t>
      </w:r>
      <w:r w:rsidR="00812072">
        <w:rPr>
          <w:rFonts w:asciiTheme="minorHAnsi" w:hAnsiTheme="minorHAnsi" w:cstheme="minorHAnsi"/>
          <w:sz w:val="22"/>
          <w:szCs w:val="28"/>
        </w:rPr>
        <w:t>S-SSB</w:t>
      </w:r>
      <w:r>
        <w:rPr>
          <w:rFonts w:asciiTheme="minorHAnsi" w:hAnsiTheme="minorHAnsi" w:cstheme="minorHAnsi"/>
          <w:sz w:val="22"/>
          <w:szCs w:val="28"/>
        </w:rPr>
        <w:t>)</w:t>
      </w:r>
    </w:p>
    <w:p w14:paraId="0D8146A1" w14:textId="5ECDA0EB" w:rsidR="00607237" w:rsidRPr="008621E0" w:rsidRDefault="007F2B64" w:rsidP="002E1050">
      <w:pPr>
        <w:pStyle w:val="ListParagraph"/>
        <w:numPr>
          <w:ilvl w:val="2"/>
          <w:numId w:val="15"/>
        </w:numPr>
        <w:ind w:leftChars="0"/>
        <w:rPr>
          <w:rFonts w:asciiTheme="minorHAnsi" w:hAnsiTheme="minorHAnsi" w:cstheme="minorHAnsi"/>
          <w:sz w:val="22"/>
          <w:szCs w:val="28"/>
          <w:lang w:val="it-IT"/>
        </w:rPr>
      </w:pPr>
      <w:r w:rsidRPr="008621E0">
        <w:rPr>
          <w:rFonts w:asciiTheme="minorHAnsi" w:hAnsiTheme="minorHAnsi" w:cstheme="minorHAnsi"/>
          <w:sz w:val="22"/>
          <w:szCs w:val="28"/>
          <w:lang w:val="it-IT"/>
        </w:rPr>
        <w:t xml:space="preserve">[2/Nokia, NSB], </w:t>
      </w:r>
      <w:r w:rsidR="00812072" w:rsidRPr="008621E0">
        <w:rPr>
          <w:rFonts w:asciiTheme="minorHAnsi" w:hAnsiTheme="minorHAnsi" w:cstheme="minorHAnsi"/>
          <w:sz w:val="22"/>
          <w:szCs w:val="28"/>
          <w:lang w:val="it-IT"/>
        </w:rPr>
        <w:t xml:space="preserve">[4/HW, HiSi], </w:t>
      </w:r>
      <w:r w:rsidR="00563111" w:rsidRPr="008621E0">
        <w:rPr>
          <w:rFonts w:asciiTheme="minorHAnsi" w:hAnsiTheme="minorHAnsi" w:cstheme="minorHAnsi"/>
          <w:sz w:val="22"/>
          <w:szCs w:val="28"/>
          <w:lang w:val="it-IT"/>
        </w:rPr>
        <w:t xml:space="preserve">[6/vivo], </w:t>
      </w:r>
      <w:r w:rsidR="00087A99" w:rsidRPr="008621E0">
        <w:rPr>
          <w:rFonts w:asciiTheme="minorHAnsi" w:hAnsiTheme="minorHAnsi" w:cstheme="minorHAnsi"/>
          <w:color w:val="000000" w:themeColor="text1"/>
          <w:sz w:val="22"/>
          <w:szCs w:val="28"/>
          <w:lang w:val="it-IT"/>
        </w:rPr>
        <w:t>[32/DCM],</w:t>
      </w:r>
      <w:r w:rsidR="00087A99" w:rsidRPr="008621E0">
        <w:rPr>
          <w:rFonts w:asciiTheme="minorHAnsi" w:hAnsiTheme="minorHAnsi" w:cstheme="minorHAnsi"/>
          <w:sz w:val="22"/>
          <w:szCs w:val="28"/>
          <w:lang w:val="it-IT"/>
        </w:rPr>
        <w:t xml:space="preserve"> </w:t>
      </w:r>
      <w:r w:rsidR="00812072" w:rsidRPr="008621E0">
        <w:rPr>
          <w:rFonts w:asciiTheme="minorHAnsi" w:hAnsiTheme="minorHAnsi" w:cstheme="minorHAnsi"/>
          <w:sz w:val="22"/>
          <w:szCs w:val="28"/>
          <w:lang w:val="it-IT"/>
        </w:rPr>
        <w:t>[33/QC]</w:t>
      </w:r>
    </w:p>
    <w:p w14:paraId="651BC588" w14:textId="7588C2F2" w:rsidR="00607237" w:rsidRDefault="00812072" w:rsidP="002E1050">
      <w:pPr>
        <w:pStyle w:val="ListParagraph"/>
        <w:numPr>
          <w:ilvl w:val="1"/>
          <w:numId w:val="15"/>
        </w:numPr>
        <w:ind w:leftChars="0"/>
        <w:rPr>
          <w:rFonts w:asciiTheme="minorHAnsi" w:hAnsiTheme="minorHAnsi" w:cstheme="minorHAnsi"/>
          <w:sz w:val="22"/>
          <w:szCs w:val="28"/>
        </w:rPr>
      </w:pPr>
      <w:r>
        <w:rPr>
          <w:rFonts w:asciiTheme="minorHAnsi" w:hAnsiTheme="minorHAnsi" w:cstheme="minorHAnsi"/>
          <w:sz w:val="22"/>
          <w:szCs w:val="28"/>
        </w:rPr>
        <w:t>For PSSCH/PSCCH transmission</w:t>
      </w:r>
      <w:r w:rsidR="00CB7FEF">
        <w:rPr>
          <w:rFonts w:asciiTheme="minorHAnsi" w:hAnsiTheme="minorHAnsi" w:cstheme="minorHAnsi"/>
          <w:sz w:val="22"/>
          <w:szCs w:val="28"/>
        </w:rPr>
        <w:t xml:space="preserve"> targeting at least the COT initiator UE</w:t>
      </w:r>
      <w:r>
        <w:rPr>
          <w:rFonts w:asciiTheme="minorHAnsi" w:hAnsiTheme="minorHAnsi" w:cstheme="minorHAnsi"/>
          <w:sz w:val="22"/>
          <w:szCs w:val="28"/>
        </w:rPr>
        <w:t xml:space="preserve">, </w:t>
      </w:r>
      <w:r w:rsidR="00CB7FEF">
        <w:rPr>
          <w:rFonts w:asciiTheme="minorHAnsi" w:hAnsiTheme="minorHAnsi" w:cstheme="minorHAnsi"/>
          <w:sz w:val="22"/>
          <w:szCs w:val="28"/>
        </w:rPr>
        <w:t xml:space="preserve">(e.g., </w:t>
      </w:r>
      <w:r>
        <w:rPr>
          <w:rFonts w:asciiTheme="minorHAnsi" w:hAnsiTheme="minorHAnsi" w:cstheme="minorHAnsi"/>
          <w:sz w:val="22"/>
          <w:szCs w:val="28"/>
        </w:rPr>
        <w:t>only the same destination ID (BC/GC) or source ID (UC)</w:t>
      </w:r>
      <w:r w:rsidR="00CB7FEF">
        <w:rPr>
          <w:rFonts w:asciiTheme="minorHAnsi" w:hAnsiTheme="minorHAnsi" w:cstheme="minorHAnsi"/>
          <w:sz w:val="22"/>
          <w:szCs w:val="28"/>
        </w:rPr>
        <w:t>)</w:t>
      </w:r>
    </w:p>
    <w:p w14:paraId="6A45A0FF" w14:textId="5D31B4B7" w:rsidR="00812072" w:rsidRDefault="00E50945" w:rsidP="002E1050">
      <w:pPr>
        <w:pStyle w:val="ListParagraph"/>
        <w:numPr>
          <w:ilvl w:val="2"/>
          <w:numId w:val="15"/>
        </w:numPr>
        <w:ind w:leftChars="0"/>
        <w:rPr>
          <w:rFonts w:asciiTheme="minorHAnsi" w:hAnsiTheme="minorHAnsi" w:cstheme="minorHAnsi"/>
          <w:sz w:val="22"/>
          <w:szCs w:val="28"/>
        </w:rPr>
      </w:pPr>
      <w:r>
        <w:rPr>
          <w:rFonts w:asciiTheme="minorHAnsi" w:hAnsiTheme="minorHAnsi" w:cstheme="minorHAnsi"/>
          <w:sz w:val="22"/>
          <w:szCs w:val="28"/>
        </w:rPr>
        <w:t xml:space="preserve">[2/Nokia, NSB], </w:t>
      </w:r>
      <w:r w:rsidR="00CB7FEF">
        <w:rPr>
          <w:rFonts w:asciiTheme="minorHAnsi" w:hAnsiTheme="minorHAnsi" w:cstheme="minorHAnsi"/>
          <w:sz w:val="22"/>
          <w:szCs w:val="28"/>
        </w:rPr>
        <w:t xml:space="preserve">[3/FW], </w:t>
      </w:r>
      <w:r w:rsidR="00812072">
        <w:rPr>
          <w:rFonts w:asciiTheme="minorHAnsi" w:hAnsiTheme="minorHAnsi" w:cstheme="minorHAnsi"/>
          <w:sz w:val="22"/>
          <w:szCs w:val="28"/>
        </w:rPr>
        <w:t xml:space="preserve">[8/OPPO], </w:t>
      </w:r>
      <w:r w:rsidR="00EE4C06">
        <w:rPr>
          <w:rFonts w:asciiTheme="minorHAnsi" w:hAnsiTheme="minorHAnsi" w:cstheme="minorHAnsi"/>
          <w:sz w:val="22"/>
          <w:szCs w:val="28"/>
        </w:rPr>
        <w:t xml:space="preserve">[18/Lenovo], </w:t>
      </w:r>
      <w:r w:rsidR="00911DBC" w:rsidRPr="00442485">
        <w:rPr>
          <w:rFonts w:asciiTheme="minorHAnsi" w:hAnsiTheme="minorHAnsi" w:cstheme="minorHAnsi"/>
          <w:sz w:val="22"/>
          <w:szCs w:val="28"/>
        </w:rPr>
        <w:t>[27/IDC]</w:t>
      </w:r>
      <w:r w:rsidR="00911DBC">
        <w:rPr>
          <w:rFonts w:asciiTheme="minorHAnsi" w:hAnsiTheme="minorHAnsi" w:cstheme="minorHAnsi"/>
          <w:sz w:val="22"/>
          <w:szCs w:val="28"/>
        </w:rPr>
        <w:t xml:space="preserve">, </w:t>
      </w:r>
      <w:r w:rsidR="00C4189E">
        <w:rPr>
          <w:rFonts w:asciiTheme="minorHAnsi" w:hAnsiTheme="minorHAnsi" w:cstheme="minorHAnsi"/>
          <w:sz w:val="22"/>
          <w:szCs w:val="28"/>
        </w:rPr>
        <w:t xml:space="preserve">[28/Samsung] (SL-HARQ disabled), </w:t>
      </w:r>
      <w:r w:rsidR="00812072">
        <w:rPr>
          <w:rFonts w:asciiTheme="minorHAnsi" w:hAnsiTheme="minorHAnsi" w:cstheme="minorHAnsi"/>
          <w:sz w:val="22"/>
          <w:szCs w:val="28"/>
        </w:rPr>
        <w:t>[33/QC]</w:t>
      </w:r>
      <w:r w:rsidR="000E7ED4">
        <w:rPr>
          <w:rFonts w:asciiTheme="minorHAnsi" w:hAnsiTheme="minorHAnsi" w:cstheme="minorHAnsi"/>
          <w:sz w:val="22"/>
          <w:szCs w:val="28"/>
        </w:rPr>
        <w:t>, [</w:t>
      </w:r>
      <w:r w:rsidR="00453DEE">
        <w:rPr>
          <w:rFonts w:asciiTheme="minorHAnsi" w:hAnsiTheme="minorHAnsi" w:cstheme="minorHAnsi"/>
          <w:sz w:val="22"/>
          <w:szCs w:val="28"/>
        </w:rPr>
        <w:t xml:space="preserve">19/CMCC, </w:t>
      </w:r>
      <w:r w:rsidR="000E7ED4">
        <w:rPr>
          <w:rFonts w:asciiTheme="minorHAnsi" w:hAnsiTheme="minorHAnsi" w:cstheme="minorHAnsi"/>
          <w:sz w:val="22"/>
          <w:szCs w:val="28"/>
        </w:rPr>
        <w:t>36/E///] (unicast only)</w:t>
      </w:r>
    </w:p>
    <w:p w14:paraId="130846E1" w14:textId="2D06000D" w:rsidR="00812072" w:rsidRDefault="00812072" w:rsidP="002E1050">
      <w:pPr>
        <w:pStyle w:val="ListParagraph"/>
        <w:numPr>
          <w:ilvl w:val="1"/>
          <w:numId w:val="15"/>
        </w:numPr>
        <w:ind w:leftChars="0"/>
        <w:rPr>
          <w:rFonts w:asciiTheme="minorHAnsi" w:hAnsiTheme="minorHAnsi" w:cstheme="minorHAnsi"/>
          <w:sz w:val="22"/>
          <w:szCs w:val="28"/>
        </w:rPr>
      </w:pPr>
      <w:r>
        <w:rPr>
          <w:rFonts w:asciiTheme="minorHAnsi" w:hAnsiTheme="minorHAnsi" w:cstheme="minorHAnsi"/>
          <w:sz w:val="22"/>
          <w:szCs w:val="28"/>
        </w:rPr>
        <w:t>PSFCH to the initiator UE</w:t>
      </w:r>
    </w:p>
    <w:p w14:paraId="5A3CC78A" w14:textId="6BE4566E" w:rsidR="00812072" w:rsidRPr="001E5BBA" w:rsidRDefault="00E50945" w:rsidP="002E1050">
      <w:pPr>
        <w:pStyle w:val="ListParagraph"/>
        <w:numPr>
          <w:ilvl w:val="2"/>
          <w:numId w:val="15"/>
        </w:numPr>
        <w:ind w:leftChars="0"/>
        <w:rPr>
          <w:rFonts w:asciiTheme="minorHAnsi" w:hAnsiTheme="minorHAnsi" w:cstheme="minorHAnsi"/>
          <w:sz w:val="22"/>
          <w:szCs w:val="28"/>
          <w:lang w:val="de-DE"/>
        </w:rPr>
      </w:pPr>
      <w:r w:rsidRPr="001E5BBA">
        <w:rPr>
          <w:rFonts w:asciiTheme="minorHAnsi" w:hAnsiTheme="minorHAnsi" w:cstheme="minorHAnsi"/>
          <w:sz w:val="22"/>
          <w:szCs w:val="28"/>
          <w:lang w:val="de-DE"/>
        </w:rPr>
        <w:t xml:space="preserve">[2/Nokia, NSB], </w:t>
      </w:r>
      <w:r w:rsidR="00107BCE" w:rsidRPr="001E5BBA">
        <w:rPr>
          <w:rFonts w:asciiTheme="minorHAnsi" w:hAnsiTheme="minorHAnsi" w:cstheme="minorHAnsi"/>
          <w:sz w:val="22"/>
          <w:szCs w:val="28"/>
          <w:lang w:val="de-DE"/>
        </w:rPr>
        <w:t xml:space="preserve">[5/Spreadtrum], </w:t>
      </w:r>
      <w:r w:rsidR="00812072" w:rsidRPr="001E5BBA">
        <w:rPr>
          <w:rFonts w:asciiTheme="minorHAnsi" w:hAnsiTheme="minorHAnsi" w:cstheme="minorHAnsi"/>
          <w:sz w:val="22"/>
          <w:szCs w:val="28"/>
          <w:lang w:val="de-DE"/>
        </w:rPr>
        <w:t xml:space="preserve">[8/OPPO], </w:t>
      </w:r>
      <w:r w:rsidR="00EE4C06" w:rsidRPr="001E5BBA">
        <w:rPr>
          <w:rFonts w:asciiTheme="minorHAnsi" w:hAnsiTheme="minorHAnsi" w:cstheme="minorHAnsi"/>
          <w:sz w:val="22"/>
          <w:szCs w:val="28"/>
          <w:lang w:val="de-DE"/>
        </w:rPr>
        <w:t xml:space="preserve">[18/Lenovo], </w:t>
      </w:r>
      <w:r w:rsidR="00911DBC" w:rsidRPr="001E5BBA">
        <w:rPr>
          <w:rFonts w:asciiTheme="minorHAnsi" w:hAnsiTheme="minorHAnsi" w:cstheme="minorHAnsi"/>
          <w:sz w:val="22"/>
          <w:szCs w:val="28"/>
          <w:lang w:val="de-DE"/>
        </w:rPr>
        <w:t xml:space="preserve">[27/IDC], </w:t>
      </w:r>
      <w:r w:rsidR="00C4189E" w:rsidRPr="001E5BBA">
        <w:rPr>
          <w:rFonts w:asciiTheme="minorHAnsi" w:hAnsiTheme="minorHAnsi" w:cstheme="minorHAnsi"/>
          <w:sz w:val="22"/>
          <w:szCs w:val="28"/>
          <w:lang w:val="de-DE"/>
        </w:rPr>
        <w:t xml:space="preserve">[28/Samsung], </w:t>
      </w:r>
      <w:r w:rsidR="00812072" w:rsidRPr="001E5BBA">
        <w:rPr>
          <w:rFonts w:asciiTheme="minorHAnsi" w:hAnsiTheme="minorHAnsi" w:cstheme="minorHAnsi"/>
          <w:sz w:val="22"/>
          <w:szCs w:val="28"/>
          <w:lang w:val="de-DE"/>
        </w:rPr>
        <w:t>[33/QC]</w:t>
      </w:r>
      <w:r w:rsidR="00310479" w:rsidRPr="001E5BBA">
        <w:rPr>
          <w:rFonts w:asciiTheme="minorHAnsi" w:hAnsiTheme="minorHAnsi" w:cstheme="minorHAnsi"/>
          <w:sz w:val="22"/>
          <w:szCs w:val="28"/>
          <w:lang w:val="de-DE"/>
        </w:rPr>
        <w:t>, [36/E///]</w:t>
      </w:r>
    </w:p>
    <w:p w14:paraId="34FB9396" w14:textId="7DA0E339" w:rsidR="00812072" w:rsidRPr="00812072" w:rsidRDefault="00812072" w:rsidP="002E1050">
      <w:pPr>
        <w:pStyle w:val="ListParagraph"/>
        <w:numPr>
          <w:ilvl w:val="1"/>
          <w:numId w:val="15"/>
        </w:numPr>
        <w:ind w:leftChars="0"/>
        <w:rPr>
          <w:rFonts w:asciiTheme="minorHAnsi" w:hAnsiTheme="minorHAnsi" w:cstheme="minorHAnsi"/>
          <w:sz w:val="22"/>
          <w:szCs w:val="28"/>
        </w:rPr>
      </w:pPr>
      <w:r>
        <w:rPr>
          <w:rFonts w:asciiTheme="minorHAnsi" w:hAnsiTheme="minorHAnsi" w:cstheme="minorHAnsi"/>
          <w:sz w:val="22"/>
          <w:szCs w:val="28"/>
        </w:rPr>
        <w:t xml:space="preserve">PSFCH to a </w:t>
      </w:r>
      <w:r w:rsidRPr="007812E5">
        <w:rPr>
          <w:rFonts w:asciiTheme="minorHAnsi" w:hAnsiTheme="minorHAnsi" w:cstheme="minorHAnsi"/>
          <w:color w:val="000000" w:themeColor="text1"/>
          <w:sz w:val="22"/>
          <w:szCs w:val="22"/>
        </w:rPr>
        <w:t>UE different from the COT initiator</w:t>
      </w:r>
    </w:p>
    <w:p w14:paraId="203A1039" w14:textId="2EE66FE1" w:rsidR="00812072" w:rsidRPr="00BD4B05" w:rsidRDefault="00812072" w:rsidP="002E1050">
      <w:pPr>
        <w:pStyle w:val="ListParagraph"/>
        <w:numPr>
          <w:ilvl w:val="2"/>
          <w:numId w:val="15"/>
        </w:numPr>
        <w:ind w:leftChars="0"/>
        <w:rPr>
          <w:rFonts w:asciiTheme="minorHAnsi" w:hAnsiTheme="minorHAnsi" w:cstheme="minorHAnsi"/>
          <w:sz w:val="22"/>
          <w:szCs w:val="28"/>
        </w:rPr>
      </w:pPr>
      <w:r>
        <w:rPr>
          <w:rFonts w:asciiTheme="minorHAnsi" w:hAnsiTheme="minorHAnsi" w:cstheme="minorHAnsi"/>
          <w:sz w:val="22"/>
          <w:szCs w:val="28"/>
        </w:rPr>
        <w:t>[33/QC]</w:t>
      </w:r>
    </w:p>
    <w:p w14:paraId="18648B4A" w14:textId="3674E13C" w:rsidR="00F87C9C" w:rsidRPr="00834623" w:rsidRDefault="00F87C9C" w:rsidP="00F87C9C">
      <w:pPr>
        <w:pStyle w:val="ListParagraph"/>
        <w:numPr>
          <w:ilvl w:val="0"/>
          <w:numId w:val="15"/>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 xml:space="preserve">Applicable </w:t>
      </w:r>
      <w:r w:rsidR="00173807">
        <w:rPr>
          <w:rFonts w:asciiTheme="minorHAnsi" w:hAnsiTheme="minorHAnsi" w:cstheme="minorHAnsi"/>
          <w:b/>
          <w:bCs/>
          <w:sz w:val="22"/>
          <w:szCs w:val="28"/>
          <w:u w:val="single"/>
        </w:rPr>
        <w:t xml:space="preserve">channels / </w:t>
      </w:r>
      <w:r>
        <w:rPr>
          <w:rFonts w:asciiTheme="minorHAnsi" w:hAnsiTheme="minorHAnsi" w:cstheme="minorHAnsi"/>
          <w:b/>
          <w:bCs/>
          <w:sz w:val="22"/>
          <w:szCs w:val="28"/>
          <w:u w:val="single"/>
        </w:rPr>
        <w:t>operation / receiver / cast types</w:t>
      </w:r>
    </w:p>
    <w:p w14:paraId="4D248D11" w14:textId="77777777" w:rsidR="009D36A5" w:rsidRDefault="00081E40" w:rsidP="00F87C9C">
      <w:pPr>
        <w:pStyle w:val="ListParagraph"/>
        <w:numPr>
          <w:ilvl w:val="1"/>
          <w:numId w:val="15"/>
        </w:numPr>
        <w:ind w:leftChars="0"/>
        <w:rPr>
          <w:rFonts w:asciiTheme="minorHAnsi" w:hAnsiTheme="minorHAnsi" w:cstheme="minorHAnsi"/>
          <w:sz w:val="22"/>
          <w:szCs w:val="28"/>
        </w:rPr>
      </w:pPr>
      <w:r w:rsidRPr="009D36A5">
        <w:rPr>
          <w:rFonts w:asciiTheme="minorHAnsi" w:hAnsiTheme="minorHAnsi" w:cstheme="minorHAnsi"/>
          <w:sz w:val="22"/>
          <w:szCs w:val="28"/>
        </w:rPr>
        <w:t>[5/Spreadtrum]</w:t>
      </w:r>
      <w:r w:rsidR="00C007BF" w:rsidRPr="009D36A5">
        <w:rPr>
          <w:rFonts w:asciiTheme="minorHAnsi" w:hAnsiTheme="minorHAnsi" w:cstheme="minorHAnsi"/>
          <w:sz w:val="22"/>
          <w:szCs w:val="28"/>
        </w:rPr>
        <w:t xml:space="preserve">: </w:t>
      </w:r>
    </w:p>
    <w:p w14:paraId="388D99E6" w14:textId="0E44AA42" w:rsidR="00C007BF" w:rsidRDefault="00C007BF" w:rsidP="009D36A5">
      <w:pPr>
        <w:pStyle w:val="ListParagraph"/>
        <w:numPr>
          <w:ilvl w:val="2"/>
          <w:numId w:val="15"/>
        </w:numPr>
        <w:ind w:leftChars="0"/>
        <w:rPr>
          <w:rFonts w:asciiTheme="minorHAnsi" w:hAnsiTheme="minorHAnsi" w:cstheme="minorHAnsi"/>
          <w:sz w:val="22"/>
          <w:szCs w:val="28"/>
        </w:rPr>
      </w:pPr>
      <w:r w:rsidRPr="009D36A5">
        <w:rPr>
          <w:rFonts w:asciiTheme="minorHAnsi" w:hAnsiTheme="minorHAnsi" w:cstheme="minorHAnsi"/>
          <w:sz w:val="22"/>
          <w:szCs w:val="28"/>
        </w:rPr>
        <w:t>A minimum time gap between COT sharing indication and transmission of shared UE should be introduced.</w:t>
      </w:r>
    </w:p>
    <w:p w14:paraId="7B445AB9" w14:textId="0859669E" w:rsidR="009D36A5" w:rsidRPr="009D36A5" w:rsidRDefault="009D36A5" w:rsidP="009D36A5">
      <w:pPr>
        <w:pStyle w:val="ListParagraph"/>
        <w:numPr>
          <w:ilvl w:val="2"/>
          <w:numId w:val="15"/>
        </w:numPr>
        <w:ind w:leftChars="0"/>
        <w:rPr>
          <w:rFonts w:asciiTheme="minorHAnsi" w:hAnsiTheme="minorHAnsi" w:cstheme="minorHAnsi"/>
          <w:bCs/>
          <w:iCs/>
          <w:sz w:val="22"/>
          <w:szCs w:val="22"/>
        </w:rPr>
      </w:pPr>
      <w:r w:rsidRPr="009D36A5">
        <w:rPr>
          <w:rFonts w:asciiTheme="minorHAnsi" w:hAnsiTheme="minorHAnsi" w:cstheme="minorHAnsi"/>
          <w:bCs/>
          <w:iCs/>
          <w:sz w:val="22"/>
          <w:szCs w:val="22"/>
        </w:rPr>
        <w:t xml:space="preserve">The UE initiating the COT should occupy the channel before the </w:t>
      </w:r>
      <w:r w:rsidRPr="009D36A5">
        <w:rPr>
          <w:rFonts w:asciiTheme="minorHAnsi" w:hAnsiTheme="minorHAnsi" w:cstheme="minorHAnsi"/>
          <w:bCs/>
          <w:iCs/>
          <w:sz w:val="22"/>
          <w:szCs w:val="22"/>
          <w:lang w:eastAsia="zh-CN"/>
        </w:rPr>
        <w:t>transmission of shared UE.</w:t>
      </w:r>
    </w:p>
    <w:p w14:paraId="14233FF1" w14:textId="01B55DB9" w:rsidR="00563111" w:rsidRDefault="00563111" w:rsidP="00F87C9C">
      <w:pPr>
        <w:pStyle w:val="ListParagraph"/>
        <w:numPr>
          <w:ilvl w:val="1"/>
          <w:numId w:val="15"/>
        </w:numPr>
        <w:ind w:leftChars="0"/>
        <w:rPr>
          <w:rFonts w:asciiTheme="minorHAnsi" w:hAnsiTheme="minorHAnsi" w:cstheme="minorHAnsi"/>
          <w:sz w:val="22"/>
          <w:szCs w:val="28"/>
        </w:rPr>
      </w:pPr>
      <w:r w:rsidRPr="00563111">
        <w:rPr>
          <w:rFonts w:asciiTheme="minorHAnsi" w:hAnsiTheme="minorHAnsi" w:cstheme="minorHAnsi"/>
          <w:sz w:val="22"/>
          <w:szCs w:val="28"/>
        </w:rPr>
        <w:t>[6/vivo]: The channel access type within the shared COT is determined by the responding UE based on the gap between transmissions of the COT initiating UE and responding UE.</w:t>
      </w:r>
    </w:p>
    <w:p w14:paraId="25D9262D" w14:textId="34C4C6F5" w:rsidR="00801ED1" w:rsidRDefault="00801ED1" w:rsidP="00F87C9C">
      <w:pPr>
        <w:pStyle w:val="ListParagraph"/>
        <w:numPr>
          <w:ilvl w:val="1"/>
          <w:numId w:val="15"/>
        </w:numPr>
        <w:ind w:leftChars="0"/>
        <w:rPr>
          <w:rFonts w:asciiTheme="minorHAnsi" w:hAnsiTheme="minorHAnsi" w:cstheme="minorHAnsi"/>
          <w:sz w:val="22"/>
          <w:szCs w:val="28"/>
        </w:rPr>
      </w:pPr>
      <w:r>
        <w:rPr>
          <w:rFonts w:asciiTheme="minorHAnsi" w:hAnsiTheme="minorHAnsi" w:cstheme="minorHAnsi"/>
          <w:sz w:val="22"/>
          <w:szCs w:val="28"/>
        </w:rPr>
        <w:t xml:space="preserve">[9/CATT, GH] </w:t>
      </w:r>
      <w:r w:rsidRPr="00801ED1">
        <w:rPr>
          <w:rFonts w:asciiTheme="minorHAnsi" w:hAnsiTheme="minorHAnsi" w:cstheme="minorHAnsi"/>
          <w:sz w:val="22"/>
          <w:szCs w:val="28"/>
        </w:rPr>
        <w:t>The cast type should be considered for COT sharing operation:</w:t>
      </w:r>
    </w:p>
    <w:p w14:paraId="3400B591" w14:textId="5E438E62" w:rsidR="00801ED1" w:rsidRDefault="00801ED1" w:rsidP="00801ED1">
      <w:pPr>
        <w:pStyle w:val="ListParagraph"/>
        <w:numPr>
          <w:ilvl w:val="2"/>
          <w:numId w:val="15"/>
        </w:numPr>
        <w:ind w:leftChars="0"/>
        <w:rPr>
          <w:rFonts w:asciiTheme="minorHAnsi" w:hAnsiTheme="minorHAnsi" w:cstheme="minorHAnsi"/>
          <w:sz w:val="22"/>
          <w:szCs w:val="28"/>
        </w:rPr>
      </w:pPr>
      <w:r w:rsidRPr="00801ED1">
        <w:rPr>
          <w:rFonts w:asciiTheme="minorHAnsi" w:hAnsiTheme="minorHAnsi" w:cstheme="minorHAnsi"/>
          <w:sz w:val="22"/>
          <w:szCs w:val="28"/>
        </w:rPr>
        <w:t>For unicast, the COT sharing duration between the unicast pair can be determined as that in NR-U, and the restriction of the absolute duration of the COT can be up to the regulation of each country.</w:t>
      </w:r>
    </w:p>
    <w:p w14:paraId="751C38AF" w14:textId="70CF0F9A" w:rsidR="00801ED1" w:rsidRPr="00563111" w:rsidRDefault="00801ED1" w:rsidP="00801ED1">
      <w:pPr>
        <w:pStyle w:val="ListParagraph"/>
        <w:numPr>
          <w:ilvl w:val="2"/>
          <w:numId w:val="15"/>
        </w:numPr>
        <w:ind w:leftChars="0"/>
        <w:rPr>
          <w:rFonts w:asciiTheme="minorHAnsi" w:hAnsiTheme="minorHAnsi" w:cstheme="minorHAnsi"/>
          <w:sz w:val="22"/>
          <w:szCs w:val="28"/>
        </w:rPr>
      </w:pPr>
      <w:r w:rsidRPr="00801ED1">
        <w:rPr>
          <w:rFonts w:asciiTheme="minorHAnsi" w:hAnsiTheme="minorHAnsi" w:cstheme="minorHAnsi"/>
          <w:sz w:val="22"/>
          <w:szCs w:val="28"/>
        </w:rPr>
        <w:t>For groupcast or broadcast, the COT sharing ending time for all the COT sharing UEs is an absolute time, i.e.</w:t>
      </w:r>
      <w:r w:rsidR="00A202D9">
        <w:rPr>
          <w:rFonts w:asciiTheme="minorHAnsi" w:hAnsiTheme="minorHAnsi" w:cstheme="minorHAnsi"/>
          <w:sz w:val="22"/>
          <w:szCs w:val="28"/>
        </w:rPr>
        <w:t>,</w:t>
      </w:r>
      <w:r w:rsidRPr="00801ED1">
        <w:rPr>
          <w:rFonts w:asciiTheme="minorHAnsi" w:hAnsiTheme="minorHAnsi" w:cstheme="minorHAnsi"/>
          <w:sz w:val="22"/>
          <w:szCs w:val="28"/>
        </w:rPr>
        <w:t xml:space="preserve"> determined by the absolute duration from the starting occasion of COT sharing.</w:t>
      </w:r>
    </w:p>
    <w:p w14:paraId="5D097885" w14:textId="4E5C69AC" w:rsidR="00C276CC" w:rsidRPr="00F51291" w:rsidRDefault="00C276CC" w:rsidP="00F87C9C">
      <w:pPr>
        <w:pStyle w:val="ListParagraph"/>
        <w:numPr>
          <w:ilvl w:val="1"/>
          <w:numId w:val="15"/>
        </w:numPr>
        <w:ind w:leftChars="0"/>
        <w:rPr>
          <w:rFonts w:asciiTheme="minorHAnsi" w:hAnsiTheme="minorHAnsi" w:cstheme="minorHAnsi"/>
          <w:sz w:val="22"/>
          <w:szCs w:val="28"/>
        </w:rPr>
      </w:pPr>
      <w:r w:rsidRPr="00F51291">
        <w:rPr>
          <w:rFonts w:asciiTheme="minorHAnsi" w:hAnsiTheme="minorHAnsi" w:cstheme="minorHAnsi"/>
          <w:sz w:val="22"/>
          <w:szCs w:val="28"/>
        </w:rPr>
        <w:t>[1</w:t>
      </w:r>
      <w:r w:rsidR="00466359" w:rsidRPr="00F51291">
        <w:rPr>
          <w:rFonts w:asciiTheme="minorHAnsi" w:hAnsiTheme="minorHAnsi" w:cstheme="minorHAnsi"/>
          <w:sz w:val="22"/>
          <w:szCs w:val="28"/>
        </w:rPr>
        <w:t>0</w:t>
      </w:r>
      <w:r w:rsidRPr="00F51291">
        <w:rPr>
          <w:rFonts w:asciiTheme="minorHAnsi" w:hAnsiTheme="minorHAnsi" w:cstheme="minorHAnsi"/>
          <w:sz w:val="22"/>
          <w:szCs w:val="28"/>
        </w:rPr>
        <w:t>/Fujitsu]</w:t>
      </w:r>
      <w:r w:rsidR="000F4189" w:rsidRPr="00F51291">
        <w:rPr>
          <w:rFonts w:asciiTheme="minorHAnsi" w:hAnsiTheme="minorHAnsi" w:cstheme="minorHAnsi"/>
          <w:sz w:val="22"/>
          <w:szCs w:val="28"/>
        </w:rPr>
        <w:t xml:space="preserve"> </w:t>
      </w:r>
      <w:r w:rsidR="00F51291" w:rsidRPr="00F51291">
        <w:rPr>
          <w:rFonts w:asciiTheme="minorHAnsi" w:hAnsiTheme="minorHAnsi" w:cstheme="minorHAnsi"/>
          <w:sz w:val="22"/>
          <w:szCs w:val="28"/>
        </w:rPr>
        <w:t>For COT sharing, it should be studied how to determine which COT to share if more than one COT is identified by a COT sharing UE.</w:t>
      </w:r>
    </w:p>
    <w:p w14:paraId="4E5F4F62" w14:textId="591D8721" w:rsidR="00381BB6" w:rsidRPr="00674C9A" w:rsidRDefault="00381BB6" w:rsidP="00F87C9C">
      <w:pPr>
        <w:pStyle w:val="ListParagraph"/>
        <w:numPr>
          <w:ilvl w:val="1"/>
          <w:numId w:val="15"/>
        </w:numPr>
        <w:ind w:leftChars="0"/>
        <w:rPr>
          <w:rFonts w:asciiTheme="minorHAnsi" w:hAnsiTheme="minorHAnsi" w:cstheme="minorHAnsi"/>
          <w:sz w:val="22"/>
          <w:szCs w:val="28"/>
        </w:rPr>
      </w:pPr>
      <w:r w:rsidRPr="00674C9A">
        <w:rPr>
          <w:rFonts w:asciiTheme="minorHAnsi" w:hAnsiTheme="minorHAnsi" w:cstheme="minorHAnsi"/>
          <w:sz w:val="22"/>
          <w:szCs w:val="28"/>
        </w:rPr>
        <w:t>[</w:t>
      </w:r>
      <w:r w:rsidR="00BC644A" w:rsidRPr="00674C9A">
        <w:rPr>
          <w:rFonts w:asciiTheme="minorHAnsi" w:hAnsiTheme="minorHAnsi" w:cstheme="minorHAnsi"/>
          <w:sz w:val="22"/>
          <w:szCs w:val="28"/>
        </w:rPr>
        <w:t>18/Lenovo</w:t>
      </w:r>
      <w:r w:rsidRPr="00674C9A">
        <w:rPr>
          <w:rFonts w:asciiTheme="minorHAnsi" w:hAnsiTheme="minorHAnsi" w:cstheme="minorHAnsi"/>
          <w:sz w:val="22"/>
          <w:szCs w:val="28"/>
        </w:rPr>
        <w:t>]</w:t>
      </w:r>
    </w:p>
    <w:p w14:paraId="3B63F977" w14:textId="5DE4ADD5" w:rsidR="00381BB6" w:rsidRPr="00674C9A" w:rsidRDefault="00381BB6" w:rsidP="00381BB6">
      <w:pPr>
        <w:pStyle w:val="ListParagraph"/>
        <w:numPr>
          <w:ilvl w:val="2"/>
          <w:numId w:val="15"/>
        </w:numPr>
        <w:ind w:leftChars="0"/>
        <w:rPr>
          <w:rFonts w:asciiTheme="minorHAnsi" w:hAnsiTheme="minorHAnsi" w:cstheme="minorHAnsi"/>
          <w:sz w:val="22"/>
          <w:szCs w:val="28"/>
        </w:rPr>
      </w:pPr>
      <w:r w:rsidRPr="00674C9A">
        <w:rPr>
          <w:rFonts w:asciiTheme="minorHAnsi" w:hAnsiTheme="minorHAnsi" w:cstheme="minorHAnsi"/>
          <w:sz w:val="22"/>
          <w:szCs w:val="28"/>
        </w:rPr>
        <w:t>A COT initiator should have the flexibility to transmit COT sharing indicator to a one-one or one to many UEs/destinations.</w:t>
      </w:r>
    </w:p>
    <w:p w14:paraId="739B5D33" w14:textId="2E7CA179" w:rsidR="00381BB6" w:rsidRPr="00674C9A" w:rsidRDefault="00381BB6" w:rsidP="00381BB6">
      <w:pPr>
        <w:pStyle w:val="ListParagraph"/>
        <w:numPr>
          <w:ilvl w:val="2"/>
          <w:numId w:val="15"/>
        </w:numPr>
        <w:ind w:leftChars="0"/>
        <w:rPr>
          <w:rFonts w:asciiTheme="minorHAnsi" w:hAnsiTheme="minorHAnsi" w:cstheme="minorHAnsi"/>
          <w:sz w:val="22"/>
          <w:szCs w:val="28"/>
        </w:rPr>
      </w:pPr>
      <w:r w:rsidRPr="00674C9A">
        <w:rPr>
          <w:rFonts w:asciiTheme="minorHAnsi" w:hAnsiTheme="minorHAnsi" w:cstheme="minorHAnsi"/>
          <w:sz w:val="22"/>
          <w:szCs w:val="28"/>
        </w:rPr>
        <w:t>A COT recipient should have the flexibility to use the shared COT to transmit unicast, groupcast, broadcast data.</w:t>
      </w:r>
    </w:p>
    <w:p w14:paraId="7E4B690F" w14:textId="6D30C3A1" w:rsidR="007611FF" w:rsidRPr="006F046D" w:rsidRDefault="007611FF" w:rsidP="00381BB6">
      <w:pPr>
        <w:pStyle w:val="ListParagraph"/>
        <w:numPr>
          <w:ilvl w:val="2"/>
          <w:numId w:val="15"/>
        </w:numPr>
        <w:ind w:leftChars="0"/>
        <w:rPr>
          <w:rFonts w:asciiTheme="minorHAnsi" w:hAnsiTheme="minorHAnsi" w:cstheme="minorHAnsi"/>
          <w:sz w:val="22"/>
          <w:szCs w:val="28"/>
        </w:rPr>
      </w:pPr>
      <w:r w:rsidRPr="006F046D">
        <w:rPr>
          <w:rFonts w:asciiTheme="minorHAnsi" w:hAnsiTheme="minorHAnsi" w:cstheme="minorHAnsi"/>
          <w:sz w:val="22"/>
          <w:szCs w:val="28"/>
        </w:rPr>
        <w:t>COT recipient could use the shared COT to make PSSCH, PSFCH transmissions to any UEs or destination ids with a restriction that at least one transmission is to be made to the UE or source-destination id that provided the COT sharing indicator.</w:t>
      </w:r>
    </w:p>
    <w:p w14:paraId="156ACD04" w14:textId="05956E36" w:rsidR="007611FF" w:rsidRPr="006F046D" w:rsidRDefault="007611FF" w:rsidP="007611FF">
      <w:pPr>
        <w:pStyle w:val="ListParagraph"/>
        <w:numPr>
          <w:ilvl w:val="2"/>
          <w:numId w:val="15"/>
        </w:numPr>
        <w:ind w:leftChars="0"/>
        <w:rPr>
          <w:rFonts w:asciiTheme="minorHAnsi" w:hAnsiTheme="minorHAnsi" w:cstheme="minorHAnsi"/>
          <w:sz w:val="22"/>
          <w:szCs w:val="28"/>
        </w:rPr>
      </w:pPr>
      <w:r w:rsidRPr="006F046D">
        <w:rPr>
          <w:rFonts w:asciiTheme="minorHAnsi" w:hAnsiTheme="minorHAnsi" w:cstheme="minorHAnsi"/>
          <w:sz w:val="22"/>
          <w:szCs w:val="28"/>
        </w:rPr>
        <w:lastRenderedPageBreak/>
        <w:t>RAN1 needs to study mechanism for COT recipient to select one COT sharing indicator/COT donor.</w:t>
      </w:r>
    </w:p>
    <w:p w14:paraId="2C4A97BF" w14:textId="2332CB94" w:rsidR="00704B7F" w:rsidRPr="00750A67" w:rsidRDefault="00BC644A" w:rsidP="00F87C9C">
      <w:pPr>
        <w:pStyle w:val="ListParagraph"/>
        <w:numPr>
          <w:ilvl w:val="1"/>
          <w:numId w:val="15"/>
        </w:numPr>
        <w:ind w:leftChars="0"/>
        <w:rPr>
          <w:rFonts w:asciiTheme="minorHAnsi" w:hAnsiTheme="minorHAnsi" w:cstheme="minorHAnsi"/>
          <w:sz w:val="22"/>
          <w:szCs w:val="28"/>
        </w:rPr>
      </w:pPr>
      <w:r w:rsidRPr="00750A67">
        <w:rPr>
          <w:rFonts w:asciiTheme="minorHAnsi" w:hAnsiTheme="minorHAnsi" w:cstheme="minorHAnsi"/>
          <w:sz w:val="22"/>
          <w:szCs w:val="28"/>
        </w:rPr>
        <w:t>[17/xiaomi]</w:t>
      </w:r>
      <w:r w:rsidR="001137E4">
        <w:rPr>
          <w:rFonts w:asciiTheme="minorHAnsi" w:hAnsiTheme="minorHAnsi" w:cstheme="minorHAnsi"/>
          <w:sz w:val="22"/>
          <w:szCs w:val="28"/>
        </w:rPr>
        <w:t>, [10/Fujitsu]</w:t>
      </w:r>
      <w:r w:rsidR="00B14082">
        <w:rPr>
          <w:rFonts w:asciiTheme="minorHAnsi" w:hAnsiTheme="minorHAnsi" w:cstheme="minorHAnsi"/>
          <w:sz w:val="22"/>
          <w:szCs w:val="28"/>
        </w:rPr>
        <w:t xml:space="preserve"> [19/CMCC]</w:t>
      </w:r>
      <w:r w:rsidR="00704B7F" w:rsidRPr="00750A67">
        <w:rPr>
          <w:rFonts w:asciiTheme="minorHAnsi" w:hAnsiTheme="minorHAnsi" w:cstheme="minorHAnsi"/>
          <w:sz w:val="22"/>
          <w:szCs w:val="28"/>
        </w:rPr>
        <w:t xml:space="preserve">: </w:t>
      </w:r>
    </w:p>
    <w:p w14:paraId="3F9C0FCE" w14:textId="6917F46A" w:rsidR="00750A67" w:rsidRPr="00750A67" w:rsidRDefault="00750A67" w:rsidP="00704B7F">
      <w:pPr>
        <w:pStyle w:val="ListParagraph"/>
        <w:numPr>
          <w:ilvl w:val="2"/>
          <w:numId w:val="15"/>
        </w:numPr>
        <w:ind w:leftChars="0"/>
        <w:rPr>
          <w:rFonts w:asciiTheme="minorHAnsi" w:hAnsiTheme="minorHAnsi" w:cstheme="minorHAnsi"/>
          <w:sz w:val="22"/>
          <w:szCs w:val="28"/>
        </w:rPr>
      </w:pPr>
      <w:r w:rsidRPr="00750A67">
        <w:rPr>
          <w:rFonts w:asciiTheme="minorHAnsi" w:hAnsiTheme="minorHAnsi" w:cstheme="minorHAnsi"/>
          <w:sz w:val="22"/>
          <w:szCs w:val="28"/>
        </w:rPr>
        <w:t>Additional conditions including RSRP or distance threshold between the responding UE and the COT initiating UE can be defined to decide whether the responding UE can share the COT.</w:t>
      </w:r>
    </w:p>
    <w:p w14:paraId="34B7EC74" w14:textId="1BD858E7" w:rsidR="00F94C84" w:rsidRPr="00324AA2" w:rsidRDefault="00F94C84" w:rsidP="00F94C84">
      <w:pPr>
        <w:pStyle w:val="ListParagraph"/>
        <w:numPr>
          <w:ilvl w:val="2"/>
          <w:numId w:val="15"/>
        </w:numPr>
        <w:ind w:leftChars="0"/>
        <w:rPr>
          <w:rFonts w:asciiTheme="minorHAnsi" w:hAnsiTheme="minorHAnsi" w:cstheme="minorHAnsi"/>
          <w:sz w:val="22"/>
          <w:szCs w:val="28"/>
        </w:rPr>
      </w:pPr>
      <w:r w:rsidRPr="00324AA2">
        <w:rPr>
          <w:rFonts w:asciiTheme="minorHAnsi" w:hAnsiTheme="minorHAnsi" w:cstheme="minorHAnsi"/>
          <w:sz w:val="22"/>
          <w:szCs w:val="28"/>
        </w:rPr>
        <w:t>If the distance between a pair of UEs is less than or equal to the threshold, COT sharing can be performed between them;</w:t>
      </w:r>
    </w:p>
    <w:p w14:paraId="7297D208" w14:textId="22FB7E75" w:rsidR="00F94C84" w:rsidRPr="00324AA2" w:rsidRDefault="00F94C84" w:rsidP="00F94C84">
      <w:pPr>
        <w:pStyle w:val="ListParagraph"/>
        <w:numPr>
          <w:ilvl w:val="2"/>
          <w:numId w:val="15"/>
        </w:numPr>
        <w:ind w:leftChars="0"/>
        <w:rPr>
          <w:rFonts w:asciiTheme="minorHAnsi" w:hAnsiTheme="minorHAnsi" w:cstheme="minorHAnsi"/>
          <w:sz w:val="22"/>
          <w:szCs w:val="28"/>
        </w:rPr>
      </w:pPr>
      <w:r w:rsidRPr="00324AA2">
        <w:rPr>
          <w:rFonts w:asciiTheme="minorHAnsi" w:hAnsiTheme="minorHAnsi" w:cstheme="minorHAnsi"/>
          <w:sz w:val="22"/>
          <w:szCs w:val="28"/>
        </w:rPr>
        <w:t>Otherwise, SL transmission can only be performed after successfully initializing a new COT.</w:t>
      </w:r>
    </w:p>
    <w:p w14:paraId="041EA3D3" w14:textId="613124E3" w:rsidR="004715A1" w:rsidRPr="005140FD" w:rsidRDefault="004715A1" w:rsidP="00F87C9C">
      <w:pPr>
        <w:pStyle w:val="ListParagraph"/>
        <w:numPr>
          <w:ilvl w:val="1"/>
          <w:numId w:val="15"/>
        </w:numPr>
        <w:ind w:leftChars="0"/>
        <w:rPr>
          <w:rFonts w:asciiTheme="minorHAnsi" w:hAnsiTheme="minorHAnsi" w:cstheme="minorHAnsi"/>
          <w:sz w:val="22"/>
          <w:szCs w:val="28"/>
        </w:rPr>
      </w:pPr>
      <w:r w:rsidRPr="005140FD">
        <w:rPr>
          <w:rFonts w:asciiTheme="minorHAnsi" w:hAnsiTheme="minorHAnsi" w:cstheme="minorHAnsi"/>
          <w:sz w:val="22"/>
          <w:szCs w:val="28"/>
        </w:rPr>
        <w:t>[</w:t>
      </w:r>
      <w:r w:rsidR="007B2CAB" w:rsidRPr="005140FD">
        <w:rPr>
          <w:rFonts w:asciiTheme="minorHAnsi" w:hAnsiTheme="minorHAnsi" w:cstheme="minorHAnsi"/>
          <w:sz w:val="22"/>
          <w:szCs w:val="28"/>
        </w:rPr>
        <w:t>23/MediaTek</w:t>
      </w:r>
      <w:r w:rsidRPr="005140FD">
        <w:rPr>
          <w:rFonts w:asciiTheme="minorHAnsi" w:hAnsiTheme="minorHAnsi" w:cstheme="minorHAnsi"/>
          <w:sz w:val="22"/>
          <w:szCs w:val="28"/>
        </w:rPr>
        <w:t>]: For COT sharing, it may be more efficient to utilize the shared COT in the style of scheduling (e.g., multiple UEs can be scheduled by the COT initiator to use a shared COT in the way of FDM).</w:t>
      </w:r>
    </w:p>
    <w:p w14:paraId="2AF1FA8B" w14:textId="5ACB2C3F" w:rsidR="003D7C5D" w:rsidRPr="00E126B2" w:rsidRDefault="003D7C5D" w:rsidP="003D7C5D">
      <w:pPr>
        <w:pStyle w:val="ListParagraph"/>
        <w:numPr>
          <w:ilvl w:val="1"/>
          <w:numId w:val="15"/>
        </w:numPr>
        <w:ind w:leftChars="0"/>
        <w:rPr>
          <w:rFonts w:asciiTheme="minorHAnsi" w:hAnsiTheme="minorHAnsi" w:cstheme="minorHAnsi"/>
          <w:sz w:val="22"/>
          <w:szCs w:val="22"/>
        </w:rPr>
      </w:pPr>
      <w:r w:rsidRPr="00E126B2">
        <w:rPr>
          <w:rFonts w:asciiTheme="minorHAnsi" w:hAnsiTheme="minorHAnsi" w:cstheme="minorHAnsi"/>
          <w:sz w:val="22"/>
          <w:szCs w:val="22"/>
        </w:rPr>
        <w:t>[</w:t>
      </w:r>
      <w:r w:rsidR="007B2CAB" w:rsidRPr="00E126B2">
        <w:rPr>
          <w:rFonts w:asciiTheme="minorHAnsi" w:hAnsiTheme="minorHAnsi" w:cstheme="minorHAnsi"/>
          <w:sz w:val="22"/>
          <w:szCs w:val="22"/>
        </w:rPr>
        <w:t>31/Panasonic</w:t>
      </w:r>
      <w:r w:rsidRPr="00E126B2">
        <w:rPr>
          <w:rFonts w:asciiTheme="minorHAnsi" w:hAnsiTheme="minorHAnsi" w:cstheme="minorHAnsi"/>
          <w:sz w:val="22"/>
          <w:szCs w:val="22"/>
        </w:rPr>
        <w:t>]</w:t>
      </w:r>
    </w:p>
    <w:p w14:paraId="6518C955" w14:textId="62AB208D" w:rsidR="00E126B2" w:rsidRDefault="00E126B2" w:rsidP="003D7C5D">
      <w:pPr>
        <w:pStyle w:val="ListParagraph"/>
        <w:numPr>
          <w:ilvl w:val="2"/>
          <w:numId w:val="15"/>
        </w:numPr>
        <w:ind w:leftChars="0"/>
        <w:rPr>
          <w:rFonts w:asciiTheme="minorHAnsi" w:hAnsiTheme="minorHAnsi" w:cstheme="minorHAnsi"/>
          <w:sz w:val="22"/>
          <w:szCs w:val="22"/>
        </w:rPr>
      </w:pPr>
      <w:r w:rsidRPr="00E126B2">
        <w:rPr>
          <w:rFonts w:asciiTheme="minorHAnsi" w:hAnsiTheme="minorHAnsi" w:cstheme="minorHAnsi"/>
          <w:sz w:val="22"/>
          <w:szCs w:val="22"/>
        </w:rPr>
        <w:t>If the COT is only used for transmission and reception of the COT initiating UE, only unicast is supported in UE-to-UE COT sharing.</w:t>
      </w:r>
    </w:p>
    <w:p w14:paraId="42953051" w14:textId="0A85B878" w:rsidR="00E126B2" w:rsidRDefault="00E126B2" w:rsidP="00E126B2">
      <w:pPr>
        <w:pStyle w:val="ListParagraph"/>
        <w:numPr>
          <w:ilvl w:val="2"/>
          <w:numId w:val="15"/>
        </w:numPr>
        <w:ind w:leftChars="0"/>
        <w:rPr>
          <w:rFonts w:asciiTheme="minorHAnsi" w:hAnsiTheme="minorHAnsi" w:cstheme="minorHAnsi"/>
          <w:sz w:val="22"/>
          <w:szCs w:val="22"/>
        </w:rPr>
      </w:pPr>
      <w:r w:rsidRPr="00E126B2">
        <w:rPr>
          <w:rFonts w:asciiTheme="minorHAnsi" w:hAnsiTheme="minorHAnsi" w:cstheme="minorHAnsi"/>
          <w:sz w:val="22"/>
          <w:szCs w:val="22"/>
        </w:rPr>
        <w:t>If  the COT could be used for transmission from a responding UE to other than the COT initiating UE, the UE-to-UE COT sharing should be allowed for any SL UEs, any cast types in a resource pool.</w:t>
      </w:r>
    </w:p>
    <w:p w14:paraId="47027E3A" w14:textId="210BDA8C" w:rsidR="00E126B2" w:rsidRPr="00E126B2" w:rsidRDefault="00E126B2" w:rsidP="00E126B2">
      <w:pPr>
        <w:pStyle w:val="ListParagraph"/>
        <w:numPr>
          <w:ilvl w:val="2"/>
          <w:numId w:val="15"/>
        </w:numPr>
        <w:ind w:leftChars="0"/>
        <w:rPr>
          <w:rFonts w:asciiTheme="minorHAnsi" w:hAnsiTheme="minorHAnsi" w:cstheme="minorHAnsi"/>
          <w:sz w:val="22"/>
          <w:szCs w:val="22"/>
        </w:rPr>
      </w:pPr>
      <w:r w:rsidRPr="00E126B2">
        <w:rPr>
          <w:rFonts w:asciiTheme="minorHAnsi" w:hAnsiTheme="minorHAnsi" w:cstheme="minorHAnsi"/>
          <w:sz w:val="22"/>
          <w:szCs w:val="22"/>
        </w:rPr>
        <w:t>When UE detects the SCI in N-1 slot and remaining COT duration &gt;1, Type 2 channel access and CP extension are used for slot N within the COT for a COT sharing.</w:t>
      </w:r>
    </w:p>
    <w:p w14:paraId="03753F61" w14:textId="7ACAF33F" w:rsidR="00F82203" w:rsidRPr="00AD67FC" w:rsidRDefault="00F82203" w:rsidP="000D73AC">
      <w:pPr>
        <w:pStyle w:val="ListParagraph"/>
        <w:numPr>
          <w:ilvl w:val="1"/>
          <w:numId w:val="15"/>
        </w:numPr>
        <w:ind w:leftChars="0"/>
        <w:rPr>
          <w:rFonts w:asciiTheme="minorHAnsi" w:hAnsiTheme="minorHAnsi" w:cstheme="minorHAnsi"/>
          <w:sz w:val="22"/>
          <w:szCs w:val="22"/>
        </w:rPr>
      </w:pPr>
      <w:r w:rsidRPr="00AD67FC">
        <w:rPr>
          <w:rFonts w:asciiTheme="minorHAnsi" w:hAnsiTheme="minorHAnsi" w:cstheme="minorHAnsi"/>
          <w:sz w:val="22"/>
          <w:szCs w:val="22"/>
        </w:rPr>
        <w:t>[</w:t>
      </w:r>
      <w:r w:rsidR="007B2CAB" w:rsidRPr="00AD67FC">
        <w:rPr>
          <w:rFonts w:asciiTheme="minorHAnsi" w:hAnsiTheme="minorHAnsi" w:cstheme="minorHAnsi"/>
          <w:sz w:val="22"/>
          <w:szCs w:val="22"/>
        </w:rPr>
        <w:t>25/Apple</w:t>
      </w:r>
      <w:r w:rsidRPr="00AD67FC">
        <w:rPr>
          <w:rFonts w:asciiTheme="minorHAnsi" w:hAnsiTheme="minorHAnsi" w:cstheme="minorHAnsi"/>
          <w:sz w:val="22"/>
          <w:szCs w:val="22"/>
        </w:rPr>
        <w:t>]</w:t>
      </w:r>
    </w:p>
    <w:p w14:paraId="14B21B80" w14:textId="4C43777A" w:rsidR="00AD67FC" w:rsidRDefault="00AD67FC" w:rsidP="00F82203">
      <w:pPr>
        <w:pStyle w:val="ListParagraph"/>
        <w:numPr>
          <w:ilvl w:val="2"/>
          <w:numId w:val="15"/>
        </w:numPr>
        <w:ind w:leftChars="0"/>
        <w:rPr>
          <w:rFonts w:asciiTheme="minorHAnsi" w:hAnsiTheme="minorHAnsi" w:cstheme="minorHAnsi"/>
          <w:sz w:val="22"/>
          <w:szCs w:val="22"/>
        </w:rPr>
      </w:pPr>
      <w:r w:rsidRPr="00AD67FC">
        <w:rPr>
          <w:rFonts w:asciiTheme="minorHAnsi" w:hAnsiTheme="minorHAnsi" w:cstheme="minorHAnsi"/>
          <w:sz w:val="22"/>
          <w:szCs w:val="22"/>
        </w:rPr>
        <w:t>The transmission power within the shared SL-COT should be limited by the power used in EDT calculation for CCA.</w:t>
      </w:r>
    </w:p>
    <w:p w14:paraId="6222636A" w14:textId="64D94016" w:rsidR="00B00116" w:rsidRPr="00B00116" w:rsidRDefault="00B00116" w:rsidP="00197B61">
      <w:pPr>
        <w:pStyle w:val="ListParagraph"/>
        <w:numPr>
          <w:ilvl w:val="1"/>
          <w:numId w:val="15"/>
        </w:numPr>
        <w:ind w:leftChars="0"/>
        <w:rPr>
          <w:rFonts w:asciiTheme="minorHAnsi" w:hAnsiTheme="minorHAnsi" w:cstheme="minorHAnsi"/>
          <w:sz w:val="22"/>
          <w:szCs w:val="22"/>
        </w:rPr>
      </w:pPr>
      <w:r w:rsidRPr="00B00116">
        <w:rPr>
          <w:rFonts w:asciiTheme="minorHAnsi" w:hAnsiTheme="minorHAnsi" w:cstheme="minorHAnsi"/>
          <w:sz w:val="22"/>
          <w:szCs w:val="28"/>
        </w:rPr>
        <w:t>[30/Sharp]</w:t>
      </w:r>
      <w:r>
        <w:rPr>
          <w:rFonts w:asciiTheme="minorHAnsi" w:hAnsiTheme="minorHAnsi" w:cstheme="minorHAnsi"/>
          <w:sz w:val="22"/>
          <w:szCs w:val="28"/>
        </w:rPr>
        <w:t>:</w:t>
      </w:r>
    </w:p>
    <w:p w14:paraId="7D7C7AA8" w14:textId="065D5C9C" w:rsidR="00B00116" w:rsidRPr="00B00116" w:rsidRDefault="00B00116" w:rsidP="00B00116">
      <w:pPr>
        <w:pStyle w:val="ListParagraph"/>
        <w:numPr>
          <w:ilvl w:val="2"/>
          <w:numId w:val="15"/>
        </w:numPr>
        <w:ind w:leftChars="0"/>
        <w:rPr>
          <w:rFonts w:asciiTheme="minorHAnsi" w:hAnsiTheme="minorHAnsi" w:cstheme="minorHAnsi"/>
          <w:bCs/>
          <w:sz w:val="22"/>
          <w:szCs w:val="22"/>
        </w:rPr>
      </w:pPr>
      <w:r w:rsidRPr="00B00116">
        <w:rPr>
          <w:rFonts w:asciiTheme="minorHAnsi" w:hAnsiTheme="minorHAnsi" w:cstheme="minorHAnsi"/>
          <w:bCs/>
          <w:color w:val="000000" w:themeColor="text1"/>
          <w:sz w:val="22"/>
          <w:szCs w:val="22"/>
          <w:lang w:val="en-US"/>
        </w:rPr>
        <w:t>A shared COT corresponds to one of the following in the frequency domain,</w:t>
      </w:r>
    </w:p>
    <w:p w14:paraId="46B67C07" w14:textId="6E6CBA3B" w:rsidR="00B00116" w:rsidRPr="00B00116" w:rsidRDefault="00B00116" w:rsidP="00B00116">
      <w:pPr>
        <w:pStyle w:val="ListParagraph"/>
        <w:numPr>
          <w:ilvl w:val="3"/>
          <w:numId w:val="15"/>
        </w:numPr>
        <w:ind w:leftChars="0"/>
        <w:rPr>
          <w:rFonts w:asciiTheme="minorHAnsi" w:hAnsiTheme="minorHAnsi" w:cstheme="minorHAnsi"/>
          <w:bCs/>
          <w:sz w:val="22"/>
          <w:szCs w:val="22"/>
        </w:rPr>
      </w:pPr>
      <w:r w:rsidRPr="00B00116">
        <w:rPr>
          <w:rFonts w:asciiTheme="minorHAnsi" w:eastAsiaTheme="minorEastAsia" w:hAnsiTheme="minorHAnsi" w:cstheme="minorHAnsi"/>
          <w:bCs/>
          <w:sz w:val="22"/>
          <w:szCs w:val="22"/>
          <w:lang w:eastAsia="zh-CN"/>
        </w:rPr>
        <w:t xml:space="preserve">All frequency resources in </w:t>
      </w:r>
      <w:r w:rsidRPr="00B00116">
        <w:rPr>
          <w:rFonts w:asciiTheme="minorHAnsi" w:eastAsiaTheme="minorEastAsia" w:hAnsiTheme="minorHAnsi" w:cstheme="minorHAnsi"/>
          <w:bCs/>
          <w:color w:val="000000" w:themeColor="text1"/>
          <w:sz w:val="22"/>
          <w:szCs w:val="22"/>
          <w:lang w:eastAsia="zh-CN"/>
        </w:rPr>
        <w:t>the</w:t>
      </w:r>
      <w:r w:rsidRPr="00B00116">
        <w:rPr>
          <w:rFonts w:asciiTheme="minorHAnsi" w:eastAsiaTheme="minorEastAsia" w:hAnsiTheme="minorHAnsi" w:cstheme="minorHAnsi"/>
          <w:bCs/>
          <w:sz w:val="22"/>
          <w:szCs w:val="22"/>
          <w:lang w:eastAsia="zh-CN"/>
        </w:rPr>
        <w:t xml:space="preserve"> resource pool.</w:t>
      </w:r>
    </w:p>
    <w:p w14:paraId="5C315315" w14:textId="6ED72AAE" w:rsidR="00B00116" w:rsidRPr="00B00116" w:rsidRDefault="00B00116" w:rsidP="00B00116">
      <w:pPr>
        <w:pStyle w:val="ListParagraph"/>
        <w:numPr>
          <w:ilvl w:val="3"/>
          <w:numId w:val="15"/>
        </w:numPr>
        <w:ind w:leftChars="0"/>
        <w:rPr>
          <w:rFonts w:asciiTheme="minorHAnsi" w:hAnsiTheme="minorHAnsi" w:cstheme="minorHAnsi"/>
          <w:bCs/>
          <w:sz w:val="22"/>
          <w:szCs w:val="22"/>
        </w:rPr>
      </w:pPr>
      <w:r w:rsidRPr="00B00116">
        <w:rPr>
          <w:rFonts w:asciiTheme="minorHAnsi" w:eastAsiaTheme="minorEastAsia" w:hAnsiTheme="minorHAnsi" w:cstheme="minorHAnsi"/>
          <w:bCs/>
          <w:sz w:val="22"/>
          <w:szCs w:val="22"/>
          <w:lang w:eastAsia="zh-CN"/>
        </w:rPr>
        <w:t xml:space="preserve">The channel(s) on which the COT </w:t>
      </w:r>
      <w:r w:rsidRPr="00B00116">
        <w:rPr>
          <w:rFonts w:asciiTheme="minorHAnsi" w:eastAsiaTheme="minorEastAsia" w:hAnsiTheme="minorHAnsi" w:cstheme="minorHAnsi"/>
          <w:bCs/>
          <w:color w:val="000000" w:themeColor="text1"/>
          <w:sz w:val="22"/>
          <w:szCs w:val="22"/>
          <w:lang w:eastAsia="zh-CN"/>
        </w:rPr>
        <w:t>sharing</w:t>
      </w:r>
      <w:r w:rsidRPr="00B00116">
        <w:rPr>
          <w:rFonts w:asciiTheme="minorHAnsi" w:eastAsiaTheme="minorEastAsia" w:hAnsiTheme="minorHAnsi" w:cstheme="minorHAnsi"/>
          <w:bCs/>
          <w:sz w:val="22"/>
          <w:szCs w:val="22"/>
          <w:lang w:eastAsia="zh-CN"/>
        </w:rPr>
        <w:t xml:space="preserve"> indication is transmitted.</w:t>
      </w:r>
    </w:p>
    <w:p w14:paraId="6324BF97" w14:textId="089C6962" w:rsidR="00B00116" w:rsidRPr="00B00116" w:rsidRDefault="00B00116" w:rsidP="00B00116">
      <w:pPr>
        <w:pStyle w:val="ListParagraph"/>
        <w:numPr>
          <w:ilvl w:val="2"/>
          <w:numId w:val="15"/>
        </w:numPr>
        <w:ind w:leftChars="0"/>
        <w:rPr>
          <w:rFonts w:asciiTheme="minorHAnsi" w:hAnsiTheme="minorHAnsi" w:cstheme="minorHAnsi"/>
          <w:bCs/>
          <w:sz w:val="22"/>
          <w:szCs w:val="22"/>
        </w:rPr>
      </w:pPr>
      <w:r w:rsidRPr="00B00116">
        <w:rPr>
          <w:rFonts w:asciiTheme="minorHAnsi" w:hAnsiTheme="minorHAnsi" w:cstheme="minorHAnsi"/>
          <w:bCs/>
          <w:color w:val="000000" w:themeColor="text1"/>
          <w:sz w:val="22"/>
          <w:szCs w:val="22"/>
          <w:lang w:val="en-US"/>
        </w:rPr>
        <w:t>A UE with a TB not satisfying the conditions to use an indicated shared COT should perform resource re-selection for the TB in order to replace any previously selected resources within the shared COT with resources outside of the shared COT.</w:t>
      </w:r>
    </w:p>
    <w:p w14:paraId="534B63AD" w14:textId="216606DF" w:rsidR="00197B61" w:rsidRDefault="00197B61" w:rsidP="00197B61">
      <w:pPr>
        <w:pStyle w:val="ListParagraph"/>
        <w:numPr>
          <w:ilvl w:val="1"/>
          <w:numId w:val="15"/>
        </w:numPr>
        <w:ind w:leftChars="0"/>
        <w:rPr>
          <w:rFonts w:asciiTheme="minorHAnsi" w:hAnsiTheme="minorHAnsi" w:cstheme="minorHAnsi"/>
          <w:sz w:val="22"/>
          <w:szCs w:val="22"/>
        </w:rPr>
      </w:pPr>
      <w:r>
        <w:rPr>
          <w:rFonts w:asciiTheme="minorHAnsi" w:hAnsiTheme="minorHAnsi" w:cstheme="minorHAnsi"/>
          <w:sz w:val="22"/>
          <w:szCs w:val="22"/>
        </w:rPr>
        <w:t>[35/BOSCH]</w:t>
      </w:r>
    </w:p>
    <w:p w14:paraId="45A00D46" w14:textId="59B892F9" w:rsidR="00197B61" w:rsidRPr="00AD67FC" w:rsidRDefault="00197B61" w:rsidP="00197B61">
      <w:pPr>
        <w:pStyle w:val="ListParagraph"/>
        <w:numPr>
          <w:ilvl w:val="2"/>
          <w:numId w:val="15"/>
        </w:numPr>
        <w:ind w:leftChars="0"/>
        <w:rPr>
          <w:rFonts w:asciiTheme="minorHAnsi" w:hAnsiTheme="minorHAnsi" w:cstheme="minorHAnsi"/>
          <w:sz w:val="22"/>
          <w:szCs w:val="22"/>
        </w:rPr>
      </w:pPr>
      <w:r w:rsidRPr="00197B61">
        <w:rPr>
          <w:rFonts w:asciiTheme="minorHAnsi" w:hAnsiTheme="minorHAnsi" w:cstheme="minorHAnsi"/>
          <w:sz w:val="22"/>
          <w:szCs w:val="22"/>
        </w:rPr>
        <w:t>For UE sharing a COT initiated by another UE, study whether multiple switching point could be supported. FFS which Type 2 LBT can be supported.</w:t>
      </w:r>
    </w:p>
    <w:p w14:paraId="74EA854A" w14:textId="0E9ADA5C" w:rsidR="00092851" w:rsidRPr="002E5E08" w:rsidRDefault="00092851" w:rsidP="00092851">
      <w:pPr>
        <w:pStyle w:val="ListParagraph"/>
        <w:numPr>
          <w:ilvl w:val="1"/>
          <w:numId w:val="15"/>
        </w:numPr>
        <w:ind w:leftChars="0"/>
        <w:rPr>
          <w:rFonts w:asciiTheme="minorHAnsi" w:hAnsiTheme="minorHAnsi" w:cstheme="minorHAnsi"/>
          <w:sz w:val="22"/>
          <w:szCs w:val="22"/>
        </w:rPr>
      </w:pPr>
      <w:r w:rsidRPr="002E5E08">
        <w:rPr>
          <w:rFonts w:asciiTheme="minorHAnsi" w:eastAsia="Times New Roman" w:hAnsiTheme="minorHAnsi" w:cstheme="minorHAnsi"/>
          <w:sz w:val="22"/>
          <w:szCs w:val="22"/>
          <w:lang w:val="en-US" w:eastAsia="zh-CN"/>
        </w:rPr>
        <w:t>[3</w:t>
      </w:r>
      <w:r w:rsidR="00C2369F" w:rsidRPr="002E5E08">
        <w:rPr>
          <w:rFonts w:asciiTheme="minorHAnsi" w:eastAsia="Times New Roman" w:hAnsiTheme="minorHAnsi" w:cstheme="minorHAnsi"/>
          <w:sz w:val="22"/>
          <w:szCs w:val="22"/>
          <w:lang w:val="en-US" w:eastAsia="zh-CN"/>
        </w:rPr>
        <w:t>7</w:t>
      </w:r>
      <w:r w:rsidRPr="002E5E08">
        <w:rPr>
          <w:rFonts w:asciiTheme="minorHAnsi" w:eastAsia="Times New Roman" w:hAnsiTheme="minorHAnsi" w:cstheme="minorHAnsi"/>
          <w:sz w:val="22"/>
          <w:szCs w:val="22"/>
          <w:lang w:val="en-US" w:eastAsia="zh-CN"/>
        </w:rPr>
        <w:t xml:space="preserve">/WILUS] </w:t>
      </w:r>
      <w:r w:rsidRPr="002E5E08">
        <w:rPr>
          <w:rFonts w:asciiTheme="minorHAnsi" w:hAnsiTheme="minorHAnsi" w:cstheme="minorHAnsi"/>
          <w:sz w:val="22"/>
        </w:rPr>
        <w:t>At least for the unicast/groupcast SL transmission with HARQ-ACK enabled, UE-to-UE COT sharing should be supported in Rel-18 to guarantee PSFCH transmission opportunity to a receiver UE.</w:t>
      </w:r>
    </w:p>
    <w:p w14:paraId="3EA8AB90" w14:textId="16E3931A" w:rsidR="00092851" w:rsidRPr="002E5E08" w:rsidRDefault="00092851" w:rsidP="00092851">
      <w:pPr>
        <w:pStyle w:val="ListParagraph"/>
        <w:numPr>
          <w:ilvl w:val="2"/>
          <w:numId w:val="15"/>
        </w:numPr>
        <w:ind w:leftChars="0"/>
        <w:rPr>
          <w:rFonts w:asciiTheme="minorHAnsi" w:hAnsiTheme="minorHAnsi" w:cstheme="minorHAnsi"/>
          <w:sz w:val="22"/>
          <w:szCs w:val="22"/>
        </w:rPr>
      </w:pPr>
      <w:r w:rsidRPr="002E5E08">
        <w:rPr>
          <w:rFonts w:asciiTheme="minorHAnsi" w:hAnsiTheme="minorHAnsi" w:cstheme="minorHAnsi"/>
          <w:sz w:val="22"/>
        </w:rPr>
        <w:t>The UE-to-UE COT sharing may be desirable to be applied from PSCCH/PSSCH transmission to the nearest PSFCH transmission after channel access with a minimum period for UE-to-UE COT sharing.</w:t>
      </w:r>
    </w:p>
    <w:p w14:paraId="6E8F9A08" w14:textId="4937F9C1" w:rsidR="000D73AC" w:rsidRPr="000E619F" w:rsidRDefault="000D73AC" w:rsidP="000D73AC">
      <w:pPr>
        <w:pStyle w:val="ListParagraph"/>
        <w:numPr>
          <w:ilvl w:val="1"/>
          <w:numId w:val="15"/>
        </w:numPr>
        <w:ind w:leftChars="0"/>
        <w:rPr>
          <w:rFonts w:asciiTheme="minorHAnsi" w:hAnsiTheme="minorHAnsi" w:cstheme="minorHAnsi"/>
          <w:color w:val="000000" w:themeColor="text1"/>
          <w:sz w:val="24"/>
          <w:szCs w:val="32"/>
        </w:rPr>
      </w:pPr>
      <w:r w:rsidRPr="000E619F">
        <w:rPr>
          <w:rFonts w:asciiTheme="minorHAnsi" w:hAnsiTheme="minorHAnsi" w:cstheme="minorHAnsi"/>
          <w:color w:val="000000" w:themeColor="text1"/>
          <w:sz w:val="22"/>
          <w:szCs w:val="28"/>
        </w:rPr>
        <w:t>COT sharing for PSFCH and S-SSB</w:t>
      </w:r>
    </w:p>
    <w:p w14:paraId="5E5D7D94" w14:textId="24182085" w:rsidR="009B03B9" w:rsidRDefault="009B03B9" w:rsidP="000D73AC">
      <w:pPr>
        <w:pStyle w:val="ListParagraph"/>
        <w:numPr>
          <w:ilvl w:val="2"/>
          <w:numId w:val="15"/>
        </w:numPr>
        <w:ind w:leftChars="0"/>
        <w:rPr>
          <w:rFonts w:asciiTheme="minorHAnsi" w:hAnsiTheme="minorHAnsi" w:cstheme="minorHAnsi"/>
          <w:color w:val="000000" w:themeColor="text1"/>
          <w:sz w:val="22"/>
          <w:szCs w:val="28"/>
        </w:rPr>
      </w:pPr>
      <w:r w:rsidRPr="009B03B9">
        <w:rPr>
          <w:rFonts w:asciiTheme="minorHAnsi" w:hAnsiTheme="minorHAnsi" w:cstheme="minorHAnsi"/>
          <w:sz w:val="22"/>
          <w:szCs w:val="28"/>
        </w:rPr>
        <w:t>[7/ZTE, SC]</w:t>
      </w:r>
      <w:r>
        <w:rPr>
          <w:rFonts w:asciiTheme="minorHAnsi" w:hAnsiTheme="minorHAnsi" w:cstheme="minorHAnsi"/>
          <w:sz w:val="22"/>
          <w:szCs w:val="28"/>
        </w:rPr>
        <w:t xml:space="preserve">: </w:t>
      </w:r>
      <w:r w:rsidRPr="009B03B9">
        <w:rPr>
          <w:rFonts w:asciiTheme="minorHAnsi" w:hAnsiTheme="minorHAnsi" w:cstheme="minorHAnsi"/>
          <w:sz w:val="22"/>
          <w:szCs w:val="28"/>
        </w:rPr>
        <w:t>At least for PSFCH transmission, UE-UE COT sharing is not restricted by the CAPC/destination ID.</w:t>
      </w:r>
    </w:p>
    <w:p w14:paraId="386A4E84" w14:textId="6679812D" w:rsidR="009623BA" w:rsidRDefault="009623BA" w:rsidP="000D73AC">
      <w:pPr>
        <w:pStyle w:val="ListParagraph"/>
        <w:numPr>
          <w:ilvl w:val="2"/>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[32/DCM]: </w:t>
      </w:r>
      <w:r w:rsidRPr="009623BA">
        <w:rPr>
          <w:rFonts w:asciiTheme="minorHAnsi" w:hAnsiTheme="minorHAnsi" w:cstheme="minorHAnsi"/>
          <w:color w:val="000000" w:themeColor="text1"/>
          <w:sz w:val="22"/>
          <w:szCs w:val="28"/>
        </w:rPr>
        <w:t>When PSFCH or S-SSB is received from the COT initiating UE in a COT, the UE becomes a responding UE.</w:t>
      </w:r>
    </w:p>
    <w:p w14:paraId="232115BD" w14:textId="1CA3963E" w:rsidR="009623BA" w:rsidRPr="009623BA" w:rsidRDefault="009623BA" w:rsidP="009623BA">
      <w:pPr>
        <w:pStyle w:val="ListParagraph"/>
        <w:numPr>
          <w:ilvl w:val="3"/>
          <w:numId w:val="15"/>
        </w:numPr>
        <w:ind w:leftChars="0"/>
        <w:rPr>
          <w:rFonts w:asciiTheme="minorHAnsi" w:hAnsiTheme="minorHAnsi" w:cstheme="minorHAnsi"/>
          <w:color w:val="000000" w:themeColor="text1"/>
          <w:sz w:val="22"/>
          <w:szCs w:val="28"/>
        </w:rPr>
      </w:pPr>
      <w:r w:rsidRPr="009623BA">
        <w:rPr>
          <w:rFonts w:asciiTheme="minorHAnsi" w:hAnsiTheme="minorHAnsi" w:cstheme="minorHAnsi"/>
          <w:color w:val="000000" w:themeColor="text1"/>
          <w:sz w:val="22"/>
          <w:szCs w:val="28"/>
        </w:rPr>
        <w:t xml:space="preserve">Study details of COT initiation by PSFCH or S-SSB TX and </w:t>
      </w:r>
      <w:r w:rsidRPr="009623BA">
        <w:rPr>
          <w:rFonts w:asciiTheme="minorHAnsi" w:eastAsiaTheme="minorEastAsia" w:hAnsiTheme="minorHAnsi" w:cstheme="minorHAnsi"/>
          <w:iCs/>
          <w:sz w:val="22"/>
          <w:lang w:val="en-US"/>
        </w:rPr>
        <w:t>how to acquire information of the COT.</w:t>
      </w:r>
    </w:p>
    <w:p w14:paraId="1CCDFD2F" w14:textId="4ADA6BE7" w:rsidR="000D73AC" w:rsidRPr="000E619F" w:rsidRDefault="000D73AC" w:rsidP="000D73AC">
      <w:pPr>
        <w:pStyle w:val="ListParagraph"/>
        <w:numPr>
          <w:ilvl w:val="2"/>
          <w:numId w:val="15"/>
        </w:numPr>
        <w:ind w:leftChars="0"/>
        <w:rPr>
          <w:rFonts w:asciiTheme="minorHAnsi" w:hAnsiTheme="minorHAnsi" w:cstheme="minorHAnsi"/>
          <w:color w:val="000000" w:themeColor="text1"/>
          <w:sz w:val="22"/>
          <w:szCs w:val="28"/>
        </w:rPr>
      </w:pPr>
      <w:r w:rsidRPr="000E619F">
        <w:rPr>
          <w:rFonts w:asciiTheme="minorHAnsi" w:hAnsiTheme="minorHAnsi" w:cstheme="minorHAnsi"/>
          <w:color w:val="000000" w:themeColor="text1"/>
          <w:sz w:val="22"/>
          <w:szCs w:val="28"/>
        </w:rPr>
        <w:t>[</w:t>
      </w:r>
      <w:r w:rsidR="007B2CAB" w:rsidRPr="000E619F">
        <w:rPr>
          <w:rFonts w:asciiTheme="minorHAnsi" w:hAnsiTheme="minorHAnsi" w:cstheme="minorHAnsi"/>
          <w:color w:val="000000" w:themeColor="text1"/>
          <w:sz w:val="22"/>
          <w:szCs w:val="28"/>
        </w:rPr>
        <w:t>33/QC</w:t>
      </w:r>
      <w:r w:rsidRPr="000E619F">
        <w:rPr>
          <w:rFonts w:asciiTheme="minorHAnsi" w:hAnsiTheme="minorHAnsi" w:cstheme="minorHAnsi"/>
          <w:color w:val="000000" w:themeColor="text1"/>
          <w:sz w:val="22"/>
          <w:szCs w:val="28"/>
        </w:rPr>
        <w:t xml:space="preserve">]: A UE can send PSFCH or S-SSB with COT sharing in a configured opportunity based on one of the following alternatives: </w:t>
      </w:r>
    </w:p>
    <w:p w14:paraId="58AF8839" w14:textId="77777777" w:rsidR="000D73AC" w:rsidRPr="000E619F" w:rsidRDefault="000D73AC" w:rsidP="000D73AC">
      <w:pPr>
        <w:pStyle w:val="ListParagraph"/>
        <w:numPr>
          <w:ilvl w:val="3"/>
          <w:numId w:val="15"/>
        </w:numPr>
        <w:ind w:leftChars="0"/>
        <w:rPr>
          <w:rFonts w:asciiTheme="minorHAnsi" w:hAnsiTheme="minorHAnsi" w:cstheme="minorHAnsi"/>
          <w:color w:val="000000" w:themeColor="text1"/>
          <w:sz w:val="22"/>
          <w:szCs w:val="28"/>
        </w:rPr>
      </w:pPr>
      <w:r w:rsidRPr="000E619F">
        <w:rPr>
          <w:rFonts w:asciiTheme="minorHAnsi" w:hAnsiTheme="minorHAnsi" w:cstheme="minorHAnsi"/>
          <w:color w:val="000000" w:themeColor="text1"/>
          <w:sz w:val="22"/>
          <w:szCs w:val="28"/>
        </w:rPr>
        <w:t xml:space="preserve">a) the UE is a destination of the initiator over the COT duration (needs to receive COT-SI), or </w:t>
      </w:r>
    </w:p>
    <w:p w14:paraId="2A2C7A5D" w14:textId="77777777" w:rsidR="000D73AC" w:rsidRPr="000E619F" w:rsidRDefault="000D73AC" w:rsidP="000D73AC">
      <w:pPr>
        <w:pStyle w:val="ListParagraph"/>
        <w:numPr>
          <w:ilvl w:val="3"/>
          <w:numId w:val="15"/>
        </w:numPr>
        <w:ind w:leftChars="0"/>
        <w:rPr>
          <w:rFonts w:asciiTheme="minorHAnsi" w:hAnsiTheme="minorHAnsi" w:cstheme="minorHAnsi"/>
          <w:color w:val="000000" w:themeColor="text1"/>
          <w:sz w:val="22"/>
          <w:szCs w:val="28"/>
        </w:rPr>
      </w:pPr>
      <w:r w:rsidRPr="000E619F">
        <w:rPr>
          <w:rFonts w:asciiTheme="minorHAnsi" w:hAnsiTheme="minorHAnsi" w:cstheme="minorHAnsi"/>
          <w:color w:val="000000" w:themeColor="text1"/>
          <w:sz w:val="22"/>
          <w:szCs w:val="28"/>
        </w:rPr>
        <w:t xml:space="preserve">b) the UE is indicated sharing for the specific transmission opportunity via SCI or, </w:t>
      </w:r>
    </w:p>
    <w:p w14:paraId="7275CAA8" w14:textId="7BA2A8A3" w:rsidR="000D73AC" w:rsidRPr="000E619F" w:rsidRDefault="000D73AC" w:rsidP="000D73AC">
      <w:pPr>
        <w:pStyle w:val="ListParagraph"/>
        <w:numPr>
          <w:ilvl w:val="3"/>
          <w:numId w:val="15"/>
        </w:numPr>
        <w:ind w:leftChars="0"/>
        <w:rPr>
          <w:rFonts w:asciiTheme="minorHAnsi" w:hAnsiTheme="minorHAnsi" w:cstheme="minorHAnsi"/>
          <w:color w:val="000000" w:themeColor="text1"/>
          <w:sz w:val="22"/>
          <w:szCs w:val="28"/>
        </w:rPr>
      </w:pPr>
      <w:r w:rsidRPr="000E619F">
        <w:rPr>
          <w:rFonts w:asciiTheme="minorHAnsi" w:hAnsiTheme="minorHAnsi" w:cstheme="minorHAnsi"/>
          <w:color w:val="000000" w:themeColor="text1"/>
          <w:sz w:val="22"/>
          <w:szCs w:val="28"/>
        </w:rPr>
        <w:lastRenderedPageBreak/>
        <w:t>c) the opportunity falls within an ongoing COT (needs to receive COT-SI).</w:t>
      </w:r>
    </w:p>
    <w:p w14:paraId="032A51DE" w14:textId="77777777" w:rsidR="009166C2" w:rsidRPr="009166C2" w:rsidRDefault="009166C2" w:rsidP="009166C2">
      <w:pPr>
        <w:rPr>
          <w:rFonts w:asciiTheme="minorHAnsi" w:hAnsiTheme="minorHAnsi" w:cstheme="minorHAnsi"/>
          <w:color w:val="000000" w:themeColor="text1"/>
          <w:sz w:val="22"/>
          <w:szCs w:val="28"/>
        </w:rPr>
      </w:pPr>
    </w:p>
    <w:p w14:paraId="1A086DC4" w14:textId="64BA408F" w:rsidR="009166C2" w:rsidRPr="00834623" w:rsidRDefault="009166C2" w:rsidP="009166C2">
      <w:pPr>
        <w:pStyle w:val="ListParagraph"/>
        <w:numPr>
          <w:ilvl w:val="0"/>
          <w:numId w:val="15"/>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 xml:space="preserve">COT </w:t>
      </w:r>
      <w:r w:rsidR="0095450E">
        <w:rPr>
          <w:rFonts w:asciiTheme="minorHAnsi" w:hAnsiTheme="minorHAnsi" w:cstheme="minorHAnsi"/>
          <w:b/>
          <w:bCs/>
          <w:sz w:val="22"/>
          <w:szCs w:val="28"/>
          <w:u w:val="single"/>
        </w:rPr>
        <w:t>sharing information</w:t>
      </w:r>
      <w:r>
        <w:rPr>
          <w:rFonts w:asciiTheme="minorHAnsi" w:hAnsiTheme="minorHAnsi" w:cstheme="minorHAnsi"/>
          <w:b/>
          <w:bCs/>
          <w:sz w:val="22"/>
          <w:szCs w:val="28"/>
          <w:u w:val="single"/>
        </w:rPr>
        <w:t xml:space="preserve"> contents</w:t>
      </w:r>
      <w:r w:rsidR="00B063AA">
        <w:rPr>
          <w:rFonts w:asciiTheme="minorHAnsi" w:hAnsiTheme="minorHAnsi" w:cstheme="minorHAnsi"/>
          <w:b/>
          <w:bCs/>
          <w:sz w:val="22"/>
          <w:szCs w:val="28"/>
          <w:u w:val="single"/>
        </w:rPr>
        <w:t xml:space="preserve"> for dynamic channel access (LBE)</w:t>
      </w:r>
    </w:p>
    <w:p w14:paraId="5067B9EA" w14:textId="594EEA81" w:rsidR="009166C2" w:rsidRPr="0052284E" w:rsidRDefault="009166C2" w:rsidP="009166C2">
      <w:pPr>
        <w:pStyle w:val="ListParagraph"/>
        <w:numPr>
          <w:ilvl w:val="1"/>
          <w:numId w:val="15"/>
        </w:numPr>
        <w:ind w:leftChars="0"/>
        <w:rPr>
          <w:rFonts w:asciiTheme="minorHAnsi" w:hAnsiTheme="minorHAnsi" w:cstheme="minorHAnsi"/>
          <w:sz w:val="22"/>
          <w:szCs w:val="28"/>
        </w:rPr>
      </w:pPr>
      <w:r w:rsidRPr="0052284E">
        <w:rPr>
          <w:rFonts w:asciiTheme="minorHAnsi" w:hAnsiTheme="minorHAnsi" w:cstheme="minorHAnsi"/>
          <w:sz w:val="22"/>
          <w:szCs w:val="28"/>
        </w:rPr>
        <w:t>COT length</w:t>
      </w:r>
      <w:r w:rsidR="00AF2B3D" w:rsidRPr="0052284E">
        <w:rPr>
          <w:rFonts w:asciiTheme="minorHAnsi" w:hAnsiTheme="minorHAnsi" w:cstheme="minorHAnsi"/>
          <w:sz w:val="22"/>
          <w:szCs w:val="28"/>
        </w:rPr>
        <w:t xml:space="preserve"> (</w:t>
      </w:r>
      <w:r w:rsidR="00256A0C" w:rsidRPr="0052284E">
        <w:rPr>
          <w:rFonts w:asciiTheme="minorHAnsi" w:hAnsiTheme="minorHAnsi" w:cstheme="minorHAnsi"/>
          <w:sz w:val="22"/>
          <w:szCs w:val="28"/>
        </w:rPr>
        <w:t xml:space="preserve">starting offset and/or </w:t>
      </w:r>
      <w:r w:rsidR="00AF2B3D" w:rsidRPr="0052284E">
        <w:rPr>
          <w:rFonts w:asciiTheme="minorHAnsi" w:hAnsiTheme="minorHAnsi" w:cstheme="minorHAnsi"/>
          <w:sz w:val="22"/>
          <w:szCs w:val="28"/>
        </w:rPr>
        <w:t>remaining)</w:t>
      </w:r>
      <w:r w:rsidRPr="0052284E">
        <w:rPr>
          <w:rFonts w:asciiTheme="minorHAnsi" w:hAnsiTheme="minorHAnsi" w:cstheme="minorHAnsi"/>
          <w:sz w:val="22"/>
          <w:szCs w:val="28"/>
        </w:rPr>
        <w:t xml:space="preserve">: </w:t>
      </w:r>
      <w:r w:rsidR="00081E40" w:rsidRPr="0052284E">
        <w:rPr>
          <w:rFonts w:asciiTheme="minorHAnsi" w:hAnsiTheme="minorHAnsi" w:cstheme="minorHAnsi"/>
          <w:sz w:val="22"/>
          <w:szCs w:val="28"/>
        </w:rPr>
        <w:t>[4/HW, HiSi]</w:t>
      </w:r>
      <w:r w:rsidR="005B3B7A" w:rsidRPr="0052284E">
        <w:rPr>
          <w:rFonts w:asciiTheme="minorHAnsi" w:hAnsiTheme="minorHAnsi" w:cstheme="minorHAnsi"/>
          <w:sz w:val="22"/>
          <w:szCs w:val="28"/>
        </w:rPr>
        <w:t xml:space="preserve">, </w:t>
      </w:r>
      <w:r w:rsidR="00466359" w:rsidRPr="0052284E">
        <w:rPr>
          <w:rFonts w:asciiTheme="minorHAnsi" w:hAnsiTheme="minorHAnsi" w:cstheme="minorHAnsi"/>
          <w:sz w:val="22"/>
          <w:szCs w:val="28"/>
        </w:rPr>
        <w:t>[7/ZTE, SC]</w:t>
      </w:r>
      <w:r w:rsidR="005B3B7A" w:rsidRPr="0052284E">
        <w:rPr>
          <w:rFonts w:asciiTheme="minorHAnsi" w:hAnsiTheme="minorHAnsi" w:cstheme="minorHAnsi"/>
          <w:sz w:val="22"/>
          <w:szCs w:val="28"/>
        </w:rPr>
        <w:t xml:space="preserve">, </w:t>
      </w:r>
      <w:r w:rsidR="003D58CF" w:rsidRPr="0052284E">
        <w:rPr>
          <w:rFonts w:asciiTheme="minorHAnsi" w:hAnsiTheme="minorHAnsi" w:cstheme="minorHAnsi"/>
          <w:sz w:val="22"/>
          <w:szCs w:val="28"/>
        </w:rPr>
        <w:t xml:space="preserve">[8/OPPO], </w:t>
      </w:r>
      <w:r w:rsidR="006C5836" w:rsidRPr="0052284E">
        <w:rPr>
          <w:rFonts w:asciiTheme="minorHAnsi" w:hAnsiTheme="minorHAnsi" w:cstheme="minorHAnsi"/>
          <w:sz w:val="22"/>
          <w:szCs w:val="28"/>
        </w:rPr>
        <w:t xml:space="preserve">[11/Intel], </w:t>
      </w:r>
      <w:r w:rsidR="00466359" w:rsidRPr="0052284E">
        <w:rPr>
          <w:rFonts w:asciiTheme="minorHAnsi" w:hAnsiTheme="minorHAnsi" w:cstheme="minorHAnsi"/>
          <w:sz w:val="22"/>
          <w:szCs w:val="28"/>
        </w:rPr>
        <w:t>[</w:t>
      </w:r>
      <w:r w:rsidR="00835752" w:rsidRPr="0052284E">
        <w:rPr>
          <w:rFonts w:asciiTheme="minorHAnsi" w:hAnsiTheme="minorHAnsi" w:cstheme="minorHAnsi"/>
          <w:sz w:val="22"/>
          <w:szCs w:val="28"/>
        </w:rPr>
        <w:t>9</w:t>
      </w:r>
      <w:r w:rsidR="00466359" w:rsidRPr="0052284E">
        <w:rPr>
          <w:rFonts w:asciiTheme="minorHAnsi" w:hAnsiTheme="minorHAnsi" w:cstheme="minorHAnsi"/>
          <w:sz w:val="22"/>
          <w:szCs w:val="28"/>
        </w:rPr>
        <w:t xml:space="preserve">/CATT, </w:t>
      </w:r>
      <w:r w:rsidR="003D58CF" w:rsidRPr="0052284E">
        <w:rPr>
          <w:rFonts w:asciiTheme="minorHAnsi" w:hAnsiTheme="minorHAnsi" w:cstheme="minorHAnsi"/>
          <w:sz w:val="22"/>
          <w:szCs w:val="28"/>
        </w:rPr>
        <w:t>GH</w:t>
      </w:r>
      <w:r w:rsidR="00466359" w:rsidRPr="0052284E">
        <w:rPr>
          <w:rFonts w:asciiTheme="minorHAnsi" w:hAnsiTheme="minorHAnsi" w:cstheme="minorHAnsi"/>
          <w:sz w:val="22"/>
          <w:szCs w:val="28"/>
        </w:rPr>
        <w:t>]</w:t>
      </w:r>
      <w:r w:rsidR="00DB3832" w:rsidRPr="0052284E">
        <w:rPr>
          <w:rFonts w:asciiTheme="minorHAnsi" w:hAnsiTheme="minorHAnsi" w:cstheme="minorHAnsi"/>
          <w:sz w:val="22"/>
          <w:szCs w:val="28"/>
        </w:rPr>
        <w:t xml:space="preserve">, </w:t>
      </w:r>
      <w:r w:rsidR="00701A32" w:rsidRPr="0052284E">
        <w:rPr>
          <w:rFonts w:asciiTheme="minorHAnsi" w:hAnsiTheme="minorHAnsi" w:cstheme="minorHAnsi"/>
          <w:sz w:val="22"/>
          <w:szCs w:val="28"/>
        </w:rPr>
        <w:t>[</w:t>
      </w:r>
      <w:r w:rsidR="00BC644A" w:rsidRPr="0052284E">
        <w:rPr>
          <w:rFonts w:asciiTheme="minorHAnsi" w:hAnsiTheme="minorHAnsi" w:cstheme="minorHAnsi"/>
          <w:sz w:val="22"/>
          <w:szCs w:val="28"/>
        </w:rPr>
        <w:t>21/Fraunhofer</w:t>
      </w:r>
      <w:r w:rsidR="00701A32" w:rsidRPr="0052284E">
        <w:rPr>
          <w:rFonts w:asciiTheme="minorHAnsi" w:hAnsiTheme="minorHAnsi" w:cstheme="minorHAnsi"/>
          <w:sz w:val="22"/>
          <w:szCs w:val="28"/>
        </w:rPr>
        <w:t xml:space="preserve">], </w:t>
      </w:r>
      <w:r w:rsidR="00DB3832" w:rsidRPr="0052284E">
        <w:rPr>
          <w:rFonts w:asciiTheme="minorHAnsi" w:hAnsiTheme="minorHAnsi" w:cstheme="minorHAnsi"/>
          <w:sz w:val="22"/>
          <w:szCs w:val="28"/>
        </w:rPr>
        <w:t>[</w:t>
      </w:r>
      <w:r w:rsidR="00BC644A" w:rsidRPr="0052284E">
        <w:rPr>
          <w:rFonts w:asciiTheme="minorHAnsi" w:hAnsiTheme="minorHAnsi" w:cstheme="minorHAnsi"/>
          <w:sz w:val="22"/>
          <w:szCs w:val="28"/>
        </w:rPr>
        <w:t>18/Lenovo</w:t>
      </w:r>
      <w:r w:rsidR="00DB3832" w:rsidRPr="0052284E">
        <w:rPr>
          <w:rFonts w:asciiTheme="minorHAnsi" w:hAnsiTheme="minorHAnsi" w:cstheme="minorHAnsi"/>
          <w:sz w:val="22"/>
          <w:szCs w:val="28"/>
        </w:rPr>
        <w:t>]</w:t>
      </w:r>
      <w:r w:rsidR="003D7C5D" w:rsidRPr="0052284E">
        <w:rPr>
          <w:rFonts w:asciiTheme="minorHAnsi" w:hAnsiTheme="minorHAnsi" w:cstheme="minorHAnsi"/>
          <w:sz w:val="22"/>
          <w:szCs w:val="28"/>
        </w:rPr>
        <w:t xml:space="preserve">, </w:t>
      </w:r>
      <w:r w:rsidR="00670E9B" w:rsidRPr="0052284E">
        <w:rPr>
          <w:rFonts w:asciiTheme="minorHAnsi" w:hAnsiTheme="minorHAnsi" w:cstheme="minorHAnsi"/>
          <w:sz w:val="22"/>
          <w:szCs w:val="28"/>
        </w:rPr>
        <w:t xml:space="preserve">[22/LGE], </w:t>
      </w:r>
      <w:r w:rsidR="005140FD" w:rsidRPr="0052284E">
        <w:rPr>
          <w:rFonts w:asciiTheme="minorHAnsi" w:hAnsiTheme="minorHAnsi" w:cstheme="minorHAnsi"/>
          <w:sz w:val="22"/>
          <w:szCs w:val="28"/>
        </w:rPr>
        <w:t xml:space="preserve">[23/MediaTek], </w:t>
      </w:r>
      <w:r w:rsidR="003D7C5D" w:rsidRPr="0052284E">
        <w:rPr>
          <w:rFonts w:asciiTheme="minorHAnsi" w:hAnsiTheme="minorHAnsi" w:cstheme="minorHAnsi"/>
          <w:sz w:val="22"/>
          <w:szCs w:val="28"/>
        </w:rPr>
        <w:t>[</w:t>
      </w:r>
      <w:r w:rsidR="007B2CAB" w:rsidRPr="0052284E">
        <w:rPr>
          <w:rFonts w:asciiTheme="minorHAnsi" w:hAnsiTheme="minorHAnsi" w:cstheme="minorHAnsi"/>
          <w:sz w:val="22"/>
          <w:szCs w:val="28"/>
        </w:rPr>
        <w:t>31/Panasonic</w:t>
      </w:r>
      <w:r w:rsidR="003D7C5D" w:rsidRPr="0052284E">
        <w:rPr>
          <w:rFonts w:asciiTheme="minorHAnsi" w:hAnsiTheme="minorHAnsi" w:cstheme="minorHAnsi"/>
          <w:sz w:val="22"/>
          <w:szCs w:val="28"/>
        </w:rPr>
        <w:t>]</w:t>
      </w:r>
      <w:r w:rsidR="006D2005" w:rsidRPr="0052284E">
        <w:rPr>
          <w:rFonts w:asciiTheme="minorHAnsi" w:hAnsiTheme="minorHAnsi" w:cstheme="minorHAnsi"/>
          <w:sz w:val="22"/>
          <w:szCs w:val="28"/>
        </w:rPr>
        <w:t>, [</w:t>
      </w:r>
      <w:r w:rsidR="007B2CAB" w:rsidRPr="0052284E">
        <w:rPr>
          <w:rFonts w:asciiTheme="minorHAnsi" w:hAnsiTheme="minorHAnsi" w:cstheme="minorHAnsi"/>
          <w:sz w:val="22"/>
          <w:szCs w:val="28"/>
        </w:rPr>
        <w:t>25/Apple</w:t>
      </w:r>
      <w:r w:rsidR="006D2005" w:rsidRPr="0052284E">
        <w:rPr>
          <w:rFonts w:asciiTheme="minorHAnsi" w:hAnsiTheme="minorHAnsi" w:cstheme="minorHAnsi"/>
          <w:sz w:val="22"/>
          <w:szCs w:val="28"/>
        </w:rPr>
        <w:t>]</w:t>
      </w:r>
      <w:r w:rsidR="00256A0C" w:rsidRPr="0052284E">
        <w:rPr>
          <w:rFonts w:asciiTheme="minorHAnsi" w:hAnsiTheme="minorHAnsi" w:cstheme="minorHAnsi"/>
          <w:sz w:val="22"/>
          <w:szCs w:val="28"/>
        </w:rPr>
        <w:t>, [33/QC]</w:t>
      </w:r>
    </w:p>
    <w:p w14:paraId="71CF5FEC" w14:textId="3420E716" w:rsidR="009166C2" w:rsidRPr="0052284E" w:rsidRDefault="009166C2" w:rsidP="009166C2">
      <w:pPr>
        <w:pStyle w:val="ListParagraph"/>
        <w:numPr>
          <w:ilvl w:val="1"/>
          <w:numId w:val="15"/>
        </w:numPr>
        <w:ind w:leftChars="0"/>
        <w:rPr>
          <w:rFonts w:asciiTheme="minorHAnsi" w:hAnsiTheme="minorHAnsi" w:cstheme="minorHAnsi"/>
          <w:sz w:val="22"/>
          <w:szCs w:val="28"/>
        </w:rPr>
      </w:pPr>
      <w:r w:rsidRPr="0052284E">
        <w:rPr>
          <w:rFonts w:asciiTheme="minorHAnsi" w:hAnsiTheme="minorHAnsi" w:cstheme="minorHAnsi"/>
          <w:sz w:val="22"/>
          <w:szCs w:val="28"/>
        </w:rPr>
        <w:t xml:space="preserve">COT structure information (time and frequency resources): </w:t>
      </w:r>
      <w:r w:rsidR="00081E40" w:rsidRPr="0052284E">
        <w:rPr>
          <w:rFonts w:asciiTheme="minorHAnsi" w:hAnsiTheme="minorHAnsi" w:cstheme="minorHAnsi"/>
          <w:sz w:val="22"/>
          <w:szCs w:val="28"/>
        </w:rPr>
        <w:t>[4/HW, HiSi]</w:t>
      </w:r>
      <w:r w:rsidR="005B3B7A" w:rsidRPr="0052284E">
        <w:rPr>
          <w:rFonts w:asciiTheme="minorHAnsi" w:hAnsiTheme="minorHAnsi" w:cstheme="minorHAnsi"/>
          <w:sz w:val="22"/>
          <w:szCs w:val="28"/>
        </w:rPr>
        <w:t>, [</w:t>
      </w:r>
      <w:r w:rsidR="007B2CAB" w:rsidRPr="0052284E">
        <w:rPr>
          <w:rFonts w:asciiTheme="minorHAnsi" w:hAnsiTheme="minorHAnsi" w:cstheme="minorHAnsi"/>
          <w:sz w:val="22"/>
          <w:szCs w:val="28"/>
        </w:rPr>
        <w:t>33/QC</w:t>
      </w:r>
      <w:r w:rsidR="005B3B7A" w:rsidRPr="0052284E">
        <w:rPr>
          <w:rFonts w:asciiTheme="minorHAnsi" w:hAnsiTheme="minorHAnsi" w:cstheme="minorHAnsi"/>
          <w:sz w:val="22"/>
          <w:szCs w:val="28"/>
        </w:rPr>
        <w:t>]</w:t>
      </w:r>
    </w:p>
    <w:p w14:paraId="1110C5D8" w14:textId="469E2B88" w:rsidR="00021EC8" w:rsidRPr="0052284E" w:rsidRDefault="00021EC8" w:rsidP="009166C2">
      <w:pPr>
        <w:pStyle w:val="ListParagraph"/>
        <w:numPr>
          <w:ilvl w:val="1"/>
          <w:numId w:val="15"/>
        </w:numPr>
        <w:ind w:leftChars="0"/>
        <w:rPr>
          <w:rFonts w:asciiTheme="minorHAnsi" w:hAnsiTheme="minorHAnsi" w:cstheme="minorHAnsi"/>
          <w:sz w:val="22"/>
          <w:szCs w:val="28"/>
        </w:rPr>
      </w:pPr>
      <w:r w:rsidRPr="0052284E">
        <w:rPr>
          <w:rFonts w:asciiTheme="minorHAnsi" w:hAnsiTheme="minorHAnsi" w:cstheme="minorHAnsi"/>
          <w:sz w:val="22"/>
          <w:szCs w:val="28"/>
        </w:rPr>
        <w:t>UE ID</w:t>
      </w:r>
      <w:r w:rsidR="001D440B" w:rsidRPr="0052284E">
        <w:rPr>
          <w:rFonts w:asciiTheme="minorHAnsi" w:hAnsiTheme="minorHAnsi" w:cstheme="minorHAnsi"/>
          <w:sz w:val="22"/>
          <w:szCs w:val="28"/>
        </w:rPr>
        <w:t xml:space="preserve"> (source ID/destination ID)</w:t>
      </w:r>
      <w:r w:rsidRPr="0052284E">
        <w:rPr>
          <w:rFonts w:asciiTheme="minorHAnsi" w:hAnsiTheme="minorHAnsi" w:cstheme="minorHAnsi"/>
          <w:sz w:val="22"/>
          <w:szCs w:val="28"/>
        </w:rPr>
        <w:t xml:space="preserve">: </w:t>
      </w:r>
      <w:r w:rsidR="00081E40" w:rsidRPr="0052284E">
        <w:rPr>
          <w:rFonts w:asciiTheme="minorHAnsi" w:hAnsiTheme="minorHAnsi" w:cstheme="minorHAnsi"/>
          <w:sz w:val="22"/>
          <w:szCs w:val="28"/>
        </w:rPr>
        <w:t>[4/HW, HiSi]</w:t>
      </w:r>
      <w:r w:rsidRPr="0052284E">
        <w:rPr>
          <w:rFonts w:asciiTheme="minorHAnsi" w:hAnsiTheme="minorHAnsi" w:cstheme="minorHAnsi"/>
          <w:sz w:val="22"/>
          <w:szCs w:val="28"/>
        </w:rPr>
        <w:t>, [</w:t>
      </w:r>
      <w:r w:rsidR="003D58CF" w:rsidRPr="0052284E">
        <w:rPr>
          <w:rFonts w:asciiTheme="minorHAnsi" w:hAnsiTheme="minorHAnsi" w:cstheme="minorHAnsi"/>
          <w:sz w:val="22"/>
          <w:szCs w:val="28"/>
        </w:rPr>
        <w:t>8</w:t>
      </w:r>
      <w:r w:rsidRPr="0052284E">
        <w:rPr>
          <w:rFonts w:asciiTheme="minorHAnsi" w:hAnsiTheme="minorHAnsi" w:cstheme="minorHAnsi"/>
          <w:sz w:val="22"/>
          <w:szCs w:val="28"/>
        </w:rPr>
        <w:t>/OPPO</w:t>
      </w:r>
      <w:r w:rsidR="001D440B" w:rsidRPr="0052284E">
        <w:rPr>
          <w:rFonts w:asciiTheme="minorHAnsi" w:hAnsiTheme="minorHAnsi" w:cstheme="minorHAnsi"/>
          <w:sz w:val="22"/>
          <w:szCs w:val="28"/>
        </w:rPr>
        <w:t>], [</w:t>
      </w:r>
      <w:r w:rsidR="00835752" w:rsidRPr="0052284E">
        <w:rPr>
          <w:rFonts w:asciiTheme="minorHAnsi" w:hAnsiTheme="minorHAnsi" w:cstheme="minorHAnsi"/>
          <w:sz w:val="22"/>
          <w:szCs w:val="28"/>
        </w:rPr>
        <w:t>9</w:t>
      </w:r>
      <w:r w:rsidR="00AF2B3D" w:rsidRPr="0052284E">
        <w:rPr>
          <w:rFonts w:asciiTheme="minorHAnsi" w:hAnsiTheme="minorHAnsi" w:cstheme="minorHAnsi"/>
          <w:sz w:val="22"/>
          <w:szCs w:val="28"/>
        </w:rPr>
        <w:t>/CATT, GH</w:t>
      </w:r>
      <w:r w:rsidR="001D440B" w:rsidRPr="0052284E">
        <w:rPr>
          <w:rFonts w:asciiTheme="minorHAnsi" w:hAnsiTheme="minorHAnsi" w:cstheme="minorHAnsi"/>
          <w:sz w:val="22"/>
          <w:szCs w:val="28"/>
        </w:rPr>
        <w:t>]</w:t>
      </w:r>
      <w:r w:rsidR="00DB3832" w:rsidRPr="0052284E">
        <w:rPr>
          <w:rFonts w:asciiTheme="minorHAnsi" w:hAnsiTheme="minorHAnsi" w:cstheme="minorHAnsi"/>
          <w:sz w:val="22"/>
          <w:szCs w:val="28"/>
        </w:rPr>
        <w:t xml:space="preserve">, </w:t>
      </w:r>
      <w:r w:rsidR="001D440B" w:rsidRPr="0052284E">
        <w:rPr>
          <w:rFonts w:asciiTheme="minorHAnsi" w:hAnsiTheme="minorHAnsi" w:cstheme="minorHAnsi"/>
          <w:sz w:val="22"/>
          <w:szCs w:val="28"/>
        </w:rPr>
        <w:t>[</w:t>
      </w:r>
      <w:r w:rsidR="00BC644A" w:rsidRPr="0052284E">
        <w:rPr>
          <w:rFonts w:asciiTheme="minorHAnsi" w:hAnsiTheme="minorHAnsi" w:cstheme="minorHAnsi"/>
          <w:sz w:val="22"/>
          <w:szCs w:val="28"/>
        </w:rPr>
        <w:t>18/Lenovo</w:t>
      </w:r>
      <w:r w:rsidRPr="0052284E">
        <w:rPr>
          <w:rFonts w:asciiTheme="minorHAnsi" w:hAnsiTheme="minorHAnsi" w:cstheme="minorHAnsi"/>
          <w:sz w:val="22"/>
          <w:szCs w:val="28"/>
        </w:rPr>
        <w:t>]</w:t>
      </w:r>
      <w:r w:rsidR="001D440B" w:rsidRPr="0052284E">
        <w:rPr>
          <w:rFonts w:asciiTheme="minorHAnsi" w:hAnsiTheme="minorHAnsi" w:cstheme="minorHAnsi"/>
          <w:sz w:val="22"/>
          <w:szCs w:val="28"/>
        </w:rPr>
        <w:t xml:space="preserve">, </w:t>
      </w:r>
      <w:r w:rsidR="006D4225" w:rsidRPr="0052284E">
        <w:rPr>
          <w:rFonts w:asciiTheme="minorHAnsi" w:hAnsiTheme="minorHAnsi" w:cstheme="minorHAnsi"/>
          <w:sz w:val="22"/>
          <w:szCs w:val="28"/>
        </w:rPr>
        <w:t xml:space="preserve">[21/Fraunhofer], </w:t>
      </w:r>
      <w:r w:rsidR="001D440B" w:rsidRPr="0052284E">
        <w:rPr>
          <w:rFonts w:asciiTheme="minorHAnsi" w:hAnsiTheme="minorHAnsi" w:cstheme="minorHAnsi"/>
          <w:sz w:val="22"/>
          <w:szCs w:val="28"/>
        </w:rPr>
        <w:t>[33/QC]</w:t>
      </w:r>
    </w:p>
    <w:p w14:paraId="36542B50" w14:textId="7B3DE184" w:rsidR="009166C2" w:rsidRPr="0052284E" w:rsidRDefault="009166C2" w:rsidP="009166C2">
      <w:pPr>
        <w:pStyle w:val="ListParagraph"/>
        <w:numPr>
          <w:ilvl w:val="1"/>
          <w:numId w:val="15"/>
        </w:numPr>
        <w:ind w:leftChars="0"/>
        <w:rPr>
          <w:rFonts w:asciiTheme="minorHAnsi" w:hAnsiTheme="minorHAnsi" w:cstheme="minorHAnsi"/>
          <w:sz w:val="22"/>
          <w:szCs w:val="28"/>
        </w:rPr>
      </w:pPr>
      <w:r w:rsidRPr="0052284E">
        <w:rPr>
          <w:rFonts w:asciiTheme="minorHAnsi" w:hAnsiTheme="minorHAnsi" w:cstheme="minorHAnsi"/>
          <w:sz w:val="22"/>
          <w:szCs w:val="28"/>
        </w:rPr>
        <w:t xml:space="preserve">CAPC (priority): </w:t>
      </w:r>
      <w:r w:rsidR="00E31E67" w:rsidRPr="0052284E">
        <w:rPr>
          <w:rFonts w:asciiTheme="minorHAnsi" w:hAnsiTheme="minorHAnsi" w:cstheme="minorHAnsi"/>
          <w:sz w:val="22"/>
          <w:szCs w:val="28"/>
        </w:rPr>
        <w:t xml:space="preserve">[11/Intel], </w:t>
      </w:r>
      <w:r w:rsidR="00AF2B3D" w:rsidRPr="0052284E">
        <w:rPr>
          <w:rFonts w:asciiTheme="minorHAnsi" w:hAnsiTheme="minorHAnsi" w:cstheme="minorHAnsi"/>
          <w:sz w:val="22"/>
          <w:szCs w:val="28"/>
        </w:rPr>
        <w:t>[</w:t>
      </w:r>
      <w:r w:rsidR="00835752" w:rsidRPr="0052284E">
        <w:rPr>
          <w:rFonts w:asciiTheme="minorHAnsi" w:hAnsiTheme="minorHAnsi" w:cstheme="minorHAnsi"/>
          <w:sz w:val="22"/>
          <w:szCs w:val="28"/>
        </w:rPr>
        <w:t>9</w:t>
      </w:r>
      <w:r w:rsidR="00AF2B3D" w:rsidRPr="0052284E">
        <w:rPr>
          <w:rFonts w:asciiTheme="minorHAnsi" w:hAnsiTheme="minorHAnsi" w:cstheme="minorHAnsi"/>
          <w:sz w:val="22"/>
          <w:szCs w:val="28"/>
        </w:rPr>
        <w:t xml:space="preserve">/CATT, GH], </w:t>
      </w:r>
      <w:r w:rsidR="00466359" w:rsidRPr="0052284E">
        <w:rPr>
          <w:rFonts w:asciiTheme="minorHAnsi" w:hAnsiTheme="minorHAnsi" w:cstheme="minorHAnsi"/>
          <w:sz w:val="22"/>
          <w:szCs w:val="28"/>
        </w:rPr>
        <w:t>[8/OPPO]</w:t>
      </w:r>
      <w:r w:rsidR="00087728" w:rsidRPr="0052284E">
        <w:rPr>
          <w:rFonts w:asciiTheme="minorHAnsi" w:hAnsiTheme="minorHAnsi" w:cstheme="minorHAnsi"/>
          <w:sz w:val="22"/>
          <w:szCs w:val="28"/>
        </w:rPr>
        <w:t xml:space="preserve">, </w:t>
      </w:r>
      <w:r w:rsidR="00F11F15" w:rsidRPr="0052284E">
        <w:rPr>
          <w:rFonts w:asciiTheme="minorHAnsi" w:hAnsiTheme="minorHAnsi" w:cstheme="minorHAnsi"/>
          <w:sz w:val="22"/>
          <w:szCs w:val="28"/>
        </w:rPr>
        <w:t xml:space="preserve">[18/Lenovo], </w:t>
      </w:r>
      <w:r w:rsidR="00670E9B" w:rsidRPr="0052284E">
        <w:rPr>
          <w:rFonts w:asciiTheme="minorHAnsi" w:hAnsiTheme="minorHAnsi" w:cstheme="minorHAnsi"/>
          <w:sz w:val="22"/>
          <w:szCs w:val="28"/>
        </w:rPr>
        <w:t xml:space="preserve">[22/LGE], </w:t>
      </w:r>
      <w:r w:rsidR="005140FD" w:rsidRPr="0052284E">
        <w:rPr>
          <w:rFonts w:asciiTheme="minorHAnsi" w:hAnsiTheme="minorHAnsi" w:cstheme="minorHAnsi"/>
          <w:sz w:val="22"/>
          <w:szCs w:val="28"/>
        </w:rPr>
        <w:t>[23/MediaTek],</w:t>
      </w:r>
      <w:r w:rsidR="0052284E" w:rsidRPr="0052284E">
        <w:rPr>
          <w:rFonts w:asciiTheme="minorHAnsi" w:hAnsiTheme="minorHAnsi" w:cstheme="minorHAnsi"/>
          <w:sz w:val="22"/>
          <w:szCs w:val="28"/>
        </w:rPr>
        <w:t xml:space="preserve"> </w:t>
      </w:r>
      <w:r w:rsidR="006D2005" w:rsidRPr="0052284E">
        <w:rPr>
          <w:rFonts w:asciiTheme="minorHAnsi" w:hAnsiTheme="minorHAnsi" w:cstheme="minorHAnsi"/>
          <w:sz w:val="22"/>
          <w:szCs w:val="28"/>
        </w:rPr>
        <w:t>[</w:t>
      </w:r>
      <w:r w:rsidR="007B2CAB" w:rsidRPr="0052284E">
        <w:rPr>
          <w:rFonts w:asciiTheme="minorHAnsi" w:hAnsiTheme="minorHAnsi" w:cstheme="minorHAnsi"/>
          <w:sz w:val="22"/>
          <w:szCs w:val="28"/>
        </w:rPr>
        <w:t>25/Apple</w:t>
      </w:r>
      <w:r w:rsidR="006D2005" w:rsidRPr="0052284E">
        <w:rPr>
          <w:rFonts w:asciiTheme="minorHAnsi" w:hAnsiTheme="minorHAnsi" w:cstheme="minorHAnsi"/>
          <w:sz w:val="22"/>
          <w:szCs w:val="28"/>
        </w:rPr>
        <w:t>]</w:t>
      </w:r>
      <w:r w:rsidR="00256A0C" w:rsidRPr="0052284E">
        <w:rPr>
          <w:rFonts w:asciiTheme="minorHAnsi" w:hAnsiTheme="minorHAnsi" w:cstheme="minorHAnsi"/>
          <w:sz w:val="22"/>
          <w:szCs w:val="28"/>
        </w:rPr>
        <w:t xml:space="preserve">, </w:t>
      </w:r>
      <w:r w:rsidR="00E126B2" w:rsidRPr="0052284E">
        <w:rPr>
          <w:rFonts w:asciiTheme="minorHAnsi" w:hAnsiTheme="minorHAnsi" w:cstheme="minorHAnsi"/>
          <w:sz w:val="22"/>
          <w:szCs w:val="28"/>
        </w:rPr>
        <w:t xml:space="preserve">[31/Panasonic], </w:t>
      </w:r>
      <w:r w:rsidR="00256A0C" w:rsidRPr="0052284E">
        <w:rPr>
          <w:rFonts w:asciiTheme="minorHAnsi" w:hAnsiTheme="minorHAnsi" w:cstheme="minorHAnsi"/>
          <w:sz w:val="22"/>
          <w:szCs w:val="28"/>
        </w:rPr>
        <w:t>[33/QC]</w:t>
      </w:r>
    </w:p>
    <w:p w14:paraId="560E65B7" w14:textId="7D74BD93" w:rsidR="009166C2" w:rsidRPr="0052284E" w:rsidRDefault="00AF2B3D" w:rsidP="009166C2">
      <w:pPr>
        <w:pStyle w:val="ListParagraph"/>
        <w:numPr>
          <w:ilvl w:val="1"/>
          <w:numId w:val="15"/>
        </w:numPr>
        <w:ind w:leftChars="0"/>
        <w:rPr>
          <w:rFonts w:asciiTheme="minorHAnsi" w:hAnsiTheme="minorHAnsi" w:cstheme="minorHAnsi"/>
          <w:sz w:val="22"/>
          <w:szCs w:val="28"/>
        </w:rPr>
      </w:pPr>
      <w:r w:rsidRPr="0052284E">
        <w:rPr>
          <w:rFonts w:asciiTheme="minorHAnsi" w:hAnsiTheme="minorHAnsi" w:cstheme="minorHAnsi"/>
          <w:sz w:val="22"/>
          <w:szCs w:val="28"/>
        </w:rPr>
        <w:t>Sensed LBT sub-bands / RB sets: [</w:t>
      </w:r>
      <w:r w:rsidR="00835752" w:rsidRPr="0052284E">
        <w:rPr>
          <w:rFonts w:asciiTheme="minorHAnsi" w:hAnsiTheme="minorHAnsi" w:cstheme="minorHAnsi"/>
          <w:sz w:val="22"/>
          <w:szCs w:val="28"/>
        </w:rPr>
        <w:t>9</w:t>
      </w:r>
      <w:r w:rsidRPr="0052284E">
        <w:rPr>
          <w:rFonts w:asciiTheme="minorHAnsi" w:hAnsiTheme="minorHAnsi" w:cstheme="minorHAnsi"/>
          <w:sz w:val="22"/>
          <w:szCs w:val="28"/>
        </w:rPr>
        <w:t>/CATT, GH]</w:t>
      </w:r>
      <w:r w:rsidR="00FA3829" w:rsidRPr="0052284E">
        <w:rPr>
          <w:rFonts w:asciiTheme="minorHAnsi" w:hAnsiTheme="minorHAnsi" w:cstheme="minorHAnsi"/>
          <w:sz w:val="22"/>
          <w:szCs w:val="28"/>
        </w:rPr>
        <w:t xml:space="preserve">, </w:t>
      </w:r>
      <w:r w:rsidR="00466359" w:rsidRPr="0052284E">
        <w:rPr>
          <w:rFonts w:asciiTheme="minorHAnsi" w:hAnsiTheme="minorHAnsi" w:cstheme="minorHAnsi"/>
          <w:sz w:val="22"/>
          <w:szCs w:val="28"/>
        </w:rPr>
        <w:t>[8/OPPO]</w:t>
      </w:r>
    </w:p>
    <w:p w14:paraId="19C65E4A" w14:textId="01D601EB" w:rsidR="00C111EB" w:rsidRPr="0052284E" w:rsidRDefault="00C111EB" w:rsidP="009166C2">
      <w:pPr>
        <w:pStyle w:val="ListParagraph"/>
        <w:numPr>
          <w:ilvl w:val="1"/>
          <w:numId w:val="15"/>
        </w:numPr>
        <w:ind w:leftChars="0"/>
        <w:rPr>
          <w:rFonts w:asciiTheme="minorHAnsi" w:hAnsiTheme="minorHAnsi" w:cstheme="minorHAnsi"/>
          <w:sz w:val="22"/>
          <w:szCs w:val="28"/>
        </w:rPr>
      </w:pPr>
      <w:r w:rsidRPr="0052284E">
        <w:rPr>
          <w:rFonts w:asciiTheme="minorHAnsi" w:hAnsiTheme="minorHAnsi" w:cstheme="minorHAnsi"/>
          <w:sz w:val="22"/>
          <w:szCs w:val="28"/>
        </w:rPr>
        <w:t>Initial Tx within the COT: [32/DCM]</w:t>
      </w:r>
    </w:p>
    <w:p w14:paraId="0A143AE3" w14:textId="41C6FE8A" w:rsidR="00701A32" w:rsidRPr="0052284E" w:rsidRDefault="00701A32" w:rsidP="009166C2">
      <w:pPr>
        <w:pStyle w:val="ListParagraph"/>
        <w:numPr>
          <w:ilvl w:val="1"/>
          <w:numId w:val="15"/>
        </w:numPr>
        <w:ind w:leftChars="0"/>
        <w:rPr>
          <w:rFonts w:asciiTheme="minorHAnsi" w:hAnsiTheme="minorHAnsi" w:cstheme="minorHAnsi"/>
          <w:sz w:val="22"/>
          <w:szCs w:val="28"/>
        </w:rPr>
      </w:pPr>
      <w:r w:rsidRPr="0052284E">
        <w:rPr>
          <w:rFonts w:asciiTheme="minorHAnsi" w:hAnsiTheme="minorHAnsi" w:cstheme="minorHAnsi"/>
          <w:sz w:val="22"/>
          <w:szCs w:val="28"/>
        </w:rPr>
        <w:t>LBT type to be used: [</w:t>
      </w:r>
      <w:r w:rsidR="00BC644A" w:rsidRPr="0052284E">
        <w:rPr>
          <w:rFonts w:asciiTheme="minorHAnsi" w:hAnsiTheme="minorHAnsi" w:cstheme="minorHAnsi"/>
          <w:sz w:val="22"/>
          <w:szCs w:val="28"/>
        </w:rPr>
        <w:t>21/Fraunhofer</w:t>
      </w:r>
      <w:r w:rsidRPr="0052284E">
        <w:rPr>
          <w:rFonts w:asciiTheme="minorHAnsi" w:hAnsiTheme="minorHAnsi" w:cstheme="minorHAnsi"/>
          <w:sz w:val="22"/>
          <w:szCs w:val="28"/>
        </w:rPr>
        <w:t>]</w:t>
      </w:r>
      <w:r w:rsidR="00087728" w:rsidRPr="0052284E">
        <w:rPr>
          <w:rFonts w:asciiTheme="minorHAnsi" w:hAnsiTheme="minorHAnsi" w:cstheme="minorHAnsi"/>
          <w:sz w:val="22"/>
          <w:szCs w:val="28"/>
        </w:rPr>
        <w:t xml:space="preserve">, </w:t>
      </w:r>
      <w:r w:rsidR="006D2005" w:rsidRPr="0052284E">
        <w:rPr>
          <w:rFonts w:asciiTheme="minorHAnsi" w:hAnsiTheme="minorHAnsi" w:cstheme="minorHAnsi"/>
          <w:sz w:val="22"/>
          <w:szCs w:val="28"/>
        </w:rPr>
        <w:t>[</w:t>
      </w:r>
      <w:r w:rsidR="007B2CAB" w:rsidRPr="0052284E">
        <w:rPr>
          <w:rFonts w:asciiTheme="minorHAnsi" w:hAnsiTheme="minorHAnsi" w:cstheme="minorHAnsi"/>
          <w:sz w:val="22"/>
          <w:szCs w:val="28"/>
        </w:rPr>
        <w:t>25/Apple</w:t>
      </w:r>
      <w:r w:rsidR="006D2005" w:rsidRPr="0052284E">
        <w:rPr>
          <w:rFonts w:asciiTheme="minorHAnsi" w:hAnsiTheme="minorHAnsi" w:cstheme="minorHAnsi"/>
          <w:sz w:val="22"/>
          <w:szCs w:val="28"/>
        </w:rPr>
        <w:t>]</w:t>
      </w:r>
      <w:r w:rsidR="006F3329" w:rsidRPr="0052284E">
        <w:rPr>
          <w:rFonts w:asciiTheme="minorHAnsi" w:hAnsiTheme="minorHAnsi" w:cstheme="minorHAnsi"/>
          <w:sz w:val="22"/>
          <w:szCs w:val="28"/>
        </w:rPr>
        <w:t>, [27/IDC]</w:t>
      </w:r>
    </w:p>
    <w:p w14:paraId="41B5FBBE" w14:textId="7B9EA8B7" w:rsidR="00087728" w:rsidRPr="0052284E" w:rsidRDefault="00087728" w:rsidP="009166C2">
      <w:pPr>
        <w:pStyle w:val="ListParagraph"/>
        <w:numPr>
          <w:ilvl w:val="1"/>
          <w:numId w:val="15"/>
        </w:numPr>
        <w:ind w:leftChars="0"/>
        <w:rPr>
          <w:rFonts w:asciiTheme="minorHAnsi" w:hAnsiTheme="minorHAnsi" w:cstheme="minorHAnsi"/>
          <w:sz w:val="22"/>
          <w:szCs w:val="28"/>
        </w:rPr>
      </w:pPr>
      <w:r w:rsidRPr="0052284E">
        <w:rPr>
          <w:rFonts w:asciiTheme="minorHAnsi" w:hAnsiTheme="minorHAnsi" w:cstheme="minorHAnsi"/>
          <w:sz w:val="22"/>
          <w:szCs w:val="28"/>
        </w:rPr>
        <w:t xml:space="preserve">CP extension: </w:t>
      </w:r>
      <w:r w:rsidR="006D2005" w:rsidRPr="0052284E">
        <w:rPr>
          <w:rFonts w:asciiTheme="minorHAnsi" w:hAnsiTheme="minorHAnsi" w:cstheme="minorHAnsi"/>
          <w:sz w:val="22"/>
          <w:szCs w:val="28"/>
        </w:rPr>
        <w:t>[</w:t>
      </w:r>
      <w:r w:rsidR="007B2CAB" w:rsidRPr="0052284E">
        <w:rPr>
          <w:rFonts w:asciiTheme="minorHAnsi" w:hAnsiTheme="minorHAnsi" w:cstheme="minorHAnsi"/>
          <w:sz w:val="22"/>
          <w:szCs w:val="28"/>
        </w:rPr>
        <w:t>25/Apple</w:t>
      </w:r>
      <w:r w:rsidR="006D2005" w:rsidRPr="0052284E">
        <w:rPr>
          <w:rFonts w:asciiTheme="minorHAnsi" w:hAnsiTheme="minorHAnsi" w:cstheme="minorHAnsi"/>
          <w:sz w:val="22"/>
          <w:szCs w:val="28"/>
        </w:rPr>
        <w:t>] (CPE index)</w:t>
      </w:r>
    </w:p>
    <w:p w14:paraId="577E5B5C" w14:textId="14F838FC" w:rsidR="006D2005" w:rsidRPr="0052284E" w:rsidRDefault="006D2005" w:rsidP="009166C2">
      <w:pPr>
        <w:pStyle w:val="ListParagraph"/>
        <w:numPr>
          <w:ilvl w:val="1"/>
          <w:numId w:val="15"/>
        </w:numPr>
        <w:ind w:leftChars="0"/>
        <w:rPr>
          <w:rFonts w:asciiTheme="minorHAnsi" w:hAnsiTheme="minorHAnsi" w:cstheme="minorHAnsi"/>
          <w:sz w:val="22"/>
          <w:szCs w:val="28"/>
        </w:rPr>
      </w:pPr>
      <w:r w:rsidRPr="0052284E">
        <w:rPr>
          <w:rFonts w:asciiTheme="minorHAnsi" w:hAnsiTheme="minorHAnsi" w:cstheme="minorHAnsi"/>
          <w:sz w:val="22"/>
          <w:szCs w:val="28"/>
        </w:rPr>
        <w:t>EDT: [</w:t>
      </w:r>
      <w:r w:rsidR="007B2CAB" w:rsidRPr="0052284E">
        <w:rPr>
          <w:rFonts w:asciiTheme="minorHAnsi" w:hAnsiTheme="minorHAnsi" w:cstheme="minorHAnsi"/>
          <w:sz w:val="22"/>
          <w:szCs w:val="28"/>
        </w:rPr>
        <w:t>25/Apple</w:t>
      </w:r>
      <w:r w:rsidRPr="0052284E">
        <w:rPr>
          <w:rFonts w:asciiTheme="minorHAnsi" w:hAnsiTheme="minorHAnsi" w:cstheme="minorHAnsi"/>
          <w:sz w:val="22"/>
          <w:szCs w:val="28"/>
        </w:rPr>
        <w:t>]</w:t>
      </w:r>
    </w:p>
    <w:p w14:paraId="11AED804" w14:textId="7722A212" w:rsidR="00D07B61" w:rsidRPr="0052284E" w:rsidRDefault="00D07B61" w:rsidP="009166C2">
      <w:pPr>
        <w:pStyle w:val="ListParagraph"/>
        <w:numPr>
          <w:ilvl w:val="1"/>
          <w:numId w:val="15"/>
        </w:numPr>
        <w:ind w:leftChars="0"/>
        <w:rPr>
          <w:rFonts w:asciiTheme="minorHAnsi" w:hAnsiTheme="minorHAnsi" w:cstheme="minorHAnsi"/>
          <w:sz w:val="22"/>
          <w:szCs w:val="28"/>
        </w:rPr>
      </w:pPr>
      <w:r w:rsidRPr="0052284E">
        <w:rPr>
          <w:rFonts w:asciiTheme="minorHAnsi" w:hAnsiTheme="minorHAnsi" w:cstheme="minorHAnsi"/>
          <w:sz w:val="22"/>
          <w:szCs w:val="28"/>
        </w:rPr>
        <w:t>UE’s FFP configuration (if FBE channel access is supported): [11/Intel]</w:t>
      </w:r>
    </w:p>
    <w:p w14:paraId="3FD3162B" w14:textId="1A5AF26C" w:rsidR="00256A0C" w:rsidRPr="0052284E" w:rsidRDefault="00256A0C" w:rsidP="009166C2">
      <w:pPr>
        <w:pStyle w:val="ListParagraph"/>
        <w:numPr>
          <w:ilvl w:val="1"/>
          <w:numId w:val="15"/>
        </w:numPr>
        <w:ind w:leftChars="0"/>
        <w:rPr>
          <w:rFonts w:asciiTheme="minorHAnsi" w:hAnsiTheme="minorHAnsi" w:cstheme="minorHAnsi"/>
          <w:sz w:val="22"/>
          <w:szCs w:val="28"/>
        </w:rPr>
      </w:pPr>
      <w:r w:rsidRPr="0052284E">
        <w:rPr>
          <w:rFonts w:asciiTheme="minorHAnsi" w:hAnsiTheme="minorHAnsi" w:cstheme="minorHAnsi"/>
          <w:sz w:val="22"/>
          <w:szCs w:val="28"/>
        </w:rPr>
        <w:t>Number and configuration of the transmission starting position for CPE: [33/QC]</w:t>
      </w:r>
    </w:p>
    <w:p w14:paraId="12FF0C22" w14:textId="69A2E541" w:rsidR="00F87C9C" w:rsidRDefault="00F87C9C" w:rsidP="00F87C9C">
      <w:pPr>
        <w:rPr>
          <w:lang w:eastAsia="x-none"/>
        </w:rPr>
      </w:pPr>
    </w:p>
    <w:p w14:paraId="5D81328A" w14:textId="77777777" w:rsidR="00F87C9C" w:rsidRPr="00834623" w:rsidRDefault="00F87C9C" w:rsidP="00F87C9C">
      <w:pPr>
        <w:pStyle w:val="ListParagraph"/>
        <w:numPr>
          <w:ilvl w:val="0"/>
          <w:numId w:val="15"/>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Container</w:t>
      </w:r>
    </w:p>
    <w:p w14:paraId="407CCF32" w14:textId="127659F1" w:rsidR="00F87C9C" w:rsidRPr="00AD67FC" w:rsidRDefault="00F87C9C" w:rsidP="00F87C9C">
      <w:pPr>
        <w:pStyle w:val="ListParagraph"/>
        <w:numPr>
          <w:ilvl w:val="1"/>
          <w:numId w:val="15"/>
        </w:numPr>
        <w:ind w:leftChars="0"/>
        <w:rPr>
          <w:rFonts w:asciiTheme="minorHAnsi" w:hAnsiTheme="minorHAnsi" w:cstheme="minorHAnsi"/>
          <w:sz w:val="22"/>
          <w:szCs w:val="28"/>
        </w:rPr>
      </w:pPr>
      <w:r w:rsidRPr="00AD67FC">
        <w:rPr>
          <w:rFonts w:asciiTheme="minorHAnsi" w:hAnsiTheme="minorHAnsi" w:cstheme="minorHAnsi"/>
          <w:sz w:val="22"/>
          <w:szCs w:val="28"/>
        </w:rPr>
        <w:t>SCI (1</w:t>
      </w:r>
      <w:r w:rsidRPr="00AD67FC">
        <w:rPr>
          <w:rFonts w:asciiTheme="minorHAnsi" w:hAnsiTheme="minorHAnsi" w:cstheme="minorHAnsi"/>
          <w:sz w:val="22"/>
          <w:szCs w:val="28"/>
          <w:vertAlign w:val="superscript"/>
        </w:rPr>
        <w:t>st</w:t>
      </w:r>
      <w:r w:rsidRPr="00AD67FC">
        <w:rPr>
          <w:rFonts w:asciiTheme="minorHAnsi" w:hAnsiTheme="minorHAnsi" w:cstheme="minorHAnsi"/>
          <w:sz w:val="22"/>
          <w:szCs w:val="28"/>
        </w:rPr>
        <w:t xml:space="preserve"> </w:t>
      </w:r>
      <w:r w:rsidR="00AE08FB" w:rsidRPr="00AD67FC">
        <w:rPr>
          <w:rFonts w:asciiTheme="minorHAnsi" w:hAnsiTheme="minorHAnsi" w:cstheme="minorHAnsi"/>
          <w:sz w:val="22"/>
          <w:szCs w:val="28"/>
        </w:rPr>
        <w:t>and/</w:t>
      </w:r>
      <w:r w:rsidRPr="00AD67FC">
        <w:rPr>
          <w:rFonts w:asciiTheme="minorHAnsi" w:hAnsiTheme="minorHAnsi" w:cstheme="minorHAnsi"/>
          <w:sz w:val="22"/>
          <w:szCs w:val="28"/>
        </w:rPr>
        <w:t>or 2</w:t>
      </w:r>
      <w:r w:rsidRPr="00AD67FC">
        <w:rPr>
          <w:rFonts w:asciiTheme="minorHAnsi" w:hAnsiTheme="minorHAnsi" w:cstheme="minorHAnsi"/>
          <w:sz w:val="22"/>
          <w:szCs w:val="28"/>
          <w:vertAlign w:val="superscript"/>
        </w:rPr>
        <w:t>nd</w:t>
      </w:r>
      <w:r w:rsidRPr="00AD67FC">
        <w:rPr>
          <w:rFonts w:asciiTheme="minorHAnsi" w:hAnsiTheme="minorHAnsi" w:cstheme="minorHAnsi"/>
          <w:sz w:val="22"/>
          <w:szCs w:val="28"/>
        </w:rPr>
        <w:t xml:space="preserve"> stage): </w:t>
      </w:r>
      <w:r w:rsidR="007F2B64" w:rsidRPr="00AD67FC">
        <w:rPr>
          <w:rFonts w:asciiTheme="minorHAnsi" w:hAnsiTheme="minorHAnsi" w:cstheme="minorHAnsi"/>
          <w:sz w:val="22"/>
          <w:szCs w:val="28"/>
        </w:rPr>
        <w:t xml:space="preserve">[4/HW, HiSi], </w:t>
      </w:r>
      <w:r w:rsidR="00466359" w:rsidRPr="00AD67FC">
        <w:rPr>
          <w:rFonts w:asciiTheme="minorHAnsi" w:hAnsiTheme="minorHAnsi" w:cstheme="minorHAnsi"/>
          <w:sz w:val="22"/>
          <w:szCs w:val="28"/>
        </w:rPr>
        <w:t>[8/OPPO]</w:t>
      </w:r>
      <w:r w:rsidRPr="00AD67FC">
        <w:rPr>
          <w:rFonts w:asciiTheme="minorHAnsi" w:hAnsiTheme="minorHAnsi" w:cstheme="minorHAnsi"/>
          <w:sz w:val="22"/>
          <w:szCs w:val="28"/>
        </w:rPr>
        <w:t xml:space="preserve">, </w:t>
      </w:r>
      <w:r w:rsidR="00BC644A" w:rsidRPr="00AD67FC">
        <w:rPr>
          <w:rFonts w:asciiTheme="minorHAnsi" w:hAnsiTheme="minorHAnsi" w:cstheme="minorHAnsi"/>
          <w:sz w:val="22"/>
          <w:szCs w:val="28"/>
        </w:rPr>
        <w:t>[11/Intel]</w:t>
      </w:r>
      <w:r w:rsidR="00C21903" w:rsidRPr="00AD67FC">
        <w:rPr>
          <w:rFonts w:asciiTheme="minorHAnsi" w:hAnsiTheme="minorHAnsi" w:cstheme="minorHAnsi"/>
          <w:sz w:val="22"/>
          <w:szCs w:val="28"/>
        </w:rPr>
        <w:t>,</w:t>
      </w:r>
      <w:r w:rsidR="00896D31" w:rsidRPr="00AD67FC">
        <w:rPr>
          <w:rFonts w:asciiTheme="minorHAnsi" w:hAnsiTheme="minorHAnsi" w:cstheme="minorHAnsi"/>
          <w:sz w:val="22"/>
          <w:szCs w:val="28"/>
        </w:rPr>
        <w:t xml:space="preserve"> </w:t>
      </w:r>
      <w:r w:rsidR="006D4225" w:rsidRPr="00782C84">
        <w:rPr>
          <w:rFonts w:asciiTheme="minorHAnsi" w:hAnsiTheme="minorHAnsi" w:cstheme="minorHAnsi"/>
          <w:sz w:val="22"/>
          <w:szCs w:val="28"/>
        </w:rPr>
        <w:t>[21/Fraunhofer]</w:t>
      </w:r>
      <w:r w:rsidR="006D4225">
        <w:rPr>
          <w:rFonts w:asciiTheme="minorHAnsi" w:hAnsiTheme="minorHAnsi" w:cstheme="minorHAnsi"/>
          <w:sz w:val="22"/>
          <w:szCs w:val="28"/>
        </w:rPr>
        <w:t>,</w:t>
      </w:r>
      <w:r w:rsidR="006D4225" w:rsidRPr="00AD67FC">
        <w:rPr>
          <w:rFonts w:asciiTheme="minorHAnsi" w:hAnsiTheme="minorHAnsi" w:cstheme="minorHAnsi"/>
          <w:sz w:val="22"/>
          <w:szCs w:val="28"/>
        </w:rPr>
        <w:t xml:space="preserve"> </w:t>
      </w:r>
      <w:r w:rsidR="005140FD" w:rsidRPr="00AD67FC">
        <w:rPr>
          <w:rFonts w:asciiTheme="minorHAnsi" w:hAnsiTheme="minorHAnsi" w:cstheme="minorHAnsi"/>
          <w:sz w:val="22"/>
          <w:szCs w:val="28"/>
        </w:rPr>
        <w:t xml:space="preserve">[23/MediaTek], </w:t>
      </w:r>
      <w:r w:rsidR="006D2005" w:rsidRPr="00AD67FC">
        <w:rPr>
          <w:rFonts w:asciiTheme="minorHAnsi" w:hAnsiTheme="minorHAnsi" w:cstheme="minorHAnsi"/>
          <w:sz w:val="22"/>
          <w:szCs w:val="28"/>
        </w:rPr>
        <w:t>[</w:t>
      </w:r>
      <w:r w:rsidR="007B2CAB" w:rsidRPr="00AD67FC">
        <w:rPr>
          <w:rFonts w:asciiTheme="minorHAnsi" w:hAnsiTheme="minorHAnsi" w:cstheme="minorHAnsi"/>
          <w:sz w:val="22"/>
          <w:szCs w:val="28"/>
        </w:rPr>
        <w:t>25/Apple</w:t>
      </w:r>
      <w:r w:rsidR="006D2005" w:rsidRPr="00AD67FC">
        <w:rPr>
          <w:rFonts w:asciiTheme="minorHAnsi" w:hAnsiTheme="minorHAnsi" w:cstheme="minorHAnsi"/>
          <w:sz w:val="22"/>
          <w:szCs w:val="28"/>
        </w:rPr>
        <w:t>]</w:t>
      </w:r>
      <w:r w:rsidR="00854BBF" w:rsidRPr="00AD67FC">
        <w:rPr>
          <w:rFonts w:asciiTheme="minorHAnsi" w:hAnsiTheme="minorHAnsi" w:cstheme="minorHAnsi"/>
          <w:sz w:val="22"/>
          <w:szCs w:val="28"/>
        </w:rPr>
        <w:t>, [33/QC]</w:t>
      </w:r>
    </w:p>
    <w:p w14:paraId="0F257CB2" w14:textId="7BB8761E" w:rsidR="00F87C9C" w:rsidRPr="00AD67FC" w:rsidRDefault="00F87C9C" w:rsidP="00F87C9C">
      <w:pPr>
        <w:pStyle w:val="ListParagraph"/>
        <w:numPr>
          <w:ilvl w:val="1"/>
          <w:numId w:val="15"/>
        </w:numPr>
        <w:ind w:leftChars="0"/>
        <w:rPr>
          <w:rFonts w:asciiTheme="minorHAnsi" w:hAnsiTheme="minorHAnsi" w:cstheme="minorHAnsi"/>
          <w:sz w:val="22"/>
          <w:szCs w:val="28"/>
        </w:rPr>
      </w:pPr>
      <w:r w:rsidRPr="00AD67FC">
        <w:rPr>
          <w:rFonts w:asciiTheme="minorHAnsi" w:hAnsiTheme="minorHAnsi" w:cstheme="minorHAnsi"/>
          <w:sz w:val="22"/>
          <w:szCs w:val="28"/>
        </w:rPr>
        <w:t xml:space="preserve">MAC CE: </w:t>
      </w:r>
      <w:r w:rsidR="00466359" w:rsidRPr="00AD67FC">
        <w:rPr>
          <w:rFonts w:asciiTheme="minorHAnsi" w:hAnsiTheme="minorHAnsi" w:cstheme="minorHAnsi"/>
          <w:sz w:val="22"/>
          <w:szCs w:val="28"/>
        </w:rPr>
        <w:t>[8/OPPO]</w:t>
      </w:r>
    </w:p>
    <w:p w14:paraId="66246C8A" w14:textId="77777777" w:rsidR="00F87C9C" w:rsidRDefault="00F87C9C" w:rsidP="00F87C9C">
      <w:pPr>
        <w:rPr>
          <w:lang w:eastAsia="x-none"/>
        </w:rPr>
      </w:pPr>
    </w:p>
    <w:p w14:paraId="5200E71B" w14:textId="7D54D447" w:rsidR="00B47D82" w:rsidRDefault="00B47D82" w:rsidP="00B47D82">
      <w:pPr>
        <w:pStyle w:val="ListParagraph"/>
        <w:numPr>
          <w:ilvl w:val="0"/>
          <w:numId w:val="15"/>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Others</w:t>
      </w:r>
    </w:p>
    <w:p w14:paraId="469ABB7C" w14:textId="7A2DC0DD" w:rsidR="007B2E7B" w:rsidRDefault="007B2E7B" w:rsidP="00B47D82">
      <w:pPr>
        <w:pStyle w:val="ListParagraph"/>
        <w:numPr>
          <w:ilvl w:val="1"/>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[3/FW]: </w:t>
      </w:r>
      <w:r w:rsidRPr="007B2E7B">
        <w:rPr>
          <w:rFonts w:asciiTheme="minorHAnsi" w:hAnsiTheme="minorHAnsi" w:cstheme="minorHAnsi"/>
          <w:color w:val="000000" w:themeColor="text1"/>
          <w:sz w:val="22"/>
          <w:szCs w:val="28"/>
        </w:rPr>
        <w:t>In mode 2 of operation, for SL UE initiated COT sharing support channel access Type 2 (2A/2B/2C) using one of the following options:</w:t>
      </w:r>
    </w:p>
    <w:p w14:paraId="0B264AAE" w14:textId="52482BDB" w:rsidR="007B2E7B" w:rsidRDefault="007B2E7B" w:rsidP="007B2E7B">
      <w:pPr>
        <w:pStyle w:val="ListParagraph"/>
        <w:numPr>
          <w:ilvl w:val="2"/>
          <w:numId w:val="15"/>
        </w:numPr>
        <w:ind w:leftChars="0"/>
        <w:rPr>
          <w:rFonts w:asciiTheme="minorHAnsi" w:hAnsiTheme="minorHAnsi" w:cstheme="minorHAnsi"/>
          <w:color w:val="000000" w:themeColor="text1"/>
          <w:sz w:val="22"/>
          <w:szCs w:val="28"/>
        </w:rPr>
      </w:pPr>
      <w:r w:rsidRPr="007B2E7B">
        <w:rPr>
          <w:rFonts w:asciiTheme="minorHAnsi" w:hAnsiTheme="minorHAnsi" w:cstheme="minorHAnsi"/>
          <w:color w:val="000000" w:themeColor="text1"/>
          <w:sz w:val="22"/>
          <w:szCs w:val="28"/>
        </w:rPr>
        <w:t>SL UE that initiated COT becomes a COT coordinator and indicates to other responder SL UEs the type of channel access</w:t>
      </w:r>
    </w:p>
    <w:p w14:paraId="027A1AB3" w14:textId="6D43387D" w:rsidR="007B2E7B" w:rsidRDefault="007B2E7B" w:rsidP="007B2E7B">
      <w:pPr>
        <w:pStyle w:val="ListParagraph"/>
        <w:numPr>
          <w:ilvl w:val="2"/>
          <w:numId w:val="15"/>
        </w:numPr>
        <w:ind w:leftChars="0"/>
        <w:rPr>
          <w:rFonts w:asciiTheme="minorHAnsi" w:hAnsiTheme="minorHAnsi" w:cstheme="minorHAnsi"/>
          <w:color w:val="000000" w:themeColor="text1"/>
          <w:sz w:val="22"/>
          <w:szCs w:val="28"/>
        </w:rPr>
      </w:pPr>
      <w:r w:rsidRPr="007B2E7B">
        <w:rPr>
          <w:rFonts w:asciiTheme="minorHAnsi" w:hAnsiTheme="minorHAnsi" w:cstheme="minorHAnsi"/>
          <w:color w:val="000000" w:themeColor="text1"/>
          <w:sz w:val="22"/>
          <w:szCs w:val="28"/>
        </w:rPr>
        <w:t>A SL UE responder that shares a SL UE initiated COT autonomously decides when and which channel access Type 2 should be applied</w:t>
      </w:r>
    </w:p>
    <w:p w14:paraId="48688960" w14:textId="3BF5250A" w:rsidR="000E619F" w:rsidRPr="000E619F" w:rsidRDefault="000E619F" w:rsidP="00B47D82">
      <w:pPr>
        <w:pStyle w:val="ListParagraph"/>
        <w:numPr>
          <w:ilvl w:val="1"/>
          <w:numId w:val="15"/>
        </w:numPr>
        <w:ind w:leftChars="0"/>
        <w:rPr>
          <w:rFonts w:asciiTheme="minorHAnsi" w:hAnsiTheme="minorHAnsi" w:cstheme="minorHAnsi"/>
          <w:color w:val="000000" w:themeColor="text1"/>
          <w:sz w:val="22"/>
          <w:szCs w:val="28"/>
        </w:rPr>
      </w:pPr>
      <w:r w:rsidRPr="000E619F">
        <w:rPr>
          <w:rFonts w:asciiTheme="minorHAnsi" w:hAnsiTheme="minorHAnsi" w:cstheme="minorHAnsi"/>
          <w:color w:val="000000" w:themeColor="text1"/>
          <w:sz w:val="22"/>
          <w:szCs w:val="28"/>
        </w:rPr>
        <w:t>[11/Intel]: a responding UE within a shared COT may carry the COT sharing information.</w:t>
      </w:r>
    </w:p>
    <w:p w14:paraId="2B3CEB6B" w14:textId="42F3DFDA" w:rsidR="002F370B" w:rsidRPr="00835752" w:rsidRDefault="002F370B" w:rsidP="00B47D82">
      <w:pPr>
        <w:pStyle w:val="ListParagraph"/>
        <w:numPr>
          <w:ilvl w:val="1"/>
          <w:numId w:val="15"/>
        </w:numPr>
        <w:ind w:leftChars="0"/>
        <w:rPr>
          <w:rFonts w:asciiTheme="minorHAnsi" w:hAnsiTheme="minorHAnsi" w:cstheme="minorHAnsi"/>
          <w:sz w:val="22"/>
          <w:szCs w:val="28"/>
        </w:rPr>
      </w:pPr>
      <w:r w:rsidRPr="00835752">
        <w:rPr>
          <w:rFonts w:asciiTheme="minorHAnsi" w:hAnsiTheme="minorHAnsi" w:cstheme="minorHAnsi"/>
          <w:sz w:val="22"/>
          <w:szCs w:val="28"/>
        </w:rPr>
        <w:t>[</w:t>
      </w:r>
      <w:r w:rsidR="00835752" w:rsidRPr="00835752">
        <w:rPr>
          <w:rFonts w:asciiTheme="minorHAnsi" w:hAnsiTheme="minorHAnsi" w:cstheme="minorHAnsi"/>
          <w:sz w:val="22"/>
          <w:szCs w:val="28"/>
        </w:rPr>
        <w:t>9</w:t>
      </w:r>
      <w:r w:rsidRPr="00835752">
        <w:rPr>
          <w:rFonts w:asciiTheme="minorHAnsi" w:hAnsiTheme="minorHAnsi" w:cstheme="minorHAnsi"/>
          <w:sz w:val="22"/>
          <w:szCs w:val="28"/>
        </w:rPr>
        <w:t>/CATT, GH] The following conditions should be introduced under which UE can perform COT sharing:</w:t>
      </w:r>
    </w:p>
    <w:p w14:paraId="0F57D53D" w14:textId="47DA2020" w:rsidR="002F370B" w:rsidRPr="00835752" w:rsidRDefault="002F370B" w:rsidP="002F370B">
      <w:pPr>
        <w:pStyle w:val="ListParagraph"/>
        <w:numPr>
          <w:ilvl w:val="2"/>
          <w:numId w:val="15"/>
        </w:numPr>
        <w:ind w:leftChars="0"/>
        <w:rPr>
          <w:rFonts w:asciiTheme="minorHAnsi" w:hAnsiTheme="minorHAnsi" w:cstheme="minorHAnsi"/>
          <w:sz w:val="22"/>
          <w:szCs w:val="28"/>
        </w:rPr>
      </w:pPr>
      <w:r w:rsidRPr="00835752">
        <w:rPr>
          <w:rFonts w:asciiTheme="minorHAnsi" w:hAnsiTheme="minorHAnsi" w:cstheme="minorHAnsi"/>
          <w:sz w:val="22"/>
          <w:szCs w:val="28"/>
        </w:rPr>
        <w:t>UE has data to transmit.</w:t>
      </w:r>
    </w:p>
    <w:p w14:paraId="160F4DDC" w14:textId="1B21E22F" w:rsidR="002F370B" w:rsidRPr="00835752" w:rsidRDefault="002F370B" w:rsidP="002F370B">
      <w:pPr>
        <w:pStyle w:val="ListParagraph"/>
        <w:numPr>
          <w:ilvl w:val="2"/>
          <w:numId w:val="15"/>
        </w:numPr>
        <w:ind w:leftChars="0"/>
        <w:rPr>
          <w:rFonts w:asciiTheme="minorHAnsi" w:hAnsiTheme="minorHAnsi" w:cstheme="minorHAnsi"/>
          <w:sz w:val="22"/>
          <w:szCs w:val="28"/>
        </w:rPr>
      </w:pPr>
      <w:r w:rsidRPr="00835752">
        <w:rPr>
          <w:rFonts w:asciiTheme="minorHAnsi" w:hAnsiTheme="minorHAnsi" w:cstheme="minorHAnsi"/>
          <w:sz w:val="22"/>
          <w:szCs w:val="28"/>
        </w:rPr>
        <w:t>The remaining COT is larger than a (pre-)configured threshold or the channel access priority value is larger than a (pre-)configured value.</w:t>
      </w:r>
    </w:p>
    <w:p w14:paraId="6971A8BD" w14:textId="6356154B" w:rsidR="00605645" w:rsidRDefault="00605645" w:rsidP="00E53533">
      <w:pPr>
        <w:pStyle w:val="ListParagraph"/>
        <w:numPr>
          <w:ilvl w:val="1"/>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[28/Samsung] </w:t>
      </w:r>
      <w:r w:rsidRPr="00605645">
        <w:rPr>
          <w:rFonts w:asciiTheme="minorHAnsi" w:hAnsiTheme="minorHAnsi" w:cstheme="minorHAnsi"/>
          <w:color w:val="000000" w:themeColor="text1"/>
          <w:sz w:val="22"/>
          <w:szCs w:val="28"/>
        </w:rPr>
        <w:t>Study if new/existing SCI format(s) can be used to indicate channel occupancy sharing between SL UEs.</w:t>
      </w:r>
    </w:p>
    <w:p w14:paraId="787BBB61" w14:textId="419AF9B9" w:rsidR="009623BA" w:rsidRDefault="009623BA" w:rsidP="00E53533">
      <w:pPr>
        <w:pStyle w:val="ListParagraph"/>
        <w:numPr>
          <w:ilvl w:val="1"/>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[32/DCM] </w:t>
      </w:r>
      <w:r w:rsidRPr="009623BA">
        <w:rPr>
          <w:rFonts w:asciiTheme="minorHAnsi" w:hAnsiTheme="minorHAnsi" w:cstheme="minorHAnsi"/>
          <w:color w:val="000000" w:themeColor="text1"/>
          <w:sz w:val="22"/>
          <w:szCs w:val="28"/>
        </w:rPr>
        <w:t>For an initiating UE to a responding UE COT sharing, study the following options on how each responding UE knows when COT began.</w:t>
      </w:r>
    </w:p>
    <w:p w14:paraId="58184704" w14:textId="77777777" w:rsidR="009623BA" w:rsidRPr="009623BA" w:rsidRDefault="009623BA" w:rsidP="009623BA">
      <w:pPr>
        <w:numPr>
          <w:ilvl w:val="2"/>
          <w:numId w:val="15"/>
        </w:numPr>
        <w:ind w:left="2154" w:hanging="357"/>
        <w:rPr>
          <w:rFonts w:asciiTheme="minorHAnsi" w:eastAsiaTheme="minorEastAsia" w:hAnsiTheme="minorHAnsi" w:cstheme="minorHAnsi"/>
          <w:iCs/>
          <w:sz w:val="22"/>
          <w:lang w:val="en-US"/>
        </w:rPr>
      </w:pPr>
      <w:r w:rsidRPr="009623BA">
        <w:rPr>
          <w:rFonts w:asciiTheme="minorHAnsi" w:eastAsiaTheme="minorEastAsia" w:hAnsiTheme="minorHAnsi" w:cstheme="minorHAnsi"/>
          <w:iCs/>
          <w:sz w:val="22"/>
          <w:lang w:val="en-US"/>
        </w:rPr>
        <w:t>Option 1: an initiating UE indicates to each responding UE which TX is the initial TX within the COT</w:t>
      </w:r>
    </w:p>
    <w:p w14:paraId="36694569" w14:textId="77777777" w:rsidR="009623BA" w:rsidRPr="009623BA" w:rsidRDefault="009623BA" w:rsidP="009623BA">
      <w:pPr>
        <w:numPr>
          <w:ilvl w:val="2"/>
          <w:numId w:val="15"/>
        </w:numPr>
        <w:ind w:left="2154" w:hanging="357"/>
        <w:rPr>
          <w:rFonts w:asciiTheme="minorHAnsi" w:eastAsiaTheme="minorEastAsia" w:hAnsiTheme="minorHAnsi" w:cstheme="minorHAnsi"/>
          <w:iCs/>
          <w:sz w:val="22"/>
          <w:lang w:val="en-US"/>
        </w:rPr>
      </w:pPr>
      <w:r w:rsidRPr="009623BA">
        <w:rPr>
          <w:rFonts w:asciiTheme="minorHAnsi" w:eastAsiaTheme="minorEastAsia" w:hAnsiTheme="minorHAnsi" w:cstheme="minorHAnsi"/>
          <w:iCs/>
          <w:sz w:val="22"/>
          <w:lang w:val="en-US"/>
        </w:rPr>
        <w:t>Option 2: an initiating UE indicates to each responding UE whether the TX is the initial TX within the COT</w:t>
      </w:r>
    </w:p>
    <w:p w14:paraId="7FBAB5D2" w14:textId="316B3758" w:rsidR="009623BA" w:rsidRPr="009623BA" w:rsidRDefault="009623BA" w:rsidP="006B2419">
      <w:pPr>
        <w:numPr>
          <w:ilvl w:val="2"/>
          <w:numId w:val="15"/>
        </w:numPr>
        <w:rPr>
          <w:rFonts w:asciiTheme="minorHAnsi" w:hAnsiTheme="minorHAnsi" w:cstheme="minorHAnsi"/>
          <w:color w:val="000000" w:themeColor="text1"/>
          <w:sz w:val="22"/>
          <w:szCs w:val="28"/>
        </w:rPr>
      </w:pPr>
      <w:r w:rsidRPr="009623BA">
        <w:rPr>
          <w:rFonts w:asciiTheme="minorHAnsi" w:eastAsiaTheme="minorEastAsia" w:hAnsiTheme="minorHAnsi" w:cstheme="minorHAnsi"/>
          <w:iCs/>
          <w:sz w:val="22"/>
          <w:lang w:val="en-US"/>
        </w:rPr>
        <w:t>Option 3: UE-B determines which TX is the initial TX within the COT, w/o explicit indication from the initiating UE</w:t>
      </w:r>
    </w:p>
    <w:p w14:paraId="7DEED553" w14:textId="0938F73E" w:rsidR="00E53533" w:rsidRPr="00E53533" w:rsidRDefault="00E53533" w:rsidP="00E53533">
      <w:pPr>
        <w:pStyle w:val="ListParagraph"/>
        <w:numPr>
          <w:ilvl w:val="1"/>
          <w:numId w:val="15"/>
        </w:numPr>
        <w:ind w:leftChars="0"/>
        <w:rPr>
          <w:rFonts w:asciiTheme="minorHAnsi" w:hAnsiTheme="minorHAnsi" w:cstheme="minorHAnsi"/>
          <w:color w:val="000000" w:themeColor="text1"/>
          <w:sz w:val="22"/>
          <w:szCs w:val="28"/>
        </w:rPr>
      </w:pPr>
      <w:r w:rsidRPr="00E53533">
        <w:rPr>
          <w:rFonts w:asciiTheme="minorHAnsi" w:hAnsiTheme="minorHAnsi" w:cstheme="minorHAnsi"/>
          <w:color w:val="000000" w:themeColor="text1"/>
          <w:sz w:val="22"/>
          <w:szCs w:val="28"/>
        </w:rPr>
        <w:t>[33/QC] Some UEs may not be able to decode the COT-SI if transmitted in a single instance, therefore we may need to repeat the COT-SI transmission in multiple slots to deliver information about shareable region(s). Support multiple shared regions with related different COT sharing information. Different options can be considered to provide the information on multiple shared regions:</w:t>
      </w:r>
    </w:p>
    <w:p w14:paraId="11CFE121" w14:textId="58673B81" w:rsidR="00E53533" w:rsidRDefault="00E53533" w:rsidP="00E53533">
      <w:pPr>
        <w:pStyle w:val="ListParagraph"/>
        <w:numPr>
          <w:ilvl w:val="2"/>
          <w:numId w:val="15"/>
        </w:numPr>
        <w:ind w:leftChars="0"/>
        <w:rPr>
          <w:rFonts w:asciiTheme="minorHAnsi" w:hAnsiTheme="minorHAnsi" w:cstheme="minorHAnsi"/>
          <w:color w:val="000000" w:themeColor="text1"/>
          <w:sz w:val="22"/>
          <w:szCs w:val="28"/>
        </w:rPr>
      </w:pPr>
      <w:r w:rsidRPr="00E53533">
        <w:rPr>
          <w:rFonts w:asciiTheme="minorHAnsi" w:hAnsiTheme="minorHAnsi" w:cstheme="minorHAnsi"/>
          <w:color w:val="000000" w:themeColor="text1"/>
          <w:sz w:val="22"/>
          <w:szCs w:val="28"/>
        </w:rPr>
        <w:t>COT-SI includes COT sharing information on multiple regions</w:t>
      </w:r>
    </w:p>
    <w:p w14:paraId="0B62B05D" w14:textId="468204D3" w:rsidR="00E53533" w:rsidRDefault="00E53533" w:rsidP="00E53533">
      <w:pPr>
        <w:pStyle w:val="ListParagraph"/>
        <w:numPr>
          <w:ilvl w:val="3"/>
          <w:numId w:val="15"/>
        </w:numPr>
        <w:ind w:leftChars="0"/>
        <w:rPr>
          <w:rFonts w:asciiTheme="minorHAnsi" w:hAnsiTheme="minorHAnsi" w:cstheme="minorHAnsi"/>
          <w:color w:val="000000" w:themeColor="text1"/>
          <w:sz w:val="22"/>
          <w:szCs w:val="28"/>
        </w:rPr>
      </w:pPr>
      <w:r w:rsidRPr="00E53533">
        <w:rPr>
          <w:rFonts w:asciiTheme="minorHAnsi" w:hAnsiTheme="minorHAnsi" w:cstheme="minorHAnsi"/>
          <w:color w:val="000000" w:themeColor="text1"/>
          <w:sz w:val="22"/>
          <w:szCs w:val="28"/>
        </w:rPr>
        <w:lastRenderedPageBreak/>
        <w:t>Study including in COT-SI the COT sharing information like a) start, b) end, c) information on target responders, d) configuration of multiple TSPs, for one or more shared COT region</w:t>
      </w:r>
      <w:r>
        <w:rPr>
          <w:rFonts w:asciiTheme="minorHAnsi" w:hAnsiTheme="minorHAnsi" w:cstheme="minorHAnsi"/>
          <w:color w:val="000000" w:themeColor="text1"/>
          <w:sz w:val="22"/>
          <w:szCs w:val="28"/>
        </w:rPr>
        <w:t>.</w:t>
      </w:r>
    </w:p>
    <w:p w14:paraId="04FFDFAF" w14:textId="40D566F0" w:rsidR="00E53533" w:rsidRPr="00E53533" w:rsidRDefault="00E53533" w:rsidP="00E53533">
      <w:pPr>
        <w:pStyle w:val="ListParagraph"/>
        <w:numPr>
          <w:ilvl w:val="2"/>
          <w:numId w:val="15"/>
        </w:numPr>
        <w:ind w:leftChars="0"/>
        <w:rPr>
          <w:rFonts w:asciiTheme="minorHAnsi" w:hAnsiTheme="minorHAnsi" w:cstheme="minorHAnsi"/>
          <w:color w:val="000000" w:themeColor="text1"/>
          <w:sz w:val="22"/>
          <w:szCs w:val="28"/>
        </w:rPr>
      </w:pPr>
      <w:r w:rsidRPr="00E53533">
        <w:rPr>
          <w:rFonts w:asciiTheme="minorHAnsi" w:hAnsiTheme="minorHAnsi" w:cstheme="minorHAnsi"/>
          <w:color w:val="000000" w:themeColor="text1"/>
          <w:sz w:val="22"/>
          <w:szCs w:val="28"/>
        </w:rPr>
        <w:t>Opt 2: separate transmissions of COT sharing information contain information about different shared regions</w:t>
      </w:r>
    </w:p>
    <w:p w14:paraId="201EA086" w14:textId="2493077F" w:rsidR="00B47D82" w:rsidRDefault="00B47D82" w:rsidP="000F2F9F">
      <w:pPr>
        <w:rPr>
          <w:rFonts w:asciiTheme="minorHAnsi" w:hAnsiTheme="minorHAnsi" w:cstheme="minorHAnsi"/>
          <w:sz w:val="22"/>
          <w:szCs w:val="28"/>
        </w:rPr>
      </w:pPr>
    </w:p>
    <w:p w14:paraId="6F8AC290" w14:textId="6B15A59B" w:rsidR="000F2F9F" w:rsidRDefault="0041376C" w:rsidP="000F2F9F">
      <w:pPr>
        <w:pStyle w:val="ListParagraph"/>
        <w:numPr>
          <w:ilvl w:val="0"/>
          <w:numId w:val="15"/>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Topics</w:t>
      </w:r>
      <w:r w:rsidR="000F2F9F">
        <w:rPr>
          <w:rFonts w:asciiTheme="minorHAnsi" w:hAnsiTheme="minorHAnsi" w:cstheme="minorHAnsi"/>
          <w:b/>
          <w:bCs/>
          <w:sz w:val="22"/>
          <w:szCs w:val="28"/>
          <w:u w:val="single"/>
        </w:rPr>
        <w:t xml:space="preserve"> for further study</w:t>
      </w:r>
    </w:p>
    <w:p w14:paraId="2CC75D0E" w14:textId="3AE312D4" w:rsidR="00311520" w:rsidRPr="00311520" w:rsidRDefault="00311520" w:rsidP="00311520">
      <w:pPr>
        <w:pStyle w:val="ListParagraph"/>
        <w:numPr>
          <w:ilvl w:val="1"/>
          <w:numId w:val="15"/>
        </w:numPr>
        <w:ind w:leftChars="0"/>
        <w:jc w:val="both"/>
        <w:rPr>
          <w:rFonts w:asciiTheme="minorHAnsi" w:hAnsiTheme="minorHAnsi" w:cstheme="minorHAnsi"/>
          <w:color w:val="000000" w:themeColor="text1"/>
          <w:sz w:val="22"/>
          <w:szCs w:val="22"/>
        </w:rPr>
      </w:pPr>
      <w:r w:rsidRPr="00311520">
        <w:rPr>
          <w:rFonts w:asciiTheme="minorHAnsi" w:hAnsiTheme="minorHAnsi" w:cstheme="minorHAnsi"/>
          <w:color w:val="000000" w:themeColor="text1"/>
          <w:sz w:val="22"/>
          <w:szCs w:val="22"/>
        </w:rPr>
        <w:t>[4/HW, HiSi] COT lost issues when consecutive slot transmission in a COT is interrupted, considering at least the following cases</w:t>
      </w:r>
    </w:p>
    <w:p w14:paraId="34561779" w14:textId="01D94773" w:rsidR="00311520" w:rsidRPr="00311520" w:rsidRDefault="00311520" w:rsidP="00311520">
      <w:pPr>
        <w:pStyle w:val="ListParagraph"/>
        <w:numPr>
          <w:ilvl w:val="2"/>
          <w:numId w:val="15"/>
        </w:numPr>
        <w:ind w:leftChars="0"/>
        <w:jc w:val="both"/>
        <w:rPr>
          <w:rFonts w:asciiTheme="minorHAnsi" w:hAnsiTheme="minorHAnsi" w:cstheme="minorHAnsi"/>
          <w:color w:val="000000" w:themeColor="text1"/>
          <w:sz w:val="22"/>
          <w:szCs w:val="22"/>
        </w:rPr>
      </w:pPr>
      <w:r w:rsidRPr="00311520">
        <w:rPr>
          <w:rFonts w:asciiTheme="minorHAnsi" w:hAnsiTheme="minorHAnsi" w:cstheme="minorHAnsi"/>
          <w:color w:val="000000" w:themeColor="text1"/>
          <w:sz w:val="22"/>
          <w:szCs w:val="22"/>
        </w:rPr>
        <w:t>Case 1: When ACK is received for a TB within a COT, the corresponding retransmission(s) of the TB are dropped in the same COT and resulting in COT lost.</w:t>
      </w:r>
    </w:p>
    <w:p w14:paraId="1DA70469" w14:textId="11ED9F78" w:rsidR="00311520" w:rsidRPr="00311520" w:rsidRDefault="00311520" w:rsidP="00311520">
      <w:pPr>
        <w:pStyle w:val="ListParagraph"/>
        <w:numPr>
          <w:ilvl w:val="2"/>
          <w:numId w:val="15"/>
        </w:numPr>
        <w:ind w:leftChars="0"/>
        <w:jc w:val="both"/>
        <w:rPr>
          <w:rFonts w:asciiTheme="minorHAnsi" w:hAnsiTheme="minorHAnsi" w:cstheme="minorHAnsi"/>
          <w:color w:val="000000" w:themeColor="text1"/>
          <w:sz w:val="22"/>
          <w:szCs w:val="22"/>
        </w:rPr>
      </w:pPr>
      <w:r w:rsidRPr="00311520">
        <w:rPr>
          <w:rFonts w:asciiTheme="minorHAnsi" w:hAnsiTheme="minorHAnsi" w:cstheme="minorHAnsi"/>
          <w:color w:val="000000" w:themeColor="text1"/>
          <w:sz w:val="22"/>
          <w:szCs w:val="22"/>
        </w:rPr>
        <w:t>Case 2: When only subset of the multiple RB sets of a COT is used for transmission, e.g., due to half-duplex issue, the other unused RB sets will be lost.</w:t>
      </w:r>
    </w:p>
    <w:p w14:paraId="2478F3CA" w14:textId="68EF5FF2" w:rsidR="001B0B75" w:rsidRPr="0052284E" w:rsidRDefault="001B0B75" w:rsidP="000F2F9F">
      <w:pPr>
        <w:pStyle w:val="ListParagraph"/>
        <w:numPr>
          <w:ilvl w:val="1"/>
          <w:numId w:val="15"/>
        </w:numPr>
        <w:ind w:leftChars="0"/>
        <w:rPr>
          <w:rFonts w:asciiTheme="minorHAnsi" w:hAnsiTheme="minorHAnsi" w:cstheme="minorHAnsi"/>
          <w:sz w:val="22"/>
          <w:szCs w:val="28"/>
        </w:rPr>
      </w:pPr>
      <w:r w:rsidRPr="0052284E">
        <w:rPr>
          <w:rFonts w:asciiTheme="minorHAnsi" w:hAnsiTheme="minorHAnsi" w:cstheme="minorHAnsi"/>
          <w:sz w:val="22"/>
          <w:szCs w:val="28"/>
        </w:rPr>
        <w:t>[</w:t>
      </w:r>
      <w:r w:rsidR="00263C76" w:rsidRPr="0052284E">
        <w:rPr>
          <w:rFonts w:asciiTheme="minorHAnsi" w:hAnsiTheme="minorHAnsi" w:cstheme="minorHAnsi"/>
          <w:sz w:val="22"/>
          <w:szCs w:val="28"/>
        </w:rPr>
        <w:t>35/BOSCH</w:t>
      </w:r>
      <w:r w:rsidRPr="0052284E">
        <w:rPr>
          <w:rFonts w:asciiTheme="minorHAnsi" w:hAnsiTheme="minorHAnsi" w:cstheme="minorHAnsi"/>
          <w:sz w:val="22"/>
          <w:szCs w:val="28"/>
        </w:rPr>
        <w:t xml:space="preserve">]: FFS possible switching gap durations between transmitting UEs sharing the </w:t>
      </w:r>
      <w:r w:rsidRPr="0052284E">
        <w:rPr>
          <w:rFonts w:asciiTheme="minorHAnsi" w:hAnsiTheme="minorHAnsi" w:cstheme="minorHAnsi"/>
          <w:sz w:val="22"/>
          <w:szCs w:val="22"/>
        </w:rPr>
        <w:t>initiated COT. And whether/how to support multiple switching times.</w:t>
      </w:r>
    </w:p>
    <w:p w14:paraId="3EE1A559" w14:textId="77777777" w:rsidR="000F2F9F" w:rsidRPr="000F2F9F" w:rsidRDefault="000F2F9F" w:rsidP="000F2F9F">
      <w:pPr>
        <w:rPr>
          <w:rFonts w:asciiTheme="minorHAnsi" w:hAnsiTheme="minorHAnsi" w:cstheme="minorHAnsi"/>
          <w:sz w:val="22"/>
          <w:szCs w:val="28"/>
        </w:rPr>
      </w:pPr>
    </w:p>
    <w:p w14:paraId="277AE5EC" w14:textId="77777777" w:rsidR="00920474" w:rsidRDefault="00920474" w:rsidP="00920474">
      <w:pPr>
        <w:pStyle w:val="Heading2"/>
      </w:pPr>
      <w:r>
        <w:t>Multi-channel access</w:t>
      </w:r>
    </w:p>
    <w:p w14:paraId="30D35E62" w14:textId="566E07B6" w:rsidR="00920474" w:rsidRDefault="00920474" w:rsidP="00920474">
      <w:pPr>
        <w:pStyle w:val="ListParagraph"/>
        <w:numPr>
          <w:ilvl w:val="0"/>
          <w:numId w:val="15"/>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NR-U DL Type A and Type B multi-channel access</w:t>
      </w:r>
      <w:r w:rsidR="00B939FC">
        <w:rPr>
          <w:rFonts w:asciiTheme="minorHAnsi" w:hAnsiTheme="minorHAnsi" w:cstheme="minorHAnsi"/>
          <w:b/>
          <w:bCs/>
          <w:sz w:val="22"/>
          <w:szCs w:val="28"/>
          <w:u w:val="single"/>
        </w:rPr>
        <w:t xml:space="preserve"> </w:t>
      </w:r>
      <w:r w:rsidR="008E0686">
        <w:rPr>
          <w:rFonts w:asciiTheme="minorHAnsi" w:hAnsiTheme="minorHAnsi" w:cstheme="minorHAnsi"/>
          <w:b/>
          <w:bCs/>
          <w:sz w:val="22"/>
          <w:szCs w:val="28"/>
          <w:u w:val="single"/>
        </w:rPr>
        <w:t>(independent Type 1 or 2 LBT in each channel)</w:t>
      </w:r>
    </w:p>
    <w:p w14:paraId="37D8B2AA" w14:textId="1F49D91C" w:rsidR="00920474" w:rsidRPr="001E5BBA" w:rsidRDefault="00466359" w:rsidP="00920474">
      <w:pPr>
        <w:pStyle w:val="ListParagraph"/>
        <w:numPr>
          <w:ilvl w:val="1"/>
          <w:numId w:val="15"/>
        </w:numPr>
        <w:ind w:leftChars="0"/>
        <w:rPr>
          <w:rFonts w:asciiTheme="minorHAnsi" w:hAnsiTheme="minorHAnsi" w:cstheme="minorHAnsi"/>
          <w:sz w:val="22"/>
          <w:szCs w:val="28"/>
          <w:lang w:val="de-DE"/>
        </w:rPr>
      </w:pPr>
      <w:r w:rsidRPr="001E5BBA">
        <w:rPr>
          <w:rFonts w:asciiTheme="minorHAnsi" w:hAnsiTheme="minorHAnsi" w:cstheme="minorHAnsi"/>
          <w:sz w:val="22"/>
          <w:szCs w:val="28"/>
          <w:lang w:val="de-DE"/>
        </w:rPr>
        <w:t>[6/vivo]</w:t>
      </w:r>
      <w:r w:rsidR="0011445E" w:rsidRPr="001E5BBA">
        <w:rPr>
          <w:rFonts w:asciiTheme="minorHAnsi" w:hAnsiTheme="minorHAnsi" w:cstheme="minorHAnsi"/>
          <w:sz w:val="22"/>
          <w:szCs w:val="28"/>
          <w:lang w:val="de-DE"/>
        </w:rPr>
        <w:t>,</w:t>
      </w:r>
      <w:r w:rsidR="00920474" w:rsidRPr="001E5BBA">
        <w:rPr>
          <w:rFonts w:asciiTheme="minorHAnsi" w:hAnsiTheme="minorHAnsi" w:cstheme="minorHAnsi"/>
          <w:sz w:val="22"/>
          <w:szCs w:val="28"/>
          <w:lang w:val="de-DE"/>
        </w:rPr>
        <w:t xml:space="preserve"> </w:t>
      </w:r>
      <w:r w:rsidRPr="001E5BBA">
        <w:rPr>
          <w:rFonts w:asciiTheme="minorHAnsi" w:hAnsiTheme="minorHAnsi" w:cstheme="minorHAnsi"/>
          <w:sz w:val="22"/>
          <w:szCs w:val="28"/>
          <w:lang w:val="de-DE"/>
        </w:rPr>
        <w:t>[7/ZTE, SC]</w:t>
      </w:r>
      <w:r w:rsidR="00920474" w:rsidRPr="001E5BBA">
        <w:rPr>
          <w:rFonts w:asciiTheme="minorHAnsi" w:hAnsiTheme="minorHAnsi" w:cstheme="minorHAnsi"/>
          <w:sz w:val="22"/>
          <w:szCs w:val="28"/>
          <w:lang w:val="de-DE"/>
        </w:rPr>
        <w:t xml:space="preserve">, </w:t>
      </w:r>
      <w:r w:rsidRPr="001E5BBA">
        <w:rPr>
          <w:rFonts w:asciiTheme="minorHAnsi" w:hAnsiTheme="minorHAnsi" w:cstheme="minorHAnsi"/>
          <w:sz w:val="22"/>
          <w:szCs w:val="28"/>
          <w:lang w:val="de-DE"/>
        </w:rPr>
        <w:t>[8/OPPO</w:t>
      </w:r>
      <w:r w:rsidRPr="001E5BBA">
        <w:rPr>
          <w:rFonts w:asciiTheme="minorHAnsi" w:hAnsiTheme="minorHAnsi" w:cstheme="minorHAnsi"/>
          <w:color w:val="000000" w:themeColor="text1"/>
          <w:sz w:val="22"/>
          <w:szCs w:val="28"/>
          <w:lang w:val="de-DE"/>
        </w:rPr>
        <w:t>]</w:t>
      </w:r>
      <w:r w:rsidR="00920474" w:rsidRPr="001E5BBA">
        <w:rPr>
          <w:rFonts w:asciiTheme="minorHAnsi" w:hAnsiTheme="minorHAnsi" w:cstheme="minorHAnsi"/>
          <w:color w:val="000000" w:themeColor="text1"/>
          <w:sz w:val="22"/>
          <w:szCs w:val="28"/>
          <w:lang w:val="de-DE"/>
        </w:rPr>
        <w:t>,</w:t>
      </w:r>
      <w:r w:rsidR="00B06D2A" w:rsidRPr="001E5BBA">
        <w:rPr>
          <w:rFonts w:asciiTheme="minorHAnsi" w:hAnsiTheme="minorHAnsi" w:cstheme="minorHAnsi"/>
          <w:color w:val="000000" w:themeColor="text1"/>
          <w:sz w:val="22"/>
          <w:szCs w:val="28"/>
          <w:lang w:val="de-DE"/>
        </w:rPr>
        <w:t xml:space="preserve"> </w:t>
      </w:r>
      <w:r w:rsidR="00BC644A" w:rsidRPr="001E5BBA">
        <w:rPr>
          <w:rFonts w:asciiTheme="minorHAnsi" w:hAnsiTheme="minorHAnsi" w:cstheme="minorHAnsi"/>
          <w:color w:val="000000" w:themeColor="text1"/>
          <w:sz w:val="22"/>
          <w:szCs w:val="28"/>
          <w:lang w:val="de-DE"/>
        </w:rPr>
        <w:t>[11/Intel]</w:t>
      </w:r>
      <w:r w:rsidR="00B06D2A" w:rsidRPr="001E5BBA">
        <w:rPr>
          <w:rFonts w:asciiTheme="minorHAnsi" w:hAnsiTheme="minorHAnsi" w:cstheme="minorHAnsi"/>
          <w:color w:val="000000" w:themeColor="text1"/>
          <w:sz w:val="22"/>
          <w:szCs w:val="28"/>
          <w:lang w:val="de-DE"/>
        </w:rPr>
        <w:t>,</w:t>
      </w:r>
      <w:r w:rsidR="00920474" w:rsidRPr="001E5BBA">
        <w:rPr>
          <w:rFonts w:asciiTheme="minorHAnsi" w:hAnsiTheme="minorHAnsi" w:cstheme="minorHAnsi"/>
          <w:color w:val="000000" w:themeColor="text1"/>
          <w:sz w:val="22"/>
          <w:szCs w:val="28"/>
          <w:lang w:val="de-DE"/>
        </w:rPr>
        <w:t xml:space="preserve"> </w:t>
      </w:r>
      <w:r w:rsidR="007353C0" w:rsidRPr="001E5BBA">
        <w:rPr>
          <w:rFonts w:asciiTheme="minorHAnsi" w:hAnsiTheme="minorHAnsi" w:cstheme="minorHAnsi"/>
          <w:sz w:val="22"/>
          <w:szCs w:val="28"/>
          <w:lang w:val="de-DE"/>
        </w:rPr>
        <w:t>[15/Transsion],</w:t>
      </w:r>
      <w:r w:rsidR="007353C0" w:rsidRPr="001E5BBA">
        <w:rPr>
          <w:rFonts w:asciiTheme="minorHAnsi" w:hAnsiTheme="minorHAnsi" w:cstheme="minorHAnsi"/>
          <w:color w:val="000000" w:themeColor="text1"/>
          <w:sz w:val="22"/>
          <w:szCs w:val="28"/>
          <w:lang w:val="de-DE"/>
        </w:rPr>
        <w:t xml:space="preserve"> </w:t>
      </w:r>
      <w:r w:rsidR="00234958" w:rsidRPr="001E5BBA">
        <w:rPr>
          <w:rFonts w:asciiTheme="minorHAnsi" w:hAnsiTheme="minorHAnsi" w:cstheme="minorHAnsi"/>
          <w:color w:val="000000" w:themeColor="text1"/>
          <w:sz w:val="22"/>
          <w:szCs w:val="28"/>
          <w:lang w:val="de-DE"/>
        </w:rPr>
        <w:t>[22/LGE] (</w:t>
      </w:r>
      <w:r w:rsidR="00234958" w:rsidRPr="001E5BBA">
        <w:rPr>
          <w:rFonts w:asciiTheme="minorHAnsi" w:hAnsiTheme="minorHAnsi" w:cstheme="minorHAnsi"/>
          <w:sz w:val="22"/>
          <w:szCs w:val="28"/>
          <w:lang w:val="de-DE"/>
        </w:rPr>
        <w:t xml:space="preserve">PSFCH), </w:t>
      </w:r>
      <w:r w:rsidR="00B50A84" w:rsidRPr="001E5BBA">
        <w:rPr>
          <w:rFonts w:asciiTheme="minorHAnsi" w:hAnsiTheme="minorHAnsi" w:cstheme="minorHAnsi"/>
          <w:sz w:val="22"/>
          <w:szCs w:val="28"/>
          <w:lang w:val="de-DE"/>
        </w:rPr>
        <w:t>[</w:t>
      </w:r>
      <w:r w:rsidR="007B2CAB" w:rsidRPr="001E5BBA">
        <w:rPr>
          <w:rFonts w:asciiTheme="minorHAnsi" w:hAnsiTheme="minorHAnsi" w:cstheme="minorHAnsi"/>
          <w:sz w:val="22"/>
          <w:szCs w:val="28"/>
          <w:lang w:val="de-DE"/>
        </w:rPr>
        <w:t>30/Sharp</w:t>
      </w:r>
      <w:r w:rsidR="00B50A84" w:rsidRPr="001E5BBA">
        <w:rPr>
          <w:rFonts w:asciiTheme="minorHAnsi" w:hAnsiTheme="minorHAnsi" w:cstheme="minorHAnsi"/>
          <w:sz w:val="22"/>
          <w:szCs w:val="28"/>
          <w:lang w:val="de-DE"/>
        </w:rPr>
        <w:t>]</w:t>
      </w:r>
      <w:r w:rsidR="00477A78" w:rsidRPr="001E5BBA">
        <w:rPr>
          <w:rFonts w:asciiTheme="minorHAnsi" w:hAnsiTheme="minorHAnsi" w:cstheme="minorHAnsi"/>
          <w:sz w:val="22"/>
          <w:szCs w:val="28"/>
          <w:lang w:val="de-DE"/>
        </w:rPr>
        <w:t xml:space="preserve"> (mode 2)</w:t>
      </w:r>
      <w:r w:rsidR="00920474" w:rsidRPr="001E5BBA">
        <w:rPr>
          <w:rFonts w:asciiTheme="minorHAnsi" w:hAnsiTheme="minorHAnsi" w:cstheme="minorHAnsi"/>
          <w:sz w:val="22"/>
          <w:szCs w:val="28"/>
          <w:lang w:val="de-DE"/>
        </w:rPr>
        <w:t xml:space="preserve">, </w:t>
      </w:r>
      <w:r w:rsidR="00962E0D" w:rsidRPr="001E5BBA">
        <w:rPr>
          <w:rFonts w:asciiTheme="minorHAnsi" w:hAnsiTheme="minorHAnsi" w:cstheme="minorHAnsi"/>
          <w:sz w:val="22"/>
          <w:szCs w:val="28"/>
          <w:lang w:val="de-DE"/>
        </w:rPr>
        <w:t>[</w:t>
      </w:r>
      <w:r w:rsidR="007B2CAB" w:rsidRPr="001E5BBA">
        <w:rPr>
          <w:rFonts w:asciiTheme="minorHAnsi" w:hAnsiTheme="minorHAnsi" w:cstheme="minorHAnsi"/>
          <w:sz w:val="22"/>
          <w:szCs w:val="28"/>
          <w:lang w:val="de-DE"/>
        </w:rPr>
        <w:t>28/Samsung</w:t>
      </w:r>
      <w:r w:rsidR="00962E0D" w:rsidRPr="001E5BBA">
        <w:rPr>
          <w:rFonts w:asciiTheme="minorHAnsi" w:hAnsiTheme="minorHAnsi" w:cstheme="minorHAnsi"/>
          <w:sz w:val="22"/>
          <w:szCs w:val="28"/>
          <w:lang w:val="de-DE"/>
        </w:rPr>
        <w:t xml:space="preserve">], </w:t>
      </w:r>
      <w:r w:rsidR="00BC644A" w:rsidRPr="001E5BBA">
        <w:rPr>
          <w:rFonts w:asciiTheme="minorHAnsi" w:hAnsiTheme="minorHAnsi" w:cstheme="minorHAnsi"/>
          <w:sz w:val="22"/>
          <w:szCs w:val="28"/>
          <w:lang w:val="de-DE"/>
        </w:rPr>
        <w:t>[12/JHU]</w:t>
      </w:r>
      <w:r w:rsidR="0041376C" w:rsidRPr="001E5BBA">
        <w:rPr>
          <w:rFonts w:asciiTheme="minorHAnsi" w:hAnsiTheme="minorHAnsi" w:cstheme="minorHAnsi"/>
          <w:sz w:val="22"/>
          <w:szCs w:val="28"/>
          <w:lang w:val="de-DE"/>
        </w:rPr>
        <w:t>, [</w:t>
      </w:r>
      <w:r w:rsidR="007B2CAB" w:rsidRPr="001E5BBA">
        <w:rPr>
          <w:rFonts w:asciiTheme="minorHAnsi" w:hAnsiTheme="minorHAnsi" w:cstheme="minorHAnsi"/>
          <w:sz w:val="22"/>
          <w:szCs w:val="28"/>
          <w:lang w:val="de-DE"/>
        </w:rPr>
        <w:t>33/QC</w:t>
      </w:r>
      <w:r w:rsidR="0041376C" w:rsidRPr="001E5BBA">
        <w:rPr>
          <w:rFonts w:asciiTheme="minorHAnsi" w:hAnsiTheme="minorHAnsi" w:cstheme="minorHAnsi"/>
          <w:sz w:val="22"/>
          <w:szCs w:val="28"/>
          <w:lang w:val="de-DE"/>
        </w:rPr>
        <w:t>]</w:t>
      </w:r>
      <w:r w:rsidR="00837118" w:rsidRPr="001E5BBA">
        <w:rPr>
          <w:rFonts w:asciiTheme="minorHAnsi" w:hAnsiTheme="minorHAnsi" w:cstheme="minorHAnsi"/>
          <w:sz w:val="22"/>
          <w:szCs w:val="28"/>
          <w:lang w:val="de-DE"/>
        </w:rPr>
        <w:t xml:space="preserve">, </w:t>
      </w:r>
      <w:r w:rsidR="009D0ABD" w:rsidRPr="001E5BBA">
        <w:rPr>
          <w:rFonts w:asciiTheme="minorHAnsi" w:hAnsiTheme="minorHAnsi" w:cstheme="minorHAnsi"/>
          <w:sz w:val="22"/>
          <w:szCs w:val="28"/>
          <w:lang w:val="de-DE"/>
        </w:rPr>
        <w:t xml:space="preserve">[32/DCM], </w:t>
      </w:r>
      <w:r w:rsidR="000C24EF" w:rsidRPr="001E5BBA">
        <w:rPr>
          <w:rFonts w:asciiTheme="minorHAnsi" w:hAnsiTheme="minorHAnsi" w:cstheme="minorHAnsi"/>
          <w:sz w:val="22"/>
          <w:szCs w:val="22"/>
          <w:lang w:val="de-DE"/>
        </w:rPr>
        <w:t>[35/BOSCH],</w:t>
      </w:r>
      <w:r w:rsidR="000C24EF" w:rsidRPr="001E5BBA">
        <w:rPr>
          <w:rFonts w:asciiTheme="minorHAnsi" w:hAnsiTheme="minorHAnsi" w:cstheme="minorHAnsi"/>
          <w:sz w:val="22"/>
          <w:szCs w:val="28"/>
          <w:lang w:val="de-DE"/>
        </w:rPr>
        <w:t xml:space="preserve"> </w:t>
      </w:r>
      <w:r w:rsidR="00837118" w:rsidRPr="001E5BBA">
        <w:rPr>
          <w:rFonts w:asciiTheme="minorHAnsi" w:hAnsiTheme="minorHAnsi" w:cstheme="minorHAnsi"/>
          <w:sz w:val="22"/>
          <w:szCs w:val="28"/>
          <w:lang w:val="de-DE"/>
        </w:rPr>
        <w:t>[</w:t>
      </w:r>
      <w:r w:rsidR="00263C76" w:rsidRPr="001E5BBA">
        <w:rPr>
          <w:rFonts w:asciiTheme="minorHAnsi" w:hAnsiTheme="minorHAnsi" w:cstheme="minorHAnsi"/>
          <w:sz w:val="22"/>
          <w:szCs w:val="28"/>
          <w:lang w:val="de-DE"/>
        </w:rPr>
        <w:t>36/E///</w:t>
      </w:r>
      <w:r w:rsidR="00837118" w:rsidRPr="001E5BBA">
        <w:rPr>
          <w:rFonts w:asciiTheme="minorHAnsi" w:hAnsiTheme="minorHAnsi" w:cstheme="minorHAnsi"/>
          <w:sz w:val="22"/>
          <w:szCs w:val="28"/>
          <w:lang w:val="de-DE"/>
        </w:rPr>
        <w:t>]</w:t>
      </w:r>
      <w:r w:rsidR="002F6AF6" w:rsidRPr="001E5BBA">
        <w:rPr>
          <w:rFonts w:asciiTheme="minorHAnsi" w:hAnsiTheme="minorHAnsi" w:cstheme="minorHAnsi"/>
          <w:sz w:val="22"/>
          <w:szCs w:val="28"/>
          <w:lang w:val="de-DE"/>
        </w:rPr>
        <w:t xml:space="preserve">, </w:t>
      </w:r>
      <w:r w:rsidR="002F6AF6" w:rsidRPr="001E5BBA">
        <w:rPr>
          <w:rFonts w:asciiTheme="minorHAnsi" w:hAnsiTheme="minorHAnsi" w:cstheme="minorHAnsi"/>
          <w:color w:val="000000" w:themeColor="text1"/>
          <w:sz w:val="22"/>
          <w:szCs w:val="28"/>
          <w:lang w:val="de-DE"/>
        </w:rPr>
        <w:t>[37/WILUS]</w:t>
      </w:r>
    </w:p>
    <w:p w14:paraId="0F4AEE2A" w14:textId="0F44A094" w:rsidR="00920474" w:rsidRPr="001E5BBA" w:rsidRDefault="00920474" w:rsidP="00920474">
      <w:pPr>
        <w:rPr>
          <w:lang w:val="de-DE" w:eastAsia="x-none"/>
        </w:rPr>
      </w:pPr>
    </w:p>
    <w:p w14:paraId="29E787AE" w14:textId="11F1B917" w:rsidR="00B939FC" w:rsidRDefault="00B939FC" w:rsidP="00B939FC">
      <w:pPr>
        <w:pStyle w:val="ListParagraph"/>
        <w:numPr>
          <w:ilvl w:val="0"/>
          <w:numId w:val="15"/>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 xml:space="preserve">NR-U channel access procedures for UL multi-channel transmission(s) </w:t>
      </w:r>
      <w:r w:rsidR="008E0686">
        <w:rPr>
          <w:rFonts w:asciiTheme="minorHAnsi" w:hAnsiTheme="minorHAnsi" w:cstheme="minorHAnsi"/>
          <w:b/>
          <w:bCs/>
          <w:sz w:val="22"/>
          <w:szCs w:val="28"/>
          <w:u w:val="single"/>
        </w:rPr>
        <w:t>(</w:t>
      </w:r>
      <w:r w:rsidR="0041376C">
        <w:rPr>
          <w:rFonts w:asciiTheme="minorHAnsi" w:hAnsiTheme="minorHAnsi" w:cstheme="minorHAnsi"/>
          <w:b/>
          <w:bCs/>
          <w:sz w:val="22"/>
          <w:szCs w:val="28"/>
          <w:u w:val="single"/>
        </w:rPr>
        <w:t>all-or-nothing access</w:t>
      </w:r>
      <w:r w:rsidR="008E0686">
        <w:rPr>
          <w:rFonts w:asciiTheme="minorHAnsi" w:hAnsiTheme="minorHAnsi" w:cstheme="minorHAnsi"/>
          <w:b/>
          <w:bCs/>
          <w:sz w:val="22"/>
          <w:szCs w:val="28"/>
          <w:u w:val="single"/>
        </w:rPr>
        <w:t>)</w:t>
      </w:r>
    </w:p>
    <w:p w14:paraId="324CF8CD" w14:textId="63F59E68" w:rsidR="00B939FC" w:rsidRPr="009D660E" w:rsidRDefault="00482133" w:rsidP="00B939FC">
      <w:pPr>
        <w:pStyle w:val="ListParagraph"/>
        <w:numPr>
          <w:ilvl w:val="1"/>
          <w:numId w:val="15"/>
        </w:numPr>
        <w:ind w:leftChars="0"/>
        <w:rPr>
          <w:rFonts w:asciiTheme="minorHAnsi" w:hAnsiTheme="minorHAnsi" w:cstheme="minorHAnsi"/>
          <w:sz w:val="22"/>
          <w:szCs w:val="28"/>
        </w:rPr>
      </w:pPr>
      <w:r w:rsidRPr="00482133">
        <w:rPr>
          <w:rFonts w:asciiTheme="minorHAnsi" w:hAnsiTheme="minorHAnsi" w:cstheme="minorHAnsi"/>
          <w:color w:val="000000" w:themeColor="text1"/>
          <w:sz w:val="22"/>
          <w:szCs w:val="28"/>
        </w:rPr>
        <w:t>[4/HW, HiSi],</w:t>
      </w:r>
      <w:r>
        <w:rPr>
          <w:rFonts w:asciiTheme="minorHAnsi" w:hAnsiTheme="minorHAnsi" w:cstheme="minorHAnsi"/>
          <w:color w:val="000000" w:themeColor="text1"/>
          <w:sz w:val="22"/>
          <w:szCs w:val="28"/>
        </w:rPr>
        <w:t xml:space="preserve"> </w:t>
      </w:r>
      <w:r w:rsidR="00AB3A6E" w:rsidRPr="00AB3A6E">
        <w:rPr>
          <w:rFonts w:asciiTheme="minorHAnsi" w:hAnsiTheme="minorHAnsi" w:cstheme="minorHAnsi"/>
          <w:sz w:val="22"/>
          <w:szCs w:val="28"/>
        </w:rPr>
        <w:t>[7/ZTE, SC]</w:t>
      </w:r>
      <w:r w:rsidR="00AB3A6E">
        <w:rPr>
          <w:rFonts w:asciiTheme="minorHAnsi" w:hAnsiTheme="minorHAnsi" w:cstheme="minorHAnsi"/>
          <w:sz w:val="22"/>
          <w:szCs w:val="28"/>
        </w:rPr>
        <w:t>,</w:t>
      </w:r>
      <w:r w:rsidR="00AB3A6E">
        <w:rPr>
          <w:rFonts w:asciiTheme="minorHAnsi" w:hAnsiTheme="minorHAnsi" w:cstheme="minorHAnsi"/>
          <w:color w:val="000000" w:themeColor="text1"/>
          <w:sz w:val="22"/>
          <w:szCs w:val="28"/>
        </w:rPr>
        <w:t xml:space="preserve"> </w:t>
      </w:r>
      <w:r>
        <w:rPr>
          <w:rFonts w:asciiTheme="minorHAnsi" w:hAnsiTheme="minorHAnsi" w:cstheme="minorHAnsi"/>
          <w:color w:val="000000" w:themeColor="text1"/>
          <w:sz w:val="22"/>
          <w:szCs w:val="28"/>
        </w:rPr>
        <w:t>[8/OPPO],</w:t>
      </w:r>
      <w:r w:rsidR="000C6DDA">
        <w:rPr>
          <w:rFonts w:asciiTheme="minorHAnsi" w:hAnsiTheme="minorHAnsi" w:cstheme="minorHAnsi"/>
          <w:color w:val="000000" w:themeColor="text1"/>
          <w:sz w:val="22"/>
          <w:szCs w:val="28"/>
        </w:rPr>
        <w:t xml:space="preserve"> [11/</w:t>
      </w:r>
      <w:r w:rsidR="000C6DDA" w:rsidRPr="00324AA2">
        <w:rPr>
          <w:rFonts w:asciiTheme="minorHAnsi" w:hAnsiTheme="minorHAnsi" w:cstheme="minorHAnsi"/>
          <w:sz w:val="22"/>
          <w:szCs w:val="28"/>
        </w:rPr>
        <w:t>Intel],</w:t>
      </w:r>
      <w:r w:rsidRPr="00324AA2">
        <w:rPr>
          <w:rFonts w:asciiTheme="minorHAnsi" w:hAnsiTheme="minorHAnsi" w:cstheme="minorHAnsi"/>
          <w:sz w:val="22"/>
          <w:szCs w:val="28"/>
        </w:rPr>
        <w:t xml:space="preserve"> </w:t>
      </w:r>
      <w:r w:rsidR="004B5FF0">
        <w:rPr>
          <w:rFonts w:asciiTheme="minorHAnsi" w:hAnsiTheme="minorHAnsi" w:cstheme="minorHAnsi"/>
          <w:sz w:val="22"/>
          <w:szCs w:val="28"/>
        </w:rPr>
        <w:t xml:space="preserve">[14/NEC], </w:t>
      </w:r>
      <w:r w:rsidR="007353C0" w:rsidRPr="00044B62">
        <w:rPr>
          <w:rFonts w:asciiTheme="minorHAnsi" w:hAnsiTheme="minorHAnsi" w:cstheme="minorHAnsi"/>
          <w:sz w:val="22"/>
          <w:szCs w:val="28"/>
        </w:rPr>
        <w:t>[15/Transsion]</w:t>
      </w:r>
      <w:r w:rsidR="007353C0">
        <w:rPr>
          <w:rFonts w:asciiTheme="minorHAnsi" w:hAnsiTheme="minorHAnsi" w:cstheme="minorHAnsi"/>
          <w:sz w:val="22"/>
          <w:szCs w:val="28"/>
        </w:rPr>
        <w:t xml:space="preserve">, </w:t>
      </w:r>
      <w:r w:rsidR="003A58C3">
        <w:rPr>
          <w:rFonts w:asciiTheme="minorHAnsi" w:hAnsiTheme="minorHAnsi" w:cstheme="minorHAnsi"/>
          <w:sz w:val="22"/>
          <w:szCs w:val="28"/>
        </w:rPr>
        <w:t>[18/Lenovo],</w:t>
      </w:r>
      <w:r w:rsidR="003A58C3" w:rsidRPr="00324AA2">
        <w:rPr>
          <w:rFonts w:asciiTheme="minorHAnsi" w:hAnsiTheme="minorHAnsi" w:cstheme="minorHAnsi"/>
          <w:sz w:val="22"/>
          <w:szCs w:val="28"/>
        </w:rPr>
        <w:t xml:space="preserve"> </w:t>
      </w:r>
      <w:r w:rsidR="00557F41" w:rsidRPr="00324AA2">
        <w:rPr>
          <w:rFonts w:asciiTheme="minorHAnsi" w:hAnsiTheme="minorHAnsi" w:cstheme="minorHAnsi"/>
          <w:sz w:val="22"/>
          <w:szCs w:val="28"/>
        </w:rPr>
        <w:t>[</w:t>
      </w:r>
      <w:r w:rsidR="00BC644A" w:rsidRPr="00324AA2">
        <w:rPr>
          <w:rFonts w:asciiTheme="minorHAnsi" w:hAnsiTheme="minorHAnsi" w:cstheme="minorHAnsi"/>
          <w:sz w:val="22"/>
          <w:szCs w:val="28"/>
        </w:rPr>
        <w:t>19/CMCC</w:t>
      </w:r>
      <w:r w:rsidR="00557F41" w:rsidRPr="00324AA2">
        <w:rPr>
          <w:rFonts w:asciiTheme="minorHAnsi" w:hAnsiTheme="minorHAnsi" w:cstheme="minorHAnsi"/>
          <w:sz w:val="22"/>
          <w:szCs w:val="28"/>
        </w:rPr>
        <w:t xml:space="preserve">], </w:t>
      </w:r>
      <w:r w:rsidR="00234958" w:rsidRPr="00324AA2">
        <w:rPr>
          <w:rFonts w:asciiTheme="minorHAnsi" w:hAnsiTheme="minorHAnsi" w:cstheme="minorHAnsi"/>
          <w:sz w:val="22"/>
          <w:szCs w:val="28"/>
        </w:rPr>
        <w:t>[22/LGE</w:t>
      </w:r>
      <w:r w:rsidR="00234958">
        <w:rPr>
          <w:rFonts w:asciiTheme="minorHAnsi" w:hAnsiTheme="minorHAnsi" w:cstheme="minorHAnsi"/>
          <w:color w:val="000000" w:themeColor="text1"/>
          <w:sz w:val="22"/>
          <w:szCs w:val="28"/>
        </w:rPr>
        <w:t>] (PSSCH/PSCCH),</w:t>
      </w:r>
      <w:r w:rsidR="00234958" w:rsidRPr="00B81BBA">
        <w:rPr>
          <w:rFonts w:asciiTheme="minorHAnsi" w:hAnsiTheme="minorHAnsi" w:cstheme="minorHAnsi"/>
          <w:color w:val="000000" w:themeColor="text1"/>
          <w:sz w:val="22"/>
          <w:szCs w:val="28"/>
        </w:rPr>
        <w:t xml:space="preserve"> </w:t>
      </w:r>
      <w:r w:rsidR="009D660E" w:rsidRPr="009D660E">
        <w:rPr>
          <w:rFonts w:asciiTheme="minorHAnsi" w:hAnsiTheme="minorHAnsi" w:cstheme="minorHAnsi"/>
          <w:sz w:val="22"/>
          <w:szCs w:val="28"/>
        </w:rPr>
        <w:t>[25/</w:t>
      </w:r>
      <w:r w:rsidR="009D660E" w:rsidRPr="0090258E">
        <w:rPr>
          <w:rFonts w:asciiTheme="minorHAnsi" w:hAnsiTheme="minorHAnsi" w:cstheme="minorHAnsi"/>
          <w:sz w:val="22"/>
          <w:szCs w:val="28"/>
        </w:rPr>
        <w:t xml:space="preserve">Apple], </w:t>
      </w:r>
      <w:r w:rsidR="00477A78" w:rsidRPr="0090258E">
        <w:rPr>
          <w:rFonts w:asciiTheme="minorHAnsi" w:hAnsiTheme="minorHAnsi" w:cstheme="minorHAnsi"/>
          <w:sz w:val="22"/>
          <w:szCs w:val="28"/>
        </w:rPr>
        <w:t>[</w:t>
      </w:r>
      <w:r w:rsidR="007B2CAB" w:rsidRPr="0090258E">
        <w:rPr>
          <w:rFonts w:asciiTheme="minorHAnsi" w:hAnsiTheme="minorHAnsi" w:cstheme="minorHAnsi"/>
          <w:sz w:val="22"/>
          <w:szCs w:val="28"/>
        </w:rPr>
        <w:t>30/Sharp</w:t>
      </w:r>
      <w:r w:rsidR="00477A78" w:rsidRPr="0090258E">
        <w:rPr>
          <w:rFonts w:asciiTheme="minorHAnsi" w:hAnsiTheme="minorHAnsi" w:cstheme="minorHAnsi"/>
          <w:sz w:val="22"/>
          <w:szCs w:val="28"/>
        </w:rPr>
        <w:t>] (mode 1)</w:t>
      </w:r>
      <w:r w:rsidR="007C1409" w:rsidRPr="0090258E">
        <w:rPr>
          <w:rFonts w:asciiTheme="minorHAnsi" w:hAnsiTheme="minorHAnsi" w:cstheme="minorHAnsi"/>
          <w:sz w:val="22"/>
          <w:szCs w:val="28"/>
        </w:rPr>
        <w:t>, [</w:t>
      </w:r>
      <w:r w:rsidR="007B2CAB" w:rsidRPr="0090258E">
        <w:rPr>
          <w:rFonts w:asciiTheme="minorHAnsi" w:hAnsiTheme="minorHAnsi" w:cstheme="minorHAnsi"/>
          <w:sz w:val="22"/>
          <w:szCs w:val="28"/>
        </w:rPr>
        <w:t>31/Panasonic</w:t>
      </w:r>
      <w:r w:rsidR="007C1409" w:rsidRPr="00F43CF4">
        <w:rPr>
          <w:rFonts w:asciiTheme="minorHAnsi" w:hAnsiTheme="minorHAnsi" w:cstheme="minorHAnsi"/>
          <w:sz w:val="22"/>
          <w:szCs w:val="28"/>
        </w:rPr>
        <w:t>]</w:t>
      </w:r>
      <w:r w:rsidR="00114764" w:rsidRPr="00F43CF4">
        <w:rPr>
          <w:rFonts w:asciiTheme="minorHAnsi" w:hAnsiTheme="minorHAnsi" w:cstheme="minorHAnsi"/>
          <w:sz w:val="22"/>
          <w:szCs w:val="28"/>
        </w:rPr>
        <w:t xml:space="preserve">, </w:t>
      </w:r>
      <w:r w:rsidR="009D660E" w:rsidRPr="00F43CF4">
        <w:rPr>
          <w:rFonts w:asciiTheme="minorHAnsi" w:hAnsiTheme="minorHAnsi" w:cstheme="minorHAnsi"/>
          <w:sz w:val="22"/>
          <w:szCs w:val="28"/>
        </w:rPr>
        <w:t>[32</w:t>
      </w:r>
      <w:r w:rsidR="009D660E" w:rsidRPr="002628E8">
        <w:rPr>
          <w:rFonts w:asciiTheme="minorHAnsi" w:hAnsiTheme="minorHAnsi" w:cstheme="minorHAnsi"/>
          <w:sz w:val="22"/>
          <w:szCs w:val="28"/>
        </w:rPr>
        <w:t>/DCM],</w:t>
      </w:r>
      <w:r w:rsidR="009D660E" w:rsidRPr="009D660E">
        <w:rPr>
          <w:rFonts w:asciiTheme="minorHAnsi" w:hAnsiTheme="minorHAnsi" w:cstheme="minorHAnsi"/>
          <w:color w:val="000000" w:themeColor="text1"/>
          <w:sz w:val="22"/>
          <w:szCs w:val="28"/>
        </w:rPr>
        <w:t xml:space="preserve"> </w:t>
      </w:r>
      <w:r w:rsidR="009D660E" w:rsidRPr="00B81BBA">
        <w:rPr>
          <w:rFonts w:asciiTheme="minorHAnsi" w:hAnsiTheme="minorHAnsi" w:cstheme="minorHAnsi"/>
          <w:color w:val="000000" w:themeColor="text1"/>
          <w:sz w:val="22"/>
          <w:szCs w:val="28"/>
        </w:rPr>
        <w:t>[33/QC]</w:t>
      </w:r>
    </w:p>
    <w:p w14:paraId="56D0F8D9" w14:textId="4512468E" w:rsidR="00B939FC" w:rsidRDefault="00B939FC" w:rsidP="00920474">
      <w:pPr>
        <w:rPr>
          <w:lang w:eastAsia="x-none"/>
        </w:rPr>
      </w:pPr>
    </w:p>
    <w:p w14:paraId="32614B49" w14:textId="77777777" w:rsidR="006C777F" w:rsidRDefault="006C777F" w:rsidP="006C777F">
      <w:pPr>
        <w:pStyle w:val="ListParagraph"/>
        <w:numPr>
          <w:ilvl w:val="0"/>
          <w:numId w:val="15"/>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Others</w:t>
      </w:r>
    </w:p>
    <w:p w14:paraId="2F4371F2" w14:textId="74A280A8" w:rsidR="00460AE6" w:rsidRDefault="00460AE6" w:rsidP="00460AE6">
      <w:pPr>
        <w:pStyle w:val="ListParagraph"/>
        <w:numPr>
          <w:ilvl w:val="1"/>
          <w:numId w:val="15"/>
        </w:numPr>
        <w:ind w:leftChars="0"/>
        <w:jc w:val="both"/>
        <w:rPr>
          <w:rFonts w:asciiTheme="minorHAnsi" w:hAnsiTheme="minorHAnsi" w:cstheme="minorHAnsi"/>
          <w:sz w:val="22"/>
          <w:szCs w:val="28"/>
        </w:rPr>
      </w:pPr>
      <w:r w:rsidRPr="00460AE6">
        <w:rPr>
          <w:rFonts w:asciiTheme="minorHAnsi" w:hAnsiTheme="minorHAnsi" w:cstheme="minorHAnsi"/>
          <w:sz w:val="22"/>
          <w:szCs w:val="28"/>
        </w:rPr>
        <w:t>[6/vivo]: The design of wideband operation in SL-U should support direct communication between a UE operating in multiple RB sets and another UE can only operate in one or subset of the RB sets. The SL UE transmits SCI in every allocated RB set and avoid to reserve resources in RB set other than the RB sets of the receiver.</w:t>
      </w:r>
    </w:p>
    <w:p w14:paraId="192E994E" w14:textId="542520D5" w:rsidR="00C51191" w:rsidRPr="00460AE6" w:rsidRDefault="00C51191" w:rsidP="00460AE6">
      <w:pPr>
        <w:pStyle w:val="ListParagraph"/>
        <w:numPr>
          <w:ilvl w:val="1"/>
          <w:numId w:val="15"/>
        </w:numPr>
        <w:ind w:leftChars="0"/>
        <w:jc w:val="both"/>
        <w:rPr>
          <w:rFonts w:asciiTheme="minorHAnsi" w:hAnsiTheme="minorHAnsi" w:cstheme="minorHAnsi"/>
          <w:sz w:val="22"/>
          <w:szCs w:val="28"/>
        </w:rPr>
      </w:pPr>
      <w:r>
        <w:rPr>
          <w:rFonts w:asciiTheme="minorHAnsi" w:hAnsiTheme="minorHAnsi" w:cstheme="minorHAnsi"/>
          <w:sz w:val="22"/>
          <w:szCs w:val="28"/>
        </w:rPr>
        <w:t xml:space="preserve">[14/NEC]: </w:t>
      </w:r>
      <w:r w:rsidRPr="00C51191">
        <w:rPr>
          <w:rFonts w:asciiTheme="minorHAnsi" w:hAnsiTheme="minorHAnsi" w:cstheme="minorHAnsi"/>
          <w:sz w:val="22"/>
          <w:szCs w:val="28"/>
        </w:rPr>
        <w:t>Transmissions with different starting points on multiple channels should be supported for multi-channel operation in SL-U</w:t>
      </w:r>
      <w:r>
        <w:rPr>
          <w:rFonts w:asciiTheme="minorHAnsi" w:hAnsiTheme="minorHAnsi" w:cstheme="minorHAnsi"/>
          <w:sz w:val="22"/>
          <w:szCs w:val="28"/>
        </w:rPr>
        <w:t>.</w:t>
      </w:r>
    </w:p>
    <w:p w14:paraId="78A6CF08" w14:textId="77777777" w:rsidR="006C777F" w:rsidRPr="0041376C" w:rsidRDefault="006C777F" w:rsidP="0041376C">
      <w:pPr>
        <w:rPr>
          <w:rFonts w:asciiTheme="minorHAnsi" w:hAnsiTheme="minorHAnsi" w:cstheme="minorHAnsi"/>
          <w:sz w:val="22"/>
          <w:szCs w:val="28"/>
        </w:rPr>
      </w:pPr>
    </w:p>
    <w:p w14:paraId="560FDD59" w14:textId="77777777" w:rsidR="0041376C" w:rsidRDefault="0041376C" w:rsidP="0041376C">
      <w:pPr>
        <w:pStyle w:val="ListParagraph"/>
        <w:numPr>
          <w:ilvl w:val="0"/>
          <w:numId w:val="15"/>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Topics for further study</w:t>
      </w:r>
    </w:p>
    <w:p w14:paraId="01649A89" w14:textId="2896BE01" w:rsidR="00AB3A6E" w:rsidRPr="009B03B9" w:rsidRDefault="00AB3A6E" w:rsidP="006D33D6">
      <w:pPr>
        <w:pStyle w:val="ListParagraph"/>
        <w:numPr>
          <w:ilvl w:val="1"/>
          <w:numId w:val="15"/>
        </w:numPr>
        <w:ind w:leftChars="0"/>
        <w:rPr>
          <w:rFonts w:asciiTheme="minorHAnsi" w:hAnsiTheme="minorHAnsi" w:cstheme="minorHAnsi"/>
          <w:sz w:val="22"/>
          <w:szCs w:val="28"/>
        </w:rPr>
      </w:pPr>
      <w:r w:rsidRPr="009B03B9">
        <w:rPr>
          <w:rFonts w:asciiTheme="minorHAnsi" w:hAnsiTheme="minorHAnsi" w:cstheme="minorHAnsi"/>
          <w:sz w:val="22"/>
          <w:szCs w:val="28"/>
        </w:rPr>
        <w:t>[7/ZTE, SC]</w:t>
      </w:r>
      <w:r w:rsidR="00324AA2">
        <w:rPr>
          <w:rFonts w:asciiTheme="minorHAnsi" w:hAnsiTheme="minorHAnsi" w:cstheme="minorHAnsi"/>
          <w:sz w:val="22"/>
          <w:szCs w:val="28"/>
        </w:rPr>
        <w:t xml:space="preserve"> [19/CMCC]</w:t>
      </w:r>
      <w:r w:rsidRPr="009B03B9">
        <w:rPr>
          <w:rFonts w:asciiTheme="minorHAnsi" w:hAnsiTheme="minorHAnsi" w:cstheme="minorHAnsi"/>
          <w:sz w:val="22"/>
          <w:szCs w:val="28"/>
        </w:rPr>
        <w:t>: Multi-channel access mechanism for PSFCH</w:t>
      </w:r>
    </w:p>
    <w:p w14:paraId="37D84FC5" w14:textId="0BC469C8" w:rsidR="006D33D6" w:rsidRPr="00772D3B" w:rsidRDefault="006D33D6" w:rsidP="006D33D6">
      <w:pPr>
        <w:pStyle w:val="ListParagraph"/>
        <w:numPr>
          <w:ilvl w:val="1"/>
          <w:numId w:val="15"/>
        </w:numPr>
        <w:ind w:leftChars="0"/>
        <w:rPr>
          <w:rFonts w:asciiTheme="minorHAnsi" w:hAnsiTheme="minorHAnsi" w:cstheme="minorHAnsi"/>
          <w:sz w:val="22"/>
          <w:szCs w:val="28"/>
        </w:rPr>
      </w:pPr>
      <w:r w:rsidRPr="00772D3B">
        <w:rPr>
          <w:rFonts w:asciiTheme="minorHAnsi" w:hAnsiTheme="minorHAnsi" w:cstheme="minorHAnsi"/>
          <w:sz w:val="22"/>
          <w:szCs w:val="28"/>
        </w:rPr>
        <w:t>[</w:t>
      </w:r>
      <w:r w:rsidR="00772D3B" w:rsidRPr="00772D3B">
        <w:rPr>
          <w:rFonts w:asciiTheme="minorHAnsi" w:hAnsiTheme="minorHAnsi" w:cstheme="minorHAnsi"/>
          <w:sz w:val="22"/>
          <w:szCs w:val="28"/>
        </w:rPr>
        <w:t>9</w:t>
      </w:r>
      <w:r w:rsidRPr="00772D3B">
        <w:rPr>
          <w:rFonts w:asciiTheme="minorHAnsi" w:hAnsiTheme="minorHAnsi" w:cstheme="minorHAnsi"/>
          <w:sz w:val="22"/>
          <w:szCs w:val="28"/>
        </w:rPr>
        <w:t>/CATT, GH]</w:t>
      </w:r>
      <w:r w:rsidR="003A4755" w:rsidRPr="00772D3B">
        <w:rPr>
          <w:rFonts w:asciiTheme="minorHAnsi" w:hAnsiTheme="minorHAnsi" w:cstheme="minorHAnsi"/>
          <w:sz w:val="22"/>
          <w:szCs w:val="28"/>
        </w:rPr>
        <w:t>: For multiple channel access procedure,</w:t>
      </w:r>
    </w:p>
    <w:p w14:paraId="55327B20" w14:textId="77777777" w:rsidR="006D33D6" w:rsidRPr="00772D3B" w:rsidRDefault="006D33D6" w:rsidP="006D33D6">
      <w:pPr>
        <w:pStyle w:val="BodyText"/>
        <w:numPr>
          <w:ilvl w:val="2"/>
          <w:numId w:val="15"/>
        </w:numPr>
        <w:spacing w:after="0"/>
        <w:rPr>
          <w:rFonts w:asciiTheme="minorHAnsi" w:eastAsiaTheme="minorEastAsia" w:hAnsiTheme="minorHAnsi" w:cstheme="minorHAnsi"/>
          <w:bCs/>
          <w:iCs/>
          <w:sz w:val="22"/>
          <w:szCs w:val="28"/>
          <w:lang w:eastAsia="zh-CN"/>
        </w:rPr>
      </w:pPr>
      <w:r w:rsidRPr="00772D3B">
        <w:rPr>
          <w:rFonts w:asciiTheme="minorHAnsi" w:eastAsiaTheme="minorEastAsia" w:hAnsiTheme="minorHAnsi" w:cstheme="minorHAnsi"/>
          <w:bCs/>
          <w:iCs/>
          <w:sz w:val="22"/>
          <w:szCs w:val="28"/>
          <w:lang w:eastAsia="zh-CN"/>
        </w:rPr>
        <w:t>How to identify initial contention window counter N</w:t>
      </w:r>
      <w:r w:rsidRPr="00772D3B">
        <w:rPr>
          <w:rFonts w:asciiTheme="minorHAnsi" w:eastAsiaTheme="minorEastAsia" w:hAnsiTheme="minorHAnsi" w:cstheme="minorHAnsi"/>
          <w:bCs/>
          <w:iCs/>
          <w:sz w:val="22"/>
          <w:szCs w:val="28"/>
          <w:vertAlign w:val="subscript"/>
          <w:lang w:eastAsia="zh-CN"/>
        </w:rPr>
        <w:t>init</w:t>
      </w:r>
    </w:p>
    <w:p w14:paraId="0CAA6D1E" w14:textId="77777777" w:rsidR="006D33D6" w:rsidRPr="00772D3B" w:rsidRDefault="006D33D6" w:rsidP="006D33D6">
      <w:pPr>
        <w:pStyle w:val="BodyText"/>
        <w:numPr>
          <w:ilvl w:val="2"/>
          <w:numId w:val="15"/>
        </w:numPr>
        <w:spacing w:after="0"/>
        <w:rPr>
          <w:rFonts w:asciiTheme="minorHAnsi" w:eastAsiaTheme="minorEastAsia" w:hAnsiTheme="minorHAnsi" w:cstheme="minorHAnsi"/>
          <w:bCs/>
          <w:iCs/>
          <w:sz w:val="22"/>
          <w:szCs w:val="28"/>
          <w:lang w:eastAsia="zh-CN"/>
        </w:rPr>
      </w:pPr>
      <w:r w:rsidRPr="00772D3B">
        <w:rPr>
          <w:rFonts w:asciiTheme="minorHAnsi" w:eastAsiaTheme="minorEastAsia" w:hAnsiTheme="minorHAnsi" w:cstheme="minorHAnsi"/>
          <w:bCs/>
          <w:iCs/>
          <w:sz w:val="22"/>
          <w:szCs w:val="28"/>
          <w:lang w:eastAsia="zh-CN"/>
        </w:rPr>
        <w:t>How to perform COT sharing</w:t>
      </w:r>
    </w:p>
    <w:p w14:paraId="2E05FDA4" w14:textId="09FE7C18" w:rsidR="006D33D6" w:rsidRPr="00772D3B" w:rsidRDefault="006D33D6" w:rsidP="006D33D6">
      <w:pPr>
        <w:pStyle w:val="BodyText"/>
        <w:numPr>
          <w:ilvl w:val="2"/>
          <w:numId w:val="15"/>
        </w:numPr>
        <w:spacing w:after="0"/>
        <w:rPr>
          <w:rFonts w:asciiTheme="minorHAnsi" w:eastAsiaTheme="minorEastAsia" w:hAnsiTheme="minorHAnsi" w:cstheme="minorHAnsi"/>
          <w:bCs/>
          <w:iCs/>
          <w:sz w:val="22"/>
          <w:szCs w:val="28"/>
          <w:lang w:eastAsia="zh-CN"/>
        </w:rPr>
      </w:pPr>
      <w:r w:rsidRPr="00772D3B">
        <w:rPr>
          <w:rFonts w:asciiTheme="minorHAnsi" w:eastAsiaTheme="minorEastAsia" w:hAnsiTheme="minorHAnsi" w:cstheme="minorHAnsi"/>
          <w:bCs/>
          <w:iCs/>
          <w:sz w:val="22"/>
          <w:szCs w:val="28"/>
          <w:lang w:eastAsia="zh-CN"/>
        </w:rPr>
        <w:t>The impact of half duplex</w:t>
      </w:r>
    </w:p>
    <w:p w14:paraId="39AB7666" w14:textId="39F4785D" w:rsidR="0041376C" w:rsidRPr="009B03B9" w:rsidRDefault="0041376C" w:rsidP="0041376C">
      <w:pPr>
        <w:pStyle w:val="ListParagraph"/>
        <w:numPr>
          <w:ilvl w:val="1"/>
          <w:numId w:val="15"/>
        </w:numPr>
        <w:ind w:leftChars="0"/>
        <w:rPr>
          <w:rFonts w:asciiTheme="minorHAnsi" w:hAnsiTheme="minorHAnsi" w:cstheme="minorHAnsi"/>
          <w:sz w:val="22"/>
          <w:szCs w:val="28"/>
        </w:rPr>
      </w:pPr>
      <w:r w:rsidRPr="009B03B9">
        <w:rPr>
          <w:rFonts w:asciiTheme="minorHAnsi" w:hAnsiTheme="minorHAnsi" w:cstheme="minorHAnsi"/>
          <w:sz w:val="22"/>
          <w:szCs w:val="28"/>
        </w:rPr>
        <w:t>[</w:t>
      </w:r>
      <w:r w:rsidR="007B2CAB" w:rsidRPr="009B03B9">
        <w:rPr>
          <w:rFonts w:asciiTheme="minorHAnsi" w:hAnsiTheme="minorHAnsi" w:cstheme="minorHAnsi"/>
          <w:sz w:val="22"/>
          <w:szCs w:val="28"/>
        </w:rPr>
        <w:t>33/QC</w:t>
      </w:r>
      <w:r w:rsidRPr="009B03B9">
        <w:rPr>
          <w:rFonts w:asciiTheme="minorHAnsi" w:hAnsiTheme="minorHAnsi" w:cstheme="minorHAnsi"/>
          <w:sz w:val="22"/>
          <w:szCs w:val="28"/>
        </w:rPr>
        <w:t>]: Study simultaneous UL and SL transmissions over the unlicensed carrier, and multi-channel access mechanisms for simultaneous UL and SL transmissions.</w:t>
      </w:r>
    </w:p>
    <w:p w14:paraId="2533AD83" w14:textId="77777777" w:rsidR="00F15EED" w:rsidRPr="007217D9" w:rsidRDefault="00F15EED" w:rsidP="007217D9">
      <w:pPr>
        <w:rPr>
          <w:lang w:eastAsia="x-none"/>
        </w:rPr>
      </w:pPr>
    </w:p>
    <w:p w14:paraId="00207565" w14:textId="63515F7A" w:rsidR="005D57A1" w:rsidRDefault="005D57A1" w:rsidP="001B3E12">
      <w:pPr>
        <w:pStyle w:val="Heading2"/>
      </w:pPr>
      <w:r>
        <w:t>CP extension</w:t>
      </w:r>
      <w:r w:rsidR="002E740A">
        <w:t xml:space="preserve"> (CPE)</w:t>
      </w:r>
    </w:p>
    <w:p w14:paraId="68980F06" w14:textId="684FB41C" w:rsidR="004B0088" w:rsidRDefault="004A3C8F" w:rsidP="004B0088">
      <w:pPr>
        <w:pStyle w:val="ListParagraph"/>
        <w:numPr>
          <w:ilvl w:val="0"/>
          <w:numId w:val="15"/>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Starting position / CPE l</w:t>
      </w:r>
      <w:r w:rsidR="004B0088">
        <w:rPr>
          <w:rFonts w:asciiTheme="minorHAnsi" w:hAnsiTheme="minorHAnsi" w:cstheme="minorHAnsi"/>
          <w:b/>
          <w:bCs/>
          <w:sz w:val="22"/>
          <w:szCs w:val="28"/>
          <w:u w:val="single"/>
        </w:rPr>
        <w:t>ength</w:t>
      </w:r>
    </w:p>
    <w:p w14:paraId="73ACD9D2" w14:textId="1C37C04B" w:rsidR="00B1444B" w:rsidRDefault="00B1444B" w:rsidP="005F4989">
      <w:pPr>
        <w:pStyle w:val="ListParagraph"/>
        <w:numPr>
          <w:ilvl w:val="1"/>
          <w:numId w:val="15"/>
        </w:numPr>
        <w:ind w:leftChars="0"/>
        <w:rPr>
          <w:rFonts w:asciiTheme="minorHAnsi" w:hAnsiTheme="minorHAnsi" w:cstheme="minorHAnsi"/>
          <w:sz w:val="22"/>
          <w:szCs w:val="28"/>
        </w:rPr>
      </w:pPr>
      <w:r>
        <w:rPr>
          <w:rFonts w:asciiTheme="minorHAnsi" w:hAnsiTheme="minorHAnsi" w:cstheme="minorHAnsi"/>
          <w:sz w:val="22"/>
          <w:szCs w:val="28"/>
        </w:rPr>
        <w:t xml:space="preserve">Multiple starting positions / access points within the GP symbol based on transmission priority level (e.g., CAPC), at least for the whole RB set or multiple RB sets </w:t>
      </w:r>
    </w:p>
    <w:p w14:paraId="575CC30A" w14:textId="575A381D" w:rsidR="00B1444B" w:rsidRDefault="00B1444B" w:rsidP="00B1444B">
      <w:pPr>
        <w:pStyle w:val="ListParagraph"/>
        <w:numPr>
          <w:ilvl w:val="2"/>
          <w:numId w:val="15"/>
        </w:numPr>
        <w:ind w:leftChars="0"/>
        <w:rPr>
          <w:rFonts w:asciiTheme="minorHAnsi" w:hAnsiTheme="minorHAnsi" w:cstheme="minorHAnsi"/>
          <w:sz w:val="22"/>
          <w:szCs w:val="28"/>
        </w:rPr>
      </w:pPr>
      <w:r>
        <w:rPr>
          <w:rFonts w:asciiTheme="minorHAnsi" w:hAnsiTheme="minorHAnsi" w:cstheme="minorHAnsi"/>
          <w:sz w:val="22"/>
          <w:szCs w:val="28"/>
        </w:rPr>
        <w:t xml:space="preserve">[4/HW, HiSi], </w:t>
      </w:r>
      <w:r w:rsidR="00F22FB9">
        <w:rPr>
          <w:rFonts w:asciiTheme="minorHAnsi" w:hAnsiTheme="minorHAnsi" w:cstheme="minorHAnsi"/>
          <w:sz w:val="22"/>
          <w:szCs w:val="28"/>
        </w:rPr>
        <w:t xml:space="preserve">[11/Intel], </w:t>
      </w:r>
      <w:r>
        <w:rPr>
          <w:rFonts w:asciiTheme="minorHAnsi" w:hAnsiTheme="minorHAnsi" w:cstheme="minorHAnsi"/>
          <w:sz w:val="22"/>
          <w:szCs w:val="28"/>
        </w:rPr>
        <w:t>[33/QC]</w:t>
      </w:r>
      <w:r w:rsidR="00911DBC">
        <w:rPr>
          <w:rFonts w:asciiTheme="minorHAnsi" w:hAnsiTheme="minorHAnsi" w:cstheme="minorHAnsi"/>
          <w:sz w:val="22"/>
          <w:szCs w:val="28"/>
        </w:rPr>
        <w:t xml:space="preserve">, </w:t>
      </w:r>
      <w:r w:rsidR="00911DBC" w:rsidRPr="00442485">
        <w:rPr>
          <w:rFonts w:asciiTheme="minorHAnsi" w:hAnsiTheme="minorHAnsi" w:cstheme="minorHAnsi"/>
          <w:sz w:val="22"/>
          <w:szCs w:val="28"/>
        </w:rPr>
        <w:t>[27/IDC]</w:t>
      </w:r>
    </w:p>
    <w:p w14:paraId="221DBAB5" w14:textId="4D5BB7E7" w:rsidR="00B1444B" w:rsidRDefault="006D3366" w:rsidP="005F4989">
      <w:pPr>
        <w:pStyle w:val="ListParagraph"/>
        <w:numPr>
          <w:ilvl w:val="1"/>
          <w:numId w:val="15"/>
        </w:numPr>
        <w:ind w:leftChars="0"/>
        <w:rPr>
          <w:rFonts w:asciiTheme="minorHAnsi" w:hAnsiTheme="minorHAnsi" w:cstheme="minorHAnsi"/>
          <w:sz w:val="22"/>
          <w:szCs w:val="28"/>
        </w:rPr>
      </w:pPr>
      <w:r>
        <w:rPr>
          <w:rFonts w:asciiTheme="minorHAnsi" w:hAnsiTheme="minorHAnsi" w:cstheme="minorHAnsi"/>
          <w:sz w:val="22"/>
          <w:szCs w:val="28"/>
        </w:rPr>
        <w:t>For PSFCH and/or</w:t>
      </w:r>
      <w:r w:rsidR="00B1444B">
        <w:rPr>
          <w:rFonts w:asciiTheme="minorHAnsi" w:hAnsiTheme="minorHAnsi" w:cstheme="minorHAnsi"/>
          <w:sz w:val="22"/>
          <w:szCs w:val="28"/>
        </w:rPr>
        <w:t xml:space="preserve"> transmitting only a partial RB set, a single / same starting position for CPE</w:t>
      </w:r>
    </w:p>
    <w:p w14:paraId="53E86B30" w14:textId="61B7C88D" w:rsidR="009C13C7" w:rsidRDefault="009C13C7" w:rsidP="009C13C7">
      <w:pPr>
        <w:pStyle w:val="ListParagraph"/>
        <w:numPr>
          <w:ilvl w:val="2"/>
          <w:numId w:val="15"/>
        </w:numPr>
        <w:ind w:leftChars="0"/>
        <w:rPr>
          <w:rFonts w:asciiTheme="minorHAnsi" w:hAnsiTheme="minorHAnsi" w:cstheme="minorHAnsi"/>
          <w:sz w:val="22"/>
          <w:szCs w:val="28"/>
        </w:rPr>
      </w:pPr>
      <w:r>
        <w:rPr>
          <w:rFonts w:asciiTheme="minorHAnsi" w:hAnsiTheme="minorHAnsi" w:cstheme="minorHAnsi"/>
          <w:sz w:val="22"/>
          <w:szCs w:val="28"/>
        </w:rPr>
        <w:t>Configurable starting position / CPE length</w:t>
      </w:r>
    </w:p>
    <w:p w14:paraId="6295A5C2" w14:textId="48492EA4" w:rsidR="009C13C7" w:rsidRPr="009C13C7" w:rsidRDefault="009C13C7" w:rsidP="009C13C7">
      <w:pPr>
        <w:pStyle w:val="ListParagraph"/>
        <w:numPr>
          <w:ilvl w:val="3"/>
          <w:numId w:val="15"/>
        </w:numPr>
        <w:ind w:leftChars="0"/>
        <w:rPr>
          <w:rFonts w:asciiTheme="minorHAnsi" w:hAnsiTheme="minorHAnsi" w:cstheme="minorHAnsi"/>
          <w:sz w:val="22"/>
          <w:szCs w:val="28"/>
        </w:rPr>
      </w:pPr>
      <w:r w:rsidRPr="009C13C7">
        <w:rPr>
          <w:rFonts w:asciiTheme="minorHAnsi" w:hAnsiTheme="minorHAnsi" w:cstheme="minorHAnsi"/>
          <w:sz w:val="22"/>
          <w:szCs w:val="28"/>
        </w:rPr>
        <w:lastRenderedPageBreak/>
        <w:t xml:space="preserve">[4/HW, HiSi] (Mode 1), [5/Spreadtrum] (PSFCH), </w:t>
      </w:r>
      <w:r w:rsidR="00FC1ECA">
        <w:rPr>
          <w:rFonts w:asciiTheme="minorHAnsi" w:hAnsiTheme="minorHAnsi" w:cstheme="minorHAnsi"/>
          <w:sz w:val="22"/>
          <w:szCs w:val="28"/>
        </w:rPr>
        <w:t xml:space="preserve">[8/OPPO, </w:t>
      </w:r>
      <w:r w:rsidRPr="009C13C7">
        <w:rPr>
          <w:rFonts w:asciiTheme="minorHAnsi" w:hAnsiTheme="minorHAnsi" w:cstheme="minorHAnsi"/>
          <w:sz w:val="22"/>
          <w:szCs w:val="28"/>
        </w:rPr>
        <w:t xml:space="preserve">32/DCM] (not only partial RB set), </w:t>
      </w:r>
      <w:r w:rsidR="00FC1ECA">
        <w:rPr>
          <w:rFonts w:asciiTheme="minorHAnsi" w:hAnsiTheme="minorHAnsi" w:cstheme="minorHAnsi"/>
          <w:sz w:val="22"/>
          <w:szCs w:val="28"/>
        </w:rPr>
        <w:t>[33/QC]</w:t>
      </w:r>
    </w:p>
    <w:p w14:paraId="656105DB" w14:textId="262E84D8" w:rsidR="009C13C7" w:rsidRDefault="00FC1ECA" w:rsidP="009C13C7">
      <w:pPr>
        <w:pStyle w:val="ListParagraph"/>
        <w:numPr>
          <w:ilvl w:val="2"/>
          <w:numId w:val="15"/>
        </w:numPr>
        <w:ind w:leftChars="0"/>
        <w:rPr>
          <w:rFonts w:asciiTheme="minorHAnsi" w:hAnsiTheme="minorHAnsi" w:cstheme="minorHAnsi"/>
          <w:sz w:val="22"/>
          <w:szCs w:val="28"/>
        </w:rPr>
      </w:pPr>
      <w:r>
        <w:rPr>
          <w:rFonts w:asciiTheme="minorHAnsi" w:hAnsiTheme="minorHAnsi" w:cstheme="minorHAnsi"/>
          <w:sz w:val="22"/>
          <w:szCs w:val="28"/>
        </w:rPr>
        <w:t xml:space="preserve">Based on </w:t>
      </w:r>
      <w:r w:rsidR="00265379">
        <w:rPr>
          <w:rFonts w:asciiTheme="minorHAnsi" w:hAnsiTheme="minorHAnsi" w:cstheme="minorHAnsi"/>
          <w:sz w:val="22"/>
          <w:szCs w:val="28"/>
        </w:rPr>
        <w:t xml:space="preserve">CAPC of </w:t>
      </w:r>
      <w:r>
        <w:rPr>
          <w:rFonts w:asciiTheme="minorHAnsi" w:hAnsiTheme="minorHAnsi" w:cstheme="minorHAnsi"/>
          <w:sz w:val="22"/>
          <w:szCs w:val="28"/>
        </w:rPr>
        <w:t>existing reservations in the same slot</w:t>
      </w:r>
    </w:p>
    <w:p w14:paraId="61AB12D5" w14:textId="53F65E8D" w:rsidR="00265379" w:rsidRDefault="00265379" w:rsidP="00265379">
      <w:pPr>
        <w:pStyle w:val="ListParagraph"/>
        <w:numPr>
          <w:ilvl w:val="3"/>
          <w:numId w:val="15"/>
        </w:numPr>
        <w:ind w:leftChars="0"/>
        <w:rPr>
          <w:rFonts w:asciiTheme="minorHAnsi" w:hAnsiTheme="minorHAnsi" w:cstheme="minorHAnsi"/>
          <w:sz w:val="22"/>
          <w:szCs w:val="28"/>
        </w:rPr>
      </w:pPr>
      <w:r>
        <w:rPr>
          <w:rFonts w:asciiTheme="minorHAnsi" w:hAnsiTheme="minorHAnsi" w:cstheme="minorHAnsi"/>
          <w:sz w:val="22"/>
          <w:szCs w:val="28"/>
        </w:rPr>
        <w:t>[33/QC]</w:t>
      </w:r>
    </w:p>
    <w:p w14:paraId="119E6986" w14:textId="08781E9C" w:rsidR="00D3219F" w:rsidRDefault="005F4989" w:rsidP="00CF522B">
      <w:pPr>
        <w:pStyle w:val="ListParagraph"/>
        <w:numPr>
          <w:ilvl w:val="1"/>
          <w:numId w:val="15"/>
        </w:numPr>
        <w:ind w:leftChars="0"/>
        <w:jc w:val="both"/>
        <w:rPr>
          <w:rFonts w:asciiTheme="minorHAnsi" w:hAnsiTheme="minorHAnsi" w:cstheme="minorHAnsi"/>
          <w:sz w:val="22"/>
          <w:szCs w:val="28"/>
        </w:rPr>
      </w:pPr>
      <w:r>
        <w:rPr>
          <w:rFonts w:asciiTheme="minorHAnsi" w:hAnsiTheme="minorHAnsi" w:cstheme="minorHAnsi"/>
          <w:sz w:val="22"/>
          <w:szCs w:val="28"/>
        </w:rPr>
        <w:t>[</w:t>
      </w:r>
      <w:r w:rsidR="00AA2CCF">
        <w:rPr>
          <w:rFonts w:asciiTheme="minorHAnsi" w:hAnsiTheme="minorHAnsi" w:cstheme="minorHAnsi"/>
          <w:sz w:val="22"/>
          <w:szCs w:val="28"/>
        </w:rPr>
        <w:t>4</w:t>
      </w:r>
      <w:r>
        <w:rPr>
          <w:rFonts w:asciiTheme="minorHAnsi" w:hAnsiTheme="minorHAnsi" w:cstheme="minorHAnsi"/>
          <w:sz w:val="22"/>
          <w:szCs w:val="28"/>
        </w:rPr>
        <w:t>/HW, HiSi]:</w:t>
      </w:r>
      <w:r w:rsidR="009C13C7">
        <w:rPr>
          <w:rFonts w:asciiTheme="minorHAnsi" w:hAnsiTheme="minorHAnsi" w:cstheme="minorHAnsi"/>
          <w:sz w:val="22"/>
          <w:szCs w:val="28"/>
        </w:rPr>
        <w:t xml:space="preserve"> </w:t>
      </w:r>
      <w:r w:rsidR="00D3219F" w:rsidRPr="009C13C7">
        <w:rPr>
          <w:rFonts w:asciiTheme="minorHAnsi" w:hAnsiTheme="minorHAnsi" w:cstheme="minorHAnsi"/>
          <w:sz w:val="22"/>
          <w:szCs w:val="28"/>
        </w:rPr>
        <w:t>For a shared COT, the CPE length is indicated in the COT sharing information in SCI.</w:t>
      </w:r>
    </w:p>
    <w:p w14:paraId="5CC16989" w14:textId="77777777" w:rsidR="00911DBC" w:rsidRPr="0094152F" w:rsidRDefault="00911DBC" w:rsidP="00911DBC">
      <w:pPr>
        <w:pStyle w:val="ListParagraph"/>
        <w:numPr>
          <w:ilvl w:val="1"/>
          <w:numId w:val="15"/>
        </w:numPr>
        <w:ind w:leftChars="0"/>
        <w:jc w:val="both"/>
        <w:rPr>
          <w:rFonts w:asciiTheme="minorHAnsi" w:hAnsiTheme="minorHAnsi" w:cstheme="minorHAnsi"/>
          <w:sz w:val="22"/>
          <w:szCs w:val="28"/>
        </w:rPr>
      </w:pPr>
      <w:r>
        <w:rPr>
          <w:rFonts w:asciiTheme="minorHAnsi" w:hAnsiTheme="minorHAnsi" w:cstheme="minorHAnsi"/>
          <w:sz w:val="22"/>
          <w:szCs w:val="28"/>
        </w:rPr>
        <w:t xml:space="preserve">[11/Intel]: </w:t>
      </w:r>
      <w:r w:rsidRPr="0094152F">
        <w:rPr>
          <w:rFonts w:asciiTheme="minorHAnsi" w:hAnsiTheme="minorHAnsi" w:cstheme="minorHAnsi"/>
          <w:sz w:val="22"/>
          <w:szCs w:val="22"/>
        </w:rPr>
        <w:t xml:space="preserve">Before a PSFCH transmission, a UE appends a CPE of length equal to </w:t>
      </w:r>
      <m:oMath>
        <m:sSubSup>
          <m:sSubSupPr>
            <m:ctrlPr>
              <w:rPr>
                <w:rFonts w:ascii="Cambria Math" w:hAnsi="Cambria Math" w:cstheme="minorHAnsi"/>
                <w:i/>
                <w:iCs/>
                <w:sz w:val="22"/>
                <w:szCs w:val="22"/>
              </w:rPr>
            </m:ctrlPr>
          </m:sSubSupPr>
          <m:e>
            <m:r>
              <w:rPr>
                <w:rFonts w:ascii="Cambria Math" w:hAnsi="Cambria Math" w:cstheme="minorHAnsi"/>
                <w:sz w:val="22"/>
                <w:szCs w:val="22"/>
              </w:rPr>
              <m:t>T</m:t>
            </m:r>
          </m:e>
          <m:sub>
            <m:r>
              <m:rPr>
                <m:sty m:val="p"/>
              </m:rPr>
              <w:rPr>
                <w:rFonts w:ascii="Cambria Math" w:hAnsi="Cambria Math" w:cstheme="minorHAnsi"/>
                <w:sz w:val="22"/>
                <w:szCs w:val="22"/>
              </w:rPr>
              <m:t>symb,  </m:t>
            </m:r>
            <m:d>
              <m:dPr>
                <m:ctrlPr>
                  <w:rPr>
                    <w:rFonts w:ascii="Cambria Math" w:hAnsi="Cambria Math" w:cstheme="minorHAnsi"/>
                    <w:i/>
                    <w:iCs/>
                    <w:sz w:val="22"/>
                    <w:szCs w:val="22"/>
                  </w:rPr>
                </m:ctrlPr>
              </m:dPr>
              <m:e>
                <m:r>
                  <w:rPr>
                    <w:rFonts w:ascii="Cambria Math" w:hAnsi="Cambria Math" w:cstheme="minorHAnsi"/>
                    <w:sz w:val="22"/>
                    <w:szCs w:val="22"/>
                  </w:rPr>
                  <m:t>l-1</m:t>
                </m:r>
              </m:e>
            </m:d>
            <m:r>
              <m:rPr>
                <m:sty m:val="p"/>
              </m:rPr>
              <w:rPr>
                <w:rFonts w:ascii="Cambria Math" w:hAnsi="Cambria Math" w:cstheme="minorHAnsi"/>
                <w:sz w:val="22"/>
                <w:szCs w:val="22"/>
              </w:rPr>
              <m:t>mod 7∙</m:t>
            </m:r>
            <m:sSup>
              <m:sSupPr>
                <m:ctrlPr>
                  <w:rPr>
                    <w:rFonts w:ascii="Cambria Math" w:hAnsi="Cambria Math" w:cstheme="minorHAnsi"/>
                    <w:i/>
                    <w:iCs/>
                    <w:sz w:val="22"/>
                    <w:szCs w:val="22"/>
                  </w:rPr>
                </m:ctrlPr>
              </m:sSupPr>
              <m:e>
                <m:r>
                  <m:rPr>
                    <m:sty m:val="p"/>
                  </m:rPr>
                  <w:rPr>
                    <w:rFonts w:ascii="Cambria Math" w:hAnsi="Cambria Math" w:cstheme="minorHAnsi"/>
                    <w:sz w:val="22"/>
                    <w:szCs w:val="22"/>
                  </w:rPr>
                  <m:t>2</m:t>
                </m:r>
              </m:e>
              <m:sup>
                <m:r>
                  <w:rPr>
                    <w:rFonts w:ascii="Cambria Math" w:hAnsi="Cambria Math" w:cstheme="minorHAnsi"/>
                    <w:sz w:val="22"/>
                    <w:szCs w:val="22"/>
                  </w:rPr>
                  <m:t>μ</m:t>
                </m:r>
              </m:sup>
            </m:sSup>
            <m:r>
              <m:rPr>
                <m:sty m:val="p"/>
              </m:rPr>
              <w:rPr>
                <w:rFonts w:ascii="Cambria Math" w:hAnsi="Cambria Math" w:cstheme="minorHAnsi"/>
                <w:sz w:val="22"/>
                <w:szCs w:val="22"/>
              </w:rPr>
              <m:t> </m:t>
            </m:r>
          </m:sub>
          <m:sup>
            <m:r>
              <w:rPr>
                <w:rFonts w:ascii="Cambria Math" w:hAnsi="Cambria Math" w:cstheme="minorHAnsi"/>
                <w:sz w:val="22"/>
                <w:szCs w:val="22"/>
              </w:rPr>
              <m:t>μ</m:t>
            </m:r>
          </m:sup>
        </m:sSubSup>
        <m:r>
          <w:rPr>
            <w:rFonts w:ascii="Cambria Math" w:hAnsi="Cambria Math" w:cstheme="minorHAnsi"/>
            <w:sz w:val="22"/>
            <w:szCs w:val="22"/>
          </w:rPr>
          <m:t> -13</m:t>
        </m:r>
      </m:oMath>
      <w:r w:rsidRPr="0094152F">
        <w:rPr>
          <w:rFonts w:asciiTheme="minorHAnsi" w:hAnsiTheme="minorHAnsi" w:cstheme="minorHAnsi"/>
          <w:sz w:val="22"/>
          <w:szCs w:val="22"/>
        </w:rPr>
        <w:t xml:space="preserve"> us.</w:t>
      </w:r>
    </w:p>
    <w:p w14:paraId="2EAA5DC9" w14:textId="715D80EA" w:rsidR="001A21D5" w:rsidRDefault="001A21D5" w:rsidP="00CF522B">
      <w:pPr>
        <w:pStyle w:val="ListParagraph"/>
        <w:numPr>
          <w:ilvl w:val="1"/>
          <w:numId w:val="15"/>
        </w:numPr>
        <w:ind w:leftChars="0"/>
        <w:jc w:val="both"/>
        <w:rPr>
          <w:rFonts w:asciiTheme="minorHAnsi" w:hAnsiTheme="minorHAnsi" w:cstheme="minorHAnsi"/>
          <w:sz w:val="22"/>
          <w:szCs w:val="28"/>
        </w:rPr>
      </w:pPr>
      <w:r>
        <w:rPr>
          <w:rFonts w:asciiTheme="minorHAnsi" w:hAnsiTheme="minorHAnsi" w:cstheme="minorHAnsi"/>
          <w:sz w:val="22"/>
          <w:szCs w:val="28"/>
        </w:rPr>
        <w:t xml:space="preserve">[32/DCM]: </w:t>
      </w:r>
      <w:r w:rsidRPr="001A21D5">
        <w:rPr>
          <w:rFonts w:asciiTheme="minorHAnsi" w:hAnsiTheme="minorHAnsi" w:cstheme="minorHAnsi"/>
          <w:sz w:val="22"/>
          <w:szCs w:val="28"/>
        </w:rPr>
        <w:t xml:space="preserve">For Type 2X, study the following options on how </w:t>
      </w:r>
      <w:r>
        <w:rPr>
          <w:rFonts w:asciiTheme="minorHAnsi" w:hAnsiTheme="minorHAnsi" w:cstheme="minorHAnsi"/>
          <w:sz w:val="22"/>
          <w:szCs w:val="28"/>
        </w:rPr>
        <w:t xml:space="preserve">CPE </w:t>
      </w:r>
      <w:r w:rsidRPr="001A21D5">
        <w:rPr>
          <w:rFonts w:asciiTheme="minorHAnsi" w:hAnsiTheme="minorHAnsi" w:cstheme="minorHAnsi"/>
          <w:sz w:val="22"/>
          <w:szCs w:val="28"/>
        </w:rPr>
        <w:t>transmission timing is aligned among UEs.</w:t>
      </w:r>
    </w:p>
    <w:p w14:paraId="61A1C0D9" w14:textId="77777777" w:rsidR="001A21D5" w:rsidRPr="001A21D5" w:rsidRDefault="001A21D5" w:rsidP="001A21D5">
      <w:pPr>
        <w:numPr>
          <w:ilvl w:val="2"/>
          <w:numId w:val="15"/>
        </w:numPr>
        <w:ind w:left="2154" w:hanging="357"/>
        <w:rPr>
          <w:rFonts w:asciiTheme="minorHAnsi" w:eastAsiaTheme="minorEastAsia" w:hAnsiTheme="minorHAnsi" w:cstheme="minorHAnsi"/>
          <w:i/>
          <w:sz w:val="22"/>
          <w:lang w:val="en-US"/>
        </w:rPr>
      </w:pPr>
      <w:r w:rsidRPr="001A21D5">
        <w:rPr>
          <w:rFonts w:asciiTheme="minorHAnsi" w:eastAsiaTheme="minorEastAsia" w:hAnsiTheme="minorHAnsi" w:cstheme="minorHAnsi"/>
          <w:iCs/>
          <w:sz w:val="22"/>
        </w:rPr>
        <w:t>Option 1: For any TX, UE performs CPE with a duration (pre-)configured per resource pool</w:t>
      </w:r>
    </w:p>
    <w:p w14:paraId="157040D7" w14:textId="77777777" w:rsidR="001A21D5" w:rsidRPr="001A21D5" w:rsidRDefault="001A21D5" w:rsidP="001A21D5">
      <w:pPr>
        <w:numPr>
          <w:ilvl w:val="2"/>
          <w:numId w:val="15"/>
        </w:numPr>
        <w:ind w:left="2154" w:hanging="357"/>
        <w:rPr>
          <w:rFonts w:asciiTheme="minorHAnsi" w:eastAsiaTheme="minorEastAsia" w:hAnsiTheme="minorHAnsi" w:cstheme="minorHAnsi"/>
          <w:i/>
          <w:sz w:val="22"/>
          <w:lang w:val="en-US"/>
        </w:rPr>
      </w:pPr>
      <w:r w:rsidRPr="001A21D5">
        <w:rPr>
          <w:rFonts w:asciiTheme="minorHAnsi" w:eastAsiaTheme="minorEastAsia" w:hAnsiTheme="minorHAnsi" w:cstheme="minorHAnsi"/>
          <w:iCs/>
          <w:sz w:val="22"/>
        </w:rPr>
        <w:t>Option 2: For COT sharing case, UE performs CPE to apply Type 2X LBT defined or (pre-)configured per resource pool</w:t>
      </w:r>
    </w:p>
    <w:p w14:paraId="28D30747" w14:textId="432A05FF" w:rsidR="001A21D5" w:rsidRPr="001A21D5" w:rsidRDefault="001A21D5" w:rsidP="001A21D5">
      <w:pPr>
        <w:numPr>
          <w:ilvl w:val="2"/>
          <w:numId w:val="15"/>
        </w:numPr>
        <w:ind w:left="2154" w:hanging="357"/>
        <w:rPr>
          <w:rFonts w:asciiTheme="minorHAnsi" w:eastAsiaTheme="minorEastAsia" w:hAnsiTheme="minorHAnsi" w:cstheme="minorHAnsi"/>
          <w:i/>
          <w:sz w:val="22"/>
          <w:lang w:val="en-US"/>
        </w:rPr>
      </w:pPr>
      <w:r w:rsidRPr="001A21D5">
        <w:rPr>
          <w:rFonts w:asciiTheme="minorHAnsi" w:eastAsiaTheme="minorEastAsia" w:hAnsiTheme="minorHAnsi" w:cstheme="minorHAnsi"/>
          <w:iCs/>
          <w:sz w:val="22"/>
        </w:rPr>
        <w:t>Option 3: For COT sharing case, UE performs CPE to apply Type 2X LBT indicated in some previous TX</w:t>
      </w:r>
    </w:p>
    <w:p w14:paraId="0C892CD4" w14:textId="00896934" w:rsidR="0094152F" w:rsidRPr="003B0416" w:rsidRDefault="00CF522B" w:rsidP="003B0416">
      <w:pPr>
        <w:pStyle w:val="ListParagraph"/>
        <w:numPr>
          <w:ilvl w:val="1"/>
          <w:numId w:val="15"/>
        </w:numPr>
        <w:ind w:leftChars="0"/>
        <w:jc w:val="both"/>
        <w:rPr>
          <w:rFonts w:asciiTheme="minorHAnsi" w:hAnsiTheme="minorHAnsi" w:cstheme="minorHAnsi"/>
          <w:sz w:val="22"/>
          <w:szCs w:val="28"/>
        </w:rPr>
      </w:pPr>
      <w:r>
        <w:rPr>
          <w:rFonts w:asciiTheme="minorHAnsi" w:hAnsiTheme="minorHAnsi" w:cstheme="minorHAnsi"/>
          <w:sz w:val="22"/>
          <w:szCs w:val="28"/>
        </w:rPr>
        <w:t xml:space="preserve">[33/QC] [4/HW, HiSi]: </w:t>
      </w:r>
      <w:r w:rsidRPr="00CF522B">
        <w:rPr>
          <w:rFonts w:asciiTheme="minorHAnsi" w:hAnsiTheme="minorHAnsi" w:cstheme="minorHAnsi"/>
          <w:sz w:val="22"/>
          <w:szCs w:val="28"/>
        </w:rPr>
        <w:t xml:space="preserve">For </w:t>
      </w:r>
      <w:r>
        <w:rPr>
          <w:rFonts w:asciiTheme="minorHAnsi" w:hAnsiTheme="minorHAnsi" w:cstheme="minorHAnsi"/>
          <w:sz w:val="22"/>
          <w:szCs w:val="28"/>
        </w:rPr>
        <w:t xml:space="preserve">initiating a COT or </w:t>
      </w:r>
      <w:r w:rsidRPr="00CF522B">
        <w:rPr>
          <w:rFonts w:asciiTheme="minorHAnsi" w:hAnsiTheme="minorHAnsi" w:cstheme="minorHAnsi"/>
          <w:sz w:val="22"/>
          <w:szCs w:val="28"/>
        </w:rPr>
        <w:t>transmitting a PSCCH/PSSCH with COT sharing, adopt a number of TSPs starting from 16μs after the start of the gap symbol. The other TSPs are spaced multiples of 9μs from the first TSP until the start of the AGC symbol</w:t>
      </w:r>
      <w:r>
        <w:rPr>
          <w:rFonts w:asciiTheme="minorHAnsi" w:hAnsiTheme="minorHAnsi" w:cstheme="minorHAnsi"/>
          <w:sz w:val="22"/>
          <w:szCs w:val="28"/>
        </w:rPr>
        <w:t xml:space="preserve"> (e.g., NR-U CG-PUSCH design)</w:t>
      </w:r>
      <w:r w:rsidRPr="00CF522B">
        <w:rPr>
          <w:rFonts w:asciiTheme="minorHAnsi" w:hAnsiTheme="minorHAnsi" w:cstheme="minorHAnsi"/>
          <w:sz w:val="22"/>
          <w:szCs w:val="28"/>
        </w:rPr>
        <w:t>.</w:t>
      </w:r>
    </w:p>
    <w:p w14:paraId="1713C434" w14:textId="78A59F04" w:rsidR="0083386C" w:rsidRDefault="0083386C" w:rsidP="0083386C">
      <w:pPr>
        <w:pStyle w:val="ListParagraph"/>
        <w:numPr>
          <w:ilvl w:val="0"/>
          <w:numId w:val="15"/>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 xml:space="preserve">Applicable </w:t>
      </w:r>
      <w:r w:rsidR="00E50945">
        <w:rPr>
          <w:rFonts w:asciiTheme="minorHAnsi" w:hAnsiTheme="minorHAnsi" w:cstheme="minorHAnsi"/>
          <w:b/>
          <w:bCs/>
          <w:sz w:val="22"/>
          <w:szCs w:val="28"/>
          <w:u w:val="single"/>
        </w:rPr>
        <w:t xml:space="preserve">channels and </w:t>
      </w:r>
      <w:r w:rsidR="00B81F08">
        <w:rPr>
          <w:rFonts w:asciiTheme="minorHAnsi" w:hAnsiTheme="minorHAnsi" w:cstheme="minorHAnsi"/>
          <w:b/>
          <w:bCs/>
          <w:sz w:val="22"/>
          <w:szCs w:val="28"/>
          <w:u w:val="single"/>
        </w:rPr>
        <w:t>scenarios</w:t>
      </w:r>
      <w:r w:rsidR="00E50945">
        <w:rPr>
          <w:rFonts w:asciiTheme="minorHAnsi" w:hAnsiTheme="minorHAnsi" w:cstheme="minorHAnsi"/>
          <w:b/>
          <w:bCs/>
          <w:sz w:val="22"/>
          <w:szCs w:val="28"/>
          <w:u w:val="single"/>
        </w:rPr>
        <w:t xml:space="preserve"> </w:t>
      </w:r>
    </w:p>
    <w:p w14:paraId="16EB7754" w14:textId="4F60E1B9" w:rsidR="00E50945" w:rsidRPr="008621E0" w:rsidRDefault="00E50945" w:rsidP="0083386C">
      <w:pPr>
        <w:pStyle w:val="ListParagraph"/>
        <w:numPr>
          <w:ilvl w:val="1"/>
          <w:numId w:val="15"/>
        </w:numPr>
        <w:ind w:leftChars="0"/>
        <w:rPr>
          <w:rFonts w:asciiTheme="minorHAnsi" w:hAnsiTheme="minorHAnsi" w:cstheme="minorHAnsi"/>
          <w:color w:val="000000" w:themeColor="text1"/>
          <w:sz w:val="22"/>
          <w:szCs w:val="28"/>
          <w:lang w:val="it-IT"/>
        </w:rPr>
      </w:pPr>
      <w:r w:rsidRPr="008621E0">
        <w:rPr>
          <w:rFonts w:asciiTheme="minorHAnsi" w:hAnsiTheme="minorHAnsi" w:cstheme="minorHAnsi"/>
          <w:color w:val="000000" w:themeColor="text1"/>
          <w:sz w:val="22"/>
          <w:szCs w:val="28"/>
          <w:lang w:val="it-IT"/>
        </w:rPr>
        <w:t xml:space="preserve">PSSCH/PSCCH: </w:t>
      </w:r>
      <w:r w:rsidRPr="008621E0">
        <w:rPr>
          <w:rFonts w:asciiTheme="minorHAnsi" w:hAnsiTheme="minorHAnsi" w:cstheme="minorHAnsi"/>
          <w:sz w:val="22"/>
          <w:szCs w:val="28"/>
          <w:lang w:val="it-IT"/>
        </w:rPr>
        <w:t>[4/HW, HiSi], [8/OPPO], [33/QC]</w:t>
      </w:r>
    </w:p>
    <w:p w14:paraId="4A5B0591" w14:textId="7EB5AB6C" w:rsidR="00E50945" w:rsidRPr="008621E0" w:rsidRDefault="00E50945" w:rsidP="0083386C">
      <w:pPr>
        <w:pStyle w:val="ListParagraph"/>
        <w:numPr>
          <w:ilvl w:val="1"/>
          <w:numId w:val="15"/>
        </w:numPr>
        <w:ind w:leftChars="0"/>
        <w:rPr>
          <w:rFonts w:asciiTheme="minorHAnsi" w:hAnsiTheme="minorHAnsi" w:cstheme="minorHAnsi"/>
          <w:color w:val="000000" w:themeColor="text1"/>
          <w:sz w:val="22"/>
          <w:szCs w:val="28"/>
          <w:lang w:val="it-IT"/>
        </w:rPr>
      </w:pPr>
      <w:r w:rsidRPr="008621E0">
        <w:rPr>
          <w:rFonts w:asciiTheme="minorHAnsi" w:hAnsiTheme="minorHAnsi" w:cstheme="minorHAnsi"/>
          <w:color w:val="000000" w:themeColor="text1"/>
          <w:sz w:val="22"/>
          <w:szCs w:val="28"/>
          <w:lang w:val="it-IT"/>
        </w:rPr>
        <w:t xml:space="preserve">PSFCH: [2/Nokia, NSB], </w:t>
      </w:r>
      <w:r w:rsidRPr="008621E0">
        <w:rPr>
          <w:rFonts w:asciiTheme="minorHAnsi" w:hAnsiTheme="minorHAnsi" w:cstheme="minorHAnsi"/>
          <w:sz w:val="22"/>
          <w:szCs w:val="28"/>
          <w:lang w:val="it-IT"/>
        </w:rPr>
        <w:t>[4/HW, HiSi], [8/OPPO], [33/QC]</w:t>
      </w:r>
    </w:p>
    <w:p w14:paraId="00341B6D" w14:textId="20985EC6" w:rsidR="00FB4C02" w:rsidRPr="00214A84" w:rsidRDefault="00BC644A" w:rsidP="00FB4C02">
      <w:pPr>
        <w:numPr>
          <w:ilvl w:val="1"/>
          <w:numId w:val="15"/>
        </w:numPr>
        <w:jc w:val="both"/>
        <w:rPr>
          <w:rFonts w:asciiTheme="minorHAnsi" w:eastAsia="DengXian" w:hAnsiTheme="minorHAnsi" w:cstheme="minorHAnsi"/>
          <w:bCs/>
          <w:iCs/>
          <w:sz w:val="22"/>
          <w:lang w:eastAsia="zh-CN"/>
        </w:rPr>
      </w:pPr>
      <w:r w:rsidRPr="00214A84">
        <w:rPr>
          <w:rFonts w:asciiTheme="minorHAnsi" w:eastAsia="DengXian" w:hAnsiTheme="minorHAnsi" w:cstheme="minorHAnsi"/>
          <w:bCs/>
          <w:iCs/>
          <w:sz w:val="22"/>
          <w:lang w:eastAsia="zh-CN"/>
        </w:rPr>
        <w:t>[15/Transsion]</w:t>
      </w:r>
      <w:r w:rsidR="00FB4C02" w:rsidRPr="00214A84">
        <w:rPr>
          <w:rFonts w:asciiTheme="minorHAnsi" w:eastAsia="DengXian" w:hAnsiTheme="minorHAnsi" w:cstheme="minorHAnsi"/>
          <w:bCs/>
          <w:iCs/>
          <w:sz w:val="22"/>
          <w:lang w:eastAsia="zh-CN"/>
        </w:rPr>
        <w:t>:</w:t>
      </w:r>
    </w:p>
    <w:p w14:paraId="2F8F0B93" w14:textId="64817442" w:rsidR="00FB4C02" w:rsidRPr="00214A84" w:rsidRDefault="00FB4C02" w:rsidP="00FB4C02">
      <w:pPr>
        <w:numPr>
          <w:ilvl w:val="2"/>
          <w:numId w:val="15"/>
        </w:numPr>
        <w:jc w:val="both"/>
        <w:rPr>
          <w:rFonts w:asciiTheme="minorHAnsi" w:eastAsia="DengXian" w:hAnsiTheme="minorHAnsi" w:cstheme="minorHAnsi"/>
          <w:bCs/>
          <w:iCs/>
          <w:sz w:val="22"/>
          <w:lang w:eastAsia="zh-CN"/>
        </w:rPr>
      </w:pPr>
      <w:r w:rsidRPr="00214A84">
        <w:rPr>
          <w:rFonts w:asciiTheme="minorHAnsi" w:eastAsia="DengXian" w:hAnsiTheme="minorHAnsi" w:cstheme="minorHAnsi"/>
          <w:bCs/>
          <w:iCs/>
          <w:sz w:val="22"/>
          <w:lang w:eastAsia="zh-CN"/>
        </w:rPr>
        <w:t>CP extension should be applied at least before the first symbol of PSFCH transmission within a COT.</w:t>
      </w:r>
    </w:p>
    <w:p w14:paraId="5555E722" w14:textId="0B38ABB7" w:rsidR="00FB4C02" w:rsidRPr="00214A84" w:rsidRDefault="00FB4C02" w:rsidP="00FB4C02">
      <w:pPr>
        <w:numPr>
          <w:ilvl w:val="2"/>
          <w:numId w:val="15"/>
        </w:numPr>
        <w:jc w:val="both"/>
        <w:rPr>
          <w:rFonts w:asciiTheme="minorHAnsi" w:eastAsia="DengXian" w:hAnsiTheme="minorHAnsi" w:cstheme="minorHAnsi"/>
          <w:bCs/>
          <w:iCs/>
          <w:sz w:val="22"/>
          <w:lang w:eastAsia="zh-CN"/>
        </w:rPr>
      </w:pPr>
      <w:r w:rsidRPr="00214A84">
        <w:rPr>
          <w:rFonts w:asciiTheme="minorHAnsi" w:eastAsia="DengXian" w:hAnsiTheme="minorHAnsi" w:cstheme="minorHAnsi"/>
          <w:bCs/>
          <w:iCs/>
          <w:sz w:val="22"/>
          <w:lang w:eastAsia="zh-CN"/>
        </w:rPr>
        <w:t>CP extension should be applied before the first symbol of a transmission to guarantee continuous transmission.</w:t>
      </w:r>
    </w:p>
    <w:p w14:paraId="18203A2A" w14:textId="73C960E3" w:rsidR="007B7B50" w:rsidRPr="00F43CF4" w:rsidRDefault="007B7B50" w:rsidP="007B7B50">
      <w:pPr>
        <w:numPr>
          <w:ilvl w:val="1"/>
          <w:numId w:val="15"/>
        </w:numPr>
        <w:jc w:val="both"/>
        <w:rPr>
          <w:rFonts w:asciiTheme="minorHAnsi" w:eastAsia="DengXian" w:hAnsiTheme="minorHAnsi" w:cstheme="minorHAnsi"/>
          <w:bCs/>
          <w:iCs/>
          <w:sz w:val="22"/>
          <w:lang w:eastAsia="zh-CN"/>
        </w:rPr>
      </w:pPr>
      <w:r w:rsidRPr="00F43CF4">
        <w:rPr>
          <w:rFonts w:asciiTheme="minorHAnsi" w:eastAsia="DengXian" w:hAnsiTheme="minorHAnsi" w:cstheme="minorHAnsi"/>
          <w:bCs/>
          <w:iCs/>
          <w:sz w:val="22"/>
          <w:lang w:eastAsia="zh-CN"/>
        </w:rPr>
        <w:t>[</w:t>
      </w:r>
      <w:r w:rsidR="007B2CAB" w:rsidRPr="00F43CF4">
        <w:rPr>
          <w:rFonts w:asciiTheme="minorHAnsi" w:eastAsia="DengXian" w:hAnsiTheme="minorHAnsi" w:cstheme="minorHAnsi"/>
          <w:bCs/>
          <w:iCs/>
          <w:sz w:val="22"/>
          <w:lang w:eastAsia="zh-CN"/>
        </w:rPr>
        <w:t>31/Panasonic</w:t>
      </w:r>
      <w:r w:rsidRPr="00F43CF4">
        <w:rPr>
          <w:rFonts w:asciiTheme="minorHAnsi" w:eastAsia="DengXian" w:hAnsiTheme="minorHAnsi" w:cstheme="minorHAnsi"/>
          <w:bCs/>
          <w:iCs/>
          <w:sz w:val="22"/>
          <w:lang w:eastAsia="zh-CN"/>
        </w:rPr>
        <w:t>]:</w:t>
      </w:r>
    </w:p>
    <w:p w14:paraId="53FB5706" w14:textId="2853B605" w:rsidR="007B7B50" w:rsidRPr="00F43CF4" w:rsidRDefault="007B7B50" w:rsidP="007B7B50">
      <w:pPr>
        <w:numPr>
          <w:ilvl w:val="2"/>
          <w:numId w:val="15"/>
        </w:numPr>
        <w:jc w:val="both"/>
        <w:rPr>
          <w:rFonts w:asciiTheme="minorHAnsi" w:eastAsia="DengXian" w:hAnsiTheme="minorHAnsi" w:cstheme="minorHAnsi"/>
          <w:bCs/>
          <w:iCs/>
          <w:sz w:val="22"/>
          <w:lang w:eastAsia="zh-CN"/>
        </w:rPr>
      </w:pPr>
      <w:r w:rsidRPr="00F43CF4">
        <w:rPr>
          <w:rFonts w:asciiTheme="minorHAnsi" w:eastAsia="DengXian" w:hAnsiTheme="minorHAnsi" w:cstheme="minorHAnsi"/>
          <w:bCs/>
          <w:iCs/>
          <w:sz w:val="22"/>
          <w:lang w:eastAsia="zh-CN"/>
        </w:rPr>
        <w:t>For sidelink resource allocation Mode 1 configured grant, NR-U behaviour of CP extension is baseline.</w:t>
      </w:r>
    </w:p>
    <w:p w14:paraId="2E7AA9A5" w14:textId="7455304D" w:rsidR="007B7B50" w:rsidRPr="00F43CF4" w:rsidRDefault="007B7B50" w:rsidP="007B7B50">
      <w:pPr>
        <w:numPr>
          <w:ilvl w:val="2"/>
          <w:numId w:val="15"/>
        </w:numPr>
        <w:jc w:val="both"/>
        <w:rPr>
          <w:rFonts w:asciiTheme="minorHAnsi" w:eastAsia="DengXian" w:hAnsiTheme="minorHAnsi" w:cstheme="minorHAnsi"/>
          <w:bCs/>
          <w:iCs/>
          <w:sz w:val="22"/>
          <w:lang w:eastAsia="zh-CN"/>
        </w:rPr>
      </w:pPr>
      <w:r w:rsidRPr="00F43CF4">
        <w:rPr>
          <w:rFonts w:asciiTheme="minorHAnsi" w:eastAsia="DengXian" w:hAnsiTheme="minorHAnsi" w:cstheme="minorHAnsi"/>
          <w:bCs/>
          <w:iCs/>
          <w:sz w:val="22"/>
          <w:lang w:eastAsia="zh-CN"/>
        </w:rPr>
        <w:t>For sidelink resource allocation Mode 1 dynamic grant, gNB indicates Type of channel access (Type 1, Type 2A, Type 2B, Type 2C) and CP length for Type 2 is indicated. For Type 1 channel access, CP extension is not necessary.</w:t>
      </w:r>
    </w:p>
    <w:p w14:paraId="032AE713" w14:textId="746EBF98" w:rsidR="007B7B50" w:rsidRPr="00F43CF4" w:rsidRDefault="007B7B50" w:rsidP="007B7B50">
      <w:pPr>
        <w:numPr>
          <w:ilvl w:val="2"/>
          <w:numId w:val="15"/>
        </w:numPr>
        <w:jc w:val="both"/>
        <w:rPr>
          <w:rFonts w:asciiTheme="minorHAnsi" w:eastAsia="DengXian" w:hAnsiTheme="minorHAnsi" w:cstheme="minorHAnsi"/>
          <w:bCs/>
          <w:iCs/>
          <w:sz w:val="22"/>
          <w:lang w:eastAsia="zh-CN"/>
        </w:rPr>
      </w:pPr>
      <w:r w:rsidRPr="00F43CF4">
        <w:rPr>
          <w:rFonts w:asciiTheme="minorHAnsi" w:eastAsia="DengXian" w:hAnsiTheme="minorHAnsi" w:cstheme="minorHAnsi"/>
          <w:bCs/>
          <w:iCs/>
          <w:sz w:val="22"/>
          <w:lang w:eastAsia="zh-CN"/>
        </w:rPr>
        <w:t>For sidelink resource allocation Mode 2, for a resource pool, one of Type 2A, 2B or 2C is (pre-)configured and CP length is (pre-)configured.</w:t>
      </w:r>
    </w:p>
    <w:p w14:paraId="7F5EB6F7" w14:textId="6743245F" w:rsidR="00BB31F5" w:rsidRDefault="00BB31F5" w:rsidP="00BB31F5">
      <w:pPr>
        <w:pStyle w:val="ListParagraph"/>
        <w:numPr>
          <w:ilvl w:val="0"/>
          <w:numId w:val="15"/>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 xml:space="preserve">Topics for further study </w:t>
      </w:r>
    </w:p>
    <w:p w14:paraId="6F9E17BD" w14:textId="09F7080D" w:rsidR="00BB31F5" w:rsidRDefault="00BB31F5" w:rsidP="00BB31F5">
      <w:pPr>
        <w:pStyle w:val="ListParagraph"/>
        <w:numPr>
          <w:ilvl w:val="1"/>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FFS </w:t>
      </w:r>
      <w:r w:rsidRPr="00BB31F5">
        <w:rPr>
          <w:rFonts w:asciiTheme="minorHAnsi" w:hAnsiTheme="minorHAnsi" w:cstheme="minorHAnsi"/>
          <w:color w:val="000000" w:themeColor="text1"/>
          <w:sz w:val="22"/>
          <w:szCs w:val="28"/>
        </w:rPr>
        <w:t>extending the CP duration up to 1 OFDM symbol for CP extension</w:t>
      </w:r>
    </w:p>
    <w:p w14:paraId="64FCA02E" w14:textId="2F754DBE" w:rsidR="00BB31F5" w:rsidRPr="00BB31F5" w:rsidRDefault="00BB31F5" w:rsidP="00BB31F5">
      <w:pPr>
        <w:pStyle w:val="ListParagraph"/>
        <w:numPr>
          <w:ilvl w:val="1"/>
          <w:numId w:val="15"/>
        </w:numPr>
        <w:ind w:leftChars="0"/>
        <w:rPr>
          <w:rFonts w:asciiTheme="minorHAnsi" w:hAnsiTheme="minorHAnsi" w:cstheme="minorHAnsi"/>
          <w:color w:val="000000" w:themeColor="text1"/>
          <w:sz w:val="22"/>
          <w:szCs w:val="22"/>
        </w:rPr>
      </w:pPr>
      <w:r w:rsidRPr="00BB31F5">
        <w:rPr>
          <w:rFonts w:asciiTheme="minorHAnsi" w:hAnsiTheme="minorHAnsi" w:cstheme="minorHAnsi"/>
          <w:color w:val="000000" w:themeColor="text1"/>
          <w:sz w:val="22"/>
          <w:szCs w:val="22"/>
        </w:rPr>
        <w:t xml:space="preserve">FFS </w:t>
      </w:r>
      <w:r w:rsidRPr="00BB31F5">
        <w:rPr>
          <w:rFonts w:asciiTheme="minorHAnsi" w:hAnsiTheme="minorHAnsi" w:cstheme="minorHAnsi"/>
          <w:sz w:val="22"/>
          <w:szCs w:val="22"/>
        </w:rPr>
        <w:t>symbol repetition of the previous or following SL transmission</w:t>
      </w:r>
    </w:p>
    <w:p w14:paraId="42343C34" w14:textId="775A4C79" w:rsidR="00BB31F5" w:rsidRPr="00BB31F5" w:rsidRDefault="00BB31F5" w:rsidP="00BB31F5">
      <w:pPr>
        <w:pStyle w:val="ListParagraph"/>
        <w:numPr>
          <w:ilvl w:val="1"/>
          <w:numId w:val="15"/>
        </w:numPr>
        <w:ind w:leftChars="0"/>
        <w:rPr>
          <w:rFonts w:asciiTheme="minorHAnsi" w:hAnsiTheme="minorHAnsi" w:cstheme="minorHAnsi"/>
          <w:color w:val="000000" w:themeColor="text1"/>
          <w:sz w:val="22"/>
          <w:szCs w:val="22"/>
        </w:rPr>
      </w:pPr>
      <w:r w:rsidRPr="00BB31F5">
        <w:rPr>
          <w:rFonts w:asciiTheme="minorHAnsi" w:hAnsiTheme="minorHAnsi" w:cstheme="minorHAnsi"/>
          <w:color w:val="000000" w:themeColor="text1"/>
          <w:sz w:val="22"/>
          <w:szCs w:val="22"/>
        </w:rPr>
        <w:t xml:space="preserve">FFS </w:t>
      </w:r>
      <w:r w:rsidRPr="00BB31F5">
        <w:rPr>
          <w:rFonts w:asciiTheme="minorHAnsi" w:hAnsiTheme="minorHAnsi" w:cstheme="minorHAnsi"/>
          <w:sz w:val="22"/>
          <w:szCs w:val="22"/>
        </w:rPr>
        <w:t>backward symbol extension, e.g., to avoid non-aligned SL transmission starting locations</w:t>
      </w:r>
    </w:p>
    <w:p w14:paraId="16217D2D" w14:textId="77777777" w:rsidR="004B0088" w:rsidRPr="004B0088" w:rsidRDefault="004B0088" w:rsidP="004B0088">
      <w:pPr>
        <w:rPr>
          <w:rFonts w:asciiTheme="minorHAnsi" w:hAnsiTheme="minorHAnsi" w:cstheme="minorHAnsi"/>
          <w:b/>
          <w:bCs/>
          <w:sz w:val="22"/>
          <w:szCs w:val="28"/>
          <w:u w:val="single"/>
        </w:rPr>
      </w:pPr>
    </w:p>
    <w:p w14:paraId="26D9A8FC" w14:textId="170FE806" w:rsidR="007508E5" w:rsidRPr="00E44C8F" w:rsidRDefault="00FD4655" w:rsidP="00820F36">
      <w:pPr>
        <w:pStyle w:val="Heading2"/>
      </w:pPr>
      <w:r w:rsidRPr="00E44C8F">
        <w:t>R</w:t>
      </w:r>
      <w:r w:rsidR="00A12155" w:rsidRPr="00E44C8F">
        <w:t>esource allocation</w:t>
      </w:r>
      <w:r w:rsidRPr="00E44C8F">
        <w:t xml:space="preserve"> enhancements </w:t>
      </w:r>
      <w:r w:rsidR="00F408A0" w:rsidRPr="00E44C8F">
        <w:t>(mode 1 and mode 2) in</w:t>
      </w:r>
      <w:r w:rsidRPr="00E44C8F">
        <w:t xml:space="preserve"> SL-U</w:t>
      </w:r>
    </w:p>
    <w:p w14:paraId="38FF0FC9" w14:textId="68BFAF9A" w:rsidR="00FD4655" w:rsidRDefault="00F408A0" w:rsidP="00B0780D">
      <w:pPr>
        <w:pStyle w:val="ListParagraph"/>
        <w:numPr>
          <w:ilvl w:val="0"/>
          <w:numId w:val="15"/>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Common aspects</w:t>
      </w:r>
      <w:r w:rsidR="00A94BB8">
        <w:rPr>
          <w:rFonts w:asciiTheme="minorHAnsi" w:hAnsiTheme="minorHAnsi" w:cstheme="minorHAnsi"/>
          <w:b/>
          <w:bCs/>
          <w:sz w:val="22"/>
          <w:szCs w:val="28"/>
          <w:u w:val="single"/>
        </w:rPr>
        <w:t xml:space="preserve"> / enhancements</w:t>
      </w:r>
    </w:p>
    <w:p w14:paraId="6937F1AC" w14:textId="2657CAD7" w:rsidR="00F408A0" w:rsidRPr="00325923" w:rsidRDefault="00466359">
      <w:pPr>
        <w:pStyle w:val="ListParagraph"/>
        <w:numPr>
          <w:ilvl w:val="1"/>
          <w:numId w:val="29"/>
        </w:numPr>
        <w:ind w:leftChars="0"/>
        <w:rPr>
          <w:rFonts w:asciiTheme="minorHAnsi" w:hAnsiTheme="minorHAnsi" w:cstheme="minorHAnsi"/>
          <w:sz w:val="22"/>
          <w:szCs w:val="28"/>
        </w:rPr>
      </w:pPr>
      <w:r w:rsidRPr="00325923">
        <w:rPr>
          <w:rFonts w:asciiTheme="minorHAnsi" w:hAnsiTheme="minorHAnsi" w:cstheme="minorHAnsi"/>
          <w:sz w:val="22"/>
          <w:szCs w:val="28"/>
        </w:rPr>
        <w:t>[7/ZTE, SC]</w:t>
      </w:r>
      <w:r w:rsidR="006E23D6" w:rsidRPr="00325923">
        <w:rPr>
          <w:rFonts w:asciiTheme="minorHAnsi" w:hAnsiTheme="minorHAnsi" w:cstheme="minorHAnsi"/>
          <w:sz w:val="22"/>
          <w:szCs w:val="28"/>
        </w:rPr>
        <w:t>:</w:t>
      </w:r>
      <w:r w:rsidR="00F408A0" w:rsidRPr="00325923">
        <w:rPr>
          <w:rFonts w:asciiTheme="minorHAnsi" w:hAnsiTheme="minorHAnsi" w:cstheme="minorHAnsi"/>
          <w:sz w:val="22"/>
          <w:szCs w:val="28"/>
        </w:rPr>
        <w:t xml:space="preserve"> </w:t>
      </w:r>
      <w:r w:rsidR="006E23D6" w:rsidRPr="00325923">
        <w:rPr>
          <w:rFonts w:asciiTheme="minorHAnsi" w:hAnsiTheme="minorHAnsi" w:cstheme="minorHAnsi"/>
          <w:sz w:val="22"/>
          <w:szCs w:val="28"/>
        </w:rPr>
        <w:t>It is suggested that more resources can be selected/allocated for a TB in SL-U and the same resources can be selected/allocated for multiple different UEs. (FFS: How to resolve the transmission conflict from different UEs on the same resource)</w:t>
      </w:r>
    </w:p>
    <w:p w14:paraId="34392CC2" w14:textId="32A3E3C8" w:rsidR="00557F41" w:rsidRPr="002D0C79" w:rsidRDefault="00557F41">
      <w:pPr>
        <w:pStyle w:val="ListParagraph"/>
        <w:numPr>
          <w:ilvl w:val="1"/>
          <w:numId w:val="29"/>
        </w:numPr>
        <w:ind w:leftChars="0"/>
        <w:rPr>
          <w:rFonts w:asciiTheme="minorHAnsi" w:hAnsiTheme="minorHAnsi" w:cstheme="minorHAnsi"/>
          <w:sz w:val="22"/>
          <w:szCs w:val="28"/>
        </w:rPr>
      </w:pPr>
      <w:r w:rsidRPr="002D0C79">
        <w:rPr>
          <w:rFonts w:asciiTheme="minorHAnsi" w:hAnsiTheme="minorHAnsi" w:cstheme="minorHAnsi"/>
          <w:sz w:val="22"/>
          <w:szCs w:val="28"/>
        </w:rPr>
        <w:t>[</w:t>
      </w:r>
      <w:r w:rsidR="00BC644A" w:rsidRPr="002D0C79">
        <w:rPr>
          <w:rFonts w:asciiTheme="minorHAnsi" w:hAnsiTheme="minorHAnsi" w:cstheme="minorHAnsi"/>
          <w:sz w:val="22"/>
          <w:szCs w:val="28"/>
        </w:rPr>
        <w:t>19/CMCC</w:t>
      </w:r>
      <w:r w:rsidRPr="002D0C79">
        <w:rPr>
          <w:rFonts w:asciiTheme="minorHAnsi" w:hAnsiTheme="minorHAnsi" w:cstheme="minorHAnsi"/>
          <w:sz w:val="22"/>
          <w:szCs w:val="28"/>
        </w:rPr>
        <w:t>]: There is no need to do enhancement between the end of the LBT procedure and the start of the SL transmission to retain channel access.</w:t>
      </w:r>
    </w:p>
    <w:p w14:paraId="51C6FF09" w14:textId="65A67033" w:rsidR="008915AB" w:rsidRPr="00325923" w:rsidRDefault="008915AB">
      <w:pPr>
        <w:pStyle w:val="ListParagraph"/>
        <w:numPr>
          <w:ilvl w:val="1"/>
          <w:numId w:val="29"/>
        </w:numPr>
        <w:ind w:leftChars="0"/>
        <w:rPr>
          <w:rFonts w:asciiTheme="minorHAnsi" w:hAnsiTheme="minorHAnsi" w:cstheme="minorHAnsi"/>
          <w:sz w:val="22"/>
          <w:szCs w:val="28"/>
        </w:rPr>
      </w:pPr>
      <w:r w:rsidRPr="00325923">
        <w:rPr>
          <w:rFonts w:asciiTheme="minorHAnsi" w:hAnsiTheme="minorHAnsi" w:cstheme="minorHAnsi"/>
          <w:sz w:val="22"/>
          <w:szCs w:val="28"/>
        </w:rPr>
        <w:t>[</w:t>
      </w:r>
      <w:r w:rsidR="007B2CAB" w:rsidRPr="00325923">
        <w:rPr>
          <w:rFonts w:asciiTheme="minorHAnsi" w:hAnsiTheme="minorHAnsi" w:cstheme="minorHAnsi"/>
          <w:sz w:val="22"/>
          <w:szCs w:val="28"/>
        </w:rPr>
        <w:t>23/MediaTek</w:t>
      </w:r>
      <w:r w:rsidRPr="00325923">
        <w:rPr>
          <w:rFonts w:asciiTheme="minorHAnsi" w:hAnsiTheme="minorHAnsi" w:cstheme="minorHAnsi"/>
          <w:sz w:val="22"/>
          <w:szCs w:val="28"/>
        </w:rPr>
        <w:t>]: Study solutions (e.g., overbooking mechanism, protection margin for LBT) to combat the potential LBT failure in both Mode 1 and Mode 2 resource allocation.</w:t>
      </w:r>
    </w:p>
    <w:p w14:paraId="0F5CBFD4" w14:textId="1CF4FE95" w:rsidR="00373714" w:rsidRPr="001F7E16" w:rsidRDefault="00B50A84">
      <w:pPr>
        <w:pStyle w:val="ListParagraph"/>
        <w:numPr>
          <w:ilvl w:val="1"/>
          <w:numId w:val="19"/>
        </w:numPr>
        <w:ind w:leftChars="0"/>
        <w:rPr>
          <w:rFonts w:asciiTheme="minorHAnsi" w:hAnsiTheme="minorHAnsi" w:cstheme="minorHAnsi"/>
          <w:sz w:val="22"/>
          <w:szCs w:val="28"/>
        </w:rPr>
      </w:pPr>
      <w:r w:rsidRPr="001F7E16">
        <w:rPr>
          <w:rFonts w:asciiTheme="minorHAnsi" w:hAnsiTheme="minorHAnsi" w:cstheme="minorHAnsi"/>
          <w:sz w:val="22"/>
          <w:szCs w:val="28"/>
        </w:rPr>
        <w:lastRenderedPageBreak/>
        <w:t>[</w:t>
      </w:r>
      <w:r w:rsidR="007B2CAB" w:rsidRPr="001F7E16">
        <w:rPr>
          <w:rFonts w:asciiTheme="minorHAnsi" w:hAnsiTheme="minorHAnsi" w:cstheme="minorHAnsi"/>
          <w:sz w:val="22"/>
          <w:szCs w:val="28"/>
        </w:rPr>
        <w:t>25/Apple</w:t>
      </w:r>
      <w:r w:rsidRPr="001F7E16">
        <w:rPr>
          <w:rFonts w:asciiTheme="minorHAnsi" w:hAnsiTheme="minorHAnsi" w:cstheme="minorHAnsi"/>
          <w:sz w:val="22"/>
          <w:szCs w:val="28"/>
        </w:rPr>
        <w:t>]</w:t>
      </w:r>
    </w:p>
    <w:p w14:paraId="4F96F59D" w14:textId="1DAD7BEC" w:rsidR="001F7E16" w:rsidRDefault="001F7E16">
      <w:pPr>
        <w:pStyle w:val="ListParagraph"/>
        <w:numPr>
          <w:ilvl w:val="2"/>
          <w:numId w:val="19"/>
        </w:numPr>
        <w:ind w:leftChars="0"/>
        <w:rPr>
          <w:rFonts w:asciiTheme="minorHAnsi" w:hAnsiTheme="minorHAnsi" w:cstheme="minorHAnsi"/>
          <w:sz w:val="22"/>
          <w:szCs w:val="28"/>
        </w:rPr>
      </w:pPr>
      <w:r w:rsidRPr="001F7E16">
        <w:rPr>
          <w:rFonts w:asciiTheme="minorHAnsi" w:hAnsiTheme="minorHAnsi" w:cstheme="minorHAnsi"/>
          <w:sz w:val="22"/>
          <w:szCs w:val="28"/>
        </w:rPr>
        <w:t>Separate starting position can be used for resource allocation with full BW or partial BW, similar to CG PUSCH in Uu link.</w:t>
      </w:r>
    </w:p>
    <w:p w14:paraId="2377BE6A" w14:textId="6E8BEF56" w:rsidR="00F54B1A" w:rsidRDefault="00F54B1A" w:rsidP="00F54B1A">
      <w:pPr>
        <w:pStyle w:val="ListParagraph"/>
        <w:numPr>
          <w:ilvl w:val="1"/>
          <w:numId w:val="19"/>
        </w:numPr>
        <w:ind w:leftChars="0"/>
        <w:rPr>
          <w:rFonts w:asciiTheme="minorHAnsi" w:hAnsiTheme="minorHAnsi" w:cstheme="minorHAnsi"/>
          <w:sz w:val="22"/>
          <w:szCs w:val="28"/>
        </w:rPr>
      </w:pPr>
      <w:r>
        <w:rPr>
          <w:rFonts w:asciiTheme="minorHAnsi" w:hAnsiTheme="minorHAnsi" w:cstheme="minorHAnsi"/>
          <w:sz w:val="22"/>
          <w:szCs w:val="28"/>
        </w:rPr>
        <w:t xml:space="preserve">[35/BOSCH]: </w:t>
      </w:r>
      <w:r w:rsidRPr="00F54B1A">
        <w:rPr>
          <w:rFonts w:asciiTheme="minorHAnsi" w:hAnsiTheme="minorHAnsi" w:cstheme="minorHAnsi"/>
          <w:sz w:val="22"/>
          <w:szCs w:val="28"/>
        </w:rPr>
        <w:t>For Rel.-18 SL-U sub-channelization resource allocation, study how to minimize the impact of LBT produces for inter-UE Blocking</w:t>
      </w:r>
      <w:r>
        <w:rPr>
          <w:rFonts w:asciiTheme="minorHAnsi" w:hAnsiTheme="minorHAnsi" w:cstheme="minorHAnsi"/>
          <w:sz w:val="22"/>
          <w:szCs w:val="28"/>
        </w:rPr>
        <w:t>.</w:t>
      </w:r>
    </w:p>
    <w:p w14:paraId="714E22AA" w14:textId="75B23815" w:rsidR="005F62BC" w:rsidRDefault="005F62BC">
      <w:pPr>
        <w:pStyle w:val="ListParagraph"/>
        <w:numPr>
          <w:ilvl w:val="0"/>
          <w:numId w:val="19"/>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Multi-</w:t>
      </w:r>
      <w:r w:rsidR="00AA2CCF">
        <w:rPr>
          <w:rFonts w:asciiTheme="minorHAnsi" w:hAnsiTheme="minorHAnsi" w:cstheme="minorHAnsi"/>
          <w:b/>
          <w:bCs/>
          <w:sz w:val="22"/>
          <w:szCs w:val="28"/>
          <w:u w:val="single"/>
        </w:rPr>
        <w:t>C</w:t>
      </w:r>
      <w:r>
        <w:rPr>
          <w:rFonts w:asciiTheme="minorHAnsi" w:hAnsiTheme="minorHAnsi" w:cstheme="minorHAnsi"/>
          <w:b/>
          <w:bCs/>
          <w:sz w:val="22"/>
          <w:szCs w:val="28"/>
          <w:u w:val="single"/>
        </w:rPr>
        <w:t xml:space="preserve">onsecutive </w:t>
      </w:r>
      <w:r w:rsidR="00AA2CCF">
        <w:rPr>
          <w:rFonts w:asciiTheme="minorHAnsi" w:hAnsiTheme="minorHAnsi" w:cstheme="minorHAnsi"/>
          <w:b/>
          <w:bCs/>
          <w:sz w:val="22"/>
          <w:szCs w:val="28"/>
          <w:u w:val="single"/>
        </w:rPr>
        <w:t>S</w:t>
      </w:r>
      <w:r>
        <w:rPr>
          <w:rFonts w:asciiTheme="minorHAnsi" w:hAnsiTheme="minorHAnsi" w:cstheme="minorHAnsi"/>
          <w:b/>
          <w:bCs/>
          <w:sz w:val="22"/>
          <w:szCs w:val="28"/>
          <w:u w:val="single"/>
        </w:rPr>
        <w:t>lots transmission</w:t>
      </w:r>
      <w:r w:rsidR="00AA2CCF">
        <w:rPr>
          <w:rFonts w:asciiTheme="minorHAnsi" w:hAnsiTheme="minorHAnsi" w:cstheme="minorHAnsi"/>
          <w:b/>
          <w:bCs/>
          <w:sz w:val="22"/>
          <w:szCs w:val="28"/>
          <w:u w:val="single"/>
        </w:rPr>
        <w:t xml:space="preserve"> (MCSt)</w:t>
      </w:r>
    </w:p>
    <w:p w14:paraId="4FDF4DC3" w14:textId="79549A81" w:rsidR="0053474A" w:rsidRPr="0053474A" w:rsidRDefault="0053474A">
      <w:pPr>
        <w:pStyle w:val="ListParagraph"/>
        <w:numPr>
          <w:ilvl w:val="1"/>
          <w:numId w:val="19"/>
        </w:numPr>
        <w:ind w:leftChars="0"/>
        <w:rPr>
          <w:rFonts w:asciiTheme="minorHAnsi" w:hAnsiTheme="minorHAnsi" w:cstheme="minorHAnsi"/>
          <w:sz w:val="22"/>
          <w:szCs w:val="28"/>
        </w:rPr>
      </w:pPr>
      <w:r w:rsidRPr="0053474A">
        <w:rPr>
          <w:rFonts w:asciiTheme="minorHAnsi" w:hAnsiTheme="minorHAnsi" w:cstheme="minorHAnsi"/>
          <w:sz w:val="22"/>
          <w:szCs w:val="28"/>
        </w:rPr>
        <w:t>Multi-consecutive slots transmission as a single (re)TX of a TB is not supported:</w:t>
      </w:r>
    </w:p>
    <w:p w14:paraId="7793AC05" w14:textId="4E36683B" w:rsidR="0053474A" w:rsidRPr="0053474A" w:rsidRDefault="00083896" w:rsidP="0053474A">
      <w:pPr>
        <w:pStyle w:val="ListParagraph"/>
        <w:numPr>
          <w:ilvl w:val="2"/>
          <w:numId w:val="19"/>
        </w:numPr>
        <w:ind w:leftChars="0"/>
        <w:rPr>
          <w:rFonts w:asciiTheme="minorHAnsi" w:hAnsiTheme="minorHAnsi" w:cstheme="minorHAnsi"/>
          <w:sz w:val="22"/>
          <w:szCs w:val="28"/>
        </w:rPr>
      </w:pPr>
      <w:r>
        <w:rPr>
          <w:rFonts w:asciiTheme="minorHAnsi" w:hAnsiTheme="minorHAnsi" w:cstheme="minorHAnsi"/>
          <w:sz w:val="22"/>
          <w:szCs w:val="28"/>
        </w:rPr>
        <w:t xml:space="preserve">[6/vivo], </w:t>
      </w:r>
      <w:r w:rsidR="0053474A" w:rsidRPr="0053474A">
        <w:rPr>
          <w:rFonts w:asciiTheme="minorHAnsi" w:hAnsiTheme="minorHAnsi" w:cstheme="minorHAnsi"/>
          <w:sz w:val="22"/>
          <w:szCs w:val="28"/>
        </w:rPr>
        <w:t>[8/OPPO], [32/DCM]</w:t>
      </w:r>
    </w:p>
    <w:p w14:paraId="593C4613" w14:textId="3FBD6B2A" w:rsidR="00DB707D" w:rsidRPr="003D7C8E" w:rsidRDefault="00DB707D">
      <w:pPr>
        <w:pStyle w:val="ListParagraph"/>
        <w:numPr>
          <w:ilvl w:val="1"/>
          <w:numId w:val="19"/>
        </w:numPr>
        <w:ind w:leftChars="0"/>
        <w:rPr>
          <w:rFonts w:asciiTheme="minorHAnsi" w:hAnsiTheme="minorHAnsi" w:cstheme="minorHAnsi"/>
          <w:sz w:val="22"/>
          <w:szCs w:val="28"/>
        </w:rPr>
      </w:pPr>
      <w:r w:rsidRPr="003D7C8E">
        <w:rPr>
          <w:rFonts w:asciiTheme="minorHAnsi" w:hAnsiTheme="minorHAnsi" w:cstheme="minorHAnsi"/>
          <w:sz w:val="22"/>
          <w:szCs w:val="28"/>
        </w:rPr>
        <w:t xml:space="preserve">The guard symbol between two adjacent slots in MCSt is filled-in such that there is no gap or the gap is less than 16 us (Type 2C or no LBT is needed) </w:t>
      </w:r>
      <w:r w:rsidR="00B54F79">
        <w:rPr>
          <w:rFonts w:asciiTheme="minorHAnsi" w:hAnsiTheme="minorHAnsi" w:cstheme="minorHAnsi"/>
          <w:sz w:val="22"/>
          <w:szCs w:val="28"/>
        </w:rPr>
        <w:t xml:space="preserve">between the two slots </w:t>
      </w:r>
      <w:r w:rsidRPr="003D7C8E">
        <w:rPr>
          <w:rFonts w:asciiTheme="minorHAnsi" w:hAnsiTheme="minorHAnsi" w:cstheme="minorHAnsi"/>
          <w:sz w:val="22"/>
          <w:szCs w:val="28"/>
        </w:rPr>
        <w:t>by:</w:t>
      </w:r>
    </w:p>
    <w:p w14:paraId="581B6CA9" w14:textId="5BB85597" w:rsidR="00DB707D" w:rsidRPr="003D7C8E" w:rsidRDefault="00DB707D" w:rsidP="00DB707D">
      <w:pPr>
        <w:pStyle w:val="ListParagraph"/>
        <w:numPr>
          <w:ilvl w:val="2"/>
          <w:numId w:val="19"/>
        </w:numPr>
        <w:ind w:leftChars="0"/>
        <w:rPr>
          <w:rFonts w:asciiTheme="minorHAnsi" w:hAnsiTheme="minorHAnsi" w:cstheme="minorHAnsi"/>
          <w:sz w:val="22"/>
          <w:szCs w:val="28"/>
        </w:rPr>
      </w:pPr>
      <w:r w:rsidRPr="003D7C8E">
        <w:rPr>
          <w:rFonts w:asciiTheme="minorHAnsi" w:hAnsiTheme="minorHAnsi" w:cstheme="minorHAnsi"/>
          <w:sz w:val="22"/>
          <w:szCs w:val="28"/>
        </w:rPr>
        <w:t>Option 1: Repeating the last PSSCH symbol of the earlier slot</w:t>
      </w:r>
    </w:p>
    <w:p w14:paraId="49B87399" w14:textId="03AA0DE7" w:rsidR="00DB707D" w:rsidRPr="003D7C8E" w:rsidRDefault="00DB707D" w:rsidP="00DB707D">
      <w:pPr>
        <w:pStyle w:val="ListParagraph"/>
        <w:numPr>
          <w:ilvl w:val="3"/>
          <w:numId w:val="19"/>
        </w:numPr>
        <w:ind w:leftChars="0"/>
        <w:rPr>
          <w:rFonts w:asciiTheme="minorHAnsi" w:hAnsiTheme="minorHAnsi" w:cstheme="minorHAnsi"/>
          <w:sz w:val="22"/>
          <w:szCs w:val="28"/>
        </w:rPr>
      </w:pPr>
      <w:r w:rsidRPr="003D7C8E">
        <w:rPr>
          <w:rFonts w:asciiTheme="minorHAnsi" w:hAnsiTheme="minorHAnsi" w:cstheme="minorHAnsi"/>
          <w:sz w:val="22"/>
          <w:szCs w:val="28"/>
        </w:rPr>
        <w:t>[3/FW] [19/CMCC]</w:t>
      </w:r>
    </w:p>
    <w:p w14:paraId="440CF04E" w14:textId="1721FA8B" w:rsidR="00DB707D" w:rsidRPr="003D7C8E" w:rsidRDefault="00DB707D" w:rsidP="00DB707D">
      <w:pPr>
        <w:pStyle w:val="ListParagraph"/>
        <w:numPr>
          <w:ilvl w:val="2"/>
          <w:numId w:val="19"/>
        </w:numPr>
        <w:ind w:leftChars="0"/>
        <w:rPr>
          <w:rFonts w:asciiTheme="minorHAnsi" w:hAnsiTheme="minorHAnsi" w:cstheme="minorHAnsi"/>
          <w:sz w:val="22"/>
          <w:szCs w:val="28"/>
        </w:rPr>
      </w:pPr>
      <w:r w:rsidRPr="003D7C8E">
        <w:rPr>
          <w:rFonts w:asciiTheme="minorHAnsi" w:hAnsiTheme="minorHAnsi" w:cstheme="minorHAnsi"/>
          <w:sz w:val="22"/>
          <w:szCs w:val="28"/>
        </w:rPr>
        <w:t>Option 2: Transmitting PSSCH</w:t>
      </w:r>
    </w:p>
    <w:p w14:paraId="0D956A76" w14:textId="2640DAD3" w:rsidR="00DB707D" w:rsidRPr="003D7C8E" w:rsidRDefault="00DB707D" w:rsidP="00DB707D">
      <w:pPr>
        <w:pStyle w:val="ListParagraph"/>
        <w:numPr>
          <w:ilvl w:val="3"/>
          <w:numId w:val="19"/>
        </w:numPr>
        <w:ind w:leftChars="0"/>
        <w:rPr>
          <w:rFonts w:asciiTheme="minorHAnsi" w:hAnsiTheme="minorHAnsi" w:cstheme="minorHAnsi"/>
          <w:sz w:val="22"/>
          <w:szCs w:val="28"/>
        </w:rPr>
      </w:pPr>
      <w:r w:rsidRPr="003D7C8E">
        <w:rPr>
          <w:rFonts w:asciiTheme="minorHAnsi" w:hAnsiTheme="minorHAnsi" w:cstheme="minorHAnsi"/>
          <w:sz w:val="22"/>
          <w:szCs w:val="28"/>
        </w:rPr>
        <w:t>[4/HW, HiSi], [6/vivo]</w:t>
      </w:r>
      <w:r w:rsidR="00F51291" w:rsidRPr="003D7C8E">
        <w:rPr>
          <w:rFonts w:asciiTheme="minorHAnsi" w:hAnsiTheme="minorHAnsi" w:cstheme="minorHAnsi"/>
          <w:sz w:val="22"/>
          <w:szCs w:val="28"/>
        </w:rPr>
        <w:t>, [10/Fujitsu]</w:t>
      </w:r>
    </w:p>
    <w:p w14:paraId="19D12B03" w14:textId="05CF0654" w:rsidR="00DB707D" w:rsidRPr="003D7C8E" w:rsidRDefault="00DB707D" w:rsidP="00DB707D">
      <w:pPr>
        <w:pStyle w:val="ListParagraph"/>
        <w:numPr>
          <w:ilvl w:val="2"/>
          <w:numId w:val="19"/>
        </w:numPr>
        <w:ind w:leftChars="0"/>
        <w:rPr>
          <w:rFonts w:asciiTheme="minorHAnsi" w:hAnsiTheme="minorHAnsi" w:cstheme="minorHAnsi"/>
          <w:sz w:val="22"/>
          <w:szCs w:val="28"/>
        </w:rPr>
      </w:pPr>
      <w:r w:rsidRPr="003D7C8E">
        <w:rPr>
          <w:rFonts w:asciiTheme="minorHAnsi" w:hAnsiTheme="minorHAnsi" w:cstheme="minorHAnsi"/>
          <w:sz w:val="22"/>
          <w:szCs w:val="28"/>
        </w:rPr>
        <w:t>Option 3: Transmitting CPE</w:t>
      </w:r>
    </w:p>
    <w:p w14:paraId="22FEF8E1" w14:textId="762FF5CD" w:rsidR="00DB707D" w:rsidRPr="003D7C8E" w:rsidRDefault="00DB707D" w:rsidP="00DB707D">
      <w:pPr>
        <w:pStyle w:val="ListParagraph"/>
        <w:numPr>
          <w:ilvl w:val="3"/>
          <w:numId w:val="19"/>
        </w:numPr>
        <w:ind w:leftChars="0"/>
        <w:rPr>
          <w:rFonts w:asciiTheme="minorHAnsi" w:hAnsiTheme="minorHAnsi" w:cstheme="minorHAnsi"/>
          <w:sz w:val="22"/>
          <w:szCs w:val="28"/>
        </w:rPr>
      </w:pPr>
      <w:r w:rsidRPr="003D7C8E">
        <w:rPr>
          <w:rFonts w:asciiTheme="minorHAnsi" w:hAnsiTheme="minorHAnsi" w:cstheme="minorHAnsi"/>
          <w:sz w:val="22"/>
          <w:szCs w:val="28"/>
        </w:rPr>
        <w:t>[6/vivo], [22/LGE]</w:t>
      </w:r>
      <w:r w:rsidR="00C22EFD" w:rsidRPr="003D7C8E">
        <w:rPr>
          <w:rFonts w:asciiTheme="minorHAnsi" w:hAnsiTheme="minorHAnsi" w:cstheme="minorHAnsi"/>
          <w:sz w:val="22"/>
          <w:szCs w:val="28"/>
        </w:rPr>
        <w:t>, [33/QC], [36/E///]</w:t>
      </w:r>
    </w:p>
    <w:p w14:paraId="6BCE58E2" w14:textId="144F072A" w:rsidR="00DB707D" w:rsidRPr="003D7C8E" w:rsidRDefault="00DB707D" w:rsidP="00DB707D">
      <w:pPr>
        <w:pStyle w:val="ListParagraph"/>
        <w:numPr>
          <w:ilvl w:val="2"/>
          <w:numId w:val="19"/>
        </w:numPr>
        <w:ind w:leftChars="0"/>
        <w:rPr>
          <w:rFonts w:asciiTheme="minorHAnsi" w:hAnsiTheme="minorHAnsi" w:cstheme="minorHAnsi"/>
          <w:sz w:val="22"/>
          <w:szCs w:val="28"/>
        </w:rPr>
      </w:pPr>
      <w:r w:rsidRPr="003D7C8E">
        <w:rPr>
          <w:rFonts w:asciiTheme="minorHAnsi" w:hAnsiTheme="minorHAnsi" w:cstheme="minorHAnsi"/>
          <w:sz w:val="22"/>
          <w:szCs w:val="28"/>
        </w:rPr>
        <w:t>Option 4: Rate-matching</w:t>
      </w:r>
    </w:p>
    <w:p w14:paraId="20F6C5CE" w14:textId="72BC6BD2" w:rsidR="00DB707D" w:rsidRPr="003D7C8E" w:rsidRDefault="00DB707D" w:rsidP="00DB707D">
      <w:pPr>
        <w:pStyle w:val="ListParagraph"/>
        <w:numPr>
          <w:ilvl w:val="3"/>
          <w:numId w:val="19"/>
        </w:numPr>
        <w:ind w:leftChars="0"/>
        <w:rPr>
          <w:rFonts w:asciiTheme="minorHAnsi" w:hAnsiTheme="minorHAnsi" w:cstheme="minorHAnsi"/>
          <w:sz w:val="22"/>
          <w:szCs w:val="28"/>
        </w:rPr>
      </w:pPr>
      <w:r w:rsidRPr="003D7C8E">
        <w:rPr>
          <w:rFonts w:asciiTheme="minorHAnsi" w:hAnsiTheme="minorHAnsi" w:cstheme="minorHAnsi"/>
          <w:sz w:val="22"/>
          <w:szCs w:val="28"/>
        </w:rPr>
        <w:t>[22/LGE]</w:t>
      </w:r>
      <w:r w:rsidR="00C22EFD" w:rsidRPr="003D7C8E">
        <w:rPr>
          <w:rFonts w:asciiTheme="minorHAnsi" w:hAnsiTheme="minorHAnsi" w:cstheme="minorHAnsi"/>
          <w:sz w:val="22"/>
          <w:szCs w:val="28"/>
        </w:rPr>
        <w:t>, [36/E///]</w:t>
      </w:r>
    </w:p>
    <w:p w14:paraId="1935C41A" w14:textId="7722117E" w:rsidR="00DB707D" w:rsidRPr="003D7C8E" w:rsidRDefault="00DB707D" w:rsidP="00DB707D">
      <w:pPr>
        <w:pStyle w:val="ListParagraph"/>
        <w:numPr>
          <w:ilvl w:val="2"/>
          <w:numId w:val="19"/>
        </w:numPr>
        <w:ind w:leftChars="0"/>
        <w:rPr>
          <w:rFonts w:asciiTheme="minorHAnsi" w:hAnsiTheme="minorHAnsi" w:cstheme="minorHAnsi"/>
          <w:sz w:val="22"/>
          <w:szCs w:val="28"/>
        </w:rPr>
      </w:pPr>
      <w:r w:rsidRPr="003D7C8E">
        <w:rPr>
          <w:rFonts w:asciiTheme="minorHAnsi" w:hAnsiTheme="minorHAnsi" w:cstheme="minorHAnsi"/>
          <w:sz w:val="22"/>
          <w:szCs w:val="28"/>
        </w:rPr>
        <w:t>Option 5: something</w:t>
      </w:r>
    </w:p>
    <w:p w14:paraId="089FBE06" w14:textId="081EA694" w:rsidR="00DB707D" w:rsidRPr="003D7C8E" w:rsidRDefault="00DB707D" w:rsidP="00DB707D">
      <w:pPr>
        <w:pStyle w:val="ListParagraph"/>
        <w:numPr>
          <w:ilvl w:val="3"/>
          <w:numId w:val="19"/>
        </w:numPr>
        <w:ind w:leftChars="0"/>
        <w:rPr>
          <w:rFonts w:asciiTheme="minorHAnsi" w:hAnsiTheme="minorHAnsi" w:cstheme="minorHAnsi"/>
          <w:sz w:val="22"/>
          <w:szCs w:val="28"/>
        </w:rPr>
      </w:pPr>
      <w:r w:rsidRPr="003D7C8E">
        <w:rPr>
          <w:rFonts w:asciiTheme="minorHAnsi" w:hAnsiTheme="minorHAnsi" w:cstheme="minorHAnsi"/>
          <w:sz w:val="22"/>
          <w:szCs w:val="28"/>
        </w:rPr>
        <w:t>[18/Lenovo]</w:t>
      </w:r>
      <w:r w:rsidR="00FD2261" w:rsidRPr="003D7C8E">
        <w:rPr>
          <w:rFonts w:asciiTheme="minorHAnsi" w:hAnsiTheme="minorHAnsi" w:cstheme="minorHAnsi"/>
          <w:sz w:val="22"/>
          <w:szCs w:val="28"/>
        </w:rPr>
        <w:t xml:space="preserve">, </w:t>
      </w:r>
      <w:r w:rsidR="0031193F" w:rsidRPr="003D7C8E">
        <w:rPr>
          <w:rFonts w:asciiTheme="minorHAnsi" w:hAnsiTheme="minorHAnsi" w:cstheme="minorHAnsi"/>
          <w:sz w:val="22"/>
          <w:szCs w:val="28"/>
        </w:rPr>
        <w:t xml:space="preserve">[26/NSC], </w:t>
      </w:r>
      <w:r w:rsidR="00FD2261" w:rsidRPr="003D7C8E">
        <w:rPr>
          <w:rFonts w:asciiTheme="minorHAnsi" w:hAnsiTheme="minorHAnsi" w:cstheme="minorHAnsi"/>
          <w:sz w:val="22"/>
          <w:szCs w:val="28"/>
        </w:rPr>
        <w:t>[30/Sharp]</w:t>
      </w:r>
    </w:p>
    <w:p w14:paraId="4E8C2629" w14:textId="4FAC4C84" w:rsidR="00274D92" w:rsidRPr="003D7C8E" w:rsidRDefault="00274D92" w:rsidP="00274D92">
      <w:pPr>
        <w:pStyle w:val="ListParagraph"/>
        <w:numPr>
          <w:ilvl w:val="2"/>
          <w:numId w:val="19"/>
        </w:numPr>
        <w:ind w:leftChars="0"/>
        <w:rPr>
          <w:rFonts w:asciiTheme="minorHAnsi" w:hAnsiTheme="minorHAnsi" w:cstheme="minorHAnsi"/>
          <w:sz w:val="22"/>
          <w:szCs w:val="28"/>
        </w:rPr>
      </w:pPr>
      <w:r w:rsidRPr="003D7C8E">
        <w:rPr>
          <w:rFonts w:asciiTheme="minorHAnsi" w:hAnsiTheme="minorHAnsi" w:cstheme="minorHAnsi"/>
          <w:sz w:val="22"/>
          <w:szCs w:val="28"/>
        </w:rPr>
        <w:t>NOT support (Type 2A and 2B are also applicable for MCSt)</w:t>
      </w:r>
    </w:p>
    <w:p w14:paraId="200037E1" w14:textId="53970783" w:rsidR="00274D92" w:rsidRPr="003D7C8E" w:rsidRDefault="00274D92" w:rsidP="00274D92">
      <w:pPr>
        <w:pStyle w:val="ListParagraph"/>
        <w:numPr>
          <w:ilvl w:val="3"/>
          <w:numId w:val="19"/>
        </w:numPr>
        <w:ind w:leftChars="0"/>
        <w:rPr>
          <w:rFonts w:asciiTheme="minorHAnsi" w:hAnsiTheme="minorHAnsi" w:cstheme="minorHAnsi"/>
          <w:sz w:val="22"/>
          <w:szCs w:val="28"/>
        </w:rPr>
      </w:pPr>
      <w:r w:rsidRPr="003D7C8E">
        <w:rPr>
          <w:rFonts w:asciiTheme="minorHAnsi" w:hAnsiTheme="minorHAnsi" w:cstheme="minorHAnsi"/>
          <w:sz w:val="22"/>
          <w:szCs w:val="28"/>
        </w:rPr>
        <w:t>[17/xiaomi]</w:t>
      </w:r>
    </w:p>
    <w:p w14:paraId="22C26205" w14:textId="66FDFC01" w:rsidR="00AB74CA" w:rsidRPr="00AB74CA" w:rsidRDefault="00AB74CA">
      <w:pPr>
        <w:pStyle w:val="ListParagraph"/>
        <w:numPr>
          <w:ilvl w:val="1"/>
          <w:numId w:val="19"/>
        </w:numPr>
        <w:ind w:leftChars="0"/>
        <w:rPr>
          <w:rFonts w:asciiTheme="minorHAnsi" w:hAnsiTheme="minorHAnsi" w:cstheme="minorHAnsi"/>
          <w:sz w:val="22"/>
          <w:szCs w:val="28"/>
        </w:rPr>
      </w:pPr>
      <w:r w:rsidRPr="00AB74CA">
        <w:rPr>
          <w:rFonts w:asciiTheme="minorHAnsi" w:hAnsiTheme="minorHAnsi" w:cstheme="minorHAnsi"/>
          <w:sz w:val="22"/>
          <w:szCs w:val="28"/>
        </w:rPr>
        <w:t>[4/HW, HiSi]</w:t>
      </w:r>
    </w:p>
    <w:p w14:paraId="058C9540" w14:textId="45792EA5" w:rsidR="00AB74CA" w:rsidRDefault="00AB74CA" w:rsidP="00AB74CA">
      <w:pPr>
        <w:pStyle w:val="ListParagraph"/>
        <w:numPr>
          <w:ilvl w:val="2"/>
          <w:numId w:val="19"/>
        </w:numPr>
        <w:ind w:leftChars="0"/>
        <w:rPr>
          <w:rFonts w:asciiTheme="minorHAnsi" w:hAnsiTheme="minorHAnsi" w:cstheme="minorHAnsi"/>
          <w:sz w:val="22"/>
          <w:szCs w:val="28"/>
        </w:rPr>
      </w:pPr>
      <w:r w:rsidRPr="00AB74CA">
        <w:rPr>
          <w:rFonts w:asciiTheme="minorHAnsi" w:hAnsiTheme="minorHAnsi" w:cstheme="minorHAnsi"/>
          <w:sz w:val="22"/>
          <w:szCs w:val="28"/>
        </w:rPr>
        <w:t xml:space="preserve">Within a COT, resource allocation is enhanced to enable </w:t>
      </w:r>
      <w:r>
        <w:rPr>
          <w:rFonts w:asciiTheme="minorHAnsi" w:hAnsiTheme="minorHAnsi" w:cstheme="minorHAnsi"/>
          <w:sz w:val="22"/>
          <w:szCs w:val="28"/>
        </w:rPr>
        <w:t>MCSt</w:t>
      </w:r>
      <w:r w:rsidRPr="00AB74CA">
        <w:rPr>
          <w:rFonts w:asciiTheme="minorHAnsi" w:hAnsiTheme="minorHAnsi" w:cstheme="minorHAnsi"/>
          <w:sz w:val="22"/>
          <w:szCs w:val="28"/>
        </w:rPr>
        <w:t xml:space="preserve"> by a single TX UE when the COT is not shared and by multi-TX UEs when the COT is shared:</w:t>
      </w:r>
    </w:p>
    <w:p w14:paraId="54FF3912" w14:textId="295BEC6E" w:rsidR="00AB74CA" w:rsidRDefault="00AB74CA" w:rsidP="00AB74CA">
      <w:pPr>
        <w:pStyle w:val="ListParagraph"/>
        <w:numPr>
          <w:ilvl w:val="3"/>
          <w:numId w:val="19"/>
        </w:numPr>
        <w:ind w:leftChars="0"/>
        <w:rPr>
          <w:rFonts w:asciiTheme="minorHAnsi" w:hAnsiTheme="minorHAnsi" w:cstheme="minorHAnsi"/>
          <w:sz w:val="22"/>
          <w:szCs w:val="28"/>
        </w:rPr>
      </w:pPr>
      <w:r w:rsidRPr="00AB74CA">
        <w:rPr>
          <w:rFonts w:asciiTheme="minorHAnsi" w:hAnsiTheme="minorHAnsi" w:cstheme="minorHAnsi"/>
          <w:sz w:val="22"/>
          <w:szCs w:val="28"/>
        </w:rPr>
        <w:t>For resource selection procedure, both available resources for transmission from candidate resource set and those resources to be shared to other UEs should be reported to MAC layer.</w:t>
      </w:r>
    </w:p>
    <w:p w14:paraId="468A0CDB" w14:textId="1874C190" w:rsidR="00AB74CA" w:rsidRDefault="00AB74CA" w:rsidP="00AB74CA">
      <w:pPr>
        <w:pStyle w:val="ListParagraph"/>
        <w:numPr>
          <w:ilvl w:val="3"/>
          <w:numId w:val="19"/>
        </w:numPr>
        <w:ind w:leftChars="0"/>
        <w:rPr>
          <w:rFonts w:asciiTheme="minorHAnsi" w:hAnsiTheme="minorHAnsi" w:cstheme="minorHAnsi"/>
          <w:sz w:val="22"/>
          <w:szCs w:val="28"/>
        </w:rPr>
      </w:pPr>
      <w:r w:rsidRPr="00AB74CA">
        <w:rPr>
          <w:rFonts w:asciiTheme="minorHAnsi" w:hAnsiTheme="minorHAnsi" w:cstheme="minorHAnsi"/>
          <w:sz w:val="22"/>
          <w:szCs w:val="28"/>
        </w:rPr>
        <w:t>MAC layer shall select multi-consecutive slots resources for multiple TBs and resources to be shared if any</w:t>
      </w:r>
    </w:p>
    <w:p w14:paraId="2F7F8AEB" w14:textId="64104580" w:rsidR="00CF2100" w:rsidRDefault="00CF2100">
      <w:pPr>
        <w:pStyle w:val="ListParagraph"/>
        <w:numPr>
          <w:ilvl w:val="1"/>
          <w:numId w:val="19"/>
        </w:numPr>
        <w:ind w:leftChars="0"/>
        <w:rPr>
          <w:rFonts w:asciiTheme="minorHAnsi" w:hAnsiTheme="minorHAnsi" w:cstheme="minorHAnsi"/>
          <w:sz w:val="22"/>
          <w:szCs w:val="28"/>
        </w:rPr>
      </w:pPr>
      <w:r>
        <w:rPr>
          <w:rFonts w:asciiTheme="minorHAnsi" w:hAnsiTheme="minorHAnsi" w:cstheme="minorHAnsi"/>
          <w:sz w:val="22"/>
          <w:szCs w:val="28"/>
        </w:rPr>
        <w:t xml:space="preserve">[5/Spreadtrum]: </w:t>
      </w:r>
      <w:r w:rsidRPr="00CF2100">
        <w:rPr>
          <w:rFonts w:asciiTheme="minorHAnsi" w:hAnsiTheme="minorHAnsi" w:cstheme="minorHAnsi"/>
          <w:sz w:val="22"/>
          <w:szCs w:val="28"/>
        </w:rPr>
        <w:t>Multi-consecutive slots candidate resources should be ensured during resource exclusion procedure in mode 2.</w:t>
      </w:r>
    </w:p>
    <w:p w14:paraId="584F03F2" w14:textId="1C84D8D8" w:rsidR="00083896" w:rsidRDefault="00083896">
      <w:pPr>
        <w:pStyle w:val="ListParagraph"/>
        <w:numPr>
          <w:ilvl w:val="1"/>
          <w:numId w:val="19"/>
        </w:numPr>
        <w:ind w:leftChars="0"/>
        <w:rPr>
          <w:rFonts w:asciiTheme="minorHAnsi" w:hAnsiTheme="minorHAnsi" w:cstheme="minorHAnsi"/>
          <w:sz w:val="22"/>
          <w:szCs w:val="28"/>
        </w:rPr>
      </w:pPr>
      <w:r>
        <w:rPr>
          <w:rFonts w:asciiTheme="minorHAnsi" w:hAnsiTheme="minorHAnsi" w:cstheme="minorHAnsi"/>
          <w:sz w:val="22"/>
          <w:szCs w:val="28"/>
        </w:rPr>
        <w:t xml:space="preserve">[6/vivo]: </w:t>
      </w:r>
    </w:p>
    <w:p w14:paraId="57BB0D36" w14:textId="6A5734FA" w:rsidR="00083896" w:rsidRDefault="00083896" w:rsidP="00083896">
      <w:pPr>
        <w:pStyle w:val="ListParagraph"/>
        <w:numPr>
          <w:ilvl w:val="2"/>
          <w:numId w:val="19"/>
        </w:numPr>
        <w:ind w:leftChars="0"/>
        <w:rPr>
          <w:rFonts w:asciiTheme="minorHAnsi" w:hAnsiTheme="minorHAnsi" w:cstheme="minorHAnsi"/>
          <w:sz w:val="22"/>
          <w:szCs w:val="28"/>
        </w:rPr>
      </w:pPr>
      <w:r w:rsidRPr="00083896">
        <w:rPr>
          <w:rFonts w:asciiTheme="minorHAnsi" w:hAnsiTheme="minorHAnsi" w:cstheme="minorHAnsi"/>
          <w:sz w:val="22"/>
          <w:szCs w:val="28"/>
        </w:rPr>
        <w:t>PSCCH and AGC are in every slot of multi-consecutive slots transmission.</w:t>
      </w:r>
      <w:r>
        <w:rPr>
          <w:rFonts w:asciiTheme="minorHAnsi" w:hAnsiTheme="minorHAnsi" w:cstheme="minorHAnsi"/>
          <w:sz w:val="22"/>
          <w:szCs w:val="28"/>
        </w:rPr>
        <w:t xml:space="preserve"> </w:t>
      </w:r>
    </w:p>
    <w:p w14:paraId="5081305E" w14:textId="475A75B4" w:rsidR="00765CE1" w:rsidRDefault="00765CE1" w:rsidP="00083896">
      <w:pPr>
        <w:pStyle w:val="ListParagraph"/>
        <w:numPr>
          <w:ilvl w:val="2"/>
          <w:numId w:val="19"/>
        </w:numPr>
        <w:ind w:leftChars="0"/>
        <w:rPr>
          <w:rFonts w:asciiTheme="minorHAnsi" w:hAnsiTheme="minorHAnsi" w:cstheme="minorHAnsi"/>
          <w:sz w:val="22"/>
          <w:szCs w:val="28"/>
        </w:rPr>
      </w:pPr>
      <w:r w:rsidRPr="00765CE1">
        <w:rPr>
          <w:rFonts w:asciiTheme="minorHAnsi" w:hAnsiTheme="minorHAnsi" w:cstheme="minorHAnsi"/>
          <w:sz w:val="22"/>
          <w:szCs w:val="28"/>
        </w:rPr>
        <w:t>The mode 2 resource allocation should be enhanced for multi-consecutive slots transmission, e.g., the physical layer reports single-slot candidate resources to the higher layer, then the multi-slot resources are selected by the higher layer.</w:t>
      </w:r>
    </w:p>
    <w:p w14:paraId="434BBEE1" w14:textId="59621A2C" w:rsidR="00B53E25" w:rsidRDefault="00B53E25">
      <w:pPr>
        <w:pStyle w:val="ListParagraph"/>
        <w:numPr>
          <w:ilvl w:val="1"/>
          <w:numId w:val="19"/>
        </w:numPr>
        <w:ind w:leftChars="0"/>
        <w:rPr>
          <w:rFonts w:asciiTheme="minorHAnsi" w:hAnsiTheme="minorHAnsi" w:cstheme="minorHAnsi"/>
          <w:sz w:val="22"/>
          <w:szCs w:val="28"/>
        </w:rPr>
      </w:pPr>
      <w:r>
        <w:rPr>
          <w:rFonts w:asciiTheme="minorHAnsi" w:hAnsiTheme="minorHAnsi" w:cstheme="minorHAnsi"/>
          <w:sz w:val="22"/>
          <w:szCs w:val="28"/>
        </w:rPr>
        <w:t>[9/CATT, GH] To support MCSt, the following aspects should be taken into account:</w:t>
      </w:r>
    </w:p>
    <w:p w14:paraId="239300BF" w14:textId="558A0634" w:rsidR="00B53E25" w:rsidRDefault="00B53E25" w:rsidP="00B53E25">
      <w:pPr>
        <w:pStyle w:val="ListParagraph"/>
        <w:numPr>
          <w:ilvl w:val="2"/>
          <w:numId w:val="19"/>
        </w:numPr>
        <w:ind w:leftChars="0"/>
        <w:rPr>
          <w:rFonts w:asciiTheme="minorHAnsi" w:hAnsiTheme="minorHAnsi" w:cstheme="minorHAnsi"/>
          <w:sz w:val="22"/>
          <w:szCs w:val="28"/>
        </w:rPr>
      </w:pPr>
      <w:r w:rsidRPr="00B53E25">
        <w:rPr>
          <w:rFonts w:asciiTheme="minorHAnsi" w:hAnsiTheme="minorHAnsi" w:cstheme="minorHAnsi"/>
          <w:sz w:val="22"/>
          <w:szCs w:val="28"/>
        </w:rPr>
        <w:t>The supportive of HARQ feedback in unicast and groupcast</w:t>
      </w:r>
    </w:p>
    <w:p w14:paraId="4F1C97A2" w14:textId="0AB92E06" w:rsidR="00B53E25" w:rsidRDefault="00B53E25" w:rsidP="00B53E25">
      <w:pPr>
        <w:pStyle w:val="ListParagraph"/>
        <w:numPr>
          <w:ilvl w:val="2"/>
          <w:numId w:val="19"/>
        </w:numPr>
        <w:ind w:leftChars="0"/>
        <w:rPr>
          <w:rFonts w:asciiTheme="minorHAnsi" w:hAnsiTheme="minorHAnsi" w:cstheme="minorHAnsi"/>
          <w:sz w:val="22"/>
          <w:szCs w:val="28"/>
        </w:rPr>
      </w:pPr>
      <w:r w:rsidRPr="00B53E25">
        <w:rPr>
          <w:rFonts w:asciiTheme="minorHAnsi" w:hAnsiTheme="minorHAnsi" w:cstheme="minorHAnsi"/>
          <w:sz w:val="22"/>
          <w:szCs w:val="28"/>
        </w:rPr>
        <w:t>Resource exclusion enhancements for mode 2 resource allocation</w:t>
      </w:r>
    </w:p>
    <w:p w14:paraId="6BFD8B59" w14:textId="4A4ECCBE" w:rsidR="000C6DDA" w:rsidRPr="00083896" w:rsidRDefault="000C6DDA">
      <w:pPr>
        <w:pStyle w:val="ListParagraph"/>
        <w:numPr>
          <w:ilvl w:val="1"/>
          <w:numId w:val="19"/>
        </w:numPr>
        <w:ind w:leftChars="0"/>
        <w:rPr>
          <w:rFonts w:asciiTheme="minorHAnsi" w:hAnsiTheme="minorHAnsi" w:cstheme="minorHAnsi"/>
          <w:sz w:val="22"/>
          <w:szCs w:val="28"/>
        </w:rPr>
      </w:pPr>
      <w:r w:rsidRPr="00083896">
        <w:rPr>
          <w:rFonts w:asciiTheme="minorHAnsi" w:hAnsiTheme="minorHAnsi" w:cstheme="minorHAnsi"/>
          <w:sz w:val="22"/>
          <w:szCs w:val="28"/>
        </w:rPr>
        <w:t>[11/Intel] Multi-UEs multi-consecutive slot transmission is supported by implementation by its procedure is not supported by design.</w:t>
      </w:r>
    </w:p>
    <w:p w14:paraId="6DC88B11" w14:textId="77777777" w:rsidR="00987A63" w:rsidRDefault="00EB1CC2">
      <w:pPr>
        <w:pStyle w:val="ListParagraph"/>
        <w:numPr>
          <w:ilvl w:val="1"/>
          <w:numId w:val="19"/>
        </w:numPr>
        <w:ind w:leftChars="0"/>
        <w:rPr>
          <w:rFonts w:asciiTheme="minorHAnsi" w:hAnsiTheme="minorHAnsi" w:cstheme="minorHAnsi"/>
          <w:sz w:val="22"/>
          <w:szCs w:val="28"/>
        </w:rPr>
      </w:pPr>
      <w:r>
        <w:rPr>
          <w:rFonts w:asciiTheme="minorHAnsi" w:hAnsiTheme="minorHAnsi" w:cstheme="minorHAnsi"/>
          <w:sz w:val="22"/>
          <w:szCs w:val="28"/>
        </w:rPr>
        <w:t xml:space="preserve">[19/CMCC]: </w:t>
      </w:r>
    </w:p>
    <w:p w14:paraId="352FF377" w14:textId="69657298" w:rsidR="00987A63" w:rsidRDefault="00987A63" w:rsidP="00987A63">
      <w:pPr>
        <w:pStyle w:val="ListParagraph"/>
        <w:numPr>
          <w:ilvl w:val="2"/>
          <w:numId w:val="19"/>
        </w:numPr>
        <w:ind w:leftChars="0"/>
        <w:rPr>
          <w:rFonts w:asciiTheme="minorHAnsi" w:hAnsiTheme="minorHAnsi" w:cstheme="minorHAnsi"/>
          <w:sz w:val="22"/>
          <w:szCs w:val="28"/>
        </w:rPr>
      </w:pPr>
      <w:r w:rsidRPr="00987A63">
        <w:rPr>
          <w:rFonts w:asciiTheme="minorHAnsi" w:hAnsiTheme="minorHAnsi" w:cstheme="minorHAnsi"/>
          <w:sz w:val="22"/>
          <w:szCs w:val="28"/>
        </w:rPr>
        <w:t>MCSt should be achieved by a single UE in Rel-18 SL-U.</w:t>
      </w:r>
      <w:r w:rsidR="00E364D5">
        <w:rPr>
          <w:rFonts w:asciiTheme="minorHAnsi" w:hAnsiTheme="minorHAnsi" w:cstheme="minorHAnsi"/>
          <w:sz w:val="22"/>
          <w:szCs w:val="28"/>
        </w:rPr>
        <w:t xml:space="preserve"> [10/Fujitsu]</w:t>
      </w:r>
    </w:p>
    <w:p w14:paraId="7FA60BC5" w14:textId="2B161DD3" w:rsidR="002D0C79" w:rsidRDefault="002D0C79" w:rsidP="00987A63">
      <w:pPr>
        <w:pStyle w:val="ListParagraph"/>
        <w:numPr>
          <w:ilvl w:val="2"/>
          <w:numId w:val="19"/>
        </w:numPr>
        <w:ind w:leftChars="0"/>
        <w:rPr>
          <w:rFonts w:asciiTheme="minorHAnsi" w:hAnsiTheme="minorHAnsi" w:cstheme="minorHAnsi"/>
          <w:sz w:val="22"/>
          <w:szCs w:val="28"/>
        </w:rPr>
      </w:pPr>
      <w:r w:rsidRPr="002D0C79">
        <w:rPr>
          <w:rFonts w:asciiTheme="minorHAnsi" w:hAnsiTheme="minorHAnsi" w:cstheme="minorHAnsi"/>
          <w:sz w:val="22"/>
          <w:szCs w:val="28"/>
        </w:rPr>
        <w:t>For mode 1, enhancements on both DG and CG can be considered to allocate consecutive time domain resources, the design of DCI format 0_1 and CG configuration in NR-U can be a reference.</w:t>
      </w:r>
    </w:p>
    <w:p w14:paraId="0A82E1BA" w14:textId="50078762" w:rsidR="002D0C79" w:rsidRDefault="002D0C79" w:rsidP="00987A63">
      <w:pPr>
        <w:pStyle w:val="ListParagraph"/>
        <w:numPr>
          <w:ilvl w:val="2"/>
          <w:numId w:val="19"/>
        </w:numPr>
        <w:ind w:leftChars="0"/>
        <w:rPr>
          <w:rFonts w:asciiTheme="minorHAnsi" w:hAnsiTheme="minorHAnsi" w:cstheme="minorHAnsi"/>
          <w:sz w:val="22"/>
          <w:szCs w:val="28"/>
        </w:rPr>
      </w:pPr>
      <w:r w:rsidRPr="002D0C79">
        <w:rPr>
          <w:rFonts w:asciiTheme="minorHAnsi" w:hAnsiTheme="minorHAnsi" w:cstheme="minorHAnsi"/>
          <w:sz w:val="22"/>
          <w:szCs w:val="28"/>
        </w:rPr>
        <w:t>For mode 2, enhancements on Rel-16 resource selection procedure can be considered to guarantee multi-consecutive slots transmission in SL-U:</w:t>
      </w:r>
    </w:p>
    <w:p w14:paraId="6151CA90" w14:textId="22394058" w:rsidR="002D0C79" w:rsidRPr="002D0C79" w:rsidRDefault="002D0C79" w:rsidP="002D0C79">
      <w:pPr>
        <w:pStyle w:val="ListParagraph"/>
        <w:numPr>
          <w:ilvl w:val="3"/>
          <w:numId w:val="19"/>
        </w:numPr>
        <w:spacing w:line="288" w:lineRule="auto"/>
        <w:ind w:leftChars="0"/>
        <w:rPr>
          <w:rFonts w:asciiTheme="minorHAnsi" w:hAnsiTheme="minorHAnsi" w:cstheme="minorHAnsi"/>
          <w:sz w:val="22"/>
          <w:szCs w:val="22"/>
          <w:lang w:eastAsia="zh-CN"/>
        </w:rPr>
      </w:pPr>
      <w:r w:rsidRPr="002D0C79">
        <w:rPr>
          <w:rFonts w:asciiTheme="minorHAnsi" w:hAnsiTheme="minorHAnsi" w:cstheme="minorHAnsi"/>
          <w:sz w:val="22"/>
          <w:szCs w:val="22"/>
          <w:lang w:eastAsia="zh-CN"/>
        </w:rPr>
        <w:t>Alt.1: Re-defin</w:t>
      </w:r>
      <w:r>
        <w:rPr>
          <w:rFonts w:asciiTheme="minorHAnsi" w:hAnsiTheme="minorHAnsi" w:cstheme="minorHAnsi"/>
          <w:sz w:val="22"/>
          <w:szCs w:val="22"/>
          <w:lang w:eastAsia="zh-CN"/>
        </w:rPr>
        <w:t>e</w:t>
      </w:r>
      <w:r w:rsidRPr="002D0C79">
        <w:rPr>
          <w:rFonts w:asciiTheme="minorHAnsi" w:hAnsiTheme="minorHAnsi" w:cstheme="minorHAnsi"/>
          <w:sz w:val="22"/>
          <w:szCs w:val="22"/>
          <w:lang w:eastAsia="zh-CN"/>
        </w:rPr>
        <w:t xml:space="preserve"> the selected resources as potential starting slots of a COT</w:t>
      </w:r>
    </w:p>
    <w:p w14:paraId="4BE1AD8B" w14:textId="66F00D40" w:rsidR="002D0C79" w:rsidRPr="002D0C79" w:rsidRDefault="002D0C79" w:rsidP="002D0C79">
      <w:pPr>
        <w:pStyle w:val="ListParagraph"/>
        <w:numPr>
          <w:ilvl w:val="3"/>
          <w:numId w:val="19"/>
        </w:numPr>
        <w:spacing w:line="288" w:lineRule="auto"/>
        <w:ind w:leftChars="0"/>
        <w:rPr>
          <w:rFonts w:asciiTheme="minorHAnsi" w:hAnsiTheme="minorHAnsi" w:cstheme="minorHAnsi"/>
          <w:sz w:val="22"/>
          <w:szCs w:val="22"/>
          <w:lang w:eastAsia="zh-CN"/>
        </w:rPr>
      </w:pPr>
      <w:r w:rsidRPr="002D0C79">
        <w:rPr>
          <w:rFonts w:asciiTheme="minorHAnsi" w:hAnsiTheme="minorHAnsi" w:cstheme="minorHAnsi"/>
          <w:sz w:val="22"/>
          <w:szCs w:val="22"/>
          <w:lang w:eastAsia="zh-CN"/>
        </w:rPr>
        <w:t>Alt.2: Support multi-slots candidate resource in SL-U</w:t>
      </w:r>
    </w:p>
    <w:p w14:paraId="02A58BE6" w14:textId="4FAB07F1" w:rsidR="005F62BC" w:rsidRPr="00C55E92" w:rsidRDefault="005F62BC">
      <w:pPr>
        <w:pStyle w:val="ListParagraph"/>
        <w:numPr>
          <w:ilvl w:val="1"/>
          <w:numId w:val="19"/>
        </w:numPr>
        <w:ind w:leftChars="0"/>
        <w:rPr>
          <w:rFonts w:asciiTheme="minorHAnsi" w:hAnsiTheme="minorHAnsi" w:cstheme="minorHAnsi"/>
          <w:sz w:val="22"/>
          <w:szCs w:val="28"/>
        </w:rPr>
      </w:pPr>
      <w:r w:rsidRPr="00C55E92">
        <w:rPr>
          <w:rFonts w:asciiTheme="minorHAnsi" w:hAnsiTheme="minorHAnsi" w:cstheme="minorHAnsi"/>
          <w:sz w:val="22"/>
          <w:szCs w:val="28"/>
        </w:rPr>
        <w:lastRenderedPageBreak/>
        <w:t>[</w:t>
      </w:r>
      <w:r w:rsidR="00657FA4" w:rsidRPr="00C55E92">
        <w:rPr>
          <w:rFonts w:asciiTheme="minorHAnsi" w:hAnsiTheme="minorHAnsi" w:cstheme="minorHAnsi"/>
          <w:sz w:val="22"/>
          <w:szCs w:val="28"/>
        </w:rPr>
        <w:t>22/LGE</w:t>
      </w:r>
      <w:r w:rsidRPr="00C55E92">
        <w:rPr>
          <w:rFonts w:asciiTheme="minorHAnsi" w:hAnsiTheme="minorHAnsi" w:cstheme="minorHAnsi"/>
          <w:sz w:val="22"/>
          <w:szCs w:val="28"/>
        </w:rPr>
        <w:t>]: UE performs transmission(s) after a gap not greater than 16us within a SL transmission burst without sensing the corresponding channel(s) for availability.</w:t>
      </w:r>
    </w:p>
    <w:p w14:paraId="3CB06CB5" w14:textId="09A52BD1" w:rsidR="00651D9B" w:rsidRPr="00651D9B" w:rsidRDefault="00651D9B">
      <w:pPr>
        <w:pStyle w:val="ListParagraph"/>
        <w:numPr>
          <w:ilvl w:val="2"/>
          <w:numId w:val="19"/>
        </w:numPr>
        <w:ind w:leftChars="0"/>
        <w:rPr>
          <w:rFonts w:asciiTheme="minorHAnsi" w:hAnsiTheme="minorHAnsi" w:cstheme="minorHAnsi"/>
          <w:bCs/>
          <w:iCs/>
          <w:sz w:val="22"/>
          <w:szCs w:val="28"/>
        </w:rPr>
      </w:pPr>
      <w:r w:rsidRPr="00651D9B">
        <w:rPr>
          <w:rFonts w:asciiTheme="minorHAnsi" w:hAnsiTheme="minorHAnsi" w:cstheme="minorHAnsi"/>
          <w:bCs/>
          <w:iCs/>
          <w:sz w:val="22"/>
          <w:szCs w:val="28"/>
        </w:rPr>
        <w:t>Transmissions from a UE separated by a gap of more than 16μs are considered as separate SL transmission bursts.</w:t>
      </w:r>
    </w:p>
    <w:p w14:paraId="68C38EFC" w14:textId="7513A772" w:rsidR="005F62BC" w:rsidRPr="00C55E92" w:rsidRDefault="005F62BC">
      <w:pPr>
        <w:pStyle w:val="ListParagraph"/>
        <w:numPr>
          <w:ilvl w:val="2"/>
          <w:numId w:val="19"/>
        </w:numPr>
        <w:ind w:leftChars="0"/>
        <w:rPr>
          <w:rFonts w:asciiTheme="minorHAnsi" w:hAnsiTheme="minorHAnsi" w:cstheme="minorHAnsi"/>
          <w:sz w:val="22"/>
          <w:szCs w:val="28"/>
        </w:rPr>
      </w:pPr>
      <w:r w:rsidRPr="00C55E92">
        <w:rPr>
          <w:rFonts w:asciiTheme="minorHAnsi" w:hAnsiTheme="minorHAnsi" w:cstheme="minorHAnsi"/>
          <w:sz w:val="22"/>
          <w:szCs w:val="28"/>
        </w:rPr>
        <w:t>Transmissions from a UE separated by a gap of more than 16μs are considered as separate SL transmission bursts.</w:t>
      </w:r>
    </w:p>
    <w:p w14:paraId="67C4B02C" w14:textId="4B0C2942" w:rsidR="00F32A9E" w:rsidRPr="00863098" w:rsidRDefault="00466359">
      <w:pPr>
        <w:pStyle w:val="ListParagraph"/>
        <w:numPr>
          <w:ilvl w:val="1"/>
          <w:numId w:val="19"/>
        </w:numPr>
        <w:ind w:leftChars="0" w:hanging="357"/>
        <w:rPr>
          <w:rFonts w:asciiTheme="minorHAnsi" w:hAnsiTheme="minorHAnsi" w:cstheme="minorHAnsi"/>
          <w:sz w:val="22"/>
          <w:szCs w:val="28"/>
        </w:rPr>
      </w:pPr>
      <w:r w:rsidRPr="00863098">
        <w:rPr>
          <w:rFonts w:asciiTheme="minorHAnsi" w:hAnsiTheme="minorHAnsi" w:cstheme="minorHAnsi"/>
          <w:sz w:val="22"/>
          <w:szCs w:val="28"/>
        </w:rPr>
        <w:t>[7/ZTE, SC]</w:t>
      </w:r>
      <w:r w:rsidR="007F0B10" w:rsidRPr="00863098">
        <w:rPr>
          <w:rFonts w:asciiTheme="minorHAnsi" w:hAnsiTheme="minorHAnsi" w:cstheme="minorHAnsi"/>
          <w:sz w:val="22"/>
          <w:szCs w:val="28"/>
        </w:rPr>
        <w:t xml:space="preserve">: </w:t>
      </w:r>
    </w:p>
    <w:p w14:paraId="1B9BD046" w14:textId="577E928E" w:rsidR="007F0B10" w:rsidRPr="00863098" w:rsidRDefault="00863098">
      <w:pPr>
        <w:pStyle w:val="ListParagraph"/>
        <w:numPr>
          <w:ilvl w:val="2"/>
          <w:numId w:val="19"/>
        </w:numPr>
        <w:ind w:leftChars="0"/>
        <w:rPr>
          <w:rFonts w:asciiTheme="minorHAnsi" w:hAnsiTheme="minorHAnsi" w:cstheme="minorHAnsi"/>
          <w:sz w:val="22"/>
          <w:szCs w:val="28"/>
        </w:rPr>
      </w:pPr>
      <w:r w:rsidRPr="00863098">
        <w:rPr>
          <w:rFonts w:asciiTheme="minorHAnsi" w:hAnsiTheme="minorHAnsi" w:cstheme="minorHAnsi"/>
          <w:sz w:val="22"/>
          <w:szCs w:val="28"/>
        </w:rPr>
        <w:t>Reuse R16 SL TRIV to indicate either at least a set of multi-consecutive slots transmission or multiple non-consecutive slots transmission.</w:t>
      </w:r>
    </w:p>
    <w:p w14:paraId="53C548CC" w14:textId="0DEE3FBD" w:rsidR="00F32A9E" w:rsidRDefault="00863098">
      <w:pPr>
        <w:pStyle w:val="ListParagraph"/>
        <w:numPr>
          <w:ilvl w:val="2"/>
          <w:numId w:val="19"/>
        </w:numPr>
        <w:ind w:leftChars="0"/>
        <w:rPr>
          <w:rFonts w:asciiTheme="minorHAnsi" w:hAnsiTheme="minorHAnsi" w:cstheme="minorHAnsi"/>
          <w:sz w:val="22"/>
          <w:szCs w:val="28"/>
        </w:rPr>
      </w:pPr>
      <w:r w:rsidRPr="00863098">
        <w:rPr>
          <w:rFonts w:asciiTheme="minorHAnsi" w:hAnsiTheme="minorHAnsi" w:cstheme="minorHAnsi"/>
          <w:sz w:val="22"/>
          <w:szCs w:val="28"/>
        </w:rPr>
        <w:t>At least 1~2 sets of consecutive slots can be indicated based on R16 NR SL TRIV.</w:t>
      </w:r>
    </w:p>
    <w:p w14:paraId="080FFCEC" w14:textId="2FEF4AFF" w:rsidR="00863098" w:rsidRDefault="00863098">
      <w:pPr>
        <w:pStyle w:val="ListParagraph"/>
        <w:numPr>
          <w:ilvl w:val="2"/>
          <w:numId w:val="19"/>
        </w:numPr>
        <w:ind w:leftChars="0"/>
        <w:rPr>
          <w:rFonts w:asciiTheme="minorHAnsi" w:hAnsiTheme="minorHAnsi" w:cstheme="minorHAnsi"/>
          <w:sz w:val="22"/>
          <w:szCs w:val="28"/>
        </w:rPr>
      </w:pPr>
      <w:r w:rsidRPr="00863098">
        <w:rPr>
          <w:rFonts w:asciiTheme="minorHAnsi" w:hAnsiTheme="minorHAnsi" w:cstheme="minorHAnsi"/>
          <w:sz w:val="22"/>
          <w:szCs w:val="28"/>
        </w:rPr>
        <w:t>Based on R16 NR SL TRIV, both the starting time and duration of a set of consecutive slots should be indicated.</w:t>
      </w:r>
    </w:p>
    <w:p w14:paraId="73FA1D6B" w14:textId="48CDE715" w:rsidR="00863098" w:rsidRDefault="00863098">
      <w:pPr>
        <w:pStyle w:val="ListParagraph"/>
        <w:numPr>
          <w:ilvl w:val="2"/>
          <w:numId w:val="19"/>
        </w:numPr>
        <w:ind w:leftChars="0"/>
        <w:rPr>
          <w:rFonts w:asciiTheme="minorHAnsi" w:hAnsiTheme="minorHAnsi" w:cstheme="minorHAnsi"/>
          <w:sz w:val="22"/>
          <w:szCs w:val="28"/>
        </w:rPr>
      </w:pPr>
      <w:r w:rsidRPr="00863098">
        <w:rPr>
          <w:rFonts w:asciiTheme="minorHAnsi" w:hAnsiTheme="minorHAnsi" w:cstheme="minorHAnsi"/>
          <w:sz w:val="22"/>
          <w:szCs w:val="28"/>
        </w:rPr>
        <w:t>For a set of consecutive slots indicated based on R16 NR SL TRIV, it can be used for transmissions of different TBs</w:t>
      </w:r>
      <w:r>
        <w:rPr>
          <w:rFonts w:asciiTheme="minorHAnsi" w:hAnsiTheme="minorHAnsi" w:cstheme="minorHAnsi"/>
          <w:sz w:val="22"/>
          <w:szCs w:val="28"/>
        </w:rPr>
        <w:t>.</w:t>
      </w:r>
    </w:p>
    <w:p w14:paraId="1E26DEDB" w14:textId="2D778755" w:rsidR="003B5E24" w:rsidRDefault="003B5E24">
      <w:pPr>
        <w:pStyle w:val="ListParagraph"/>
        <w:numPr>
          <w:ilvl w:val="2"/>
          <w:numId w:val="19"/>
        </w:numPr>
        <w:ind w:leftChars="0"/>
        <w:rPr>
          <w:rFonts w:asciiTheme="minorHAnsi" w:hAnsiTheme="minorHAnsi" w:cstheme="minorHAnsi"/>
          <w:sz w:val="22"/>
          <w:szCs w:val="28"/>
        </w:rPr>
      </w:pPr>
      <w:r>
        <w:rPr>
          <w:rFonts w:asciiTheme="minorHAnsi" w:hAnsiTheme="minorHAnsi" w:cstheme="minorHAnsi"/>
          <w:sz w:val="22"/>
          <w:szCs w:val="28"/>
        </w:rPr>
        <w:t xml:space="preserve">The </w:t>
      </w:r>
      <w:r w:rsidRPr="003B5E24">
        <w:rPr>
          <w:rFonts w:asciiTheme="minorHAnsi" w:hAnsiTheme="minorHAnsi" w:cstheme="minorHAnsi"/>
          <w:sz w:val="22"/>
          <w:szCs w:val="28"/>
        </w:rPr>
        <w:t xml:space="preserve">MAC layer or </w:t>
      </w:r>
      <w:r>
        <w:rPr>
          <w:rFonts w:asciiTheme="minorHAnsi" w:hAnsiTheme="minorHAnsi" w:cstheme="minorHAnsi"/>
          <w:sz w:val="22"/>
          <w:szCs w:val="28"/>
        </w:rPr>
        <w:t>the</w:t>
      </w:r>
      <w:r w:rsidRPr="003B5E24">
        <w:rPr>
          <w:rFonts w:asciiTheme="minorHAnsi" w:hAnsiTheme="minorHAnsi" w:cstheme="minorHAnsi"/>
          <w:sz w:val="22"/>
          <w:szCs w:val="28"/>
        </w:rPr>
        <w:t xml:space="preserve"> sensing process of physical layer should </w:t>
      </w:r>
      <w:r>
        <w:rPr>
          <w:rFonts w:asciiTheme="minorHAnsi" w:hAnsiTheme="minorHAnsi" w:cstheme="minorHAnsi"/>
          <w:sz w:val="22"/>
          <w:szCs w:val="28"/>
        </w:rPr>
        <w:t>ensure</w:t>
      </w:r>
      <w:r w:rsidRPr="003B5E24">
        <w:rPr>
          <w:rFonts w:asciiTheme="minorHAnsi" w:hAnsiTheme="minorHAnsi" w:cstheme="minorHAnsi"/>
          <w:sz w:val="22"/>
          <w:szCs w:val="28"/>
        </w:rPr>
        <w:t xml:space="preserve"> that frequency resources of </w:t>
      </w:r>
      <w:r>
        <w:rPr>
          <w:rFonts w:asciiTheme="minorHAnsi" w:hAnsiTheme="minorHAnsi" w:cstheme="minorHAnsi"/>
          <w:sz w:val="22"/>
          <w:szCs w:val="28"/>
        </w:rPr>
        <w:t>MCSt</w:t>
      </w:r>
      <w:r w:rsidRPr="003B5E24">
        <w:rPr>
          <w:rFonts w:asciiTheme="minorHAnsi" w:hAnsiTheme="minorHAnsi" w:cstheme="minorHAnsi"/>
          <w:sz w:val="22"/>
          <w:szCs w:val="28"/>
        </w:rPr>
        <w:t xml:space="preserve"> are in the same</w:t>
      </w:r>
      <w:r>
        <w:rPr>
          <w:rFonts w:asciiTheme="minorHAnsi" w:hAnsiTheme="minorHAnsi" w:cstheme="minorHAnsi"/>
          <w:sz w:val="22"/>
          <w:szCs w:val="28"/>
        </w:rPr>
        <w:t xml:space="preserve"> shared</w:t>
      </w:r>
      <w:r w:rsidRPr="003B5E24">
        <w:rPr>
          <w:rFonts w:asciiTheme="minorHAnsi" w:hAnsiTheme="minorHAnsi" w:cstheme="minorHAnsi"/>
          <w:sz w:val="22"/>
          <w:szCs w:val="28"/>
        </w:rPr>
        <w:t xml:space="preserve"> channel(s).</w:t>
      </w:r>
    </w:p>
    <w:p w14:paraId="5D8FA576" w14:textId="18FAF5EA" w:rsidR="00864A56" w:rsidRPr="00C22EFD" w:rsidRDefault="00864A56">
      <w:pPr>
        <w:pStyle w:val="ListParagraph"/>
        <w:numPr>
          <w:ilvl w:val="2"/>
          <w:numId w:val="19"/>
        </w:numPr>
        <w:ind w:leftChars="0"/>
        <w:rPr>
          <w:rFonts w:asciiTheme="minorHAnsi" w:hAnsiTheme="minorHAnsi" w:cstheme="minorHAnsi"/>
          <w:sz w:val="22"/>
          <w:szCs w:val="28"/>
        </w:rPr>
      </w:pPr>
      <w:r w:rsidRPr="00C22EFD">
        <w:rPr>
          <w:rFonts w:asciiTheme="minorHAnsi" w:hAnsiTheme="minorHAnsi" w:cstheme="minorHAnsi"/>
          <w:sz w:val="22"/>
          <w:szCs w:val="28"/>
        </w:rPr>
        <w:t xml:space="preserve">In order to avoid the interruption due to PSFCH symbols, </w:t>
      </w:r>
      <w:r w:rsidR="00F46B3A" w:rsidRPr="00C22EFD">
        <w:rPr>
          <w:rFonts w:asciiTheme="minorHAnsi" w:hAnsiTheme="minorHAnsi" w:cstheme="minorHAnsi"/>
          <w:sz w:val="22"/>
          <w:szCs w:val="28"/>
        </w:rPr>
        <w:t>the</w:t>
      </w:r>
      <w:r w:rsidRPr="00C22EFD">
        <w:rPr>
          <w:rFonts w:asciiTheme="minorHAnsi" w:hAnsiTheme="minorHAnsi" w:cstheme="minorHAnsi"/>
          <w:sz w:val="22"/>
          <w:szCs w:val="28"/>
        </w:rPr>
        <w:t xml:space="preserve"> occupying signals </w:t>
      </w:r>
      <w:r w:rsidR="00F46B3A" w:rsidRPr="00C22EFD">
        <w:rPr>
          <w:rFonts w:asciiTheme="minorHAnsi" w:hAnsiTheme="minorHAnsi" w:cstheme="minorHAnsi"/>
          <w:sz w:val="22"/>
          <w:szCs w:val="28"/>
        </w:rPr>
        <w:t xml:space="preserve">should be allowed to transmit </w:t>
      </w:r>
      <w:r w:rsidRPr="00C22EFD">
        <w:rPr>
          <w:rFonts w:asciiTheme="minorHAnsi" w:hAnsiTheme="minorHAnsi" w:cstheme="minorHAnsi"/>
          <w:sz w:val="22"/>
          <w:szCs w:val="28"/>
        </w:rPr>
        <w:t xml:space="preserve">on a PSFCH occasion within the continuous </w:t>
      </w:r>
      <w:r w:rsidR="00F46B3A" w:rsidRPr="00C22EFD">
        <w:rPr>
          <w:rFonts w:asciiTheme="minorHAnsi" w:hAnsiTheme="minorHAnsi" w:cstheme="minorHAnsi"/>
          <w:sz w:val="22"/>
          <w:szCs w:val="28"/>
        </w:rPr>
        <w:t>SL</w:t>
      </w:r>
      <w:r w:rsidRPr="00C22EFD">
        <w:rPr>
          <w:rFonts w:asciiTheme="minorHAnsi" w:hAnsiTheme="minorHAnsi" w:cstheme="minorHAnsi"/>
          <w:sz w:val="22"/>
          <w:szCs w:val="28"/>
        </w:rPr>
        <w:t xml:space="preserve"> slots.</w:t>
      </w:r>
    </w:p>
    <w:p w14:paraId="2BC0AFAB" w14:textId="77777777" w:rsidR="00EE4C06" w:rsidRPr="00C22EFD" w:rsidRDefault="00EC297A">
      <w:pPr>
        <w:pStyle w:val="ListParagraph"/>
        <w:numPr>
          <w:ilvl w:val="1"/>
          <w:numId w:val="19"/>
        </w:numPr>
        <w:ind w:leftChars="0" w:hanging="357"/>
        <w:rPr>
          <w:rFonts w:asciiTheme="minorHAnsi" w:hAnsiTheme="minorHAnsi" w:cstheme="minorHAnsi"/>
          <w:sz w:val="22"/>
          <w:szCs w:val="28"/>
        </w:rPr>
      </w:pPr>
      <w:r w:rsidRPr="00C22EFD">
        <w:rPr>
          <w:rFonts w:asciiTheme="minorHAnsi" w:hAnsiTheme="minorHAnsi" w:cstheme="minorHAnsi"/>
          <w:sz w:val="22"/>
          <w:szCs w:val="28"/>
        </w:rPr>
        <w:t>[</w:t>
      </w:r>
      <w:r w:rsidR="00BC644A" w:rsidRPr="00C22EFD">
        <w:rPr>
          <w:rFonts w:asciiTheme="minorHAnsi" w:hAnsiTheme="minorHAnsi" w:cstheme="minorHAnsi"/>
          <w:sz w:val="22"/>
          <w:szCs w:val="28"/>
        </w:rPr>
        <w:t>18/Lenovo</w:t>
      </w:r>
      <w:r w:rsidRPr="00C22EFD">
        <w:rPr>
          <w:rFonts w:asciiTheme="minorHAnsi" w:hAnsiTheme="minorHAnsi" w:cstheme="minorHAnsi"/>
          <w:sz w:val="22"/>
          <w:szCs w:val="28"/>
        </w:rPr>
        <w:t xml:space="preserve">]: </w:t>
      </w:r>
    </w:p>
    <w:p w14:paraId="74AB78C3" w14:textId="1A1FF86F" w:rsidR="00EC297A" w:rsidRPr="00C22EFD" w:rsidRDefault="00EC297A" w:rsidP="00EE4C06">
      <w:pPr>
        <w:pStyle w:val="ListParagraph"/>
        <w:numPr>
          <w:ilvl w:val="2"/>
          <w:numId w:val="19"/>
        </w:numPr>
        <w:ind w:leftChars="0"/>
        <w:rPr>
          <w:rFonts w:asciiTheme="minorHAnsi" w:hAnsiTheme="minorHAnsi" w:cstheme="minorHAnsi"/>
          <w:sz w:val="22"/>
          <w:szCs w:val="28"/>
        </w:rPr>
      </w:pPr>
      <w:r w:rsidRPr="00C22EFD">
        <w:rPr>
          <w:rFonts w:asciiTheme="minorHAnsi" w:hAnsiTheme="minorHAnsi" w:cstheme="minorHAnsi"/>
          <w:sz w:val="22"/>
          <w:szCs w:val="28"/>
        </w:rPr>
        <w:t>Multiple PSSCHs scheduled by a single SCI is supported for sidelink transmissions in FR1 unlicensed spectrum.</w:t>
      </w:r>
    </w:p>
    <w:p w14:paraId="578A6E79" w14:textId="3CE19088" w:rsidR="00EE4C06" w:rsidRPr="00C22EFD" w:rsidRDefault="00EE4C06" w:rsidP="00EE4C06">
      <w:pPr>
        <w:pStyle w:val="ListParagraph"/>
        <w:numPr>
          <w:ilvl w:val="2"/>
          <w:numId w:val="19"/>
        </w:numPr>
        <w:ind w:leftChars="0"/>
        <w:rPr>
          <w:rFonts w:asciiTheme="minorHAnsi" w:hAnsiTheme="minorHAnsi" w:cstheme="minorHAnsi"/>
          <w:sz w:val="22"/>
          <w:szCs w:val="28"/>
        </w:rPr>
      </w:pPr>
      <w:r w:rsidRPr="00C22EFD">
        <w:rPr>
          <w:rFonts w:asciiTheme="minorHAnsi" w:hAnsiTheme="minorHAnsi" w:cstheme="minorHAnsi"/>
          <w:sz w:val="22"/>
          <w:szCs w:val="28"/>
        </w:rPr>
        <w:t>From a Tx UE’s point of view, no gap symbol is included in between any two consecutive slots.</w:t>
      </w:r>
    </w:p>
    <w:p w14:paraId="593E7CD8" w14:textId="20A60EEB" w:rsidR="001F7E16" w:rsidRDefault="001F7E16">
      <w:pPr>
        <w:pStyle w:val="ListParagraph"/>
        <w:numPr>
          <w:ilvl w:val="1"/>
          <w:numId w:val="19"/>
        </w:numPr>
        <w:ind w:leftChars="0" w:hanging="357"/>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[25/Apple]: </w:t>
      </w:r>
    </w:p>
    <w:p w14:paraId="1D970C3D" w14:textId="10EEFEE6" w:rsidR="001F7E16" w:rsidRDefault="001F7E16" w:rsidP="001F7E16">
      <w:pPr>
        <w:pStyle w:val="ListParagraph"/>
        <w:numPr>
          <w:ilvl w:val="2"/>
          <w:numId w:val="19"/>
        </w:numPr>
        <w:ind w:leftChars="0"/>
        <w:rPr>
          <w:rFonts w:asciiTheme="minorHAnsi" w:hAnsiTheme="minorHAnsi" w:cstheme="minorHAnsi"/>
          <w:color w:val="000000" w:themeColor="text1"/>
          <w:sz w:val="22"/>
          <w:szCs w:val="28"/>
        </w:rPr>
      </w:pPr>
      <w:r w:rsidRPr="001F7E16">
        <w:rPr>
          <w:rFonts w:asciiTheme="minorHAnsi" w:hAnsiTheme="minorHAnsi" w:cstheme="minorHAnsi"/>
          <w:color w:val="000000" w:themeColor="text1"/>
          <w:sz w:val="22"/>
          <w:szCs w:val="28"/>
        </w:rPr>
        <w:t>Multi-slot transmission should prioritize multi-TB transmission.</w:t>
      </w:r>
    </w:p>
    <w:p w14:paraId="3BB577ED" w14:textId="47F37E97" w:rsidR="001F7E16" w:rsidRDefault="001F7E16" w:rsidP="001F7E16">
      <w:pPr>
        <w:pStyle w:val="ListParagraph"/>
        <w:numPr>
          <w:ilvl w:val="2"/>
          <w:numId w:val="19"/>
        </w:numPr>
        <w:ind w:leftChars="0"/>
        <w:rPr>
          <w:rFonts w:asciiTheme="minorHAnsi" w:hAnsiTheme="minorHAnsi" w:cstheme="minorHAnsi"/>
          <w:color w:val="000000" w:themeColor="text1"/>
          <w:sz w:val="22"/>
          <w:szCs w:val="28"/>
        </w:rPr>
      </w:pPr>
      <w:r w:rsidRPr="001F7E16">
        <w:rPr>
          <w:rFonts w:asciiTheme="minorHAnsi" w:hAnsiTheme="minorHAnsi" w:cstheme="minorHAnsi"/>
          <w:color w:val="000000" w:themeColor="text1"/>
          <w:sz w:val="22"/>
          <w:szCs w:val="28"/>
        </w:rPr>
        <w:t>For model 1 RA with CG and mode 2 RA, multi-slot transmission is enabled only for full BW transmission where all the resource blocks within an RB set is configured.</w:t>
      </w:r>
    </w:p>
    <w:p w14:paraId="2656366C" w14:textId="56D234C0" w:rsidR="00BB3BBF" w:rsidRDefault="00BB3BBF">
      <w:pPr>
        <w:pStyle w:val="ListParagraph"/>
        <w:numPr>
          <w:ilvl w:val="1"/>
          <w:numId w:val="19"/>
        </w:numPr>
        <w:ind w:leftChars="0" w:hanging="357"/>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[27/IDC]: </w:t>
      </w:r>
      <w:r w:rsidRPr="00BB3BBF">
        <w:rPr>
          <w:rFonts w:asciiTheme="minorHAnsi" w:hAnsiTheme="minorHAnsi" w:cstheme="minorHAnsi"/>
          <w:color w:val="000000" w:themeColor="text1"/>
          <w:sz w:val="22"/>
          <w:szCs w:val="28"/>
        </w:rPr>
        <w:t>Support PSFCH transmission in a different COT than the corresponding PSSCH transmission.</w:t>
      </w:r>
    </w:p>
    <w:p w14:paraId="5F362480" w14:textId="0B11875E" w:rsidR="00FD2261" w:rsidRDefault="00FD2261">
      <w:pPr>
        <w:pStyle w:val="ListParagraph"/>
        <w:numPr>
          <w:ilvl w:val="1"/>
          <w:numId w:val="19"/>
        </w:numPr>
        <w:ind w:leftChars="0" w:hanging="357"/>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[30/Sharp]: </w:t>
      </w:r>
      <w:r w:rsidRPr="00FD2261">
        <w:rPr>
          <w:rFonts w:asciiTheme="minorHAnsi" w:hAnsiTheme="minorHAnsi" w:cstheme="minorHAnsi"/>
          <w:color w:val="000000" w:themeColor="text1"/>
          <w:sz w:val="22"/>
          <w:szCs w:val="28"/>
        </w:rPr>
        <w:t>More than 3 consecutive slots transmission should be supported for MCSt.</w:t>
      </w:r>
    </w:p>
    <w:p w14:paraId="07BBB3A2" w14:textId="2CAC0B31" w:rsidR="004C7A70" w:rsidRDefault="004C7A70">
      <w:pPr>
        <w:pStyle w:val="ListParagraph"/>
        <w:numPr>
          <w:ilvl w:val="1"/>
          <w:numId w:val="19"/>
        </w:numPr>
        <w:ind w:leftChars="0" w:hanging="357"/>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[31/Panasonic]: E</w:t>
      </w:r>
      <w:r w:rsidRPr="004C7A70">
        <w:rPr>
          <w:rFonts w:asciiTheme="minorHAnsi" w:hAnsiTheme="minorHAnsi" w:cstheme="minorHAnsi"/>
          <w:color w:val="000000" w:themeColor="text1"/>
          <w:sz w:val="22"/>
          <w:szCs w:val="28"/>
        </w:rPr>
        <w:t>ach slot has SCI and SCI indicates resource allocation of each slot.</w:t>
      </w:r>
    </w:p>
    <w:p w14:paraId="64408BE9" w14:textId="3EF99451" w:rsidR="00DB19EA" w:rsidRPr="00BD4A2A" w:rsidRDefault="00DB19EA">
      <w:pPr>
        <w:pStyle w:val="ListParagraph"/>
        <w:numPr>
          <w:ilvl w:val="1"/>
          <w:numId w:val="19"/>
        </w:numPr>
        <w:ind w:leftChars="0" w:hanging="357"/>
        <w:rPr>
          <w:rFonts w:asciiTheme="minorHAnsi" w:hAnsiTheme="minorHAnsi" w:cstheme="minorHAnsi"/>
          <w:color w:val="000000" w:themeColor="text1"/>
          <w:sz w:val="22"/>
          <w:szCs w:val="28"/>
        </w:rPr>
      </w:pPr>
      <w:r w:rsidRPr="00BD4A2A">
        <w:rPr>
          <w:rFonts w:asciiTheme="minorHAnsi" w:hAnsiTheme="minorHAnsi" w:cstheme="minorHAnsi"/>
          <w:color w:val="000000" w:themeColor="text1"/>
          <w:sz w:val="22"/>
          <w:szCs w:val="28"/>
        </w:rPr>
        <w:t>[</w:t>
      </w:r>
      <w:r w:rsidR="007B2CAB" w:rsidRPr="00BD4A2A">
        <w:rPr>
          <w:rFonts w:asciiTheme="minorHAnsi" w:hAnsiTheme="minorHAnsi" w:cstheme="minorHAnsi"/>
          <w:color w:val="000000" w:themeColor="text1"/>
          <w:sz w:val="22"/>
          <w:szCs w:val="28"/>
        </w:rPr>
        <w:t>33/QC</w:t>
      </w:r>
      <w:r w:rsidRPr="00BD4A2A">
        <w:rPr>
          <w:rFonts w:asciiTheme="minorHAnsi" w:hAnsiTheme="minorHAnsi" w:cstheme="minorHAnsi"/>
          <w:color w:val="000000" w:themeColor="text1"/>
          <w:sz w:val="22"/>
          <w:szCs w:val="28"/>
        </w:rPr>
        <w:t>]:</w:t>
      </w:r>
    </w:p>
    <w:p w14:paraId="3BF1B63F" w14:textId="56634FEC" w:rsidR="00DB19EA" w:rsidRPr="00C22EFD" w:rsidRDefault="004E156D">
      <w:pPr>
        <w:pStyle w:val="ListParagraph"/>
        <w:numPr>
          <w:ilvl w:val="2"/>
          <w:numId w:val="19"/>
        </w:numPr>
        <w:ind w:leftChars="0"/>
        <w:rPr>
          <w:rFonts w:asciiTheme="minorHAnsi" w:hAnsiTheme="minorHAnsi" w:cstheme="minorHAnsi"/>
          <w:color w:val="000000" w:themeColor="text1"/>
          <w:sz w:val="22"/>
          <w:szCs w:val="22"/>
        </w:rPr>
      </w:pPr>
      <w:r w:rsidRPr="00C22EFD">
        <w:rPr>
          <w:rFonts w:asciiTheme="minorHAnsi" w:hAnsiTheme="minorHAnsi" w:cstheme="minorHAnsi"/>
          <w:color w:val="000000" w:themeColor="text1"/>
          <w:sz w:val="22"/>
          <w:szCs w:val="22"/>
        </w:rPr>
        <w:t>For the gap before PSFCH, use CP extension to maintain the right length gap to match the channel access type or keep the COT</w:t>
      </w:r>
      <w:r w:rsidR="00095C5B" w:rsidRPr="00C22EFD">
        <w:rPr>
          <w:rFonts w:asciiTheme="minorHAnsi" w:hAnsiTheme="minorHAnsi" w:cstheme="minorHAnsi"/>
          <w:color w:val="000000" w:themeColor="text1"/>
          <w:sz w:val="22"/>
          <w:szCs w:val="22"/>
        </w:rPr>
        <w:t xml:space="preserve"> </w:t>
      </w:r>
      <w:r w:rsidR="00095C5B" w:rsidRPr="00C22EFD">
        <w:rPr>
          <w:rFonts w:asciiTheme="minorHAnsi" w:hAnsiTheme="minorHAnsi" w:cstheme="minorHAnsi"/>
          <w:sz w:val="22"/>
          <w:szCs w:val="22"/>
        </w:rPr>
        <w:t xml:space="preserve">(less than </w:t>
      </w:r>
      <m:oMath>
        <m:r>
          <w:rPr>
            <w:rFonts w:ascii="Cambria Math" w:hAnsi="Cambria Math" w:cstheme="minorHAnsi"/>
            <w:sz w:val="22"/>
            <w:szCs w:val="22"/>
          </w:rPr>
          <m:t>16 μs</m:t>
        </m:r>
      </m:oMath>
      <w:r w:rsidR="00095C5B" w:rsidRPr="00C22EFD">
        <w:rPr>
          <w:rFonts w:asciiTheme="minorHAnsi" w:hAnsiTheme="minorHAnsi" w:cstheme="minorHAnsi"/>
          <w:sz w:val="22"/>
          <w:szCs w:val="22"/>
        </w:rPr>
        <w:t>)</w:t>
      </w:r>
      <w:r w:rsidRPr="00C22EFD">
        <w:rPr>
          <w:rFonts w:asciiTheme="minorHAnsi" w:hAnsiTheme="minorHAnsi" w:cstheme="minorHAnsi"/>
          <w:color w:val="000000" w:themeColor="text1"/>
          <w:sz w:val="22"/>
          <w:szCs w:val="22"/>
        </w:rPr>
        <w:t>.</w:t>
      </w:r>
    </w:p>
    <w:p w14:paraId="0F9CC06A" w14:textId="734C10E1" w:rsidR="003D6410" w:rsidRDefault="002B5B0B">
      <w:pPr>
        <w:pStyle w:val="ListParagraph"/>
        <w:numPr>
          <w:ilvl w:val="2"/>
          <w:numId w:val="19"/>
        </w:numPr>
        <w:ind w:leftChars="0"/>
        <w:rPr>
          <w:rFonts w:asciiTheme="minorHAnsi" w:hAnsiTheme="minorHAnsi" w:cstheme="minorHAnsi"/>
          <w:color w:val="000000" w:themeColor="text1"/>
          <w:sz w:val="22"/>
          <w:szCs w:val="22"/>
        </w:rPr>
      </w:pPr>
      <w:r w:rsidRPr="002B5B0B">
        <w:rPr>
          <w:rFonts w:asciiTheme="minorHAnsi" w:hAnsiTheme="minorHAnsi" w:cstheme="minorHAnsi"/>
          <w:color w:val="000000" w:themeColor="text1"/>
          <w:sz w:val="22"/>
          <w:szCs w:val="22"/>
        </w:rPr>
        <w:t>The COT-initiating transmitter is allowed to send or trigger its receiver to send PSFCH-like padding signals on its own PSFCH resource at unused PSFCH symbols to hold the COT if it is neither expecting to receive A/N’s nor transmitting A/N’s.</w:t>
      </w:r>
    </w:p>
    <w:p w14:paraId="4A21D042" w14:textId="518F8CA3" w:rsidR="00B20572" w:rsidRPr="00B20572" w:rsidRDefault="00B20572">
      <w:pPr>
        <w:pStyle w:val="ListParagraph"/>
        <w:numPr>
          <w:ilvl w:val="2"/>
          <w:numId w:val="19"/>
        </w:numPr>
        <w:ind w:leftChars="0"/>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Mode 2 specific:</w:t>
      </w:r>
    </w:p>
    <w:p w14:paraId="1CD4AD40" w14:textId="3D037EBC" w:rsidR="003D6410" w:rsidRPr="003D6410" w:rsidRDefault="003D6410">
      <w:pPr>
        <w:pStyle w:val="ListParagraph"/>
        <w:numPr>
          <w:ilvl w:val="3"/>
          <w:numId w:val="19"/>
        </w:numPr>
        <w:ind w:leftChars="0"/>
        <w:rPr>
          <w:rFonts w:asciiTheme="minorHAnsi" w:hAnsiTheme="minorHAnsi" w:cstheme="minorHAnsi"/>
          <w:color w:val="000000" w:themeColor="text1"/>
          <w:sz w:val="22"/>
          <w:szCs w:val="22"/>
        </w:rPr>
      </w:pPr>
      <w:r w:rsidRPr="003D6410">
        <w:rPr>
          <w:rFonts w:asciiTheme="minorHAnsi" w:hAnsiTheme="minorHAnsi" w:cstheme="minorHAnsi"/>
          <w:sz w:val="22"/>
          <w:szCs w:val="22"/>
        </w:rPr>
        <w:t>A UE can select a set of subchannels for a duration of N2 slots in time where N2&gt;N1 with N1 being the number of TBs to be transmitted. RAN1 can consider limitations for the applicability of the bundled selection, e.g.:</w:t>
      </w:r>
    </w:p>
    <w:p w14:paraId="26072D2B" w14:textId="12BB22E4" w:rsidR="003D6410" w:rsidRPr="003D6410" w:rsidRDefault="003D6410">
      <w:pPr>
        <w:pStyle w:val="Caption"/>
        <w:numPr>
          <w:ilvl w:val="4"/>
          <w:numId w:val="19"/>
        </w:numPr>
        <w:suppressAutoHyphens w:val="0"/>
        <w:overflowPunct/>
        <w:autoSpaceDE/>
        <w:spacing w:before="0" w:after="0"/>
        <w:jc w:val="both"/>
        <w:textAlignment w:val="auto"/>
        <w:rPr>
          <w:rFonts w:asciiTheme="minorHAnsi" w:hAnsiTheme="minorHAnsi" w:cstheme="minorHAnsi"/>
          <w:b w:val="0"/>
          <w:sz w:val="22"/>
          <w:szCs w:val="22"/>
        </w:rPr>
      </w:pPr>
      <w:r w:rsidRPr="003D6410">
        <w:rPr>
          <w:rFonts w:asciiTheme="minorHAnsi" w:hAnsiTheme="minorHAnsi" w:cstheme="minorHAnsi"/>
          <w:b w:val="0"/>
          <w:sz w:val="22"/>
          <w:szCs w:val="22"/>
        </w:rPr>
        <w:t xml:space="preserve">The N1 TBs require the same number </w:t>
      </w:r>
      <m:oMath>
        <m:sSub>
          <m:sSubPr>
            <m:ctrlPr>
              <w:rPr>
                <w:rFonts w:ascii="Cambria Math" w:hAnsi="Cambria Math" w:cstheme="minorHAnsi"/>
                <w:b w:val="0"/>
                <w:i/>
                <w:sz w:val="22"/>
                <w:szCs w:val="22"/>
              </w:rPr>
            </m:ctrlPr>
          </m:sSubPr>
          <m:e>
            <m:r>
              <m:rPr>
                <m:sty m:val="bi"/>
              </m:rPr>
              <w:rPr>
                <w:rFonts w:ascii="Cambria Math" w:hAnsi="Cambria Math" w:cstheme="minorHAnsi"/>
                <w:sz w:val="22"/>
                <w:szCs w:val="22"/>
              </w:rPr>
              <m:t>L</m:t>
            </m:r>
          </m:e>
          <m:sub>
            <m:r>
              <m:rPr>
                <m:sty m:val="bi"/>
              </m:rPr>
              <w:rPr>
                <w:rFonts w:ascii="Cambria Math" w:hAnsi="Cambria Math" w:cstheme="minorHAnsi"/>
                <w:sz w:val="22"/>
                <w:szCs w:val="22"/>
              </w:rPr>
              <m:t>subCH</m:t>
            </m:r>
          </m:sub>
        </m:sSub>
      </m:oMath>
      <w:r w:rsidRPr="003D6410">
        <w:rPr>
          <w:rFonts w:asciiTheme="minorHAnsi" w:hAnsiTheme="minorHAnsi" w:cstheme="minorHAnsi"/>
          <w:b w:val="0"/>
          <w:sz w:val="22"/>
          <w:szCs w:val="22"/>
        </w:rPr>
        <w:t xml:space="preserve"> of subchannels</w:t>
      </w:r>
    </w:p>
    <w:p w14:paraId="7C5C97F2" w14:textId="77777777" w:rsidR="003D6410" w:rsidRPr="003D6410" w:rsidRDefault="003D6410">
      <w:pPr>
        <w:pStyle w:val="Caption"/>
        <w:numPr>
          <w:ilvl w:val="4"/>
          <w:numId w:val="19"/>
        </w:numPr>
        <w:suppressAutoHyphens w:val="0"/>
        <w:overflowPunct/>
        <w:autoSpaceDE/>
        <w:spacing w:before="0" w:after="0"/>
        <w:jc w:val="both"/>
        <w:textAlignment w:val="auto"/>
        <w:rPr>
          <w:rFonts w:asciiTheme="minorHAnsi" w:hAnsiTheme="minorHAnsi" w:cstheme="minorHAnsi"/>
          <w:b w:val="0"/>
          <w:sz w:val="22"/>
          <w:szCs w:val="22"/>
        </w:rPr>
      </w:pPr>
      <w:r w:rsidRPr="003D6410">
        <w:rPr>
          <w:rFonts w:asciiTheme="minorHAnsi" w:hAnsiTheme="minorHAnsi" w:cstheme="minorHAnsi"/>
          <w:b w:val="0"/>
          <w:sz w:val="22"/>
          <w:szCs w:val="22"/>
        </w:rPr>
        <w:t>The N1 TBs have the same L1 priority</w:t>
      </w:r>
    </w:p>
    <w:p w14:paraId="03A645E9" w14:textId="0B13290D" w:rsidR="003D6410" w:rsidRDefault="003D6410">
      <w:pPr>
        <w:pStyle w:val="ListParagraph"/>
        <w:numPr>
          <w:ilvl w:val="4"/>
          <w:numId w:val="19"/>
        </w:numPr>
        <w:spacing w:before="60"/>
        <w:ind w:leftChars="0"/>
        <w:jc w:val="both"/>
        <w:rPr>
          <w:rFonts w:asciiTheme="minorHAnsi" w:hAnsiTheme="minorHAnsi" w:cstheme="minorHAnsi"/>
          <w:sz w:val="22"/>
          <w:szCs w:val="22"/>
        </w:rPr>
      </w:pPr>
      <w:r w:rsidRPr="003D6410">
        <w:rPr>
          <w:rFonts w:asciiTheme="minorHAnsi" w:hAnsiTheme="minorHAnsi" w:cstheme="minorHAnsi"/>
          <w:sz w:val="22"/>
          <w:szCs w:val="22"/>
        </w:rPr>
        <w:t>The N1 TBs are transmitted after channel access completion in order of PDB expiration</w:t>
      </w:r>
    </w:p>
    <w:p w14:paraId="791A9769" w14:textId="2A0DE340" w:rsidR="00B20572" w:rsidRDefault="00B20572">
      <w:pPr>
        <w:pStyle w:val="ListParagraph"/>
        <w:numPr>
          <w:ilvl w:val="2"/>
          <w:numId w:val="19"/>
        </w:numPr>
        <w:spacing w:before="60"/>
        <w:ind w:leftChars="0"/>
        <w:jc w:val="both"/>
        <w:rPr>
          <w:rFonts w:asciiTheme="minorHAnsi" w:hAnsiTheme="minorHAnsi" w:cstheme="minorHAnsi"/>
          <w:sz w:val="22"/>
          <w:szCs w:val="22"/>
        </w:rPr>
      </w:pPr>
      <w:r>
        <w:rPr>
          <w:rFonts w:asciiTheme="minorHAnsi" w:hAnsiTheme="minorHAnsi" w:cstheme="minorHAnsi"/>
          <w:sz w:val="22"/>
          <w:szCs w:val="22"/>
        </w:rPr>
        <w:t>Mode 1 specific:</w:t>
      </w:r>
    </w:p>
    <w:p w14:paraId="71D3EA1C" w14:textId="6475D272" w:rsidR="00B20572" w:rsidRPr="00B15FDA" w:rsidRDefault="00B15FDA">
      <w:pPr>
        <w:pStyle w:val="ListParagraph"/>
        <w:numPr>
          <w:ilvl w:val="3"/>
          <w:numId w:val="19"/>
        </w:numPr>
        <w:ind w:leftChars="0"/>
        <w:jc w:val="both"/>
        <w:rPr>
          <w:rFonts w:asciiTheme="minorHAnsi" w:hAnsiTheme="minorHAnsi" w:cstheme="minorHAnsi"/>
          <w:sz w:val="24"/>
        </w:rPr>
      </w:pPr>
      <w:r w:rsidRPr="00B15FDA">
        <w:rPr>
          <w:rFonts w:asciiTheme="minorHAnsi" w:hAnsiTheme="minorHAnsi" w:cstheme="minorHAnsi"/>
          <w:sz w:val="22"/>
          <w:szCs w:val="28"/>
        </w:rPr>
        <w:t>Introduce multi-TTI grant to support MCSt in mode 1 SL-U. RAN1 should study details regarding</w:t>
      </w:r>
    </w:p>
    <w:p w14:paraId="345E8D56" w14:textId="77777777" w:rsidR="00B15FDA" w:rsidRPr="00B15FDA" w:rsidRDefault="00B15FDA">
      <w:pPr>
        <w:pStyle w:val="ListParagraph"/>
        <w:numPr>
          <w:ilvl w:val="4"/>
          <w:numId w:val="19"/>
        </w:numPr>
        <w:ind w:leftChars="0"/>
        <w:jc w:val="both"/>
        <w:rPr>
          <w:rFonts w:asciiTheme="minorHAnsi" w:hAnsiTheme="minorHAnsi" w:cstheme="minorHAnsi"/>
          <w:sz w:val="22"/>
          <w:szCs w:val="28"/>
        </w:rPr>
      </w:pPr>
      <w:r w:rsidRPr="00B15FDA">
        <w:rPr>
          <w:rFonts w:asciiTheme="minorHAnsi" w:hAnsiTheme="minorHAnsi" w:cstheme="minorHAnsi"/>
          <w:sz w:val="22"/>
          <w:szCs w:val="28"/>
        </w:rPr>
        <w:t>TDRA indication for multiple slots</w:t>
      </w:r>
    </w:p>
    <w:p w14:paraId="2A60DD82" w14:textId="77777777" w:rsidR="00B15FDA" w:rsidRPr="00B15FDA" w:rsidRDefault="00B15FDA">
      <w:pPr>
        <w:pStyle w:val="ListParagraph"/>
        <w:numPr>
          <w:ilvl w:val="4"/>
          <w:numId w:val="19"/>
        </w:numPr>
        <w:ind w:leftChars="0"/>
        <w:jc w:val="both"/>
        <w:rPr>
          <w:rFonts w:asciiTheme="minorHAnsi" w:hAnsiTheme="minorHAnsi" w:cstheme="minorHAnsi"/>
          <w:sz w:val="22"/>
          <w:szCs w:val="28"/>
        </w:rPr>
      </w:pPr>
      <w:r w:rsidRPr="00B15FDA">
        <w:rPr>
          <w:rFonts w:asciiTheme="minorHAnsi" w:hAnsiTheme="minorHAnsi" w:cstheme="minorHAnsi"/>
          <w:sz w:val="22"/>
          <w:szCs w:val="28"/>
        </w:rPr>
        <w:t>HARQ ID and NDI for multiple TBs</w:t>
      </w:r>
    </w:p>
    <w:p w14:paraId="611E7FB8" w14:textId="77777777" w:rsidR="00B15FDA" w:rsidRPr="00B15FDA" w:rsidRDefault="00B15FDA">
      <w:pPr>
        <w:pStyle w:val="ListParagraph"/>
        <w:numPr>
          <w:ilvl w:val="4"/>
          <w:numId w:val="19"/>
        </w:numPr>
        <w:ind w:leftChars="0"/>
        <w:jc w:val="both"/>
        <w:rPr>
          <w:rFonts w:asciiTheme="minorHAnsi" w:hAnsiTheme="minorHAnsi" w:cstheme="minorHAnsi"/>
          <w:sz w:val="22"/>
          <w:szCs w:val="28"/>
        </w:rPr>
      </w:pPr>
      <w:r w:rsidRPr="00B15FDA">
        <w:rPr>
          <w:rFonts w:asciiTheme="minorHAnsi" w:hAnsiTheme="minorHAnsi" w:cstheme="minorHAnsi"/>
          <w:sz w:val="22"/>
          <w:szCs w:val="28"/>
        </w:rPr>
        <w:t>SCI-1 optimizations across multiple slots</w:t>
      </w:r>
    </w:p>
    <w:p w14:paraId="121452A1" w14:textId="688FDEA7" w:rsidR="00B15FDA" w:rsidRPr="002B5B0B" w:rsidRDefault="00B15FDA">
      <w:pPr>
        <w:pStyle w:val="ListParagraph"/>
        <w:numPr>
          <w:ilvl w:val="4"/>
          <w:numId w:val="19"/>
        </w:numPr>
        <w:ind w:leftChars="0"/>
        <w:jc w:val="both"/>
        <w:rPr>
          <w:rFonts w:asciiTheme="minorHAnsi" w:hAnsiTheme="minorHAnsi" w:cstheme="minorHAnsi"/>
          <w:sz w:val="22"/>
          <w:szCs w:val="28"/>
        </w:rPr>
      </w:pPr>
      <w:r w:rsidRPr="00B15FDA">
        <w:rPr>
          <w:rFonts w:asciiTheme="minorHAnsi" w:hAnsiTheme="minorHAnsi" w:cstheme="minorHAnsi"/>
          <w:sz w:val="22"/>
          <w:szCs w:val="28"/>
        </w:rPr>
        <w:t>Utilization of gap symbol for data</w:t>
      </w:r>
    </w:p>
    <w:p w14:paraId="2BFA4C66" w14:textId="2F423FD0" w:rsidR="00310479" w:rsidRDefault="00310479">
      <w:pPr>
        <w:pStyle w:val="ListParagraph"/>
        <w:numPr>
          <w:ilvl w:val="1"/>
          <w:numId w:val="19"/>
        </w:numPr>
        <w:ind w:leftChars="0" w:hanging="357"/>
        <w:rPr>
          <w:rFonts w:asciiTheme="minorHAnsi" w:hAnsiTheme="minorHAnsi" w:cstheme="minorHAnsi"/>
          <w:sz w:val="22"/>
          <w:szCs w:val="28"/>
        </w:rPr>
      </w:pPr>
      <w:r>
        <w:rPr>
          <w:rFonts w:asciiTheme="minorHAnsi" w:hAnsiTheme="minorHAnsi" w:cstheme="minorHAnsi"/>
          <w:sz w:val="22"/>
          <w:szCs w:val="28"/>
        </w:rPr>
        <w:t>[36/E///]</w:t>
      </w:r>
    </w:p>
    <w:p w14:paraId="2C0FA2D9" w14:textId="41C52A73" w:rsidR="00310479" w:rsidRDefault="00310479" w:rsidP="00310479">
      <w:pPr>
        <w:pStyle w:val="ListParagraph"/>
        <w:numPr>
          <w:ilvl w:val="2"/>
          <w:numId w:val="19"/>
        </w:numPr>
        <w:ind w:leftChars="0"/>
        <w:rPr>
          <w:rFonts w:asciiTheme="minorHAnsi" w:hAnsiTheme="minorHAnsi" w:cstheme="minorHAnsi"/>
          <w:sz w:val="22"/>
          <w:szCs w:val="22"/>
        </w:rPr>
      </w:pPr>
      <w:bookmarkStart w:id="145" w:name="_Toc111113878"/>
      <w:bookmarkStart w:id="146" w:name="_Toc115451911"/>
      <w:r w:rsidRPr="00310479">
        <w:rPr>
          <w:rFonts w:asciiTheme="minorHAnsi" w:hAnsiTheme="minorHAnsi" w:cstheme="minorHAnsi"/>
          <w:sz w:val="22"/>
          <w:szCs w:val="22"/>
        </w:rPr>
        <w:lastRenderedPageBreak/>
        <w:t>Specify enhancements to dynamically use the GP symbol to maintain the channel.</w:t>
      </w:r>
      <w:bookmarkEnd w:id="145"/>
      <w:bookmarkEnd w:id="146"/>
    </w:p>
    <w:p w14:paraId="6C929E8E" w14:textId="60DBC1F8" w:rsidR="00F55A08" w:rsidRDefault="00F55A08" w:rsidP="00310479">
      <w:pPr>
        <w:pStyle w:val="ListParagraph"/>
        <w:numPr>
          <w:ilvl w:val="2"/>
          <w:numId w:val="19"/>
        </w:numPr>
        <w:ind w:leftChars="0"/>
        <w:rPr>
          <w:rFonts w:asciiTheme="minorHAnsi" w:hAnsiTheme="minorHAnsi" w:cstheme="minorHAnsi"/>
          <w:sz w:val="22"/>
          <w:szCs w:val="22"/>
        </w:rPr>
      </w:pPr>
      <w:r w:rsidRPr="00F55A08">
        <w:rPr>
          <w:rFonts w:asciiTheme="minorHAnsi" w:hAnsiTheme="minorHAnsi" w:cstheme="minorHAnsi"/>
          <w:sz w:val="22"/>
          <w:szCs w:val="22"/>
        </w:rPr>
        <w:t>RAN1 to focus on the multi-consecutive slots transmission (MCSt) of different TBs.</w:t>
      </w:r>
    </w:p>
    <w:p w14:paraId="69AD28CC" w14:textId="7A5616EA" w:rsidR="00F55A08" w:rsidRDefault="00F55A08" w:rsidP="00F55A08">
      <w:pPr>
        <w:pStyle w:val="ListParagraph"/>
        <w:numPr>
          <w:ilvl w:val="3"/>
          <w:numId w:val="19"/>
        </w:numPr>
        <w:ind w:leftChars="0"/>
        <w:rPr>
          <w:rFonts w:asciiTheme="minorHAnsi" w:hAnsiTheme="minorHAnsi" w:cstheme="minorHAnsi"/>
          <w:sz w:val="22"/>
          <w:szCs w:val="22"/>
        </w:rPr>
      </w:pPr>
      <w:r>
        <w:rPr>
          <w:rFonts w:asciiTheme="minorHAnsi" w:hAnsiTheme="minorHAnsi" w:cstheme="minorHAnsi"/>
          <w:sz w:val="22"/>
          <w:szCs w:val="22"/>
        </w:rPr>
        <w:t>UE</w:t>
      </w:r>
      <w:r w:rsidRPr="00F55A08">
        <w:rPr>
          <w:rFonts w:asciiTheme="minorHAnsi" w:hAnsiTheme="minorHAnsi" w:cstheme="minorHAnsi"/>
          <w:sz w:val="22"/>
          <w:szCs w:val="22"/>
        </w:rPr>
        <w:t xml:space="preserve"> ensur</w:t>
      </w:r>
      <w:r>
        <w:rPr>
          <w:rFonts w:asciiTheme="minorHAnsi" w:hAnsiTheme="minorHAnsi" w:cstheme="minorHAnsi"/>
          <w:sz w:val="22"/>
          <w:szCs w:val="22"/>
        </w:rPr>
        <w:t>es</w:t>
      </w:r>
      <w:r w:rsidRPr="00F55A08">
        <w:rPr>
          <w:rFonts w:asciiTheme="minorHAnsi" w:hAnsiTheme="minorHAnsi" w:cstheme="minorHAnsi"/>
          <w:sz w:val="22"/>
          <w:szCs w:val="22"/>
        </w:rPr>
        <w:t xml:space="preserve"> the allocation of consecutive resources for multiple TBs. In case there are not contiguous slots available to the already reserved ones, the UE might trigger resource reselection for all the TBs.</w:t>
      </w:r>
    </w:p>
    <w:p w14:paraId="53BA0D1C" w14:textId="0F2144FE" w:rsidR="00F55A08" w:rsidRDefault="00F55A08" w:rsidP="00F55A08">
      <w:pPr>
        <w:pStyle w:val="ListParagraph"/>
        <w:numPr>
          <w:ilvl w:val="3"/>
          <w:numId w:val="19"/>
        </w:numPr>
        <w:ind w:leftChars="0"/>
        <w:rPr>
          <w:rFonts w:asciiTheme="minorHAnsi" w:hAnsiTheme="minorHAnsi" w:cstheme="minorHAnsi"/>
          <w:sz w:val="22"/>
          <w:szCs w:val="22"/>
        </w:rPr>
      </w:pPr>
      <w:r w:rsidRPr="00F55A08">
        <w:rPr>
          <w:rFonts w:asciiTheme="minorHAnsi" w:hAnsiTheme="minorHAnsi" w:cstheme="minorHAnsi"/>
          <w:sz w:val="22"/>
          <w:szCs w:val="22"/>
        </w:rPr>
        <w:t>UE disregards the reservation done by other UEs under certain conditions, e.g., based on the priority of the transmissions.</w:t>
      </w:r>
    </w:p>
    <w:p w14:paraId="6017B4A7" w14:textId="628659EC" w:rsidR="00673C81" w:rsidRPr="00673C81" w:rsidRDefault="00F55A08" w:rsidP="00673C81">
      <w:pPr>
        <w:pStyle w:val="ListParagraph"/>
        <w:numPr>
          <w:ilvl w:val="3"/>
          <w:numId w:val="19"/>
        </w:numPr>
        <w:ind w:leftChars="0"/>
        <w:rPr>
          <w:rFonts w:asciiTheme="minorHAnsi" w:hAnsiTheme="minorHAnsi" w:cstheme="minorHAnsi"/>
          <w:sz w:val="22"/>
          <w:szCs w:val="22"/>
        </w:rPr>
      </w:pPr>
      <w:r w:rsidRPr="00F55A08">
        <w:rPr>
          <w:rFonts w:asciiTheme="minorHAnsi" w:hAnsiTheme="minorHAnsi" w:cstheme="minorHAnsi"/>
          <w:sz w:val="22"/>
          <w:szCs w:val="22"/>
        </w:rPr>
        <w:t>Re-use the legacy procedure where one SCI reserves one or two resources for further transmissions.</w:t>
      </w:r>
    </w:p>
    <w:p w14:paraId="2D899E55" w14:textId="3EE68147" w:rsidR="00883BCA" w:rsidRPr="00AB74CA" w:rsidRDefault="00883BCA">
      <w:pPr>
        <w:pStyle w:val="ListParagraph"/>
        <w:numPr>
          <w:ilvl w:val="1"/>
          <w:numId w:val="19"/>
        </w:numPr>
        <w:ind w:leftChars="0" w:hanging="357"/>
        <w:rPr>
          <w:rFonts w:asciiTheme="minorHAnsi" w:hAnsiTheme="minorHAnsi" w:cstheme="minorHAnsi"/>
          <w:sz w:val="22"/>
          <w:szCs w:val="28"/>
        </w:rPr>
      </w:pPr>
      <w:r w:rsidRPr="00AB74CA">
        <w:rPr>
          <w:rFonts w:asciiTheme="minorHAnsi" w:hAnsiTheme="minorHAnsi" w:cstheme="minorHAnsi"/>
          <w:sz w:val="22"/>
          <w:szCs w:val="28"/>
        </w:rPr>
        <w:t>Issues that should be further studied:</w:t>
      </w:r>
    </w:p>
    <w:p w14:paraId="01415F63" w14:textId="381CE050" w:rsidR="00AB74CA" w:rsidRPr="00AB74CA" w:rsidRDefault="00AB74CA">
      <w:pPr>
        <w:pStyle w:val="ListParagraph"/>
        <w:numPr>
          <w:ilvl w:val="2"/>
          <w:numId w:val="19"/>
        </w:numPr>
        <w:ind w:leftChars="0" w:hanging="357"/>
        <w:jc w:val="both"/>
        <w:rPr>
          <w:rFonts w:asciiTheme="minorHAnsi" w:eastAsiaTheme="minorEastAsia" w:hAnsiTheme="minorHAnsi" w:cstheme="minorHAnsi"/>
          <w:bCs/>
          <w:iCs/>
          <w:sz w:val="22"/>
          <w:szCs w:val="22"/>
          <w:lang w:eastAsia="ko-KR"/>
        </w:rPr>
      </w:pPr>
      <w:r w:rsidRPr="00AB74CA">
        <w:rPr>
          <w:rFonts w:asciiTheme="minorHAnsi" w:eastAsiaTheme="minorEastAsia" w:hAnsiTheme="minorHAnsi" w:cstheme="minorHAnsi"/>
          <w:bCs/>
          <w:iCs/>
          <w:sz w:val="22"/>
          <w:szCs w:val="22"/>
          <w:lang w:eastAsia="ko-KR"/>
        </w:rPr>
        <w:t>FFS: how to enable MCSt when the slots are in more than one COT due to MCOT limitation.</w:t>
      </w:r>
    </w:p>
    <w:p w14:paraId="7E09B331" w14:textId="3FE12137" w:rsidR="00B21063" w:rsidRDefault="00B21063">
      <w:pPr>
        <w:pStyle w:val="ListParagraph"/>
        <w:numPr>
          <w:ilvl w:val="2"/>
          <w:numId w:val="19"/>
        </w:numPr>
        <w:ind w:leftChars="0" w:hanging="357"/>
        <w:jc w:val="both"/>
        <w:rPr>
          <w:rFonts w:asciiTheme="minorHAnsi" w:eastAsiaTheme="minorEastAsia" w:hAnsiTheme="minorHAnsi" w:cstheme="minorHAnsi"/>
          <w:bCs/>
          <w:iCs/>
          <w:color w:val="000000" w:themeColor="text1"/>
          <w:sz w:val="22"/>
          <w:szCs w:val="22"/>
          <w:lang w:eastAsia="ko-KR"/>
        </w:rPr>
      </w:pPr>
      <w:r w:rsidRPr="00B21063">
        <w:rPr>
          <w:rFonts w:asciiTheme="minorHAnsi" w:eastAsiaTheme="minorEastAsia" w:hAnsiTheme="minorHAnsi" w:cstheme="minorHAnsi"/>
          <w:bCs/>
          <w:iCs/>
          <w:color w:val="000000" w:themeColor="text1"/>
          <w:sz w:val="22"/>
          <w:szCs w:val="22"/>
          <w:lang w:eastAsia="ko-KR"/>
        </w:rPr>
        <w:t>FFS: whether the number of multiple consecutive allocations should be dynamic or (pre)configured, and the impact on resource selection procedure, e.g., to prevent disrupting LBT of reserved resources.</w:t>
      </w:r>
    </w:p>
    <w:p w14:paraId="3AC40430" w14:textId="58DD9053" w:rsidR="00673C81" w:rsidRDefault="00673C81">
      <w:pPr>
        <w:pStyle w:val="ListParagraph"/>
        <w:numPr>
          <w:ilvl w:val="2"/>
          <w:numId w:val="19"/>
        </w:numPr>
        <w:ind w:leftChars="0" w:hanging="357"/>
        <w:jc w:val="both"/>
        <w:rPr>
          <w:rFonts w:asciiTheme="minorHAnsi" w:eastAsiaTheme="minorEastAsia" w:hAnsiTheme="minorHAnsi" w:cstheme="minorHAnsi"/>
          <w:bCs/>
          <w:iCs/>
          <w:color w:val="000000" w:themeColor="text1"/>
          <w:sz w:val="22"/>
          <w:szCs w:val="22"/>
          <w:lang w:eastAsia="ko-KR"/>
        </w:rPr>
      </w:pPr>
      <w:r>
        <w:rPr>
          <w:rFonts w:asciiTheme="minorHAnsi" w:eastAsiaTheme="minorEastAsia" w:hAnsiTheme="minorHAnsi" w:cstheme="minorHAnsi"/>
          <w:bCs/>
          <w:iCs/>
          <w:color w:val="000000" w:themeColor="text1"/>
          <w:sz w:val="22"/>
          <w:szCs w:val="22"/>
          <w:lang w:eastAsia="ko-KR"/>
        </w:rPr>
        <w:t xml:space="preserve">FFS: </w:t>
      </w:r>
      <w:r w:rsidRPr="00673C81">
        <w:rPr>
          <w:rFonts w:asciiTheme="minorHAnsi" w:eastAsiaTheme="minorEastAsia" w:hAnsiTheme="minorHAnsi" w:cstheme="minorHAnsi"/>
          <w:bCs/>
          <w:iCs/>
          <w:color w:val="000000" w:themeColor="text1"/>
          <w:sz w:val="22"/>
          <w:szCs w:val="22"/>
          <w:lang w:eastAsia="ko-KR"/>
        </w:rPr>
        <w:t>whether resources reserved by PSCCH scheduling one TB can be used for (re)transmission of a different TB.</w:t>
      </w:r>
    </w:p>
    <w:p w14:paraId="46F6956C" w14:textId="321C51B1" w:rsidR="00783341" w:rsidRDefault="00783341">
      <w:pPr>
        <w:pStyle w:val="ListParagraph"/>
        <w:numPr>
          <w:ilvl w:val="2"/>
          <w:numId w:val="19"/>
        </w:numPr>
        <w:ind w:leftChars="0" w:hanging="357"/>
        <w:jc w:val="both"/>
        <w:rPr>
          <w:rFonts w:asciiTheme="minorHAnsi" w:eastAsiaTheme="minorEastAsia" w:hAnsiTheme="minorHAnsi" w:cstheme="minorHAnsi"/>
          <w:bCs/>
          <w:iCs/>
          <w:color w:val="000000" w:themeColor="text1"/>
          <w:sz w:val="22"/>
          <w:szCs w:val="22"/>
          <w:lang w:eastAsia="ko-KR"/>
        </w:rPr>
      </w:pPr>
      <w:r>
        <w:rPr>
          <w:rFonts w:asciiTheme="minorHAnsi" w:eastAsiaTheme="minorEastAsia" w:hAnsiTheme="minorHAnsi" w:cstheme="minorHAnsi"/>
          <w:bCs/>
          <w:iCs/>
          <w:color w:val="000000" w:themeColor="text1"/>
          <w:sz w:val="22"/>
          <w:szCs w:val="22"/>
          <w:lang w:eastAsia="ko-KR"/>
        </w:rPr>
        <w:t>FFS: whether f</w:t>
      </w:r>
      <w:r w:rsidRPr="00783341">
        <w:rPr>
          <w:rFonts w:asciiTheme="minorHAnsi" w:eastAsiaTheme="minorEastAsia" w:hAnsiTheme="minorHAnsi" w:cstheme="minorHAnsi"/>
          <w:bCs/>
          <w:iCs/>
          <w:color w:val="000000" w:themeColor="text1"/>
          <w:sz w:val="22"/>
          <w:szCs w:val="22"/>
          <w:lang w:eastAsia="ko-KR"/>
        </w:rPr>
        <w:t xml:space="preserve">requency resources are same </w:t>
      </w:r>
      <w:r>
        <w:rPr>
          <w:rFonts w:asciiTheme="minorHAnsi" w:eastAsiaTheme="minorEastAsia" w:hAnsiTheme="minorHAnsi" w:cstheme="minorHAnsi"/>
          <w:bCs/>
          <w:iCs/>
          <w:color w:val="000000" w:themeColor="text1"/>
          <w:sz w:val="22"/>
          <w:szCs w:val="22"/>
          <w:lang w:eastAsia="ko-KR"/>
        </w:rPr>
        <w:t xml:space="preserve">or can be different </w:t>
      </w:r>
      <w:r w:rsidRPr="00783341">
        <w:rPr>
          <w:rFonts w:asciiTheme="minorHAnsi" w:eastAsiaTheme="minorEastAsia" w:hAnsiTheme="minorHAnsi" w:cstheme="minorHAnsi"/>
          <w:bCs/>
          <w:iCs/>
          <w:color w:val="000000" w:themeColor="text1"/>
          <w:sz w:val="22"/>
          <w:szCs w:val="22"/>
          <w:lang w:eastAsia="ko-KR"/>
        </w:rPr>
        <w:t>among the slots</w:t>
      </w:r>
      <w:r>
        <w:rPr>
          <w:rFonts w:asciiTheme="minorHAnsi" w:eastAsiaTheme="minorEastAsia" w:hAnsiTheme="minorHAnsi" w:cstheme="minorHAnsi"/>
          <w:bCs/>
          <w:iCs/>
          <w:color w:val="000000" w:themeColor="text1"/>
          <w:sz w:val="22"/>
          <w:szCs w:val="22"/>
          <w:lang w:eastAsia="ko-KR"/>
        </w:rPr>
        <w:t>.</w:t>
      </w:r>
    </w:p>
    <w:p w14:paraId="2645A032" w14:textId="37597F60" w:rsidR="00BB3BBF" w:rsidRPr="00B21063" w:rsidRDefault="00BB3BBF">
      <w:pPr>
        <w:pStyle w:val="ListParagraph"/>
        <w:numPr>
          <w:ilvl w:val="2"/>
          <w:numId w:val="19"/>
        </w:numPr>
        <w:ind w:leftChars="0" w:hanging="357"/>
        <w:jc w:val="both"/>
        <w:rPr>
          <w:rFonts w:asciiTheme="minorHAnsi" w:eastAsiaTheme="minorEastAsia" w:hAnsiTheme="minorHAnsi" w:cstheme="minorHAnsi"/>
          <w:bCs/>
          <w:iCs/>
          <w:color w:val="000000" w:themeColor="text1"/>
          <w:sz w:val="22"/>
          <w:szCs w:val="22"/>
          <w:lang w:eastAsia="ko-KR"/>
        </w:rPr>
      </w:pPr>
      <w:r>
        <w:rPr>
          <w:rFonts w:asciiTheme="minorHAnsi" w:eastAsiaTheme="minorEastAsia" w:hAnsiTheme="minorHAnsi" w:cstheme="minorHAnsi"/>
          <w:bCs/>
          <w:iCs/>
          <w:color w:val="000000" w:themeColor="text1"/>
          <w:sz w:val="22"/>
          <w:szCs w:val="22"/>
          <w:lang w:eastAsia="ko-KR"/>
        </w:rPr>
        <w:t xml:space="preserve">FFS: </w:t>
      </w:r>
      <w:r w:rsidR="00460E99" w:rsidRPr="00460E99">
        <w:rPr>
          <w:rFonts w:asciiTheme="minorHAnsi" w:eastAsiaTheme="minorEastAsia" w:hAnsiTheme="minorHAnsi" w:cstheme="minorHAnsi"/>
          <w:bCs/>
          <w:iCs/>
          <w:color w:val="000000" w:themeColor="text1"/>
          <w:sz w:val="22"/>
          <w:szCs w:val="22"/>
          <w:lang w:eastAsia="ko-KR"/>
        </w:rPr>
        <w:t>how to signal the number of consecutive slots in the UE’s initial slot transmission.</w:t>
      </w:r>
    </w:p>
    <w:p w14:paraId="2BD6D298" w14:textId="7DFEF4B7" w:rsidR="007508E5" w:rsidRPr="004C431E" w:rsidRDefault="00FD4655">
      <w:pPr>
        <w:pStyle w:val="ListParagraph"/>
        <w:numPr>
          <w:ilvl w:val="0"/>
          <w:numId w:val="19"/>
        </w:numPr>
        <w:spacing w:before="120"/>
        <w:ind w:leftChars="0"/>
        <w:rPr>
          <w:rFonts w:asciiTheme="minorHAnsi" w:hAnsiTheme="minorHAnsi" w:cstheme="minorHAnsi"/>
          <w:b/>
          <w:bCs/>
          <w:sz w:val="22"/>
          <w:szCs w:val="28"/>
          <w:u w:val="single"/>
        </w:rPr>
      </w:pPr>
      <w:r w:rsidRPr="004C431E">
        <w:rPr>
          <w:rFonts w:asciiTheme="minorHAnsi" w:hAnsiTheme="minorHAnsi" w:cstheme="minorHAnsi"/>
          <w:b/>
          <w:bCs/>
          <w:sz w:val="22"/>
          <w:szCs w:val="28"/>
          <w:u w:val="single"/>
        </w:rPr>
        <w:t>Mode 1 RA</w:t>
      </w:r>
    </w:p>
    <w:p w14:paraId="4C30DC3E" w14:textId="474EAE8A" w:rsidR="000E619F" w:rsidRPr="000E619F" w:rsidRDefault="000E619F">
      <w:pPr>
        <w:pStyle w:val="ListParagraph"/>
        <w:numPr>
          <w:ilvl w:val="1"/>
          <w:numId w:val="19"/>
        </w:numPr>
        <w:ind w:leftChars="0"/>
        <w:rPr>
          <w:rFonts w:asciiTheme="minorHAnsi" w:hAnsiTheme="minorHAnsi" w:cstheme="minorHAnsi"/>
          <w:color w:val="000000" w:themeColor="text1"/>
          <w:sz w:val="22"/>
          <w:szCs w:val="28"/>
        </w:rPr>
      </w:pPr>
      <w:r w:rsidRPr="000E619F">
        <w:rPr>
          <w:rFonts w:asciiTheme="minorHAnsi" w:hAnsiTheme="minorHAnsi" w:cstheme="minorHAnsi"/>
          <w:color w:val="000000" w:themeColor="text1"/>
          <w:sz w:val="22"/>
          <w:szCs w:val="22"/>
        </w:rPr>
        <w:t>UE reports of COT information to gNB for aiding Mode 1 RA are not supported</w:t>
      </w:r>
    </w:p>
    <w:p w14:paraId="308ABD60" w14:textId="62989C39" w:rsidR="000E619F" w:rsidRPr="000E619F" w:rsidRDefault="000E619F" w:rsidP="000E619F">
      <w:pPr>
        <w:pStyle w:val="ListParagraph"/>
        <w:numPr>
          <w:ilvl w:val="2"/>
          <w:numId w:val="19"/>
        </w:numPr>
        <w:ind w:leftChars="0"/>
        <w:rPr>
          <w:rFonts w:asciiTheme="minorHAnsi" w:hAnsiTheme="minorHAnsi" w:cstheme="minorHAnsi"/>
          <w:color w:val="000000" w:themeColor="text1"/>
          <w:sz w:val="22"/>
          <w:szCs w:val="28"/>
        </w:rPr>
      </w:pPr>
      <w:r w:rsidRPr="000E619F">
        <w:rPr>
          <w:rFonts w:asciiTheme="minorHAnsi" w:hAnsiTheme="minorHAnsi" w:cstheme="minorHAnsi"/>
          <w:color w:val="000000" w:themeColor="text1"/>
          <w:sz w:val="22"/>
          <w:szCs w:val="22"/>
        </w:rPr>
        <w:t xml:space="preserve">Support: </w:t>
      </w:r>
      <w:r w:rsidR="00BB3BBF">
        <w:rPr>
          <w:rFonts w:asciiTheme="minorHAnsi" w:hAnsiTheme="minorHAnsi" w:cstheme="minorHAnsi"/>
          <w:color w:val="000000" w:themeColor="text1"/>
          <w:sz w:val="22"/>
          <w:szCs w:val="22"/>
        </w:rPr>
        <w:t xml:space="preserve">[27/IDC], </w:t>
      </w:r>
      <w:r w:rsidR="000D609E">
        <w:rPr>
          <w:rFonts w:asciiTheme="minorHAnsi" w:hAnsiTheme="minorHAnsi" w:cstheme="minorHAnsi"/>
          <w:sz w:val="22"/>
          <w:szCs w:val="28"/>
        </w:rPr>
        <w:t>[28/Samsung</w:t>
      </w:r>
      <w:r w:rsidR="00BB3BBF">
        <w:rPr>
          <w:rFonts w:asciiTheme="minorHAnsi" w:hAnsiTheme="minorHAnsi" w:cstheme="minorHAnsi"/>
          <w:sz w:val="22"/>
          <w:szCs w:val="28"/>
        </w:rPr>
        <w:t>]</w:t>
      </w:r>
    </w:p>
    <w:p w14:paraId="1AC42E9E" w14:textId="506B17F6" w:rsidR="000E619F" w:rsidRPr="000E619F" w:rsidRDefault="000E619F" w:rsidP="000E619F">
      <w:pPr>
        <w:pStyle w:val="ListParagraph"/>
        <w:numPr>
          <w:ilvl w:val="2"/>
          <w:numId w:val="19"/>
        </w:numPr>
        <w:ind w:leftChars="0"/>
        <w:rPr>
          <w:rFonts w:asciiTheme="minorHAnsi" w:hAnsiTheme="minorHAnsi" w:cstheme="minorHAnsi"/>
          <w:color w:val="000000" w:themeColor="text1"/>
          <w:sz w:val="22"/>
          <w:szCs w:val="28"/>
        </w:rPr>
      </w:pPr>
      <w:r w:rsidRPr="000E619F">
        <w:rPr>
          <w:rFonts w:asciiTheme="minorHAnsi" w:hAnsiTheme="minorHAnsi" w:cstheme="minorHAnsi"/>
          <w:color w:val="000000" w:themeColor="text1"/>
          <w:sz w:val="22"/>
          <w:szCs w:val="22"/>
        </w:rPr>
        <w:t xml:space="preserve">Not support: [11/Intel], </w:t>
      </w:r>
      <w:r w:rsidR="008459B0" w:rsidRPr="00E449A8">
        <w:rPr>
          <w:rFonts w:asciiTheme="minorHAnsi" w:hAnsiTheme="minorHAnsi" w:cstheme="minorHAnsi"/>
          <w:sz w:val="22"/>
          <w:szCs w:val="28"/>
        </w:rPr>
        <w:t>[14/NEC]</w:t>
      </w:r>
      <w:r w:rsidR="008459B0">
        <w:rPr>
          <w:rFonts w:asciiTheme="minorHAnsi" w:hAnsiTheme="minorHAnsi" w:cstheme="minorHAnsi"/>
          <w:sz w:val="22"/>
          <w:szCs w:val="28"/>
        </w:rPr>
        <w:t>,</w:t>
      </w:r>
      <w:r w:rsidR="008459B0">
        <w:rPr>
          <w:rFonts w:asciiTheme="minorHAnsi" w:hAnsiTheme="minorHAnsi" w:cstheme="minorHAnsi"/>
          <w:color w:val="000000" w:themeColor="text1"/>
          <w:sz w:val="22"/>
          <w:szCs w:val="22"/>
        </w:rPr>
        <w:t xml:space="preserve"> </w:t>
      </w:r>
      <w:r w:rsidR="006B4673">
        <w:rPr>
          <w:rFonts w:asciiTheme="minorHAnsi" w:hAnsiTheme="minorHAnsi" w:cstheme="minorHAnsi"/>
          <w:color w:val="000000" w:themeColor="text1"/>
          <w:sz w:val="22"/>
          <w:szCs w:val="22"/>
        </w:rPr>
        <w:t xml:space="preserve">[20/ETRI], </w:t>
      </w:r>
      <w:r w:rsidR="007263A8">
        <w:rPr>
          <w:rFonts w:asciiTheme="minorHAnsi" w:hAnsiTheme="minorHAnsi" w:cstheme="minorHAnsi"/>
          <w:color w:val="000000" w:themeColor="text1"/>
          <w:sz w:val="22"/>
          <w:szCs w:val="22"/>
        </w:rPr>
        <w:t xml:space="preserve">[22/LGE], </w:t>
      </w:r>
      <w:r w:rsidRPr="000E619F">
        <w:rPr>
          <w:rFonts w:asciiTheme="minorHAnsi" w:hAnsiTheme="minorHAnsi" w:cstheme="minorHAnsi"/>
          <w:color w:val="000000" w:themeColor="text1"/>
          <w:sz w:val="22"/>
          <w:szCs w:val="22"/>
        </w:rPr>
        <w:t>[36/E///]</w:t>
      </w:r>
    </w:p>
    <w:p w14:paraId="6A75CEFF" w14:textId="2E27E960" w:rsidR="00435B92" w:rsidRPr="007263A8" w:rsidRDefault="00B219E8">
      <w:pPr>
        <w:pStyle w:val="ListParagraph"/>
        <w:numPr>
          <w:ilvl w:val="1"/>
          <w:numId w:val="19"/>
        </w:numPr>
        <w:ind w:leftChars="0"/>
        <w:rPr>
          <w:rFonts w:asciiTheme="minorHAnsi" w:hAnsiTheme="minorHAnsi" w:cstheme="minorHAnsi"/>
          <w:sz w:val="22"/>
          <w:szCs w:val="28"/>
        </w:rPr>
      </w:pPr>
      <w:r w:rsidRPr="007263A8">
        <w:rPr>
          <w:rFonts w:asciiTheme="minorHAnsi" w:hAnsiTheme="minorHAnsi" w:cstheme="minorHAnsi"/>
          <w:sz w:val="22"/>
          <w:szCs w:val="28"/>
        </w:rPr>
        <w:t>Indication of LBT failure to gNB</w:t>
      </w:r>
    </w:p>
    <w:p w14:paraId="137447C0" w14:textId="34CCF6A6" w:rsidR="00B219E8" w:rsidRPr="007263A8" w:rsidRDefault="00B219E8">
      <w:pPr>
        <w:pStyle w:val="ListParagraph"/>
        <w:numPr>
          <w:ilvl w:val="2"/>
          <w:numId w:val="19"/>
        </w:numPr>
        <w:ind w:leftChars="0"/>
        <w:rPr>
          <w:rFonts w:asciiTheme="minorHAnsi" w:hAnsiTheme="minorHAnsi" w:cstheme="minorHAnsi"/>
          <w:sz w:val="22"/>
          <w:szCs w:val="28"/>
        </w:rPr>
      </w:pPr>
      <w:r w:rsidRPr="007263A8">
        <w:rPr>
          <w:rFonts w:asciiTheme="minorHAnsi" w:hAnsiTheme="minorHAnsi" w:cstheme="minorHAnsi"/>
          <w:sz w:val="22"/>
          <w:szCs w:val="28"/>
        </w:rPr>
        <w:t>Reporting HARQ-NACK: [</w:t>
      </w:r>
      <w:r w:rsidR="00657FA4" w:rsidRPr="007263A8">
        <w:rPr>
          <w:rFonts w:asciiTheme="minorHAnsi" w:hAnsiTheme="minorHAnsi" w:cstheme="minorHAnsi"/>
          <w:sz w:val="22"/>
          <w:szCs w:val="28"/>
        </w:rPr>
        <w:t>22/LGE</w:t>
      </w:r>
      <w:r w:rsidRPr="007263A8">
        <w:rPr>
          <w:rFonts w:asciiTheme="minorHAnsi" w:hAnsiTheme="minorHAnsi" w:cstheme="minorHAnsi"/>
          <w:sz w:val="22"/>
          <w:szCs w:val="28"/>
        </w:rPr>
        <w:t xml:space="preserve">], </w:t>
      </w:r>
      <w:r w:rsidR="00466359" w:rsidRPr="007263A8">
        <w:rPr>
          <w:rFonts w:asciiTheme="minorHAnsi" w:hAnsiTheme="minorHAnsi" w:cstheme="minorHAnsi"/>
          <w:sz w:val="22"/>
          <w:szCs w:val="28"/>
        </w:rPr>
        <w:t>[8/OPPO]</w:t>
      </w:r>
      <w:r w:rsidRPr="007263A8">
        <w:rPr>
          <w:rFonts w:asciiTheme="minorHAnsi" w:hAnsiTheme="minorHAnsi" w:cstheme="minorHAnsi"/>
          <w:sz w:val="22"/>
          <w:szCs w:val="28"/>
        </w:rPr>
        <w:t xml:space="preserve"> (when SL-HARQ enabled)</w:t>
      </w:r>
      <w:r w:rsidR="00515546" w:rsidRPr="007263A8">
        <w:rPr>
          <w:rFonts w:asciiTheme="minorHAnsi" w:hAnsiTheme="minorHAnsi" w:cstheme="minorHAnsi"/>
          <w:sz w:val="22"/>
          <w:szCs w:val="28"/>
        </w:rPr>
        <w:t>, [</w:t>
      </w:r>
      <w:r w:rsidR="007B2CAB" w:rsidRPr="007263A8">
        <w:rPr>
          <w:rFonts w:asciiTheme="minorHAnsi" w:hAnsiTheme="minorHAnsi" w:cstheme="minorHAnsi"/>
          <w:sz w:val="22"/>
          <w:szCs w:val="28"/>
        </w:rPr>
        <w:t>33/QC</w:t>
      </w:r>
      <w:r w:rsidR="00515546" w:rsidRPr="007263A8">
        <w:rPr>
          <w:rFonts w:asciiTheme="minorHAnsi" w:hAnsiTheme="minorHAnsi" w:cstheme="minorHAnsi"/>
          <w:sz w:val="22"/>
          <w:szCs w:val="28"/>
        </w:rPr>
        <w:t>] (additional bit in PUCCH for LBT failure)</w:t>
      </w:r>
    </w:p>
    <w:p w14:paraId="39F2BAA2" w14:textId="6207F3F3" w:rsidR="00B219E8" w:rsidRPr="007263A8" w:rsidRDefault="00B219E8">
      <w:pPr>
        <w:pStyle w:val="ListParagraph"/>
        <w:numPr>
          <w:ilvl w:val="2"/>
          <w:numId w:val="19"/>
        </w:numPr>
        <w:ind w:leftChars="0"/>
        <w:rPr>
          <w:rFonts w:asciiTheme="minorHAnsi" w:hAnsiTheme="minorHAnsi" w:cstheme="minorHAnsi"/>
          <w:sz w:val="22"/>
          <w:szCs w:val="28"/>
        </w:rPr>
      </w:pPr>
      <w:r w:rsidRPr="007263A8">
        <w:rPr>
          <w:rFonts w:asciiTheme="minorHAnsi" w:hAnsiTheme="minorHAnsi" w:cstheme="minorHAnsi"/>
          <w:sz w:val="22"/>
          <w:szCs w:val="28"/>
        </w:rPr>
        <w:t>Other</w:t>
      </w:r>
      <w:r w:rsidR="00515546" w:rsidRPr="007263A8">
        <w:rPr>
          <w:rFonts w:asciiTheme="minorHAnsi" w:hAnsiTheme="minorHAnsi" w:cstheme="minorHAnsi"/>
          <w:sz w:val="22"/>
          <w:szCs w:val="28"/>
        </w:rPr>
        <w:t xml:space="preserve"> mean</w:t>
      </w:r>
      <w:r w:rsidRPr="007263A8">
        <w:rPr>
          <w:rFonts w:asciiTheme="minorHAnsi" w:hAnsiTheme="minorHAnsi" w:cstheme="minorHAnsi"/>
          <w:sz w:val="22"/>
          <w:szCs w:val="28"/>
        </w:rPr>
        <w:t>s: [</w:t>
      </w:r>
      <w:r w:rsidR="00657FA4" w:rsidRPr="007263A8">
        <w:rPr>
          <w:rFonts w:asciiTheme="minorHAnsi" w:hAnsiTheme="minorHAnsi" w:cstheme="minorHAnsi"/>
          <w:sz w:val="22"/>
          <w:szCs w:val="28"/>
        </w:rPr>
        <w:t>22/LGE</w:t>
      </w:r>
      <w:r w:rsidRPr="007263A8">
        <w:rPr>
          <w:rFonts w:asciiTheme="minorHAnsi" w:hAnsiTheme="minorHAnsi" w:cstheme="minorHAnsi"/>
          <w:sz w:val="22"/>
          <w:szCs w:val="28"/>
        </w:rPr>
        <w:t xml:space="preserve">], </w:t>
      </w:r>
      <w:r w:rsidR="00466359" w:rsidRPr="007263A8">
        <w:rPr>
          <w:rFonts w:asciiTheme="minorHAnsi" w:hAnsiTheme="minorHAnsi" w:cstheme="minorHAnsi"/>
          <w:sz w:val="22"/>
          <w:szCs w:val="28"/>
        </w:rPr>
        <w:t>[8/OPPO]</w:t>
      </w:r>
      <w:r w:rsidRPr="007263A8">
        <w:rPr>
          <w:rFonts w:asciiTheme="minorHAnsi" w:hAnsiTheme="minorHAnsi" w:cstheme="minorHAnsi"/>
          <w:sz w:val="22"/>
          <w:szCs w:val="28"/>
        </w:rPr>
        <w:t xml:space="preserve"> (when SL-HARQ disabled), </w:t>
      </w:r>
      <w:r w:rsidR="00515546" w:rsidRPr="007263A8">
        <w:rPr>
          <w:rFonts w:asciiTheme="minorHAnsi" w:hAnsiTheme="minorHAnsi" w:cstheme="minorHAnsi"/>
          <w:sz w:val="22"/>
          <w:szCs w:val="28"/>
        </w:rPr>
        <w:t>[</w:t>
      </w:r>
      <w:r w:rsidR="007B2CAB" w:rsidRPr="007263A8">
        <w:rPr>
          <w:rFonts w:asciiTheme="minorHAnsi" w:hAnsiTheme="minorHAnsi" w:cstheme="minorHAnsi"/>
          <w:sz w:val="22"/>
          <w:szCs w:val="28"/>
        </w:rPr>
        <w:t>33/QC</w:t>
      </w:r>
      <w:r w:rsidR="00515546" w:rsidRPr="007263A8">
        <w:rPr>
          <w:rFonts w:asciiTheme="minorHAnsi" w:hAnsiTheme="minorHAnsi" w:cstheme="minorHAnsi"/>
          <w:sz w:val="22"/>
          <w:szCs w:val="28"/>
        </w:rPr>
        <w:t>]</w:t>
      </w:r>
    </w:p>
    <w:p w14:paraId="6C3B1509" w14:textId="4A82CD44" w:rsidR="0031794F" w:rsidRDefault="0031794F">
      <w:pPr>
        <w:pStyle w:val="ListParagraph"/>
        <w:numPr>
          <w:ilvl w:val="1"/>
          <w:numId w:val="19"/>
        </w:numPr>
        <w:ind w:leftChars="0"/>
        <w:rPr>
          <w:rFonts w:asciiTheme="minorHAnsi" w:hAnsiTheme="minorHAnsi" w:cstheme="minorHAnsi"/>
          <w:sz w:val="22"/>
          <w:szCs w:val="28"/>
        </w:rPr>
      </w:pPr>
      <w:r>
        <w:rPr>
          <w:rFonts w:asciiTheme="minorHAnsi" w:hAnsiTheme="minorHAnsi" w:cstheme="minorHAnsi"/>
          <w:sz w:val="22"/>
          <w:szCs w:val="28"/>
        </w:rPr>
        <w:t xml:space="preserve">[3/FW]: </w:t>
      </w:r>
      <w:r w:rsidRPr="0031794F">
        <w:rPr>
          <w:rFonts w:asciiTheme="minorHAnsi" w:hAnsiTheme="minorHAnsi" w:cstheme="minorHAnsi"/>
          <w:sz w:val="22"/>
          <w:szCs w:val="28"/>
        </w:rPr>
        <w:t>New DCI format 3_x supports the SL-U Mode 1 of operation in shared spectrum</w:t>
      </w:r>
      <w:r>
        <w:rPr>
          <w:rFonts w:asciiTheme="minorHAnsi" w:hAnsiTheme="minorHAnsi" w:cstheme="minorHAnsi"/>
          <w:sz w:val="22"/>
          <w:szCs w:val="28"/>
        </w:rPr>
        <w:t>.</w:t>
      </w:r>
    </w:p>
    <w:p w14:paraId="7C33E50D" w14:textId="0C4272CF" w:rsidR="000514E2" w:rsidRPr="004354EC" w:rsidRDefault="00081E40">
      <w:pPr>
        <w:pStyle w:val="ListParagraph"/>
        <w:numPr>
          <w:ilvl w:val="1"/>
          <w:numId w:val="19"/>
        </w:numPr>
        <w:ind w:leftChars="0"/>
        <w:rPr>
          <w:rFonts w:asciiTheme="minorHAnsi" w:hAnsiTheme="minorHAnsi" w:cstheme="minorHAnsi"/>
          <w:sz w:val="22"/>
          <w:szCs w:val="28"/>
        </w:rPr>
      </w:pPr>
      <w:r w:rsidRPr="004354EC">
        <w:rPr>
          <w:rFonts w:asciiTheme="minorHAnsi" w:hAnsiTheme="minorHAnsi" w:cstheme="minorHAnsi"/>
          <w:sz w:val="22"/>
          <w:szCs w:val="28"/>
        </w:rPr>
        <w:t>[4/HW, HiSi]</w:t>
      </w:r>
      <w:r w:rsidR="000514E2" w:rsidRPr="004354EC">
        <w:rPr>
          <w:rFonts w:asciiTheme="minorHAnsi" w:hAnsiTheme="minorHAnsi" w:cstheme="minorHAnsi"/>
          <w:sz w:val="22"/>
          <w:szCs w:val="28"/>
        </w:rPr>
        <w:t>: For mode 1, a COT initiating UE can share a COT to other UEs according to DG/CG by gNB with procedures as follows</w:t>
      </w:r>
    </w:p>
    <w:p w14:paraId="4E885482" w14:textId="4FC6825A" w:rsidR="000514E2" w:rsidRPr="004354EC" w:rsidRDefault="000514E2">
      <w:pPr>
        <w:pStyle w:val="ListParagraph"/>
        <w:numPr>
          <w:ilvl w:val="2"/>
          <w:numId w:val="19"/>
        </w:numPr>
        <w:ind w:leftChars="0"/>
        <w:rPr>
          <w:rFonts w:asciiTheme="minorHAnsi" w:hAnsiTheme="minorHAnsi" w:cstheme="minorHAnsi"/>
          <w:sz w:val="22"/>
          <w:szCs w:val="28"/>
        </w:rPr>
      </w:pPr>
      <w:r w:rsidRPr="004354EC">
        <w:rPr>
          <w:rFonts w:asciiTheme="minorHAnsi" w:hAnsiTheme="minorHAnsi" w:cstheme="minorHAnsi"/>
          <w:sz w:val="22"/>
          <w:szCs w:val="28"/>
        </w:rPr>
        <w:t>All UEs should report UE ID related information to gNB.</w:t>
      </w:r>
    </w:p>
    <w:p w14:paraId="0D839AE1" w14:textId="7463A0E8" w:rsidR="000514E2" w:rsidRPr="004354EC" w:rsidRDefault="000514E2">
      <w:pPr>
        <w:pStyle w:val="ListParagraph"/>
        <w:numPr>
          <w:ilvl w:val="2"/>
          <w:numId w:val="19"/>
        </w:numPr>
        <w:ind w:leftChars="0"/>
        <w:rPr>
          <w:rFonts w:asciiTheme="minorHAnsi" w:hAnsiTheme="minorHAnsi" w:cstheme="minorHAnsi"/>
          <w:sz w:val="22"/>
          <w:szCs w:val="28"/>
        </w:rPr>
      </w:pPr>
      <w:r w:rsidRPr="004354EC">
        <w:rPr>
          <w:rFonts w:asciiTheme="minorHAnsi" w:hAnsiTheme="minorHAnsi" w:cstheme="minorHAnsi"/>
          <w:sz w:val="22"/>
          <w:szCs w:val="28"/>
        </w:rPr>
        <w:t>SL DG/CG resources and the UE ID related information needs be indicated by gNB.</w:t>
      </w:r>
    </w:p>
    <w:p w14:paraId="2D20C970" w14:textId="6DA9C5F4" w:rsidR="000514E2" w:rsidRPr="004354EC" w:rsidRDefault="000514E2">
      <w:pPr>
        <w:pStyle w:val="ListParagraph"/>
        <w:numPr>
          <w:ilvl w:val="2"/>
          <w:numId w:val="19"/>
        </w:numPr>
        <w:ind w:leftChars="0"/>
        <w:rPr>
          <w:rFonts w:asciiTheme="minorHAnsi" w:hAnsiTheme="minorHAnsi" w:cstheme="minorHAnsi"/>
          <w:sz w:val="22"/>
          <w:szCs w:val="28"/>
        </w:rPr>
      </w:pPr>
      <w:r w:rsidRPr="004354EC">
        <w:rPr>
          <w:rFonts w:asciiTheme="minorHAnsi" w:hAnsiTheme="minorHAnsi" w:cstheme="minorHAnsi"/>
          <w:sz w:val="22"/>
          <w:szCs w:val="28"/>
        </w:rPr>
        <w:t>COT sharing indication including UE ID related information should be indicated by the initiating UE to share the COT.</w:t>
      </w:r>
    </w:p>
    <w:p w14:paraId="6689908E" w14:textId="624A205E" w:rsidR="00B37B03" w:rsidRPr="00563111" w:rsidRDefault="00466359">
      <w:pPr>
        <w:pStyle w:val="ListParagraph"/>
        <w:numPr>
          <w:ilvl w:val="1"/>
          <w:numId w:val="19"/>
        </w:numPr>
        <w:ind w:leftChars="0"/>
        <w:rPr>
          <w:rFonts w:asciiTheme="minorHAnsi" w:hAnsiTheme="minorHAnsi" w:cstheme="minorHAnsi"/>
          <w:sz w:val="22"/>
          <w:szCs w:val="28"/>
        </w:rPr>
      </w:pPr>
      <w:r w:rsidRPr="00563111">
        <w:rPr>
          <w:rFonts w:asciiTheme="minorHAnsi" w:hAnsiTheme="minorHAnsi" w:cstheme="minorHAnsi"/>
          <w:sz w:val="22"/>
          <w:szCs w:val="28"/>
        </w:rPr>
        <w:t>[6/vivo]</w:t>
      </w:r>
      <w:r w:rsidR="00B37B03" w:rsidRPr="00563111">
        <w:rPr>
          <w:rFonts w:asciiTheme="minorHAnsi" w:hAnsiTheme="minorHAnsi" w:cstheme="minorHAnsi"/>
          <w:sz w:val="22"/>
          <w:szCs w:val="28"/>
        </w:rPr>
        <w:t xml:space="preserve">: For mode-1 UE, </w:t>
      </w:r>
    </w:p>
    <w:p w14:paraId="42E250C8" w14:textId="709CB93B" w:rsidR="00B37B03" w:rsidRPr="00563111" w:rsidRDefault="00563111">
      <w:pPr>
        <w:pStyle w:val="ListParagraph"/>
        <w:numPr>
          <w:ilvl w:val="2"/>
          <w:numId w:val="19"/>
        </w:numPr>
        <w:ind w:leftChars="0"/>
        <w:rPr>
          <w:rFonts w:asciiTheme="minorHAnsi" w:hAnsiTheme="minorHAnsi" w:cstheme="minorHAnsi"/>
          <w:sz w:val="22"/>
          <w:szCs w:val="28"/>
        </w:rPr>
      </w:pPr>
      <w:r w:rsidRPr="00563111">
        <w:rPr>
          <w:rFonts w:asciiTheme="minorHAnsi" w:hAnsiTheme="minorHAnsi" w:cstheme="minorHAnsi"/>
          <w:sz w:val="22"/>
          <w:szCs w:val="28"/>
        </w:rPr>
        <w:t>The</w:t>
      </w:r>
      <w:r w:rsidR="00B37B03" w:rsidRPr="00563111">
        <w:rPr>
          <w:rFonts w:asciiTheme="minorHAnsi" w:hAnsiTheme="minorHAnsi" w:cstheme="minorHAnsi"/>
          <w:sz w:val="22"/>
          <w:szCs w:val="28"/>
        </w:rPr>
        <w:t xml:space="preserve"> LBT type </w:t>
      </w:r>
      <w:r w:rsidRPr="00563111">
        <w:rPr>
          <w:rFonts w:asciiTheme="minorHAnsi" w:hAnsiTheme="minorHAnsi" w:cstheme="minorHAnsi"/>
          <w:sz w:val="22"/>
          <w:szCs w:val="28"/>
        </w:rPr>
        <w:t>for the scheduled resources and</w:t>
      </w:r>
      <w:r w:rsidR="00B37B03" w:rsidRPr="00563111">
        <w:rPr>
          <w:rFonts w:asciiTheme="minorHAnsi" w:hAnsiTheme="minorHAnsi" w:cstheme="minorHAnsi"/>
          <w:sz w:val="22"/>
          <w:szCs w:val="28"/>
        </w:rPr>
        <w:t xml:space="preserve"> the priority class is decided by </w:t>
      </w:r>
      <w:r w:rsidRPr="00563111">
        <w:rPr>
          <w:rFonts w:asciiTheme="minorHAnsi" w:hAnsiTheme="minorHAnsi" w:cstheme="minorHAnsi"/>
          <w:sz w:val="22"/>
          <w:szCs w:val="28"/>
        </w:rPr>
        <w:t>UE</w:t>
      </w:r>
      <w:r w:rsidR="00B37B03" w:rsidRPr="00563111">
        <w:rPr>
          <w:rFonts w:asciiTheme="minorHAnsi" w:hAnsiTheme="minorHAnsi" w:cstheme="minorHAnsi"/>
          <w:sz w:val="22"/>
          <w:szCs w:val="28"/>
        </w:rPr>
        <w:t>.</w:t>
      </w:r>
    </w:p>
    <w:p w14:paraId="41D802A4" w14:textId="242856E8" w:rsidR="00B37B03" w:rsidRPr="00563111" w:rsidRDefault="00563111">
      <w:pPr>
        <w:pStyle w:val="ListParagraph"/>
        <w:numPr>
          <w:ilvl w:val="2"/>
          <w:numId w:val="19"/>
        </w:numPr>
        <w:ind w:leftChars="0"/>
        <w:rPr>
          <w:rFonts w:asciiTheme="minorHAnsi" w:hAnsiTheme="minorHAnsi" w:cstheme="minorHAnsi"/>
          <w:sz w:val="22"/>
          <w:szCs w:val="28"/>
        </w:rPr>
      </w:pPr>
      <w:r w:rsidRPr="00563111">
        <w:rPr>
          <w:rFonts w:asciiTheme="minorHAnsi" w:hAnsiTheme="minorHAnsi" w:cstheme="minorHAnsi"/>
          <w:sz w:val="22"/>
          <w:szCs w:val="28"/>
        </w:rPr>
        <w:t>if the obtained COT includes additional time resources other than the scheduled resources, it should be clarified whether or not the UE is allowed to exploit these resources or to share them with the peer UE.</w:t>
      </w:r>
    </w:p>
    <w:p w14:paraId="0128D5BB" w14:textId="5ECF10E5" w:rsidR="00B37B03" w:rsidRDefault="00563111">
      <w:pPr>
        <w:pStyle w:val="ListParagraph"/>
        <w:numPr>
          <w:ilvl w:val="2"/>
          <w:numId w:val="19"/>
        </w:numPr>
        <w:ind w:leftChars="0"/>
        <w:rPr>
          <w:rFonts w:asciiTheme="minorHAnsi" w:hAnsiTheme="minorHAnsi" w:cstheme="minorHAnsi"/>
          <w:sz w:val="22"/>
          <w:szCs w:val="28"/>
        </w:rPr>
      </w:pPr>
      <w:r w:rsidRPr="00563111">
        <w:rPr>
          <w:rFonts w:asciiTheme="minorHAnsi" w:hAnsiTheme="minorHAnsi" w:cstheme="minorHAnsi"/>
          <w:sz w:val="22"/>
          <w:szCs w:val="28"/>
        </w:rPr>
        <w:t>gNB can indicate a set of resources to a group of UE by a group common DCI or RRC, then UEs in the group can perform LBT for the scheduled resources and possibly share the COT with other UEs in the group if LBT succeeds.</w:t>
      </w:r>
    </w:p>
    <w:p w14:paraId="48C80957" w14:textId="452BBBFC" w:rsidR="00563111" w:rsidRDefault="00563111">
      <w:pPr>
        <w:pStyle w:val="ListParagraph"/>
        <w:numPr>
          <w:ilvl w:val="2"/>
          <w:numId w:val="19"/>
        </w:numPr>
        <w:ind w:leftChars="0"/>
        <w:rPr>
          <w:rFonts w:asciiTheme="minorHAnsi" w:hAnsiTheme="minorHAnsi" w:cstheme="minorHAnsi"/>
          <w:sz w:val="22"/>
          <w:szCs w:val="28"/>
        </w:rPr>
      </w:pPr>
      <w:r w:rsidRPr="00563111">
        <w:rPr>
          <w:rFonts w:asciiTheme="minorHAnsi" w:hAnsiTheme="minorHAnsi" w:cstheme="minorHAnsi"/>
          <w:sz w:val="22"/>
          <w:szCs w:val="28"/>
        </w:rPr>
        <w:t xml:space="preserve">reporting of LBT result and HARQ-ACK for the scheduled resources </w:t>
      </w:r>
      <w:r>
        <w:rPr>
          <w:rFonts w:asciiTheme="minorHAnsi" w:hAnsiTheme="minorHAnsi" w:cstheme="minorHAnsi"/>
          <w:sz w:val="22"/>
          <w:szCs w:val="28"/>
        </w:rPr>
        <w:t>should be separated.</w:t>
      </w:r>
    </w:p>
    <w:p w14:paraId="39D7996D" w14:textId="0E171C39" w:rsidR="00563111" w:rsidRDefault="00563111">
      <w:pPr>
        <w:pStyle w:val="ListParagraph"/>
        <w:numPr>
          <w:ilvl w:val="2"/>
          <w:numId w:val="19"/>
        </w:numPr>
        <w:ind w:leftChars="0"/>
        <w:rPr>
          <w:rFonts w:asciiTheme="minorHAnsi" w:hAnsiTheme="minorHAnsi" w:cstheme="minorHAnsi"/>
          <w:sz w:val="22"/>
          <w:szCs w:val="28"/>
        </w:rPr>
      </w:pPr>
      <w:r w:rsidRPr="00563111">
        <w:rPr>
          <w:rFonts w:asciiTheme="minorHAnsi" w:hAnsiTheme="minorHAnsi" w:cstheme="minorHAnsi"/>
          <w:sz w:val="22"/>
          <w:szCs w:val="28"/>
        </w:rPr>
        <w:t>the time location of the UL resource for SL HARQ-ACK or COT information reporting is determined based on one of the following options:</w:t>
      </w:r>
    </w:p>
    <w:p w14:paraId="27A28229" w14:textId="3E01C985" w:rsidR="00563111" w:rsidRDefault="00563111" w:rsidP="00563111">
      <w:pPr>
        <w:pStyle w:val="ListParagraph"/>
        <w:numPr>
          <w:ilvl w:val="3"/>
          <w:numId w:val="19"/>
        </w:numPr>
        <w:ind w:leftChars="0"/>
        <w:rPr>
          <w:rFonts w:asciiTheme="minorHAnsi" w:hAnsiTheme="minorHAnsi" w:cstheme="minorHAnsi"/>
          <w:sz w:val="22"/>
          <w:szCs w:val="28"/>
        </w:rPr>
      </w:pPr>
      <w:r w:rsidRPr="00563111">
        <w:rPr>
          <w:rFonts w:asciiTheme="minorHAnsi" w:hAnsiTheme="minorHAnsi" w:cstheme="minorHAnsi"/>
          <w:sz w:val="22"/>
          <w:szCs w:val="28"/>
        </w:rPr>
        <w:t>Option1. For each PSFCH candidate, there is one associated candidate UL resource. The candidate UL resource associated with the successfully accessed PSFCH candidate, or the candidate UL resource associated with the last PSFCH candidate if all LBT fails, is used for reporting.</w:t>
      </w:r>
    </w:p>
    <w:p w14:paraId="659CDAB7" w14:textId="633A0497" w:rsidR="00563111" w:rsidRPr="00563111" w:rsidRDefault="00563111" w:rsidP="00563111">
      <w:pPr>
        <w:pStyle w:val="ListParagraph"/>
        <w:numPr>
          <w:ilvl w:val="3"/>
          <w:numId w:val="19"/>
        </w:numPr>
        <w:ind w:leftChars="0"/>
        <w:rPr>
          <w:rFonts w:asciiTheme="minorHAnsi" w:hAnsiTheme="minorHAnsi" w:cstheme="minorHAnsi"/>
          <w:sz w:val="22"/>
          <w:szCs w:val="28"/>
        </w:rPr>
      </w:pPr>
      <w:r w:rsidRPr="00563111">
        <w:rPr>
          <w:rFonts w:asciiTheme="minorHAnsi" w:hAnsiTheme="minorHAnsi" w:cstheme="minorHAnsi"/>
          <w:sz w:val="22"/>
          <w:szCs w:val="28"/>
        </w:rPr>
        <w:t>Option2. There is one UL resource for reporting, and its time location is derived from the last PSFCH candidate.</w:t>
      </w:r>
    </w:p>
    <w:p w14:paraId="4D262510" w14:textId="7E08F4AB" w:rsidR="00FB4C02" w:rsidRPr="00B00116" w:rsidRDefault="007E6816">
      <w:pPr>
        <w:pStyle w:val="ListParagraph"/>
        <w:numPr>
          <w:ilvl w:val="1"/>
          <w:numId w:val="19"/>
        </w:numPr>
        <w:ind w:leftChars="0"/>
        <w:rPr>
          <w:rFonts w:asciiTheme="minorHAnsi" w:hAnsiTheme="minorHAnsi" w:cstheme="minorHAnsi"/>
          <w:sz w:val="22"/>
          <w:szCs w:val="28"/>
        </w:rPr>
      </w:pPr>
      <w:r w:rsidRPr="00B00116">
        <w:rPr>
          <w:rFonts w:asciiTheme="minorHAnsi" w:eastAsiaTheme="minorEastAsia" w:hAnsiTheme="minorHAnsi" w:cstheme="minorHAnsi"/>
          <w:iCs/>
          <w:sz w:val="22"/>
          <w:lang w:val="en-US"/>
        </w:rPr>
        <w:lastRenderedPageBreak/>
        <w:t>[</w:t>
      </w:r>
      <w:r w:rsidR="00BC644A" w:rsidRPr="00B00116">
        <w:rPr>
          <w:rFonts w:asciiTheme="minorHAnsi" w:eastAsiaTheme="minorEastAsia" w:hAnsiTheme="minorHAnsi" w:cstheme="minorHAnsi"/>
          <w:iCs/>
          <w:sz w:val="22"/>
          <w:lang w:val="en-US"/>
        </w:rPr>
        <w:t>21/Fraunhofer</w:t>
      </w:r>
      <w:r w:rsidRPr="00B00116">
        <w:rPr>
          <w:rFonts w:asciiTheme="minorHAnsi" w:eastAsiaTheme="minorEastAsia" w:hAnsiTheme="minorHAnsi" w:cstheme="minorHAnsi"/>
          <w:iCs/>
          <w:sz w:val="22"/>
          <w:lang w:val="en-US"/>
        </w:rPr>
        <w:t xml:space="preserve">]: In Mode 1, </w:t>
      </w:r>
      <w:r w:rsidR="00187D1D" w:rsidRPr="00B00116">
        <w:rPr>
          <w:rFonts w:asciiTheme="minorHAnsi" w:eastAsiaTheme="minorEastAsia" w:hAnsiTheme="minorHAnsi" w:cstheme="minorHAnsi"/>
          <w:iCs/>
          <w:sz w:val="22"/>
          <w:lang w:val="en-US"/>
        </w:rPr>
        <w:t>the gNB can provide resource grants to the UE after checking for the resource availability by using reports by other Mode 1 UEs indicating the resource usage, or by performing some basic energy measurements.</w:t>
      </w:r>
    </w:p>
    <w:p w14:paraId="476845C9" w14:textId="48DD663A" w:rsidR="00B4552A" w:rsidRPr="0072196A" w:rsidRDefault="00BC644A">
      <w:pPr>
        <w:pStyle w:val="ListParagraph"/>
        <w:numPr>
          <w:ilvl w:val="1"/>
          <w:numId w:val="19"/>
        </w:numPr>
        <w:ind w:leftChars="0"/>
        <w:rPr>
          <w:rFonts w:asciiTheme="minorHAnsi" w:hAnsiTheme="minorHAnsi" w:cstheme="minorHAnsi"/>
          <w:sz w:val="22"/>
          <w:szCs w:val="28"/>
        </w:rPr>
      </w:pPr>
      <w:r w:rsidRPr="0072196A">
        <w:rPr>
          <w:rFonts w:asciiTheme="minorHAnsi" w:hAnsiTheme="minorHAnsi" w:cstheme="minorHAnsi"/>
          <w:sz w:val="22"/>
          <w:szCs w:val="28"/>
        </w:rPr>
        <w:t>[14/NEC]</w:t>
      </w:r>
    </w:p>
    <w:p w14:paraId="3297061E" w14:textId="58377660" w:rsidR="00B4552A" w:rsidRPr="0072196A" w:rsidRDefault="00B4552A">
      <w:pPr>
        <w:pStyle w:val="ListParagraph"/>
        <w:numPr>
          <w:ilvl w:val="2"/>
          <w:numId w:val="19"/>
        </w:numPr>
        <w:ind w:leftChars="0"/>
        <w:rPr>
          <w:rFonts w:asciiTheme="minorHAnsi" w:hAnsiTheme="minorHAnsi" w:cstheme="minorHAnsi"/>
          <w:sz w:val="22"/>
          <w:szCs w:val="28"/>
        </w:rPr>
      </w:pPr>
      <w:r w:rsidRPr="0072196A">
        <w:rPr>
          <w:rFonts w:asciiTheme="minorHAnsi" w:hAnsiTheme="minorHAnsi" w:cstheme="minorHAnsi"/>
          <w:sz w:val="22"/>
          <w:szCs w:val="28"/>
        </w:rPr>
        <w:t>In the case that both licensed and unlicensed spectrum resources are configured for sidelink mode 1, it needs to be considered how to identify DCI for sidelink scheduling in the licensed spectrum or the unlicensed spectrum.</w:t>
      </w:r>
    </w:p>
    <w:p w14:paraId="3A740463" w14:textId="26D7793E" w:rsidR="00D66E0B" w:rsidRDefault="00D66E0B">
      <w:pPr>
        <w:pStyle w:val="ListParagraph"/>
        <w:numPr>
          <w:ilvl w:val="1"/>
          <w:numId w:val="19"/>
        </w:numPr>
        <w:ind w:leftChars="0"/>
        <w:rPr>
          <w:rFonts w:asciiTheme="minorHAnsi" w:hAnsiTheme="minorHAnsi" w:cstheme="minorHAnsi"/>
          <w:sz w:val="22"/>
          <w:szCs w:val="28"/>
        </w:rPr>
      </w:pPr>
      <w:r>
        <w:rPr>
          <w:rFonts w:asciiTheme="minorHAnsi" w:hAnsiTheme="minorHAnsi" w:cstheme="minorHAnsi"/>
          <w:sz w:val="22"/>
          <w:szCs w:val="28"/>
        </w:rPr>
        <w:t xml:space="preserve">[18/Lenovo]: </w:t>
      </w:r>
      <w:r w:rsidRPr="00D66E0B">
        <w:rPr>
          <w:rFonts w:asciiTheme="minorHAnsi" w:hAnsiTheme="minorHAnsi" w:cstheme="minorHAnsi"/>
          <w:sz w:val="22"/>
          <w:szCs w:val="28"/>
        </w:rPr>
        <w:t>RAN1 could prioritize the study of mode 1 -- NR licensed carrier (gNB) scheduling data transmission on SL-unlicensed carrier and LTE licensed carrier (eNB) scheduling data transmission on SL-unlicensed carrier</w:t>
      </w:r>
      <w:r>
        <w:rPr>
          <w:rFonts w:asciiTheme="minorHAnsi" w:hAnsiTheme="minorHAnsi" w:cstheme="minorHAnsi"/>
          <w:sz w:val="22"/>
          <w:szCs w:val="28"/>
        </w:rPr>
        <w:t>.</w:t>
      </w:r>
    </w:p>
    <w:p w14:paraId="0597EEB0" w14:textId="460EA245" w:rsidR="00486434" w:rsidRPr="0070664B" w:rsidRDefault="00486434">
      <w:pPr>
        <w:pStyle w:val="ListParagraph"/>
        <w:numPr>
          <w:ilvl w:val="1"/>
          <w:numId w:val="19"/>
        </w:numPr>
        <w:ind w:leftChars="0"/>
        <w:rPr>
          <w:rFonts w:asciiTheme="minorHAnsi" w:hAnsiTheme="minorHAnsi" w:cstheme="minorHAnsi"/>
          <w:sz w:val="22"/>
          <w:szCs w:val="28"/>
        </w:rPr>
      </w:pPr>
      <w:r w:rsidRPr="0070664B">
        <w:rPr>
          <w:rFonts w:asciiTheme="minorHAnsi" w:hAnsiTheme="minorHAnsi" w:cstheme="minorHAnsi"/>
          <w:sz w:val="22"/>
          <w:szCs w:val="28"/>
        </w:rPr>
        <w:t>[22/LGE]:</w:t>
      </w:r>
    </w:p>
    <w:p w14:paraId="0E07A12E" w14:textId="0572957F" w:rsidR="00486434" w:rsidRPr="0070664B" w:rsidRDefault="00486434" w:rsidP="00486434">
      <w:pPr>
        <w:pStyle w:val="ListParagraph"/>
        <w:numPr>
          <w:ilvl w:val="2"/>
          <w:numId w:val="19"/>
        </w:numPr>
        <w:ind w:leftChars="0"/>
        <w:rPr>
          <w:rFonts w:asciiTheme="minorHAnsi" w:hAnsiTheme="minorHAnsi" w:cstheme="minorHAnsi"/>
          <w:sz w:val="22"/>
          <w:szCs w:val="28"/>
        </w:rPr>
      </w:pPr>
      <w:r w:rsidRPr="0070664B">
        <w:rPr>
          <w:rFonts w:asciiTheme="minorHAnsi" w:hAnsiTheme="minorHAnsi" w:cstheme="minorHAnsi"/>
          <w:sz w:val="22"/>
          <w:szCs w:val="28"/>
        </w:rPr>
        <w:t>Option 1: For LBT failure, a UE can report NACK to gNB.</w:t>
      </w:r>
    </w:p>
    <w:p w14:paraId="6E1FD096" w14:textId="12E19797" w:rsidR="00486434" w:rsidRPr="0070664B" w:rsidRDefault="00486434" w:rsidP="00486434">
      <w:pPr>
        <w:pStyle w:val="ListParagraph"/>
        <w:numPr>
          <w:ilvl w:val="2"/>
          <w:numId w:val="19"/>
        </w:numPr>
        <w:ind w:leftChars="0"/>
        <w:rPr>
          <w:rFonts w:asciiTheme="minorHAnsi" w:hAnsiTheme="minorHAnsi" w:cstheme="minorHAnsi"/>
          <w:sz w:val="22"/>
          <w:szCs w:val="28"/>
        </w:rPr>
      </w:pPr>
      <w:r w:rsidRPr="0070664B">
        <w:rPr>
          <w:rFonts w:asciiTheme="minorHAnsi" w:hAnsiTheme="minorHAnsi" w:cstheme="minorHAnsi"/>
          <w:sz w:val="22"/>
          <w:szCs w:val="28"/>
        </w:rPr>
        <w:t>Option 2: UE report</w:t>
      </w:r>
      <w:r w:rsidR="003254FB" w:rsidRPr="0070664B">
        <w:rPr>
          <w:rFonts w:asciiTheme="minorHAnsi" w:hAnsiTheme="minorHAnsi" w:cstheme="minorHAnsi"/>
          <w:sz w:val="22"/>
          <w:szCs w:val="28"/>
        </w:rPr>
        <w:t>s</w:t>
      </w:r>
      <w:r w:rsidRPr="0070664B">
        <w:rPr>
          <w:rFonts w:asciiTheme="minorHAnsi" w:hAnsiTheme="minorHAnsi" w:cstheme="minorHAnsi"/>
          <w:sz w:val="22"/>
          <w:szCs w:val="28"/>
        </w:rPr>
        <w:t xml:space="preserve"> LBT failure status separately from SL HARQ-ACK status to gNB</w:t>
      </w:r>
      <w:r w:rsidR="003254FB" w:rsidRPr="0070664B">
        <w:rPr>
          <w:rFonts w:asciiTheme="minorHAnsi" w:hAnsiTheme="minorHAnsi" w:cstheme="minorHAnsi"/>
          <w:sz w:val="22"/>
          <w:szCs w:val="28"/>
        </w:rPr>
        <w:t>.</w:t>
      </w:r>
    </w:p>
    <w:p w14:paraId="6B8F2475" w14:textId="51FFC60B" w:rsidR="007263A8" w:rsidRPr="007263A8" w:rsidRDefault="007263A8">
      <w:pPr>
        <w:pStyle w:val="ListParagraph"/>
        <w:numPr>
          <w:ilvl w:val="1"/>
          <w:numId w:val="19"/>
        </w:numPr>
        <w:ind w:leftChars="0"/>
        <w:rPr>
          <w:rFonts w:asciiTheme="minorHAnsi" w:hAnsiTheme="minorHAnsi" w:cstheme="minorHAnsi"/>
          <w:sz w:val="22"/>
          <w:szCs w:val="28"/>
        </w:rPr>
      </w:pPr>
      <w:r w:rsidRPr="007263A8">
        <w:rPr>
          <w:rFonts w:asciiTheme="minorHAnsi" w:hAnsiTheme="minorHAnsi" w:cstheme="minorHAnsi"/>
          <w:sz w:val="22"/>
          <w:szCs w:val="28"/>
        </w:rPr>
        <w:t>[23/MediaTek]</w:t>
      </w:r>
      <w:r>
        <w:rPr>
          <w:rFonts w:asciiTheme="minorHAnsi" w:hAnsiTheme="minorHAnsi" w:cstheme="minorHAnsi"/>
          <w:sz w:val="22"/>
          <w:szCs w:val="28"/>
        </w:rPr>
        <w:t xml:space="preserve"> </w:t>
      </w:r>
      <w:r w:rsidRPr="007263A8">
        <w:rPr>
          <w:rFonts w:asciiTheme="minorHAnsi" w:hAnsiTheme="minorHAnsi" w:cstheme="minorHAnsi"/>
          <w:sz w:val="22"/>
          <w:szCs w:val="28"/>
        </w:rPr>
        <w:t>UE report</w:t>
      </w:r>
      <w:r>
        <w:rPr>
          <w:rFonts w:asciiTheme="minorHAnsi" w:hAnsiTheme="minorHAnsi" w:cstheme="minorHAnsi"/>
          <w:sz w:val="22"/>
          <w:szCs w:val="28"/>
        </w:rPr>
        <w:t>s</w:t>
      </w:r>
      <w:r w:rsidRPr="007263A8">
        <w:rPr>
          <w:rFonts w:asciiTheme="minorHAnsi" w:hAnsiTheme="minorHAnsi" w:cstheme="minorHAnsi"/>
          <w:sz w:val="22"/>
          <w:szCs w:val="28"/>
        </w:rPr>
        <w:t xml:space="preserve"> channel access related/updated information (e.g., CAPC value/CW size) to gNB for aiding Mode 1 resource allocation.</w:t>
      </w:r>
    </w:p>
    <w:p w14:paraId="681B783F" w14:textId="2440F8A2" w:rsidR="007E6816" w:rsidRPr="00BB3BBF" w:rsidRDefault="00E67420">
      <w:pPr>
        <w:pStyle w:val="ListParagraph"/>
        <w:numPr>
          <w:ilvl w:val="1"/>
          <w:numId w:val="19"/>
        </w:numPr>
        <w:ind w:leftChars="0"/>
        <w:rPr>
          <w:rFonts w:asciiTheme="minorHAnsi" w:hAnsiTheme="minorHAnsi" w:cstheme="minorHAnsi"/>
          <w:sz w:val="22"/>
          <w:szCs w:val="28"/>
        </w:rPr>
      </w:pPr>
      <w:r w:rsidRPr="00BB3BBF">
        <w:rPr>
          <w:rFonts w:asciiTheme="minorHAnsi" w:hAnsiTheme="minorHAnsi" w:cstheme="minorHAnsi"/>
          <w:sz w:val="22"/>
          <w:szCs w:val="28"/>
        </w:rPr>
        <w:t>[</w:t>
      </w:r>
      <w:r w:rsidR="007B2CAB" w:rsidRPr="00BB3BBF">
        <w:rPr>
          <w:rFonts w:asciiTheme="minorHAnsi" w:hAnsiTheme="minorHAnsi" w:cstheme="minorHAnsi"/>
          <w:sz w:val="22"/>
          <w:szCs w:val="28"/>
        </w:rPr>
        <w:t>27/IDC</w:t>
      </w:r>
      <w:r w:rsidRPr="00BB3BBF">
        <w:rPr>
          <w:rFonts w:asciiTheme="minorHAnsi" w:hAnsiTheme="minorHAnsi" w:cstheme="minorHAnsi"/>
          <w:sz w:val="22"/>
          <w:szCs w:val="28"/>
        </w:rPr>
        <w:t xml:space="preserve">]: </w:t>
      </w:r>
    </w:p>
    <w:p w14:paraId="0E213F7D" w14:textId="00E1014D" w:rsidR="00E67420" w:rsidRPr="00BB3BBF" w:rsidRDefault="00E67420">
      <w:pPr>
        <w:pStyle w:val="ListParagraph"/>
        <w:numPr>
          <w:ilvl w:val="2"/>
          <w:numId w:val="19"/>
        </w:numPr>
        <w:ind w:leftChars="0"/>
        <w:rPr>
          <w:rFonts w:asciiTheme="minorHAnsi" w:hAnsiTheme="minorHAnsi" w:cstheme="minorHAnsi"/>
          <w:sz w:val="22"/>
          <w:szCs w:val="28"/>
        </w:rPr>
      </w:pPr>
      <w:r w:rsidRPr="00BB3BBF">
        <w:rPr>
          <w:rFonts w:asciiTheme="minorHAnsi" w:hAnsiTheme="minorHAnsi" w:cstheme="minorHAnsi"/>
          <w:sz w:val="22"/>
          <w:szCs w:val="28"/>
        </w:rPr>
        <w:t>Support configuring Mode 1 UE with time window and set of frequency resources to initiate a COT in SL</w:t>
      </w:r>
      <w:r w:rsidR="00205C98" w:rsidRPr="00BB3BBF">
        <w:rPr>
          <w:rFonts w:asciiTheme="minorHAnsi" w:hAnsiTheme="minorHAnsi" w:cstheme="minorHAnsi"/>
          <w:sz w:val="22"/>
          <w:szCs w:val="28"/>
        </w:rPr>
        <w:t>-</w:t>
      </w:r>
      <w:r w:rsidRPr="00BB3BBF">
        <w:rPr>
          <w:rFonts w:asciiTheme="minorHAnsi" w:hAnsiTheme="minorHAnsi" w:cstheme="minorHAnsi"/>
          <w:sz w:val="22"/>
          <w:szCs w:val="28"/>
        </w:rPr>
        <w:t>U</w:t>
      </w:r>
      <w:r w:rsidR="00205C98" w:rsidRPr="00BB3BBF">
        <w:rPr>
          <w:rFonts w:asciiTheme="minorHAnsi" w:hAnsiTheme="minorHAnsi" w:cstheme="minorHAnsi"/>
          <w:sz w:val="22"/>
          <w:szCs w:val="28"/>
        </w:rPr>
        <w:t xml:space="preserve"> to reduce the impact of LBT failure</w:t>
      </w:r>
      <w:r w:rsidRPr="00BB3BBF">
        <w:rPr>
          <w:rFonts w:asciiTheme="minorHAnsi" w:hAnsiTheme="minorHAnsi" w:cstheme="minorHAnsi"/>
          <w:sz w:val="22"/>
          <w:szCs w:val="28"/>
        </w:rPr>
        <w:t>.</w:t>
      </w:r>
    </w:p>
    <w:p w14:paraId="56EB0F8F" w14:textId="3184FF56" w:rsidR="00F347CB" w:rsidRPr="0053474A" w:rsidRDefault="00F347CB">
      <w:pPr>
        <w:pStyle w:val="ListParagraph"/>
        <w:numPr>
          <w:ilvl w:val="1"/>
          <w:numId w:val="19"/>
        </w:numPr>
        <w:ind w:leftChars="0"/>
        <w:rPr>
          <w:rFonts w:asciiTheme="minorHAnsi" w:hAnsiTheme="minorHAnsi" w:cstheme="minorHAnsi"/>
          <w:sz w:val="22"/>
          <w:szCs w:val="28"/>
        </w:rPr>
      </w:pPr>
      <w:r w:rsidRPr="0053474A">
        <w:rPr>
          <w:rFonts w:asciiTheme="minorHAnsi" w:hAnsiTheme="minorHAnsi" w:cstheme="minorHAnsi"/>
          <w:sz w:val="22"/>
          <w:szCs w:val="28"/>
        </w:rPr>
        <w:t>[</w:t>
      </w:r>
      <w:r w:rsidR="00E94848" w:rsidRPr="0053474A">
        <w:rPr>
          <w:rFonts w:asciiTheme="minorHAnsi" w:hAnsiTheme="minorHAnsi" w:cstheme="minorHAnsi"/>
          <w:sz w:val="22"/>
          <w:szCs w:val="28"/>
        </w:rPr>
        <w:t>3</w:t>
      </w:r>
      <w:r w:rsidR="00CE3188" w:rsidRPr="0053474A">
        <w:rPr>
          <w:rFonts w:asciiTheme="minorHAnsi" w:hAnsiTheme="minorHAnsi" w:cstheme="minorHAnsi"/>
          <w:sz w:val="22"/>
          <w:szCs w:val="28"/>
        </w:rPr>
        <w:t>2</w:t>
      </w:r>
      <w:r w:rsidRPr="0053474A">
        <w:rPr>
          <w:rFonts w:asciiTheme="minorHAnsi" w:hAnsiTheme="minorHAnsi" w:cstheme="minorHAnsi"/>
          <w:sz w:val="22"/>
          <w:szCs w:val="28"/>
        </w:rPr>
        <w:t>/</w:t>
      </w:r>
      <w:r w:rsidR="00CE3188" w:rsidRPr="0053474A">
        <w:rPr>
          <w:rFonts w:asciiTheme="minorHAnsi" w:hAnsiTheme="minorHAnsi" w:cstheme="minorHAnsi"/>
          <w:sz w:val="22"/>
          <w:szCs w:val="28"/>
        </w:rPr>
        <w:t>DCM</w:t>
      </w:r>
      <w:r w:rsidRPr="0053474A">
        <w:rPr>
          <w:rFonts w:asciiTheme="minorHAnsi" w:hAnsiTheme="minorHAnsi" w:cstheme="minorHAnsi"/>
          <w:sz w:val="22"/>
          <w:szCs w:val="28"/>
        </w:rPr>
        <w:t xml:space="preserve">]: </w:t>
      </w:r>
    </w:p>
    <w:p w14:paraId="3121664B" w14:textId="77777777" w:rsidR="009540B0" w:rsidRPr="0053474A" w:rsidRDefault="009540B0">
      <w:pPr>
        <w:numPr>
          <w:ilvl w:val="2"/>
          <w:numId w:val="19"/>
        </w:numPr>
        <w:ind w:left="1985"/>
        <w:jc w:val="both"/>
        <w:rPr>
          <w:rFonts w:asciiTheme="minorHAnsi" w:eastAsiaTheme="minorEastAsia" w:hAnsiTheme="minorHAnsi" w:cstheme="minorHAnsi"/>
          <w:iCs/>
          <w:sz w:val="22"/>
          <w:lang w:val="en-US"/>
        </w:rPr>
      </w:pPr>
      <w:r w:rsidRPr="0053474A">
        <w:rPr>
          <w:rFonts w:asciiTheme="minorHAnsi" w:eastAsiaTheme="minorEastAsia" w:hAnsiTheme="minorHAnsi" w:cstheme="minorHAnsi"/>
          <w:iCs/>
          <w:sz w:val="22"/>
        </w:rPr>
        <w:t>gNB does not configure/indicate LBT type and CAPC for SL TXs</w:t>
      </w:r>
    </w:p>
    <w:p w14:paraId="695E0AC8" w14:textId="77777777" w:rsidR="009540B0" w:rsidRPr="0053474A" w:rsidRDefault="009540B0">
      <w:pPr>
        <w:numPr>
          <w:ilvl w:val="2"/>
          <w:numId w:val="19"/>
        </w:numPr>
        <w:ind w:left="1985"/>
        <w:jc w:val="both"/>
        <w:rPr>
          <w:rFonts w:asciiTheme="minorHAnsi" w:eastAsiaTheme="minorEastAsia" w:hAnsiTheme="minorHAnsi" w:cstheme="minorHAnsi"/>
          <w:iCs/>
          <w:sz w:val="22"/>
          <w:lang w:val="en-US"/>
        </w:rPr>
      </w:pPr>
      <w:r w:rsidRPr="0053474A">
        <w:rPr>
          <w:rFonts w:asciiTheme="minorHAnsi" w:eastAsiaTheme="minorEastAsia" w:hAnsiTheme="minorHAnsi" w:cstheme="minorHAnsi"/>
          <w:iCs/>
          <w:sz w:val="22"/>
        </w:rPr>
        <w:t>UE detects information relevant to UE-to-UE COT sharing; i.e., UE performs sensing/RX even within SL DRX inactive time</w:t>
      </w:r>
    </w:p>
    <w:p w14:paraId="392F5071" w14:textId="735CC6F4" w:rsidR="00CE3188" w:rsidRPr="0053474A" w:rsidRDefault="009540B0">
      <w:pPr>
        <w:numPr>
          <w:ilvl w:val="2"/>
          <w:numId w:val="19"/>
        </w:numPr>
        <w:ind w:left="1985"/>
        <w:jc w:val="both"/>
        <w:rPr>
          <w:rFonts w:asciiTheme="minorHAnsi" w:eastAsiaTheme="minorEastAsia" w:hAnsiTheme="minorHAnsi" w:cstheme="minorHAnsi"/>
          <w:iCs/>
          <w:sz w:val="22"/>
          <w:lang w:val="en-US"/>
        </w:rPr>
      </w:pPr>
      <w:r w:rsidRPr="0053474A">
        <w:rPr>
          <w:rFonts w:asciiTheme="minorHAnsi" w:eastAsiaTheme="minorEastAsia" w:hAnsiTheme="minorHAnsi" w:cstheme="minorHAnsi"/>
          <w:iCs/>
          <w:sz w:val="22"/>
        </w:rPr>
        <w:t>UE reports NACK when, due to LBT failure, the UE does not transmit a PSSCH in any of the resources provided by DG or, for a CG, in any of the resources provided in a single period and for which the UE is provided a PUCCH resource to report HARQ-ACK</w:t>
      </w:r>
    </w:p>
    <w:p w14:paraId="5B6C7645" w14:textId="0260DB63" w:rsidR="002B7342" w:rsidRPr="00D62235" w:rsidRDefault="002B7342">
      <w:pPr>
        <w:pStyle w:val="ListParagraph"/>
        <w:numPr>
          <w:ilvl w:val="1"/>
          <w:numId w:val="19"/>
        </w:numPr>
        <w:ind w:leftChars="0"/>
        <w:rPr>
          <w:rFonts w:asciiTheme="minorHAnsi" w:hAnsiTheme="minorHAnsi" w:cstheme="minorHAnsi"/>
          <w:color w:val="000000" w:themeColor="text1"/>
          <w:sz w:val="22"/>
          <w:szCs w:val="22"/>
        </w:rPr>
      </w:pPr>
      <w:r w:rsidRPr="00D62235">
        <w:rPr>
          <w:rFonts w:asciiTheme="minorHAnsi" w:hAnsiTheme="minorHAnsi" w:cstheme="minorHAnsi"/>
          <w:color w:val="000000" w:themeColor="text1"/>
          <w:sz w:val="22"/>
          <w:szCs w:val="22"/>
        </w:rPr>
        <w:t>[33/QC]:</w:t>
      </w:r>
    </w:p>
    <w:p w14:paraId="16B394D1" w14:textId="4AB61A6B" w:rsidR="002B7342" w:rsidRPr="00D62235" w:rsidRDefault="002B7342">
      <w:pPr>
        <w:pStyle w:val="ListParagraph"/>
        <w:numPr>
          <w:ilvl w:val="2"/>
          <w:numId w:val="19"/>
        </w:numPr>
        <w:ind w:leftChars="0"/>
        <w:rPr>
          <w:rFonts w:asciiTheme="minorHAnsi" w:hAnsiTheme="minorHAnsi" w:cstheme="minorHAnsi"/>
          <w:color w:val="000000" w:themeColor="text1"/>
          <w:sz w:val="22"/>
          <w:szCs w:val="22"/>
        </w:rPr>
      </w:pPr>
      <w:r w:rsidRPr="00D62235">
        <w:rPr>
          <w:rFonts w:asciiTheme="minorHAnsi" w:hAnsiTheme="minorHAnsi" w:cstheme="minorHAnsi"/>
          <w:sz w:val="22"/>
          <w:szCs w:val="22"/>
        </w:rPr>
        <w:t>Introduce an LBT failure report from mode 1 UE to the gNB so that the gNB can provide LBT-aware resource allocation for the mode 1 UE in the form of grants over DCI 3_0. The LBT failure report can be sent to the gNB via: a) MAC-CE over PUSCH or b) PUCCH.</w:t>
      </w:r>
    </w:p>
    <w:p w14:paraId="45BD1694" w14:textId="52858798" w:rsidR="002B7342" w:rsidRPr="00D62235" w:rsidRDefault="002B7342">
      <w:pPr>
        <w:pStyle w:val="ListParagraph"/>
        <w:numPr>
          <w:ilvl w:val="2"/>
          <w:numId w:val="19"/>
        </w:numPr>
        <w:ind w:leftChars="0"/>
        <w:rPr>
          <w:rFonts w:asciiTheme="minorHAnsi" w:hAnsiTheme="minorHAnsi" w:cstheme="minorHAnsi"/>
          <w:color w:val="000000" w:themeColor="text1"/>
          <w:sz w:val="22"/>
          <w:szCs w:val="22"/>
        </w:rPr>
      </w:pPr>
      <w:r w:rsidRPr="00D62235">
        <w:rPr>
          <w:rFonts w:asciiTheme="minorHAnsi" w:hAnsiTheme="minorHAnsi" w:cstheme="minorHAnsi"/>
          <w:color w:val="000000" w:themeColor="text1"/>
          <w:sz w:val="22"/>
          <w:szCs w:val="22"/>
        </w:rPr>
        <w:t>The LBT failure report over PUCCH can be delivered with one additional bit per PSSCH.</w:t>
      </w:r>
    </w:p>
    <w:p w14:paraId="74555B39" w14:textId="4C06995A" w:rsidR="00853812" w:rsidRDefault="00853812">
      <w:pPr>
        <w:pStyle w:val="ListParagraph"/>
        <w:numPr>
          <w:ilvl w:val="1"/>
          <w:numId w:val="19"/>
        </w:numPr>
        <w:ind w:leftChars="0"/>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 xml:space="preserve">[34/ASUSTeK]: </w:t>
      </w:r>
      <w:r w:rsidRPr="00853812">
        <w:rPr>
          <w:rFonts w:asciiTheme="minorHAnsi" w:hAnsiTheme="minorHAnsi" w:cstheme="minorHAnsi"/>
          <w:color w:val="000000" w:themeColor="text1"/>
          <w:sz w:val="22"/>
          <w:szCs w:val="22"/>
        </w:rPr>
        <w:t>SL grant scheduling more than 3 sidelink resource(s) and SL grant scheduling multiple TBs in Multi-consecutive slots.</w:t>
      </w:r>
    </w:p>
    <w:p w14:paraId="72A67FC5" w14:textId="2E2C4B66" w:rsidR="00D62235" w:rsidRPr="00D62235" w:rsidRDefault="00D62235">
      <w:pPr>
        <w:pStyle w:val="ListParagraph"/>
        <w:numPr>
          <w:ilvl w:val="1"/>
          <w:numId w:val="19"/>
        </w:numPr>
        <w:ind w:leftChars="0"/>
        <w:rPr>
          <w:rFonts w:asciiTheme="minorHAnsi" w:hAnsiTheme="minorHAnsi" w:cstheme="minorHAnsi"/>
          <w:color w:val="000000" w:themeColor="text1"/>
          <w:sz w:val="22"/>
          <w:szCs w:val="22"/>
        </w:rPr>
      </w:pPr>
      <w:r w:rsidRPr="00D62235">
        <w:rPr>
          <w:rFonts w:asciiTheme="minorHAnsi" w:hAnsiTheme="minorHAnsi" w:cstheme="minorHAnsi"/>
          <w:color w:val="000000" w:themeColor="text1"/>
          <w:sz w:val="22"/>
          <w:szCs w:val="22"/>
        </w:rPr>
        <w:t>[36/E///]</w:t>
      </w:r>
    </w:p>
    <w:p w14:paraId="42C654A2" w14:textId="6B43B178" w:rsidR="00D62235" w:rsidRDefault="00D62235" w:rsidP="00D62235">
      <w:pPr>
        <w:pStyle w:val="ListParagraph"/>
        <w:numPr>
          <w:ilvl w:val="2"/>
          <w:numId w:val="19"/>
        </w:numPr>
        <w:ind w:leftChars="0"/>
        <w:rPr>
          <w:rFonts w:asciiTheme="minorHAnsi" w:hAnsiTheme="minorHAnsi" w:cstheme="minorHAnsi"/>
          <w:color w:val="000000" w:themeColor="text1"/>
          <w:sz w:val="22"/>
          <w:szCs w:val="22"/>
        </w:rPr>
      </w:pPr>
      <w:r w:rsidRPr="00D62235">
        <w:rPr>
          <w:rFonts w:asciiTheme="minorHAnsi" w:hAnsiTheme="minorHAnsi" w:cstheme="minorHAnsi"/>
          <w:color w:val="000000" w:themeColor="text1"/>
          <w:sz w:val="22"/>
          <w:szCs w:val="22"/>
        </w:rPr>
        <w:t>RAN1 to postpone the work on Mode 1 until the main changes of the SL interface are defined (e.g., SL HARQ protocol, SCI contents, etc.).</w:t>
      </w:r>
    </w:p>
    <w:p w14:paraId="7683C59C" w14:textId="25A1314F" w:rsidR="00D62235" w:rsidRDefault="00D62235" w:rsidP="00D62235">
      <w:pPr>
        <w:pStyle w:val="ListParagraph"/>
        <w:numPr>
          <w:ilvl w:val="2"/>
          <w:numId w:val="19"/>
        </w:numPr>
        <w:ind w:leftChars="0"/>
        <w:rPr>
          <w:rFonts w:asciiTheme="minorHAnsi" w:hAnsiTheme="minorHAnsi" w:cstheme="minorHAnsi"/>
          <w:color w:val="000000" w:themeColor="text1"/>
          <w:sz w:val="22"/>
          <w:szCs w:val="22"/>
        </w:rPr>
      </w:pPr>
      <w:r w:rsidRPr="00D62235">
        <w:rPr>
          <w:rFonts w:asciiTheme="minorHAnsi" w:hAnsiTheme="minorHAnsi" w:cstheme="minorHAnsi"/>
          <w:color w:val="000000" w:themeColor="text1"/>
          <w:sz w:val="22"/>
          <w:szCs w:val="22"/>
        </w:rPr>
        <w:t>RAN1 to address inter-UE blocking for Mode 1. Details FFS.</w:t>
      </w:r>
    </w:p>
    <w:p w14:paraId="33ED6C9B" w14:textId="52180008" w:rsidR="00D62235" w:rsidRPr="00D62235" w:rsidRDefault="00D62235" w:rsidP="00D62235">
      <w:pPr>
        <w:pStyle w:val="ListParagraph"/>
        <w:numPr>
          <w:ilvl w:val="2"/>
          <w:numId w:val="19"/>
        </w:numPr>
        <w:ind w:leftChars="0"/>
        <w:rPr>
          <w:rFonts w:asciiTheme="minorHAnsi" w:hAnsiTheme="minorHAnsi" w:cstheme="minorHAnsi"/>
          <w:color w:val="000000" w:themeColor="text1"/>
          <w:sz w:val="22"/>
          <w:szCs w:val="22"/>
        </w:rPr>
      </w:pPr>
      <w:r w:rsidRPr="00D62235">
        <w:rPr>
          <w:rFonts w:asciiTheme="minorHAnsi" w:hAnsiTheme="minorHAnsi" w:cstheme="minorHAnsi"/>
          <w:color w:val="000000" w:themeColor="text1"/>
          <w:sz w:val="22"/>
          <w:szCs w:val="22"/>
        </w:rPr>
        <w:t>Timing offsets are used for preventing inter-UE blocking of Mode-1 UEs and other UEs.</w:t>
      </w:r>
    </w:p>
    <w:p w14:paraId="0428B445" w14:textId="650B0407" w:rsidR="008747BE" w:rsidRPr="00D62235" w:rsidRDefault="008747BE">
      <w:pPr>
        <w:pStyle w:val="ListParagraph"/>
        <w:numPr>
          <w:ilvl w:val="1"/>
          <w:numId w:val="19"/>
        </w:numPr>
        <w:ind w:leftChars="0"/>
        <w:rPr>
          <w:rFonts w:asciiTheme="minorHAnsi" w:hAnsiTheme="minorHAnsi" w:cstheme="minorHAnsi"/>
          <w:color w:val="000000" w:themeColor="text1"/>
          <w:sz w:val="22"/>
          <w:szCs w:val="22"/>
        </w:rPr>
      </w:pPr>
      <w:r w:rsidRPr="00D62235">
        <w:rPr>
          <w:rFonts w:asciiTheme="minorHAnsi" w:hAnsiTheme="minorHAnsi" w:cstheme="minorHAnsi"/>
          <w:color w:val="000000" w:themeColor="text1"/>
          <w:sz w:val="22"/>
          <w:szCs w:val="22"/>
        </w:rPr>
        <w:t>Topics for further study</w:t>
      </w:r>
    </w:p>
    <w:p w14:paraId="24A570CD" w14:textId="60B8A77B" w:rsidR="008747BE" w:rsidRPr="00D62235" w:rsidRDefault="00D62235">
      <w:pPr>
        <w:pStyle w:val="ListParagraph"/>
        <w:numPr>
          <w:ilvl w:val="2"/>
          <w:numId w:val="19"/>
        </w:numPr>
        <w:ind w:leftChars="0"/>
        <w:rPr>
          <w:rFonts w:asciiTheme="minorHAnsi" w:hAnsiTheme="minorHAnsi" w:cstheme="minorHAnsi"/>
          <w:color w:val="000000" w:themeColor="text1"/>
          <w:sz w:val="22"/>
          <w:szCs w:val="22"/>
        </w:rPr>
      </w:pPr>
      <w:r w:rsidRPr="00D62235">
        <w:rPr>
          <w:rFonts w:asciiTheme="minorHAnsi" w:hAnsiTheme="minorHAnsi" w:cstheme="minorHAnsi"/>
          <w:color w:val="000000" w:themeColor="text1"/>
          <w:sz w:val="22"/>
          <w:szCs w:val="22"/>
        </w:rPr>
        <w:t>FFS: H</w:t>
      </w:r>
      <w:r w:rsidR="008747BE" w:rsidRPr="00D62235">
        <w:rPr>
          <w:rFonts w:asciiTheme="minorHAnsi" w:hAnsiTheme="minorHAnsi" w:cstheme="minorHAnsi"/>
          <w:color w:val="000000" w:themeColor="text1"/>
          <w:sz w:val="22"/>
          <w:szCs w:val="22"/>
        </w:rPr>
        <w:t xml:space="preserve">ow to report LBT failure for </w:t>
      </w:r>
      <w:r w:rsidR="00B20572" w:rsidRPr="00D62235">
        <w:rPr>
          <w:rFonts w:asciiTheme="minorHAnsi" w:hAnsiTheme="minorHAnsi" w:cstheme="minorHAnsi"/>
          <w:color w:val="000000" w:themeColor="text1"/>
          <w:sz w:val="22"/>
          <w:szCs w:val="22"/>
        </w:rPr>
        <w:t>MCSt grant</w:t>
      </w:r>
      <w:r w:rsidR="008747BE" w:rsidRPr="00D62235">
        <w:rPr>
          <w:rFonts w:asciiTheme="minorHAnsi" w:hAnsiTheme="minorHAnsi" w:cstheme="minorHAnsi"/>
          <w:color w:val="000000" w:themeColor="text1"/>
          <w:sz w:val="22"/>
          <w:szCs w:val="22"/>
        </w:rPr>
        <w:t xml:space="preserve"> in mode 1</w:t>
      </w:r>
    </w:p>
    <w:p w14:paraId="58801188" w14:textId="6841C73D" w:rsidR="00FD4655" w:rsidRPr="004C431E" w:rsidRDefault="00FD4655">
      <w:pPr>
        <w:pStyle w:val="ListParagraph"/>
        <w:numPr>
          <w:ilvl w:val="0"/>
          <w:numId w:val="19"/>
        </w:numPr>
        <w:spacing w:before="120"/>
        <w:ind w:leftChars="0"/>
        <w:rPr>
          <w:rFonts w:asciiTheme="minorHAnsi" w:hAnsiTheme="minorHAnsi" w:cstheme="minorHAnsi"/>
          <w:b/>
          <w:bCs/>
          <w:sz w:val="22"/>
          <w:szCs w:val="28"/>
          <w:u w:val="single"/>
        </w:rPr>
      </w:pPr>
      <w:r w:rsidRPr="004C431E">
        <w:rPr>
          <w:rFonts w:asciiTheme="minorHAnsi" w:hAnsiTheme="minorHAnsi" w:cstheme="minorHAnsi"/>
          <w:b/>
          <w:bCs/>
          <w:sz w:val="22"/>
          <w:szCs w:val="28"/>
          <w:u w:val="single"/>
        </w:rPr>
        <w:t>Mode 2 RA</w:t>
      </w:r>
    </w:p>
    <w:p w14:paraId="237D45EB" w14:textId="77777777" w:rsidR="00741C28" w:rsidRPr="00B21063" w:rsidRDefault="00741C28" w:rsidP="00741C28">
      <w:pPr>
        <w:pStyle w:val="ListParagraph"/>
        <w:numPr>
          <w:ilvl w:val="1"/>
          <w:numId w:val="19"/>
        </w:numPr>
        <w:ind w:leftChars="0"/>
        <w:rPr>
          <w:rFonts w:asciiTheme="minorHAnsi" w:hAnsiTheme="minorHAnsi" w:cstheme="minorHAnsi"/>
          <w:color w:val="000000" w:themeColor="text1"/>
          <w:sz w:val="22"/>
          <w:szCs w:val="28"/>
        </w:rPr>
      </w:pPr>
      <w:r w:rsidRPr="00B21063">
        <w:rPr>
          <w:rFonts w:asciiTheme="minorHAnsi" w:hAnsiTheme="minorHAnsi" w:cstheme="minorHAnsi"/>
          <w:color w:val="000000" w:themeColor="text1"/>
          <w:sz w:val="22"/>
          <w:szCs w:val="28"/>
        </w:rPr>
        <w:t>[2/Nokia, NSB]: RAN1 should investigate the interaction of channel access procedure with resource allocation mode 1 and 2 in order to avoid resource allocation which may cause LBT failures, e.g.:</w:t>
      </w:r>
    </w:p>
    <w:p w14:paraId="17F0133A" w14:textId="77777777" w:rsidR="00741C28" w:rsidRPr="00B21063" w:rsidRDefault="00741C28" w:rsidP="00741C28">
      <w:pPr>
        <w:pStyle w:val="ListParagraph"/>
        <w:numPr>
          <w:ilvl w:val="2"/>
          <w:numId w:val="21"/>
        </w:numPr>
        <w:ind w:leftChars="0"/>
        <w:rPr>
          <w:rFonts w:asciiTheme="minorHAnsi" w:hAnsiTheme="minorHAnsi" w:cstheme="minorHAnsi"/>
          <w:color w:val="000000" w:themeColor="text1"/>
          <w:sz w:val="22"/>
          <w:szCs w:val="28"/>
        </w:rPr>
      </w:pPr>
      <w:r w:rsidRPr="00B21063">
        <w:rPr>
          <w:rFonts w:asciiTheme="minorHAnsi" w:hAnsiTheme="minorHAnsi" w:cstheme="minorHAnsi"/>
          <w:color w:val="000000" w:themeColor="text1"/>
          <w:sz w:val="22"/>
          <w:szCs w:val="28"/>
        </w:rPr>
        <w:t>before a reserved resource in case the transmitting symbols of candidate resource overlap with LBT of the reserved resource;</w:t>
      </w:r>
    </w:p>
    <w:p w14:paraId="701E5D27" w14:textId="77777777" w:rsidR="00741C28" w:rsidRPr="00B21063" w:rsidRDefault="00741C28" w:rsidP="00741C28">
      <w:pPr>
        <w:pStyle w:val="ListParagraph"/>
        <w:numPr>
          <w:ilvl w:val="2"/>
          <w:numId w:val="21"/>
        </w:numPr>
        <w:ind w:leftChars="0"/>
        <w:rPr>
          <w:rFonts w:asciiTheme="minorHAnsi" w:hAnsiTheme="minorHAnsi" w:cstheme="minorHAnsi"/>
          <w:color w:val="000000" w:themeColor="text1"/>
          <w:sz w:val="22"/>
          <w:szCs w:val="28"/>
        </w:rPr>
      </w:pPr>
      <w:r w:rsidRPr="00B21063">
        <w:rPr>
          <w:rFonts w:asciiTheme="minorHAnsi" w:hAnsiTheme="minorHAnsi" w:cstheme="minorHAnsi"/>
          <w:color w:val="000000" w:themeColor="text1"/>
          <w:sz w:val="22"/>
          <w:szCs w:val="28"/>
        </w:rPr>
        <w:t>after a reserved resource in case the transmitting symbols of the reserved resource overlap with LBT of candidate resource.</w:t>
      </w:r>
    </w:p>
    <w:p w14:paraId="20EB1238" w14:textId="76F98AA5" w:rsidR="000F25A8" w:rsidRPr="00CE4618" w:rsidRDefault="000F25A8">
      <w:pPr>
        <w:pStyle w:val="ListParagraph"/>
        <w:numPr>
          <w:ilvl w:val="1"/>
          <w:numId w:val="19"/>
        </w:numPr>
        <w:ind w:leftChars="0"/>
        <w:rPr>
          <w:rFonts w:asciiTheme="minorHAnsi" w:hAnsiTheme="minorHAnsi" w:cstheme="minorHAnsi"/>
          <w:sz w:val="22"/>
          <w:szCs w:val="28"/>
        </w:rPr>
      </w:pPr>
      <w:r w:rsidRPr="00CE4618">
        <w:rPr>
          <w:rFonts w:asciiTheme="minorHAnsi" w:hAnsiTheme="minorHAnsi" w:cstheme="minorHAnsi"/>
          <w:sz w:val="22"/>
          <w:szCs w:val="28"/>
        </w:rPr>
        <w:t xml:space="preserve">[3/FW]: </w:t>
      </w:r>
      <w:r w:rsidR="00CE4618" w:rsidRPr="00CE4618">
        <w:rPr>
          <w:rFonts w:asciiTheme="minorHAnsi" w:hAnsiTheme="minorHAnsi" w:cstheme="minorHAnsi"/>
          <w:sz w:val="22"/>
          <w:szCs w:val="28"/>
        </w:rPr>
        <w:t>If the CCA fails prior to a transmission, a SL re-evaluation procedure to identify available resources is performed.</w:t>
      </w:r>
    </w:p>
    <w:p w14:paraId="3F39712B" w14:textId="77777777" w:rsidR="00AB74CA" w:rsidRPr="004354EC" w:rsidRDefault="00AB74CA" w:rsidP="00AB74CA">
      <w:pPr>
        <w:pStyle w:val="ListParagraph"/>
        <w:numPr>
          <w:ilvl w:val="1"/>
          <w:numId w:val="19"/>
        </w:numPr>
        <w:ind w:leftChars="0"/>
        <w:rPr>
          <w:rFonts w:asciiTheme="minorHAnsi" w:hAnsiTheme="minorHAnsi" w:cstheme="minorHAnsi"/>
          <w:sz w:val="22"/>
          <w:szCs w:val="28"/>
        </w:rPr>
      </w:pPr>
      <w:r w:rsidRPr="004354EC">
        <w:rPr>
          <w:rFonts w:asciiTheme="minorHAnsi" w:hAnsiTheme="minorHAnsi" w:cstheme="minorHAnsi"/>
          <w:sz w:val="22"/>
          <w:szCs w:val="28"/>
        </w:rPr>
        <w:t xml:space="preserve">[4/HW, HiSi]: </w:t>
      </w:r>
    </w:p>
    <w:p w14:paraId="19B743DC" w14:textId="275B81F3" w:rsidR="00AB74CA" w:rsidRDefault="00AB74CA" w:rsidP="00AB74CA">
      <w:pPr>
        <w:pStyle w:val="ListParagraph"/>
        <w:numPr>
          <w:ilvl w:val="2"/>
          <w:numId w:val="19"/>
        </w:numPr>
        <w:ind w:leftChars="0"/>
        <w:rPr>
          <w:rFonts w:asciiTheme="minorHAnsi" w:hAnsiTheme="minorHAnsi" w:cstheme="minorHAnsi"/>
          <w:sz w:val="22"/>
          <w:szCs w:val="28"/>
        </w:rPr>
      </w:pPr>
      <w:r w:rsidRPr="004354EC">
        <w:rPr>
          <w:rFonts w:asciiTheme="minorHAnsi" w:hAnsiTheme="minorHAnsi" w:cstheme="minorHAnsi"/>
          <w:sz w:val="22"/>
          <w:szCs w:val="28"/>
        </w:rPr>
        <w:lastRenderedPageBreak/>
        <w:t>Timing of performing LBT and resource selection, as well as timing relationship between them is up to UE implementation with the following restrictions:</w:t>
      </w:r>
    </w:p>
    <w:p w14:paraId="7C950E75" w14:textId="77777777" w:rsidR="00AB74CA" w:rsidRPr="004354EC" w:rsidRDefault="00AB74CA" w:rsidP="00AB74CA">
      <w:pPr>
        <w:pStyle w:val="ListParagraph"/>
        <w:numPr>
          <w:ilvl w:val="3"/>
          <w:numId w:val="19"/>
        </w:numPr>
        <w:ind w:leftChars="0"/>
        <w:rPr>
          <w:rFonts w:asciiTheme="minorHAnsi" w:hAnsiTheme="minorHAnsi" w:cstheme="minorHAnsi"/>
          <w:sz w:val="22"/>
          <w:szCs w:val="28"/>
        </w:rPr>
      </w:pPr>
    </w:p>
    <w:p w14:paraId="26B2FC1B" w14:textId="77777777" w:rsidR="00AB74CA" w:rsidRPr="004354EC" w:rsidRDefault="00AB74CA" w:rsidP="00AB74CA">
      <w:pPr>
        <w:pStyle w:val="ListParagraph"/>
        <w:numPr>
          <w:ilvl w:val="3"/>
          <w:numId w:val="19"/>
        </w:numPr>
        <w:ind w:leftChars="0"/>
        <w:rPr>
          <w:rFonts w:asciiTheme="minorHAnsi" w:hAnsiTheme="minorHAnsi" w:cstheme="minorHAnsi"/>
          <w:sz w:val="22"/>
          <w:szCs w:val="28"/>
        </w:rPr>
      </w:pPr>
      <w:r w:rsidRPr="004354EC">
        <w:rPr>
          <w:rFonts w:asciiTheme="minorHAnsi" w:hAnsiTheme="minorHAnsi" w:cstheme="minorHAnsi"/>
          <w:sz w:val="22"/>
          <w:szCs w:val="28"/>
        </w:rPr>
        <w:t>Selected resources can only be used if LBT is successful</w:t>
      </w:r>
    </w:p>
    <w:p w14:paraId="3B7E5F97" w14:textId="77777777" w:rsidR="00AB74CA" w:rsidRPr="004354EC" w:rsidRDefault="00AB74CA" w:rsidP="00AB74CA">
      <w:pPr>
        <w:pStyle w:val="ListParagraph"/>
        <w:numPr>
          <w:ilvl w:val="3"/>
          <w:numId w:val="19"/>
        </w:numPr>
        <w:ind w:leftChars="0"/>
        <w:rPr>
          <w:rFonts w:asciiTheme="minorHAnsi" w:hAnsiTheme="minorHAnsi" w:cstheme="minorHAnsi"/>
          <w:sz w:val="22"/>
          <w:szCs w:val="28"/>
        </w:rPr>
      </w:pPr>
      <w:r w:rsidRPr="004354EC">
        <w:rPr>
          <w:rFonts w:asciiTheme="minorHAnsi" w:hAnsiTheme="minorHAnsi" w:cstheme="minorHAnsi"/>
          <w:sz w:val="22"/>
          <w:szCs w:val="28"/>
        </w:rPr>
        <w:t>Resources reselection is required if LBT fails</w:t>
      </w:r>
    </w:p>
    <w:p w14:paraId="7A25FE24" w14:textId="77777777" w:rsidR="00AB74CA" w:rsidRPr="004354EC" w:rsidRDefault="00AB74CA" w:rsidP="00AB74CA">
      <w:pPr>
        <w:pStyle w:val="ListParagraph"/>
        <w:numPr>
          <w:ilvl w:val="2"/>
          <w:numId w:val="19"/>
        </w:numPr>
        <w:ind w:leftChars="0"/>
        <w:rPr>
          <w:rFonts w:asciiTheme="minorHAnsi" w:hAnsiTheme="minorHAnsi" w:cstheme="minorHAnsi"/>
          <w:sz w:val="22"/>
          <w:szCs w:val="28"/>
        </w:rPr>
      </w:pPr>
      <w:r w:rsidRPr="004354EC">
        <w:rPr>
          <w:rFonts w:asciiTheme="minorHAnsi" w:hAnsiTheme="minorHAnsi" w:cstheme="minorHAnsi"/>
          <w:sz w:val="22"/>
          <w:szCs w:val="28"/>
        </w:rPr>
        <w:t>For mode 2, sensing-based resource selection should consider whether selected resources will be blocked by Type 1 channel access for its PSSCH transmission.</w:t>
      </w:r>
    </w:p>
    <w:p w14:paraId="1E93A690" w14:textId="77777777" w:rsidR="00AB74CA" w:rsidRPr="004354EC" w:rsidRDefault="00AB74CA" w:rsidP="00AB74CA">
      <w:pPr>
        <w:pStyle w:val="ListParagraph"/>
        <w:numPr>
          <w:ilvl w:val="2"/>
          <w:numId w:val="19"/>
        </w:numPr>
        <w:ind w:leftChars="0"/>
        <w:rPr>
          <w:rFonts w:asciiTheme="minorHAnsi" w:hAnsiTheme="minorHAnsi" w:cstheme="minorHAnsi"/>
          <w:sz w:val="22"/>
          <w:szCs w:val="28"/>
        </w:rPr>
      </w:pPr>
      <w:r w:rsidRPr="004354EC">
        <w:rPr>
          <w:rFonts w:asciiTheme="minorHAnsi" w:hAnsiTheme="minorHAnsi" w:cstheme="minorHAnsi"/>
          <w:sz w:val="22"/>
          <w:szCs w:val="28"/>
        </w:rPr>
        <w:t>For mode 2, sensing-based resource selection should take into account whether selected resources will block channel access of other UEs for PSSCH transmission with higher priority.</w:t>
      </w:r>
    </w:p>
    <w:p w14:paraId="2169A2FA" w14:textId="77777777" w:rsidR="00AB74CA" w:rsidRPr="004354EC" w:rsidRDefault="00AB74CA" w:rsidP="00AB74CA">
      <w:pPr>
        <w:pStyle w:val="ListParagraph"/>
        <w:numPr>
          <w:ilvl w:val="2"/>
          <w:numId w:val="19"/>
        </w:numPr>
        <w:ind w:leftChars="0"/>
        <w:rPr>
          <w:rFonts w:asciiTheme="minorHAnsi" w:hAnsiTheme="minorHAnsi" w:cstheme="minorHAnsi"/>
          <w:sz w:val="22"/>
          <w:szCs w:val="28"/>
        </w:rPr>
      </w:pPr>
      <w:r w:rsidRPr="004354EC">
        <w:rPr>
          <w:rFonts w:asciiTheme="minorHAnsi" w:hAnsiTheme="minorHAnsi" w:cstheme="minorHAnsi"/>
          <w:sz w:val="22"/>
          <w:szCs w:val="28"/>
        </w:rPr>
        <w:t>To address inter-UE blocking issue, following Mode 2 RA enhancements are supported</w:t>
      </w:r>
    </w:p>
    <w:p w14:paraId="6C9E214A" w14:textId="77777777" w:rsidR="00AB74CA" w:rsidRPr="004354EC" w:rsidRDefault="00AB74CA" w:rsidP="00AB74CA">
      <w:pPr>
        <w:pStyle w:val="ListParagraph"/>
        <w:numPr>
          <w:ilvl w:val="3"/>
          <w:numId w:val="19"/>
        </w:numPr>
        <w:ind w:leftChars="0"/>
        <w:rPr>
          <w:rFonts w:asciiTheme="minorHAnsi" w:hAnsiTheme="minorHAnsi" w:cstheme="minorHAnsi"/>
          <w:sz w:val="22"/>
          <w:szCs w:val="22"/>
        </w:rPr>
      </w:pPr>
      <w:r w:rsidRPr="004354EC">
        <w:rPr>
          <w:rFonts w:asciiTheme="minorHAnsi" w:hAnsiTheme="minorHAnsi" w:cstheme="minorHAnsi"/>
          <w:sz w:val="22"/>
          <w:szCs w:val="22"/>
          <w:lang w:eastAsia="zh-CN"/>
        </w:rPr>
        <w:t>When COT sharing is applicable,</w:t>
      </w:r>
    </w:p>
    <w:p w14:paraId="0970173C" w14:textId="77777777" w:rsidR="00AB74CA" w:rsidRPr="004354EC" w:rsidRDefault="00AB74CA" w:rsidP="00AB74CA">
      <w:pPr>
        <w:pStyle w:val="ListParagraph"/>
        <w:numPr>
          <w:ilvl w:val="4"/>
          <w:numId w:val="19"/>
        </w:numPr>
        <w:ind w:leftChars="0"/>
        <w:rPr>
          <w:rFonts w:asciiTheme="minorHAnsi" w:hAnsiTheme="minorHAnsi" w:cstheme="minorHAnsi"/>
          <w:sz w:val="22"/>
          <w:szCs w:val="22"/>
        </w:rPr>
      </w:pPr>
      <w:r w:rsidRPr="004354EC">
        <w:rPr>
          <w:rFonts w:asciiTheme="minorHAnsi" w:hAnsiTheme="minorHAnsi" w:cstheme="minorHAnsi"/>
          <w:sz w:val="22"/>
          <w:szCs w:val="22"/>
          <w:lang w:eastAsia="zh-CN"/>
        </w:rPr>
        <w:t>The COT initiating UE shares resources to other UE of which transmission priority is higher than that of its own transmission, based on sensing results.</w:t>
      </w:r>
    </w:p>
    <w:p w14:paraId="2C381C4F" w14:textId="77777777" w:rsidR="00AB74CA" w:rsidRPr="004354EC" w:rsidRDefault="00AB74CA" w:rsidP="00AB74CA">
      <w:pPr>
        <w:pStyle w:val="ListParagraph"/>
        <w:numPr>
          <w:ilvl w:val="3"/>
          <w:numId w:val="19"/>
        </w:numPr>
        <w:ind w:leftChars="0"/>
        <w:rPr>
          <w:rFonts w:asciiTheme="minorHAnsi" w:hAnsiTheme="minorHAnsi" w:cstheme="minorHAnsi"/>
          <w:sz w:val="22"/>
          <w:szCs w:val="28"/>
        </w:rPr>
      </w:pPr>
      <w:r w:rsidRPr="004354EC">
        <w:rPr>
          <w:rFonts w:asciiTheme="minorHAnsi" w:hAnsiTheme="minorHAnsi" w:cstheme="minorHAnsi"/>
          <w:sz w:val="22"/>
          <w:szCs w:val="28"/>
        </w:rPr>
        <w:t>Otherwise,</w:t>
      </w:r>
    </w:p>
    <w:p w14:paraId="7FA2CF6C" w14:textId="77777777" w:rsidR="00AB74CA" w:rsidRPr="004354EC" w:rsidRDefault="00AB74CA" w:rsidP="00AB74CA">
      <w:pPr>
        <w:pStyle w:val="ListParagraph"/>
        <w:numPr>
          <w:ilvl w:val="4"/>
          <w:numId w:val="19"/>
        </w:numPr>
        <w:ind w:leftChars="0"/>
        <w:rPr>
          <w:rFonts w:asciiTheme="minorHAnsi" w:hAnsiTheme="minorHAnsi" w:cstheme="minorHAnsi"/>
          <w:sz w:val="22"/>
          <w:szCs w:val="28"/>
        </w:rPr>
      </w:pPr>
      <w:r w:rsidRPr="004354EC">
        <w:rPr>
          <w:rFonts w:asciiTheme="minorHAnsi" w:hAnsiTheme="minorHAnsi" w:cstheme="minorHAnsi"/>
          <w:sz w:val="22"/>
          <w:szCs w:val="28"/>
        </w:rPr>
        <w:t>Resource should be selected with a sufficient gap before or after the PSSCH transmissions of other UEs, especially when other UEs are with higher priority.</w:t>
      </w:r>
    </w:p>
    <w:p w14:paraId="0F7B6E2E" w14:textId="2C1020C6" w:rsidR="00741C28" w:rsidRDefault="00741C28" w:rsidP="00AB74CA">
      <w:pPr>
        <w:pStyle w:val="ListParagraph"/>
        <w:numPr>
          <w:ilvl w:val="1"/>
          <w:numId w:val="19"/>
        </w:numPr>
        <w:ind w:leftChars="0"/>
        <w:rPr>
          <w:rFonts w:asciiTheme="minorHAnsi" w:hAnsiTheme="minorHAnsi" w:cstheme="minorHAnsi"/>
          <w:sz w:val="22"/>
          <w:szCs w:val="28"/>
        </w:rPr>
      </w:pPr>
      <w:r>
        <w:rPr>
          <w:rFonts w:asciiTheme="minorHAnsi" w:hAnsiTheme="minorHAnsi" w:cstheme="minorHAnsi"/>
          <w:sz w:val="22"/>
          <w:szCs w:val="28"/>
        </w:rPr>
        <w:t xml:space="preserve">[5/Spreadtrum]: </w:t>
      </w:r>
      <w:r w:rsidRPr="00741C28">
        <w:rPr>
          <w:rFonts w:asciiTheme="minorHAnsi" w:hAnsiTheme="minorHAnsi" w:cstheme="minorHAnsi"/>
          <w:sz w:val="22"/>
          <w:szCs w:val="28"/>
        </w:rPr>
        <w:t>COT duration information should be considered when performing resource (re-)selection in mode 2.</w:t>
      </w:r>
    </w:p>
    <w:p w14:paraId="736FDD35" w14:textId="57E88D23" w:rsidR="00AB74CA" w:rsidRPr="009659DF" w:rsidRDefault="00AB74CA" w:rsidP="00AB74CA">
      <w:pPr>
        <w:pStyle w:val="ListParagraph"/>
        <w:numPr>
          <w:ilvl w:val="1"/>
          <w:numId w:val="19"/>
        </w:numPr>
        <w:ind w:leftChars="0"/>
        <w:rPr>
          <w:rFonts w:asciiTheme="minorHAnsi" w:hAnsiTheme="minorHAnsi" w:cstheme="minorHAnsi"/>
          <w:sz w:val="22"/>
          <w:szCs w:val="28"/>
        </w:rPr>
      </w:pPr>
      <w:r w:rsidRPr="009659DF">
        <w:rPr>
          <w:rFonts w:asciiTheme="minorHAnsi" w:hAnsiTheme="minorHAnsi" w:cstheme="minorHAnsi"/>
          <w:sz w:val="22"/>
          <w:szCs w:val="28"/>
        </w:rPr>
        <w:t>[6/vivo]:</w:t>
      </w:r>
    </w:p>
    <w:p w14:paraId="25864147" w14:textId="77777777" w:rsidR="00AB74CA" w:rsidRPr="009659DF" w:rsidRDefault="00AB74CA" w:rsidP="00AB74CA">
      <w:pPr>
        <w:pStyle w:val="ListParagraph"/>
        <w:numPr>
          <w:ilvl w:val="2"/>
          <w:numId w:val="19"/>
        </w:numPr>
        <w:ind w:leftChars="0"/>
        <w:rPr>
          <w:rFonts w:asciiTheme="minorHAnsi" w:hAnsiTheme="minorHAnsi" w:cstheme="minorHAnsi"/>
          <w:sz w:val="22"/>
          <w:szCs w:val="28"/>
        </w:rPr>
      </w:pPr>
      <w:r w:rsidRPr="009659DF">
        <w:rPr>
          <w:rFonts w:asciiTheme="minorHAnsi" w:hAnsiTheme="minorHAnsi" w:cstheme="minorHAnsi"/>
          <w:sz w:val="22"/>
          <w:szCs w:val="28"/>
        </w:rPr>
        <w:t>Mode 2 resource selection should be enhanced to guarantee sufficient LBT duration before the SL transmission resource(s).</w:t>
      </w:r>
    </w:p>
    <w:p w14:paraId="2A83008F" w14:textId="77777777" w:rsidR="00AB74CA" w:rsidRPr="009659DF" w:rsidRDefault="00AB74CA" w:rsidP="00AB74CA">
      <w:pPr>
        <w:pStyle w:val="ListParagraph"/>
        <w:numPr>
          <w:ilvl w:val="2"/>
          <w:numId w:val="19"/>
        </w:numPr>
        <w:ind w:leftChars="0"/>
        <w:rPr>
          <w:rFonts w:asciiTheme="minorHAnsi" w:hAnsiTheme="minorHAnsi" w:cstheme="minorHAnsi"/>
          <w:sz w:val="22"/>
          <w:szCs w:val="28"/>
        </w:rPr>
      </w:pPr>
      <w:r w:rsidRPr="009659DF">
        <w:rPr>
          <w:rFonts w:asciiTheme="minorHAnsi" w:hAnsiTheme="minorHAnsi" w:cstheme="minorHAnsi"/>
          <w:sz w:val="22"/>
          <w:szCs w:val="28"/>
        </w:rPr>
        <w:t>Transmission resource should be selected as early as possible to approach the end of the LBT procedure.</w:t>
      </w:r>
    </w:p>
    <w:p w14:paraId="0C37AD36" w14:textId="77777777" w:rsidR="002D0112" w:rsidRPr="002D0112" w:rsidRDefault="002D0112" w:rsidP="002D0112">
      <w:pPr>
        <w:pStyle w:val="ListParagraph"/>
        <w:numPr>
          <w:ilvl w:val="1"/>
          <w:numId w:val="19"/>
        </w:numPr>
        <w:ind w:leftChars="0"/>
        <w:rPr>
          <w:rFonts w:asciiTheme="minorHAnsi" w:hAnsiTheme="minorHAnsi" w:cstheme="minorHAnsi"/>
          <w:sz w:val="22"/>
          <w:szCs w:val="28"/>
        </w:rPr>
      </w:pPr>
      <w:r w:rsidRPr="002D0112">
        <w:rPr>
          <w:rFonts w:asciiTheme="minorHAnsi" w:hAnsiTheme="minorHAnsi" w:cstheme="minorHAnsi"/>
          <w:sz w:val="22"/>
          <w:szCs w:val="28"/>
        </w:rPr>
        <w:t>[9/CATT, GH]</w:t>
      </w:r>
    </w:p>
    <w:p w14:paraId="4EFCA631" w14:textId="77777777" w:rsidR="002D0112" w:rsidRPr="002D0112" w:rsidRDefault="002D0112" w:rsidP="002D0112">
      <w:pPr>
        <w:pStyle w:val="ListParagraph"/>
        <w:numPr>
          <w:ilvl w:val="2"/>
          <w:numId w:val="19"/>
        </w:numPr>
        <w:ind w:leftChars="0"/>
        <w:rPr>
          <w:rFonts w:asciiTheme="minorHAnsi" w:hAnsiTheme="minorHAnsi" w:cstheme="minorHAnsi"/>
          <w:sz w:val="22"/>
          <w:szCs w:val="28"/>
        </w:rPr>
      </w:pPr>
      <w:r w:rsidRPr="002D0112">
        <w:rPr>
          <w:rFonts w:asciiTheme="minorHAnsi" w:hAnsiTheme="minorHAnsi" w:cstheme="minorHAnsi"/>
          <w:sz w:val="22"/>
          <w:szCs w:val="28"/>
        </w:rPr>
        <w:t>Considering the complexity and efficiency of SL-U channel access, it is preferred that UE should perform resource selection procedure firstly and then perform channel access procedure.</w:t>
      </w:r>
    </w:p>
    <w:p w14:paraId="4D807AC5" w14:textId="277A28A1" w:rsidR="002D0112" w:rsidRDefault="002D0112" w:rsidP="002D0112">
      <w:pPr>
        <w:pStyle w:val="ListParagraph"/>
        <w:numPr>
          <w:ilvl w:val="2"/>
          <w:numId w:val="19"/>
        </w:numPr>
        <w:ind w:leftChars="0"/>
        <w:rPr>
          <w:rFonts w:asciiTheme="minorHAnsi" w:hAnsiTheme="minorHAnsi" w:cstheme="minorHAnsi"/>
          <w:sz w:val="22"/>
          <w:szCs w:val="28"/>
        </w:rPr>
      </w:pPr>
      <w:r w:rsidRPr="002D0112">
        <w:rPr>
          <w:rFonts w:asciiTheme="minorHAnsi" w:hAnsiTheme="minorHAnsi" w:cstheme="minorHAnsi"/>
          <w:sz w:val="22"/>
          <w:szCs w:val="28"/>
        </w:rPr>
        <w:t>How to alleviate the resources unavailability caused by Type 1 channel access should be further studied, such as selecting more candidate transmission resources than configured TB transmission times.</w:t>
      </w:r>
    </w:p>
    <w:p w14:paraId="14756BDA" w14:textId="2B4ECE63" w:rsidR="002D0112" w:rsidRDefault="002D0112" w:rsidP="002D0112">
      <w:pPr>
        <w:pStyle w:val="ListParagraph"/>
        <w:numPr>
          <w:ilvl w:val="2"/>
          <w:numId w:val="19"/>
        </w:numPr>
        <w:ind w:leftChars="0"/>
        <w:rPr>
          <w:rFonts w:asciiTheme="minorHAnsi" w:hAnsiTheme="minorHAnsi" w:cstheme="minorHAnsi"/>
          <w:sz w:val="22"/>
          <w:szCs w:val="28"/>
        </w:rPr>
      </w:pPr>
      <w:r w:rsidRPr="002D0112">
        <w:rPr>
          <w:rFonts w:asciiTheme="minorHAnsi" w:hAnsiTheme="minorHAnsi" w:cstheme="minorHAnsi"/>
          <w:sz w:val="22"/>
          <w:szCs w:val="28"/>
        </w:rPr>
        <w:t>Selecting resources with the limitation of COT in time domain</w:t>
      </w:r>
      <w:r>
        <w:rPr>
          <w:rFonts w:asciiTheme="minorHAnsi" w:hAnsiTheme="minorHAnsi" w:cstheme="minorHAnsi"/>
          <w:sz w:val="22"/>
          <w:szCs w:val="28"/>
        </w:rPr>
        <w:t xml:space="preserve"> and </w:t>
      </w:r>
      <w:r w:rsidRPr="002D0112">
        <w:rPr>
          <w:rFonts w:asciiTheme="minorHAnsi" w:hAnsiTheme="minorHAnsi" w:cstheme="minorHAnsi"/>
          <w:sz w:val="22"/>
          <w:szCs w:val="28"/>
        </w:rPr>
        <w:t>within one sub-band in frequency domain</w:t>
      </w:r>
      <w:r w:rsidR="008E3184">
        <w:rPr>
          <w:rFonts w:asciiTheme="minorHAnsi" w:hAnsiTheme="minorHAnsi" w:cstheme="minorHAnsi"/>
          <w:sz w:val="22"/>
          <w:szCs w:val="28"/>
        </w:rPr>
        <w:t>.</w:t>
      </w:r>
    </w:p>
    <w:p w14:paraId="07DDD039" w14:textId="3927149E" w:rsidR="008E3184" w:rsidRPr="002D0112" w:rsidRDefault="008E3184" w:rsidP="002D0112">
      <w:pPr>
        <w:pStyle w:val="ListParagraph"/>
        <w:numPr>
          <w:ilvl w:val="2"/>
          <w:numId w:val="19"/>
        </w:numPr>
        <w:ind w:leftChars="0"/>
        <w:rPr>
          <w:rFonts w:asciiTheme="minorHAnsi" w:hAnsiTheme="minorHAnsi" w:cstheme="minorHAnsi"/>
          <w:sz w:val="22"/>
          <w:szCs w:val="28"/>
        </w:rPr>
      </w:pPr>
      <w:r w:rsidRPr="008E3184">
        <w:rPr>
          <w:rFonts w:asciiTheme="minorHAnsi" w:hAnsiTheme="minorHAnsi" w:cstheme="minorHAnsi"/>
          <w:sz w:val="22"/>
          <w:szCs w:val="28"/>
        </w:rPr>
        <w:t>Combined sensing and LBT procedures should be further studied</w:t>
      </w:r>
      <w:r>
        <w:rPr>
          <w:rFonts w:asciiTheme="minorHAnsi" w:hAnsiTheme="minorHAnsi" w:cstheme="minorHAnsi"/>
          <w:sz w:val="22"/>
          <w:szCs w:val="28"/>
        </w:rPr>
        <w:t>.</w:t>
      </w:r>
    </w:p>
    <w:p w14:paraId="0982B8C8" w14:textId="7E881C0F" w:rsidR="00331983" w:rsidRDefault="00331983" w:rsidP="00592848">
      <w:pPr>
        <w:pStyle w:val="ListParagraph"/>
        <w:numPr>
          <w:ilvl w:val="1"/>
          <w:numId w:val="19"/>
        </w:numPr>
        <w:ind w:leftChars="0"/>
        <w:rPr>
          <w:rFonts w:asciiTheme="minorHAnsi" w:hAnsiTheme="minorHAnsi" w:cstheme="minorHAnsi"/>
          <w:sz w:val="22"/>
          <w:szCs w:val="28"/>
        </w:rPr>
      </w:pPr>
      <w:r>
        <w:rPr>
          <w:rFonts w:asciiTheme="minorHAnsi" w:hAnsiTheme="minorHAnsi" w:cstheme="minorHAnsi"/>
          <w:sz w:val="22"/>
          <w:szCs w:val="28"/>
        </w:rPr>
        <w:t xml:space="preserve">[10/Fujitsu]: </w:t>
      </w:r>
      <w:r w:rsidRPr="00331983">
        <w:rPr>
          <w:rFonts w:asciiTheme="minorHAnsi" w:hAnsiTheme="minorHAnsi" w:cstheme="minorHAnsi"/>
          <w:sz w:val="22"/>
          <w:szCs w:val="28"/>
        </w:rPr>
        <w:t>it should be further studied whether resource selection can be triggered when a COT is obtained.</w:t>
      </w:r>
    </w:p>
    <w:p w14:paraId="517DB69E" w14:textId="4A1B0459" w:rsidR="00F23C82" w:rsidRDefault="00AB74CA" w:rsidP="00592848">
      <w:pPr>
        <w:pStyle w:val="ListParagraph"/>
        <w:numPr>
          <w:ilvl w:val="1"/>
          <w:numId w:val="19"/>
        </w:numPr>
        <w:ind w:leftChars="0"/>
        <w:rPr>
          <w:rFonts w:asciiTheme="minorHAnsi" w:hAnsiTheme="minorHAnsi" w:cstheme="minorHAnsi"/>
          <w:sz w:val="22"/>
          <w:szCs w:val="28"/>
        </w:rPr>
      </w:pPr>
      <w:r w:rsidRPr="00592848">
        <w:rPr>
          <w:rFonts w:asciiTheme="minorHAnsi" w:hAnsiTheme="minorHAnsi" w:cstheme="minorHAnsi"/>
          <w:sz w:val="22"/>
          <w:szCs w:val="28"/>
        </w:rPr>
        <w:t xml:space="preserve">[12/JHU]: </w:t>
      </w:r>
    </w:p>
    <w:p w14:paraId="3F95DA98" w14:textId="063F9D2F" w:rsidR="00AB74CA" w:rsidRPr="00592848" w:rsidRDefault="00592848" w:rsidP="00F23C82">
      <w:pPr>
        <w:pStyle w:val="ListParagraph"/>
        <w:numPr>
          <w:ilvl w:val="2"/>
          <w:numId w:val="19"/>
        </w:numPr>
        <w:ind w:leftChars="0"/>
        <w:rPr>
          <w:rFonts w:asciiTheme="minorHAnsi" w:hAnsiTheme="minorHAnsi" w:cstheme="minorHAnsi"/>
          <w:sz w:val="22"/>
          <w:szCs w:val="28"/>
        </w:rPr>
      </w:pPr>
      <w:r w:rsidRPr="00592848">
        <w:rPr>
          <w:rFonts w:asciiTheme="minorHAnsi" w:hAnsiTheme="minorHAnsi" w:cstheme="minorHAnsi"/>
          <w:sz w:val="22"/>
          <w:szCs w:val="28"/>
        </w:rPr>
        <w:t>Support mode 2 in both contiguous and non-contiguous multiple channels, where the starting times of the non-contiguous channels may not be time aligned.</w:t>
      </w:r>
    </w:p>
    <w:p w14:paraId="72EFE0D7" w14:textId="5ED39B1F" w:rsidR="00AB74CA" w:rsidRDefault="00592848" w:rsidP="00F23C82">
      <w:pPr>
        <w:pStyle w:val="ListParagraph"/>
        <w:numPr>
          <w:ilvl w:val="3"/>
          <w:numId w:val="19"/>
        </w:numPr>
        <w:ind w:leftChars="0"/>
        <w:rPr>
          <w:rFonts w:asciiTheme="minorHAnsi" w:hAnsiTheme="minorHAnsi" w:cstheme="minorHAnsi"/>
          <w:sz w:val="22"/>
          <w:szCs w:val="22"/>
        </w:rPr>
      </w:pPr>
      <w:r w:rsidRPr="00592848">
        <w:rPr>
          <w:rFonts w:asciiTheme="minorHAnsi" w:hAnsiTheme="minorHAnsi" w:cstheme="minorHAnsi"/>
          <w:sz w:val="22"/>
          <w:szCs w:val="22"/>
        </w:rPr>
        <w:t>Study supporting mode 2 sidelink operations in multiple channels where Type B procedure could choose non-contiguous multiple channels that are not sufficiently separated apart in frequency such that sensing in one channel may not be possible while transmitting in the other channel.</w:t>
      </w:r>
    </w:p>
    <w:p w14:paraId="4A5E460B" w14:textId="77777777" w:rsidR="00F23C82" w:rsidRDefault="00F23C82" w:rsidP="00F23C82">
      <w:pPr>
        <w:pStyle w:val="ListParagraph"/>
        <w:numPr>
          <w:ilvl w:val="2"/>
          <w:numId w:val="19"/>
        </w:numPr>
        <w:ind w:leftChars="0"/>
        <w:rPr>
          <w:rFonts w:asciiTheme="minorHAnsi" w:hAnsiTheme="minorHAnsi" w:cstheme="minorHAnsi"/>
          <w:sz w:val="22"/>
          <w:szCs w:val="22"/>
        </w:rPr>
      </w:pPr>
      <w:r w:rsidRPr="00F23C82">
        <w:rPr>
          <w:rFonts w:asciiTheme="minorHAnsi" w:hAnsiTheme="minorHAnsi" w:cstheme="minorHAnsi"/>
          <w:sz w:val="22"/>
          <w:szCs w:val="22"/>
        </w:rPr>
        <w:t>Support enhancing sidelink mode 2 resource selection procedure to account for LBT blocks. Study</w:t>
      </w:r>
      <w:r>
        <w:rPr>
          <w:rFonts w:asciiTheme="minorHAnsi" w:hAnsiTheme="minorHAnsi" w:cstheme="minorHAnsi"/>
          <w:sz w:val="22"/>
          <w:szCs w:val="22"/>
        </w:rPr>
        <w:t xml:space="preserve"> </w:t>
      </w:r>
      <w:r w:rsidRPr="00F23C82">
        <w:rPr>
          <w:rFonts w:asciiTheme="minorHAnsi" w:hAnsiTheme="minorHAnsi" w:cstheme="minorHAnsi"/>
          <w:sz w:val="22"/>
          <w:szCs w:val="22"/>
        </w:rPr>
        <w:t>supporting the following in the enhanced version</w:t>
      </w:r>
    </w:p>
    <w:p w14:paraId="2A73CD85" w14:textId="77777777" w:rsidR="00F23C82" w:rsidRPr="00F23C82" w:rsidRDefault="00F23C82" w:rsidP="00F23C82">
      <w:pPr>
        <w:pStyle w:val="ListParagraph"/>
        <w:numPr>
          <w:ilvl w:val="3"/>
          <w:numId w:val="19"/>
        </w:numPr>
        <w:ind w:leftChars="0"/>
        <w:rPr>
          <w:rFonts w:asciiTheme="minorHAnsi" w:hAnsiTheme="minorHAnsi" w:cstheme="minorHAnsi"/>
          <w:sz w:val="24"/>
        </w:rPr>
      </w:pPr>
      <w:r w:rsidRPr="00F23C82">
        <w:rPr>
          <w:rFonts w:asciiTheme="minorHAnsi" w:hAnsiTheme="minorHAnsi" w:cstheme="minorHAnsi"/>
          <w:sz w:val="22"/>
          <w:szCs w:val="22"/>
          <w:lang w:val="en-US"/>
        </w:rPr>
        <w:t>Resources that are already reserved during and after LBT blocks</w:t>
      </w:r>
    </w:p>
    <w:p w14:paraId="551D78E5" w14:textId="77777777" w:rsidR="00F23C82" w:rsidRPr="00F23C82" w:rsidRDefault="00F23C82" w:rsidP="00F23C82">
      <w:pPr>
        <w:pStyle w:val="ListParagraph"/>
        <w:numPr>
          <w:ilvl w:val="3"/>
          <w:numId w:val="19"/>
        </w:numPr>
        <w:ind w:leftChars="0"/>
        <w:rPr>
          <w:rFonts w:asciiTheme="minorHAnsi" w:hAnsiTheme="minorHAnsi" w:cstheme="minorHAnsi"/>
          <w:sz w:val="24"/>
        </w:rPr>
      </w:pPr>
      <w:r w:rsidRPr="00F23C82">
        <w:rPr>
          <w:rFonts w:asciiTheme="minorHAnsi" w:hAnsiTheme="minorHAnsi" w:cstheme="minorHAnsi"/>
          <w:sz w:val="22"/>
          <w:szCs w:val="22"/>
          <w:lang w:val="en-US"/>
        </w:rPr>
        <w:t>Starting UE transmissions after an LBT block</w:t>
      </w:r>
    </w:p>
    <w:p w14:paraId="4F6193A0" w14:textId="0251DD2D" w:rsidR="00F23C82" w:rsidRPr="00F23C82" w:rsidRDefault="00F23C82" w:rsidP="00F23C82">
      <w:pPr>
        <w:pStyle w:val="ListParagraph"/>
        <w:numPr>
          <w:ilvl w:val="3"/>
          <w:numId w:val="19"/>
        </w:numPr>
        <w:ind w:leftChars="0"/>
        <w:rPr>
          <w:rFonts w:asciiTheme="minorHAnsi" w:hAnsiTheme="minorHAnsi" w:cstheme="minorHAnsi"/>
          <w:sz w:val="24"/>
        </w:rPr>
      </w:pPr>
      <w:r w:rsidRPr="00F23C82">
        <w:rPr>
          <w:rFonts w:asciiTheme="minorHAnsi" w:hAnsiTheme="minorHAnsi" w:cstheme="minorHAnsi"/>
          <w:sz w:val="22"/>
          <w:szCs w:val="22"/>
          <w:lang w:val="en-US"/>
        </w:rPr>
        <w:t>Sensing and selection window sizes</w:t>
      </w:r>
    </w:p>
    <w:p w14:paraId="6DFC1D75" w14:textId="0D7EAA8D" w:rsidR="00F23C82" w:rsidRPr="00F23C82" w:rsidRDefault="00F23C82" w:rsidP="00F23C82">
      <w:pPr>
        <w:pStyle w:val="ListParagraph"/>
        <w:numPr>
          <w:ilvl w:val="3"/>
          <w:numId w:val="19"/>
        </w:numPr>
        <w:ind w:leftChars="0"/>
        <w:rPr>
          <w:rFonts w:asciiTheme="minorHAnsi" w:hAnsiTheme="minorHAnsi" w:cstheme="minorHAnsi"/>
          <w:sz w:val="24"/>
        </w:rPr>
      </w:pPr>
      <w:r w:rsidRPr="00F23C82">
        <w:rPr>
          <w:rFonts w:asciiTheme="minorHAnsi" w:hAnsiTheme="minorHAnsi" w:cstheme="minorHAnsi"/>
          <w:sz w:val="22"/>
          <w:szCs w:val="22"/>
          <w:lang w:val="en-US"/>
        </w:rPr>
        <w:t>New TB arrivals during LBT blocks</w:t>
      </w:r>
    </w:p>
    <w:p w14:paraId="31EDED6D" w14:textId="7AFC10E5" w:rsidR="00F23C82" w:rsidRPr="00F23C82" w:rsidRDefault="00F23C82" w:rsidP="00F23C82">
      <w:pPr>
        <w:pStyle w:val="ListParagraph"/>
        <w:numPr>
          <w:ilvl w:val="3"/>
          <w:numId w:val="19"/>
        </w:numPr>
        <w:ind w:leftChars="0"/>
        <w:rPr>
          <w:rFonts w:asciiTheme="minorHAnsi" w:hAnsiTheme="minorHAnsi" w:cstheme="minorHAnsi"/>
          <w:sz w:val="24"/>
        </w:rPr>
      </w:pPr>
      <w:r w:rsidRPr="00F23C82">
        <w:rPr>
          <w:rFonts w:asciiTheme="minorHAnsi" w:hAnsiTheme="minorHAnsi" w:cstheme="minorHAnsi"/>
          <w:sz w:val="22"/>
          <w:szCs w:val="22"/>
          <w:lang w:val="en-US"/>
        </w:rPr>
        <w:t>Absence of sidelink reservations in some time slots.</w:t>
      </w:r>
    </w:p>
    <w:p w14:paraId="0C3B20D4" w14:textId="1E4841C4" w:rsidR="00AB74CA" w:rsidRPr="00B00116" w:rsidRDefault="00AB74CA" w:rsidP="00AB74CA">
      <w:pPr>
        <w:pStyle w:val="ListParagraph"/>
        <w:numPr>
          <w:ilvl w:val="1"/>
          <w:numId w:val="19"/>
        </w:numPr>
        <w:ind w:leftChars="0"/>
        <w:rPr>
          <w:rFonts w:asciiTheme="minorHAnsi" w:hAnsiTheme="minorHAnsi" w:cstheme="minorHAnsi"/>
          <w:sz w:val="22"/>
          <w:szCs w:val="28"/>
        </w:rPr>
      </w:pPr>
      <w:r w:rsidRPr="00B00116">
        <w:rPr>
          <w:rFonts w:asciiTheme="minorHAnsi" w:hAnsiTheme="minorHAnsi" w:cstheme="minorHAnsi"/>
          <w:sz w:val="22"/>
          <w:szCs w:val="28"/>
        </w:rPr>
        <w:lastRenderedPageBreak/>
        <w:t>[</w:t>
      </w:r>
      <w:r w:rsidR="00E80C33">
        <w:rPr>
          <w:rFonts w:asciiTheme="minorHAnsi" w:hAnsiTheme="minorHAnsi" w:cstheme="minorHAnsi"/>
          <w:sz w:val="22"/>
          <w:szCs w:val="28"/>
        </w:rPr>
        <w:t>21</w:t>
      </w:r>
      <w:r w:rsidRPr="00B00116">
        <w:rPr>
          <w:rFonts w:asciiTheme="minorHAnsi" w:hAnsiTheme="minorHAnsi" w:cstheme="minorHAnsi"/>
          <w:sz w:val="22"/>
          <w:szCs w:val="28"/>
        </w:rPr>
        <w:t>/</w:t>
      </w:r>
      <w:r w:rsidRPr="00B00116">
        <w:t xml:space="preserve"> </w:t>
      </w:r>
      <w:r w:rsidRPr="00B00116">
        <w:rPr>
          <w:rFonts w:asciiTheme="minorHAnsi" w:hAnsiTheme="minorHAnsi" w:cstheme="minorHAnsi"/>
          <w:sz w:val="22"/>
          <w:szCs w:val="28"/>
        </w:rPr>
        <w:t>Fraunhofer]: UEs can select more resources for redundancy in the case of LBT failures.</w:t>
      </w:r>
    </w:p>
    <w:p w14:paraId="536715A5" w14:textId="77777777" w:rsidR="00AB74CA" w:rsidRPr="00E80C33" w:rsidRDefault="00AB74CA" w:rsidP="00AB74CA">
      <w:pPr>
        <w:pStyle w:val="ListParagraph"/>
        <w:numPr>
          <w:ilvl w:val="1"/>
          <w:numId w:val="19"/>
        </w:numPr>
        <w:ind w:leftChars="0"/>
        <w:rPr>
          <w:rFonts w:asciiTheme="minorHAnsi" w:hAnsiTheme="minorHAnsi" w:cstheme="minorHAnsi"/>
          <w:sz w:val="22"/>
          <w:szCs w:val="28"/>
        </w:rPr>
      </w:pPr>
      <w:r w:rsidRPr="00E80C33">
        <w:rPr>
          <w:rFonts w:asciiTheme="minorHAnsi" w:hAnsiTheme="minorHAnsi" w:cstheme="minorHAnsi"/>
          <w:sz w:val="22"/>
          <w:szCs w:val="28"/>
        </w:rPr>
        <w:t>[14/NEC] Considering the potential improvement of mode 2 procedure to make it more appropriate for SL-U, the following factors may be considered:</w:t>
      </w:r>
    </w:p>
    <w:p w14:paraId="34B6305C" w14:textId="77777777" w:rsidR="00AB74CA" w:rsidRPr="00E80C33" w:rsidRDefault="00AB74CA" w:rsidP="00AB74CA">
      <w:pPr>
        <w:pStyle w:val="2nd-proposal-YJ"/>
        <w:numPr>
          <w:ilvl w:val="2"/>
          <w:numId w:val="19"/>
        </w:numPr>
        <w:spacing w:beforeLines="0" w:before="0" w:afterLines="0" w:after="0"/>
        <w:ind w:left="2154" w:hanging="357"/>
        <w:rPr>
          <w:rFonts w:asciiTheme="minorHAnsi" w:eastAsia="SimSun" w:hAnsiTheme="minorHAnsi" w:cstheme="minorHAnsi"/>
          <w:b w:val="0"/>
          <w:bCs/>
          <w:i w:val="0"/>
          <w:iCs/>
          <w:sz w:val="22"/>
          <w:szCs w:val="22"/>
        </w:rPr>
      </w:pPr>
      <w:bookmarkStart w:id="147" w:name="_Toc109318162"/>
      <w:bookmarkStart w:id="148" w:name="_Toc109375282"/>
      <w:bookmarkStart w:id="149" w:name="_Toc109375306"/>
      <w:bookmarkStart w:id="150" w:name="_Toc109384424"/>
      <w:bookmarkStart w:id="151" w:name="_Toc109384728"/>
      <w:bookmarkStart w:id="152" w:name="_Toc109384752"/>
      <w:bookmarkStart w:id="153" w:name="_Toc109385622"/>
      <w:bookmarkStart w:id="154" w:name="_Toc109385646"/>
      <w:bookmarkStart w:id="155" w:name="_Toc109388541"/>
      <w:bookmarkStart w:id="156" w:name="_Toc109388565"/>
      <w:bookmarkStart w:id="157" w:name="_Toc109388589"/>
      <w:bookmarkStart w:id="158" w:name="_Toc109388613"/>
      <w:bookmarkStart w:id="159" w:name="_Toc110240819"/>
      <w:bookmarkStart w:id="160" w:name="_Toc110240845"/>
      <w:bookmarkStart w:id="161" w:name="_Toc110242980"/>
      <w:bookmarkStart w:id="162" w:name="_Toc110244604"/>
      <w:bookmarkStart w:id="163" w:name="_Toc110244630"/>
      <w:bookmarkStart w:id="164" w:name="_Toc110254580"/>
      <w:bookmarkStart w:id="165" w:name="_Toc110254605"/>
      <w:bookmarkStart w:id="166" w:name="_Toc110845385"/>
      <w:bookmarkStart w:id="167" w:name="_Toc110845410"/>
      <w:bookmarkStart w:id="168" w:name="_Toc110848250"/>
      <w:bookmarkStart w:id="169" w:name="_Toc110848275"/>
      <w:bookmarkStart w:id="170" w:name="_Toc110848586"/>
      <w:bookmarkStart w:id="171" w:name="_Toc110848611"/>
      <w:bookmarkStart w:id="172" w:name="_Toc110850899"/>
      <w:bookmarkStart w:id="173" w:name="_Toc110850924"/>
      <w:bookmarkStart w:id="174" w:name="_Toc110851717"/>
      <w:bookmarkStart w:id="175" w:name="_Toc111103406"/>
      <w:bookmarkStart w:id="176" w:name="_Toc111104313"/>
      <w:bookmarkStart w:id="177" w:name="_Toc111104338"/>
      <w:r w:rsidRPr="00E80C33">
        <w:rPr>
          <w:rFonts w:asciiTheme="minorHAnsi" w:eastAsia="SimSun" w:hAnsiTheme="minorHAnsi" w:cstheme="minorHAnsi"/>
          <w:b w:val="0"/>
          <w:bCs/>
          <w:i w:val="0"/>
          <w:iCs/>
          <w:sz w:val="22"/>
          <w:szCs w:val="22"/>
        </w:rPr>
        <w:t>uncertainty of the reserved resources indicated in SCI of UEs;</w:t>
      </w:r>
      <w:bookmarkStart w:id="178" w:name="_Toc109296574"/>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p>
    <w:p w14:paraId="4C6A15F5" w14:textId="77777777" w:rsidR="00AB74CA" w:rsidRPr="00E80C33" w:rsidRDefault="00AB74CA" w:rsidP="00AB74CA">
      <w:pPr>
        <w:pStyle w:val="2nd-proposal-YJ"/>
        <w:numPr>
          <w:ilvl w:val="2"/>
          <w:numId w:val="19"/>
        </w:numPr>
        <w:spacing w:beforeLines="0" w:before="0" w:afterLines="0" w:after="0"/>
        <w:ind w:left="2154" w:hanging="357"/>
        <w:rPr>
          <w:rFonts w:asciiTheme="minorHAnsi" w:eastAsia="SimSun" w:hAnsiTheme="minorHAnsi" w:cstheme="minorHAnsi"/>
          <w:b w:val="0"/>
          <w:bCs/>
          <w:i w:val="0"/>
          <w:iCs/>
          <w:sz w:val="22"/>
          <w:szCs w:val="22"/>
        </w:rPr>
      </w:pPr>
      <w:bookmarkStart w:id="179" w:name="_Toc109318163"/>
      <w:bookmarkStart w:id="180" w:name="_Toc109375283"/>
      <w:bookmarkStart w:id="181" w:name="_Toc109375307"/>
      <w:bookmarkStart w:id="182" w:name="_Toc109384425"/>
      <w:bookmarkStart w:id="183" w:name="_Toc109384729"/>
      <w:bookmarkStart w:id="184" w:name="_Toc109384753"/>
      <w:bookmarkStart w:id="185" w:name="_Toc109385623"/>
      <w:bookmarkStart w:id="186" w:name="_Toc109385647"/>
      <w:bookmarkStart w:id="187" w:name="_Toc109388542"/>
      <w:bookmarkStart w:id="188" w:name="_Toc109388566"/>
      <w:bookmarkStart w:id="189" w:name="_Toc109388590"/>
      <w:bookmarkStart w:id="190" w:name="_Toc109388614"/>
      <w:bookmarkStart w:id="191" w:name="_Toc110240820"/>
      <w:bookmarkStart w:id="192" w:name="_Toc110240846"/>
      <w:bookmarkStart w:id="193" w:name="_Toc110242981"/>
      <w:bookmarkStart w:id="194" w:name="_Toc110244605"/>
      <w:bookmarkStart w:id="195" w:name="_Toc110244631"/>
      <w:bookmarkStart w:id="196" w:name="_Toc110254581"/>
      <w:bookmarkStart w:id="197" w:name="_Toc110254606"/>
      <w:bookmarkStart w:id="198" w:name="_Toc110845386"/>
      <w:bookmarkStart w:id="199" w:name="_Toc110845411"/>
      <w:bookmarkStart w:id="200" w:name="_Toc110848251"/>
      <w:bookmarkStart w:id="201" w:name="_Toc110848276"/>
      <w:bookmarkStart w:id="202" w:name="_Toc110848587"/>
      <w:bookmarkStart w:id="203" w:name="_Toc110848612"/>
      <w:bookmarkStart w:id="204" w:name="_Toc110850900"/>
      <w:bookmarkStart w:id="205" w:name="_Toc110850925"/>
      <w:bookmarkStart w:id="206" w:name="_Toc110851718"/>
      <w:bookmarkStart w:id="207" w:name="_Toc111103407"/>
      <w:bookmarkStart w:id="208" w:name="_Toc111104314"/>
      <w:bookmarkStart w:id="209" w:name="_Toc111104339"/>
      <w:r w:rsidRPr="00E80C33">
        <w:rPr>
          <w:rFonts w:asciiTheme="minorHAnsi" w:eastAsia="SimSun" w:hAnsiTheme="minorHAnsi" w:cstheme="minorHAnsi"/>
          <w:b w:val="0"/>
          <w:bCs/>
          <w:i w:val="0"/>
          <w:iCs/>
          <w:sz w:val="22"/>
          <w:szCs w:val="22"/>
        </w:rPr>
        <w:t>RSRP threshold used in excluding resources;</w:t>
      </w:r>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p>
    <w:p w14:paraId="1CD93E5C" w14:textId="26D02249" w:rsidR="00AB74CA" w:rsidRPr="00E80C33" w:rsidRDefault="00AB74CA" w:rsidP="00AB74CA">
      <w:pPr>
        <w:pStyle w:val="2nd-proposal-YJ"/>
        <w:numPr>
          <w:ilvl w:val="2"/>
          <w:numId w:val="19"/>
        </w:numPr>
        <w:spacing w:beforeLines="0" w:before="0" w:afterLines="0" w:after="0"/>
        <w:ind w:left="2154" w:hanging="357"/>
        <w:rPr>
          <w:rFonts w:asciiTheme="minorHAnsi" w:eastAsia="SimSun" w:hAnsiTheme="minorHAnsi" w:cstheme="minorHAnsi"/>
          <w:b w:val="0"/>
          <w:bCs/>
          <w:i w:val="0"/>
          <w:iCs/>
          <w:sz w:val="22"/>
          <w:szCs w:val="22"/>
        </w:rPr>
      </w:pPr>
      <w:bookmarkStart w:id="210" w:name="_Toc110240821"/>
      <w:bookmarkStart w:id="211" w:name="_Toc110240847"/>
      <w:bookmarkStart w:id="212" w:name="_Toc110242982"/>
      <w:bookmarkStart w:id="213" w:name="_Toc110244606"/>
      <w:bookmarkStart w:id="214" w:name="_Toc110244632"/>
      <w:bookmarkStart w:id="215" w:name="_Toc110254582"/>
      <w:bookmarkStart w:id="216" w:name="_Toc110254607"/>
      <w:bookmarkStart w:id="217" w:name="_Toc110845387"/>
      <w:bookmarkStart w:id="218" w:name="_Toc110845412"/>
      <w:bookmarkStart w:id="219" w:name="_Toc110848252"/>
      <w:bookmarkStart w:id="220" w:name="_Toc110848277"/>
      <w:bookmarkStart w:id="221" w:name="_Toc110848588"/>
      <w:bookmarkStart w:id="222" w:name="_Toc110848613"/>
      <w:bookmarkStart w:id="223" w:name="_Toc110850901"/>
      <w:bookmarkStart w:id="224" w:name="_Toc110850926"/>
      <w:bookmarkStart w:id="225" w:name="_Toc110851719"/>
      <w:bookmarkStart w:id="226" w:name="_Toc111103408"/>
      <w:bookmarkStart w:id="227" w:name="_Toc111104315"/>
      <w:bookmarkStart w:id="228" w:name="_Toc111104340"/>
      <w:r w:rsidRPr="00E80C33">
        <w:rPr>
          <w:rFonts w:asciiTheme="minorHAnsi" w:eastAsia="SimSun" w:hAnsiTheme="minorHAnsi" w:cstheme="minorHAnsi"/>
          <w:b w:val="0"/>
          <w:bCs/>
          <w:i w:val="0"/>
          <w:iCs/>
          <w:sz w:val="22"/>
          <w:szCs w:val="22"/>
        </w:rPr>
        <w:t>COT information;</w:t>
      </w:r>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p>
    <w:p w14:paraId="19C00531" w14:textId="21B4C0D3" w:rsidR="0072196A" w:rsidRPr="00E80C33" w:rsidRDefault="0072196A" w:rsidP="00AB74CA">
      <w:pPr>
        <w:pStyle w:val="2nd-proposal-YJ"/>
        <w:numPr>
          <w:ilvl w:val="2"/>
          <w:numId w:val="19"/>
        </w:numPr>
        <w:spacing w:beforeLines="0" w:before="0" w:afterLines="0" w:after="0"/>
        <w:ind w:left="2154" w:hanging="357"/>
        <w:rPr>
          <w:rFonts w:asciiTheme="minorHAnsi" w:eastAsia="SimSun" w:hAnsiTheme="minorHAnsi" w:cstheme="minorHAnsi"/>
          <w:b w:val="0"/>
          <w:bCs/>
          <w:i w:val="0"/>
          <w:iCs/>
          <w:sz w:val="22"/>
          <w:szCs w:val="22"/>
        </w:rPr>
      </w:pPr>
      <w:r w:rsidRPr="00E80C33">
        <w:rPr>
          <w:rFonts w:asciiTheme="minorHAnsi" w:eastAsia="SimSun" w:hAnsiTheme="minorHAnsi" w:cstheme="minorHAnsi"/>
          <w:b w:val="0"/>
          <w:bCs/>
          <w:i w:val="0"/>
          <w:iCs/>
          <w:sz w:val="22"/>
          <w:szCs w:val="22"/>
        </w:rPr>
        <w:t>Multi-consecutive slots transmission (MCSt).</w:t>
      </w:r>
    </w:p>
    <w:p w14:paraId="2E592CD8" w14:textId="4C1E0501" w:rsidR="00750A67" w:rsidRDefault="00750A67" w:rsidP="00290B19">
      <w:pPr>
        <w:pStyle w:val="ListParagraph"/>
        <w:numPr>
          <w:ilvl w:val="1"/>
          <w:numId w:val="19"/>
        </w:numPr>
        <w:ind w:leftChars="0" w:hanging="357"/>
        <w:rPr>
          <w:rFonts w:asciiTheme="minorHAnsi" w:hAnsiTheme="minorHAnsi" w:cstheme="minorHAnsi"/>
          <w:sz w:val="22"/>
          <w:szCs w:val="28"/>
        </w:rPr>
      </w:pPr>
      <w:r>
        <w:rPr>
          <w:rFonts w:asciiTheme="minorHAnsi" w:hAnsiTheme="minorHAnsi" w:cstheme="minorHAnsi"/>
          <w:sz w:val="22"/>
          <w:szCs w:val="28"/>
        </w:rPr>
        <w:t xml:space="preserve">[17/xiaomi]: </w:t>
      </w:r>
      <w:r w:rsidRPr="00750A67">
        <w:rPr>
          <w:rFonts w:asciiTheme="minorHAnsi" w:hAnsiTheme="minorHAnsi" w:cstheme="minorHAnsi"/>
          <w:sz w:val="22"/>
          <w:szCs w:val="28"/>
        </w:rPr>
        <w:t>resource selection shall be enhanced to prioritize the selection of candidate resource in a single RB set.</w:t>
      </w:r>
    </w:p>
    <w:p w14:paraId="7AB10033" w14:textId="1307D3E8" w:rsidR="00290B19" w:rsidRDefault="00AB74CA" w:rsidP="00290B19">
      <w:pPr>
        <w:pStyle w:val="ListParagraph"/>
        <w:numPr>
          <w:ilvl w:val="1"/>
          <w:numId w:val="19"/>
        </w:numPr>
        <w:ind w:leftChars="0" w:hanging="357"/>
        <w:rPr>
          <w:rFonts w:asciiTheme="minorHAnsi" w:hAnsiTheme="minorHAnsi" w:cstheme="minorHAnsi"/>
          <w:sz w:val="22"/>
          <w:szCs w:val="28"/>
        </w:rPr>
      </w:pPr>
      <w:r w:rsidRPr="00987A63">
        <w:rPr>
          <w:rFonts w:asciiTheme="minorHAnsi" w:hAnsiTheme="minorHAnsi" w:cstheme="minorHAnsi"/>
          <w:sz w:val="22"/>
          <w:szCs w:val="28"/>
        </w:rPr>
        <w:t>[19/CMCC]:</w:t>
      </w:r>
    </w:p>
    <w:p w14:paraId="1E9AA216" w14:textId="73619E22" w:rsidR="00AB74CA" w:rsidRDefault="00AB74CA" w:rsidP="00290B19">
      <w:pPr>
        <w:pStyle w:val="ListParagraph"/>
        <w:numPr>
          <w:ilvl w:val="2"/>
          <w:numId w:val="19"/>
        </w:numPr>
        <w:ind w:leftChars="0" w:hanging="357"/>
        <w:rPr>
          <w:rFonts w:asciiTheme="minorHAnsi" w:hAnsiTheme="minorHAnsi" w:cstheme="minorHAnsi"/>
          <w:sz w:val="22"/>
          <w:szCs w:val="28"/>
        </w:rPr>
      </w:pPr>
      <w:r w:rsidRPr="00987A63">
        <w:rPr>
          <w:rFonts w:asciiTheme="minorHAnsi" w:hAnsiTheme="minorHAnsi" w:cstheme="minorHAnsi"/>
          <w:sz w:val="22"/>
          <w:szCs w:val="28"/>
        </w:rPr>
        <w:t>For contiguous RB-based transmissions, mode 2 resource exclusion procedure should be enhanced with the consideration of multiple channel access and intra-cell guard band.</w:t>
      </w:r>
    </w:p>
    <w:p w14:paraId="02FC7711" w14:textId="187E693D" w:rsidR="00290B19" w:rsidRDefault="00290B19" w:rsidP="00290B19">
      <w:pPr>
        <w:pStyle w:val="ListParagraph"/>
        <w:numPr>
          <w:ilvl w:val="2"/>
          <w:numId w:val="19"/>
        </w:numPr>
        <w:ind w:leftChars="0" w:hanging="357"/>
        <w:rPr>
          <w:rFonts w:asciiTheme="minorHAnsi" w:hAnsiTheme="minorHAnsi" w:cstheme="minorHAnsi"/>
          <w:sz w:val="22"/>
          <w:szCs w:val="28"/>
        </w:rPr>
      </w:pPr>
      <w:r w:rsidRPr="00290B19">
        <w:rPr>
          <w:rFonts w:asciiTheme="minorHAnsi" w:hAnsiTheme="minorHAnsi" w:cstheme="minorHAnsi"/>
          <w:sz w:val="22"/>
          <w:szCs w:val="28"/>
        </w:rPr>
        <w:t>RAN1 should further study whether unified/separate resource selection mechanism should be deployed for in-COT and out-of-COT case.</w:t>
      </w:r>
    </w:p>
    <w:p w14:paraId="0A94D87D" w14:textId="77777777" w:rsidR="00290B19" w:rsidRPr="00290B19" w:rsidRDefault="00290B19" w:rsidP="00290B19">
      <w:pPr>
        <w:pStyle w:val="ListParagraph"/>
        <w:numPr>
          <w:ilvl w:val="3"/>
          <w:numId w:val="19"/>
        </w:numPr>
        <w:ind w:leftChars="0" w:hanging="357"/>
        <w:rPr>
          <w:rFonts w:asciiTheme="minorHAnsi" w:hAnsiTheme="minorHAnsi" w:cstheme="minorHAnsi"/>
          <w:sz w:val="22"/>
          <w:szCs w:val="22"/>
          <w:lang w:eastAsia="zh-CN"/>
        </w:rPr>
      </w:pPr>
      <w:r w:rsidRPr="00290B19">
        <w:rPr>
          <w:rFonts w:asciiTheme="minorHAnsi" w:hAnsiTheme="minorHAnsi" w:cstheme="minorHAnsi"/>
          <w:sz w:val="22"/>
          <w:szCs w:val="22"/>
          <w:lang w:eastAsia="zh-CN"/>
        </w:rPr>
        <w:t>Option 1: In-COT and out-of-COT case use a unified resource selection mechanism, such as the legacy mode 2 resource selection procedure defined in Rel-16;</w:t>
      </w:r>
    </w:p>
    <w:p w14:paraId="44980E3E" w14:textId="3113161E" w:rsidR="00290B19" w:rsidRPr="00290B19" w:rsidRDefault="00290B19" w:rsidP="00290B19">
      <w:pPr>
        <w:pStyle w:val="ListParagraph"/>
        <w:numPr>
          <w:ilvl w:val="3"/>
          <w:numId w:val="19"/>
        </w:numPr>
        <w:ind w:leftChars="0" w:hanging="357"/>
        <w:rPr>
          <w:rFonts w:asciiTheme="minorHAnsi" w:hAnsiTheme="minorHAnsi" w:cstheme="minorHAnsi"/>
          <w:sz w:val="22"/>
          <w:szCs w:val="22"/>
          <w:lang w:eastAsia="zh-CN"/>
        </w:rPr>
      </w:pPr>
      <w:r w:rsidRPr="00290B19">
        <w:rPr>
          <w:rFonts w:asciiTheme="minorHAnsi" w:hAnsiTheme="minorHAnsi" w:cstheme="minorHAnsi"/>
          <w:sz w:val="22"/>
          <w:szCs w:val="22"/>
          <w:lang w:eastAsia="zh-CN"/>
        </w:rPr>
        <w:t xml:space="preserve">Option 2: Separate mechanism should be designed for in-COT case, e.g., </w:t>
      </w:r>
      <w:bookmarkStart w:id="229" w:name="OLE_LINK167"/>
      <w:bookmarkStart w:id="230" w:name="OLE_LINK168"/>
      <w:r w:rsidRPr="00290B19">
        <w:rPr>
          <w:rFonts w:asciiTheme="minorHAnsi" w:hAnsiTheme="minorHAnsi" w:cstheme="minorHAnsi"/>
          <w:sz w:val="22"/>
          <w:szCs w:val="22"/>
          <w:lang w:eastAsia="zh-CN"/>
        </w:rPr>
        <w:t>a COT initiator UE can allocate the resources</w:t>
      </w:r>
      <w:bookmarkEnd w:id="229"/>
      <w:bookmarkEnd w:id="230"/>
      <w:r w:rsidRPr="00290B19">
        <w:rPr>
          <w:rFonts w:asciiTheme="minorHAnsi" w:hAnsiTheme="minorHAnsi" w:cstheme="minorHAnsi"/>
          <w:sz w:val="22"/>
          <w:szCs w:val="22"/>
          <w:lang w:eastAsia="zh-CN"/>
        </w:rPr>
        <w:t xml:space="preserve"> in the remaining slots of a COT to the COT sharing target UE.</w:t>
      </w:r>
    </w:p>
    <w:p w14:paraId="46F0A0FF" w14:textId="24003210" w:rsidR="002C025B" w:rsidRPr="00551308" w:rsidRDefault="002C025B">
      <w:pPr>
        <w:pStyle w:val="ListParagraph"/>
        <w:numPr>
          <w:ilvl w:val="1"/>
          <w:numId w:val="19"/>
        </w:numPr>
        <w:ind w:leftChars="0"/>
        <w:rPr>
          <w:rFonts w:asciiTheme="minorHAnsi" w:hAnsiTheme="minorHAnsi" w:cstheme="minorHAnsi"/>
          <w:sz w:val="22"/>
          <w:szCs w:val="28"/>
        </w:rPr>
      </w:pPr>
      <w:r w:rsidRPr="00551308">
        <w:rPr>
          <w:rFonts w:asciiTheme="minorHAnsi" w:hAnsiTheme="minorHAnsi" w:cstheme="minorHAnsi"/>
          <w:sz w:val="22"/>
          <w:szCs w:val="28"/>
        </w:rPr>
        <w:t>[</w:t>
      </w:r>
      <w:r w:rsidR="00657FA4" w:rsidRPr="00551308">
        <w:rPr>
          <w:rFonts w:asciiTheme="minorHAnsi" w:hAnsiTheme="minorHAnsi" w:cstheme="minorHAnsi"/>
          <w:sz w:val="22"/>
          <w:szCs w:val="28"/>
        </w:rPr>
        <w:t>22/LGE</w:t>
      </w:r>
      <w:r w:rsidRPr="00551308">
        <w:rPr>
          <w:rFonts w:asciiTheme="minorHAnsi" w:hAnsiTheme="minorHAnsi" w:cstheme="minorHAnsi"/>
          <w:sz w:val="22"/>
          <w:szCs w:val="28"/>
        </w:rPr>
        <w:t xml:space="preserve">] (start Type 1 LBT and trigger resource selection at the same time after TB arrival): </w:t>
      </w:r>
    </w:p>
    <w:p w14:paraId="185D369F" w14:textId="77777777" w:rsidR="002C025B" w:rsidRPr="00551308" w:rsidRDefault="002C025B">
      <w:pPr>
        <w:pStyle w:val="ListParagraph"/>
        <w:numPr>
          <w:ilvl w:val="2"/>
          <w:numId w:val="19"/>
        </w:numPr>
        <w:ind w:leftChars="0"/>
        <w:rPr>
          <w:rFonts w:asciiTheme="minorHAnsi" w:hAnsiTheme="minorHAnsi" w:cstheme="minorHAnsi"/>
          <w:sz w:val="22"/>
          <w:szCs w:val="28"/>
        </w:rPr>
      </w:pPr>
      <w:r w:rsidRPr="00551308">
        <w:rPr>
          <w:rFonts w:asciiTheme="minorHAnsi" w:hAnsiTheme="minorHAnsi" w:cstheme="minorHAnsi"/>
          <w:sz w:val="22"/>
          <w:szCs w:val="28"/>
        </w:rPr>
        <w:t>UE knows the CAPC or the necessity of channel access after the UE triggers SL resource (re)selection procedure. And the UE attempts to access the channel according to Type 1 SL channel access procedure after the resource (re)selection procedure is triggered at the UE side.</w:t>
      </w:r>
    </w:p>
    <w:p w14:paraId="4B053F63" w14:textId="77777777" w:rsidR="002C025B" w:rsidRPr="00551308" w:rsidRDefault="002C025B">
      <w:pPr>
        <w:pStyle w:val="ListParagraph"/>
        <w:numPr>
          <w:ilvl w:val="2"/>
          <w:numId w:val="19"/>
        </w:numPr>
        <w:ind w:leftChars="0"/>
        <w:rPr>
          <w:rFonts w:asciiTheme="minorHAnsi" w:hAnsiTheme="minorHAnsi" w:cstheme="minorHAnsi"/>
          <w:sz w:val="22"/>
          <w:szCs w:val="28"/>
        </w:rPr>
      </w:pPr>
      <w:r w:rsidRPr="00551308">
        <w:rPr>
          <w:rFonts w:asciiTheme="minorHAnsi" w:hAnsiTheme="minorHAnsi" w:cstheme="minorHAnsi"/>
          <w:sz w:val="22"/>
          <w:szCs w:val="28"/>
        </w:rPr>
        <w:t xml:space="preserve">Considering that the channel sensing duration can be larger than </w:t>
      </w:r>
      <w:r w:rsidRPr="00551308">
        <w:rPr>
          <w:rFonts w:asciiTheme="minorHAnsi" w:hAnsiTheme="minorHAnsi" w:cstheme="minorHAnsi"/>
          <w:i/>
          <w:iCs/>
          <w:sz w:val="22"/>
          <w:szCs w:val="28"/>
        </w:rPr>
        <w:t>T</w:t>
      </w:r>
      <w:r w:rsidRPr="00551308">
        <w:rPr>
          <w:rFonts w:asciiTheme="minorHAnsi" w:hAnsiTheme="minorHAnsi" w:cstheme="minorHAnsi"/>
          <w:i/>
          <w:iCs/>
          <w:sz w:val="22"/>
          <w:szCs w:val="28"/>
          <w:vertAlign w:val="subscript"/>
        </w:rPr>
        <w:t>proc,1</w:t>
      </w:r>
      <w:r w:rsidRPr="00551308">
        <w:rPr>
          <w:rFonts w:asciiTheme="minorHAnsi" w:hAnsiTheme="minorHAnsi" w:cstheme="minorHAnsi"/>
          <w:sz w:val="22"/>
          <w:szCs w:val="28"/>
        </w:rPr>
        <w:t>, if the first available time location of SL resource is close to the start of the resource selection window, the UE may not have enough time to complete the Type 1 LBT. In this case, down-select one or more of the followings:</w:t>
      </w:r>
    </w:p>
    <w:p w14:paraId="235D99B3" w14:textId="77777777" w:rsidR="002C025B" w:rsidRPr="00551308" w:rsidRDefault="002C025B">
      <w:pPr>
        <w:pStyle w:val="ListParagraph"/>
        <w:numPr>
          <w:ilvl w:val="3"/>
          <w:numId w:val="19"/>
        </w:numPr>
        <w:ind w:leftChars="0"/>
        <w:rPr>
          <w:rFonts w:asciiTheme="minorHAnsi" w:hAnsiTheme="minorHAnsi" w:cstheme="minorHAnsi"/>
          <w:sz w:val="22"/>
          <w:szCs w:val="28"/>
        </w:rPr>
      </w:pPr>
      <w:r w:rsidRPr="00551308">
        <w:rPr>
          <w:rFonts w:asciiTheme="minorHAnsi" w:hAnsiTheme="minorHAnsi" w:cstheme="minorHAnsi"/>
          <w:sz w:val="22"/>
          <w:szCs w:val="28"/>
        </w:rPr>
        <w:t>Option 1: Drop the SL transmission and attempt to access the channel for the next transmission on the reserved resources.</w:t>
      </w:r>
    </w:p>
    <w:p w14:paraId="58DE2E9C" w14:textId="77777777" w:rsidR="002C025B" w:rsidRPr="00551308" w:rsidRDefault="002C025B">
      <w:pPr>
        <w:pStyle w:val="ListParagraph"/>
        <w:numPr>
          <w:ilvl w:val="3"/>
          <w:numId w:val="19"/>
        </w:numPr>
        <w:ind w:leftChars="0"/>
        <w:rPr>
          <w:rFonts w:asciiTheme="minorHAnsi" w:hAnsiTheme="minorHAnsi" w:cstheme="minorHAnsi"/>
          <w:sz w:val="22"/>
          <w:szCs w:val="28"/>
        </w:rPr>
      </w:pPr>
      <w:r w:rsidRPr="00551308">
        <w:rPr>
          <w:rFonts w:asciiTheme="minorHAnsi" w:hAnsiTheme="minorHAnsi" w:cstheme="minorHAnsi"/>
          <w:sz w:val="22"/>
          <w:szCs w:val="28"/>
        </w:rPr>
        <w:t>Option 2: Reselect the resources for the SL transmission</w:t>
      </w:r>
    </w:p>
    <w:p w14:paraId="5EAEF48E" w14:textId="77777777" w:rsidR="002C025B" w:rsidRPr="00551308" w:rsidRDefault="002C025B">
      <w:pPr>
        <w:pStyle w:val="ListParagraph"/>
        <w:numPr>
          <w:ilvl w:val="3"/>
          <w:numId w:val="19"/>
        </w:numPr>
        <w:ind w:leftChars="0"/>
        <w:rPr>
          <w:rFonts w:asciiTheme="minorHAnsi" w:hAnsiTheme="minorHAnsi" w:cstheme="minorHAnsi"/>
          <w:sz w:val="22"/>
          <w:szCs w:val="28"/>
        </w:rPr>
      </w:pPr>
      <w:r w:rsidRPr="00551308">
        <w:rPr>
          <w:rFonts w:asciiTheme="minorHAnsi" w:hAnsiTheme="minorHAnsi" w:cstheme="minorHAnsi"/>
          <w:sz w:val="22"/>
          <w:szCs w:val="28"/>
        </w:rPr>
        <w:t>Option 3: First available time location of SL resource is determined to ensure the channel sensing duration</w:t>
      </w:r>
    </w:p>
    <w:p w14:paraId="2BCF0608" w14:textId="577C2191" w:rsidR="00551308" w:rsidRPr="00551308" w:rsidRDefault="00551308">
      <w:pPr>
        <w:pStyle w:val="ListParagraph"/>
        <w:numPr>
          <w:ilvl w:val="2"/>
          <w:numId w:val="19"/>
        </w:numPr>
        <w:ind w:leftChars="0"/>
        <w:rPr>
          <w:rFonts w:asciiTheme="minorHAnsi" w:hAnsiTheme="minorHAnsi" w:cstheme="minorHAnsi"/>
          <w:sz w:val="22"/>
          <w:szCs w:val="28"/>
        </w:rPr>
      </w:pPr>
      <w:r w:rsidRPr="00551308">
        <w:rPr>
          <w:rFonts w:asciiTheme="minorHAnsi" w:hAnsiTheme="minorHAnsi" w:cstheme="minorHAnsi"/>
          <w:sz w:val="22"/>
          <w:szCs w:val="28"/>
        </w:rPr>
        <w:t>For Mode 2 SL resource (re)selection procedure, UE selects transmission resources so that the time gap between any two transmission resources covers channel sensing duration.</w:t>
      </w:r>
    </w:p>
    <w:p w14:paraId="0EEA8934" w14:textId="3F7267DD" w:rsidR="00436F7A" w:rsidRDefault="00436F7A">
      <w:pPr>
        <w:pStyle w:val="ListParagraph"/>
        <w:numPr>
          <w:ilvl w:val="2"/>
          <w:numId w:val="19"/>
        </w:numPr>
        <w:ind w:leftChars="0"/>
        <w:rPr>
          <w:rFonts w:asciiTheme="minorHAnsi" w:hAnsiTheme="minorHAnsi" w:cstheme="minorHAnsi"/>
          <w:sz w:val="22"/>
          <w:szCs w:val="28"/>
        </w:rPr>
      </w:pPr>
      <w:r w:rsidRPr="00436F7A">
        <w:rPr>
          <w:rFonts w:asciiTheme="minorHAnsi" w:hAnsiTheme="minorHAnsi" w:cstheme="minorHAnsi"/>
          <w:sz w:val="22"/>
          <w:szCs w:val="28"/>
        </w:rPr>
        <w:t>For Mode 2 SL resource (re)selection procedure, UE selects transmission resources so that the time gap between any two transmission resources covers channel sensing duration.</w:t>
      </w:r>
    </w:p>
    <w:p w14:paraId="4FBBAC71" w14:textId="4C8E6CA3" w:rsidR="002C025B" w:rsidRPr="00436F7A" w:rsidRDefault="002C025B">
      <w:pPr>
        <w:pStyle w:val="ListParagraph"/>
        <w:numPr>
          <w:ilvl w:val="2"/>
          <w:numId w:val="19"/>
        </w:numPr>
        <w:ind w:leftChars="0"/>
        <w:rPr>
          <w:rFonts w:asciiTheme="minorHAnsi" w:hAnsiTheme="minorHAnsi" w:cstheme="minorHAnsi"/>
          <w:sz w:val="22"/>
          <w:szCs w:val="28"/>
        </w:rPr>
      </w:pPr>
      <w:r w:rsidRPr="00436F7A">
        <w:rPr>
          <w:rFonts w:asciiTheme="minorHAnsi" w:hAnsiTheme="minorHAnsi" w:cstheme="minorHAnsi"/>
          <w:sz w:val="22"/>
          <w:szCs w:val="28"/>
        </w:rPr>
        <w:t>For the case when a resource pool consists of more than one RB sets,</w:t>
      </w:r>
    </w:p>
    <w:p w14:paraId="6DD35945" w14:textId="77777777" w:rsidR="002C025B" w:rsidRPr="00436F7A" w:rsidRDefault="002C025B">
      <w:pPr>
        <w:pStyle w:val="ListParagraph"/>
        <w:numPr>
          <w:ilvl w:val="3"/>
          <w:numId w:val="19"/>
        </w:numPr>
        <w:ind w:leftChars="0"/>
        <w:rPr>
          <w:rFonts w:asciiTheme="minorHAnsi" w:hAnsiTheme="minorHAnsi" w:cstheme="minorHAnsi"/>
          <w:sz w:val="22"/>
          <w:szCs w:val="28"/>
        </w:rPr>
      </w:pPr>
      <w:r w:rsidRPr="00436F7A">
        <w:rPr>
          <w:rFonts w:asciiTheme="minorHAnsi" w:hAnsiTheme="minorHAnsi" w:cstheme="minorHAnsi"/>
          <w:sz w:val="22"/>
          <w:szCs w:val="28"/>
        </w:rPr>
        <w:t>for a given number of sub-channels, smaller number of RB set(s) are prioritized for PSSCH transmission resources.</w:t>
      </w:r>
    </w:p>
    <w:p w14:paraId="60148D52" w14:textId="77777777" w:rsidR="002C025B" w:rsidRPr="00436F7A" w:rsidRDefault="002C025B">
      <w:pPr>
        <w:pStyle w:val="ListParagraph"/>
        <w:numPr>
          <w:ilvl w:val="3"/>
          <w:numId w:val="19"/>
        </w:numPr>
        <w:ind w:leftChars="0"/>
        <w:rPr>
          <w:rFonts w:asciiTheme="minorHAnsi" w:hAnsiTheme="minorHAnsi" w:cstheme="minorHAnsi"/>
          <w:sz w:val="22"/>
          <w:szCs w:val="28"/>
        </w:rPr>
      </w:pPr>
      <w:r w:rsidRPr="00436F7A">
        <w:rPr>
          <w:rFonts w:asciiTheme="minorHAnsi" w:hAnsiTheme="minorHAnsi" w:cstheme="minorHAnsi"/>
          <w:sz w:val="22"/>
          <w:szCs w:val="28"/>
        </w:rPr>
        <w:t>before selecting transmission resources, UE first selects RB set(s) for PSSCH transmission.</w:t>
      </w:r>
    </w:p>
    <w:p w14:paraId="08D82A92" w14:textId="66F4D045" w:rsidR="007263A8" w:rsidRPr="007263A8" w:rsidRDefault="007263A8" w:rsidP="00AB74CA">
      <w:pPr>
        <w:pStyle w:val="ListParagraph"/>
        <w:numPr>
          <w:ilvl w:val="1"/>
          <w:numId w:val="19"/>
        </w:numPr>
        <w:ind w:leftChars="0"/>
        <w:rPr>
          <w:rFonts w:asciiTheme="minorHAnsi" w:hAnsiTheme="minorHAnsi" w:cstheme="minorHAnsi"/>
          <w:sz w:val="22"/>
          <w:szCs w:val="28"/>
        </w:rPr>
      </w:pPr>
      <w:r w:rsidRPr="007263A8">
        <w:rPr>
          <w:rFonts w:asciiTheme="minorHAnsi" w:hAnsiTheme="minorHAnsi" w:cstheme="minorHAnsi"/>
          <w:sz w:val="22"/>
          <w:szCs w:val="28"/>
        </w:rPr>
        <w:t>[23/MediaTek]:</w:t>
      </w:r>
    </w:p>
    <w:p w14:paraId="58E6DB6E" w14:textId="1EEF78C9" w:rsidR="007263A8" w:rsidRPr="007263A8" w:rsidRDefault="007263A8" w:rsidP="007263A8">
      <w:pPr>
        <w:pStyle w:val="ListParagraph"/>
        <w:numPr>
          <w:ilvl w:val="2"/>
          <w:numId w:val="19"/>
        </w:numPr>
        <w:ind w:leftChars="0"/>
        <w:rPr>
          <w:rFonts w:asciiTheme="minorHAnsi" w:hAnsiTheme="minorHAnsi" w:cstheme="minorHAnsi"/>
          <w:sz w:val="22"/>
          <w:szCs w:val="28"/>
        </w:rPr>
      </w:pPr>
      <w:r w:rsidRPr="007263A8">
        <w:rPr>
          <w:rFonts w:asciiTheme="minorHAnsi" w:hAnsiTheme="minorHAnsi" w:cstheme="minorHAnsi"/>
          <w:sz w:val="22"/>
          <w:szCs w:val="28"/>
        </w:rPr>
        <w:t>Study enhanced mechanisms (e.g., overbooking/protection gap for LBT) in Mode 2 RA to combat the impact of channel access failure.</w:t>
      </w:r>
    </w:p>
    <w:p w14:paraId="63F976A2" w14:textId="53676BCE" w:rsidR="007263A8" w:rsidRPr="007263A8" w:rsidRDefault="007263A8" w:rsidP="007263A8">
      <w:pPr>
        <w:pStyle w:val="ListParagraph"/>
        <w:numPr>
          <w:ilvl w:val="2"/>
          <w:numId w:val="19"/>
        </w:numPr>
        <w:ind w:leftChars="0"/>
        <w:rPr>
          <w:rFonts w:asciiTheme="minorHAnsi" w:hAnsiTheme="minorHAnsi" w:cstheme="minorHAnsi"/>
          <w:sz w:val="22"/>
          <w:szCs w:val="28"/>
        </w:rPr>
      </w:pPr>
      <w:r w:rsidRPr="007263A8">
        <w:rPr>
          <w:rFonts w:asciiTheme="minorHAnsi" w:hAnsiTheme="minorHAnsi" w:cstheme="minorHAnsi"/>
          <w:sz w:val="22"/>
          <w:szCs w:val="28"/>
        </w:rPr>
        <w:t>Study (partial) PSSCH transmission (e.g., for AGC/combining purpose) between the end of LBT procedure and the start of SL transmission to retain the channel.</w:t>
      </w:r>
    </w:p>
    <w:p w14:paraId="3B2E9D92" w14:textId="59BEEEC8" w:rsidR="00F6606C" w:rsidRPr="00BB31F5" w:rsidRDefault="001122F9">
      <w:pPr>
        <w:pStyle w:val="ListParagraph"/>
        <w:numPr>
          <w:ilvl w:val="1"/>
          <w:numId w:val="19"/>
        </w:numPr>
        <w:ind w:leftChars="0"/>
        <w:rPr>
          <w:rFonts w:asciiTheme="minorHAnsi" w:hAnsiTheme="minorHAnsi" w:cstheme="minorHAnsi"/>
          <w:sz w:val="22"/>
          <w:szCs w:val="28"/>
        </w:rPr>
      </w:pPr>
      <w:r w:rsidRPr="00BB31F5">
        <w:rPr>
          <w:rFonts w:asciiTheme="minorHAnsi" w:hAnsiTheme="minorHAnsi" w:cstheme="minorHAnsi"/>
          <w:sz w:val="22"/>
          <w:szCs w:val="28"/>
        </w:rPr>
        <w:t>[</w:t>
      </w:r>
      <w:r w:rsidR="007B2CAB" w:rsidRPr="00BB31F5">
        <w:rPr>
          <w:rFonts w:asciiTheme="minorHAnsi" w:hAnsiTheme="minorHAnsi" w:cstheme="minorHAnsi"/>
          <w:sz w:val="22"/>
          <w:szCs w:val="28"/>
        </w:rPr>
        <w:t>28/Samsung</w:t>
      </w:r>
      <w:r w:rsidRPr="00BB31F5">
        <w:rPr>
          <w:rFonts w:asciiTheme="minorHAnsi" w:hAnsiTheme="minorHAnsi" w:cstheme="minorHAnsi"/>
          <w:sz w:val="22"/>
          <w:szCs w:val="28"/>
        </w:rPr>
        <w:t xml:space="preserve">]: </w:t>
      </w:r>
    </w:p>
    <w:p w14:paraId="20FBF6A8" w14:textId="7B64661A" w:rsidR="00F6606C" w:rsidRPr="00BB31F5" w:rsidRDefault="00F6606C">
      <w:pPr>
        <w:pStyle w:val="ListParagraph"/>
        <w:numPr>
          <w:ilvl w:val="2"/>
          <w:numId w:val="19"/>
        </w:numPr>
        <w:ind w:leftChars="0"/>
        <w:rPr>
          <w:rFonts w:asciiTheme="minorHAnsi" w:hAnsiTheme="minorHAnsi" w:cstheme="minorHAnsi"/>
          <w:sz w:val="22"/>
          <w:szCs w:val="28"/>
        </w:rPr>
      </w:pPr>
      <w:r w:rsidRPr="00BB31F5">
        <w:rPr>
          <w:rFonts w:asciiTheme="minorHAnsi" w:hAnsiTheme="minorHAnsi" w:cstheme="minorHAnsi"/>
          <w:sz w:val="22"/>
          <w:szCs w:val="28"/>
        </w:rPr>
        <w:lastRenderedPageBreak/>
        <w:t>Support resource allocation based on performing channel access procedure first, and then determining actual transmission resources by performing mode-2 resource determination procedure.</w:t>
      </w:r>
    </w:p>
    <w:p w14:paraId="4A8CB121" w14:textId="3FA2F419" w:rsidR="00DC21E4" w:rsidRPr="00BB31F5" w:rsidRDefault="00BB31F5" w:rsidP="00BB31F5">
      <w:pPr>
        <w:pStyle w:val="ListParagraph"/>
        <w:numPr>
          <w:ilvl w:val="2"/>
          <w:numId w:val="19"/>
        </w:numPr>
        <w:ind w:leftChars="0" w:hanging="357"/>
        <w:rPr>
          <w:rFonts w:asciiTheme="minorHAnsi" w:hAnsiTheme="minorHAnsi" w:cstheme="minorHAnsi"/>
          <w:sz w:val="22"/>
          <w:szCs w:val="28"/>
        </w:rPr>
      </w:pPr>
      <w:r w:rsidRPr="00BB31F5">
        <w:rPr>
          <w:rFonts w:asciiTheme="minorHAnsi" w:hAnsiTheme="minorHAnsi" w:cstheme="minorHAnsi"/>
          <w:sz w:val="22"/>
          <w:szCs w:val="28"/>
        </w:rPr>
        <w:t>Study the applicability of further enhancements on channel access schemes for unlicensed spectrum, including:</w:t>
      </w:r>
    </w:p>
    <w:p w14:paraId="2670C34F" w14:textId="77777777" w:rsidR="00BB31F5" w:rsidRPr="00BB31F5" w:rsidRDefault="00BB31F5" w:rsidP="00BB31F5">
      <w:pPr>
        <w:pStyle w:val="Style1"/>
        <w:numPr>
          <w:ilvl w:val="3"/>
          <w:numId w:val="19"/>
        </w:numPr>
        <w:spacing w:after="0" w:afterAutospacing="0" w:line="240" w:lineRule="auto"/>
        <w:ind w:hanging="357"/>
        <w:rPr>
          <w:rFonts w:asciiTheme="minorHAnsi" w:hAnsiTheme="minorHAnsi" w:cstheme="minorHAnsi"/>
          <w:bCs/>
          <w:sz w:val="22"/>
          <w:szCs w:val="22"/>
        </w:rPr>
      </w:pPr>
      <w:r w:rsidRPr="00BB31F5">
        <w:rPr>
          <w:rFonts w:asciiTheme="minorHAnsi" w:hAnsiTheme="minorHAnsi" w:cstheme="minorHAnsi"/>
          <w:bCs/>
          <w:sz w:val="22"/>
          <w:szCs w:val="22"/>
        </w:rPr>
        <w:t>Multiple sidelink transmission occasions, e.g. selection of multiple candidate PSSCH occasions for potential LBT procedure, and resource reservation of multiple candidate PSSCH occasions in SCI</w:t>
      </w:r>
    </w:p>
    <w:p w14:paraId="4F0163B9" w14:textId="77777777" w:rsidR="00BB31F5" w:rsidRPr="00BB31F5" w:rsidRDefault="00BB31F5" w:rsidP="00BB31F5">
      <w:pPr>
        <w:pStyle w:val="Style1"/>
        <w:numPr>
          <w:ilvl w:val="4"/>
          <w:numId w:val="19"/>
        </w:numPr>
        <w:spacing w:after="0" w:afterAutospacing="0" w:line="240" w:lineRule="auto"/>
        <w:ind w:hanging="357"/>
        <w:rPr>
          <w:rFonts w:asciiTheme="minorHAnsi" w:hAnsiTheme="minorHAnsi" w:cstheme="minorHAnsi"/>
          <w:bCs/>
          <w:sz w:val="22"/>
          <w:szCs w:val="22"/>
        </w:rPr>
      </w:pPr>
      <w:r w:rsidRPr="00BB31F5">
        <w:rPr>
          <w:rFonts w:asciiTheme="minorHAnsi" w:hAnsiTheme="minorHAnsi" w:cstheme="minorHAnsi"/>
          <w:bCs/>
          <w:sz w:val="22"/>
          <w:szCs w:val="22"/>
        </w:rPr>
        <w:t>Resource overbooking issue needs to be further considered</w:t>
      </w:r>
    </w:p>
    <w:p w14:paraId="035B88A0" w14:textId="77777777" w:rsidR="00BB31F5" w:rsidRPr="00BB31F5" w:rsidRDefault="00BB31F5" w:rsidP="00BB31F5">
      <w:pPr>
        <w:pStyle w:val="Style1"/>
        <w:numPr>
          <w:ilvl w:val="3"/>
          <w:numId w:val="19"/>
        </w:numPr>
        <w:spacing w:after="0" w:afterAutospacing="0" w:line="240" w:lineRule="auto"/>
        <w:ind w:hanging="357"/>
        <w:rPr>
          <w:rFonts w:asciiTheme="minorHAnsi" w:hAnsiTheme="minorHAnsi" w:cstheme="minorHAnsi"/>
          <w:bCs/>
          <w:sz w:val="22"/>
          <w:szCs w:val="22"/>
        </w:rPr>
      </w:pPr>
      <w:r w:rsidRPr="00BB31F5">
        <w:rPr>
          <w:rFonts w:asciiTheme="minorHAnsi" w:hAnsiTheme="minorHAnsi" w:cstheme="minorHAnsi"/>
          <w:bCs/>
          <w:sz w:val="22"/>
          <w:szCs w:val="22"/>
        </w:rPr>
        <w:t>Resource reselection triggered by LBT failure</w:t>
      </w:r>
    </w:p>
    <w:p w14:paraId="6995227C" w14:textId="77777777" w:rsidR="00BB31F5" w:rsidRPr="00BB31F5" w:rsidRDefault="00BB31F5" w:rsidP="00BB31F5">
      <w:pPr>
        <w:pStyle w:val="Style1"/>
        <w:numPr>
          <w:ilvl w:val="4"/>
          <w:numId w:val="19"/>
        </w:numPr>
        <w:spacing w:after="0" w:afterAutospacing="0" w:line="240" w:lineRule="auto"/>
        <w:ind w:hanging="357"/>
        <w:rPr>
          <w:rFonts w:asciiTheme="minorHAnsi" w:hAnsiTheme="minorHAnsi" w:cstheme="minorHAnsi"/>
          <w:bCs/>
          <w:sz w:val="22"/>
          <w:szCs w:val="22"/>
        </w:rPr>
      </w:pPr>
      <w:r w:rsidRPr="00BB31F5">
        <w:rPr>
          <w:rFonts w:asciiTheme="minorHAnsi" w:hAnsiTheme="minorHAnsi" w:cstheme="minorHAnsi"/>
          <w:bCs/>
          <w:sz w:val="22"/>
          <w:szCs w:val="22"/>
        </w:rPr>
        <w:t>Study how to reduce the latency impact and potential collision</w:t>
      </w:r>
    </w:p>
    <w:p w14:paraId="1958F060" w14:textId="77777777" w:rsidR="00BB31F5" w:rsidRPr="00BB31F5" w:rsidRDefault="00BB31F5" w:rsidP="00BB31F5">
      <w:pPr>
        <w:pStyle w:val="Style1"/>
        <w:numPr>
          <w:ilvl w:val="3"/>
          <w:numId w:val="19"/>
        </w:numPr>
        <w:spacing w:after="0" w:afterAutospacing="0" w:line="240" w:lineRule="auto"/>
        <w:ind w:hanging="357"/>
        <w:rPr>
          <w:rFonts w:asciiTheme="minorHAnsi" w:hAnsiTheme="minorHAnsi" w:cstheme="minorHAnsi"/>
          <w:bCs/>
          <w:sz w:val="22"/>
          <w:szCs w:val="22"/>
        </w:rPr>
      </w:pPr>
      <w:r w:rsidRPr="00BB31F5">
        <w:rPr>
          <w:rFonts w:asciiTheme="minorHAnsi" w:hAnsiTheme="minorHAnsi" w:cstheme="minorHAnsi"/>
          <w:bCs/>
          <w:sz w:val="22"/>
          <w:szCs w:val="22"/>
        </w:rPr>
        <w:t>Resource allocation shall take into account the enough time duration for performing LBT</w:t>
      </w:r>
    </w:p>
    <w:p w14:paraId="040A59FC" w14:textId="77777777" w:rsidR="00BB31F5" w:rsidRPr="00BB31F5" w:rsidRDefault="00BB31F5" w:rsidP="00BB31F5">
      <w:pPr>
        <w:pStyle w:val="Style1"/>
        <w:numPr>
          <w:ilvl w:val="3"/>
          <w:numId w:val="19"/>
        </w:numPr>
        <w:spacing w:after="0" w:afterAutospacing="0" w:line="240" w:lineRule="auto"/>
        <w:ind w:hanging="357"/>
        <w:rPr>
          <w:rFonts w:asciiTheme="minorHAnsi" w:hAnsiTheme="minorHAnsi" w:cstheme="minorHAnsi"/>
          <w:bCs/>
          <w:sz w:val="22"/>
          <w:szCs w:val="22"/>
        </w:rPr>
      </w:pPr>
      <w:r w:rsidRPr="00BB31F5">
        <w:rPr>
          <w:rFonts w:asciiTheme="minorHAnsi" w:hAnsiTheme="minorHAnsi" w:cstheme="minorHAnsi"/>
          <w:bCs/>
          <w:sz w:val="22"/>
          <w:szCs w:val="22"/>
        </w:rPr>
        <w:t>Potential issues on legacy mode-2 resource allocation procedure and how to enhance it under WID scope</w:t>
      </w:r>
    </w:p>
    <w:p w14:paraId="31CA45C1" w14:textId="6E529442" w:rsidR="00557F41" w:rsidRPr="00BB31F5" w:rsidRDefault="00BB31F5">
      <w:pPr>
        <w:pStyle w:val="ListParagraph"/>
        <w:numPr>
          <w:ilvl w:val="2"/>
          <w:numId w:val="19"/>
        </w:numPr>
        <w:ind w:leftChars="0"/>
        <w:rPr>
          <w:rFonts w:asciiTheme="minorHAnsi" w:hAnsiTheme="minorHAnsi" w:cstheme="minorHAnsi"/>
          <w:bCs/>
          <w:sz w:val="24"/>
          <w:szCs w:val="32"/>
        </w:rPr>
      </w:pPr>
      <w:r w:rsidRPr="00BB31F5">
        <w:rPr>
          <w:rFonts w:asciiTheme="minorHAnsi" w:hAnsiTheme="minorHAnsi" w:cstheme="minorHAnsi"/>
          <w:bCs/>
          <w:sz w:val="22"/>
          <w:szCs w:val="28"/>
        </w:rPr>
        <w:t>Study flexible data/feedback resource reservation to improve reliability and availability of short/long term resource reservations.</w:t>
      </w:r>
    </w:p>
    <w:p w14:paraId="5FBA13C1" w14:textId="6063AC22" w:rsidR="00737B66" w:rsidRPr="00BB31F5" w:rsidRDefault="00BB31F5">
      <w:pPr>
        <w:pStyle w:val="ListParagraph"/>
        <w:numPr>
          <w:ilvl w:val="2"/>
          <w:numId w:val="19"/>
        </w:numPr>
        <w:ind w:leftChars="0"/>
        <w:rPr>
          <w:rFonts w:asciiTheme="minorHAnsi" w:hAnsiTheme="minorHAnsi" w:cstheme="minorHAnsi"/>
          <w:bCs/>
          <w:sz w:val="24"/>
          <w:szCs w:val="32"/>
        </w:rPr>
      </w:pPr>
      <w:r w:rsidRPr="00BB31F5">
        <w:rPr>
          <w:rFonts w:asciiTheme="minorHAnsi" w:hAnsiTheme="minorHAnsi" w:cstheme="minorHAnsi"/>
          <w:bCs/>
          <w:sz w:val="22"/>
          <w:szCs w:val="28"/>
        </w:rPr>
        <w:t>Study potential enhancements on legacy SCI resource reservation and PSSCH-PSFCH mapping to reduce the impact of reservation/feedback out of COT</w:t>
      </w:r>
    </w:p>
    <w:p w14:paraId="3C2C5249" w14:textId="7426AC3C" w:rsidR="00D61295" w:rsidRPr="00DC67FC" w:rsidRDefault="00D61295">
      <w:pPr>
        <w:pStyle w:val="ListParagraph"/>
        <w:numPr>
          <w:ilvl w:val="1"/>
          <w:numId w:val="19"/>
        </w:numPr>
        <w:ind w:leftChars="0"/>
        <w:rPr>
          <w:rFonts w:asciiTheme="minorHAnsi" w:hAnsiTheme="minorHAnsi" w:cstheme="minorHAnsi"/>
          <w:sz w:val="22"/>
          <w:szCs w:val="28"/>
        </w:rPr>
      </w:pPr>
      <w:r w:rsidRPr="00DC67FC">
        <w:rPr>
          <w:rFonts w:asciiTheme="minorHAnsi" w:hAnsiTheme="minorHAnsi" w:cstheme="minorHAnsi"/>
          <w:sz w:val="22"/>
          <w:szCs w:val="28"/>
        </w:rPr>
        <w:t>[</w:t>
      </w:r>
      <w:r w:rsidR="007B2CAB" w:rsidRPr="00DC67FC">
        <w:rPr>
          <w:rFonts w:asciiTheme="minorHAnsi" w:hAnsiTheme="minorHAnsi" w:cstheme="minorHAnsi"/>
          <w:sz w:val="22"/>
          <w:szCs w:val="28"/>
        </w:rPr>
        <w:t>27/IDC</w:t>
      </w:r>
      <w:r w:rsidRPr="00DC67FC">
        <w:rPr>
          <w:rFonts w:asciiTheme="minorHAnsi" w:hAnsiTheme="minorHAnsi" w:cstheme="minorHAnsi"/>
          <w:sz w:val="22"/>
          <w:szCs w:val="28"/>
        </w:rPr>
        <w:t>]:</w:t>
      </w:r>
    </w:p>
    <w:p w14:paraId="74659CBF" w14:textId="77777777" w:rsidR="00DC67FC" w:rsidRPr="00DC67FC" w:rsidRDefault="00DC67FC" w:rsidP="00DC67FC">
      <w:pPr>
        <w:pStyle w:val="ListParagraph"/>
        <w:numPr>
          <w:ilvl w:val="2"/>
          <w:numId w:val="19"/>
        </w:numPr>
        <w:ind w:leftChars="0"/>
        <w:rPr>
          <w:rFonts w:asciiTheme="minorHAnsi" w:hAnsiTheme="minorHAnsi" w:cstheme="minorHAnsi"/>
          <w:sz w:val="22"/>
          <w:szCs w:val="28"/>
        </w:rPr>
      </w:pPr>
      <w:r w:rsidRPr="00DC67FC">
        <w:rPr>
          <w:rFonts w:asciiTheme="minorHAnsi" w:hAnsiTheme="minorHAnsi" w:cstheme="minorHAnsi"/>
          <w:sz w:val="22"/>
          <w:szCs w:val="28"/>
        </w:rPr>
        <w:t>Study reservation of a periodic time window for periodic type of traffic in SL unlicensed spectrum.</w:t>
      </w:r>
    </w:p>
    <w:p w14:paraId="57403DD7" w14:textId="006435DA" w:rsidR="00D61295" w:rsidRPr="00DC67FC" w:rsidRDefault="00D61295">
      <w:pPr>
        <w:pStyle w:val="ListParagraph"/>
        <w:numPr>
          <w:ilvl w:val="2"/>
          <w:numId w:val="19"/>
        </w:numPr>
        <w:ind w:leftChars="0"/>
        <w:rPr>
          <w:rFonts w:asciiTheme="minorHAnsi" w:hAnsiTheme="minorHAnsi" w:cstheme="minorHAnsi"/>
          <w:sz w:val="22"/>
          <w:szCs w:val="28"/>
        </w:rPr>
      </w:pPr>
      <w:r w:rsidRPr="00DC67FC">
        <w:rPr>
          <w:rFonts w:asciiTheme="minorHAnsi" w:hAnsiTheme="minorHAnsi" w:cstheme="minorHAnsi"/>
          <w:sz w:val="22"/>
          <w:szCs w:val="28"/>
        </w:rPr>
        <w:t>UE excludes time window(s) corresponding to COT(s) initiated by other SL UEs.</w:t>
      </w:r>
    </w:p>
    <w:p w14:paraId="3AFFD466" w14:textId="038426BF" w:rsidR="00FD2261" w:rsidRPr="00FD2261" w:rsidRDefault="00FD2261" w:rsidP="00AB74CA">
      <w:pPr>
        <w:pStyle w:val="ListParagraph"/>
        <w:numPr>
          <w:ilvl w:val="1"/>
          <w:numId w:val="19"/>
        </w:numPr>
        <w:ind w:leftChars="0"/>
        <w:rPr>
          <w:rFonts w:asciiTheme="minorHAnsi" w:hAnsiTheme="minorHAnsi" w:cstheme="minorHAnsi"/>
          <w:sz w:val="22"/>
          <w:szCs w:val="28"/>
        </w:rPr>
      </w:pPr>
      <w:r w:rsidRPr="00FD2261">
        <w:rPr>
          <w:rFonts w:asciiTheme="minorHAnsi" w:hAnsiTheme="minorHAnsi" w:cstheme="minorHAnsi"/>
          <w:sz w:val="22"/>
          <w:szCs w:val="28"/>
        </w:rPr>
        <w:t>[30/Sharp]: Enhance the sensing and selection procedure for Mode 2 RA to support COT(s) as granularity in the time domain for SL-U.</w:t>
      </w:r>
    </w:p>
    <w:p w14:paraId="2E4FA3A5" w14:textId="1D0DF1BE" w:rsidR="00AB74CA" w:rsidRPr="0053474A" w:rsidRDefault="00AB74CA" w:rsidP="00AB74CA">
      <w:pPr>
        <w:pStyle w:val="ListParagraph"/>
        <w:numPr>
          <w:ilvl w:val="1"/>
          <w:numId w:val="19"/>
        </w:numPr>
        <w:ind w:leftChars="0"/>
        <w:rPr>
          <w:rFonts w:asciiTheme="minorHAnsi" w:hAnsiTheme="minorHAnsi" w:cstheme="minorHAnsi"/>
          <w:sz w:val="22"/>
          <w:szCs w:val="28"/>
        </w:rPr>
      </w:pPr>
      <w:r w:rsidRPr="0053474A">
        <w:rPr>
          <w:rFonts w:asciiTheme="minorHAnsi" w:hAnsiTheme="minorHAnsi" w:cstheme="minorHAnsi"/>
          <w:sz w:val="22"/>
          <w:szCs w:val="28"/>
        </w:rPr>
        <w:t xml:space="preserve">[32/DCM]: </w:t>
      </w:r>
    </w:p>
    <w:p w14:paraId="4045C636" w14:textId="77777777" w:rsidR="00AB74CA" w:rsidRPr="0053474A" w:rsidRDefault="00AB74CA" w:rsidP="00AB74CA">
      <w:pPr>
        <w:pStyle w:val="ListParagraph"/>
        <w:numPr>
          <w:ilvl w:val="2"/>
          <w:numId w:val="19"/>
        </w:numPr>
        <w:ind w:leftChars="0"/>
        <w:rPr>
          <w:rFonts w:asciiTheme="minorHAnsi" w:hAnsiTheme="minorHAnsi" w:cstheme="minorHAnsi"/>
          <w:sz w:val="22"/>
          <w:szCs w:val="28"/>
        </w:rPr>
      </w:pPr>
      <w:r w:rsidRPr="0053474A">
        <w:rPr>
          <w:rFonts w:asciiTheme="minorHAnsi" w:hAnsiTheme="minorHAnsi" w:cstheme="minorHAnsi"/>
          <w:sz w:val="22"/>
          <w:szCs w:val="28"/>
        </w:rPr>
        <w:t>Study the following options to avoid a case where LBT-sensing starting timing for a selected resource is earlier than the resource selection timing.</w:t>
      </w:r>
    </w:p>
    <w:p w14:paraId="4FD1D437" w14:textId="77777777" w:rsidR="00AB74CA" w:rsidRPr="0053474A" w:rsidRDefault="00AB74CA" w:rsidP="00AB74CA">
      <w:pPr>
        <w:numPr>
          <w:ilvl w:val="3"/>
          <w:numId w:val="19"/>
        </w:numPr>
        <w:rPr>
          <w:rFonts w:asciiTheme="minorHAnsi" w:eastAsiaTheme="minorEastAsia" w:hAnsiTheme="minorHAnsi" w:cstheme="minorHAnsi"/>
          <w:iCs/>
          <w:sz w:val="22"/>
          <w:lang w:val="en-US"/>
        </w:rPr>
      </w:pPr>
      <w:r w:rsidRPr="0053474A">
        <w:rPr>
          <w:rFonts w:asciiTheme="minorHAnsi" w:eastAsiaTheme="minorEastAsia" w:hAnsiTheme="minorHAnsi" w:cstheme="minorHAnsi"/>
          <w:iCs/>
          <w:sz w:val="22"/>
          <w:lang w:val="en-US"/>
        </w:rPr>
        <w:t>Option 1: LBT duration is determined firstly and then selection window is determined based on the LBT duration</w:t>
      </w:r>
    </w:p>
    <w:p w14:paraId="3FC73093" w14:textId="77777777" w:rsidR="00AB74CA" w:rsidRPr="0053474A" w:rsidRDefault="00AB74CA" w:rsidP="00AB74CA">
      <w:pPr>
        <w:numPr>
          <w:ilvl w:val="3"/>
          <w:numId w:val="19"/>
        </w:numPr>
        <w:rPr>
          <w:rFonts w:asciiTheme="minorHAnsi" w:eastAsiaTheme="minorEastAsia" w:hAnsiTheme="minorHAnsi" w:cstheme="minorHAnsi"/>
          <w:iCs/>
          <w:sz w:val="22"/>
          <w:lang w:val="en-US"/>
        </w:rPr>
      </w:pPr>
      <w:r w:rsidRPr="0053474A">
        <w:rPr>
          <w:rFonts w:asciiTheme="minorHAnsi" w:eastAsiaTheme="minorEastAsia" w:hAnsiTheme="minorHAnsi" w:cstheme="minorHAnsi"/>
          <w:iCs/>
          <w:sz w:val="22"/>
          <w:lang w:val="en-US"/>
        </w:rPr>
        <w:t xml:space="preserve">Option 2: LBT duration is determined firstly and then resources corresponding to the LBT duration are excluded from </w:t>
      </w:r>
      <w:r w:rsidRPr="0053474A">
        <w:rPr>
          <w:rFonts w:asciiTheme="minorHAnsi" w:eastAsiaTheme="minorEastAsia" w:hAnsiTheme="minorHAnsi" w:cstheme="minorHAnsi"/>
          <w:i/>
          <w:sz w:val="22"/>
          <w:lang w:val="en-US"/>
        </w:rPr>
        <w:t>S</w:t>
      </w:r>
      <w:r w:rsidRPr="0053474A">
        <w:rPr>
          <w:rFonts w:asciiTheme="minorHAnsi" w:eastAsiaTheme="minorEastAsia" w:hAnsiTheme="minorHAnsi" w:cstheme="minorHAnsi"/>
          <w:i/>
          <w:sz w:val="22"/>
          <w:vertAlign w:val="subscript"/>
          <w:lang w:val="en-US"/>
        </w:rPr>
        <w:t>A</w:t>
      </w:r>
    </w:p>
    <w:p w14:paraId="579F5523" w14:textId="77777777" w:rsidR="00AB74CA" w:rsidRPr="0053474A" w:rsidRDefault="00AB74CA" w:rsidP="00AB74CA">
      <w:pPr>
        <w:numPr>
          <w:ilvl w:val="3"/>
          <w:numId w:val="19"/>
        </w:numPr>
        <w:rPr>
          <w:rFonts w:asciiTheme="minorHAnsi" w:eastAsiaTheme="minorEastAsia" w:hAnsiTheme="minorHAnsi" w:cstheme="minorHAnsi"/>
          <w:iCs/>
          <w:sz w:val="22"/>
          <w:lang w:val="en-US"/>
        </w:rPr>
      </w:pPr>
      <w:r w:rsidRPr="0053474A">
        <w:rPr>
          <w:rFonts w:asciiTheme="minorHAnsi" w:eastAsiaTheme="minorEastAsia" w:hAnsiTheme="minorHAnsi" w:cstheme="minorHAnsi"/>
          <w:iCs/>
          <w:sz w:val="22"/>
          <w:lang w:val="en-US"/>
        </w:rPr>
        <w:t>Option 3: resource is selected firstly and then LBT duration is determined based on timing of the selected resource</w:t>
      </w:r>
    </w:p>
    <w:p w14:paraId="16920279" w14:textId="77777777" w:rsidR="00AB74CA" w:rsidRPr="0053474A" w:rsidRDefault="00AB74CA" w:rsidP="00AB74CA">
      <w:pPr>
        <w:numPr>
          <w:ilvl w:val="2"/>
          <w:numId w:val="19"/>
        </w:numPr>
        <w:rPr>
          <w:rFonts w:asciiTheme="minorHAnsi" w:eastAsiaTheme="minorEastAsia" w:hAnsiTheme="minorHAnsi" w:cstheme="minorHAnsi"/>
          <w:iCs/>
          <w:sz w:val="22"/>
          <w:lang w:val="en-US"/>
        </w:rPr>
      </w:pPr>
      <w:r w:rsidRPr="0053474A">
        <w:rPr>
          <w:rFonts w:asciiTheme="minorHAnsi" w:eastAsiaTheme="minorEastAsia" w:hAnsiTheme="minorHAnsi" w:cstheme="minorHAnsi"/>
          <w:iCs/>
          <w:sz w:val="22"/>
          <w:lang w:val="en-US"/>
        </w:rPr>
        <w:t>In resource selection from the identified resource set S_A, resource(s) is preferentially selected such that the selected resource is contiguous with a resource already selected by the UE, if possible.</w:t>
      </w:r>
    </w:p>
    <w:p w14:paraId="5A23D6B9" w14:textId="279ED56B" w:rsidR="006B3162" w:rsidRPr="00EE443C" w:rsidRDefault="006B3162">
      <w:pPr>
        <w:pStyle w:val="ListParagraph"/>
        <w:numPr>
          <w:ilvl w:val="1"/>
          <w:numId w:val="19"/>
        </w:numPr>
        <w:ind w:leftChars="0"/>
        <w:rPr>
          <w:rFonts w:asciiTheme="minorHAnsi" w:hAnsiTheme="minorHAnsi" w:cstheme="minorHAnsi"/>
          <w:color w:val="000000" w:themeColor="text1"/>
          <w:sz w:val="22"/>
          <w:szCs w:val="28"/>
        </w:rPr>
      </w:pPr>
      <w:r w:rsidRPr="00EE443C">
        <w:rPr>
          <w:rFonts w:asciiTheme="minorHAnsi" w:hAnsiTheme="minorHAnsi" w:cstheme="minorHAnsi"/>
          <w:color w:val="000000" w:themeColor="text1"/>
          <w:sz w:val="22"/>
          <w:szCs w:val="28"/>
        </w:rPr>
        <w:t>[</w:t>
      </w:r>
      <w:r w:rsidR="007B2CAB" w:rsidRPr="00EE443C">
        <w:rPr>
          <w:rFonts w:asciiTheme="minorHAnsi" w:hAnsiTheme="minorHAnsi" w:cstheme="minorHAnsi"/>
          <w:color w:val="000000" w:themeColor="text1"/>
          <w:sz w:val="22"/>
          <w:szCs w:val="28"/>
        </w:rPr>
        <w:t>33/QC</w:t>
      </w:r>
      <w:r w:rsidRPr="00EE443C">
        <w:rPr>
          <w:rFonts w:asciiTheme="minorHAnsi" w:hAnsiTheme="minorHAnsi" w:cstheme="minorHAnsi"/>
          <w:color w:val="000000" w:themeColor="text1"/>
          <w:sz w:val="22"/>
          <w:szCs w:val="28"/>
        </w:rPr>
        <w:t>]:</w:t>
      </w:r>
    </w:p>
    <w:p w14:paraId="34817AEF" w14:textId="3130EA28" w:rsidR="006B3162" w:rsidRPr="00EE443C" w:rsidRDefault="003D6410">
      <w:pPr>
        <w:pStyle w:val="ListParagraph"/>
        <w:numPr>
          <w:ilvl w:val="2"/>
          <w:numId w:val="19"/>
        </w:numPr>
        <w:ind w:leftChars="0"/>
        <w:rPr>
          <w:rFonts w:asciiTheme="minorHAnsi" w:hAnsiTheme="minorHAnsi" w:cstheme="minorHAnsi"/>
          <w:color w:val="000000" w:themeColor="text1"/>
          <w:sz w:val="22"/>
          <w:szCs w:val="28"/>
        </w:rPr>
      </w:pPr>
      <w:r w:rsidRPr="003D6410">
        <w:rPr>
          <w:rFonts w:asciiTheme="minorHAnsi" w:hAnsiTheme="minorHAnsi" w:cstheme="minorHAnsi"/>
          <w:color w:val="000000" w:themeColor="text1"/>
          <w:sz w:val="22"/>
          <w:szCs w:val="28"/>
        </w:rPr>
        <w:t>Support resource selection within the selection window according to UE implementations, without requiring the selection to be random.</w:t>
      </w:r>
    </w:p>
    <w:p w14:paraId="1B9EF1C8" w14:textId="28FD541C" w:rsidR="003D6410" w:rsidRDefault="003D6410">
      <w:pPr>
        <w:pStyle w:val="ListParagraph"/>
        <w:numPr>
          <w:ilvl w:val="3"/>
          <w:numId w:val="19"/>
        </w:numPr>
        <w:ind w:leftChars="0"/>
        <w:rPr>
          <w:rFonts w:asciiTheme="minorHAnsi" w:hAnsiTheme="minorHAnsi" w:cstheme="minorHAnsi"/>
          <w:color w:val="000000" w:themeColor="text1"/>
          <w:sz w:val="22"/>
          <w:szCs w:val="28"/>
        </w:rPr>
      </w:pPr>
      <w:r w:rsidRPr="003D6410">
        <w:rPr>
          <w:rFonts w:asciiTheme="minorHAnsi" w:hAnsiTheme="minorHAnsi" w:cstheme="minorHAnsi"/>
          <w:color w:val="000000" w:themeColor="text1"/>
          <w:sz w:val="22"/>
          <w:szCs w:val="28"/>
        </w:rPr>
        <w:t>If resource selection is not forcefully random, the UE can prioritize selecting subchannels in slots that are contiguous, to minimize the number of channel access procedures.</w:t>
      </w:r>
    </w:p>
    <w:p w14:paraId="6655ECDA" w14:textId="46508F86" w:rsidR="006B3162" w:rsidRPr="00EE443C" w:rsidRDefault="006B3162">
      <w:pPr>
        <w:pStyle w:val="ListParagraph"/>
        <w:numPr>
          <w:ilvl w:val="2"/>
          <w:numId w:val="19"/>
        </w:numPr>
        <w:ind w:leftChars="0"/>
        <w:rPr>
          <w:rFonts w:asciiTheme="minorHAnsi" w:hAnsiTheme="minorHAnsi" w:cstheme="minorHAnsi"/>
          <w:color w:val="000000" w:themeColor="text1"/>
          <w:sz w:val="22"/>
          <w:szCs w:val="28"/>
        </w:rPr>
      </w:pPr>
      <w:r w:rsidRPr="00EE443C">
        <w:rPr>
          <w:rFonts w:asciiTheme="minorHAnsi" w:hAnsiTheme="minorHAnsi" w:cstheme="minorHAnsi"/>
          <w:color w:val="000000" w:themeColor="text1"/>
          <w:sz w:val="22"/>
          <w:szCs w:val="28"/>
        </w:rPr>
        <w:t>Introduce UEs starting transmissions in one of a set of contention slots with granularity 9μs around the slot (or mini-slot if supported) boundary. The UE can start transmission with CPE, if the contention slot is located before the boundary, or with AGC symbol puncturing, if the contention slot is located after the boundary.</w:t>
      </w:r>
    </w:p>
    <w:p w14:paraId="096C52B9" w14:textId="77777777" w:rsidR="006B3162" w:rsidRPr="00EE443C" w:rsidRDefault="006B3162">
      <w:pPr>
        <w:pStyle w:val="ListParagraph"/>
        <w:numPr>
          <w:ilvl w:val="2"/>
          <w:numId w:val="19"/>
        </w:numPr>
        <w:ind w:leftChars="0"/>
        <w:rPr>
          <w:rFonts w:asciiTheme="minorHAnsi" w:hAnsiTheme="minorHAnsi" w:cstheme="minorHAnsi"/>
          <w:color w:val="000000" w:themeColor="text1"/>
          <w:sz w:val="22"/>
          <w:szCs w:val="28"/>
        </w:rPr>
      </w:pPr>
      <w:r w:rsidRPr="00EE443C">
        <w:rPr>
          <w:rFonts w:asciiTheme="minorHAnsi" w:hAnsiTheme="minorHAnsi" w:cstheme="minorHAnsi"/>
          <w:color w:val="000000" w:themeColor="text1"/>
          <w:sz w:val="22"/>
          <w:szCs w:val="28"/>
        </w:rPr>
        <w:t>Introduce the additional dimension of contention slot in resource selection and reservation. The contention slot can be selected according to one of the following policies: a) at random, b) L1 priority, c) CAPC, d) according to the transmitted channel/signal, d) a combinations of the aforementioned options.</w:t>
      </w:r>
    </w:p>
    <w:p w14:paraId="4A9058A2" w14:textId="77777777" w:rsidR="00EE443C" w:rsidRDefault="006B3162">
      <w:pPr>
        <w:pStyle w:val="ListParagraph"/>
        <w:numPr>
          <w:ilvl w:val="2"/>
          <w:numId w:val="19"/>
        </w:numPr>
        <w:ind w:leftChars="0"/>
        <w:rPr>
          <w:rFonts w:asciiTheme="minorHAnsi" w:hAnsiTheme="minorHAnsi" w:cstheme="minorHAnsi"/>
          <w:color w:val="000000" w:themeColor="text1"/>
          <w:sz w:val="22"/>
          <w:szCs w:val="28"/>
        </w:rPr>
      </w:pPr>
      <w:r w:rsidRPr="00EE443C">
        <w:rPr>
          <w:rFonts w:asciiTheme="minorHAnsi" w:hAnsiTheme="minorHAnsi" w:cstheme="minorHAnsi"/>
          <w:color w:val="000000" w:themeColor="text1"/>
          <w:sz w:val="22"/>
          <w:szCs w:val="28"/>
        </w:rPr>
        <w:t>Soft exclusion:</w:t>
      </w:r>
      <w:bookmarkStart w:id="231" w:name="_Toc115154413"/>
      <w:bookmarkStart w:id="232" w:name="_Toc115154774"/>
      <w:bookmarkStart w:id="233" w:name="b44"/>
    </w:p>
    <w:p w14:paraId="2ABE2B8A" w14:textId="3D9783D9" w:rsidR="00EE443C" w:rsidRPr="00EE443C" w:rsidRDefault="00EE443C">
      <w:pPr>
        <w:pStyle w:val="ListParagraph"/>
        <w:numPr>
          <w:ilvl w:val="3"/>
          <w:numId w:val="19"/>
        </w:numPr>
        <w:ind w:leftChars="0"/>
        <w:rPr>
          <w:rFonts w:asciiTheme="minorHAnsi" w:hAnsiTheme="minorHAnsi" w:cstheme="minorHAnsi"/>
          <w:color w:val="000000" w:themeColor="text1"/>
          <w:sz w:val="22"/>
          <w:szCs w:val="22"/>
        </w:rPr>
      </w:pPr>
      <w:r w:rsidRPr="00EE443C">
        <w:rPr>
          <w:rFonts w:asciiTheme="minorHAnsi" w:hAnsiTheme="minorHAnsi" w:cstheme="minorHAnsi"/>
          <w:sz w:val="22"/>
          <w:szCs w:val="22"/>
        </w:rPr>
        <w:lastRenderedPageBreak/>
        <w:t>Introduce the “soft exclusion” step in resource selection, with associated report from the PHY to the MAC containing the set of excluded resources alongside a supporting information for each exclusion. The excluded resources can still be selected in MAC.</w:t>
      </w:r>
      <w:bookmarkStart w:id="234" w:name="_Toc115154414"/>
      <w:bookmarkStart w:id="235" w:name="_Toc115154775"/>
      <w:bookmarkStart w:id="236" w:name="b45"/>
      <w:bookmarkEnd w:id="231"/>
      <w:bookmarkEnd w:id="232"/>
      <w:bookmarkEnd w:id="233"/>
    </w:p>
    <w:p w14:paraId="1802DF68" w14:textId="1CD1F458" w:rsidR="00EE443C" w:rsidRPr="00EE443C" w:rsidRDefault="00EE443C">
      <w:pPr>
        <w:pStyle w:val="ListParagraph"/>
        <w:numPr>
          <w:ilvl w:val="3"/>
          <w:numId w:val="19"/>
        </w:numPr>
        <w:ind w:leftChars="0"/>
        <w:rPr>
          <w:rFonts w:asciiTheme="minorHAnsi" w:hAnsiTheme="minorHAnsi" w:cstheme="minorHAnsi"/>
          <w:color w:val="000000" w:themeColor="text1"/>
          <w:sz w:val="22"/>
          <w:szCs w:val="22"/>
        </w:rPr>
      </w:pPr>
      <w:r w:rsidRPr="00EE443C">
        <w:rPr>
          <w:rFonts w:asciiTheme="minorHAnsi" w:hAnsiTheme="minorHAnsi" w:cstheme="minorHAnsi"/>
          <w:sz w:val="22"/>
          <w:szCs w:val="22"/>
        </w:rPr>
        <w:t>Candidates for the supporting information related to the observed reservations are: a) TSP index, b) CAPC, c) L1 priority.</w:t>
      </w:r>
      <w:bookmarkStart w:id="237" w:name="_Toc115154415"/>
      <w:bookmarkStart w:id="238" w:name="_Toc115154776"/>
      <w:bookmarkStart w:id="239" w:name="b46"/>
      <w:bookmarkEnd w:id="234"/>
      <w:bookmarkEnd w:id="235"/>
      <w:bookmarkEnd w:id="236"/>
    </w:p>
    <w:p w14:paraId="006ED083" w14:textId="05014573" w:rsidR="00EE443C" w:rsidRPr="00EE443C" w:rsidRDefault="00EE443C">
      <w:pPr>
        <w:pStyle w:val="ListParagraph"/>
        <w:numPr>
          <w:ilvl w:val="3"/>
          <w:numId w:val="19"/>
        </w:numPr>
        <w:ind w:leftChars="0"/>
        <w:rPr>
          <w:rFonts w:asciiTheme="minorHAnsi" w:hAnsiTheme="minorHAnsi" w:cstheme="minorHAnsi"/>
          <w:color w:val="000000" w:themeColor="text1"/>
          <w:sz w:val="22"/>
          <w:szCs w:val="22"/>
        </w:rPr>
      </w:pPr>
      <w:r w:rsidRPr="00EE443C">
        <w:rPr>
          <w:rFonts w:asciiTheme="minorHAnsi" w:hAnsiTheme="minorHAnsi" w:cstheme="minorHAnsi"/>
          <w:sz w:val="22"/>
          <w:szCs w:val="22"/>
        </w:rPr>
        <w:t xml:space="preserve">Introduce a modified resource selection and reservation step, where the MAC can use the soft-exclusion report </w:t>
      </w:r>
      <w:r w:rsidRPr="00EE443C" w:rsidDel="00BF4274">
        <w:rPr>
          <w:rFonts w:asciiTheme="minorHAnsi" w:hAnsiTheme="minorHAnsi" w:cstheme="minorHAnsi"/>
          <w:sz w:val="22"/>
          <w:szCs w:val="22"/>
        </w:rPr>
        <w:t>to</w:t>
      </w:r>
      <w:r w:rsidRPr="00EE443C" w:rsidDel="000D01E1">
        <w:rPr>
          <w:rFonts w:asciiTheme="minorHAnsi" w:hAnsiTheme="minorHAnsi" w:cstheme="minorHAnsi"/>
          <w:sz w:val="22"/>
          <w:szCs w:val="22"/>
        </w:rPr>
        <w:t xml:space="preserve"> </w:t>
      </w:r>
      <w:r w:rsidRPr="00EE443C">
        <w:rPr>
          <w:rFonts w:asciiTheme="minorHAnsi" w:hAnsiTheme="minorHAnsi" w:cstheme="minorHAnsi"/>
          <w:sz w:val="22"/>
          <w:szCs w:val="22"/>
        </w:rPr>
        <w:t xml:space="preserve">still select and reserve any of the candidate resources, with the constraint that excluded resources can be selected only with a </w:t>
      </w:r>
      <w:bookmarkEnd w:id="237"/>
      <w:bookmarkEnd w:id="238"/>
      <w:r w:rsidRPr="00EE443C">
        <w:rPr>
          <w:rFonts w:asciiTheme="minorHAnsi" w:hAnsiTheme="minorHAnsi" w:cstheme="minorHAnsi"/>
          <w:sz w:val="22"/>
          <w:szCs w:val="22"/>
        </w:rPr>
        <w:t>different TSP.</w:t>
      </w:r>
    </w:p>
    <w:p w14:paraId="4A7D046F" w14:textId="71D4813C" w:rsidR="00EE443C" w:rsidRPr="00EE443C" w:rsidRDefault="00EE443C">
      <w:pPr>
        <w:pStyle w:val="ListParagraph"/>
        <w:numPr>
          <w:ilvl w:val="4"/>
          <w:numId w:val="19"/>
        </w:numPr>
        <w:ind w:leftChars="0"/>
        <w:rPr>
          <w:rFonts w:asciiTheme="minorHAnsi" w:hAnsiTheme="minorHAnsi" w:cstheme="minorHAnsi"/>
          <w:color w:val="000000" w:themeColor="text1"/>
          <w:sz w:val="22"/>
          <w:szCs w:val="22"/>
        </w:rPr>
      </w:pPr>
      <w:r w:rsidRPr="00EE443C">
        <w:rPr>
          <w:rFonts w:asciiTheme="minorHAnsi" w:hAnsiTheme="minorHAnsi" w:cstheme="minorHAnsi"/>
          <w:sz w:val="22"/>
          <w:szCs w:val="22"/>
        </w:rPr>
        <w:t>Study restrictions for selecting the appropriate TSP according to the supporting information</w:t>
      </w:r>
    </w:p>
    <w:bookmarkEnd w:id="239"/>
    <w:p w14:paraId="51BA7442" w14:textId="0E60996C" w:rsidR="006B3162" w:rsidRPr="00EE443C" w:rsidRDefault="006B3162">
      <w:pPr>
        <w:pStyle w:val="ListParagraph"/>
        <w:numPr>
          <w:ilvl w:val="2"/>
          <w:numId w:val="19"/>
        </w:numPr>
        <w:ind w:leftChars="0"/>
        <w:rPr>
          <w:rFonts w:asciiTheme="minorHAnsi" w:hAnsiTheme="minorHAnsi" w:cstheme="minorHAnsi"/>
          <w:color w:val="000000" w:themeColor="text1"/>
          <w:sz w:val="22"/>
          <w:szCs w:val="22"/>
        </w:rPr>
      </w:pPr>
      <w:r w:rsidRPr="00EE443C">
        <w:rPr>
          <w:rFonts w:asciiTheme="minorHAnsi" w:hAnsiTheme="minorHAnsi" w:cstheme="minorHAnsi"/>
          <w:color w:val="000000" w:themeColor="text1"/>
          <w:sz w:val="22"/>
          <w:szCs w:val="22"/>
        </w:rPr>
        <w:t>Resource pre-emption</w:t>
      </w:r>
      <w:r w:rsidR="00EE443C">
        <w:rPr>
          <w:rFonts w:asciiTheme="minorHAnsi" w:hAnsiTheme="minorHAnsi" w:cstheme="minorHAnsi"/>
          <w:color w:val="000000" w:themeColor="text1"/>
          <w:sz w:val="22"/>
          <w:szCs w:val="22"/>
        </w:rPr>
        <w:t xml:space="preserve"> before and after COT start</w:t>
      </w:r>
    </w:p>
    <w:p w14:paraId="27FB85CD" w14:textId="66F76527" w:rsidR="00EE443C" w:rsidRPr="00EE443C" w:rsidRDefault="00EE443C">
      <w:pPr>
        <w:pStyle w:val="ListParagraph"/>
        <w:numPr>
          <w:ilvl w:val="3"/>
          <w:numId w:val="19"/>
        </w:numPr>
        <w:ind w:leftChars="0"/>
        <w:rPr>
          <w:rFonts w:asciiTheme="minorHAnsi" w:hAnsiTheme="minorHAnsi" w:cstheme="minorHAnsi"/>
          <w:color w:val="000000" w:themeColor="text1"/>
          <w:sz w:val="22"/>
          <w:szCs w:val="22"/>
        </w:rPr>
      </w:pPr>
      <w:r w:rsidRPr="00EE443C">
        <w:rPr>
          <w:rFonts w:asciiTheme="minorHAnsi" w:hAnsiTheme="minorHAnsi" w:cstheme="minorHAnsi"/>
          <w:color w:val="000000" w:themeColor="text1"/>
          <w:sz w:val="22"/>
          <w:szCs w:val="22"/>
        </w:rPr>
        <w:t>Introduce Triggering resource re-selection if a higher-priority reservation is detected with TX start time within a pre-emption window of size T from the target TX start point the own transmission.</w:t>
      </w:r>
    </w:p>
    <w:p w14:paraId="152A2579" w14:textId="77777777" w:rsidR="00EE443C" w:rsidRPr="00EE443C" w:rsidRDefault="00EE443C">
      <w:pPr>
        <w:pStyle w:val="ListParagraph"/>
        <w:numPr>
          <w:ilvl w:val="3"/>
          <w:numId w:val="19"/>
        </w:numPr>
        <w:ind w:leftChars="0"/>
        <w:rPr>
          <w:rFonts w:asciiTheme="minorHAnsi" w:hAnsiTheme="minorHAnsi" w:cstheme="minorHAnsi"/>
          <w:color w:val="000000" w:themeColor="text1"/>
          <w:sz w:val="22"/>
          <w:szCs w:val="22"/>
        </w:rPr>
      </w:pPr>
      <w:r w:rsidRPr="00EE443C">
        <w:rPr>
          <w:rFonts w:asciiTheme="minorHAnsi" w:hAnsiTheme="minorHAnsi" w:cstheme="minorHAnsi"/>
          <w:sz w:val="22"/>
          <w:szCs w:val="22"/>
        </w:rPr>
        <w:t>Introduce an exclusion region (slots) in the resource selection step so that a UE1’s MAC can exclude slots from selection before the</w:t>
      </w:r>
      <w:r w:rsidRPr="00EE443C" w:rsidDel="004474EF">
        <w:rPr>
          <w:rFonts w:asciiTheme="minorHAnsi" w:hAnsiTheme="minorHAnsi" w:cstheme="minorHAnsi"/>
          <w:sz w:val="22"/>
          <w:szCs w:val="22"/>
        </w:rPr>
        <w:t xml:space="preserve"> </w:t>
      </w:r>
      <w:r w:rsidRPr="00EE443C">
        <w:rPr>
          <w:rFonts w:asciiTheme="minorHAnsi" w:hAnsiTheme="minorHAnsi" w:cstheme="minorHAnsi"/>
          <w:sz w:val="22"/>
          <w:szCs w:val="22"/>
        </w:rPr>
        <w:t>active higher-priority reservation with overlapping LBT BW.</w:t>
      </w:r>
    </w:p>
    <w:p w14:paraId="4889960B" w14:textId="568A5D4D" w:rsidR="00EE443C" w:rsidRPr="00EE443C" w:rsidRDefault="00EE443C">
      <w:pPr>
        <w:pStyle w:val="ListParagraph"/>
        <w:numPr>
          <w:ilvl w:val="3"/>
          <w:numId w:val="19"/>
        </w:numPr>
        <w:ind w:leftChars="0"/>
        <w:rPr>
          <w:rFonts w:asciiTheme="minorHAnsi" w:hAnsiTheme="minorHAnsi" w:cstheme="minorHAnsi"/>
          <w:color w:val="000000" w:themeColor="text1"/>
          <w:sz w:val="22"/>
          <w:szCs w:val="22"/>
        </w:rPr>
      </w:pPr>
      <w:r w:rsidRPr="00EE443C">
        <w:rPr>
          <w:rFonts w:asciiTheme="minorHAnsi" w:hAnsiTheme="minorHAnsi" w:cstheme="minorHAnsi"/>
          <w:sz w:val="22"/>
          <w:szCs w:val="22"/>
        </w:rPr>
        <w:t>Introduce UE1 stopping transmissions T slots before the transmission time and for the whole transmission time indicated in a higher priority-reservation sent from UE2.</w:t>
      </w:r>
    </w:p>
    <w:p w14:paraId="6689E8D5" w14:textId="2E0C1C2C" w:rsidR="00EE443C" w:rsidRPr="00EE443C" w:rsidRDefault="00EE443C">
      <w:pPr>
        <w:pStyle w:val="ListParagraph"/>
        <w:numPr>
          <w:ilvl w:val="3"/>
          <w:numId w:val="19"/>
        </w:numPr>
        <w:ind w:leftChars="0"/>
        <w:rPr>
          <w:rFonts w:asciiTheme="minorHAnsi" w:hAnsiTheme="minorHAnsi" w:cstheme="minorHAnsi"/>
          <w:color w:val="000000" w:themeColor="text1"/>
          <w:sz w:val="22"/>
          <w:szCs w:val="22"/>
        </w:rPr>
      </w:pPr>
      <w:bookmarkStart w:id="240" w:name="_Toc115154420"/>
      <w:bookmarkStart w:id="241" w:name="_Toc115154781"/>
      <w:r w:rsidRPr="00EE443C">
        <w:rPr>
          <w:rFonts w:asciiTheme="minorHAnsi" w:hAnsiTheme="minorHAnsi" w:cstheme="minorHAnsi"/>
          <w:sz w:val="22"/>
          <w:szCs w:val="22"/>
        </w:rPr>
        <w:t>Introduce UE1 indicating COT sharing to UE2, based on UE2 being a destination in UE1’s COT, and a transmission time indicated by a reservation from UE2. UE2 can determine if the channel access with COT sharing can be used, based on UE1 being the destination for UE2’s transmission.</w:t>
      </w:r>
      <w:bookmarkEnd w:id="240"/>
      <w:bookmarkEnd w:id="241"/>
    </w:p>
    <w:p w14:paraId="5E2BB3FA" w14:textId="08D7EB76" w:rsidR="00F54B1A" w:rsidRPr="00F54B1A" w:rsidRDefault="00F54B1A">
      <w:pPr>
        <w:pStyle w:val="ListParagraph"/>
        <w:numPr>
          <w:ilvl w:val="1"/>
          <w:numId w:val="19"/>
        </w:numPr>
        <w:ind w:leftChars="0"/>
        <w:rPr>
          <w:rFonts w:asciiTheme="minorHAnsi" w:hAnsiTheme="minorHAnsi" w:cstheme="minorHAnsi"/>
          <w:color w:val="000000" w:themeColor="text1"/>
          <w:sz w:val="22"/>
          <w:szCs w:val="28"/>
        </w:rPr>
      </w:pPr>
      <w:r w:rsidRPr="00F54B1A">
        <w:rPr>
          <w:rFonts w:asciiTheme="minorHAnsi" w:hAnsiTheme="minorHAnsi" w:cstheme="minorHAnsi"/>
          <w:bCs/>
          <w:sz w:val="22"/>
          <w:szCs w:val="28"/>
        </w:rPr>
        <w:t>[35/BOSCH]</w:t>
      </w:r>
      <w:r>
        <w:rPr>
          <w:rFonts w:asciiTheme="minorHAnsi" w:hAnsiTheme="minorHAnsi" w:cstheme="minorHAnsi"/>
          <w:bCs/>
          <w:sz w:val="22"/>
          <w:szCs w:val="28"/>
        </w:rPr>
        <w:t>:</w:t>
      </w:r>
    </w:p>
    <w:p w14:paraId="5E70BB6C" w14:textId="6CE5A4F7" w:rsidR="00F54B1A" w:rsidRDefault="00F54B1A" w:rsidP="00F54B1A">
      <w:pPr>
        <w:pStyle w:val="ListParagraph"/>
        <w:numPr>
          <w:ilvl w:val="2"/>
          <w:numId w:val="19"/>
        </w:numPr>
        <w:ind w:leftChars="0"/>
        <w:rPr>
          <w:rFonts w:asciiTheme="minorHAnsi" w:hAnsiTheme="minorHAnsi" w:cstheme="minorHAnsi"/>
          <w:color w:val="000000" w:themeColor="text1"/>
          <w:sz w:val="22"/>
          <w:szCs w:val="28"/>
        </w:rPr>
      </w:pPr>
      <w:r w:rsidRPr="00F54B1A">
        <w:rPr>
          <w:rFonts w:asciiTheme="minorHAnsi" w:hAnsiTheme="minorHAnsi" w:cstheme="minorHAnsi"/>
          <w:color w:val="000000" w:themeColor="text1"/>
          <w:sz w:val="22"/>
          <w:szCs w:val="28"/>
        </w:rPr>
        <w:t>Whether random selection can still be considered</w:t>
      </w:r>
    </w:p>
    <w:p w14:paraId="40F60E2A" w14:textId="4F01F73A" w:rsidR="00F54B1A" w:rsidRDefault="00F54B1A" w:rsidP="00F54B1A">
      <w:pPr>
        <w:pStyle w:val="ListParagraph"/>
        <w:numPr>
          <w:ilvl w:val="2"/>
          <w:numId w:val="19"/>
        </w:numPr>
        <w:ind w:leftChars="0"/>
        <w:rPr>
          <w:rFonts w:asciiTheme="minorHAnsi" w:hAnsiTheme="minorHAnsi" w:cstheme="minorHAnsi"/>
          <w:color w:val="000000" w:themeColor="text1"/>
          <w:sz w:val="22"/>
          <w:szCs w:val="28"/>
        </w:rPr>
      </w:pPr>
      <w:r w:rsidRPr="00F54B1A">
        <w:rPr>
          <w:rFonts w:asciiTheme="minorHAnsi" w:hAnsiTheme="minorHAnsi" w:cstheme="minorHAnsi"/>
          <w:color w:val="000000" w:themeColor="text1"/>
          <w:sz w:val="22"/>
          <w:szCs w:val="28"/>
        </w:rPr>
        <w:t>The impact of LBT type and duration on selected resources in a selection window</w:t>
      </w:r>
    </w:p>
    <w:p w14:paraId="5636270E" w14:textId="6F1044C9" w:rsidR="000022B5" w:rsidRPr="00F55A08" w:rsidRDefault="000022B5">
      <w:pPr>
        <w:pStyle w:val="ListParagraph"/>
        <w:numPr>
          <w:ilvl w:val="1"/>
          <w:numId w:val="19"/>
        </w:numPr>
        <w:ind w:leftChars="0"/>
        <w:rPr>
          <w:rFonts w:asciiTheme="minorHAnsi" w:hAnsiTheme="minorHAnsi" w:cstheme="minorHAnsi"/>
          <w:color w:val="000000" w:themeColor="text1"/>
          <w:sz w:val="22"/>
          <w:szCs w:val="28"/>
        </w:rPr>
      </w:pPr>
      <w:r w:rsidRPr="00F55A08">
        <w:rPr>
          <w:rFonts w:asciiTheme="minorHAnsi" w:hAnsiTheme="minorHAnsi" w:cstheme="minorHAnsi"/>
          <w:color w:val="000000" w:themeColor="text1"/>
          <w:sz w:val="22"/>
          <w:szCs w:val="28"/>
        </w:rPr>
        <w:t>[</w:t>
      </w:r>
      <w:r w:rsidR="00263C76" w:rsidRPr="00F55A08">
        <w:rPr>
          <w:rFonts w:asciiTheme="minorHAnsi" w:hAnsiTheme="minorHAnsi" w:cstheme="minorHAnsi"/>
          <w:color w:val="000000" w:themeColor="text1"/>
          <w:sz w:val="22"/>
          <w:szCs w:val="28"/>
        </w:rPr>
        <w:t>36/E///</w:t>
      </w:r>
      <w:r w:rsidRPr="00F55A08">
        <w:rPr>
          <w:rFonts w:asciiTheme="minorHAnsi" w:hAnsiTheme="minorHAnsi" w:cstheme="minorHAnsi"/>
          <w:color w:val="000000" w:themeColor="text1"/>
          <w:sz w:val="22"/>
          <w:szCs w:val="28"/>
        </w:rPr>
        <w:t>]: To comply with CCA regulations of unlicensed spectrum and be able to reuse most of mode-2 based resource allocation procedure for SL, we believe that LBT is to be seen as a procedure that is applied on top. For example, CCA/LBT is performed before a transmission on the resources selected based on mode-2 SL resource allocation.</w:t>
      </w:r>
      <w:r w:rsidR="00885E4F" w:rsidRPr="00F55A08">
        <w:rPr>
          <w:rFonts w:asciiTheme="minorHAnsi" w:hAnsiTheme="minorHAnsi" w:cstheme="minorHAnsi"/>
          <w:color w:val="000000" w:themeColor="text1"/>
          <w:sz w:val="22"/>
          <w:szCs w:val="28"/>
        </w:rPr>
        <w:t xml:space="preserve"> Enhancement in mode 2 can include:</w:t>
      </w:r>
    </w:p>
    <w:p w14:paraId="49BE02BC" w14:textId="52B48A0D" w:rsidR="00885E4F" w:rsidRPr="00F55A08" w:rsidRDefault="00885BF4">
      <w:pPr>
        <w:pStyle w:val="ListParagraph"/>
        <w:numPr>
          <w:ilvl w:val="2"/>
          <w:numId w:val="19"/>
        </w:numPr>
        <w:ind w:leftChars="0"/>
        <w:rPr>
          <w:rFonts w:asciiTheme="minorHAnsi" w:hAnsiTheme="minorHAnsi" w:cstheme="minorHAnsi"/>
          <w:color w:val="000000" w:themeColor="text1"/>
          <w:sz w:val="22"/>
          <w:szCs w:val="28"/>
        </w:rPr>
      </w:pPr>
      <w:r w:rsidRPr="00F55A08">
        <w:rPr>
          <w:rFonts w:asciiTheme="minorHAnsi" w:hAnsiTheme="minorHAnsi" w:cstheme="minorHAnsi"/>
          <w:color w:val="000000" w:themeColor="text1"/>
          <w:sz w:val="22"/>
          <w:szCs w:val="28"/>
        </w:rPr>
        <w:t>SL-U Mode 2 supports opportunistic transmission (i.e., early transmission) based on LBT success.</w:t>
      </w:r>
    </w:p>
    <w:p w14:paraId="27089C02" w14:textId="46BF28C5" w:rsidR="00885BF4" w:rsidRPr="00F55A08" w:rsidRDefault="00885BF4">
      <w:pPr>
        <w:pStyle w:val="ListParagraph"/>
        <w:numPr>
          <w:ilvl w:val="3"/>
          <w:numId w:val="19"/>
        </w:numPr>
        <w:ind w:leftChars="0"/>
        <w:rPr>
          <w:rFonts w:asciiTheme="minorHAnsi" w:hAnsiTheme="minorHAnsi" w:cstheme="minorHAnsi"/>
          <w:color w:val="000000" w:themeColor="text1"/>
          <w:sz w:val="22"/>
          <w:szCs w:val="28"/>
        </w:rPr>
      </w:pPr>
      <w:r w:rsidRPr="00F55A08">
        <w:rPr>
          <w:rFonts w:asciiTheme="minorHAnsi" w:hAnsiTheme="minorHAnsi" w:cstheme="minorHAnsi"/>
          <w:color w:val="000000" w:themeColor="text1"/>
          <w:sz w:val="22"/>
          <w:szCs w:val="28"/>
        </w:rPr>
        <w:t>Step 1: A UE performs sensing and resource selection based on the resource selection procedures specified in SL Rel-16 (or Rel-17), to select resources for an initial transmission and possibly for some retransmissions of a TB.</w:t>
      </w:r>
    </w:p>
    <w:p w14:paraId="2E8BE203" w14:textId="5369A518" w:rsidR="00885BF4" w:rsidRPr="00F55A08" w:rsidRDefault="00885BF4">
      <w:pPr>
        <w:pStyle w:val="ListParagraph"/>
        <w:numPr>
          <w:ilvl w:val="3"/>
          <w:numId w:val="19"/>
        </w:numPr>
        <w:ind w:leftChars="0"/>
        <w:rPr>
          <w:rFonts w:asciiTheme="minorHAnsi" w:hAnsiTheme="minorHAnsi" w:cstheme="minorHAnsi"/>
          <w:color w:val="000000" w:themeColor="text1"/>
          <w:sz w:val="22"/>
          <w:szCs w:val="28"/>
        </w:rPr>
      </w:pPr>
      <w:r w:rsidRPr="00F55A08">
        <w:rPr>
          <w:rFonts w:asciiTheme="minorHAnsi" w:hAnsiTheme="minorHAnsi" w:cstheme="minorHAnsi"/>
          <w:color w:val="000000" w:themeColor="text1"/>
          <w:sz w:val="22"/>
          <w:szCs w:val="28"/>
        </w:rPr>
        <w:t>Step 2: The UE starts performing CCA/LBT as soon as the packet arrives at the buffer and in addition also selects the first available resource (from the set of available resources) when the channel is found to be available by LBT procedure. We call this as opportunistic transmission. In case the channel is not found to be available by LBT procedure before the initially selected resource, the UE waits to transmit on the initially selected resource.</w:t>
      </w:r>
    </w:p>
    <w:p w14:paraId="16EF62A9" w14:textId="25B08ACF" w:rsidR="00885BF4" w:rsidRPr="00F55A08" w:rsidRDefault="0045671D">
      <w:pPr>
        <w:pStyle w:val="ListParagraph"/>
        <w:numPr>
          <w:ilvl w:val="2"/>
          <w:numId w:val="19"/>
        </w:numPr>
        <w:ind w:leftChars="0"/>
        <w:rPr>
          <w:rFonts w:asciiTheme="minorHAnsi" w:hAnsiTheme="minorHAnsi" w:cstheme="minorHAnsi"/>
          <w:color w:val="000000" w:themeColor="text1"/>
          <w:sz w:val="22"/>
          <w:szCs w:val="28"/>
        </w:rPr>
      </w:pPr>
      <w:r w:rsidRPr="00F55A08">
        <w:rPr>
          <w:rFonts w:asciiTheme="minorHAnsi" w:hAnsiTheme="minorHAnsi" w:cstheme="minorHAnsi"/>
          <w:color w:val="000000" w:themeColor="text1"/>
          <w:sz w:val="22"/>
          <w:szCs w:val="28"/>
        </w:rPr>
        <w:t>To reduce the spread of different transmissions over time, we propose to adopt ‘frequency-first’ selection instead of random selection during resource selection procedure (step 1 above).</w:t>
      </w:r>
    </w:p>
    <w:p w14:paraId="00C9DEBA" w14:textId="69752F8F" w:rsidR="00E618F7" w:rsidRPr="00F55A08" w:rsidRDefault="00E618F7">
      <w:pPr>
        <w:pStyle w:val="ListParagraph"/>
        <w:numPr>
          <w:ilvl w:val="2"/>
          <w:numId w:val="19"/>
        </w:numPr>
        <w:ind w:leftChars="0"/>
        <w:rPr>
          <w:rFonts w:asciiTheme="minorHAnsi" w:hAnsiTheme="minorHAnsi" w:cstheme="minorHAnsi"/>
          <w:color w:val="000000" w:themeColor="text1"/>
          <w:sz w:val="22"/>
          <w:szCs w:val="28"/>
        </w:rPr>
      </w:pPr>
      <w:r w:rsidRPr="00F55A08">
        <w:rPr>
          <w:rFonts w:asciiTheme="minorHAnsi" w:hAnsiTheme="minorHAnsi" w:cstheme="minorHAnsi"/>
          <w:color w:val="000000" w:themeColor="text1"/>
          <w:sz w:val="22"/>
          <w:szCs w:val="28"/>
        </w:rPr>
        <w:t>LBT failure before the selected resource triggers resource re-selection.</w:t>
      </w:r>
    </w:p>
    <w:p w14:paraId="531D7322" w14:textId="43CC97C9" w:rsidR="007508E5" w:rsidRPr="00F55A08" w:rsidRDefault="00717ACD">
      <w:pPr>
        <w:pStyle w:val="ListParagraph"/>
        <w:numPr>
          <w:ilvl w:val="2"/>
          <w:numId w:val="19"/>
        </w:numPr>
        <w:ind w:leftChars="0"/>
        <w:rPr>
          <w:rFonts w:asciiTheme="minorHAnsi" w:hAnsiTheme="minorHAnsi" w:cstheme="minorHAnsi"/>
          <w:color w:val="000000" w:themeColor="text1"/>
          <w:sz w:val="22"/>
          <w:szCs w:val="28"/>
        </w:rPr>
      </w:pPr>
      <w:r w:rsidRPr="00F55A08">
        <w:rPr>
          <w:rFonts w:asciiTheme="minorHAnsi" w:hAnsiTheme="minorHAnsi" w:cstheme="minorHAnsi"/>
          <w:color w:val="000000" w:themeColor="text1"/>
          <w:sz w:val="22"/>
          <w:szCs w:val="28"/>
        </w:rPr>
        <w:lastRenderedPageBreak/>
        <w:t>RAN1 specifies enhancements to resource selection for wideband mode such that the selected resources are confined within a single channel unless TB size demands otherwise.</w:t>
      </w:r>
    </w:p>
    <w:p w14:paraId="1AE7C374" w14:textId="77777777" w:rsidR="00990545" w:rsidRPr="00990545" w:rsidRDefault="00990545" w:rsidP="00990545">
      <w:pPr>
        <w:rPr>
          <w:rFonts w:asciiTheme="minorHAnsi" w:hAnsiTheme="minorHAnsi" w:cstheme="minorHAnsi"/>
          <w:sz w:val="22"/>
          <w:szCs w:val="28"/>
        </w:rPr>
      </w:pPr>
    </w:p>
    <w:p w14:paraId="7C090312" w14:textId="77777777" w:rsidR="00990545" w:rsidRDefault="00990545" w:rsidP="00990545">
      <w:pPr>
        <w:pStyle w:val="Heading2"/>
      </w:pPr>
      <w:r>
        <w:t>Evaluation methodology</w:t>
      </w:r>
    </w:p>
    <w:p w14:paraId="00C7B392" w14:textId="77777777" w:rsidR="00990545" w:rsidRPr="000E3F9A" w:rsidRDefault="00990545" w:rsidP="00990545">
      <w:pPr>
        <w:pStyle w:val="ListParagraph"/>
        <w:numPr>
          <w:ilvl w:val="0"/>
          <w:numId w:val="15"/>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Remaining details of Scenario 1 (commercial use cases)</w:t>
      </w:r>
    </w:p>
    <w:p w14:paraId="5A60C060" w14:textId="25A7B72F" w:rsidR="0018592F" w:rsidRDefault="00300823" w:rsidP="00990545">
      <w:pPr>
        <w:pStyle w:val="ListParagraph"/>
        <w:numPr>
          <w:ilvl w:val="1"/>
          <w:numId w:val="15"/>
        </w:numPr>
        <w:ind w:leftChars="0"/>
        <w:rPr>
          <w:rFonts w:asciiTheme="minorHAnsi" w:hAnsiTheme="minorHAnsi" w:cstheme="minorHAnsi"/>
          <w:sz w:val="22"/>
          <w:szCs w:val="28"/>
        </w:rPr>
      </w:pPr>
      <w:r>
        <w:rPr>
          <w:rFonts w:asciiTheme="minorHAnsi" w:hAnsiTheme="minorHAnsi" w:cstheme="minorHAnsi"/>
          <w:sz w:val="22"/>
          <w:szCs w:val="28"/>
        </w:rPr>
        <w:t xml:space="preserve">Traffic model Option 1 – periodic model 3 (FFS </w:t>
      </w:r>
      <w:r w:rsidRPr="00300823">
        <w:rPr>
          <w:rFonts w:asciiTheme="minorHAnsi" w:hAnsiTheme="minorHAnsi" w:cstheme="minorHAnsi"/>
          <w:sz w:val="22"/>
          <w:szCs w:val="28"/>
        </w:rPr>
        <w:t>whether/how the PDB requirement can be captured</w:t>
      </w:r>
      <w:r>
        <w:rPr>
          <w:rFonts w:asciiTheme="minorHAnsi" w:hAnsiTheme="minorHAnsi" w:cstheme="minorHAnsi"/>
          <w:sz w:val="22"/>
          <w:szCs w:val="28"/>
        </w:rPr>
        <w:t>)</w:t>
      </w:r>
    </w:p>
    <w:p w14:paraId="0037546E" w14:textId="252A8997" w:rsidR="0018592F" w:rsidRPr="0018592F" w:rsidRDefault="008E2137" w:rsidP="0018592F">
      <w:pPr>
        <w:pStyle w:val="ListParagraph"/>
        <w:numPr>
          <w:ilvl w:val="2"/>
          <w:numId w:val="15"/>
        </w:numPr>
        <w:ind w:leftChars="0"/>
        <w:rPr>
          <w:rFonts w:asciiTheme="minorHAnsi" w:hAnsiTheme="minorHAnsi" w:cstheme="minorHAnsi"/>
          <w:sz w:val="22"/>
          <w:szCs w:val="28"/>
        </w:rPr>
      </w:pPr>
      <w:r>
        <w:rPr>
          <w:rFonts w:asciiTheme="minorHAnsi" w:hAnsiTheme="minorHAnsi" w:cstheme="minorHAnsi"/>
          <w:sz w:val="22"/>
          <w:szCs w:val="28"/>
        </w:rPr>
        <w:t xml:space="preserve">[4/HW, HiSi]: </w:t>
      </w:r>
      <w:r w:rsidRPr="008E2137">
        <w:rPr>
          <w:rFonts w:asciiTheme="minorHAnsi" w:hAnsiTheme="minorHAnsi" w:cstheme="minorHAnsi"/>
          <w:sz w:val="22"/>
          <w:szCs w:val="28"/>
        </w:rPr>
        <w:t>The packet should be dropped if its latency exceeds the PDB, and the latency is determined as the duration between the time of packet generation and the end time of simulation.</w:t>
      </w:r>
    </w:p>
    <w:p w14:paraId="08408CFC" w14:textId="0C69D0DE" w:rsidR="00990545" w:rsidRPr="00990545" w:rsidRDefault="00300823" w:rsidP="00990545">
      <w:pPr>
        <w:pStyle w:val="ListParagraph"/>
        <w:numPr>
          <w:ilvl w:val="1"/>
          <w:numId w:val="15"/>
        </w:numPr>
        <w:ind w:leftChars="0"/>
        <w:rPr>
          <w:rFonts w:asciiTheme="minorHAnsi" w:hAnsiTheme="minorHAnsi" w:cstheme="minorHAnsi"/>
          <w:sz w:val="22"/>
          <w:szCs w:val="28"/>
        </w:rPr>
      </w:pPr>
      <w:r>
        <w:rPr>
          <w:rFonts w:asciiTheme="minorHAnsi" w:hAnsiTheme="minorHAnsi" w:cstheme="minorHAnsi"/>
          <w:sz w:val="22"/>
          <w:szCs w:val="28"/>
        </w:rPr>
        <w:t xml:space="preserve">Traffic model Option 3 – </w:t>
      </w:r>
      <w:r w:rsidRPr="00300823">
        <w:rPr>
          <w:rFonts w:asciiTheme="minorHAnsi" w:hAnsiTheme="minorHAnsi" w:cstheme="minorHAnsi"/>
          <w:sz w:val="22"/>
          <w:szCs w:val="28"/>
        </w:rPr>
        <w:t>XR cloud gaming</w:t>
      </w:r>
      <w:r>
        <w:rPr>
          <w:rFonts w:asciiTheme="minorHAnsi" w:hAnsiTheme="minorHAnsi" w:cstheme="minorHAnsi"/>
          <w:sz w:val="22"/>
          <w:szCs w:val="28"/>
        </w:rPr>
        <w:t xml:space="preserve"> (FFS </w:t>
      </w:r>
      <w:r w:rsidRPr="00300823">
        <w:rPr>
          <w:rFonts w:asciiTheme="minorHAnsi" w:hAnsiTheme="minorHAnsi" w:cstheme="minorHAnsi"/>
          <w:sz w:val="22"/>
          <w:szCs w:val="28"/>
        </w:rPr>
        <w:t>whether/how the PDB requirement can be captured</w:t>
      </w:r>
      <w:r>
        <w:rPr>
          <w:rFonts w:asciiTheme="minorHAnsi" w:hAnsiTheme="minorHAnsi" w:cstheme="minorHAnsi"/>
          <w:sz w:val="22"/>
          <w:szCs w:val="28"/>
        </w:rPr>
        <w:t>)</w:t>
      </w:r>
    </w:p>
    <w:p w14:paraId="2F6D41B7" w14:textId="3B0F16D0" w:rsidR="00990545" w:rsidRDefault="008E2137" w:rsidP="00990545">
      <w:pPr>
        <w:pStyle w:val="ListParagraph"/>
        <w:numPr>
          <w:ilvl w:val="2"/>
          <w:numId w:val="15"/>
        </w:numPr>
        <w:ind w:leftChars="0"/>
        <w:rPr>
          <w:rFonts w:asciiTheme="minorHAnsi" w:hAnsiTheme="minorHAnsi" w:cstheme="minorHAnsi"/>
          <w:sz w:val="22"/>
          <w:szCs w:val="28"/>
        </w:rPr>
      </w:pPr>
      <w:r>
        <w:rPr>
          <w:rFonts w:asciiTheme="minorHAnsi" w:hAnsiTheme="minorHAnsi" w:cstheme="minorHAnsi"/>
          <w:sz w:val="22"/>
          <w:szCs w:val="28"/>
        </w:rPr>
        <w:t xml:space="preserve">[4/HW, HiSi]: </w:t>
      </w:r>
      <w:r w:rsidRPr="008E2137">
        <w:rPr>
          <w:rFonts w:asciiTheme="minorHAnsi" w:hAnsiTheme="minorHAnsi" w:cstheme="minorHAnsi"/>
          <w:sz w:val="22"/>
          <w:szCs w:val="28"/>
        </w:rPr>
        <w:t>The packet should be dropped if its latency exceeds the PDB, and the latency is determined as the duration between the time of packet generation and the end time of simulation.</w:t>
      </w:r>
    </w:p>
    <w:p w14:paraId="48D030DA" w14:textId="177E128E" w:rsidR="00300823" w:rsidRDefault="00300823" w:rsidP="00300823">
      <w:pPr>
        <w:pStyle w:val="ListParagraph"/>
        <w:numPr>
          <w:ilvl w:val="1"/>
          <w:numId w:val="15"/>
        </w:numPr>
        <w:ind w:leftChars="0"/>
        <w:rPr>
          <w:rFonts w:asciiTheme="minorHAnsi" w:hAnsiTheme="minorHAnsi" w:cstheme="minorHAnsi"/>
          <w:sz w:val="22"/>
          <w:szCs w:val="28"/>
        </w:rPr>
      </w:pPr>
      <w:r>
        <w:rPr>
          <w:rFonts w:asciiTheme="minorHAnsi" w:hAnsiTheme="minorHAnsi" w:cstheme="minorHAnsi"/>
          <w:sz w:val="22"/>
          <w:szCs w:val="28"/>
        </w:rPr>
        <w:t>Performance metric:</w:t>
      </w:r>
    </w:p>
    <w:p w14:paraId="5A9A88F5" w14:textId="6FC9FE67" w:rsidR="00300823" w:rsidRDefault="00300823" w:rsidP="00300823">
      <w:pPr>
        <w:pStyle w:val="ListParagraph"/>
        <w:numPr>
          <w:ilvl w:val="2"/>
          <w:numId w:val="15"/>
        </w:numPr>
        <w:ind w:leftChars="0"/>
        <w:rPr>
          <w:rFonts w:asciiTheme="minorHAnsi" w:hAnsiTheme="minorHAnsi" w:cstheme="minorHAnsi"/>
          <w:sz w:val="22"/>
          <w:szCs w:val="28"/>
        </w:rPr>
      </w:pPr>
      <w:r w:rsidRPr="00300823">
        <w:rPr>
          <w:rFonts w:asciiTheme="minorHAnsi" w:hAnsiTheme="minorHAnsi" w:cstheme="minorHAnsi"/>
          <w:sz w:val="22"/>
          <w:szCs w:val="28"/>
        </w:rPr>
        <w:t>FFS: UE satisfaction/system capacity as section 7.2 in TR 38.838 for XR traffic evaluation</w:t>
      </w:r>
    </w:p>
    <w:p w14:paraId="3331B82B" w14:textId="073B3572" w:rsidR="00300823" w:rsidRDefault="00F46459" w:rsidP="00300823">
      <w:pPr>
        <w:pStyle w:val="ListParagraph"/>
        <w:numPr>
          <w:ilvl w:val="3"/>
          <w:numId w:val="15"/>
        </w:numPr>
        <w:ind w:leftChars="0"/>
        <w:rPr>
          <w:rFonts w:asciiTheme="minorHAnsi" w:hAnsiTheme="minorHAnsi" w:cstheme="minorHAnsi"/>
          <w:sz w:val="22"/>
          <w:szCs w:val="28"/>
        </w:rPr>
      </w:pPr>
      <w:r>
        <w:rPr>
          <w:rFonts w:asciiTheme="minorHAnsi" w:hAnsiTheme="minorHAnsi" w:cstheme="minorHAnsi"/>
          <w:sz w:val="22"/>
          <w:szCs w:val="28"/>
        </w:rPr>
        <w:t>This performance metric is not needed: [4/HW, HiSi]</w:t>
      </w:r>
    </w:p>
    <w:p w14:paraId="6AD69F87" w14:textId="7CF079DD" w:rsidR="00300823" w:rsidRDefault="00300823" w:rsidP="00300823">
      <w:pPr>
        <w:pStyle w:val="ListParagraph"/>
        <w:numPr>
          <w:ilvl w:val="2"/>
          <w:numId w:val="15"/>
        </w:numPr>
        <w:ind w:leftChars="0"/>
        <w:rPr>
          <w:rFonts w:asciiTheme="minorHAnsi" w:hAnsiTheme="minorHAnsi" w:cstheme="minorHAnsi"/>
          <w:sz w:val="22"/>
          <w:szCs w:val="28"/>
        </w:rPr>
      </w:pPr>
      <w:r w:rsidRPr="00300823">
        <w:rPr>
          <w:rFonts w:asciiTheme="minorHAnsi" w:hAnsiTheme="minorHAnsi" w:cstheme="minorHAnsi"/>
          <w:sz w:val="22"/>
          <w:szCs w:val="28"/>
        </w:rPr>
        <w:t>FFS for groupcast and broadcast</w:t>
      </w:r>
    </w:p>
    <w:p w14:paraId="75825B7E" w14:textId="77777777" w:rsidR="00912635" w:rsidRDefault="00912635" w:rsidP="00912635">
      <w:pPr>
        <w:pStyle w:val="ListParagraph"/>
        <w:numPr>
          <w:ilvl w:val="3"/>
          <w:numId w:val="15"/>
        </w:numPr>
        <w:ind w:leftChars="0"/>
        <w:rPr>
          <w:rFonts w:asciiTheme="minorHAnsi" w:hAnsiTheme="minorHAnsi" w:cstheme="minorHAnsi"/>
          <w:sz w:val="22"/>
          <w:szCs w:val="28"/>
        </w:rPr>
      </w:pPr>
      <w:r>
        <w:rPr>
          <w:rFonts w:asciiTheme="minorHAnsi" w:hAnsiTheme="minorHAnsi" w:cstheme="minorHAnsi"/>
          <w:sz w:val="22"/>
          <w:szCs w:val="28"/>
        </w:rPr>
        <w:t xml:space="preserve">[4/HW, HiSi]: For GC and BC, a </w:t>
      </w:r>
      <w:r w:rsidRPr="00F46459">
        <w:rPr>
          <w:rFonts w:asciiTheme="minorHAnsi" w:hAnsiTheme="minorHAnsi" w:cstheme="minorHAnsi"/>
          <w:sz w:val="22"/>
          <w:szCs w:val="28"/>
        </w:rPr>
        <w:t>device within the range (a, b) from the TX can be a receiver, and the UPT/latency/PRR can be calculated by average.</w:t>
      </w:r>
      <w:r>
        <w:rPr>
          <w:rFonts w:asciiTheme="minorHAnsi" w:hAnsiTheme="minorHAnsi" w:cstheme="minorHAnsi"/>
          <w:sz w:val="22"/>
          <w:szCs w:val="28"/>
        </w:rPr>
        <w:t xml:space="preserve"> </w:t>
      </w:r>
      <w:r w:rsidRPr="00F46459">
        <w:rPr>
          <w:rFonts w:asciiTheme="minorHAnsi" w:hAnsiTheme="minorHAnsi" w:cstheme="minorHAnsi"/>
          <w:sz w:val="22"/>
          <w:szCs w:val="28"/>
        </w:rPr>
        <w:t>The packet whose delay exceeding the remaining PDB as transmission failure</w:t>
      </w:r>
      <w:r>
        <w:rPr>
          <w:rFonts w:asciiTheme="minorHAnsi" w:hAnsiTheme="minorHAnsi" w:cstheme="minorHAnsi"/>
          <w:sz w:val="22"/>
          <w:szCs w:val="28"/>
        </w:rPr>
        <w:t>.</w:t>
      </w:r>
    </w:p>
    <w:p w14:paraId="14BE6F21" w14:textId="3248F1A8" w:rsidR="00912635" w:rsidRDefault="00912635" w:rsidP="00300823">
      <w:pPr>
        <w:pStyle w:val="ListParagraph"/>
        <w:numPr>
          <w:ilvl w:val="3"/>
          <w:numId w:val="15"/>
        </w:numPr>
        <w:ind w:leftChars="0"/>
        <w:rPr>
          <w:rFonts w:asciiTheme="minorHAnsi" w:hAnsiTheme="minorHAnsi" w:cstheme="minorHAnsi"/>
          <w:sz w:val="22"/>
          <w:szCs w:val="28"/>
        </w:rPr>
      </w:pPr>
      <w:r>
        <w:rPr>
          <w:rFonts w:asciiTheme="minorHAnsi" w:hAnsiTheme="minorHAnsi" w:cstheme="minorHAnsi"/>
          <w:sz w:val="22"/>
          <w:szCs w:val="28"/>
        </w:rPr>
        <w:t>[7/ZTE, SC]</w:t>
      </w:r>
    </w:p>
    <w:p w14:paraId="336B80B1" w14:textId="3BCD724B" w:rsidR="00912635" w:rsidRDefault="00912635" w:rsidP="00912635">
      <w:pPr>
        <w:pStyle w:val="ListParagraph"/>
        <w:numPr>
          <w:ilvl w:val="4"/>
          <w:numId w:val="15"/>
        </w:numPr>
        <w:ind w:leftChars="0"/>
        <w:rPr>
          <w:rFonts w:asciiTheme="minorHAnsi" w:hAnsiTheme="minorHAnsi" w:cstheme="minorHAnsi"/>
          <w:sz w:val="22"/>
          <w:szCs w:val="28"/>
        </w:rPr>
      </w:pPr>
      <w:r w:rsidRPr="00912635">
        <w:rPr>
          <w:rFonts w:asciiTheme="minorHAnsi" w:hAnsiTheme="minorHAnsi" w:cstheme="minorHAnsi"/>
          <w:sz w:val="22"/>
          <w:szCs w:val="28"/>
        </w:rPr>
        <w:t>For groupcast and broadcast, both UPT and latency are calculated at the per-link level</w:t>
      </w:r>
      <w:r>
        <w:rPr>
          <w:rFonts w:asciiTheme="minorHAnsi" w:hAnsiTheme="minorHAnsi" w:cstheme="minorHAnsi"/>
          <w:sz w:val="22"/>
          <w:szCs w:val="28"/>
        </w:rPr>
        <w:t>.</w:t>
      </w:r>
    </w:p>
    <w:p w14:paraId="5B94DFA2" w14:textId="53A68A4D" w:rsidR="00912635" w:rsidRDefault="00912635" w:rsidP="00912635">
      <w:pPr>
        <w:pStyle w:val="ListParagraph"/>
        <w:numPr>
          <w:ilvl w:val="4"/>
          <w:numId w:val="15"/>
        </w:numPr>
        <w:ind w:leftChars="0"/>
        <w:rPr>
          <w:rFonts w:asciiTheme="minorHAnsi" w:hAnsiTheme="minorHAnsi" w:cstheme="minorHAnsi"/>
          <w:sz w:val="22"/>
          <w:szCs w:val="28"/>
        </w:rPr>
      </w:pPr>
      <w:r w:rsidRPr="00912635">
        <w:rPr>
          <w:rFonts w:asciiTheme="minorHAnsi" w:hAnsiTheme="minorHAnsi" w:cstheme="minorHAnsi"/>
          <w:sz w:val="22"/>
          <w:szCs w:val="28"/>
        </w:rPr>
        <w:t>For the UPT/latency of broadcast, statistics of them should be carried out within a certain distance range</w:t>
      </w:r>
      <w:r>
        <w:rPr>
          <w:rFonts w:asciiTheme="minorHAnsi" w:hAnsiTheme="minorHAnsi" w:cstheme="minorHAnsi"/>
          <w:sz w:val="22"/>
          <w:szCs w:val="28"/>
        </w:rPr>
        <w:t>.</w:t>
      </w:r>
    </w:p>
    <w:p w14:paraId="1D27F1AB" w14:textId="6AF4592D" w:rsidR="00912635" w:rsidRDefault="00912635" w:rsidP="00912635">
      <w:pPr>
        <w:pStyle w:val="ListParagraph"/>
        <w:numPr>
          <w:ilvl w:val="4"/>
          <w:numId w:val="15"/>
        </w:numPr>
        <w:ind w:leftChars="0"/>
        <w:rPr>
          <w:rFonts w:asciiTheme="minorHAnsi" w:hAnsiTheme="minorHAnsi" w:cstheme="minorHAnsi"/>
          <w:sz w:val="22"/>
          <w:szCs w:val="28"/>
        </w:rPr>
      </w:pPr>
      <w:r w:rsidRPr="00912635">
        <w:rPr>
          <w:rFonts w:asciiTheme="minorHAnsi" w:hAnsiTheme="minorHAnsi" w:cstheme="minorHAnsi"/>
          <w:sz w:val="22"/>
          <w:szCs w:val="28"/>
        </w:rPr>
        <w:t>For the PRR of groupcast and broadcast, it is suggested to reuse the PRR type 1/2 statistics defined in TR 37.885, and the range (a, b) can be selected and reported by each company.</w:t>
      </w:r>
    </w:p>
    <w:p w14:paraId="7300CA04" w14:textId="24FCE3DE" w:rsidR="00C4126B" w:rsidRDefault="00C4126B" w:rsidP="00300823">
      <w:pPr>
        <w:pStyle w:val="ListParagraph"/>
        <w:numPr>
          <w:ilvl w:val="3"/>
          <w:numId w:val="15"/>
        </w:numPr>
        <w:ind w:leftChars="0"/>
        <w:rPr>
          <w:rFonts w:asciiTheme="minorHAnsi" w:hAnsiTheme="minorHAnsi" w:cstheme="minorHAnsi"/>
          <w:sz w:val="22"/>
          <w:szCs w:val="28"/>
        </w:rPr>
      </w:pPr>
      <w:r>
        <w:rPr>
          <w:rFonts w:asciiTheme="minorHAnsi" w:hAnsiTheme="minorHAnsi" w:cstheme="minorHAnsi"/>
          <w:sz w:val="22"/>
          <w:szCs w:val="28"/>
        </w:rPr>
        <w:t>[6/vivo]:</w:t>
      </w:r>
    </w:p>
    <w:p w14:paraId="7F91D441" w14:textId="3B4BCDCC" w:rsidR="00C4126B" w:rsidRDefault="00C4126B" w:rsidP="00C4126B">
      <w:pPr>
        <w:pStyle w:val="ListParagraph"/>
        <w:numPr>
          <w:ilvl w:val="4"/>
          <w:numId w:val="15"/>
        </w:numPr>
        <w:ind w:leftChars="0"/>
        <w:rPr>
          <w:rFonts w:asciiTheme="minorHAnsi" w:hAnsiTheme="minorHAnsi" w:cstheme="minorHAnsi"/>
          <w:sz w:val="22"/>
          <w:szCs w:val="28"/>
        </w:rPr>
      </w:pPr>
      <w:r>
        <w:rPr>
          <w:rFonts w:asciiTheme="minorHAnsi" w:hAnsiTheme="minorHAnsi" w:cstheme="minorHAnsi"/>
          <w:sz w:val="22"/>
          <w:szCs w:val="28"/>
        </w:rPr>
        <w:t>For broadcast, the same as unicast communication</w:t>
      </w:r>
    </w:p>
    <w:p w14:paraId="6622D643" w14:textId="77A067A6" w:rsidR="00C4126B" w:rsidRDefault="00C4126B" w:rsidP="00C4126B">
      <w:pPr>
        <w:pStyle w:val="ListParagraph"/>
        <w:numPr>
          <w:ilvl w:val="4"/>
          <w:numId w:val="15"/>
        </w:numPr>
        <w:ind w:leftChars="0"/>
        <w:rPr>
          <w:rFonts w:asciiTheme="minorHAnsi" w:hAnsiTheme="minorHAnsi" w:cstheme="minorHAnsi"/>
          <w:sz w:val="22"/>
          <w:szCs w:val="28"/>
        </w:rPr>
      </w:pPr>
      <w:r>
        <w:rPr>
          <w:rFonts w:asciiTheme="minorHAnsi" w:hAnsiTheme="minorHAnsi" w:cstheme="minorHAnsi"/>
          <w:sz w:val="22"/>
          <w:szCs w:val="28"/>
        </w:rPr>
        <w:t xml:space="preserve">For groupcast, the same as unicast when </w:t>
      </w:r>
      <w:r w:rsidR="00CE347C">
        <w:rPr>
          <w:rFonts w:asciiTheme="minorHAnsi" w:hAnsiTheme="minorHAnsi" w:cstheme="minorHAnsi"/>
          <w:sz w:val="22"/>
          <w:szCs w:val="28"/>
        </w:rPr>
        <w:t>the GC is only for the data from the UEs in the same group</w:t>
      </w:r>
    </w:p>
    <w:p w14:paraId="7093D4C5" w14:textId="52204416" w:rsidR="002D0665" w:rsidRDefault="002D0665" w:rsidP="00300823">
      <w:pPr>
        <w:pStyle w:val="ListParagraph"/>
        <w:numPr>
          <w:ilvl w:val="3"/>
          <w:numId w:val="15"/>
        </w:numPr>
        <w:ind w:leftChars="0"/>
        <w:rPr>
          <w:rFonts w:asciiTheme="minorHAnsi" w:hAnsiTheme="minorHAnsi" w:cstheme="minorHAnsi"/>
          <w:sz w:val="22"/>
          <w:szCs w:val="28"/>
        </w:rPr>
      </w:pPr>
      <w:r>
        <w:rPr>
          <w:rFonts w:asciiTheme="minorHAnsi" w:hAnsiTheme="minorHAnsi" w:cstheme="minorHAnsi"/>
          <w:sz w:val="22"/>
          <w:szCs w:val="28"/>
        </w:rPr>
        <w:t>[36/E///]</w:t>
      </w:r>
    </w:p>
    <w:p w14:paraId="3AE0E200" w14:textId="19D58435" w:rsidR="002D0665" w:rsidRDefault="002D0665" w:rsidP="002D0665">
      <w:pPr>
        <w:pStyle w:val="ListParagraph"/>
        <w:numPr>
          <w:ilvl w:val="4"/>
          <w:numId w:val="15"/>
        </w:numPr>
        <w:ind w:leftChars="0"/>
        <w:rPr>
          <w:rFonts w:asciiTheme="minorHAnsi" w:hAnsiTheme="minorHAnsi" w:cstheme="minorHAnsi"/>
          <w:sz w:val="22"/>
          <w:szCs w:val="28"/>
        </w:rPr>
      </w:pPr>
      <w:r>
        <w:rPr>
          <w:rFonts w:asciiTheme="minorHAnsi" w:hAnsiTheme="minorHAnsi" w:cstheme="minorHAnsi"/>
          <w:sz w:val="22"/>
          <w:szCs w:val="28"/>
        </w:rPr>
        <w:t xml:space="preserve">For GC, </w:t>
      </w:r>
      <w:r w:rsidRPr="002D0665">
        <w:rPr>
          <w:rFonts w:asciiTheme="minorHAnsi" w:hAnsiTheme="minorHAnsi" w:cstheme="minorHAnsi"/>
          <w:sz w:val="22"/>
          <w:szCs w:val="28"/>
        </w:rPr>
        <w:t>UPT and latency for a packet is measured from the perspective of the worst-case RX (i.e., the one with the longest transmission time).</w:t>
      </w:r>
    </w:p>
    <w:p w14:paraId="30D5C22B" w14:textId="7FB7A7DF" w:rsidR="002D0665" w:rsidRDefault="002D0665" w:rsidP="002D0665">
      <w:pPr>
        <w:pStyle w:val="ListParagraph"/>
        <w:numPr>
          <w:ilvl w:val="4"/>
          <w:numId w:val="15"/>
        </w:numPr>
        <w:ind w:leftChars="0"/>
        <w:rPr>
          <w:rFonts w:asciiTheme="minorHAnsi" w:hAnsiTheme="minorHAnsi" w:cstheme="minorHAnsi"/>
          <w:sz w:val="22"/>
          <w:szCs w:val="28"/>
        </w:rPr>
      </w:pPr>
      <w:r>
        <w:rPr>
          <w:rFonts w:asciiTheme="minorHAnsi" w:hAnsiTheme="minorHAnsi" w:cstheme="minorHAnsi"/>
          <w:sz w:val="22"/>
          <w:szCs w:val="28"/>
        </w:rPr>
        <w:t xml:space="preserve">For BC, </w:t>
      </w:r>
      <w:r w:rsidRPr="002D0665">
        <w:rPr>
          <w:rFonts w:asciiTheme="minorHAnsi" w:hAnsiTheme="minorHAnsi" w:cstheme="minorHAnsi"/>
          <w:sz w:val="22"/>
          <w:szCs w:val="28"/>
        </w:rPr>
        <w:t>UPT and latency for a packet are measured for each RX separately.</w:t>
      </w:r>
    </w:p>
    <w:p w14:paraId="74A87538" w14:textId="719467E9" w:rsidR="00165964" w:rsidRDefault="00165964" w:rsidP="00165964">
      <w:pPr>
        <w:pStyle w:val="ListParagraph"/>
        <w:numPr>
          <w:ilvl w:val="2"/>
          <w:numId w:val="15"/>
        </w:numPr>
        <w:ind w:leftChars="0"/>
        <w:rPr>
          <w:rFonts w:asciiTheme="minorHAnsi" w:hAnsiTheme="minorHAnsi" w:cstheme="minorHAnsi"/>
          <w:sz w:val="22"/>
          <w:szCs w:val="28"/>
        </w:rPr>
      </w:pPr>
      <w:r>
        <w:rPr>
          <w:rFonts w:asciiTheme="minorHAnsi" w:hAnsiTheme="minorHAnsi" w:cstheme="minorHAnsi"/>
          <w:sz w:val="22"/>
          <w:szCs w:val="28"/>
        </w:rPr>
        <w:t xml:space="preserve">[36/E///]: </w:t>
      </w:r>
      <w:r w:rsidRPr="00165964">
        <w:rPr>
          <w:rFonts w:asciiTheme="minorHAnsi" w:hAnsiTheme="minorHAnsi" w:cstheme="minorHAnsi"/>
          <w:sz w:val="22"/>
          <w:szCs w:val="28"/>
        </w:rPr>
        <w:t>PDB requirements are not defined for any of the traffic options.</w:t>
      </w:r>
    </w:p>
    <w:p w14:paraId="65634EA7" w14:textId="554816BE" w:rsidR="00912635" w:rsidRDefault="00912635" w:rsidP="00912635">
      <w:pPr>
        <w:pStyle w:val="ListParagraph"/>
        <w:numPr>
          <w:ilvl w:val="1"/>
          <w:numId w:val="15"/>
        </w:numPr>
        <w:ind w:leftChars="0"/>
        <w:rPr>
          <w:rFonts w:asciiTheme="minorHAnsi" w:hAnsiTheme="minorHAnsi" w:cstheme="minorHAnsi"/>
          <w:sz w:val="22"/>
          <w:szCs w:val="28"/>
        </w:rPr>
      </w:pPr>
      <w:r>
        <w:rPr>
          <w:rFonts w:asciiTheme="minorHAnsi" w:hAnsiTheme="minorHAnsi" w:cstheme="minorHAnsi"/>
          <w:sz w:val="22"/>
          <w:szCs w:val="28"/>
        </w:rPr>
        <w:t>Others</w:t>
      </w:r>
    </w:p>
    <w:p w14:paraId="499D68B0" w14:textId="102B848B" w:rsidR="00912635" w:rsidRDefault="00912635" w:rsidP="00912635">
      <w:pPr>
        <w:pStyle w:val="ListParagraph"/>
        <w:numPr>
          <w:ilvl w:val="2"/>
          <w:numId w:val="15"/>
        </w:numPr>
        <w:ind w:leftChars="0"/>
        <w:rPr>
          <w:rFonts w:asciiTheme="minorHAnsi" w:hAnsiTheme="minorHAnsi" w:cstheme="minorHAnsi"/>
          <w:sz w:val="22"/>
          <w:szCs w:val="28"/>
        </w:rPr>
      </w:pPr>
      <w:r>
        <w:rPr>
          <w:rFonts w:asciiTheme="minorHAnsi" w:hAnsiTheme="minorHAnsi" w:cstheme="minorHAnsi"/>
          <w:sz w:val="22"/>
          <w:szCs w:val="28"/>
        </w:rPr>
        <w:t>[7/ZTE, SC]</w:t>
      </w:r>
    </w:p>
    <w:p w14:paraId="70887EBE" w14:textId="244A9C1A" w:rsidR="00912635" w:rsidRDefault="00912635" w:rsidP="00912635">
      <w:pPr>
        <w:pStyle w:val="ListParagraph"/>
        <w:numPr>
          <w:ilvl w:val="3"/>
          <w:numId w:val="15"/>
        </w:numPr>
        <w:ind w:leftChars="0"/>
        <w:rPr>
          <w:rFonts w:asciiTheme="minorHAnsi" w:hAnsiTheme="minorHAnsi" w:cstheme="minorHAnsi"/>
          <w:sz w:val="22"/>
          <w:szCs w:val="28"/>
        </w:rPr>
      </w:pPr>
      <w:r w:rsidRPr="00912635">
        <w:rPr>
          <w:rFonts w:asciiTheme="minorHAnsi" w:hAnsiTheme="minorHAnsi" w:cstheme="minorHAnsi"/>
          <w:sz w:val="22"/>
          <w:szCs w:val="28"/>
        </w:rPr>
        <w:t>Interleaving resource allocation is used as the baseline simulation assumption.</w:t>
      </w:r>
      <w:r>
        <w:rPr>
          <w:rFonts w:asciiTheme="minorHAnsi" w:hAnsiTheme="minorHAnsi" w:cstheme="minorHAnsi"/>
          <w:sz w:val="22"/>
          <w:szCs w:val="28"/>
        </w:rPr>
        <w:t xml:space="preserve"> </w:t>
      </w:r>
      <w:r w:rsidRPr="00912635">
        <w:rPr>
          <w:rFonts w:asciiTheme="minorHAnsi" w:hAnsiTheme="minorHAnsi" w:cstheme="minorHAnsi"/>
          <w:sz w:val="22"/>
          <w:szCs w:val="28"/>
        </w:rPr>
        <w:t>Non interleaving resource allocation is optional for SL-U evaluation.</w:t>
      </w:r>
    </w:p>
    <w:p w14:paraId="5D5347EB" w14:textId="3CC08CE8" w:rsidR="00912635" w:rsidRDefault="00912635" w:rsidP="00912635">
      <w:pPr>
        <w:pStyle w:val="ListParagraph"/>
        <w:numPr>
          <w:ilvl w:val="3"/>
          <w:numId w:val="15"/>
        </w:numPr>
        <w:ind w:leftChars="0"/>
        <w:rPr>
          <w:rFonts w:asciiTheme="minorHAnsi" w:hAnsiTheme="minorHAnsi" w:cstheme="minorHAnsi"/>
          <w:sz w:val="22"/>
          <w:szCs w:val="28"/>
        </w:rPr>
      </w:pPr>
      <w:r>
        <w:rPr>
          <w:rFonts w:asciiTheme="minorHAnsi" w:hAnsiTheme="minorHAnsi" w:cstheme="minorHAnsi"/>
          <w:sz w:val="22"/>
          <w:szCs w:val="28"/>
        </w:rPr>
        <w:t>The</w:t>
      </w:r>
      <w:r w:rsidRPr="00912635">
        <w:rPr>
          <w:rFonts w:asciiTheme="minorHAnsi" w:hAnsiTheme="minorHAnsi" w:cstheme="minorHAnsi"/>
          <w:sz w:val="22"/>
          <w:szCs w:val="28"/>
        </w:rPr>
        <w:t xml:space="preserve"> final pathloss should be the maximum value of InH Mixed Office pathloss and zero value.</w:t>
      </w:r>
    </w:p>
    <w:p w14:paraId="41EA64EA" w14:textId="0CEA555F" w:rsidR="00912635" w:rsidRPr="00912635" w:rsidRDefault="00912635" w:rsidP="00912635">
      <w:pPr>
        <w:pStyle w:val="ListParagraph"/>
        <w:numPr>
          <w:ilvl w:val="3"/>
          <w:numId w:val="15"/>
        </w:numPr>
        <w:ind w:leftChars="0"/>
        <w:rPr>
          <w:rFonts w:asciiTheme="minorHAnsi" w:hAnsiTheme="minorHAnsi" w:cstheme="minorHAnsi"/>
          <w:sz w:val="22"/>
          <w:szCs w:val="28"/>
        </w:rPr>
      </w:pPr>
      <w:bookmarkStart w:id="242" w:name="_Toc115337782"/>
      <w:bookmarkStart w:id="243" w:name="_Toc115341145"/>
      <w:bookmarkStart w:id="244" w:name="_Toc115338321"/>
      <w:bookmarkStart w:id="245" w:name="_Toc115339332"/>
      <w:r w:rsidRPr="00912635">
        <w:rPr>
          <w:rFonts w:asciiTheme="minorHAnsi" w:hAnsiTheme="minorHAnsi" w:cstheme="minorHAnsi"/>
        </w:rPr>
        <w:lastRenderedPageBreak/>
        <w:t>For R17 sidelink commercial traffic model with periodic model 3</w:t>
      </w:r>
      <w:bookmarkEnd w:id="242"/>
      <w:bookmarkEnd w:id="243"/>
      <w:bookmarkEnd w:id="244"/>
      <w:bookmarkEnd w:id="245"/>
      <w:r w:rsidRPr="00912635">
        <w:rPr>
          <w:rFonts w:asciiTheme="minorHAnsi" w:hAnsiTheme="minorHAnsi" w:cstheme="minorHAnsi"/>
        </w:rPr>
        <w:t xml:space="preserve">, </w:t>
      </w:r>
      <w:bookmarkStart w:id="246" w:name="_Toc115339333"/>
      <w:bookmarkStart w:id="247" w:name="_Toc115341146"/>
      <w:bookmarkStart w:id="248" w:name="_Toc115338322"/>
      <w:r w:rsidRPr="00912635">
        <w:rPr>
          <w:rFonts w:asciiTheme="minorHAnsi" w:hAnsiTheme="minorHAnsi" w:cstheme="minorHAnsi"/>
        </w:rPr>
        <w:t>change the latency requirement from 30ms to 50ms</w:t>
      </w:r>
      <w:bookmarkEnd w:id="246"/>
      <w:bookmarkEnd w:id="247"/>
      <w:bookmarkEnd w:id="248"/>
      <w:r w:rsidRPr="00912635">
        <w:rPr>
          <w:rFonts w:asciiTheme="minorHAnsi" w:hAnsiTheme="minorHAnsi" w:cstheme="minorHAnsi"/>
        </w:rPr>
        <w:t>, and 50ms latency requirement can be used to determine the PDB requirement.</w:t>
      </w:r>
    </w:p>
    <w:p w14:paraId="0D7EE83B" w14:textId="77777777" w:rsidR="00990545" w:rsidRPr="00F54B1A" w:rsidRDefault="00990545" w:rsidP="00990545">
      <w:pPr>
        <w:pStyle w:val="ListParagraph"/>
        <w:numPr>
          <w:ilvl w:val="0"/>
          <w:numId w:val="15"/>
        </w:numPr>
        <w:ind w:leftChars="0"/>
        <w:rPr>
          <w:rFonts w:asciiTheme="minorHAnsi" w:hAnsiTheme="minorHAnsi" w:cstheme="minorHAnsi"/>
          <w:b/>
          <w:sz w:val="22"/>
          <w:szCs w:val="28"/>
          <w:u w:val="single"/>
        </w:rPr>
      </w:pPr>
      <w:r w:rsidRPr="00F54B1A">
        <w:rPr>
          <w:rFonts w:asciiTheme="minorHAnsi" w:eastAsiaTheme="minorEastAsia" w:hAnsiTheme="minorHAnsi" w:cstheme="minorHAnsi"/>
          <w:b/>
          <w:sz w:val="22"/>
          <w:szCs w:val="28"/>
          <w:u w:val="single"/>
          <w:lang w:eastAsia="zh-CN"/>
        </w:rPr>
        <w:t>Details for Scenario 2 (V2X use cases):</w:t>
      </w:r>
    </w:p>
    <w:p w14:paraId="55D78847" w14:textId="5E46A6A1" w:rsidR="00F54B1A" w:rsidRPr="00F54B1A" w:rsidRDefault="00990545" w:rsidP="00F54B1A">
      <w:pPr>
        <w:pStyle w:val="ListParagraph"/>
        <w:numPr>
          <w:ilvl w:val="1"/>
          <w:numId w:val="15"/>
        </w:numPr>
        <w:ind w:leftChars="0"/>
        <w:rPr>
          <w:rFonts w:asciiTheme="minorHAnsi" w:hAnsiTheme="minorHAnsi" w:cstheme="minorHAnsi"/>
          <w:sz w:val="22"/>
          <w:szCs w:val="28"/>
        </w:rPr>
      </w:pPr>
      <w:r w:rsidRPr="00F54B1A">
        <w:rPr>
          <w:rFonts w:asciiTheme="minorHAnsi" w:hAnsiTheme="minorHAnsi" w:cstheme="minorHAnsi"/>
          <w:bCs/>
          <w:sz w:val="22"/>
          <w:szCs w:val="28"/>
        </w:rPr>
        <w:t>[</w:t>
      </w:r>
      <w:r w:rsidR="00263C76" w:rsidRPr="00F54B1A">
        <w:rPr>
          <w:rFonts w:asciiTheme="minorHAnsi" w:hAnsiTheme="minorHAnsi" w:cstheme="minorHAnsi"/>
          <w:bCs/>
          <w:sz w:val="22"/>
          <w:szCs w:val="28"/>
        </w:rPr>
        <w:t>35/BOSCH</w:t>
      </w:r>
      <w:r w:rsidRPr="00F54B1A">
        <w:rPr>
          <w:rFonts w:asciiTheme="minorHAnsi" w:hAnsiTheme="minorHAnsi" w:cstheme="minorHAnsi"/>
          <w:bCs/>
          <w:sz w:val="22"/>
          <w:szCs w:val="28"/>
        </w:rPr>
        <w:t>]</w:t>
      </w:r>
      <w:r w:rsidRPr="00F54B1A">
        <w:rPr>
          <w:rFonts w:asciiTheme="minorHAnsi" w:eastAsiaTheme="minorEastAsia" w:hAnsiTheme="minorHAnsi" w:cstheme="minorHAnsi"/>
          <w:sz w:val="22"/>
          <w:szCs w:val="28"/>
          <w:lang w:eastAsia="zh-CN"/>
        </w:rPr>
        <w:t>:</w:t>
      </w:r>
      <w:r w:rsidR="00F54B1A" w:rsidRPr="00F54B1A">
        <w:rPr>
          <w:rFonts w:asciiTheme="minorHAnsi" w:hAnsiTheme="minorHAnsi" w:cstheme="minorHAnsi"/>
          <w:sz w:val="22"/>
          <w:szCs w:val="28"/>
        </w:rPr>
        <w:t xml:space="preserve"> Scenario 2 (V2X use cases):</w:t>
      </w:r>
    </w:p>
    <w:p w14:paraId="4893EFBF" w14:textId="77777777" w:rsidR="00F54B1A" w:rsidRPr="00F54B1A" w:rsidRDefault="00F54B1A">
      <w:pPr>
        <w:pStyle w:val="ListParagraph"/>
        <w:numPr>
          <w:ilvl w:val="1"/>
          <w:numId w:val="30"/>
        </w:numPr>
        <w:ind w:leftChars="0" w:left="2160"/>
        <w:jc w:val="both"/>
        <w:rPr>
          <w:rFonts w:asciiTheme="minorHAnsi" w:hAnsiTheme="minorHAnsi" w:cstheme="minorHAnsi"/>
          <w:sz w:val="22"/>
          <w:szCs w:val="28"/>
        </w:rPr>
      </w:pPr>
      <w:r w:rsidRPr="00F54B1A">
        <w:rPr>
          <w:rFonts w:asciiTheme="minorHAnsi" w:hAnsiTheme="minorHAnsi" w:cstheme="minorHAnsi"/>
          <w:sz w:val="22"/>
          <w:szCs w:val="28"/>
        </w:rPr>
        <w:t xml:space="preserve">Evaluation methodology baseline is </w:t>
      </w:r>
      <w:r w:rsidRPr="00F54B1A">
        <w:rPr>
          <w:rFonts w:asciiTheme="minorHAnsi" w:hAnsiTheme="minorHAnsi" w:cstheme="minorHAnsi"/>
          <w:sz w:val="22"/>
          <w:szCs w:val="28"/>
          <w:lang w:val="en-AU"/>
        </w:rPr>
        <w:t xml:space="preserve">NR sidelink </w:t>
      </w:r>
      <w:r w:rsidRPr="00F54B1A">
        <w:rPr>
          <w:rFonts w:asciiTheme="minorHAnsi" w:hAnsiTheme="minorHAnsi" w:cstheme="minorHAnsi"/>
          <w:sz w:val="22"/>
          <w:szCs w:val="28"/>
        </w:rPr>
        <w:t>from TR 37.885.</w:t>
      </w:r>
    </w:p>
    <w:p w14:paraId="6E615810" w14:textId="77777777" w:rsidR="00F54B1A" w:rsidRPr="00F54B1A" w:rsidRDefault="00F54B1A">
      <w:pPr>
        <w:pStyle w:val="ListParagraph"/>
        <w:numPr>
          <w:ilvl w:val="1"/>
          <w:numId w:val="30"/>
        </w:numPr>
        <w:ind w:leftChars="0" w:left="2160"/>
        <w:jc w:val="both"/>
        <w:rPr>
          <w:rFonts w:asciiTheme="minorHAnsi" w:hAnsiTheme="minorHAnsi" w:cstheme="minorHAnsi"/>
          <w:sz w:val="22"/>
          <w:szCs w:val="28"/>
        </w:rPr>
      </w:pPr>
      <w:r w:rsidRPr="00F54B1A">
        <w:rPr>
          <w:rFonts w:asciiTheme="minorHAnsi" w:hAnsiTheme="minorHAnsi" w:cstheme="minorHAnsi"/>
          <w:sz w:val="22"/>
          <w:szCs w:val="28"/>
        </w:rPr>
        <w:t>Layout: Highway and urban</w:t>
      </w:r>
    </w:p>
    <w:p w14:paraId="277C4A4F" w14:textId="77777777" w:rsidR="00F54B1A" w:rsidRPr="00F54B1A" w:rsidRDefault="00F54B1A">
      <w:pPr>
        <w:pStyle w:val="ListParagraph"/>
        <w:numPr>
          <w:ilvl w:val="1"/>
          <w:numId w:val="30"/>
        </w:numPr>
        <w:ind w:leftChars="0" w:left="2160"/>
        <w:jc w:val="both"/>
        <w:rPr>
          <w:rFonts w:asciiTheme="minorHAnsi" w:hAnsiTheme="minorHAnsi" w:cstheme="minorHAnsi"/>
          <w:sz w:val="22"/>
          <w:szCs w:val="28"/>
        </w:rPr>
      </w:pPr>
      <w:r w:rsidRPr="00F54B1A">
        <w:rPr>
          <w:rFonts w:asciiTheme="minorHAnsi" w:hAnsiTheme="minorHAnsi" w:cstheme="minorHAnsi"/>
          <w:sz w:val="22"/>
          <w:szCs w:val="28"/>
        </w:rPr>
        <w:t xml:space="preserve">Channel model follows </w:t>
      </w:r>
      <w:r w:rsidRPr="00F54B1A">
        <w:rPr>
          <w:rFonts w:asciiTheme="minorHAnsi" w:hAnsiTheme="minorHAnsi" w:cstheme="minorHAnsi"/>
          <w:sz w:val="22"/>
          <w:szCs w:val="28"/>
          <w:lang w:val="en-AU"/>
        </w:rPr>
        <w:t>NR sidelink TR 37.885</w:t>
      </w:r>
    </w:p>
    <w:p w14:paraId="663B9323" w14:textId="77777777" w:rsidR="00F54B1A" w:rsidRPr="00F54B1A" w:rsidRDefault="00F54B1A">
      <w:pPr>
        <w:pStyle w:val="ListParagraph"/>
        <w:numPr>
          <w:ilvl w:val="1"/>
          <w:numId w:val="30"/>
        </w:numPr>
        <w:ind w:leftChars="0" w:left="2160"/>
        <w:jc w:val="both"/>
        <w:rPr>
          <w:rFonts w:asciiTheme="minorHAnsi" w:hAnsiTheme="minorHAnsi" w:cstheme="minorHAnsi"/>
          <w:sz w:val="22"/>
          <w:szCs w:val="28"/>
        </w:rPr>
      </w:pPr>
      <w:r w:rsidRPr="00F54B1A">
        <w:rPr>
          <w:rFonts w:asciiTheme="minorHAnsi" w:hAnsiTheme="minorHAnsi" w:cstheme="minorHAnsi"/>
          <w:sz w:val="22"/>
          <w:szCs w:val="28"/>
        </w:rPr>
        <w:t xml:space="preserve">Traffic model base line </w:t>
      </w:r>
      <w:r w:rsidRPr="00F54B1A">
        <w:rPr>
          <w:rFonts w:asciiTheme="minorHAnsi" w:hAnsiTheme="minorHAnsi" w:cstheme="minorHAnsi"/>
          <w:sz w:val="22"/>
          <w:szCs w:val="28"/>
          <w:lang w:val="en-AU"/>
        </w:rPr>
        <w:t>TR 37.885 and cast type</w:t>
      </w:r>
      <w:r w:rsidRPr="00F54B1A">
        <w:rPr>
          <w:rFonts w:asciiTheme="minorHAnsi" w:hAnsiTheme="minorHAnsi" w:cstheme="minorHAnsi"/>
          <w:sz w:val="22"/>
          <w:szCs w:val="28"/>
        </w:rPr>
        <w:t>:</w:t>
      </w:r>
    </w:p>
    <w:p w14:paraId="168888C6" w14:textId="08A77FD9" w:rsidR="00F54B1A" w:rsidRPr="00F54B1A" w:rsidRDefault="00F54B1A">
      <w:pPr>
        <w:pStyle w:val="ListParagraph"/>
        <w:numPr>
          <w:ilvl w:val="2"/>
          <w:numId w:val="30"/>
        </w:numPr>
        <w:ind w:leftChars="0" w:left="2880"/>
        <w:jc w:val="both"/>
        <w:rPr>
          <w:rFonts w:asciiTheme="minorHAnsi" w:hAnsiTheme="minorHAnsi" w:cstheme="minorHAnsi"/>
          <w:sz w:val="22"/>
          <w:szCs w:val="28"/>
        </w:rPr>
      </w:pPr>
      <w:r w:rsidRPr="00F54B1A">
        <w:rPr>
          <w:rFonts w:asciiTheme="minorHAnsi" w:hAnsiTheme="minorHAnsi" w:cstheme="minorHAnsi"/>
          <w:sz w:val="22"/>
          <w:szCs w:val="28"/>
        </w:rPr>
        <w:t xml:space="preserve">For Highway: aperiodic traffic model; cast type: </w:t>
      </w:r>
      <w:r w:rsidRPr="00F54B1A">
        <w:rPr>
          <w:rFonts w:asciiTheme="minorHAnsi" w:hAnsiTheme="minorHAnsi" w:cstheme="minorHAnsi"/>
          <w:sz w:val="22"/>
          <w:szCs w:val="28"/>
          <w:lang w:eastAsia="de-DE"/>
        </w:rPr>
        <w:t>unicast and (optional) groupcast</w:t>
      </w:r>
    </w:p>
    <w:p w14:paraId="0EF3CC5B" w14:textId="77777777" w:rsidR="00F54B1A" w:rsidRPr="00F54B1A" w:rsidRDefault="00F54B1A">
      <w:pPr>
        <w:pStyle w:val="ListParagraph"/>
        <w:numPr>
          <w:ilvl w:val="2"/>
          <w:numId w:val="30"/>
        </w:numPr>
        <w:ind w:leftChars="0" w:left="2880"/>
        <w:jc w:val="both"/>
        <w:rPr>
          <w:rFonts w:asciiTheme="minorHAnsi" w:hAnsiTheme="minorHAnsi" w:cstheme="minorHAnsi"/>
          <w:sz w:val="22"/>
          <w:szCs w:val="28"/>
        </w:rPr>
      </w:pPr>
      <w:r w:rsidRPr="00F54B1A">
        <w:rPr>
          <w:rFonts w:asciiTheme="minorHAnsi" w:hAnsiTheme="minorHAnsi" w:cstheme="minorHAnsi"/>
          <w:sz w:val="22"/>
          <w:szCs w:val="28"/>
        </w:rPr>
        <w:t>For urban: periodic traffic model (baseline) and aperiodic (optional) for cast type: unicast</w:t>
      </w:r>
    </w:p>
    <w:p w14:paraId="39F369EB" w14:textId="77777777" w:rsidR="00F54B1A" w:rsidRPr="00F54B1A" w:rsidRDefault="00F54B1A">
      <w:pPr>
        <w:pStyle w:val="ListParagraph"/>
        <w:numPr>
          <w:ilvl w:val="1"/>
          <w:numId w:val="30"/>
        </w:numPr>
        <w:ind w:leftChars="0" w:left="2160"/>
        <w:jc w:val="both"/>
        <w:rPr>
          <w:rFonts w:asciiTheme="minorHAnsi" w:hAnsiTheme="minorHAnsi" w:cstheme="minorHAnsi"/>
          <w:sz w:val="22"/>
          <w:szCs w:val="28"/>
        </w:rPr>
      </w:pPr>
      <w:r w:rsidRPr="00F54B1A">
        <w:rPr>
          <w:rFonts w:asciiTheme="minorHAnsi" w:hAnsiTheme="minorHAnsi" w:cstheme="minorHAnsi"/>
          <w:sz w:val="22"/>
          <w:szCs w:val="28"/>
        </w:rPr>
        <w:t xml:space="preserve">WiFi interference model </w:t>
      </w:r>
    </w:p>
    <w:p w14:paraId="4A333250" w14:textId="77777777" w:rsidR="00F54B1A" w:rsidRPr="00F54B1A" w:rsidRDefault="00F54B1A">
      <w:pPr>
        <w:pStyle w:val="ListParagraph"/>
        <w:numPr>
          <w:ilvl w:val="2"/>
          <w:numId w:val="30"/>
        </w:numPr>
        <w:ind w:leftChars="0" w:left="2880"/>
        <w:jc w:val="both"/>
        <w:rPr>
          <w:rFonts w:asciiTheme="minorHAnsi" w:hAnsiTheme="minorHAnsi" w:cstheme="minorHAnsi"/>
          <w:sz w:val="22"/>
          <w:szCs w:val="28"/>
        </w:rPr>
      </w:pPr>
      <w:r w:rsidRPr="00F54B1A">
        <w:rPr>
          <w:rFonts w:asciiTheme="minorHAnsi" w:hAnsiTheme="minorHAnsi" w:cstheme="minorHAnsi"/>
          <w:sz w:val="22"/>
          <w:szCs w:val="28"/>
        </w:rPr>
        <w:t>Highway: consider only in-vehicle connectivity with WiFi (assuming 1 hotspot and two active users per vehicle)</w:t>
      </w:r>
    </w:p>
    <w:p w14:paraId="291E0E04" w14:textId="77777777" w:rsidR="00F54B1A" w:rsidRPr="00F54B1A" w:rsidRDefault="00F54B1A">
      <w:pPr>
        <w:pStyle w:val="ListParagraph"/>
        <w:numPr>
          <w:ilvl w:val="2"/>
          <w:numId w:val="30"/>
        </w:numPr>
        <w:ind w:leftChars="0" w:left="2880"/>
        <w:jc w:val="both"/>
        <w:rPr>
          <w:rFonts w:asciiTheme="minorHAnsi" w:hAnsiTheme="minorHAnsi" w:cstheme="minorHAnsi"/>
          <w:sz w:val="22"/>
          <w:szCs w:val="28"/>
        </w:rPr>
      </w:pPr>
      <w:r w:rsidRPr="00F54B1A">
        <w:rPr>
          <w:rFonts w:asciiTheme="minorHAnsi" w:hAnsiTheme="minorHAnsi" w:cstheme="minorHAnsi"/>
          <w:sz w:val="22"/>
          <w:szCs w:val="28"/>
        </w:rPr>
        <w:t>Urban: consider UE pedestrian as WiFi user connected to WiFi hotspots with appropriate density, e.g., every 100m</w:t>
      </w:r>
    </w:p>
    <w:p w14:paraId="010C78F6" w14:textId="77777777" w:rsidR="00F54B1A" w:rsidRPr="00F54B1A" w:rsidRDefault="00F54B1A">
      <w:pPr>
        <w:pStyle w:val="ListParagraph"/>
        <w:numPr>
          <w:ilvl w:val="1"/>
          <w:numId w:val="30"/>
        </w:numPr>
        <w:ind w:leftChars="0" w:left="2160"/>
        <w:jc w:val="both"/>
        <w:rPr>
          <w:rFonts w:asciiTheme="minorHAnsi" w:hAnsiTheme="minorHAnsi" w:cstheme="minorHAnsi"/>
          <w:sz w:val="22"/>
          <w:szCs w:val="28"/>
        </w:rPr>
      </w:pPr>
      <w:r w:rsidRPr="00F54B1A">
        <w:rPr>
          <w:rFonts w:asciiTheme="minorHAnsi" w:hAnsiTheme="minorHAnsi" w:cstheme="minorHAnsi"/>
          <w:sz w:val="22"/>
          <w:szCs w:val="28"/>
        </w:rPr>
        <w:t xml:space="preserve">Performance metric </w:t>
      </w:r>
      <w:r w:rsidRPr="00F54B1A">
        <w:rPr>
          <w:rFonts w:asciiTheme="minorHAnsi" w:hAnsiTheme="minorHAnsi" w:cstheme="minorHAnsi"/>
          <w:sz w:val="22"/>
          <w:szCs w:val="28"/>
          <w:lang w:val="en-AU"/>
        </w:rPr>
        <w:t>(V2X)</w:t>
      </w:r>
      <w:r w:rsidRPr="00F54B1A">
        <w:rPr>
          <w:rFonts w:asciiTheme="minorHAnsi" w:hAnsiTheme="minorHAnsi" w:cstheme="minorHAnsi"/>
          <w:sz w:val="22"/>
          <w:szCs w:val="28"/>
        </w:rPr>
        <w:t xml:space="preserve">: </w:t>
      </w:r>
      <w:r w:rsidRPr="00F54B1A">
        <w:rPr>
          <w:rFonts w:asciiTheme="minorHAnsi" w:hAnsiTheme="minorHAnsi" w:cstheme="minorHAnsi"/>
          <w:sz w:val="22"/>
          <w:szCs w:val="28"/>
          <w:lang w:val="en-AU"/>
        </w:rPr>
        <w:t xml:space="preserve">PRR and PIR </w:t>
      </w:r>
    </w:p>
    <w:p w14:paraId="0773BC8E" w14:textId="1166BD87" w:rsidR="00990545" w:rsidRDefault="00990545" w:rsidP="00990545">
      <w:pPr>
        <w:pStyle w:val="ListParagraph"/>
        <w:numPr>
          <w:ilvl w:val="0"/>
          <w:numId w:val="15"/>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Others (2</w:t>
      </w:r>
      <w:r w:rsidR="0035382F">
        <w:rPr>
          <w:rFonts w:asciiTheme="minorHAnsi" w:hAnsiTheme="minorHAnsi" w:cstheme="minorHAnsi"/>
          <w:b/>
          <w:bCs/>
          <w:sz w:val="22"/>
          <w:szCs w:val="28"/>
          <w:u w:val="single"/>
        </w:rPr>
        <w:t>4</w:t>
      </w:r>
      <w:r>
        <w:rPr>
          <w:rFonts w:asciiTheme="minorHAnsi" w:hAnsiTheme="minorHAnsi" w:cstheme="minorHAnsi"/>
          <w:b/>
          <w:bCs/>
          <w:sz w:val="22"/>
          <w:szCs w:val="28"/>
          <w:u w:val="single"/>
        </w:rPr>
        <w:t>/CableLabs)</w:t>
      </w:r>
    </w:p>
    <w:p w14:paraId="7E154CE7" w14:textId="77777777" w:rsidR="00990545" w:rsidRDefault="00990545" w:rsidP="00990545">
      <w:pPr>
        <w:pStyle w:val="Caption"/>
        <w:spacing w:after="0"/>
        <w:jc w:val="center"/>
      </w:pPr>
      <w:bookmarkStart w:id="249" w:name="_Ref111192587"/>
      <w:r>
        <w:t>Table</w:t>
      </w:r>
      <w:bookmarkEnd w:id="249"/>
      <w:r>
        <w:t xml:space="preserve"> 1. Propagation Evaluation Parameters, sub 7GHz indoor</w:t>
      </w:r>
    </w:p>
    <w:tbl>
      <w:tblPr>
        <w:tblW w:w="10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3969"/>
        <w:gridCol w:w="3686"/>
      </w:tblGrid>
      <w:tr w:rsidR="00990545" w:rsidRPr="00B43E43" w14:paraId="0E4C61B2" w14:textId="77777777" w:rsidTr="006B2419">
        <w:trPr>
          <w:jc w:val="center"/>
        </w:trPr>
        <w:tc>
          <w:tcPr>
            <w:tcW w:w="2830" w:type="dxa"/>
            <w:shd w:val="clear" w:color="auto" w:fill="auto"/>
          </w:tcPr>
          <w:p w14:paraId="12343866" w14:textId="77777777" w:rsidR="00990545" w:rsidRPr="00B43E43" w:rsidRDefault="00990545" w:rsidP="006B2419">
            <w:pPr>
              <w:pStyle w:val="TAH"/>
              <w:rPr>
                <w:rFonts w:ascii="Times New Roman" w:hAnsi="Times New Roman"/>
                <w:szCs w:val="18"/>
              </w:rPr>
            </w:pPr>
            <w:r w:rsidRPr="00B43E43">
              <w:rPr>
                <w:rFonts w:ascii="Times New Roman" w:hAnsi="Times New Roman"/>
                <w:szCs w:val="18"/>
              </w:rPr>
              <w:t>Parameter</w:t>
            </w:r>
          </w:p>
        </w:tc>
        <w:tc>
          <w:tcPr>
            <w:tcW w:w="3969" w:type="dxa"/>
            <w:shd w:val="clear" w:color="auto" w:fill="auto"/>
          </w:tcPr>
          <w:p w14:paraId="78646BE8" w14:textId="77777777" w:rsidR="00990545" w:rsidRPr="00B43E43" w:rsidRDefault="00990545" w:rsidP="006B2419">
            <w:pPr>
              <w:pStyle w:val="TAH"/>
              <w:rPr>
                <w:rFonts w:ascii="Times New Roman" w:hAnsi="Times New Roman"/>
                <w:szCs w:val="18"/>
              </w:rPr>
            </w:pPr>
            <w:r w:rsidRPr="00B43E43">
              <w:rPr>
                <w:rFonts w:ascii="Times New Roman" w:hAnsi="Times New Roman"/>
                <w:szCs w:val="18"/>
              </w:rPr>
              <w:t>Value</w:t>
            </w:r>
          </w:p>
        </w:tc>
        <w:tc>
          <w:tcPr>
            <w:tcW w:w="3686" w:type="dxa"/>
          </w:tcPr>
          <w:p w14:paraId="3F8C8EBB" w14:textId="77777777" w:rsidR="00990545" w:rsidRPr="00B43E43" w:rsidRDefault="00990545" w:rsidP="006B2419">
            <w:pPr>
              <w:pStyle w:val="TAH"/>
              <w:rPr>
                <w:rFonts w:ascii="Times New Roman" w:hAnsi="Times New Roman"/>
                <w:szCs w:val="18"/>
              </w:rPr>
            </w:pPr>
            <w:r w:rsidRPr="00B43E43">
              <w:rPr>
                <w:rFonts w:ascii="Times New Roman" w:hAnsi="Times New Roman"/>
                <w:szCs w:val="18"/>
              </w:rPr>
              <w:t>Comments</w:t>
            </w:r>
          </w:p>
        </w:tc>
      </w:tr>
      <w:tr w:rsidR="00990545" w:rsidRPr="00B43E43" w14:paraId="48285A62" w14:textId="77777777" w:rsidTr="006B2419">
        <w:trPr>
          <w:jc w:val="center"/>
        </w:trPr>
        <w:tc>
          <w:tcPr>
            <w:tcW w:w="2830" w:type="dxa"/>
            <w:shd w:val="clear" w:color="auto" w:fill="auto"/>
          </w:tcPr>
          <w:p w14:paraId="234CA143" w14:textId="77777777" w:rsidR="00990545" w:rsidRPr="00B43E43" w:rsidRDefault="00990545" w:rsidP="006B2419">
            <w:pPr>
              <w:pStyle w:val="TAL"/>
              <w:rPr>
                <w:rFonts w:ascii="Times New Roman" w:hAnsi="Times New Roman"/>
                <w:szCs w:val="18"/>
              </w:rPr>
            </w:pPr>
            <w:r w:rsidRPr="00B43E43">
              <w:rPr>
                <w:rFonts w:ascii="Times New Roman" w:hAnsi="Times New Roman"/>
                <w:szCs w:val="18"/>
              </w:rPr>
              <w:t>Carrier Frequency</w:t>
            </w:r>
          </w:p>
        </w:tc>
        <w:tc>
          <w:tcPr>
            <w:tcW w:w="3969" w:type="dxa"/>
            <w:shd w:val="clear" w:color="auto" w:fill="auto"/>
          </w:tcPr>
          <w:p w14:paraId="4DD358A3" w14:textId="77777777" w:rsidR="00990545" w:rsidRPr="00B43E43" w:rsidRDefault="00990545" w:rsidP="006B2419">
            <w:pPr>
              <w:pStyle w:val="TAL"/>
              <w:rPr>
                <w:rFonts w:ascii="Times New Roman" w:hAnsi="Times New Roman"/>
                <w:szCs w:val="18"/>
              </w:rPr>
            </w:pPr>
            <w:r w:rsidRPr="00B43E43">
              <w:rPr>
                <w:rFonts w:ascii="Times New Roman" w:hAnsi="Times New Roman"/>
                <w:szCs w:val="18"/>
              </w:rPr>
              <w:t xml:space="preserve">6 GHz (mandatory), 6405-6425 MHz, </w:t>
            </w:r>
          </w:p>
          <w:p w14:paraId="3FFC4220" w14:textId="77777777" w:rsidR="00990545" w:rsidRPr="00B43E43" w:rsidRDefault="00990545" w:rsidP="006B2419">
            <w:pPr>
              <w:pStyle w:val="TAL"/>
              <w:rPr>
                <w:rFonts w:ascii="Times New Roman" w:hAnsi="Times New Roman"/>
                <w:szCs w:val="18"/>
              </w:rPr>
            </w:pPr>
            <w:r w:rsidRPr="00B43E43">
              <w:rPr>
                <w:rFonts w:ascii="Times New Roman" w:hAnsi="Times New Roman"/>
                <w:szCs w:val="18"/>
              </w:rPr>
              <w:t>5 GHz is optional</w:t>
            </w:r>
          </w:p>
        </w:tc>
        <w:tc>
          <w:tcPr>
            <w:tcW w:w="3686" w:type="dxa"/>
          </w:tcPr>
          <w:p w14:paraId="4B81A874" w14:textId="77777777" w:rsidR="00990545" w:rsidRPr="00B43E43" w:rsidRDefault="00990545" w:rsidP="006B2419">
            <w:pPr>
              <w:pStyle w:val="TAL"/>
              <w:rPr>
                <w:rFonts w:ascii="Times New Roman" w:hAnsi="Times New Roman"/>
                <w:szCs w:val="18"/>
              </w:rPr>
            </w:pPr>
            <w:r w:rsidRPr="00B43E43">
              <w:rPr>
                <w:rFonts w:ascii="Times New Roman" w:hAnsi="Times New Roman"/>
                <w:szCs w:val="18"/>
              </w:rPr>
              <w:t>Channel 6405-6425MHz is the upper EU 6GHz channel and bordering US/ISED U-NII 6</w:t>
            </w:r>
          </w:p>
        </w:tc>
      </w:tr>
      <w:tr w:rsidR="00990545" w:rsidRPr="00B43E43" w14:paraId="7F4956F1" w14:textId="77777777" w:rsidTr="006B2419">
        <w:trPr>
          <w:jc w:val="center"/>
        </w:trPr>
        <w:tc>
          <w:tcPr>
            <w:tcW w:w="2830" w:type="dxa"/>
            <w:shd w:val="clear" w:color="auto" w:fill="auto"/>
          </w:tcPr>
          <w:p w14:paraId="4F203F30" w14:textId="77777777" w:rsidR="00990545" w:rsidRPr="00B43E43" w:rsidRDefault="00990545" w:rsidP="006B2419">
            <w:pPr>
              <w:pStyle w:val="TAL"/>
              <w:rPr>
                <w:rFonts w:ascii="Times New Roman" w:hAnsi="Times New Roman"/>
                <w:szCs w:val="18"/>
              </w:rPr>
            </w:pPr>
            <w:r w:rsidRPr="00B43E43">
              <w:rPr>
                <w:rFonts w:ascii="Times New Roman" w:hAnsi="Times New Roman"/>
                <w:szCs w:val="18"/>
              </w:rPr>
              <w:t>Carrier Channel Bandwidth</w:t>
            </w:r>
          </w:p>
        </w:tc>
        <w:tc>
          <w:tcPr>
            <w:tcW w:w="3969" w:type="dxa"/>
            <w:shd w:val="clear" w:color="auto" w:fill="auto"/>
          </w:tcPr>
          <w:p w14:paraId="2324E942" w14:textId="77777777" w:rsidR="00990545" w:rsidRPr="00B43E43" w:rsidRDefault="00990545" w:rsidP="006B2419">
            <w:pPr>
              <w:pStyle w:val="TAL"/>
              <w:rPr>
                <w:rFonts w:ascii="Times New Roman" w:hAnsi="Times New Roman"/>
                <w:szCs w:val="18"/>
              </w:rPr>
            </w:pPr>
            <w:r w:rsidRPr="00B43E43">
              <w:rPr>
                <w:rFonts w:ascii="Times New Roman" w:hAnsi="Times New Roman"/>
                <w:szCs w:val="18"/>
              </w:rPr>
              <w:t>20MHz baseline, 80MHz optional</w:t>
            </w:r>
          </w:p>
        </w:tc>
        <w:tc>
          <w:tcPr>
            <w:tcW w:w="3686" w:type="dxa"/>
          </w:tcPr>
          <w:p w14:paraId="5A155421" w14:textId="77777777" w:rsidR="00990545" w:rsidRPr="00B43E43" w:rsidRDefault="00990545" w:rsidP="006B2419">
            <w:pPr>
              <w:pStyle w:val="TAL"/>
              <w:rPr>
                <w:rFonts w:ascii="Times New Roman" w:hAnsi="Times New Roman"/>
                <w:szCs w:val="18"/>
              </w:rPr>
            </w:pPr>
            <w:r w:rsidRPr="00B43E43">
              <w:rPr>
                <w:rFonts w:ascii="Times New Roman" w:hAnsi="Times New Roman"/>
                <w:szCs w:val="18"/>
              </w:rPr>
              <w:t>6405-6425MHz</w:t>
            </w:r>
          </w:p>
        </w:tc>
      </w:tr>
      <w:tr w:rsidR="00990545" w:rsidRPr="00B43E43" w14:paraId="32C31CB9" w14:textId="77777777" w:rsidTr="006B2419">
        <w:trPr>
          <w:jc w:val="center"/>
        </w:trPr>
        <w:tc>
          <w:tcPr>
            <w:tcW w:w="2830" w:type="dxa"/>
            <w:shd w:val="clear" w:color="auto" w:fill="auto"/>
          </w:tcPr>
          <w:p w14:paraId="3B995D67" w14:textId="77777777" w:rsidR="00990545" w:rsidRPr="00B43E43" w:rsidRDefault="00990545" w:rsidP="006B2419">
            <w:pPr>
              <w:pStyle w:val="TAL"/>
              <w:rPr>
                <w:rFonts w:ascii="Times New Roman" w:hAnsi="Times New Roman"/>
                <w:szCs w:val="18"/>
              </w:rPr>
            </w:pPr>
            <w:r w:rsidRPr="00B43E43">
              <w:rPr>
                <w:rFonts w:ascii="Times New Roman" w:hAnsi="Times New Roman"/>
                <w:szCs w:val="18"/>
              </w:rPr>
              <w:t>Number of carriers</w:t>
            </w:r>
          </w:p>
        </w:tc>
        <w:tc>
          <w:tcPr>
            <w:tcW w:w="3969" w:type="dxa"/>
            <w:shd w:val="clear" w:color="auto" w:fill="auto"/>
          </w:tcPr>
          <w:p w14:paraId="05A10A05" w14:textId="77777777" w:rsidR="00990545" w:rsidRPr="00B43E43" w:rsidRDefault="00990545" w:rsidP="006B2419">
            <w:pPr>
              <w:pStyle w:val="TAL"/>
              <w:rPr>
                <w:rFonts w:ascii="Times New Roman" w:hAnsi="Times New Roman"/>
                <w:szCs w:val="18"/>
              </w:rPr>
            </w:pPr>
            <w:r w:rsidRPr="00B43E43">
              <w:rPr>
                <w:rFonts w:ascii="Times New Roman" w:hAnsi="Times New Roman"/>
                <w:szCs w:val="18"/>
              </w:rPr>
              <w:t>1</w:t>
            </w:r>
          </w:p>
        </w:tc>
        <w:tc>
          <w:tcPr>
            <w:tcW w:w="3686" w:type="dxa"/>
          </w:tcPr>
          <w:p w14:paraId="0E0A0DE1" w14:textId="77777777" w:rsidR="00990545" w:rsidRPr="00B43E43" w:rsidRDefault="00990545" w:rsidP="006B2419">
            <w:pPr>
              <w:pStyle w:val="TAL"/>
              <w:rPr>
                <w:rFonts w:ascii="Times New Roman" w:hAnsi="Times New Roman"/>
                <w:szCs w:val="18"/>
              </w:rPr>
            </w:pPr>
          </w:p>
        </w:tc>
      </w:tr>
      <w:tr w:rsidR="00990545" w:rsidRPr="00B43E43" w14:paraId="48C2F6B4" w14:textId="77777777" w:rsidTr="006B2419">
        <w:trPr>
          <w:jc w:val="center"/>
        </w:trPr>
        <w:tc>
          <w:tcPr>
            <w:tcW w:w="2830" w:type="dxa"/>
            <w:shd w:val="clear" w:color="auto" w:fill="auto"/>
          </w:tcPr>
          <w:p w14:paraId="0231B097" w14:textId="77777777" w:rsidR="00990545" w:rsidRPr="00B43E43" w:rsidRDefault="00990545" w:rsidP="006B2419">
            <w:pPr>
              <w:pStyle w:val="TAL"/>
              <w:rPr>
                <w:rFonts w:ascii="Times New Roman" w:hAnsi="Times New Roman"/>
                <w:szCs w:val="18"/>
              </w:rPr>
            </w:pPr>
            <w:r w:rsidRPr="00B43E43">
              <w:rPr>
                <w:rFonts w:ascii="Times New Roman" w:hAnsi="Times New Roman"/>
                <w:szCs w:val="18"/>
              </w:rPr>
              <w:t>Number of users per operator</w:t>
            </w:r>
          </w:p>
        </w:tc>
        <w:tc>
          <w:tcPr>
            <w:tcW w:w="3969" w:type="dxa"/>
            <w:shd w:val="clear" w:color="auto" w:fill="auto"/>
          </w:tcPr>
          <w:p w14:paraId="475039FE" w14:textId="77777777" w:rsidR="00990545" w:rsidRPr="00B43E43" w:rsidRDefault="00990545" w:rsidP="006B2419">
            <w:pPr>
              <w:pStyle w:val="TAL"/>
              <w:ind w:right="-14"/>
              <w:rPr>
                <w:rFonts w:ascii="Times New Roman" w:hAnsi="Times New Roman"/>
                <w:szCs w:val="18"/>
              </w:rPr>
            </w:pPr>
            <w:r w:rsidRPr="00B43E43">
              <w:rPr>
                <w:rFonts w:ascii="Times New Roman" w:hAnsi="Times New Roman"/>
                <w:szCs w:val="18"/>
              </w:rPr>
              <w:t>5 UEs associated with each gNB per 20MHz</w:t>
            </w:r>
          </w:p>
        </w:tc>
        <w:tc>
          <w:tcPr>
            <w:tcW w:w="3686" w:type="dxa"/>
          </w:tcPr>
          <w:p w14:paraId="6BCD9466" w14:textId="77777777" w:rsidR="00990545" w:rsidRPr="00B43E43" w:rsidRDefault="00990545" w:rsidP="006B2419">
            <w:pPr>
              <w:pStyle w:val="TAL"/>
              <w:rPr>
                <w:rFonts w:ascii="Times New Roman" w:hAnsi="Times New Roman"/>
                <w:szCs w:val="18"/>
              </w:rPr>
            </w:pPr>
          </w:p>
        </w:tc>
      </w:tr>
      <w:tr w:rsidR="00990545" w:rsidRPr="00B43E43" w14:paraId="36A8D5BC" w14:textId="77777777" w:rsidTr="006B2419">
        <w:trPr>
          <w:jc w:val="center"/>
        </w:trPr>
        <w:tc>
          <w:tcPr>
            <w:tcW w:w="2830" w:type="dxa"/>
            <w:shd w:val="clear" w:color="auto" w:fill="auto"/>
          </w:tcPr>
          <w:p w14:paraId="7A7F35B9" w14:textId="77777777" w:rsidR="00990545" w:rsidRPr="00B43E43" w:rsidRDefault="00990545" w:rsidP="006B2419">
            <w:pPr>
              <w:pStyle w:val="TAL"/>
              <w:rPr>
                <w:rFonts w:ascii="Times New Roman" w:hAnsi="Times New Roman"/>
                <w:szCs w:val="18"/>
              </w:rPr>
            </w:pPr>
            <w:r w:rsidRPr="00B43E43">
              <w:rPr>
                <w:rFonts w:ascii="Times New Roman" w:hAnsi="Times New Roman"/>
                <w:szCs w:val="18"/>
              </w:rPr>
              <w:t>SCS</w:t>
            </w:r>
          </w:p>
        </w:tc>
        <w:tc>
          <w:tcPr>
            <w:tcW w:w="3969" w:type="dxa"/>
            <w:shd w:val="clear" w:color="auto" w:fill="auto"/>
          </w:tcPr>
          <w:p w14:paraId="7D3CEE58" w14:textId="77777777" w:rsidR="00990545" w:rsidRPr="00B43E43" w:rsidRDefault="00990545" w:rsidP="006B2419">
            <w:pPr>
              <w:pStyle w:val="TAL"/>
              <w:rPr>
                <w:rFonts w:ascii="Times New Roman" w:hAnsi="Times New Roman"/>
                <w:szCs w:val="18"/>
              </w:rPr>
            </w:pPr>
            <w:r w:rsidRPr="00B43E43">
              <w:rPr>
                <w:rFonts w:ascii="Times New Roman" w:hAnsi="Times New Roman"/>
                <w:szCs w:val="18"/>
              </w:rPr>
              <w:t>30kHz</w:t>
            </w:r>
          </w:p>
        </w:tc>
        <w:tc>
          <w:tcPr>
            <w:tcW w:w="3686" w:type="dxa"/>
          </w:tcPr>
          <w:p w14:paraId="259094CA" w14:textId="77777777" w:rsidR="00990545" w:rsidRPr="00B43E43" w:rsidRDefault="00990545" w:rsidP="006B2419">
            <w:pPr>
              <w:pStyle w:val="TAL"/>
              <w:rPr>
                <w:rFonts w:ascii="Times New Roman" w:hAnsi="Times New Roman"/>
                <w:szCs w:val="18"/>
              </w:rPr>
            </w:pPr>
          </w:p>
        </w:tc>
      </w:tr>
      <w:tr w:rsidR="00990545" w:rsidRPr="00B43E43" w14:paraId="662A50D0" w14:textId="77777777" w:rsidTr="006B2419">
        <w:trPr>
          <w:jc w:val="center"/>
        </w:trPr>
        <w:tc>
          <w:tcPr>
            <w:tcW w:w="2830" w:type="dxa"/>
            <w:shd w:val="clear" w:color="auto" w:fill="auto"/>
          </w:tcPr>
          <w:p w14:paraId="061C6AA9" w14:textId="77777777" w:rsidR="00990545" w:rsidRPr="00B43E43" w:rsidRDefault="00990545" w:rsidP="006B2419">
            <w:pPr>
              <w:pStyle w:val="TAL"/>
              <w:rPr>
                <w:rFonts w:ascii="Times New Roman" w:hAnsi="Times New Roman"/>
                <w:szCs w:val="18"/>
              </w:rPr>
            </w:pPr>
            <w:r w:rsidRPr="00B43E43">
              <w:rPr>
                <w:rFonts w:ascii="Times New Roman" w:hAnsi="Times New Roman"/>
                <w:szCs w:val="18"/>
              </w:rPr>
              <w:t>Channel Model</w:t>
            </w:r>
          </w:p>
        </w:tc>
        <w:tc>
          <w:tcPr>
            <w:tcW w:w="3969" w:type="dxa"/>
            <w:shd w:val="clear" w:color="auto" w:fill="auto"/>
          </w:tcPr>
          <w:p w14:paraId="0B349550" w14:textId="77777777" w:rsidR="00990545" w:rsidRPr="00B43E43" w:rsidRDefault="00990545" w:rsidP="006B2419">
            <w:pPr>
              <w:pStyle w:val="TAL"/>
              <w:rPr>
                <w:rFonts w:ascii="Times New Roman" w:hAnsi="Times New Roman"/>
                <w:szCs w:val="18"/>
              </w:rPr>
            </w:pPr>
            <w:r w:rsidRPr="00B43E43">
              <w:rPr>
                <w:rFonts w:ascii="Times New Roman" w:hAnsi="Times New Roman"/>
                <w:szCs w:val="18"/>
              </w:rPr>
              <w:t>NR InH Mixed Office model</w:t>
            </w:r>
          </w:p>
        </w:tc>
        <w:tc>
          <w:tcPr>
            <w:tcW w:w="3686" w:type="dxa"/>
          </w:tcPr>
          <w:p w14:paraId="7B50CF36" w14:textId="77777777" w:rsidR="00990545" w:rsidRPr="00B43E43" w:rsidRDefault="00990545" w:rsidP="006B2419">
            <w:pPr>
              <w:pStyle w:val="TAL"/>
              <w:rPr>
                <w:rFonts w:ascii="Times New Roman" w:hAnsi="Times New Roman"/>
                <w:szCs w:val="18"/>
              </w:rPr>
            </w:pPr>
          </w:p>
        </w:tc>
      </w:tr>
      <w:tr w:rsidR="00990545" w:rsidRPr="00B43E43" w14:paraId="15C58B5F" w14:textId="77777777" w:rsidTr="006B2419">
        <w:trPr>
          <w:jc w:val="center"/>
        </w:trPr>
        <w:tc>
          <w:tcPr>
            <w:tcW w:w="2830" w:type="dxa"/>
            <w:shd w:val="clear" w:color="auto" w:fill="auto"/>
          </w:tcPr>
          <w:p w14:paraId="006B21B2" w14:textId="77777777" w:rsidR="00990545" w:rsidRPr="00B43E43" w:rsidRDefault="00990545" w:rsidP="006B2419">
            <w:pPr>
              <w:pStyle w:val="TAL"/>
              <w:rPr>
                <w:rFonts w:ascii="Times New Roman" w:hAnsi="Times New Roman"/>
                <w:szCs w:val="18"/>
              </w:rPr>
            </w:pPr>
            <w:r w:rsidRPr="00B43E43">
              <w:rPr>
                <w:rFonts w:ascii="Times New Roman" w:hAnsi="Times New Roman"/>
                <w:szCs w:val="18"/>
              </w:rPr>
              <w:t>BS/AP Tx Power</w:t>
            </w:r>
          </w:p>
        </w:tc>
        <w:tc>
          <w:tcPr>
            <w:tcW w:w="3969" w:type="dxa"/>
            <w:shd w:val="clear" w:color="auto" w:fill="auto"/>
          </w:tcPr>
          <w:p w14:paraId="28F84CE2" w14:textId="77777777" w:rsidR="00990545" w:rsidRPr="00B43E43" w:rsidRDefault="00990545" w:rsidP="006B2419">
            <w:pPr>
              <w:pStyle w:val="TAL"/>
              <w:rPr>
                <w:rFonts w:ascii="Times New Roman" w:hAnsi="Times New Roman"/>
                <w:szCs w:val="18"/>
              </w:rPr>
            </w:pPr>
            <w:r w:rsidRPr="00B43E43">
              <w:rPr>
                <w:rFonts w:ascii="Times New Roman" w:hAnsi="Times New Roman"/>
                <w:szCs w:val="18"/>
              </w:rPr>
              <w:t>23dBm (total across all TX antennas)</w:t>
            </w:r>
          </w:p>
        </w:tc>
        <w:tc>
          <w:tcPr>
            <w:tcW w:w="3686" w:type="dxa"/>
          </w:tcPr>
          <w:p w14:paraId="58AA3BD0" w14:textId="77777777" w:rsidR="00990545" w:rsidRPr="00B43E43" w:rsidRDefault="00990545" w:rsidP="006B2419">
            <w:pPr>
              <w:pStyle w:val="TAL"/>
              <w:rPr>
                <w:rFonts w:ascii="Times New Roman" w:hAnsi="Times New Roman"/>
                <w:szCs w:val="18"/>
              </w:rPr>
            </w:pPr>
          </w:p>
        </w:tc>
      </w:tr>
      <w:tr w:rsidR="00990545" w:rsidRPr="00B43E43" w14:paraId="6EA97A48" w14:textId="77777777" w:rsidTr="006B2419">
        <w:trPr>
          <w:jc w:val="center"/>
        </w:trPr>
        <w:tc>
          <w:tcPr>
            <w:tcW w:w="2830" w:type="dxa"/>
            <w:shd w:val="clear" w:color="auto" w:fill="auto"/>
          </w:tcPr>
          <w:p w14:paraId="56806D6A" w14:textId="77777777" w:rsidR="00990545" w:rsidRPr="00B43E43" w:rsidRDefault="00990545" w:rsidP="006B2419">
            <w:pPr>
              <w:pStyle w:val="TAL"/>
              <w:rPr>
                <w:rFonts w:ascii="Times New Roman" w:hAnsi="Times New Roman"/>
                <w:szCs w:val="18"/>
              </w:rPr>
            </w:pPr>
            <w:r w:rsidRPr="00B43E43">
              <w:rPr>
                <w:rFonts w:ascii="Times New Roman" w:hAnsi="Times New Roman"/>
                <w:szCs w:val="18"/>
              </w:rPr>
              <w:t>UE/STA Tx Power</w:t>
            </w:r>
          </w:p>
        </w:tc>
        <w:tc>
          <w:tcPr>
            <w:tcW w:w="3969" w:type="dxa"/>
            <w:shd w:val="clear" w:color="auto" w:fill="auto"/>
          </w:tcPr>
          <w:p w14:paraId="17F2544D" w14:textId="77777777" w:rsidR="00990545" w:rsidRPr="00B43E43" w:rsidRDefault="00990545" w:rsidP="006B2419">
            <w:pPr>
              <w:pStyle w:val="TAL"/>
              <w:rPr>
                <w:rFonts w:ascii="Times New Roman" w:hAnsi="Times New Roman"/>
                <w:szCs w:val="18"/>
              </w:rPr>
            </w:pPr>
            <w:r w:rsidRPr="00B43E43">
              <w:rPr>
                <w:rFonts w:ascii="Times New Roman" w:hAnsi="Times New Roman"/>
                <w:szCs w:val="18"/>
              </w:rPr>
              <w:t>18dBm (total across all TX antennas)</w:t>
            </w:r>
          </w:p>
        </w:tc>
        <w:tc>
          <w:tcPr>
            <w:tcW w:w="3686" w:type="dxa"/>
          </w:tcPr>
          <w:p w14:paraId="4698CAD0" w14:textId="77777777" w:rsidR="00990545" w:rsidRPr="00B43E43" w:rsidRDefault="00990545" w:rsidP="006B2419">
            <w:pPr>
              <w:pStyle w:val="TAL"/>
              <w:rPr>
                <w:rFonts w:ascii="Times New Roman" w:hAnsi="Times New Roman"/>
                <w:szCs w:val="18"/>
              </w:rPr>
            </w:pPr>
          </w:p>
        </w:tc>
      </w:tr>
      <w:tr w:rsidR="00990545" w:rsidRPr="00B43E43" w14:paraId="4C7FDF6D" w14:textId="77777777" w:rsidTr="006B2419">
        <w:trPr>
          <w:jc w:val="center"/>
        </w:trPr>
        <w:tc>
          <w:tcPr>
            <w:tcW w:w="2830" w:type="dxa"/>
            <w:shd w:val="clear" w:color="auto" w:fill="auto"/>
          </w:tcPr>
          <w:p w14:paraId="76C50B7F" w14:textId="77777777" w:rsidR="00990545" w:rsidRPr="00B43E43" w:rsidRDefault="00990545" w:rsidP="006B2419">
            <w:pPr>
              <w:pStyle w:val="TAL"/>
              <w:rPr>
                <w:rFonts w:ascii="Times New Roman" w:hAnsi="Times New Roman"/>
                <w:szCs w:val="18"/>
              </w:rPr>
            </w:pPr>
            <w:r w:rsidRPr="00B43E43">
              <w:rPr>
                <w:rFonts w:ascii="Times New Roman" w:hAnsi="Times New Roman"/>
                <w:szCs w:val="18"/>
              </w:rPr>
              <w:t>BS/AP Antenna gain</w:t>
            </w:r>
          </w:p>
        </w:tc>
        <w:tc>
          <w:tcPr>
            <w:tcW w:w="3969" w:type="dxa"/>
            <w:shd w:val="clear" w:color="auto" w:fill="auto"/>
          </w:tcPr>
          <w:p w14:paraId="00570459" w14:textId="77777777" w:rsidR="00990545" w:rsidRPr="00B43E43" w:rsidRDefault="00990545" w:rsidP="006B2419">
            <w:pPr>
              <w:pStyle w:val="TAL"/>
              <w:rPr>
                <w:rFonts w:ascii="Times New Roman" w:hAnsi="Times New Roman"/>
                <w:szCs w:val="18"/>
              </w:rPr>
            </w:pPr>
            <w:r w:rsidRPr="00B43E43">
              <w:rPr>
                <w:rFonts w:ascii="Times New Roman" w:hAnsi="Times New Roman"/>
                <w:szCs w:val="18"/>
              </w:rPr>
              <w:t xml:space="preserve">0dBi   </w:t>
            </w:r>
          </w:p>
        </w:tc>
        <w:tc>
          <w:tcPr>
            <w:tcW w:w="3686" w:type="dxa"/>
          </w:tcPr>
          <w:p w14:paraId="254E6B87" w14:textId="77777777" w:rsidR="00990545" w:rsidRPr="00B43E43" w:rsidRDefault="00990545" w:rsidP="006B2419">
            <w:pPr>
              <w:pStyle w:val="TAL"/>
              <w:rPr>
                <w:rFonts w:ascii="Times New Roman" w:hAnsi="Times New Roman"/>
                <w:szCs w:val="18"/>
              </w:rPr>
            </w:pPr>
          </w:p>
        </w:tc>
      </w:tr>
      <w:tr w:rsidR="00990545" w:rsidRPr="00B43E43" w14:paraId="14E0D367" w14:textId="77777777" w:rsidTr="006B2419">
        <w:trPr>
          <w:jc w:val="center"/>
        </w:trPr>
        <w:tc>
          <w:tcPr>
            <w:tcW w:w="2830" w:type="dxa"/>
            <w:shd w:val="clear" w:color="auto" w:fill="auto"/>
          </w:tcPr>
          <w:p w14:paraId="60AB4877" w14:textId="77777777" w:rsidR="00990545" w:rsidRPr="00B43E43" w:rsidRDefault="00990545" w:rsidP="006B2419">
            <w:pPr>
              <w:pStyle w:val="TAL"/>
              <w:rPr>
                <w:rFonts w:ascii="Times New Roman" w:hAnsi="Times New Roman"/>
                <w:szCs w:val="18"/>
              </w:rPr>
            </w:pPr>
            <w:r w:rsidRPr="00B43E43">
              <w:rPr>
                <w:rFonts w:ascii="Times New Roman" w:hAnsi="Times New Roman"/>
                <w:szCs w:val="18"/>
              </w:rPr>
              <w:t>UE/STA Antenna gain</w:t>
            </w:r>
          </w:p>
        </w:tc>
        <w:tc>
          <w:tcPr>
            <w:tcW w:w="3969" w:type="dxa"/>
            <w:shd w:val="clear" w:color="auto" w:fill="auto"/>
          </w:tcPr>
          <w:p w14:paraId="2607DE57" w14:textId="77777777" w:rsidR="00990545" w:rsidRPr="00B43E43" w:rsidRDefault="00990545" w:rsidP="006B2419">
            <w:pPr>
              <w:pStyle w:val="TAL"/>
              <w:rPr>
                <w:rFonts w:ascii="Times New Roman" w:hAnsi="Times New Roman"/>
                <w:szCs w:val="18"/>
              </w:rPr>
            </w:pPr>
            <w:r w:rsidRPr="00B43E43">
              <w:rPr>
                <w:rFonts w:ascii="Times New Roman" w:hAnsi="Times New Roman"/>
                <w:szCs w:val="18"/>
              </w:rPr>
              <w:t>0dBi</w:t>
            </w:r>
          </w:p>
        </w:tc>
        <w:tc>
          <w:tcPr>
            <w:tcW w:w="3686" w:type="dxa"/>
          </w:tcPr>
          <w:p w14:paraId="16E972AB" w14:textId="77777777" w:rsidR="00990545" w:rsidRPr="00B43E43" w:rsidRDefault="00990545" w:rsidP="006B2419">
            <w:pPr>
              <w:pStyle w:val="TAL"/>
              <w:rPr>
                <w:rFonts w:ascii="Times New Roman" w:hAnsi="Times New Roman"/>
                <w:szCs w:val="18"/>
              </w:rPr>
            </w:pPr>
          </w:p>
        </w:tc>
      </w:tr>
      <w:tr w:rsidR="00990545" w:rsidRPr="00B43E43" w14:paraId="788C780F" w14:textId="77777777" w:rsidTr="006B2419">
        <w:trPr>
          <w:jc w:val="center"/>
        </w:trPr>
        <w:tc>
          <w:tcPr>
            <w:tcW w:w="2830" w:type="dxa"/>
            <w:shd w:val="clear" w:color="auto" w:fill="auto"/>
          </w:tcPr>
          <w:p w14:paraId="101AE2A0" w14:textId="77777777" w:rsidR="00990545" w:rsidRPr="00B43E43" w:rsidRDefault="00990545" w:rsidP="006B2419">
            <w:pPr>
              <w:pStyle w:val="TAL"/>
              <w:rPr>
                <w:rFonts w:ascii="Times New Roman" w:hAnsi="Times New Roman"/>
                <w:szCs w:val="18"/>
              </w:rPr>
            </w:pPr>
            <w:r w:rsidRPr="00B43E43">
              <w:rPr>
                <w:rFonts w:ascii="Times New Roman" w:hAnsi="Times New Roman"/>
                <w:szCs w:val="18"/>
              </w:rPr>
              <w:t>BS/AP Noise Figure</w:t>
            </w:r>
          </w:p>
        </w:tc>
        <w:tc>
          <w:tcPr>
            <w:tcW w:w="3969" w:type="dxa"/>
            <w:shd w:val="clear" w:color="auto" w:fill="auto"/>
          </w:tcPr>
          <w:p w14:paraId="7274BD2F" w14:textId="77777777" w:rsidR="00990545" w:rsidRPr="00B43E43" w:rsidRDefault="00990545" w:rsidP="006B2419">
            <w:pPr>
              <w:pStyle w:val="TAL"/>
              <w:rPr>
                <w:rFonts w:ascii="Times New Roman" w:hAnsi="Times New Roman"/>
                <w:szCs w:val="18"/>
              </w:rPr>
            </w:pPr>
            <w:r w:rsidRPr="00B43E43">
              <w:rPr>
                <w:rFonts w:ascii="Times New Roman" w:hAnsi="Times New Roman"/>
                <w:szCs w:val="18"/>
              </w:rPr>
              <w:t>5dB</w:t>
            </w:r>
          </w:p>
        </w:tc>
        <w:tc>
          <w:tcPr>
            <w:tcW w:w="3686" w:type="dxa"/>
          </w:tcPr>
          <w:p w14:paraId="038AA299" w14:textId="77777777" w:rsidR="00990545" w:rsidRPr="00B43E43" w:rsidRDefault="00990545" w:rsidP="006B2419">
            <w:pPr>
              <w:pStyle w:val="TAL"/>
              <w:rPr>
                <w:rFonts w:ascii="Times New Roman" w:hAnsi="Times New Roman"/>
                <w:szCs w:val="18"/>
              </w:rPr>
            </w:pPr>
          </w:p>
        </w:tc>
      </w:tr>
      <w:tr w:rsidR="00990545" w:rsidRPr="00B43E43" w14:paraId="3552FBF7" w14:textId="77777777" w:rsidTr="006B2419">
        <w:trPr>
          <w:jc w:val="center"/>
        </w:trPr>
        <w:tc>
          <w:tcPr>
            <w:tcW w:w="2830" w:type="dxa"/>
            <w:shd w:val="clear" w:color="auto" w:fill="auto"/>
          </w:tcPr>
          <w:p w14:paraId="3FE6C54B" w14:textId="77777777" w:rsidR="00990545" w:rsidRPr="008621E0" w:rsidRDefault="00990545" w:rsidP="006B2419">
            <w:pPr>
              <w:pStyle w:val="TAL"/>
              <w:rPr>
                <w:rFonts w:ascii="Times New Roman" w:hAnsi="Times New Roman"/>
                <w:szCs w:val="18"/>
                <w:lang w:val="it-IT"/>
              </w:rPr>
            </w:pPr>
            <w:r w:rsidRPr="008621E0">
              <w:rPr>
                <w:rFonts w:ascii="Times New Roman" w:hAnsi="Times New Roman"/>
                <w:szCs w:val="18"/>
                <w:lang w:val="it-IT"/>
              </w:rPr>
              <w:t>UE/STA Receiver Noise Figure</w:t>
            </w:r>
          </w:p>
        </w:tc>
        <w:tc>
          <w:tcPr>
            <w:tcW w:w="3969" w:type="dxa"/>
            <w:shd w:val="clear" w:color="auto" w:fill="auto"/>
          </w:tcPr>
          <w:p w14:paraId="132BB32D" w14:textId="77777777" w:rsidR="00990545" w:rsidRPr="00B43E43" w:rsidRDefault="00990545" w:rsidP="006B2419">
            <w:pPr>
              <w:pStyle w:val="TAL"/>
              <w:rPr>
                <w:rFonts w:ascii="Times New Roman" w:hAnsi="Times New Roman"/>
                <w:szCs w:val="18"/>
              </w:rPr>
            </w:pPr>
            <w:r w:rsidRPr="00B43E43">
              <w:rPr>
                <w:rFonts w:ascii="Times New Roman" w:hAnsi="Times New Roman"/>
                <w:szCs w:val="18"/>
              </w:rPr>
              <w:t>9dB</w:t>
            </w:r>
          </w:p>
        </w:tc>
        <w:tc>
          <w:tcPr>
            <w:tcW w:w="3686" w:type="dxa"/>
          </w:tcPr>
          <w:p w14:paraId="0E859287" w14:textId="77777777" w:rsidR="00990545" w:rsidRPr="00B43E43" w:rsidRDefault="00990545" w:rsidP="006B2419">
            <w:pPr>
              <w:pStyle w:val="TAL"/>
              <w:rPr>
                <w:rFonts w:ascii="Times New Roman" w:hAnsi="Times New Roman"/>
                <w:szCs w:val="18"/>
              </w:rPr>
            </w:pPr>
          </w:p>
        </w:tc>
      </w:tr>
      <w:tr w:rsidR="00990545" w:rsidRPr="00B43E43" w14:paraId="07156942" w14:textId="77777777" w:rsidTr="006B2419">
        <w:trPr>
          <w:jc w:val="center"/>
        </w:trPr>
        <w:tc>
          <w:tcPr>
            <w:tcW w:w="2830" w:type="dxa"/>
            <w:shd w:val="clear" w:color="auto" w:fill="auto"/>
          </w:tcPr>
          <w:p w14:paraId="4B99120A" w14:textId="77777777" w:rsidR="00990545" w:rsidRPr="00B43E43" w:rsidRDefault="00990545" w:rsidP="006B2419">
            <w:pPr>
              <w:pStyle w:val="TAL"/>
              <w:rPr>
                <w:rFonts w:ascii="Times New Roman" w:hAnsi="Times New Roman"/>
                <w:szCs w:val="18"/>
              </w:rPr>
            </w:pPr>
            <w:r w:rsidRPr="00B43E43">
              <w:rPr>
                <w:rFonts w:ascii="Times New Roman" w:hAnsi="Times New Roman"/>
                <w:szCs w:val="18"/>
              </w:rPr>
              <w:t>Minimum received power from serving cell for UE dropping</w:t>
            </w:r>
          </w:p>
        </w:tc>
        <w:tc>
          <w:tcPr>
            <w:tcW w:w="3969" w:type="dxa"/>
            <w:shd w:val="clear" w:color="auto" w:fill="auto"/>
          </w:tcPr>
          <w:p w14:paraId="4A55E545" w14:textId="77777777" w:rsidR="00990545" w:rsidRPr="00B43E43" w:rsidRDefault="00990545" w:rsidP="006B2419">
            <w:pPr>
              <w:pStyle w:val="TAL"/>
              <w:rPr>
                <w:rFonts w:ascii="Times New Roman" w:hAnsi="Times New Roman"/>
                <w:szCs w:val="18"/>
              </w:rPr>
            </w:pPr>
            <w:r w:rsidRPr="00B43E43">
              <w:rPr>
                <w:rFonts w:ascii="Times New Roman" w:hAnsi="Times New Roman"/>
                <w:szCs w:val="18"/>
              </w:rPr>
              <w:t>-82dBm</w:t>
            </w:r>
          </w:p>
        </w:tc>
        <w:tc>
          <w:tcPr>
            <w:tcW w:w="3686" w:type="dxa"/>
          </w:tcPr>
          <w:p w14:paraId="5C496786" w14:textId="77777777" w:rsidR="00990545" w:rsidRPr="00B43E43" w:rsidRDefault="00990545" w:rsidP="006B2419">
            <w:pPr>
              <w:pStyle w:val="TAL"/>
              <w:rPr>
                <w:rFonts w:ascii="Times New Roman" w:hAnsi="Times New Roman"/>
                <w:szCs w:val="18"/>
              </w:rPr>
            </w:pPr>
          </w:p>
        </w:tc>
      </w:tr>
      <w:tr w:rsidR="00990545" w:rsidRPr="00B43E43" w14:paraId="5AD792C5" w14:textId="77777777" w:rsidTr="006B2419">
        <w:trPr>
          <w:jc w:val="center"/>
        </w:trPr>
        <w:tc>
          <w:tcPr>
            <w:tcW w:w="2830" w:type="dxa"/>
            <w:shd w:val="clear" w:color="auto" w:fill="auto"/>
          </w:tcPr>
          <w:p w14:paraId="5B73B9D4" w14:textId="77777777" w:rsidR="00990545" w:rsidRPr="00B43E43" w:rsidRDefault="00990545" w:rsidP="006B2419">
            <w:pPr>
              <w:pStyle w:val="TAL"/>
              <w:rPr>
                <w:rFonts w:ascii="Times New Roman" w:hAnsi="Times New Roman"/>
                <w:szCs w:val="18"/>
              </w:rPr>
            </w:pPr>
            <w:r w:rsidRPr="00B43E43">
              <w:rPr>
                <w:rFonts w:ascii="Times New Roman" w:hAnsi="Times New Roman"/>
                <w:szCs w:val="18"/>
              </w:rPr>
              <w:t>UE receiver</w:t>
            </w:r>
          </w:p>
        </w:tc>
        <w:tc>
          <w:tcPr>
            <w:tcW w:w="3969" w:type="dxa"/>
            <w:shd w:val="clear" w:color="auto" w:fill="auto"/>
          </w:tcPr>
          <w:p w14:paraId="01ACE458" w14:textId="77777777" w:rsidR="00990545" w:rsidRPr="00B43E43" w:rsidRDefault="00990545" w:rsidP="006B2419">
            <w:pPr>
              <w:pStyle w:val="TAL"/>
              <w:rPr>
                <w:rFonts w:ascii="Times New Roman" w:hAnsi="Times New Roman"/>
                <w:szCs w:val="18"/>
              </w:rPr>
            </w:pPr>
            <w:r w:rsidRPr="00B43E43">
              <w:rPr>
                <w:rFonts w:ascii="Times New Roman" w:hAnsi="Times New Roman"/>
                <w:szCs w:val="18"/>
              </w:rPr>
              <w:t>MMSE-IRC as the baseline receiver</w:t>
            </w:r>
          </w:p>
        </w:tc>
        <w:tc>
          <w:tcPr>
            <w:tcW w:w="3686" w:type="dxa"/>
          </w:tcPr>
          <w:p w14:paraId="60C0ADC7" w14:textId="77777777" w:rsidR="00990545" w:rsidRPr="00B43E43" w:rsidRDefault="00990545" w:rsidP="006B2419">
            <w:pPr>
              <w:pStyle w:val="TAL"/>
              <w:rPr>
                <w:rFonts w:ascii="Times New Roman" w:hAnsi="Times New Roman"/>
                <w:szCs w:val="18"/>
              </w:rPr>
            </w:pPr>
          </w:p>
        </w:tc>
      </w:tr>
      <w:tr w:rsidR="00990545" w:rsidRPr="00B43E43" w14:paraId="10F5F8DE" w14:textId="77777777" w:rsidTr="006B2419">
        <w:trPr>
          <w:jc w:val="center"/>
        </w:trPr>
        <w:tc>
          <w:tcPr>
            <w:tcW w:w="2830" w:type="dxa"/>
            <w:shd w:val="clear" w:color="auto" w:fill="auto"/>
          </w:tcPr>
          <w:p w14:paraId="1B267A7E" w14:textId="77777777" w:rsidR="00990545" w:rsidRPr="00B43E43" w:rsidRDefault="00990545" w:rsidP="006B2419">
            <w:pPr>
              <w:pStyle w:val="TAL"/>
              <w:rPr>
                <w:rFonts w:ascii="Times New Roman" w:hAnsi="Times New Roman"/>
                <w:szCs w:val="18"/>
              </w:rPr>
            </w:pPr>
            <w:r w:rsidRPr="00B43E43">
              <w:rPr>
                <w:rFonts w:ascii="Times New Roman" w:hAnsi="Times New Roman"/>
                <w:szCs w:val="18"/>
              </w:rPr>
              <w:t>BS/AP antenna Array configuration</w:t>
            </w:r>
          </w:p>
        </w:tc>
        <w:tc>
          <w:tcPr>
            <w:tcW w:w="3969" w:type="dxa"/>
            <w:shd w:val="clear" w:color="auto" w:fill="auto"/>
          </w:tcPr>
          <w:p w14:paraId="2E35EEF8" w14:textId="77777777" w:rsidR="00990545" w:rsidRPr="001E5BBA" w:rsidRDefault="00990545" w:rsidP="006B2419">
            <w:pPr>
              <w:pStyle w:val="TAL"/>
              <w:rPr>
                <w:rFonts w:ascii="Times New Roman" w:hAnsi="Times New Roman"/>
                <w:szCs w:val="18"/>
                <w:lang w:val="de-DE"/>
              </w:rPr>
            </w:pPr>
            <w:r w:rsidRPr="001E5BBA">
              <w:rPr>
                <w:rFonts w:ascii="Times New Roman" w:hAnsi="Times New Roman"/>
                <w:szCs w:val="18"/>
                <w:lang w:val="de-DE"/>
              </w:rPr>
              <w:t>(M, N, P, M</w:t>
            </w:r>
            <w:r w:rsidRPr="001E5BBA">
              <w:rPr>
                <w:rFonts w:ascii="Times New Roman" w:hAnsi="Times New Roman"/>
                <w:szCs w:val="18"/>
                <w:vertAlign w:val="subscript"/>
                <w:lang w:val="de-DE"/>
              </w:rPr>
              <w:t>g</w:t>
            </w:r>
            <w:r w:rsidRPr="001E5BBA">
              <w:rPr>
                <w:rFonts w:ascii="Times New Roman" w:hAnsi="Times New Roman"/>
                <w:szCs w:val="18"/>
                <w:lang w:val="de-DE"/>
              </w:rPr>
              <w:t>, N</w:t>
            </w:r>
            <w:r w:rsidRPr="001E5BBA">
              <w:rPr>
                <w:rFonts w:ascii="Times New Roman" w:hAnsi="Times New Roman"/>
                <w:szCs w:val="18"/>
                <w:vertAlign w:val="subscript"/>
                <w:lang w:val="de-DE"/>
              </w:rPr>
              <w:t>g</w:t>
            </w:r>
            <w:r w:rsidRPr="001E5BBA">
              <w:rPr>
                <w:rFonts w:ascii="Times New Roman" w:hAnsi="Times New Roman"/>
                <w:szCs w:val="18"/>
                <w:lang w:val="de-DE"/>
              </w:rPr>
              <w:t xml:space="preserve">)  = (1, 2, 2, 1, 1), dH = dV = 0.5 </w:t>
            </w:r>
            <w:r w:rsidRPr="00B43E43">
              <w:rPr>
                <w:rFonts w:ascii="Times New Roman" w:hAnsi="Times New Roman"/>
                <w:szCs w:val="18"/>
              </w:rPr>
              <w:t>λ</w:t>
            </w:r>
          </w:p>
        </w:tc>
        <w:tc>
          <w:tcPr>
            <w:tcW w:w="3686" w:type="dxa"/>
          </w:tcPr>
          <w:p w14:paraId="661D6699" w14:textId="77777777" w:rsidR="00990545" w:rsidRPr="00B43E43" w:rsidRDefault="00990545" w:rsidP="006B2419">
            <w:pPr>
              <w:pStyle w:val="TAL"/>
              <w:rPr>
                <w:rFonts w:ascii="Times New Roman" w:hAnsi="Times New Roman"/>
                <w:szCs w:val="18"/>
              </w:rPr>
            </w:pPr>
            <w:r w:rsidRPr="00B43E43">
              <w:rPr>
                <w:rFonts w:ascii="Times New Roman" w:hAnsi="Times New Roman"/>
                <w:szCs w:val="18"/>
              </w:rPr>
              <w:t>TR38.901, section #7.3</w:t>
            </w:r>
          </w:p>
        </w:tc>
      </w:tr>
      <w:tr w:rsidR="00990545" w:rsidRPr="00B43E43" w14:paraId="2493ED68" w14:textId="77777777" w:rsidTr="006B2419">
        <w:trPr>
          <w:jc w:val="center"/>
        </w:trPr>
        <w:tc>
          <w:tcPr>
            <w:tcW w:w="2830" w:type="dxa"/>
            <w:shd w:val="clear" w:color="auto" w:fill="auto"/>
          </w:tcPr>
          <w:p w14:paraId="475904BC" w14:textId="77777777" w:rsidR="00990545" w:rsidRPr="008621E0" w:rsidRDefault="00990545" w:rsidP="006B2419">
            <w:pPr>
              <w:pStyle w:val="TAL"/>
              <w:rPr>
                <w:rFonts w:ascii="Times New Roman" w:hAnsi="Times New Roman"/>
                <w:szCs w:val="18"/>
                <w:lang w:val="it-IT"/>
              </w:rPr>
            </w:pPr>
            <w:r w:rsidRPr="008621E0">
              <w:rPr>
                <w:rFonts w:ascii="Times New Roman" w:hAnsi="Times New Roman"/>
                <w:szCs w:val="18"/>
                <w:lang w:val="it-IT"/>
              </w:rPr>
              <w:t>UE/STA antenna Array configuration</w:t>
            </w:r>
          </w:p>
        </w:tc>
        <w:tc>
          <w:tcPr>
            <w:tcW w:w="3969" w:type="dxa"/>
            <w:shd w:val="clear" w:color="auto" w:fill="auto"/>
          </w:tcPr>
          <w:p w14:paraId="3D1780F4" w14:textId="77777777" w:rsidR="00990545" w:rsidRPr="00B43E43" w:rsidRDefault="00990545" w:rsidP="006B2419">
            <w:pPr>
              <w:pStyle w:val="TAL"/>
              <w:rPr>
                <w:rFonts w:ascii="Times New Roman" w:hAnsi="Times New Roman"/>
                <w:szCs w:val="18"/>
              </w:rPr>
            </w:pPr>
            <w:r w:rsidRPr="00B43E43">
              <w:rPr>
                <w:rFonts w:ascii="Times New Roman" w:hAnsi="Times New Roman"/>
                <w:szCs w:val="18"/>
              </w:rPr>
              <w:t>Baseline Tx/Rx: (M, N, P, Mg, Ng) = (1, 1, 2, 1, 1), dH = dV = 0.5 λ</w:t>
            </w:r>
          </w:p>
        </w:tc>
        <w:tc>
          <w:tcPr>
            <w:tcW w:w="3686" w:type="dxa"/>
          </w:tcPr>
          <w:p w14:paraId="49BAF69E" w14:textId="77777777" w:rsidR="00990545" w:rsidRPr="00B43E43" w:rsidRDefault="00990545" w:rsidP="006B2419">
            <w:pPr>
              <w:pStyle w:val="TAL"/>
              <w:rPr>
                <w:rFonts w:ascii="Times New Roman" w:hAnsi="Times New Roman"/>
                <w:szCs w:val="18"/>
              </w:rPr>
            </w:pPr>
            <w:r w:rsidRPr="00B43E43">
              <w:rPr>
                <w:rFonts w:ascii="Times New Roman" w:hAnsi="Times New Roman"/>
                <w:szCs w:val="18"/>
              </w:rPr>
              <w:t>TR38.901, section #7.3</w:t>
            </w:r>
          </w:p>
        </w:tc>
      </w:tr>
      <w:tr w:rsidR="00990545" w:rsidRPr="00B43E43" w14:paraId="4EE9B3CB" w14:textId="77777777" w:rsidTr="006B2419">
        <w:trPr>
          <w:jc w:val="center"/>
        </w:trPr>
        <w:tc>
          <w:tcPr>
            <w:tcW w:w="2830" w:type="dxa"/>
            <w:shd w:val="clear" w:color="auto" w:fill="auto"/>
          </w:tcPr>
          <w:p w14:paraId="5A0778BC" w14:textId="77777777" w:rsidR="00990545" w:rsidRPr="00B43E43" w:rsidRDefault="00990545" w:rsidP="006B2419">
            <w:pPr>
              <w:pStyle w:val="TAL"/>
              <w:rPr>
                <w:rFonts w:ascii="Times New Roman" w:hAnsi="Times New Roman"/>
                <w:szCs w:val="18"/>
              </w:rPr>
            </w:pPr>
            <w:r w:rsidRPr="00B43E43">
              <w:rPr>
                <w:rFonts w:ascii="Times New Roman" w:hAnsi="Times New Roman"/>
                <w:szCs w:val="18"/>
              </w:rPr>
              <w:t>Traffic model</w:t>
            </w:r>
          </w:p>
        </w:tc>
        <w:tc>
          <w:tcPr>
            <w:tcW w:w="3969" w:type="dxa"/>
            <w:shd w:val="clear" w:color="auto" w:fill="auto"/>
          </w:tcPr>
          <w:p w14:paraId="6BAFA8D9" w14:textId="77777777" w:rsidR="00990545" w:rsidRPr="00B43E43" w:rsidRDefault="00990545" w:rsidP="006B2419">
            <w:pPr>
              <w:pStyle w:val="TAL"/>
              <w:rPr>
                <w:rFonts w:ascii="Times New Roman" w:hAnsi="Times New Roman"/>
                <w:szCs w:val="18"/>
              </w:rPr>
            </w:pPr>
            <w:r w:rsidRPr="00B43E43">
              <w:rPr>
                <w:rFonts w:ascii="Times New Roman" w:hAnsi="Times New Roman"/>
                <w:szCs w:val="18"/>
              </w:rPr>
              <w:t>Table A.1.1, TR36.889</w:t>
            </w:r>
          </w:p>
        </w:tc>
        <w:tc>
          <w:tcPr>
            <w:tcW w:w="3686" w:type="dxa"/>
          </w:tcPr>
          <w:p w14:paraId="4CED83E5" w14:textId="77777777" w:rsidR="00990545" w:rsidRPr="00B43E43" w:rsidRDefault="00990545" w:rsidP="006B2419">
            <w:pPr>
              <w:pStyle w:val="TAL"/>
              <w:rPr>
                <w:rFonts w:ascii="Times New Roman" w:hAnsi="Times New Roman"/>
                <w:szCs w:val="18"/>
              </w:rPr>
            </w:pPr>
            <w:r w:rsidRPr="00B43E43">
              <w:rPr>
                <w:rFonts w:ascii="Times New Roman" w:hAnsi="Times New Roman"/>
                <w:szCs w:val="18"/>
              </w:rPr>
              <w:t>Specific SL-U traffic needs could be discussed.</w:t>
            </w:r>
          </w:p>
        </w:tc>
      </w:tr>
      <w:tr w:rsidR="00990545" w:rsidRPr="00B43E43" w14:paraId="321617F3" w14:textId="77777777" w:rsidTr="006B2419">
        <w:trPr>
          <w:jc w:val="center"/>
        </w:trPr>
        <w:tc>
          <w:tcPr>
            <w:tcW w:w="2830" w:type="dxa"/>
            <w:shd w:val="clear" w:color="auto" w:fill="auto"/>
          </w:tcPr>
          <w:p w14:paraId="76A35726" w14:textId="77777777" w:rsidR="00990545" w:rsidRPr="008621E0" w:rsidRDefault="00990545" w:rsidP="006B2419">
            <w:pPr>
              <w:pStyle w:val="TAL"/>
              <w:rPr>
                <w:rFonts w:ascii="Times New Roman" w:hAnsi="Times New Roman"/>
                <w:szCs w:val="18"/>
                <w:lang w:val="it-IT"/>
              </w:rPr>
            </w:pPr>
            <w:r w:rsidRPr="008621E0">
              <w:rPr>
                <w:rFonts w:ascii="Times New Roman" w:hAnsi="Times New Roman"/>
                <w:szCs w:val="18"/>
                <w:lang w:val="it-IT"/>
              </w:rPr>
              <w:t>UE/STA to UE/STA link pathloss model</w:t>
            </w:r>
          </w:p>
        </w:tc>
        <w:tc>
          <w:tcPr>
            <w:tcW w:w="3969" w:type="dxa"/>
            <w:shd w:val="clear" w:color="auto" w:fill="auto"/>
          </w:tcPr>
          <w:p w14:paraId="735335ED" w14:textId="77777777" w:rsidR="00990545" w:rsidRPr="00B43E43" w:rsidRDefault="00990545">
            <w:pPr>
              <w:pStyle w:val="TAL"/>
              <w:numPr>
                <w:ilvl w:val="0"/>
                <w:numId w:val="16"/>
              </w:numPr>
              <w:rPr>
                <w:rFonts w:ascii="Times New Roman" w:hAnsi="Times New Roman"/>
                <w:szCs w:val="18"/>
              </w:rPr>
            </w:pPr>
            <w:r w:rsidRPr="00B43E43">
              <w:rPr>
                <w:rFonts w:ascii="Times New Roman" w:hAnsi="Times New Roman"/>
                <w:szCs w:val="18"/>
              </w:rPr>
              <w:t>Indoor Office (Table 7.2-2),</w:t>
            </w:r>
          </w:p>
          <w:p w14:paraId="5A48BF4E" w14:textId="77777777" w:rsidR="00990545" w:rsidRPr="00B43E43" w:rsidRDefault="00990545">
            <w:pPr>
              <w:pStyle w:val="TAL"/>
              <w:numPr>
                <w:ilvl w:val="0"/>
                <w:numId w:val="16"/>
              </w:numPr>
              <w:rPr>
                <w:rFonts w:ascii="Times New Roman" w:hAnsi="Times New Roman"/>
                <w:szCs w:val="18"/>
              </w:rPr>
            </w:pPr>
            <w:r w:rsidRPr="00B43E43">
              <w:rPr>
                <w:rFonts w:ascii="Times New Roman" w:hAnsi="Times New Roman"/>
                <w:szCs w:val="18"/>
              </w:rPr>
              <w:t>InH-Office propagation model</w:t>
            </w:r>
          </w:p>
        </w:tc>
        <w:tc>
          <w:tcPr>
            <w:tcW w:w="3686" w:type="dxa"/>
          </w:tcPr>
          <w:p w14:paraId="33DFF711" w14:textId="77777777" w:rsidR="00990545" w:rsidRPr="00B43E43" w:rsidRDefault="00990545" w:rsidP="006B2419">
            <w:pPr>
              <w:pStyle w:val="TAL"/>
              <w:rPr>
                <w:rFonts w:ascii="Times New Roman" w:hAnsi="Times New Roman"/>
                <w:szCs w:val="18"/>
              </w:rPr>
            </w:pPr>
            <w:r w:rsidRPr="00B43E43">
              <w:rPr>
                <w:rFonts w:ascii="Times New Roman" w:hAnsi="Times New Roman"/>
                <w:szCs w:val="18"/>
              </w:rPr>
              <w:t>TR38.901</w:t>
            </w:r>
          </w:p>
        </w:tc>
      </w:tr>
      <w:tr w:rsidR="00990545" w:rsidRPr="00B43E43" w14:paraId="3879D62E" w14:textId="77777777" w:rsidTr="006B2419">
        <w:trPr>
          <w:jc w:val="center"/>
        </w:trPr>
        <w:tc>
          <w:tcPr>
            <w:tcW w:w="2830" w:type="dxa"/>
            <w:shd w:val="clear" w:color="auto" w:fill="auto"/>
          </w:tcPr>
          <w:p w14:paraId="14A197C7" w14:textId="77777777" w:rsidR="00990545" w:rsidRPr="00B43E43" w:rsidRDefault="00990545" w:rsidP="006B2419">
            <w:pPr>
              <w:pStyle w:val="TAL"/>
              <w:rPr>
                <w:rFonts w:ascii="Times New Roman" w:hAnsi="Times New Roman"/>
                <w:szCs w:val="18"/>
              </w:rPr>
            </w:pPr>
            <w:r w:rsidRPr="00B43E43">
              <w:rPr>
                <w:rFonts w:ascii="Times New Roman" w:hAnsi="Times New Roman"/>
                <w:szCs w:val="18"/>
              </w:rPr>
              <w:t>gNB to gNB link pathloss model</w:t>
            </w:r>
          </w:p>
        </w:tc>
        <w:tc>
          <w:tcPr>
            <w:tcW w:w="3969" w:type="dxa"/>
            <w:shd w:val="clear" w:color="auto" w:fill="auto"/>
          </w:tcPr>
          <w:p w14:paraId="1648603F" w14:textId="77777777" w:rsidR="00990545" w:rsidRPr="00B43E43" w:rsidRDefault="00990545">
            <w:pPr>
              <w:pStyle w:val="TAL"/>
              <w:numPr>
                <w:ilvl w:val="0"/>
                <w:numId w:val="16"/>
              </w:numPr>
              <w:rPr>
                <w:rFonts w:ascii="Times New Roman" w:hAnsi="Times New Roman"/>
                <w:szCs w:val="18"/>
              </w:rPr>
            </w:pPr>
            <w:r w:rsidRPr="00B43E43">
              <w:rPr>
                <w:rFonts w:ascii="Times New Roman" w:hAnsi="Times New Roman"/>
                <w:szCs w:val="18"/>
              </w:rPr>
              <w:t>Indoor Office (Table 7.2-2),</w:t>
            </w:r>
          </w:p>
          <w:p w14:paraId="71A11824" w14:textId="77777777" w:rsidR="00990545" w:rsidRPr="00B43E43" w:rsidRDefault="00990545">
            <w:pPr>
              <w:pStyle w:val="TAL"/>
              <w:numPr>
                <w:ilvl w:val="0"/>
                <w:numId w:val="16"/>
              </w:numPr>
              <w:rPr>
                <w:rFonts w:ascii="Times New Roman" w:hAnsi="Times New Roman"/>
                <w:szCs w:val="18"/>
              </w:rPr>
            </w:pPr>
            <w:r w:rsidRPr="00B43E43">
              <w:rPr>
                <w:rFonts w:ascii="Times New Roman" w:hAnsi="Times New Roman"/>
                <w:szCs w:val="18"/>
              </w:rPr>
              <w:t>InH-Office propagation model</w:t>
            </w:r>
          </w:p>
        </w:tc>
        <w:tc>
          <w:tcPr>
            <w:tcW w:w="3686" w:type="dxa"/>
          </w:tcPr>
          <w:p w14:paraId="4C281351" w14:textId="77777777" w:rsidR="00990545" w:rsidRPr="00B43E43" w:rsidRDefault="00990545" w:rsidP="006B2419">
            <w:pPr>
              <w:pStyle w:val="TAL"/>
              <w:rPr>
                <w:rFonts w:ascii="Times New Roman" w:hAnsi="Times New Roman"/>
                <w:szCs w:val="18"/>
              </w:rPr>
            </w:pPr>
            <w:r w:rsidRPr="00B43E43">
              <w:rPr>
                <w:rFonts w:ascii="Times New Roman" w:hAnsi="Times New Roman"/>
                <w:szCs w:val="18"/>
              </w:rPr>
              <w:t>TR38.901</w:t>
            </w:r>
          </w:p>
        </w:tc>
      </w:tr>
    </w:tbl>
    <w:p w14:paraId="351A6EB0" w14:textId="77777777" w:rsidR="00990545" w:rsidRDefault="00990545" w:rsidP="00990545">
      <w:pPr>
        <w:rPr>
          <w:rFonts w:eastAsiaTheme="minorEastAsia"/>
        </w:rPr>
      </w:pPr>
    </w:p>
    <w:p w14:paraId="521536D2" w14:textId="77777777" w:rsidR="00990545" w:rsidRDefault="00990545" w:rsidP="00990545">
      <w:pPr>
        <w:pStyle w:val="Caption"/>
        <w:spacing w:after="0"/>
        <w:jc w:val="center"/>
        <w:rPr>
          <w:rFonts w:eastAsiaTheme="minorEastAsia"/>
          <w:sz w:val="22"/>
          <w:szCs w:val="22"/>
          <w:lang w:eastAsia="zh-CN"/>
        </w:rPr>
      </w:pPr>
      <w:bookmarkStart w:id="250" w:name="_Ref111192652"/>
      <w:r>
        <w:t>Table</w:t>
      </w:r>
      <w:bookmarkEnd w:id="250"/>
      <w:r>
        <w:t xml:space="preserve"> 2. Propagation Evaluation Parameters, sub 7GHz outdoor</w:t>
      </w:r>
    </w:p>
    <w:tbl>
      <w:tblPr>
        <w:tblW w:w="10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2"/>
        <w:gridCol w:w="3969"/>
        <w:gridCol w:w="3686"/>
      </w:tblGrid>
      <w:tr w:rsidR="00990545" w:rsidRPr="00C925B5" w14:paraId="1D487600" w14:textId="77777777" w:rsidTr="006B2419">
        <w:trPr>
          <w:jc w:val="center"/>
        </w:trPr>
        <w:tc>
          <w:tcPr>
            <w:tcW w:w="2972" w:type="dxa"/>
            <w:shd w:val="clear" w:color="auto" w:fill="auto"/>
          </w:tcPr>
          <w:p w14:paraId="12E4EAD0" w14:textId="77777777" w:rsidR="00990545" w:rsidRPr="00C925B5" w:rsidRDefault="00990545" w:rsidP="006B2419">
            <w:pPr>
              <w:pStyle w:val="TAH"/>
              <w:rPr>
                <w:rFonts w:ascii="Times New Roman" w:hAnsi="Times New Roman"/>
                <w:szCs w:val="18"/>
              </w:rPr>
            </w:pPr>
            <w:r w:rsidRPr="00C925B5">
              <w:rPr>
                <w:rFonts w:ascii="Times New Roman" w:hAnsi="Times New Roman"/>
                <w:szCs w:val="18"/>
              </w:rPr>
              <w:lastRenderedPageBreak/>
              <w:t>Parameter</w:t>
            </w:r>
          </w:p>
        </w:tc>
        <w:tc>
          <w:tcPr>
            <w:tcW w:w="3969" w:type="dxa"/>
            <w:shd w:val="clear" w:color="auto" w:fill="auto"/>
          </w:tcPr>
          <w:p w14:paraId="7310DCD7" w14:textId="77777777" w:rsidR="00990545" w:rsidRPr="00C925B5" w:rsidRDefault="00990545" w:rsidP="006B2419">
            <w:pPr>
              <w:pStyle w:val="TAH"/>
              <w:rPr>
                <w:rFonts w:ascii="Times New Roman" w:hAnsi="Times New Roman"/>
                <w:szCs w:val="18"/>
              </w:rPr>
            </w:pPr>
            <w:r w:rsidRPr="00C925B5">
              <w:rPr>
                <w:rFonts w:ascii="Times New Roman" w:hAnsi="Times New Roman"/>
                <w:szCs w:val="18"/>
              </w:rPr>
              <w:t>Value</w:t>
            </w:r>
          </w:p>
        </w:tc>
        <w:tc>
          <w:tcPr>
            <w:tcW w:w="3686" w:type="dxa"/>
          </w:tcPr>
          <w:p w14:paraId="68F5158B" w14:textId="77777777" w:rsidR="00990545" w:rsidRPr="00C925B5" w:rsidRDefault="00990545" w:rsidP="006B2419">
            <w:pPr>
              <w:pStyle w:val="TAH"/>
              <w:rPr>
                <w:rFonts w:ascii="Times New Roman" w:hAnsi="Times New Roman"/>
                <w:szCs w:val="18"/>
              </w:rPr>
            </w:pPr>
            <w:r w:rsidRPr="00C925B5">
              <w:rPr>
                <w:rFonts w:ascii="Times New Roman" w:hAnsi="Times New Roman"/>
                <w:szCs w:val="18"/>
              </w:rPr>
              <w:t>Comments</w:t>
            </w:r>
          </w:p>
        </w:tc>
      </w:tr>
      <w:tr w:rsidR="00990545" w:rsidRPr="00C925B5" w14:paraId="3269D53D" w14:textId="77777777" w:rsidTr="006B2419">
        <w:trPr>
          <w:jc w:val="center"/>
        </w:trPr>
        <w:tc>
          <w:tcPr>
            <w:tcW w:w="2972" w:type="dxa"/>
            <w:shd w:val="clear" w:color="auto" w:fill="auto"/>
          </w:tcPr>
          <w:p w14:paraId="7FE3A52E" w14:textId="77777777" w:rsidR="00990545" w:rsidRPr="00C925B5" w:rsidRDefault="00990545" w:rsidP="006B2419">
            <w:pPr>
              <w:pStyle w:val="TAL"/>
              <w:rPr>
                <w:rFonts w:ascii="Times New Roman" w:hAnsi="Times New Roman"/>
                <w:szCs w:val="18"/>
              </w:rPr>
            </w:pPr>
            <w:r w:rsidRPr="00C925B5">
              <w:rPr>
                <w:rFonts w:ascii="Times New Roman" w:hAnsi="Times New Roman"/>
                <w:szCs w:val="18"/>
              </w:rPr>
              <w:t>Carrier Frequency</w:t>
            </w:r>
          </w:p>
        </w:tc>
        <w:tc>
          <w:tcPr>
            <w:tcW w:w="3969" w:type="dxa"/>
            <w:shd w:val="clear" w:color="auto" w:fill="auto"/>
          </w:tcPr>
          <w:p w14:paraId="5B44C4FA" w14:textId="77777777" w:rsidR="00990545" w:rsidRPr="00C925B5" w:rsidRDefault="00990545" w:rsidP="006B2419">
            <w:pPr>
              <w:pStyle w:val="TAL"/>
              <w:rPr>
                <w:rFonts w:ascii="Times New Roman" w:hAnsi="Times New Roman"/>
                <w:szCs w:val="18"/>
              </w:rPr>
            </w:pPr>
            <w:r w:rsidRPr="00C925B5">
              <w:rPr>
                <w:rFonts w:ascii="Times New Roman" w:hAnsi="Times New Roman"/>
                <w:szCs w:val="18"/>
              </w:rPr>
              <w:t xml:space="preserve">6 GHz (mandatory), 6405-6425 MHz, </w:t>
            </w:r>
          </w:p>
          <w:p w14:paraId="7845A0FB" w14:textId="77777777" w:rsidR="00990545" w:rsidRPr="00C925B5" w:rsidRDefault="00990545" w:rsidP="006B2419">
            <w:pPr>
              <w:pStyle w:val="TAL"/>
              <w:rPr>
                <w:rFonts w:ascii="Times New Roman" w:hAnsi="Times New Roman"/>
                <w:szCs w:val="18"/>
              </w:rPr>
            </w:pPr>
            <w:r w:rsidRPr="00C925B5">
              <w:rPr>
                <w:rFonts w:ascii="Times New Roman" w:hAnsi="Times New Roman"/>
                <w:szCs w:val="18"/>
              </w:rPr>
              <w:t>5 GHz is optional</w:t>
            </w:r>
          </w:p>
        </w:tc>
        <w:tc>
          <w:tcPr>
            <w:tcW w:w="3686" w:type="dxa"/>
          </w:tcPr>
          <w:p w14:paraId="223DA82F" w14:textId="77777777" w:rsidR="00990545" w:rsidRPr="00C925B5" w:rsidRDefault="00990545" w:rsidP="006B2419">
            <w:pPr>
              <w:pStyle w:val="TAL"/>
              <w:rPr>
                <w:rFonts w:ascii="Times New Roman" w:hAnsi="Times New Roman"/>
                <w:szCs w:val="18"/>
              </w:rPr>
            </w:pPr>
            <w:r w:rsidRPr="00C925B5">
              <w:rPr>
                <w:rFonts w:ascii="Times New Roman" w:hAnsi="Times New Roman"/>
                <w:szCs w:val="18"/>
              </w:rPr>
              <w:t>Channel 6405-6425MHz is the upper EU 6GHz channel and bordering US/ISED U-NII 6</w:t>
            </w:r>
          </w:p>
        </w:tc>
      </w:tr>
      <w:tr w:rsidR="00990545" w:rsidRPr="00C925B5" w14:paraId="3AD70723" w14:textId="77777777" w:rsidTr="006B2419">
        <w:trPr>
          <w:jc w:val="center"/>
        </w:trPr>
        <w:tc>
          <w:tcPr>
            <w:tcW w:w="2972" w:type="dxa"/>
            <w:shd w:val="clear" w:color="auto" w:fill="auto"/>
          </w:tcPr>
          <w:p w14:paraId="2126478D" w14:textId="77777777" w:rsidR="00990545" w:rsidRPr="00C925B5" w:rsidRDefault="00990545" w:rsidP="006B2419">
            <w:pPr>
              <w:pStyle w:val="TAL"/>
              <w:rPr>
                <w:rFonts w:ascii="Times New Roman" w:hAnsi="Times New Roman"/>
                <w:szCs w:val="18"/>
              </w:rPr>
            </w:pPr>
            <w:r w:rsidRPr="00C925B5">
              <w:rPr>
                <w:rFonts w:ascii="Times New Roman" w:hAnsi="Times New Roman"/>
                <w:szCs w:val="18"/>
              </w:rPr>
              <w:t>Carrier Channel Bandwidth</w:t>
            </w:r>
          </w:p>
        </w:tc>
        <w:tc>
          <w:tcPr>
            <w:tcW w:w="3969" w:type="dxa"/>
            <w:shd w:val="clear" w:color="auto" w:fill="auto"/>
          </w:tcPr>
          <w:p w14:paraId="54939D26" w14:textId="77777777" w:rsidR="00990545" w:rsidRPr="00C925B5" w:rsidRDefault="00990545" w:rsidP="006B2419">
            <w:pPr>
              <w:pStyle w:val="TAL"/>
              <w:rPr>
                <w:rFonts w:ascii="Times New Roman" w:hAnsi="Times New Roman"/>
                <w:szCs w:val="18"/>
              </w:rPr>
            </w:pPr>
            <w:r w:rsidRPr="00C925B5">
              <w:rPr>
                <w:rFonts w:ascii="Times New Roman" w:hAnsi="Times New Roman"/>
                <w:szCs w:val="18"/>
              </w:rPr>
              <w:t>20MHz baseline , 80MHz optional</w:t>
            </w:r>
          </w:p>
        </w:tc>
        <w:tc>
          <w:tcPr>
            <w:tcW w:w="3686" w:type="dxa"/>
          </w:tcPr>
          <w:p w14:paraId="3E00AC19" w14:textId="77777777" w:rsidR="00990545" w:rsidRPr="00C925B5" w:rsidRDefault="00990545" w:rsidP="006B2419">
            <w:pPr>
              <w:pStyle w:val="TAL"/>
              <w:rPr>
                <w:rFonts w:ascii="Times New Roman" w:hAnsi="Times New Roman"/>
                <w:szCs w:val="18"/>
              </w:rPr>
            </w:pPr>
            <w:r w:rsidRPr="00C925B5">
              <w:rPr>
                <w:rFonts w:ascii="Times New Roman" w:hAnsi="Times New Roman"/>
                <w:szCs w:val="18"/>
              </w:rPr>
              <w:t>6405-6425MHz</w:t>
            </w:r>
          </w:p>
        </w:tc>
      </w:tr>
      <w:tr w:rsidR="00990545" w:rsidRPr="00C925B5" w14:paraId="233C8B7A" w14:textId="77777777" w:rsidTr="006B2419">
        <w:trPr>
          <w:jc w:val="center"/>
        </w:trPr>
        <w:tc>
          <w:tcPr>
            <w:tcW w:w="2972" w:type="dxa"/>
            <w:shd w:val="clear" w:color="auto" w:fill="auto"/>
          </w:tcPr>
          <w:p w14:paraId="66398B33" w14:textId="77777777" w:rsidR="00990545" w:rsidRPr="00C925B5" w:rsidRDefault="00990545" w:rsidP="006B2419">
            <w:pPr>
              <w:pStyle w:val="TAL"/>
              <w:rPr>
                <w:rFonts w:ascii="Times New Roman" w:hAnsi="Times New Roman"/>
                <w:szCs w:val="18"/>
              </w:rPr>
            </w:pPr>
            <w:r w:rsidRPr="00C925B5">
              <w:rPr>
                <w:rFonts w:ascii="Times New Roman" w:hAnsi="Times New Roman"/>
                <w:szCs w:val="18"/>
              </w:rPr>
              <w:t>Number of carriers</w:t>
            </w:r>
          </w:p>
        </w:tc>
        <w:tc>
          <w:tcPr>
            <w:tcW w:w="3969" w:type="dxa"/>
            <w:shd w:val="clear" w:color="auto" w:fill="auto"/>
          </w:tcPr>
          <w:p w14:paraId="489E1A4A" w14:textId="77777777" w:rsidR="00990545" w:rsidRPr="00C925B5" w:rsidRDefault="00990545" w:rsidP="006B2419">
            <w:pPr>
              <w:pStyle w:val="TAL"/>
              <w:rPr>
                <w:rFonts w:ascii="Times New Roman" w:hAnsi="Times New Roman"/>
                <w:szCs w:val="18"/>
              </w:rPr>
            </w:pPr>
            <w:r w:rsidRPr="00C925B5">
              <w:rPr>
                <w:rFonts w:ascii="Times New Roman" w:hAnsi="Times New Roman"/>
                <w:szCs w:val="18"/>
              </w:rPr>
              <w:t>1</w:t>
            </w:r>
          </w:p>
        </w:tc>
        <w:tc>
          <w:tcPr>
            <w:tcW w:w="3686" w:type="dxa"/>
          </w:tcPr>
          <w:p w14:paraId="74635EE6" w14:textId="77777777" w:rsidR="00990545" w:rsidRPr="00C925B5" w:rsidRDefault="00990545" w:rsidP="006B2419">
            <w:pPr>
              <w:pStyle w:val="TAL"/>
              <w:rPr>
                <w:rFonts w:ascii="Times New Roman" w:hAnsi="Times New Roman"/>
                <w:szCs w:val="18"/>
              </w:rPr>
            </w:pPr>
          </w:p>
        </w:tc>
      </w:tr>
      <w:tr w:rsidR="00990545" w:rsidRPr="00C925B5" w14:paraId="43893240" w14:textId="77777777" w:rsidTr="006B2419">
        <w:trPr>
          <w:jc w:val="center"/>
        </w:trPr>
        <w:tc>
          <w:tcPr>
            <w:tcW w:w="2972" w:type="dxa"/>
            <w:shd w:val="clear" w:color="auto" w:fill="auto"/>
          </w:tcPr>
          <w:p w14:paraId="64BF8CC7" w14:textId="77777777" w:rsidR="00990545" w:rsidRPr="00C925B5" w:rsidRDefault="00990545" w:rsidP="006B2419">
            <w:pPr>
              <w:pStyle w:val="TAL"/>
              <w:rPr>
                <w:rFonts w:ascii="Times New Roman" w:hAnsi="Times New Roman"/>
                <w:szCs w:val="18"/>
              </w:rPr>
            </w:pPr>
            <w:r w:rsidRPr="00C925B5">
              <w:rPr>
                <w:rFonts w:ascii="Times New Roman" w:hAnsi="Times New Roman"/>
                <w:szCs w:val="18"/>
              </w:rPr>
              <w:t>Number of users per operator</w:t>
            </w:r>
          </w:p>
        </w:tc>
        <w:tc>
          <w:tcPr>
            <w:tcW w:w="3969" w:type="dxa"/>
            <w:shd w:val="clear" w:color="auto" w:fill="auto"/>
          </w:tcPr>
          <w:p w14:paraId="238896BF" w14:textId="77777777" w:rsidR="00990545" w:rsidRPr="00C925B5" w:rsidRDefault="00990545" w:rsidP="006B2419">
            <w:pPr>
              <w:pStyle w:val="TAL"/>
              <w:rPr>
                <w:rFonts w:ascii="Times New Roman" w:hAnsi="Times New Roman"/>
                <w:szCs w:val="18"/>
              </w:rPr>
            </w:pPr>
            <w:r w:rsidRPr="00C925B5">
              <w:rPr>
                <w:rFonts w:ascii="Times New Roman" w:hAnsi="Times New Roman"/>
                <w:szCs w:val="18"/>
              </w:rPr>
              <w:t>5 UEs associated with each gNB per 20MHz</w:t>
            </w:r>
          </w:p>
        </w:tc>
        <w:tc>
          <w:tcPr>
            <w:tcW w:w="3686" w:type="dxa"/>
          </w:tcPr>
          <w:p w14:paraId="4A0BD8CE" w14:textId="77777777" w:rsidR="00990545" w:rsidRPr="00C925B5" w:rsidRDefault="00990545" w:rsidP="006B2419">
            <w:pPr>
              <w:pStyle w:val="TAL"/>
              <w:rPr>
                <w:rFonts w:ascii="Times New Roman" w:hAnsi="Times New Roman"/>
                <w:szCs w:val="18"/>
              </w:rPr>
            </w:pPr>
          </w:p>
        </w:tc>
      </w:tr>
      <w:tr w:rsidR="00990545" w:rsidRPr="00C925B5" w14:paraId="253C5D27" w14:textId="77777777" w:rsidTr="006B2419">
        <w:trPr>
          <w:jc w:val="center"/>
        </w:trPr>
        <w:tc>
          <w:tcPr>
            <w:tcW w:w="2972" w:type="dxa"/>
            <w:shd w:val="clear" w:color="auto" w:fill="auto"/>
          </w:tcPr>
          <w:p w14:paraId="01598BCF" w14:textId="77777777" w:rsidR="00990545" w:rsidRPr="00C925B5" w:rsidRDefault="00990545" w:rsidP="006B2419">
            <w:pPr>
              <w:pStyle w:val="TAL"/>
              <w:rPr>
                <w:rFonts w:ascii="Times New Roman" w:hAnsi="Times New Roman"/>
                <w:szCs w:val="18"/>
              </w:rPr>
            </w:pPr>
            <w:r w:rsidRPr="00C925B5">
              <w:rPr>
                <w:rFonts w:ascii="Times New Roman" w:hAnsi="Times New Roman"/>
                <w:szCs w:val="18"/>
              </w:rPr>
              <w:t>SCS</w:t>
            </w:r>
          </w:p>
        </w:tc>
        <w:tc>
          <w:tcPr>
            <w:tcW w:w="3969" w:type="dxa"/>
            <w:shd w:val="clear" w:color="auto" w:fill="auto"/>
          </w:tcPr>
          <w:p w14:paraId="63552D68" w14:textId="77777777" w:rsidR="00990545" w:rsidRPr="00C925B5" w:rsidRDefault="00990545" w:rsidP="006B2419">
            <w:pPr>
              <w:pStyle w:val="TAL"/>
              <w:rPr>
                <w:rFonts w:ascii="Times New Roman" w:hAnsi="Times New Roman"/>
                <w:szCs w:val="18"/>
              </w:rPr>
            </w:pPr>
            <w:r w:rsidRPr="00C925B5">
              <w:rPr>
                <w:rFonts w:ascii="Times New Roman" w:hAnsi="Times New Roman"/>
                <w:szCs w:val="18"/>
              </w:rPr>
              <w:t>30kHz</w:t>
            </w:r>
          </w:p>
        </w:tc>
        <w:tc>
          <w:tcPr>
            <w:tcW w:w="3686" w:type="dxa"/>
          </w:tcPr>
          <w:p w14:paraId="55BBEB3D" w14:textId="77777777" w:rsidR="00990545" w:rsidRPr="00C925B5" w:rsidRDefault="00990545" w:rsidP="006B2419">
            <w:pPr>
              <w:pStyle w:val="TAL"/>
              <w:rPr>
                <w:rFonts w:ascii="Times New Roman" w:hAnsi="Times New Roman"/>
                <w:szCs w:val="18"/>
              </w:rPr>
            </w:pPr>
          </w:p>
        </w:tc>
      </w:tr>
      <w:tr w:rsidR="00990545" w:rsidRPr="00C925B5" w14:paraId="7D48EA6F" w14:textId="77777777" w:rsidTr="006B2419">
        <w:trPr>
          <w:jc w:val="center"/>
        </w:trPr>
        <w:tc>
          <w:tcPr>
            <w:tcW w:w="2972" w:type="dxa"/>
            <w:shd w:val="clear" w:color="auto" w:fill="auto"/>
          </w:tcPr>
          <w:p w14:paraId="17CE5A6A" w14:textId="77777777" w:rsidR="00990545" w:rsidRPr="00C925B5" w:rsidRDefault="00990545" w:rsidP="006B2419">
            <w:pPr>
              <w:pStyle w:val="TAL"/>
              <w:rPr>
                <w:rFonts w:ascii="Times New Roman" w:hAnsi="Times New Roman"/>
                <w:szCs w:val="18"/>
              </w:rPr>
            </w:pPr>
            <w:r w:rsidRPr="00C925B5">
              <w:rPr>
                <w:rFonts w:ascii="Times New Roman" w:hAnsi="Times New Roman"/>
                <w:szCs w:val="18"/>
              </w:rPr>
              <w:t>Channel Model</w:t>
            </w:r>
          </w:p>
        </w:tc>
        <w:tc>
          <w:tcPr>
            <w:tcW w:w="3969" w:type="dxa"/>
            <w:shd w:val="clear" w:color="auto" w:fill="auto"/>
          </w:tcPr>
          <w:p w14:paraId="626F65A7" w14:textId="77777777" w:rsidR="00990545" w:rsidRPr="00C925B5" w:rsidRDefault="00990545" w:rsidP="006B2419">
            <w:pPr>
              <w:pStyle w:val="TAL"/>
              <w:rPr>
                <w:rFonts w:ascii="Times New Roman" w:hAnsi="Times New Roman"/>
                <w:szCs w:val="18"/>
              </w:rPr>
            </w:pPr>
            <w:r w:rsidRPr="00C925B5">
              <w:rPr>
                <w:rFonts w:ascii="Times New Roman" w:hAnsi="Times New Roman"/>
                <w:szCs w:val="18"/>
              </w:rPr>
              <w:t>NR UMi street canyon</w:t>
            </w:r>
          </w:p>
        </w:tc>
        <w:tc>
          <w:tcPr>
            <w:tcW w:w="3686" w:type="dxa"/>
          </w:tcPr>
          <w:p w14:paraId="669BAD01" w14:textId="77777777" w:rsidR="00990545" w:rsidRPr="00C925B5" w:rsidRDefault="00990545" w:rsidP="006B2419">
            <w:pPr>
              <w:pStyle w:val="TAL"/>
              <w:rPr>
                <w:rFonts w:ascii="Times New Roman" w:hAnsi="Times New Roman"/>
                <w:szCs w:val="18"/>
              </w:rPr>
            </w:pPr>
            <w:r w:rsidRPr="00C925B5">
              <w:rPr>
                <w:rFonts w:ascii="Times New Roman" w:hAnsi="Times New Roman"/>
                <w:szCs w:val="18"/>
              </w:rPr>
              <w:t>TR38.901</w:t>
            </w:r>
          </w:p>
        </w:tc>
      </w:tr>
      <w:tr w:rsidR="00990545" w:rsidRPr="00C925B5" w14:paraId="4D35ECE4" w14:textId="77777777" w:rsidTr="006B2419">
        <w:trPr>
          <w:jc w:val="center"/>
        </w:trPr>
        <w:tc>
          <w:tcPr>
            <w:tcW w:w="2972" w:type="dxa"/>
            <w:shd w:val="clear" w:color="auto" w:fill="auto"/>
          </w:tcPr>
          <w:p w14:paraId="715693D1" w14:textId="77777777" w:rsidR="00990545" w:rsidRPr="00C925B5" w:rsidRDefault="00990545" w:rsidP="006B2419">
            <w:pPr>
              <w:pStyle w:val="TAL"/>
              <w:rPr>
                <w:rFonts w:ascii="Times New Roman" w:hAnsi="Times New Roman"/>
                <w:szCs w:val="18"/>
              </w:rPr>
            </w:pPr>
            <w:r w:rsidRPr="00C925B5">
              <w:rPr>
                <w:rFonts w:ascii="Times New Roman" w:hAnsi="Times New Roman"/>
                <w:szCs w:val="18"/>
              </w:rPr>
              <w:t>BS/AP Tx Power</w:t>
            </w:r>
          </w:p>
        </w:tc>
        <w:tc>
          <w:tcPr>
            <w:tcW w:w="3969" w:type="dxa"/>
            <w:shd w:val="clear" w:color="auto" w:fill="auto"/>
          </w:tcPr>
          <w:p w14:paraId="21719D8F" w14:textId="77777777" w:rsidR="00990545" w:rsidRPr="00C925B5" w:rsidRDefault="00990545" w:rsidP="006B2419">
            <w:pPr>
              <w:pStyle w:val="TAL"/>
              <w:rPr>
                <w:rFonts w:ascii="Times New Roman" w:hAnsi="Times New Roman"/>
                <w:szCs w:val="18"/>
              </w:rPr>
            </w:pPr>
            <w:r w:rsidRPr="00C925B5">
              <w:rPr>
                <w:rFonts w:ascii="Times New Roman" w:hAnsi="Times New Roman"/>
                <w:szCs w:val="18"/>
              </w:rPr>
              <w:t>36dBm per beam</w:t>
            </w:r>
          </w:p>
        </w:tc>
        <w:tc>
          <w:tcPr>
            <w:tcW w:w="3686" w:type="dxa"/>
          </w:tcPr>
          <w:p w14:paraId="1EB62854" w14:textId="77777777" w:rsidR="00990545" w:rsidRPr="00C925B5" w:rsidRDefault="00990545" w:rsidP="006B2419">
            <w:pPr>
              <w:pStyle w:val="TAL"/>
              <w:rPr>
                <w:rFonts w:ascii="Times New Roman" w:hAnsi="Times New Roman"/>
                <w:szCs w:val="18"/>
              </w:rPr>
            </w:pPr>
            <w:r w:rsidRPr="00C925B5">
              <w:rPr>
                <w:rFonts w:ascii="Times New Roman" w:hAnsi="Times New Roman"/>
                <w:szCs w:val="18"/>
              </w:rPr>
              <w:t>6dB beam separation considered</w:t>
            </w:r>
          </w:p>
        </w:tc>
      </w:tr>
      <w:tr w:rsidR="00990545" w:rsidRPr="00C925B5" w14:paraId="2B0FF69C" w14:textId="77777777" w:rsidTr="006B2419">
        <w:trPr>
          <w:jc w:val="center"/>
        </w:trPr>
        <w:tc>
          <w:tcPr>
            <w:tcW w:w="2972" w:type="dxa"/>
            <w:shd w:val="clear" w:color="auto" w:fill="auto"/>
          </w:tcPr>
          <w:p w14:paraId="28CDC085" w14:textId="77777777" w:rsidR="00990545" w:rsidRPr="00C925B5" w:rsidRDefault="00990545" w:rsidP="006B2419">
            <w:pPr>
              <w:pStyle w:val="TAL"/>
              <w:rPr>
                <w:rFonts w:ascii="Times New Roman" w:hAnsi="Times New Roman"/>
                <w:szCs w:val="18"/>
              </w:rPr>
            </w:pPr>
            <w:r w:rsidRPr="00C925B5">
              <w:rPr>
                <w:rFonts w:ascii="Times New Roman" w:hAnsi="Times New Roman"/>
                <w:szCs w:val="18"/>
              </w:rPr>
              <w:t>UE/STA Tx Power</w:t>
            </w:r>
          </w:p>
        </w:tc>
        <w:tc>
          <w:tcPr>
            <w:tcW w:w="3969" w:type="dxa"/>
            <w:shd w:val="clear" w:color="auto" w:fill="auto"/>
          </w:tcPr>
          <w:p w14:paraId="785F720C" w14:textId="77777777" w:rsidR="00990545" w:rsidRPr="00C925B5" w:rsidRDefault="00990545" w:rsidP="006B2419">
            <w:pPr>
              <w:pStyle w:val="TAL"/>
              <w:rPr>
                <w:rFonts w:ascii="Times New Roman" w:hAnsi="Times New Roman"/>
                <w:szCs w:val="18"/>
              </w:rPr>
            </w:pPr>
            <w:r w:rsidRPr="00C925B5">
              <w:rPr>
                <w:rFonts w:ascii="Times New Roman" w:hAnsi="Times New Roman"/>
                <w:szCs w:val="18"/>
              </w:rPr>
              <w:t>23dBm (total across all TX antennas)</w:t>
            </w:r>
          </w:p>
        </w:tc>
        <w:tc>
          <w:tcPr>
            <w:tcW w:w="3686" w:type="dxa"/>
          </w:tcPr>
          <w:p w14:paraId="00A73E5C" w14:textId="77777777" w:rsidR="00990545" w:rsidRPr="00C925B5" w:rsidRDefault="00990545" w:rsidP="006B2419">
            <w:pPr>
              <w:pStyle w:val="TAL"/>
              <w:rPr>
                <w:rFonts w:ascii="Times New Roman" w:hAnsi="Times New Roman"/>
                <w:szCs w:val="18"/>
              </w:rPr>
            </w:pPr>
          </w:p>
        </w:tc>
      </w:tr>
      <w:tr w:rsidR="00990545" w:rsidRPr="00C925B5" w14:paraId="797FBC35" w14:textId="77777777" w:rsidTr="006B2419">
        <w:trPr>
          <w:jc w:val="center"/>
        </w:trPr>
        <w:tc>
          <w:tcPr>
            <w:tcW w:w="2972" w:type="dxa"/>
            <w:shd w:val="clear" w:color="auto" w:fill="auto"/>
          </w:tcPr>
          <w:p w14:paraId="1E749871" w14:textId="77777777" w:rsidR="00990545" w:rsidRPr="00C925B5" w:rsidRDefault="00990545" w:rsidP="006B2419">
            <w:pPr>
              <w:pStyle w:val="TAL"/>
              <w:rPr>
                <w:rFonts w:ascii="Times New Roman" w:hAnsi="Times New Roman"/>
                <w:szCs w:val="18"/>
              </w:rPr>
            </w:pPr>
            <w:r w:rsidRPr="00C925B5">
              <w:rPr>
                <w:rFonts w:ascii="Times New Roman" w:hAnsi="Times New Roman"/>
                <w:szCs w:val="18"/>
              </w:rPr>
              <w:t>BS/AP Antenna gain</w:t>
            </w:r>
          </w:p>
        </w:tc>
        <w:tc>
          <w:tcPr>
            <w:tcW w:w="3969" w:type="dxa"/>
            <w:shd w:val="clear" w:color="auto" w:fill="auto"/>
          </w:tcPr>
          <w:p w14:paraId="7A08D6E4" w14:textId="77777777" w:rsidR="00990545" w:rsidRPr="00C925B5" w:rsidRDefault="00990545" w:rsidP="006B2419">
            <w:pPr>
              <w:pStyle w:val="TAL"/>
              <w:rPr>
                <w:rFonts w:ascii="Times New Roman" w:hAnsi="Times New Roman"/>
                <w:szCs w:val="18"/>
              </w:rPr>
            </w:pPr>
            <w:r w:rsidRPr="00C925B5">
              <w:rPr>
                <w:rFonts w:ascii="Times New Roman" w:hAnsi="Times New Roman"/>
                <w:szCs w:val="18"/>
              </w:rPr>
              <w:t xml:space="preserve">0 dBi   </w:t>
            </w:r>
          </w:p>
        </w:tc>
        <w:tc>
          <w:tcPr>
            <w:tcW w:w="3686" w:type="dxa"/>
          </w:tcPr>
          <w:p w14:paraId="4028D4FD" w14:textId="77777777" w:rsidR="00990545" w:rsidRPr="00C925B5" w:rsidRDefault="00990545" w:rsidP="006B2419">
            <w:pPr>
              <w:pStyle w:val="TAL"/>
              <w:rPr>
                <w:rFonts w:ascii="Times New Roman" w:hAnsi="Times New Roman"/>
                <w:szCs w:val="18"/>
              </w:rPr>
            </w:pPr>
          </w:p>
        </w:tc>
      </w:tr>
      <w:tr w:rsidR="00990545" w:rsidRPr="00C925B5" w14:paraId="164313A0" w14:textId="77777777" w:rsidTr="006B2419">
        <w:trPr>
          <w:jc w:val="center"/>
        </w:trPr>
        <w:tc>
          <w:tcPr>
            <w:tcW w:w="2972" w:type="dxa"/>
            <w:shd w:val="clear" w:color="auto" w:fill="auto"/>
          </w:tcPr>
          <w:p w14:paraId="34643657" w14:textId="77777777" w:rsidR="00990545" w:rsidRPr="00C925B5" w:rsidRDefault="00990545" w:rsidP="006B2419">
            <w:pPr>
              <w:pStyle w:val="TAL"/>
              <w:rPr>
                <w:rFonts w:ascii="Times New Roman" w:hAnsi="Times New Roman"/>
                <w:szCs w:val="18"/>
              </w:rPr>
            </w:pPr>
            <w:r w:rsidRPr="00C925B5">
              <w:rPr>
                <w:rFonts w:ascii="Times New Roman" w:hAnsi="Times New Roman"/>
                <w:szCs w:val="18"/>
              </w:rPr>
              <w:t>UE/STA Antenna gain</w:t>
            </w:r>
          </w:p>
        </w:tc>
        <w:tc>
          <w:tcPr>
            <w:tcW w:w="3969" w:type="dxa"/>
            <w:shd w:val="clear" w:color="auto" w:fill="auto"/>
          </w:tcPr>
          <w:p w14:paraId="03856F77" w14:textId="77777777" w:rsidR="00990545" w:rsidRPr="00C925B5" w:rsidRDefault="00990545" w:rsidP="006B2419">
            <w:pPr>
              <w:pStyle w:val="TAL"/>
              <w:rPr>
                <w:rFonts w:ascii="Times New Roman" w:hAnsi="Times New Roman"/>
                <w:szCs w:val="18"/>
              </w:rPr>
            </w:pPr>
            <w:r w:rsidRPr="00C925B5">
              <w:rPr>
                <w:rFonts w:ascii="Times New Roman" w:hAnsi="Times New Roman"/>
                <w:szCs w:val="18"/>
              </w:rPr>
              <w:t>0 dBi</w:t>
            </w:r>
          </w:p>
        </w:tc>
        <w:tc>
          <w:tcPr>
            <w:tcW w:w="3686" w:type="dxa"/>
          </w:tcPr>
          <w:p w14:paraId="3111E320" w14:textId="77777777" w:rsidR="00990545" w:rsidRPr="00C925B5" w:rsidRDefault="00990545" w:rsidP="006B2419">
            <w:pPr>
              <w:pStyle w:val="TAL"/>
              <w:rPr>
                <w:rFonts w:ascii="Times New Roman" w:hAnsi="Times New Roman"/>
                <w:szCs w:val="18"/>
              </w:rPr>
            </w:pPr>
          </w:p>
        </w:tc>
      </w:tr>
      <w:tr w:rsidR="00990545" w:rsidRPr="00C925B5" w14:paraId="31CF274F" w14:textId="77777777" w:rsidTr="006B2419">
        <w:trPr>
          <w:jc w:val="center"/>
        </w:trPr>
        <w:tc>
          <w:tcPr>
            <w:tcW w:w="2972" w:type="dxa"/>
            <w:shd w:val="clear" w:color="auto" w:fill="auto"/>
          </w:tcPr>
          <w:p w14:paraId="2654A22A" w14:textId="77777777" w:rsidR="00990545" w:rsidRPr="00C925B5" w:rsidRDefault="00990545" w:rsidP="006B2419">
            <w:pPr>
              <w:pStyle w:val="TAL"/>
              <w:rPr>
                <w:rFonts w:ascii="Times New Roman" w:hAnsi="Times New Roman"/>
                <w:szCs w:val="18"/>
              </w:rPr>
            </w:pPr>
            <w:r w:rsidRPr="00C925B5">
              <w:rPr>
                <w:rFonts w:ascii="Times New Roman" w:hAnsi="Times New Roman"/>
                <w:szCs w:val="18"/>
              </w:rPr>
              <w:t>BS/AP Noise Figure</w:t>
            </w:r>
          </w:p>
        </w:tc>
        <w:tc>
          <w:tcPr>
            <w:tcW w:w="3969" w:type="dxa"/>
            <w:shd w:val="clear" w:color="auto" w:fill="auto"/>
          </w:tcPr>
          <w:p w14:paraId="17DDF236" w14:textId="77777777" w:rsidR="00990545" w:rsidRPr="00C925B5" w:rsidRDefault="00990545" w:rsidP="006B2419">
            <w:pPr>
              <w:pStyle w:val="TAL"/>
              <w:rPr>
                <w:rFonts w:ascii="Times New Roman" w:hAnsi="Times New Roman"/>
                <w:szCs w:val="18"/>
              </w:rPr>
            </w:pPr>
            <w:r w:rsidRPr="00C925B5">
              <w:rPr>
                <w:rFonts w:ascii="Times New Roman" w:hAnsi="Times New Roman"/>
                <w:szCs w:val="18"/>
              </w:rPr>
              <w:t>5dB</w:t>
            </w:r>
          </w:p>
        </w:tc>
        <w:tc>
          <w:tcPr>
            <w:tcW w:w="3686" w:type="dxa"/>
          </w:tcPr>
          <w:p w14:paraId="38A1CA00" w14:textId="77777777" w:rsidR="00990545" w:rsidRPr="00C925B5" w:rsidRDefault="00990545" w:rsidP="006B2419">
            <w:pPr>
              <w:pStyle w:val="TAL"/>
              <w:rPr>
                <w:rFonts w:ascii="Times New Roman" w:hAnsi="Times New Roman"/>
                <w:szCs w:val="18"/>
              </w:rPr>
            </w:pPr>
          </w:p>
        </w:tc>
      </w:tr>
      <w:tr w:rsidR="00990545" w:rsidRPr="00C925B5" w14:paraId="21D406FE" w14:textId="77777777" w:rsidTr="006B2419">
        <w:trPr>
          <w:jc w:val="center"/>
        </w:trPr>
        <w:tc>
          <w:tcPr>
            <w:tcW w:w="2972" w:type="dxa"/>
            <w:shd w:val="clear" w:color="auto" w:fill="auto"/>
          </w:tcPr>
          <w:p w14:paraId="7323DC36" w14:textId="77777777" w:rsidR="00990545" w:rsidRPr="008621E0" w:rsidRDefault="00990545" w:rsidP="006B2419">
            <w:pPr>
              <w:pStyle w:val="TAL"/>
              <w:rPr>
                <w:rFonts w:ascii="Times New Roman" w:hAnsi="Times New Roman"/>
                <w:szCs w:val="18"/>
                <w:lang w:val="it-IT"/>
              </w:rPr>
            </w:pPr>
            <w:r w:rsidRPr="008621E0">
              <w:rPr>
                <w:rFonts w:ascii="Times New Roman" w:hAnsi="Times New Roman"/>
                <w:szCs w:val="18"/>
                <w:lang w:val="it-IT"/>
              </w:rPr>
              <w:t>UE/STA Receiver Noise Figure</w:t>
            </w:r>
          </w:p>
        </w:tc>
        <w:tc>
          <w:tcPr>
            <w:tcW w:w="3969" w:type="dxa"/>
            <w:shd w:val="clear" w:color="auto" w:fill="auto"/>
          </w:tcPr>
          <w:p w14:paraId="41C3EDA4" w14:textId="77777777" w:rsidR="00990545" w:rsidRPr="00C925B5" w:rsidRDefault="00990545" w:rsidP="006B2419">
            <w:pPr>
              <w:pStyle w:val="TAL"/>
              <w:rPr>
                <w:rFonts w:ascii="Times New Roman" w:hAnsi="Times New Roman"/>
                <w:szCs w:val="18"/>
              </w:rPr>
            </w:pPr>
            <w:r w:rsidRPr="00C925B5">
              <w:rPr>
                <w:rFonts w:ascii="Times New Roman" w:hAnsi="Times New Roman"/>
                <w:szCs w:val="18"/>
              </w:rPr>
              <w:t>9dB</w:t>
            </w:r>
          </w:p>
        </w:tc>
        <w:tc>
          <w:tcPr>
            <w:tcW w:w="3686" w:type="dxa"/>
          </w:tcPr>
          <w:p w14:paraId="14808752" w14:textId="77777777" w:rsidR="00990545" w:rsidRPr="00C925B5" w:rsidRDefault="00990545" w:rsidP="006B2419">
            <w:pPr>
              <w:pStyle w:val="TAL"/>
              <w:rPr>
                <w:rFonts w:ascii="Times New Roman" w:hAnsi="Times New Roman"/>
                <w:szCs w:val="18"/>
              </w:rPr>
            </w:pPr>
          </w:p>
        </w:tc>
      </w:tr>
      <w:tr w:rsidR="00990545" w:rsidRPr="00C925B5" w14:paraId="27941CF1" w14:textId="77777777" w:rsidTr="006B2419">
        <w:trPr>
          <w:jc w:val="center"/>
        </w:trPr>
        <w:tc>
          <w:tcPr>
            <w:tcW w:w="2972" w:type="dxa"/>
            <w:shd w:val="clear" w:color="auto" w:fill="auto"/>
          </w:tcPr>
          <w:p w14:paraId="5E1D0C92" w14:textId="77777777" w:rsidR="00990545" w:rsidRPr="00C925B5" w:rsidRDefault="00990545" w:rsidP="006B2419">
            <w:pPr>
              <w:pStyle w:val="TAL"/>
              <w:rPr>
                <w:rFonts w:ascii="Times New Roman" w:hAnsi="Times New Roman"/>
                <w:szCs w:val="18"/>
              </w:rPr>
            </w:pPr>
            <w:r w:rsidRPr="00C925B5">
              <w:rPr>
                <w:rFonts w:ascii="Times New Roman" w:hAnsi="Times New Roman"/>
                <w:szCs w:val="18"/>
              </w:rPr>
              <w:t>Minimum received power from serving cell for UE dropping</w:t>
            </w:r>
          </w:p>
        </w:tc>
        <w:tc>
          <w:tcPr>
            <w:tcW w:w="3969" w:type="dxa"/>
            <w:shd w:val="clear" w:color="auto" w:fill="auto"/>
          </w:tcPr>
          <w:p w14:paraId="1B783620" w14:textId="77777777" w:rsidR="00990545" w:rsidRPr="00C925B5" w:rsidRDefault="00990545" w:rsidP="006B2419">
            <w:pPr>
              <w:pStyle w:val="TAL"/>
              <w:rPr>
                <w:rFonts w:ascii="Times New Roman" w:hAnsi="Times New Roman"/>
                <w:szCs w:val="18"/>
              </w:rPr>
            </w:pPr>
            <w:r w:rsidRPr="00C925B5">
              <w:rPr>
                <w:rFonts w:ascii="Times New Roman" w:hAnsi="Times New Roman"/>
                <w:szCs w:val="18"/>
              </w:rPr>
              <w:t>-82dBm</w:t>
            </w:r>
          </w:p>
        </w:tc>
        <w:tc>
          <w:tcPr>
            <w:tcW w:w="3686" w:type="dxa"/>
          </w:tcPr>
          <w:p w14:paraId="6DC1317B" w14:textId="77777777" w:rsidR="00990545" w:rsidRPr="00C925B5" w:rsidRDefault="00990545" w:rsidP="006B2419">
            <w:pPr>
              <w:pStyle w:val="TAL"/>
              <w:rPr>
                <w:rFonts w:ascii="Times New Roman" w:hAnsi="Times New Roman"/>
                <w:szCs w:val="18"/>
              </w:rPr>
            </w:pPr>
          </w:p>
        </w:tc>
      </w:tr>
      <w:tr w:rsidR="00990545" w:rsidRPr="00C925B5" w14:paraId="1F7474C7" w14:textId="77777777" w:rsidTr="006B2419">
        <w:trPr>
          <w:jc w:val="center"/>
        </w:trPr>
        <w:tc>
          <w:tcPr>
            <w:tcW w:w="2972" w:type="dxa"/>
            <w:shd w:val="clear" w:color="auto" w:fill="auto"/>
          </w:tcPr>
          <w:p w14:paraId="78271AB2" w14:textId="77777777" w:rsidR="00990545" w:rsidRPr="00C925B5" w:rsidRDefault="00990545" w:rsidP="006B2419">
            <w:pPr>
              <w:pStyle w:val="TAL"/>
              <w:rPr>
                <w:rFonts w:ascii="Times New Roman" w:hAnsi="Times New Roman"/>
                <w:szCs w:val="18"/>
              </w:rPr>
            </w:pPr>
            <w:r w:rsidRPr="00C925B5">
              <w:rPr>
                <w:rFonts w:ascii="Times New Roman" w:hAnsi="Times New Roman"/>
                <w:szCs w:val="18"/>
              </w:rPr>
              <w:t>UE receiver</w:t>
            </w:r>
          </w:p>
        </w:tc>
        <w:tc>
          <w:tcPr>
            <w:tcW w:w="3969" w:type="dxa"/>
            <w:shd w:val="clear" w:color="auto" w:fill="auto"/>
          </w:tcPr>
          <w:p w14:paraId="0F381401" w14:textId="77777777" w:rsidR="00990545" w:rsidRPr="00C925B5" w:rsidRDefault="00990545" w:rsidP="006B2419">
            <w:pPr>
              <w:pStyle w:val="TAL"/>
              <w:rPr>
                <w:rFonts w:ascii="Times New Roman" w:hAnsi="Times New Roman"/>
                <w:szCs w:val="18"/>
              </w:rPr>
            </w:pPr>
            <w:r w:rsidRPr="00C925B5">
              <w:rPr>
                <w:rFonts w:ascii="Times New Roman" w:hAnsi="Times New Roman"/>
                <w:szCs w:val="18"/>
              </w:rPr>
              <w:t>MMSE-IRC as the baseline receiver</w:t>
            </w:r>
          </w:p>
        </w:tc>
        <w:tc>
          <w:tcPr>
            <w:tcW w:w="3686" w:type="dxa"/>
          </w:tcPr>
          <w:p w14:paraId="75642F38" w14:textId="77777777" w:rsidR="00990545" w:rsidRPr="00C925B5" w:rsidRDefault="00990545" w:rsidP="006B2419">
            <w:pPr>
              <w:pStyle w:val="TAL"/>
              <w:rPr>
                <w:rFonts w:ascii="Times New Roman" w:hAnsi="Times New Roman"/>
                <w:szCs w:val="18"/>
              </w:rPr>
            </w:pPr>
          </w:p>
        </w:tc>
      </w:tr>
      <w:tr w:rsidR="00990545" w:rsidRPr="00C925B5" w14:paraId="135CBBC1" w14:textId="77777777" w:rsidTr="006B2419">
        <w:trPr>
          <w:jc w:val="center"/>
        </w:trPr>
        <w:tc>
          <w:tcPr>
            <w:tcW w:w="2972" w:type="dxa"/>
            <w:shd w:val="clear" w:color="auto" w:fill="auto"/>
          </w:tcPr>
          <w:p w14:paraId="51B0AC77" w14:textId="77777777" w:rsidR="00990545" w:rsidRPr="00C925B5" w:rsidRDefault="00990545" w:rsidP="006B2419">
            <w:pPr>
              <w:pStyle w:val="TAL"/>
              <w:rPr>
                <w:rFonts w:ascii="Times New Roman" w:hAnsi="Times New Roman"/>
                <w:szCs w:val="18"/>
              </w:rPr>
            </w:pPr>
            <w:r w:rsidRPr="00C925B5">
              <w:rPr>
                <w:rFonts w:ascii="Times New Roman" w:hAnsi="Times New Roman"/>
                <w:szCs w:val="18"/>
              </w:rPr>
              <w:t>BS/AP antenna Array configuration</w:t>
            </w:r>
          </w:p>
        </w:tc>
        <w:tc>
          <w:tcPr>
            <w:tcW w:w="3969" w:type="dxa"/>
            <w:shd w:val="clear" w:color="auto" w:fill="auto"/>
          </w:tcPr>
          <w:p w14:paraId="01D53796" w14:textId="77777777" w:rsidR="00990545" w:rsidRPr="001E5BBA" w:rsidRDefault="00990545" w:rsidP="006B2419">
            <w:pPr>
              <w:pStyle w:val="TAL"/>
              <w:rPr>
                <w:rFonts w:ascii="Times New Roman" w:hAnsi="Times New Roman"/>
                <w:szCs w:val="18"/>
                <w:lang w:val="de-DE"/>
              </w:rPr>
            </w:pPr>
            <w:r w:rsidRPr="001E5BBA">
              <w:rPr>
                <w:rFonts w:ascii="Times New Roman" w:hAnsi="Times New Roman"/>
                <w:szCs w:val="18"/>
                <w:lang w:val="de-DE"/>
              </w:rPr>
              <w:t>(M, N, P, M</w:t>
            </w:r>
            <w:r w:rsidRPr="001E5BBA">
              <w:rPr>
                <w:rFonts w:ascii="Times New Roman" w:hAnsi="Times New Roman"/>
                <w:szCs w:val="18"/>
                <w:vertAlign w:val="subscript"/>
                <w:lang w:val="de-DE"/>
              </w:rPr>
              <w:t>g</w:t>
            </w:r>
            <w:r w:rsidRPr="001E5BBA">
              <w:rPr>
                <w:rFonts w:ascii="Times New Roman" w:hAnsi="Times New Roman"/>
                <w:szCs w:val="18"/>
                <w:lang w:val="de-DE"/>
              </w:rPr>
              <w:t>, N</w:t>
            </w:r>
            <w:r w:rsidRPr="001E5BBA">
              <w:rPr>
                <w:rFonts w:ascii="Times New Roman" w:hAnsi="Times New Roman"/>
                <w:szCs w:val="18"/>
                <w:vertAlign w:val="subscript"/>
                <w:lang w:val="de-DE"/>
              </w:rPr>
              <w:t>g</w:t>
            </w:r>
            <w:r w:rsidRPr="001E5BBA">
              <w:rPr>
                <w:rFonts w:ascii="Times New Roman" w:hAnsi="Times New Roman"/>
                <w:szCs w:val="18"/>
                <w:lang w:val="de-DE"/>
              </w:rPr>
              <w:t xml:space="preserve">)  = (1, 2, 2, 1, 1), dH = dV = 0.5 </w:t>
            </w:r>
            <w:r w:rsidRPr="00C925B5">
              <w:rPr>
                <w:rFonts w:ascii="Times New Roman" w:hAnsi="Times New Roman"/>
                <w:szCs w:val="18"/>
              </w:rPr>
              <w:t>λ</w:t>
            </w:r>
          </w:p>
        </w:tc>
        <w:tc>
          <w:tcPr>
            <w:tcW w:w="3686" w:type="dxa"/>
          </w:tcPr>
          <w:p w14:paraId="6BC22D9C" w14:textId="77777777" w:rsidR="00990545" w:rsidRPr="00C925B5" w:rsidRDefault="00990545" w:rsidP="006B2419">
            <w:pPr>
              <w:pStyle w:val="TAL"/>
              <w:rPr>
                <w:rFonts w:ascii="Times New Roman" w:hAnsi="Times New Roman"/>
                <w:szCs w:val="18"/>
              </w:rPr>
            </w:pPr>
            <w:r w:rsidRPr="00C925B5">
              <w:rPr>
                <w:rFonts w:ascii="Times New Roman" w:hAnsi="Times New Roman"/>
                <w:szCs w:val="18"/>
              </w:rPr>
              <w:t>TR38.901</w:t>
            </w:r>
          </w:p>
        </w:tc>
      </w:tr>
      <w:tr w:rsidR="00990545" w:rsidRPr="00C925B5" w14:paraId="0756B541" w14:textId="77777777" w:rsidTr="006B2419">
        <w:trPr>
          <w:jc w:val="center"/>
        </w:trPr>
        <w:tc>
          <w:tcPr>
            <w:tcW w:w="2972" w:type="dxa"/>
            <w:shd w:val="clear" w:color="auto" w:fill="auto"/>
          </w:tcPr>
          <w:p w14:paraId="679B8BE4" w14:textId="77777777" w:rsidR="00990545" w:rsidRPr="008621E0" w:rsidRDefault="00990545" w:rsidP="006B2419">
            <w:pPr>
              <w:pStyle w:val="TAL"/>
              <w:rPr>
                <w:rFonts w:ascii="Times New Roman" w:hAnsi="Times New Roman"/>
                <w:szCs w:val="18"/>
                <w:lang w:val="it-IT"/>
              </w:rPr>
            </w:pPr>
            <w:r w:rsidRPr="008621E0">
              <w:rPr>
                <w:rFonts w:ascii="Times New Roman" w:hAnsi="Times New Roman"/>
                <w:szCs w:val="18"/>
                <w:lang w:val="it-IT"/>
              </w:rPr>
              <w:t>UE/STA antenna Array configuration</w:t>
            </w:r>
          </w:p>
        </w:tc>
        <w:tc>
          <w:tcPr>
            <w:tcW w:w="3969" w:type="dxa"/>
            <w:shd w:val="clear" w:color="auto" w:fill="auto"/>
          </w:tcPr>
          <w:p w14:paraId="55528D2F" w14:textId="77777777" w:rsidR="00990545" w:rsidRPr="001E5BBA" w:rsidRDefault="00990545" w:rsidP="006B2419">
            <w:pPr>
              <w:pStyle w:val="TAL"/>
              <w:rPr>
                <w:rFonts w:ascii="Times New Roman" w:hAnsi="Times New Roman"/>
                <w:szCs w:val="18"/>
                <w:lang w:val="de-DE"/>
              </w:rPr>
            </w:pPr>
            <w:r w:rsidRPr="001E5BBA">
              <w:rPr>
                <w:rFonts w:ascii="Times New Roman" w:hAnsi="Times New Roman"/>
                <w:szCs w:val="18"/>
                <w:lang w:val="de-DE"/>
              </w:rPr>
              <w:t xml:space="preserve">(M, N, P, Mg, Ng) = (1, 1, 2, 1, 1), dH = dV = 0.5 </w:t>
            </w:r>
            <w:r w:rsidRPr="00C925B5">
              <w:rPr>
                <w:rFonts w:ascii="Times New Roman" w:hAnsi="Times New Roman"/>
                <w:szCs w:val="18"/>
              </w:rPr>
              <w:t>λ</w:t>
            </w:r>
          </w:p>
        </w:tc>
        <w:tc>
          <w:tcPr>
            <w:tcW w:w="3686" w:type="dxa"/>
          </w:tcPr>
          <w:p w14:paraId="5AFF185E" w14:textId="77777777" w:rsidR="00990545" w:rsidRPr="00C925B5" w:rsidRDefault="00990545" w:rsidP="006B2419">
            <w:pPr>
              <w:pStyle w:val="TAL"/>
              <w:rPr>
                <w:rFonts w:ascii="Times New Roman" w:hAnsi="Times New Roman"/>
                <w:szCs w:val="18"/>
              </w:rPr>
            </w:pPr>
            <w:r w:rsidRPr="00C925B5">
              <w:rPr>
                <w:rFonts w:ascii="Times New Roman" w:hAnsi="Times New Roman"/>
                <w:szCs w:val="18"/>
              </w:rPr>
              <w:t>TR38.901</w:t>
            </w:r>
          </w:p>
        </w:tc>
      </w:tr>
      <w:tr w:rsidR="00990545" w:rsidRPr="00C925B5" w14:paraId="46FF2790" w14:textId="77777777" w:rsidTr="006B2419">
        <w:trPr>
          <w:jc w:val="center"/>
        </w:trPr>
        <w:tc>
          <w:tcPr>
            <w:tcW w:w="2972" w:type="dxa"/>
            <w:shd w:val="clear" w:color="auto" w:fill="auto"/>
          </w:tcPr>
          <w:p w14:paraId="24742FB1" w14:textId="77777777" w:rsidR="00990545" w:rsidRPr="00C925B5" w:rsidRDefault="00990545" w:rsidP="006B2419">
            <w:pPr>
              <w:pStyle w:val="TAL"/>
              <w:rPr>
                <w:rFonts w:ascii="Times New Roman" w:hAnsi="Times New Roman"/>
                <w:szCs w:val="18"/>
              </w:rPr>
            </w:pPr>
            <w:r w:rsidRPr="00C925B5">
              <w:rPr>
                <w:rFonts w:ascii="Times New Roman" w:hAnsi="Times New Roman"/>
                <w:szCs w:val="18"/>
              </w:rPr>
              <w:t>Traffic model</w:t>
            </w:r>
          </w:p>
        </w:tc>
        <w:tc>
          <w:tcPr>
            <w:tcW w:w="3969" w:type="dxa"/>
            <w:shd w:val="clear" w:color="auto" w:fill="auto"/>
          </w:tcPr>
          <w:p w14:paraId="1856722B" w14:textId="77777777" w:rsidR="00990545" w:rsidRPr="00C925B5" w:rsidRDefault="00990545" w:rsidP="006B2419">
            <w:pPr>
              <w:pStyle w:val="TAL"/>
              <w:rPr>
                <w:rFonts w:ascii="Times New Roman" w:hAnsi="Times New Roman"/>
                <w:szCs w:val="18"/>
              </w:rPr>
            </w:pPr>
            <w:r w:rsidRPr="00C925B5">
              <w:rPr>
                <w:rFonts w:ascii="Times New Roman" w:hAnsi="Times New Roman"/>
                <w:szCs w:val="18"/>
              </w:rPr>
              <w:t>Table A.1.1, TR36.889</w:t>
            </w:r>
          </w:p>
        </w:tc>
        <w:tc>
          <w:tcPr>
            <w:tcW w:w="3686" w:type="dxa"/>
          </w:tcPr>
          <w:p w14:paraId="47669F6E" w14:textId="77777777" w:rsidR="00990545" w:rsidRPr="00C925B5" w:rsidRDefault="00990545" w:rsidP="006B2419">
            <w:pPr>
              <w:pStyle w:val="TAL"/>
              <w:rPr>
                <w:rFonts w:ascii="Times New Roman" w:hAnsi="Times New Roman"/>
                <w:szCs w:val="18"/>
              </w:rPr>
            </w:pPr>
            <w:r w:rsidRPr="00C925B5">
              <w:rPr>
                <w:rFonts w:ascii="Times New Roman" w:hAnsi="Times New Roman"/>
                <w:szCs w:val="18"/>
              </w:rPr>
              <w:t>Specific SL-U traffic needs could be discussed.</w:t>
            </w:r>
          </w:p>
        </w:tc>
      </w:tr>
      <w:tr w:rsidR="00990545" w:rsidRPr="00C925B5" w14:paraId="0B77C4C2" w14:textId="77777777" w:rsidTr="006B2419">
        <w:trPr>
          <w:jc w:val="center"/>
        </w:trPr>
        <w:tc>
          <w:tcPr>
            <w:tcW w:w="2972" w:type="dxa"/>
            <w:shd w:val="clear" w:color="auto" w:fill="auto"/>
          </w:tcPr>
          <w:p w14:paraId="459D88AB" w14:textId="77777777" w:rsidR="00990545" w:rsidRPr="008621E0" w:rsidRDefault="00990545" w:rsidP="006B2419">
            <w:pPr>
              <w:pStyle w:val="TAL"/>
              <w:rPr>
                <w:rFonts w:ascii="Times New Roman" w:hAnsi="Times New Roman"/>
                <w:szCs w:val="18"/>
                <w:lang w:val="it-IT"/>
              </w:rPr>
            </w:pPr>
            <w:r w:rsidRPr="008621E0">
              <w:rPr>
                <w:rFonts w:ascii="Times New Roman" w:hAnsi="Times New Roman"/>
                <w:szCs w:val="18"/>
                <w:lang w:val="it-IT"/>
              </w:rPr>
              <w:t>UE/STA to UE/STA link pathloss model</w:t>
            </w:r>
          </w:p>
        </w:tc>
        <w:tc>
          <w:tcPr>
            <w:tcW w:w="3969" w:type="dxa"/>
            <w:shd w:val="clear" w:color="auto" w:fill="auto"/>
          </w:tcPr>
          <w:p w14:paraId="4790DB4B" w14:textId="77777777" w:rsidR="00990545" w:rsidRPr="00C925B5" w:rsidRDefault="00990545" w:rsidP="006B2419">
            <w:pPr>
              <w:pStyle w:val="TAL"/>
              <w:rPr>
                <w:rFonts w:ascii="Times New Roman" w:hAnsi="Times New Roman"/>
                <w:szCs w:val="18"/>
              </w:rPr>
            </w:pPr>
            <w:r w:rsidRPr="00C925B5">
              <w:rPr>
                <w:rFonts w:ascii="Times New Roman" w:hAnsi="Times New Roman"/>
                <w:szCs w:val="18"/>
              </w:rPr>
              <w:t>UMi street canyon pathloss model</w:t>
            </w:r>
          </w:p>
        </w:tc>
        <w:tc>
          <w:tcPr>
            <w:tcW w:w="3686" w:type="dxa"/>
          </w:tcPr>
          <w:p w14:paraId="1B39978D" w14:textId="77777777" w:rsidR="00990545" w:rsidRPr="00C925B5" w:rsidRDefault="00990545" w:rsidP="006B2419">
            <w:pPr>
              <w:pStyle w:val="TAL"/>
              <w:rPr>
                <w:rFonts w:ascii="Times New Roman" w:hAnsi="Times New Roman"/>
                <w:szCs w:val="18"/>
              </w:rPr>
            </w:pPr>
            <w:r w:rsidRPr="00C925B5">
              <w:rPr>
                <w:rFonts w:ascii="Times New Roman" w:hAnsi="Times New Roman"/>
                <w:szCs w:val="18"/>
              </w:rPr>
              <w:t>TR38.901</w:t>
            </w:r>
          </w:p>
        </w:tc>
      </w:tr>
      <w:tr w:rsidR="00990545" w:rsidRPr="00C925B5" w14:paraId="03282B87" w14:textId="77777777" w:rsidTr="006B2419">
        <w:trPr>
          <w:jc w:val="center"/>
        </w:trPr>
        <w:tc>
          <w:tcPr>
            <w:tcW w:w="2972" w:type="dxa"/>
            <w:shd w:val="clear" w:color="auto" w:fill="auto"/>
          </w:tcPr>
          <w:p w14:paraId="0CC3F35D" w14:textId="77777777" w:rsidR="00990545" w:rsidRPr="00C925B5" w:rsidRDefault="00990545" w:rsidP="006B2419">
            <w:pPr>
              <w:pStyle w:val="TAL"/>
              <w:rPr>
                <w:rFonts w:ascii="Times New Roman" w:hAnsi="Times New Roman"/>
                <w:szCs w:val="18"/>
              </w:rPr>
            </w:pPr>
            <w:r w:rsidRPr="00C925B5">
              <w:rPr>
                <w:rFonts w:ascii="Times New Roman" w:hAnsi="Times New Roman"/>
                <w:szCs w:val="18"/>
              </w:rPr>
              <w:t>gNB to gNB link pathloss model</w:t>
            </w:r>
          </w:p>
        </w:tc>
        <w:tc>
          <w:tcPr>
            <w:tcW w:w="3969" w:type="dxa"/>
            <w:shd w:val="clear" w:color="auto" w:fill="auto"/>
          </w:tcPr>
          <w:p w14:paraId="545BE2B1" w14:textId="77777777" w:rsidR="00990545" w:rsidRPr="00C925B5" w:rsidRDefault="00990545" w:rsidP="006B2419">
            <w:pPr>
              <w:pStyle w:val="TAL"/>
              <w:rPr>
                <w:rFonts w:ascii="Times New Roman" w:hAnsi="Times New Roman"/>
                <w:szCs w:val="18"/>
              </w:rPr>
            </w:pPr>
            <w:r w:rsidRPr="00C925B5">
              <w:rPr>
                <w:rFonts w:ascii="Times New Roman" w:hAnsi="Times New Roman"/>
                <w:szCs w:val="18"/>
              </w:rPr>
              <w:t>UMi street canyon pathloss model</w:t>
            </w:r>
          </w:p>
        </w:tc>
        <w:tc>
          <w:tcPr>
            <w:tcW w:w="3686" w:type="dxa"/>
          </w:tcPr>
          <w:p w14:paraId="64148B12" w14:textId="77777777" w:rsidR="00990545" w:rsidRPr="00C925B5" w:rsidRDefault="00990545" w:rsidP="006B2419">
            <w:pPr>
              <w:pStyle w:val="TAL"/>
              <w:rPr>
                <w:rFonts w:ascii="Times New Roman" w:hAnsi="Times New Roman"/>
                <w:szCs w:val="18"/>
              </w:rPr>
            </w:pPr>
            <w:r w:rsidRPr="00C925B5">
              <w:rPr>
                <w:rFonts w:ascii="Times New Roman" w:hAnsi="Times New Roman"/>
                <w:szCs w:val="18"/>
              </w:rPr>
              <w:t>TR38.901</w:t>
            </w:r>
          </w:p>
        </w:tc>
      </w:tr>
    </w:tbl>
    <w:p w14:paraId="371A826E" w14:textId="77777777" w:rsidR="00990545" w:rsidRDefault="00990545" w:rsidP="00990545">
      <w:pPr>
        <w:jc w:val="both"/>
        <w:rPr>
          <w:rFonts w:eastAsiaTheme="minorEastAsia"/>
          <w:sz w:val="22"/>
          <w:szCs w:val="22"/>
          <w:lang w:eastAsia="zh-CN"/>
        </w:rPr>
      </w:pPr>
    </w:p>
    <w:p w14:paraId="0F0A8C22" w14:textId="77777777" w:rsidR="00990545" w:rsidRDefault="00990545" w:rsidP="00990545">
      <w:pPr>
        <w:pStyle w:val="Caption"/>
        <w:spacing w:after="0"/>
        <w:jc w:val="center"/>
      </w:pPr>
      <w:bookmarkStart w:id="251" w:name="_Ref111192700"/>
      <w:r>
        <w:t>Table</w:t>
      </w:r>
      <w:bookmarkEnd w:id="251"/>
      <w:r>
        <w:t xml:space="preserve"> 3. SL-U/Wi-Fi Coexistence Parameters (sub 7GHz)</w:t>
      </w:r>
    </w:p>
    <w:tbl>
      <w:tblPr>
        <w:tblStyle w:val="TableGrid"/>
        <w:tblW w:w="6799" w:type="dxa"/>
        <w:jc w:val="center"/>
        <w:tblLook w:val="04A0" w:firstRow="1" w:lastRow="0" w:firstColumn="1" w:lastColumn="0" w:noHBand="0" w:noVBand="1"/>
      </w:tblPr>
      <w:tblGrid>
        <w:gridCol w:w="2263"/>
        <w:gridCol w:w="2694"/>
        <w:gridCol w:w="1842"/>
      </w:tblGrid>
      <w:tr w:rsidR="00990545" w:rsidRPr="00C925B5" w14:paraId="6FAA253A" w14:textId="77777777" w:rsidTr="006B2419">
        <w:trPr>
          <w:jc w:val="center"/>
        </w:trPr>
        <w:tc>
          <w:tcPr>
            <w:tcW w:w="2263" w:type="dxa"/>
          </w:tcPr>
          <w:p w14:paraId="22AEBA7D" w14:textId="77777777" w:rsidR="00990545" w:rsidRPr="00C925B5" w:rsidRDefault="00990545" w:rsidP="006B2419">
            <w:pPr>
              <w:jc w:val="center"/>
              <w:rPr>
                <w:rFonts w:eastAsiaTheme="minorEastAsia"/>
                <w:b/>
                <w:bCs/>
                <w:sz w:val="18"/>
                <w:szCs w:val="22"/>
              </w:rPr>
            </w:pPr>
            <w:r w:rsidRPr="00C925B5">
              <w:rPr>
                <w:rFonts w:eastAsiaTheme="minorEastAsia"/>
                <w:b/>
                <w:bCs/>
                <w:sz w:val="18"/>
                <w:szCs w:val="22"/>
              </w:rPr>
              <w:t>Parameter</w:t>
            </w:r>
          </w:p>
        </w:tc>
        <w:tc>
          <w:tcPr>
            <w:tcW w:w="2694" w:type="dxa"/>
          </w:tcPr>
          <w:p w14:paraId="2435017D" w14:textId="77777777" w:rsidR="00990545" w:rsidRPr="00C925B5" w:rsidRDefault="00990545" w:rsidP="006B2419">
            <w:pPr>
              <w:jc w:val="center"/>
              <w:rPr>
                <w:rFonts w:eastAsiaTheme="minorEastAsia"/>
                <w:b/>
                <w:bCs/>
                <w:sz w:val="18"/>
                <w:szCs w:val="22"/>
              </w:rPr>
            </w:pPr>
            <w:r w:rsidRPr="00C925B5">
              <w:rPr>
                <w:rFonts w:eastAsiaTheme="minorEastAsia"/>
                <w:b/>
                <w:bCs/>
                <w:sz w:val="18"/>
                <w:szCs w:val="22"/>
              </w:rPr>
              <w:t>Value</w:t>
            </w:r>
          </w:p>
        </w:tc>
        <w:tc>
          <w:tcPr>
            <w:tcW w:w="1842" w:type="dxa"/>
          </w:tcPr>
          <w:p w14:paraId="2086D51B" w14:textId="77777777" w:rsidR="00990545" w:rsidRPr="00C925B5" w:rsidRDefault="00990545" w:rsidP="006B2419">
            <w:pPr>
              <w:jc w:val="center"/>
              <w:rPr>
                <w:rFonts w:eastAsiaTheme="minorEastAsia"/>
                <w:b/>
                <w:bCs/>
                <w:sz w:val="18"/>
                <w:szCs w:val="22"/>
              </w:rPr>
            </w:pPr>
            <w:r w:rsidRPr="00C925B5">
              <w:rPr>
                <w:rFonts w:eastAsiaTheme="minorEastAsia"/>
                <w:b/>
                <w:bCs/>
                <w:sz w:val="18"/>
                <w:szCs w:val="22"/>
              </w:rPr>
              <w:t>Comments</w:t>
            </w:r>
          </w:p>
        </w:tc>
      </w:tr>
      <w:tr w:rsidR="00990545" w:rsidRPr="00C925B5" w14:paraId="0DDC17FA" w14:textId="77777777" w:rsidTr="006B2419">
        <w:trPr>
          <w:jc w:val="center"/>
        </w:trPr>
        <w:tc>
          <w:tcPr>
            <w:tcW w:w="6799" w:type="dxa"/>
            <w:gridSpan w:val="3"/>
          </w:tcPr>
          <w:p w14:paraId="6D6319A7" w14:textId="77777777" w:rsidR="00990545" w:rsidRPr="00C925B5" w:rsidRDefault="00990545" w:rsidP="006B2419">
            <w:pPr>
              <w:jc w:val="center"/>
              <w:rPr>
                <w:rFonts w:eastAsiaTheme="minorEastAsia"/>
                <w:b/>
                <w:bCs/>
                <w:sz w:val="18"/>
                <w:szCs w:val="22"/>
              </w:rPr>
            </w:pPr>
            <w:r w:rsidRPr="00C925B5">
              <w:rPr>
                <w:rFonts w:eastAsiaTheme="minorEastAsia"/>
                <w:b/>
                <w:bCs/>
                <w:sz w:val="18"/>
                <w:szCs w:val="22"/>
              </w:rPr>
              <w:t>Common Assumptions</w:t>
            </w:r>
          </w:p>
        </w:tc>
      </w:tr>
      <w:tr w:rsidR="00990545" w:rsidRPr="00C925B5" w14:paraId="7E3E59D8" w14:textId="77777777" w:rsidTr="006B2419">
        <w:trPr>
          <w:jc w:val="center"/>
        </w:trPr>
        <w:tc>
          <w:tcPr>
            <w:tcW w:w="2263" w:type="dxa"/>
          </w:tcPr>
          <w:p w14:paraId="4F90927C" w14:textId="77777777" w:rsidR="00990545" w:rsidRPr="00C925B5" w:rsidRDefault="00990545" w:rsidP="006B2419">
            <w:pPr>
              <w:rPr>
                <w:rFonts w:eastAsiaTheme="minorEastAsia"/>
                <w:sz w:val="18"/>
                <w:szCs w:val="22"/>
              </w:rPr>
            </w:pPr>
            <w:r w:rsidRPr="00C925B5">
              <w:rPr>
                <w:rFonts w:eastAsiaTheme="minorEastAsia"/>
                <w:sz w:val="18"/>
                <w:szCs w:val="22"/>
              </w:rPr>
              <w:t>TDD DL/UL ratio</w:t>
            </w:r>
          </w:p>
        </w:tc>
        <w:tc>
          <w:tcPr>
            <w:tcW w:w="2694" w:type="dxa"/>
          </w:tcPr>
          <w:p w14:paraId="78506F84" w14:textId="77777777" w:rsidR="00990545" w:rsidRPr="00C925B5" w:rsidRDefault="00990545" w:rsidP="006B2419">
            <w:pPr>
              <w:rPr>
                <w:rFonts w:eastAsiaTheme="minorEastAsia"/>
                <w:sz w:val="18"/>
                <w:szCs w:val="22"/>
              </w:rPr>
            </w:pPr>
            <w:r w:rsidRPr="00C925B5">
              <w:rPr>
                <w:rFonts w:eastAsiaTheme="minorEastAsia"/>
                <w:sz w:val="18"/>
                <w:szCs w:val="22"/>
              </w:rPr>
              <w:t>50/50</w:t>
            </w:r>
          </w:p>
        </w:tc>
        <w:tc>
          <w:tcPr>
            <w:tcW w:w="1842" w:type="dxa"/>
          </w:tcPr>
          <w:p w14:paraId="40D31E4D" w14:textId="77777777" w:rsidR="00990545" w:rsidRPr="00C925B5" w:rsidRDefault="00990545" w:rsidP="006B2419">
            <w:pPr>
              <w:rPr>
                <w:rFonts w:eastAsiaTheme="minorEastAsia"/>
                <w:sz w:val="18"/>
                <w:szCs w:val="22"/>
              </w:rPr>
            </w:pPr>
          </w:p>
        </w:tc>
      </w:tr>
      <w:tr w:rsidR="00990545" w:rsidRPr="00C925B5" w14:paraId="6D554A79" w14:textId="77777777" w:rsidTr="006B2419">
        <w:trPr>
          <w:jc w:val="center"/>
        </w:trPr>
        <w:tc>
          <w:tcPr>
            <w:tcW w:w="2263" w:type="dxa"/>
          </w:tcPr>
          <w:p w14:paraId="3909A68F" w14:textId="77777777" w:rsidR="00990545" w:rsidRPr="00C925B5" w:rsidRDefault="00990545" w:rsidP="006B2419">
            <w:pPr>
              <w:rPr>
                <w:rFonts w:eastAsiaTheme="minorEastAsia"/>
                <w:sz w:val="18"/>
                <w:szCs w:val="22"/>
              </w:rPr>
            </w:pPr>
            <w:r w:rsidRPr="00C925B5">
              <w:rPr>
                <w:rFonts w:eastAsiaTheme="minorEastAsia"/>
                <w:sz w:val="18"/>
                <w:szCs w:val="22"/>
              </w:rPr>
              <w:t>Primary LBT</w:t>
            </w:r>
          </w:p>
        </w:tc>
        <w:tc>
          <w:tcPr>
            <w:tcW w:w="2694" w:type="dxa"/>
          </w:tcPr>
          <w:p w14:paraId="424795CA" w14:textId="77777777" w:rsidR="00990545" w:rsidRPr="00C925B5" w:rsidRDefault="00990545" w:rsidP="006B2419">
            <w:pPr>
              <w:rPr>
                <w:rFonts w:eastAsiaTheme="minorEastAsia"/>
                <w:sz w:val="18"/>
                <w:szCs w:val="22"/>
              </w:rPr>
            </w:pPr>
            <w:r w:rsidRPr="00C925B5">
              <w:rPr>
                <w:rFonts w:eastAsiaTheme="minorEastAsia"/>
                <w:sz w:val="18"/>
                <w:szCs w:val="22"/>
              </w:rPr>
              <w:t>Cat-4 LBT (exponential back-off)</w:t>
            </w:r>
          </w:p>
        </w:tc>
        <w:tc>
          <w:tcPr>
            <w:tcW w:w="1842" w:type="dxa"/>
          </w:tcPr>
          <w:p w14:paraId="4F4A380E" w14:textId="77777777" w:rsidR="00990545" w:rsidRPr="00C925B5" w:rsidRDefault="00990545" w:rsidP="006B2419">
            <w:pPr>
              <w:rPr>
                <w:rFonts w:eastAsiaTheme="minorEastAsia"/>
                <w:sz w:val="18"/>
                <w:szCs w:val="22"/>
              </w:rPr>
            </w:pPr>
          </w:p>
        </w:tc>
      </w:tr>
      <w:tr w:rsidR="00990545" w:rsidRPr="00C925B5" w14:paraId="1879A8D8" w14:textId="77777777" w:rsidTr="006B2419">
        <w:trPr>
          <w:jc w:val="center"/>
        </w:trPr>
        <w:tc>
          <w:tcPr>
            <w:tcW w:w="2263" w:type="dxa"/>
          </w:tcPr>
          <w:p w14:paraId="7C16F88B" w14:textId="77777777" w:rsidR="00990545" w:rsidRPr="00C925B5" w:rsidRDefault="00990545" w:rsidP="006B2419">
            <w:pPr>
              <w:rPr>
                <w:rFonts w:eastAsiaTheme="minorEastAsia"/>
                <w:sz w:val="18"/>
                <w:szCs w:val="22"/>
              </w:rPr>
            </w:pPr>
            <w:r w:rsidRPr="00C925B5">
              <w:rPr>
                <w:rFonts w:eastAsiaTheme="minorEastAsia"/>
                <w:sz w:val="18"/>
                <w:szCs w:val="22"/>
              </w:rPr>
              <w:t>MCOT duration</w:t>
            </w:r>
          </w:p>
        </w:tc>
        <w:tc>
          <w:tcPr>
            <w:tcW w:w="2694" w:type="dxa"/>
          </w:tcPr>
          <w:p w14:paraId="1849DE9D" w14:textId="77777777" w:rsidR="00990545" w:rsidRPr="00C925B5" w:rsidRDefault="00990545" w:rsidP="006B2419">
            <w:pPr>
              <w:rPr>
                <w:rFonts w:eastAsiaTheme="minorEastAsia"/>
                <w:sz w:val="18"/>
                <w:szCs w:val="22"/>
              </w:rPr>
            </w:pPr>
            <w:r w:rsidRPr="00C925B5">
              <w:rPr>
                <w:rFonts w:eastAsiaTheme="minorEastAsia"/>
                <w:sz w:val="18"/>
                <w:szCs w:val="22"/>
              </w:rPr>
              <w:t>6 ms</w:t>
            </w:r>
          </w:p>
        </w:tc>
        <w:tc>
          <w:tcPr>
            <w:tcW w:w="1842" w:type="dxa"/>
          </w:tcPr>
          <w:p w14:paraId="64EDF916" w14:textId="77777777" w:rsidR="00990545" w:rsidRPr="00C925B5" w:rsidRDefault="00990545" w:rsidP="006B2419">
            <w:pPr>
              <w:rPr>
                <w:rFonts w:eastAsiaTheme="minorEastAsia"/>
                <w:sz w:val="18"/>
                <w:szCs w:val="22"/>
              </w:rPr>
            </w:pPr>
          </w:p>
        </w:tc>
      </w:tr>
      <w:tr w:rsidR="00990545" w:rsidRPr="00C925B5" w14:paraId="1D84BB99" w14:textId="77777777" w:rsidTr="006B2419">
        <w:trPr>
          <w:jc w:val="center"/>
        </w:trPr>
        <w:tc>
          <w:tcPr>
            <w:tcW w:w="2263" w:type="dxa"/>
          </w:tcPr>
          <w:p w14:paraId="0E4F36DF" w14:textId="77777777" w:rsidR="00990545" w:rsidRPr="00C925B5" w:rsidRDefault="00990545" w:rsidP="006B2419">
            <w:pPr>
              <w:rPr>
                <w:rFonts w:eastAsiaTheme="minorEastAsia"/>
                <w:sz w:val="18"/>
                <w:szCs w:val="22"/>
              </w:rPr>
            </w:pPr>
            <w:r w:rsidRPr="00C925B5">
              <w:rPr>
                <w:rFonts w:eastAsiaTheme="minorEastAsia"/>
                <w:sz w:val="18"/>
                <w:szCs w:val="22"/>
              </w:rPr>
              <w:t>Max Modulation</w:t>
            </w:r>
          </w:p>
        </w:tc>
        <w:tc>
          <w:tcPr>
            <w:tcW w:w="2694" w:type="dxa"/>
          </w:tcPr>
          <w:p w14:paraId="0FF8B8AB" w14:textId="77777777" w:rsidR="00990545" w:rsidRPr="00C925B5" w:rsidRDefault="00990545" w:rsidP="006B2419">
            <w:pPr>
              <w:rPr>
                <w:rFonts w:eastAsiaTheme="minorEastAsia"/>
                <w:sz w:val="18"/>
                <w:szCs w:val="22"/>
              </w:rPr>
            </w:pPr>
            <w:r w:rsidRPr="00C925B5">
              <w:rPr>
                <w:rFonts w:eastAsiaTheme="minorEastAsia"/>
                <w:sz w:val="18"/>
                <w:szCs w:val="22"/>
              </w:rPr>
              <w:t>QAM256</w:t>
            </w:r>
          </w:p>
        </w:tc>
        <w:tc>
          <w:tcPr>
            <w:tcW w:w="1842" w:type="dxa"/>
          </w:tcPr>
          <w:p w14:paraId="53D13FAD" w14:textId="77777777" w:rsidR="00990545" w:rsidRPr="00C925B5" w:rsidRDefault="00990545" w:rsidP="006B2419">
            <w:pPr>
              <w:rPr>
                <w:rFonts w:eastAsiaTheme="minorEastAsia"/>
                <w:sz w:val="18"/>
                <w:szCs w:val="22"/>
              </w:rPr>
            </w:pPr>
          </w:p>
        </w:tc>
      </w:tr>
      <w:tr w:rsidR="00990545" w:rsidRPr="00C925B5" w14:paraId="5811B8A6" w14:textId="77777777" w:rsidTr="006B2419">
        <w:trPr>
          <w:jc w:val="center"/>
        </w:trPr>
        <w:tc>
          <w:tcPr>
            <w:tcW w:w="2263" w:type="dxa"/>
          </w:tcPr>
          <w:p w14:paraId="081D97B4" w14:textId="77777777" w:rsidR="00990545" w:rsidRPr="00C925B5" w:rsidRDefault="00990545" w:rsidP="006B2419">
            <w:pPr>
              <w:rPr>
                <w:rFonts w:eastAsiaTheme="minorEastAsia"/>
                <w:sz w:val="18"/>
                <w:szCs w:val="22"/>
              </w:rPr>
            </w:pPr>
            <w:r w:rsidRPr="00C925B5">
              <w:rPr>
                <w:rFonts w:eastAsiaTheme="minorEastAsia"/>
                <w:sz w:val="18"/>
                <w:szCs w:val="22"/>
              </w:rPr>
              <w:t>CCA ED threshold</w:t>
            </w:r>
          </w:p>
        </w:tc>
        <w:tc>
          <w:tcPr>
            <w:tcW w:w="2694" w:type="dxa"/>
          </w:tcPr>
          <w:p w14:paraId="725193ED" w14:textId="77777777" w:rsidR="00990545" w:rsidRPr="00C925B5" w:rsidRDefault="00990545" w:rsidP="006B2419">
            <w:pPr>
              <w:rPr>
                <w:rFonts w:eastAsiaTheme="minorEastAsia"/>
                <w:sz w:val="18"/>
                <w:szCs w:val="22"/>
              </w:rPr>
            </w:pPr>
            <w:r w:rsidRPr="00C925B5">
              <w:rPr>
                <w:rFonts w:eastAsiaTheme="minorEastAsia"/>
                <w:sz w:val="18"/>
                <w:szCs w:val="22"/>
              </w:rPr>
              <w:t>-72dBm</w:t>
            </w:r>
          </w:p>
        </w:tc>
        <w:tc>
          <w:tcPr>
            <w:tcW w:w="1842" w:type="dxa"/>
          </w:tcPr>
          <w:p w14:paraId="3EA4EC80" w14:textId="77777777" w:rsidR="00990545" w:rsidRPr="00C925B5" w:rsidRDefault="00990545" w:rsidP="006B2419">
            <w:pPr>
              <w:rPr>
                <w:rFonts w:eastAsiaTheme="minorEastAsia"/>
                <w:sz w:val="18"/>
                <w:szCs w:val="22"/>
              </w:rPr>
            </w:pPr>
            <w:r w:rsidRPr="00C925B5">
              <w:rPr>
                <w:rFonts w:eastAsiaTheme="minorEastAsia"/>
                <w:sz w:val="18"/>
                <w:szCs w:val="22"/>
              </w:rPr>
              <w:t>Channel BW=20MHz</w:t>
            </w:r>
          </w:p>
        </w:tc>
      </w:tr>
      <w:tr w:rsidR="00990545" w:rsidRPr="00C925B5" w14:paraId="01315D2A" w14:textId="77777777" w:rsidTr="006B2419">
        <w:trPr>
          <w:jc w:val="center"/>
        </w:trPr>
        <w:tc>
          <w:tcPr>
            <w:tcW w:w="2263" w:type="dxa"/>
          </w:tcPr>
          <w:p w14:paraId="3AE5A374" w14:textId="77777777" w:rsidR="00990545" w:rsidRPr="00C925B5" w:rsidRDefault="00990545" w:rsidP="006B2419">
            <w:pPr>
              <w:rPr>
                <w:rFonts w:eastAsiaTheme="minorEastAsia"/>
                <w:sz w:val="18"/>
                <w:szCs w:val="22"/>
              </w:rPr>
            </w:pPr>
            <w:r w:rsidRPr="00C925B5">
              <w:rPr>
                <w:rFonts w:eastAsiaTheme="minorEastAsia"/>
                <w:sz w:val="18"/>
                <w:szCs w:val="22"/>
              </w:rPr>
              <w:t>CW{min, max}</w:t>
            </w:r>
          </w:p>
        </w:tc>
        <w:tc>
          <w:tcPr>
            <w:tcW w:w="2694" w:type="dxa"/>
          </w:tcPr>
          <w:p w14:paraId="16BC693E" w14:textId="77777777" w:rsidR="00990545" w:rsidRPr="00C925B5" w:rsidRDefault="00990545" w:rsidP="006B2419">
            <w:pPr>
              <w:rPr>
                <w:rFonts w:eastAsiaTheme="minorEastAsia"/>
                <w:sz w:val="18"/>
                <w:szCs w:val="22"/>
              </w:rPr>
            </w:pPr>
            <w:r w:rsidRPr="00C925B5">
              <w:rPr>
                <w:rFonts w:eastAsiaTheme="minorEastAsia"/>
                <w:sz w:val="18"/>
                <w:szCs w:val="22"/>
              </w:rPr>
              <w:t>DL{15,63} UL{15,1023}</w:t>
            </w:r>
          </w:p>
        </w:tc>
        <w:tc>
          <w:tcPr>
            <w:tcW w:w="1842" w:type="dxa"/>
          </w:tcPr>
          <w:p w14:paraId="551E29AB" w14:textId="77777777" w:rsidR="00990545" w:rsidRPr="00C925B5" w:rsidRDefault="00990545" w:rsidP="006B2419">
            <w:pPr>
              <w:rPr>
                <w:rFonts w:eastAsiaTheme="minorEastAsia"/>
                <w:sz w:val="18"/>
                <w:szCs w:val="22"/>
              </w:rPr>
            </w:pPr>
          </w:p>
        </w:tc>
      </w:tr>
      <w:tr w:rsidR="00990545" w:rsidRPr="00C925B5" w14:paraId="433B6AE4" w14:textId="77777777" w:rsidTr="006B2419">
        <w:trPr>
          <w:jc w:val="center"/>
        </w:trPr>
        <w:tc>
          <w:tcPr>
            <w:tcW w:w="2263" w:type="dxa"/>
          </w:tcPr>
          <w:p w14:paraId="5DCFD824" w14:textId="77777777" w:rsidR="00990545" w:rsidRPr="00C925B5" w:rsidRDefault="00990545" w:rsidP="006B2419">
            <w:pPr>
              <w:rPr>
                <w:rFonts w:eastAsiaTheme="minorEastAsia"/>
                <w:sz w:val="18"/>
                <w:szCs w:val="22"/>
              </w:rPr>
            </w:pPr>
            <w:r w:rsidRPr="00C925B5">
              <w:rPr>
                <w:rFonts w:eastAsiaTheme="minorEastAsia"/>
                <w:sz w:val="18"/>
                <w:szCs w:val="22"/>
              </w:rPr>
              <w:t>Max number of air layers</w:t>
            </w:r>
          </w:p>
        </w:tc>
        <w:tc>
          <w:tcPr>
            <w:tcW w:w="2694" w:type="dxa"/>
          </w:tcPr>
          <w:p w14:paraId="09A3CCA7" w14:textId="77777777" w:rsidR="00990545" w:rsidRPr="00C925B5" w:rsidRDefault="00990545" w:rsidP="006B2419">
            <w:pPr>
              <w:rPr>
                <w:rFonts w:eastAsiaTheme="minorEastAsia"/>
                <w:sz w:val="18"/>
                <w:szCs w:val="22"/>
              </w:rPr>
            </w:pPr>
            <w:r w:rsidRPr="00C925B5">
              <w:rPr>
                <w:rFonts w:eastAsiaTheme="minorEastAsia"/>
                <w:sz w:val="18"/>
                <w:szCs w:val="22"/>
              </w:rPr>
              <w:t>2</w:t>
            </w:r>
          </w:p>
        </w:tc>
        <w:tc>
          <w:tcPr>
            <w:tcW w:w="1842" w:type="dxa"/>
          </w:tcPr>
          <w:p w14:paraId="6BEECD00" w14:textId="77777777" w:rsidR="00990545" w:rsidRPr="00C925B5" w:rsidRDefault="00990545" w:rsidP="006B2419">
            <w:pPr>
              <w:rPr>
                <w:rFonts w:eastAsiaTheme="minorEastAsia"/>
                <w:sz w:val="18"/>
                <w:szCs w:val="22"/>
              </w:rPr>
            </w:pPr>
            <w:r w:rsidRPr="00C925B5">
              <w:rPr>
                <w:rFonts w:eastAsiaTheme="minorEastAsia"/>
                <w:sz w:val="18"/>
                <w:szCs w:val="22"/>
              </w:rPr>
              <w:t>MIMO rank</w:t>
            </w:r>
          </w:p>
        </w:tc>
      </w:tr>
      <w:tr w:rsidR="00990545" w:rsidRPr="00C925B5" w14:paraId="20257EAD" w14:textId="77777777" w:rsidTr="006B2419">
        <w:trPr>
          <w:jc w:val="center"/>
        </w:trPr>
        <w:tc>
          <w:tcPr>
            <w:tcW w:w="2263" w:type="dxa"/>
          </w:tcPr>
          <w:p w14:paraId="59808A43" w14:textId="77777777" w:rsidR="00990545" w:rsidRPr="00C925B5" w:rsidRDefault="00990545" w:rsidP="006B2419">
            <w:pPr>
              <w:rPr>
                <w:rFonts w:eastAsiaTheme="minorEastAsia"/>
                <w:sz w:val="18"/>
                <w:szCs w:val="22"/>
              </w:rPr>
            </w:pPr>
            <w:r w:rsidRPr="00C925B5">
              <w:rPr>
                <w:rFonts w:eastAsiaTheme="minorEastAsia"/>
                <w:sz w:val="18"/>
                <w:szCs w:val="22"/>
              </w:rPr>
              <w:t>Slots/Subframe</w:t>
            </w:r>
          </w:p>
        </w:tc>
        <w:tc>
          <w:tcPr>
            <w:tcW w:w="2694" w:type="dxa"/>
          </w:tcPr>
          <w:p w14:paraId="33451996" w14:textId="77777777" w:rsidR="00990545" w:rsidRPr="00C925B5" w:rsidRDefault="00990545" w:rsidP="006B2419">
            <w:pPr>
              <w:rPr>
                <w:rFonts w:eastAsiaTheme="minorEastAsia"/>
                <w:sz w:val="18"/>
                <w:szCs w:val="22"/>
              </w:rPr>
            </w:pPr>
            <w:r w:rsidRPr="00C925B5">
              <w:rPr>
                <w:rFonts w:eastAsiaTheme="minorEastAsia"/>
                <w:sz w:val="18"/>
                <w:szCs w:val="22"/>
              </w:rPr>
              <w:t>2</w:t>
            </w:r>
          </w:p>
        </w:tc>
        <w:tc>
          <w:tcPr>
            <w:tcW w:w="1842" w:type="dxa"/>
          </w:tcPr>
          <w:p w14:paraId="7CF362E2" w14:textId="77777777" w:rsidR="00990545" w:rsidRPr="00C925B5" w:rsidRDefault="00990545" w:rsidP="006B2419">
            <w:pPr>
              <w:rPr>
                <w:rFonts w:eastAsiaTheme="minorEastAsia"/>
                <w:sz w:val="18"/>
                <w:szCs w:val="22"/>
              </w:rPr>
            </w:pPr>
          </w:p>
        </w:tc>
      </w:tr>
      <w:tr w:rsidR="00990545" w:rsidRPr="00C925B5" w14:paraId="22A4C0D3" w14:textId="77777777" w:rsidTr="006B2419">
        <w:trPr>
          <w:jc w:val="center"/>
        </w:trPr>
        <w:tc>
          <w:tcPr>
            <w:tcW w:w="6799" w:type="dxa"/>
            <w:gridSpan w:val="3"/>
          </w:tcPr>
          <w:p w14:paraId="59796F04" w14:textId="77777777" w:rsidR="00990545" w:rsidRPr="00C925B5" w:rsidRDefault="00990545" w:rsidP="006B2419">
            <w:pPr>
              <w:jc w:val="center"/>
              <w:rPr>
                <w:rFonts w:eastAsiaTheme="minorEastAsia"/>
                <w:b/>
                <w:bCs/>
                <w:sz w:val="18"/>
                <w:szCs w:val="22"/>
              </w:rPr>
            </w:pPr>
            <w:r w:rsidRPr="00C925B5">
              <w:rPr>
                <w:rFonts w:eastAsiaTheme="minorEastAsia"/>
                <w:b/>
                <w:bCs/>
                <w:sz w:val="18"/>
                <w:szCs w:val="22"/>
              </w:rPr>
              <w:t>NR-U/SL-U assumptions</w:t>
            </w:r>
          </w:p>
        </w:tc>
      </w:tr>
      <w:tr w:rsidR="00990545" w:rsidRPr="00C925B5" w14:paraId="47A4F4FE" w14:textId="77777777" w:rsidTr="006B2419">
        <w:trPr>
          <w:jc w:val="center"/>
        </w:trPr>
        <w:tc>
          <w:tcPr>
            <w:tcW w:w="2263" w:type="dxa"/>
          </w:tcPr>
          <w:p w14:paraId="2586265C" w14:textId="77777777" w:rsidR="00990545" w:rsidRPr="00C925B5" w:rsidRDefault="00990545" w:rsidP="006B2419">
            <w:pPr>
              <w:rPr>
                <w:rFonts w:eastAsiaTheme="minorEastAsia"/>
                <w:sz w:val="18"/>
                <w:szCs w:val="22"/>
              </w:rPr>
            </w:pPr>
            <w:r w:rsidRPr="00C925B5">
              <w:rPr>
                <w:rFonts w:eastAsiaTheme="minorEastAsia"/>
                <w:sz w:val="18"/>
                <w:szCs w:val="22"/>
              </w:rPr>
              <w:t>DMRS</w:t>
            </w:r>
          </w:p>
        </w:tc>
        <w:tc>
          <w:tcPr>
            <w:tcW w:w="2694" w:type="dxa"/>
          </w:tcPr>
          <w:p w14:paraId="267A6ABE" w14:textId="77777777" w:rsidR="00990545" w:rsidRPr="00C925B5" w:rsidRDefault="00990545" w:rsidP="006B2419">
            <w:pPr>
              <w:rPr>
                <w:rFonts w:eastAsiaTheme="minorEastAsia"/>
                <w:sz w:val="18"/>
                <w:szCs w:val="22"/>
              </w:rPr>
            </w:pPr>
            <w:r w:rsidRPr="00C925B5">
              <w:rPr>
                <w:rFonts w:eastAsiaTheme="minorEastAsia"/>
                <w:sz w:val="18"/>
                <w:szCs w:val="22"/>
              </w:rPr>
              <w:t>1 symbol</w:t>
            </w:r>
          </w:p>
        </w:tc>
        <w:tc>
          <w:tcPr>
            <w:tcW w:w="1842" w:type="dxa"/>
          </w:tcPr>
          <w:p w14:paraId="415DD443" w14:textId="77777777" w:rsidR="00990545" w:rsidRPr="00C925B5" w:rsidRDefault="00990545" w:rsidP="006B2419">
            <w:pPr>
              <w:rPr>
                <w:rFonts w:eastAsiaTheme="minorEastAsia"/>
                <w:sz w:val="18"/>
                <w:szCs w:val="22"/>
              </w:rPr>
            </w:pPr>
            <w:r w:rsidRPr="00C925B5">
              <w:rPr>
                <w:rFonts w:eastAsiaTheme="minorEastAsia"/>
                <w:sz w:val="18"/>
                <w:szCs w:val="22"/>
              </w:rPr>
              <w:t>Overhead</w:t>
            </w:r>
          </w:p>
        </w:tc>
      </w:tr>
      <w:tr w:rsidR="00990545" w:rsidRPr="00C925B5" w14:paraId="51903A5A" w14:textId="77777777" w:rsidTr="006B2419">
        <w:trPr>
          <w:jc w:val="center"/>
        </w:trPr>
        <w:tc>
          <w:tcPr>
            <w:tcW w:w="2263" w:type="dxa"/>
          </w:tcPr>
          <w:p w14:paraId="1E578845" w14:textId="77777777" w:rsidR="00990545" w:rsidRPr="00C925B5" w:rsidRDefault="00990545" w:rsidP="006B2419">
            <w:pPr>
              <w:rPr>
                <w:rFonts w:eastAsiaTheme="minorEastAsia"/>
                <w:sz w:val="18"/>
                <w:szCs w:val="22"/>
              </w:rPr>
            </w:pPr>
            <w:r w:rsidRPr="00C925B5">
              <w:rPr>
                <w:rFonts w:eastAsiaTheme="minorEastAsia"/>
                <w:sz w:val="18"/>
                <w:szCs w:val="22"/>
              </w:rPr>
              <w:t>DRS</w:t>
            </w:r>
          </w:p>
        </w:tc>
        <w:tc>
          <w:tcPr>
            <w:tcW w:w="2694" w:type="dxa"/>
          </w:tcPr>
          <w:p w14:paraId="1F138A4C" w14:textId="77777777" w:rsidR="00990545" w:rsidRPr="00C925B5" w:rsidRDefault="00990545" w:rsidP="006B2419">
            <w:pPr>
              <w:rPr>
                <w:rFonts w:eastAsiaTheme="minorEastAsia"/>
                <w:sz w:val="18"/>
                <w:szCs w:val="22"/>
              </w:rPr>
            </w:pPr>
            <w:r w:rsidRPr="00C925B5">
              <w:rPr>
                <w:rFonts w:eastAsiaTheme="minorEastAsia"/>
                <w:sz w:val="18"/>
                <w:szCs w:val="22"/>
              </w:rPr>
              <w:t>Enabled, 1ms</w:t>
            </w:r>
          </w:p>
        </w:tc>
        <w:tc>
          <w:tcPr>
            <w:tcW w:w="1842" w:type="dxa"/>
          </w:tcPr>
          <w:p w14:paraId="4BAD472C" w14:textId="77777777" w:rsidR="00990545" w:rsidRPr="00C925B5" w:rsidRDefault="00990545" w:rsidP="006B2419">
            <w:pPr>
              <w:rPr>
                <w:rFonts w:eastAsiaTheme="minorEastAsia"/>
                <w:sz w:val="18"/>
                <w:szCs w:val="22"/>
              </w:rPr>
            </w:pPr>
          </w:p>
        </w:tc>
      </w:tr>
      <w:tr w:rsidR="00990545" w:rsidRPr="00C925B5" w14:paraId="30B318C9" w14:textId="77777777" w:rsidTr="006B2419">
        <w:trPr>
          <w:jc w:val="center"/>
        </w:trPr>
        <w:tc>
          <w:tcPr>
            <w:tcW w:w="2263" w:type="dxa"/>
          </w:tcPr>
          <w:p w14:paraId="251B6098" w14:textId="77777777" w:rsidR="00990545" w:rsidRPr="00C925B5" w:rsidRDefault="00990545" w:rsidP="006B2419">
            <w:pPr>
              <w:rPr>
                <w:rFonts w:eastAsiaTheme="minorEastAsia"/>
                <w:sz w:val="18"/>
                <w:szCs w:val="22"/>
              </w:rPr>
            </w:pPr>
            <w:r w:rsidRPr="00C925B5">
              <w:rPr>
                <w:rFonts w:eastAsiaTheme="minorEastAsia"/>
                <w:sz w:val="18"/>
                <w:szCs w:val="22"/>
              </w:rPr>
              <w:t>HARQ ACQ/CQI Feedback</w:t>
            </w:r>
          </w:p>
        </w:tc>
        <w:tc>
          <w:tcPr>
            <w:tcW w:w="2694" w:type="dxa"/>
          </w:tcPr>
          <w:p w14:paraId="26556F27" w14:textId="77777777" w:rsidR="00990545" w:rsidRPr="00C925B5" w:rsidRDefault="00990545" w:rsidP="006B2419">
            <w:pPr>
              <w:rPr>
                <w:rFonts w:eastAsiaTheme="minorEastAsia"/>
                <w:sz w:val="18"/>
                <w:szCs w:val="22"/>
              </w:rPr>
            </w:pPr>
            <w:r w:rsidRPr="00C925B5">
              <w:rPr>
                <w:rFonts w:eastAsiaTheme="minorEastAsia"/>
                <w:sz w:val="18"/>
                <w:szCs w:val="22"/>
              </w:rPr>
              <w:t>1 symbol per feedback</w:t>
            </w:r>
          </w:p>
        </w:tc>
        <w:tc>
          <w:tcPr>
            <w:tcW w:w="1842" w:type="dxa"/>
          </w:tcPr>
          <w:p w14:paraId="3695ED08" w14:textId="77777777" w:rsidR="00990545" w:rsidRPr="00C925B5" w:rsidRDefault="00990545" w:rsidP="006B2419">
            <w:pPr>
              <w:rPr>
                <w:rFonts w:eastAsiaTheme="minorEastAsia"/>
                <w:sz w:val="18"/>
                <w:szCs w:val="22"/>
              </w:rPr>
            </w:pPr>
          </w:p>
        </w:tc>
      </w:tr>
      <w:tr w:rsidR="00990545" w:rsidRPr="00C925B5" w14:paraId="7B746DCB" w14:textId="77777777" w:rsidTr="006B2419">
        <w:trPr>
          <w:jc w:val="center"/>
        </w:trPr>
        <w:tc>
          <w:tcPr>
            <w:tcW w:w="2263" w:type="dxa"/>
          </w:tcPr>
          <w:p w14:paraId="61CA986E" w14:textId="77777777" w:rsidR="00990545" w:rsidRPr="00C925B5" w:rsidRDefault="00990545" w:rsidP="006B2419">
            <w:pPr>
              <w:rPr>
                <w:rFonts w:eastAsiaTheme="minorEastAsia"/>
                <w:sz w:val="18"/>
                <w:szCs w:val="22"/>
              </w:rPr>
            </w:pPr>
            <w:r w:rsidRPr="00C925B5">
              <w:rPr>
                <w:rFonts w:eastAsiaTheme="minorEastAsia"/>
                <w:sz w:val="18"/>
                <w:szCs w:val="22"/>
              </w:rPr>
              <w:t>PDCCh</w:t>
            </w:r>
          </w:p>
        </w:tc>
        <w:tc>
          <w:tcPr>
            <w:tcW w:w="2694" w:type="dxa"/>
          </w:tcPr>
          <w:p w14:paraId="3446A3C1" w14:textId="77777777" w:rsidR="00990545" w:rsidRPr="00C925B5" w:rsidRDefault="00990545" w:rsidP="006B2419">
            <w:pPr>
              <w:rPr>
                <w:rFonts w:eastAsiaTheme="minorEastAsia"/>
                <w:sz w:val="18"/>
                <w:szCs w:val="22"/>
              </w:rPr>
            </w:pPr>
            <w:r w:rsidRPr="00C925B5">
              <w:rPr>
                <w:rFonts w:eastAsiaTheme="minorEastAsia"/>
                <w:sz w:val="18"/>
                <w:szCs w:val="22"/>
              </w:rPr>
              <w:t>1 symbol/slot</w:t>
            </w:r>
          </w:p>
        </w:tc>
        <w:tc>
          <w:tcPr>
            <w:tcW w:w="1842" w:type="dxa"/>
          </w:tcPr>
          <w:p w14:paraId="1504FD41" w14:textId="77777777" w:rsidR="00990545" w:rsidRPr="00C925B5" w:rsidRDefault="00990545" w:rsidP="006B2419">
            <w:pPr>
              <w:rPr>
                <w:rFonts w:eastAsiaTheme="minorEastAsia"/>
                <w:sz w:val="18"/>
                <w:szCs w:val="22"/>
              </w:rPr>
            </w:pPr>
          </w:p>
        </w:tc>
      </w:tr>
      <w:tr w:rsidR="00990545" w:rsidRPr="00C925B5" w14:paraId="6E74C869" w14:textId="77777777" w:rsidTr="006B2419">
        <w:trPr>
          <w:jc w:val="center"/>
        </w:trPr>
        <w:tc>
          <w:tcPr>
            <w:tcW w:w="2263" w:type="dxa"/>
          </w:tcPr>
          <w:p w14:paraId="3CA4F404" w14:textId="77777777" w:rsidR="00990545" w:rsidRPr="00C925B5" w:rsidRDefault="00990545" w:rsidP="006B2419">
            <w:pPr>
              <w:rPr>
                <w:rFonts w:eastAsiaTheme="minorEastAsia"/>
                <w:sz w:val="18"/>
                <w:szCs w:val="22"/>
              </w:rPr>
            </w:pPr>
            <w:r w:rsidRPr="00C925B5">
              <w:rPr>
                <w:rFonts w:eastAsiaTheme="minorEastAsia"/>
                <w:sz w:val="18"/>
                <w:szCs w:val="22"/>
              </w:rPr>
              <w:t>PDSCh Mapping</w:t>
            </w:r>
          </w:p>
        </w:tc>
        <w:tc>
          <w:tcPr>
            <w:tcW w:w="2694" w:type="dxa"/>
          </w:tcPr>
          <w:p w14:paraId="1F320D41" w14:textId="77777777" w:rsidR="00990545" w:rsidRPr="00C925B5" w:rsidRDefault="00990545" w:rsidP="006B2419">
            <w:pPr>
              <w:rPr>
                <w:rFonts w:eastAsiaTheme="minorEastAsia"/>
                <w:sz w:val="18"/>
                <w:szCs w:val="22"/>
              </w:rPr>
            </w:pPr>
            <w:r w:rsidRPr="00C925B5">
              <w:rPr>
                <w:rFonts w:eastAsiaTheme="minorEastAsia"/>
                <w:sz w:val="18"/>
                <w:szCs w:val="22"/>
              </w:rPr>
              <w:t>Type B</w:t>
            </w:r>
          </w:p>
        </w:tc>
        <w:tc>
          <w:tcPr>
            <w:tcW w:w="1842" w:type="dxa"/>
          </w:tcPr>
          <w:p w14:paraId="5E333B3F" w14:textId="77777777" w:rsidR="00990545" w:rsidRPr="00C925B5" w:rsidRDefault="00990545" w:rsidP="006B2419">
            <w:pPr>
              <w:rPr>
                <w:rFonts w:eastAsiaTheme="minorEastAsia"/>
                <w:sz w:val="18"/>
                <w:szCs w:val="22"/>
              </w:rPr>
            </w:pPr>
          </w:p>
        </w:tc>
      </w:tr>
      <w:tr w:rsidR="00990545" w:rsidRPr="00C925B5" w14:paraId="384B7DA8" w14:textId="77777777" w:rsidTr="006B2419">
        <w:trPr>
          <w:jc w:val="center"/>
        </w:trPr>
        <w:tc>
          <w:tcPr>
            <w:tcW w:w="2263" w:type="dxa"/>
          </w:tcPr>
          <w:p w14:paraId="11394CE6" w14:textId="77777777" w:rsidR="00990545" w:rsidRPr="00C925B5" w:rsidRDefault="00990545" w:rsidP="006B2419">
            <w:pPr>
              <w:rPr>
                <w:rFonts w:eastAsiaTheme="minorEastAsia"/>
                <w:sz w:val="18"/>
                <w:szCs w:val="22"/>
              </w:rPr>
            </w:pPr>
            <w:r w:rsidRPr="00C925B5">
              <w:rPr>
                <w:rFonts w:eastAsiaTheme="minorEastAsia"/>
                <w:sz w:val="18"/>
                <w:szCs w:val="22"/>
              </w:rPr>
              <w:t>PUSCh Mapping</w:t>
            </w:r>
          </w:p>
        </w:tc>
        <w:tc>
          <w:tcPr>
            <w:tcW w:w="2694" w:type="dxa"/>
          </w:tcPr>
          <w:p w14:paraId="5E47C4A2" w14:textId="77777777" w:rsidR="00990545" w:rsidRPr="00C925B5" w:rsidRDefault="00990545" w:rsidP="006B2419">
            <w:pPr>
              <w:rPr>
                <w:rFonts w:eastAsiaTheme="minorEastAsia"/>
                <w:sz w:val="18"/>
                <w:szCs w:val="22"/>
              </w:rPr>
            </w:pPr>
            <w:r w:rsidRPr="00C925B5">
              <w:rPr>
                <w:rFonts w:eastAsiaTheme="minorEastAsia"/>
                <w:sz w:val="18"/>
                <w:szCs w:val="22"/>
              </w:rPr>
              <w:t>Type A</w:t>
            </w:r>
          </w:p>
        </w:tc>
        <w:tc>
          <w:tcPr>
            <w:tcW w:w="1842" w:type="dxa"/>
          </w:tcPr>
          <w:p w14:paraId="024F53B8" w14:textId="77777777" w:rsidR="00990545" w:rsidRPr="00C925B5" w:rsidRDefault="00990545" w:rsidP="006B2419">
            <w:pPr>
              <w:rPr>
                <w:rFonts w:eastAsiaTheme="minorEastAsia"/>
                <w:sz w:val="18"/>
                <w:szCs w:val="22"/>
              </w:rPr>
            </w:pPr>
          </w:p>
        </w:tc>
      </w:tr>
      <w:tr w:rsidR="00990545" w:rsidRPr="00C925B5" w14:paraId="558CEF84" w14:textId="77777777" w:rsidTr="006B2419">
        <w:trPr>
          <w:jc w:val="center"/>
        </w:trPr>
        <w:tc>
          <w:tcPr>
            <w:tcW w:w="2263" w:type="dxa"/>
          </w:tcPr>
          <w:p w14:paraId="43205845" w14:textId="77777777" w:rsidR="00990545" w:rsidRPr="00C925B5" w:rsidRDefault="00990545" w:rsidP="006B2419">
            <w:pPr>
              <w:rPr>
                <w:rFonts w:eastAsiaTheme="minorEastAsia"/>
                <w:sz w:val="18"/>
                <w:szCs w:val="22"/>
              </w:rPr>
            </w:pPr>
            <w:r w:rsidRPr="00C925B5">
              <w:rPr>
                <w:rFonts w:eastAsiaTheme="minorEastAsia"/>
                <w:sz w:val="18"/>
                <w:szCs w:val="22"/>
              </w:rPr>
              <w:t>Scheduling</w:t>
            </w:r>
          </w:p>
        </w:tc>
        <w:tc>
          <w:tcPr>
            <w:tcW w:w="2694" w:type="dxa"/>
          </w:tcPr>
          <w:p w14:paraId="4AE72F6D" w14:textId="77777777" w:rsidR="00990545" w:rsidRPr="00C925B5" w:rsidRDefault="00990545" w:rsidP="006B2419">
            <w:pPr>
              <w:rPr>
                <w:rFonts w:eastAsiaTheme="minorEastAsia"/>
                <w:sz w:val="18"/>
                <w:szCs w:val="22"/>
              </w:rPr>
            </w:pPr>
            <w:r w:rsidRPr="00C925B5">
              <w:rPr>
                <w:rFonts w:eastAsiaTheme="minorEastAsia"/>
                <w:sz w:val="18"/>
                <w:szCs w:val="22"/>
              </w:rPr>
              <w:t>Proportional fair</w:t>
            </w:r>
          </w:p>
        </w:tc>
        <w:tc>
          <w:tcPr>
            <w:tcW w:w="1842" w:type="dxa"/>
          </w:tcPr>
          <w:p w14:paraId="221332B4" w14:textId="77777777" w:rsidR="00990545" w:rsidRPr="00C925B5" w:rsidRDefault="00990545" w:rsidP="006B2419">
            <w:pPr>
              <w:rPr>
                <w:rFonts w:eastAsiaTheme="minorEastAsia"/>
                <w:sz w:val="18"/>
                <w:szCs w:val="22"/>
              </w:rPr>
            </w:pPr>
          </w:p>
        </w:tc>
      </w:tr>
      <w:tr w:rsidR="00990545" w:rsidRPr="00C925B5" w14:paraId="4237D457" w14:textId="77777777" w:rsidTr="006B2419">
        <w:trPr>
          <w:jc w:val="center"/>
        </w:trPr>
        <w:tc>
          <w:tcPr>
            <w:tcW w:w="2263" w:type="dxa"/>
          </w:tcPr>
          <w:p w14:paraId="1ACD89C6" w14:textId="77777777" w:rsidR="00990545" w:rsidRPr="00C925B5" w:rsidRDefault="00990545" w:rsidP="006B2419">
            <w:pPr>
              <w:rPr>
                <w:rFonts w:eastAsiaTheme="minorEastAsia"/>
                <w:sz w:val="18"/>
                <w:szCs w:val="22"/>
              </w:rPr>
            </w:pPr>
            <w:r w:rsidRPr="00C925B5">
              <w:rPr>
                <w:rFonts w:eastAsiaTheme="minorEastAsia"/>
                <w:sz w:val="18"/>
                <w:szCs w:val="22"/>
              </w:rPr>
              <w:t>gNB to UE COT sharing</w:t>
            </w:r>
          </w:p>
        </w:tc>
        <w:tc>
          <w:tcPr>
            <w:tcW w:w="2694" w:type="dxa"/>
          </w:tcPr>
          <w:p w14:paraId="5A2B3D35" w14:textId="77777777" w:rsidR="00990545" w:rsidRPr="00C925B5" w:rsidRDefault="00990545" w:rsidP="006B2419">
            <w:pPr>
              <w:rPr>
                <w:rFonts w:eastAsiaTheme="minorEastAsia"/>
                <w:sz w:val="18"/>
                <w:szCs w:val="22"/>
              </w:rPr>
            </w:pPr>
            <w:r w:rsidRPr="00C925B5">
              <w:rPr>
                <w:rFonts w:eastAsiaTheme="minorEastAsia"/>
                <w:sz w:val="18"/>
                <w:szCs w:val="22"/>
              </w:rPr>
              <w:t>Enabled</w:t>
            </w:r>
          </w:p>
        </w:tc>
        <w:tc>
          <w:tcPr>
            <w:tcW w:w="1842" w:type="dxa"/>
          </w:tcPr>
          <w:p w14:paraId="47D7F0A5" w14:textId="77777777" w:rsidR="00990545" w:rsidRPr="00C925B5" w:rsidRDefault="00990545" w:rsidP="006B2419">
            <w:pPr>
              <w:rPr>
                <w:rFonts w:eastAsiaTheme="minorEastAsia"/>
                <w:sz w:val="18"/>
                <w:szCs w:val="22"/>
              </w:rPr>
            </w:pPr>
          </w:p>
        </w:tc>
      </w:tr>
      <w:tr w:rsidR="00990545" w:rsidRPr="00C925B5" w14:paraId="75804944" w14:textId="77777777" w:rsidTr="006B2419">
        <w:trPr>
          <w:jc w:val="center"/>
        </w:trPr>
        <w:tc>
          <w:tcPr>
            <w:tcW w:w="2263" w:type="dxa"/>
          </w:tcPr>
          <w:p w14:paraId="72D9E4BF" w14:textId="77777777" w:rsidR="00990545" w:rsidRPr="00C925B5" w:rsidRDefault="00990545" w:rsidP="006B2419">
            <w:pPr>
              <w:rPr>
                <w:rFonts w:eastAsiaTheme="minorEastAsia"/>
                <w:sz w:val="18"/>
                <w:szCs w:val="22"/>
              </w:rPr>
            </w:pPr>
            <w:r w:rsidRPr="00C925B5">
              <w:rPr>
                <w:rFonts w:eastAsiaTheme="minorEastAsia"/>
                <w:sz w:val="18"/>
                <w:szCs w:val="22"/>
              </w:rPr>
              <w:t>UE to UE COT sharing</w:t>
            </w:r>
          </w:p>
        </w:tc>
        <w:tc>
          <w:tcPr>
            <w:tcW w:w="2694" w:type="dxa"/>
          </w:tcPr>
          <w:p w14:paraId="2C2956BE" w14:textId="77777777" w:rsidR="00990545" w:rsidRPr="00C925B5" w:rsidRDefault="00990545" w:rsidP="006B2419">
            <w:pPr>
              <w:rPr>
                <w:rFonts w:eastAsiaTheme="minorEastAsia"/>
                <w:sz w:val="18"/>
                <w:szCs w:val="22"/>
              </w:rPr>
            </w:pPr>
            <w:r w:rsidRPr="00C925B5">
              <w:rPr>
                <w:rFonts w:eastAsiaTheme="minorEastAsia"/>
                <w:sz w:val="18"/>
                <w:szCs w:val="22"/>
              </w:rPr>
              <w:t>N/A</w:t>
            </w:r>
          </w:p>
        </w:tc>
        <w:tc>
          <w:tcPr>
            <w:tcW w:w="1842" w:type="dxa"/>
          </w:tcPr>
          <w:p w14:paraId="48F18B78" w14:textId="77777777" w:rsidR="00990545" w:rsidRPr="00C925B5" w:rsidRDefault="00990545" w:rsidP="006B2419">
            <w:pPr>
              <w:rPr>
                <w:rFonts w:eastAsiaTheme="minorEastAsia"/>
                <w:sz w:val="18"/>
                <w:szCs w:val="22"/>
              </w:rPr>
            </w:pPr>
          </w:p>
        </w:tc>
      </w:tr>
      <w:tr w:rsidR="00990545" w:rsidRPr="00C925B5" w14:paraId="50C22964" w14:textId="77777777" w:rsidTr="006B2419">
        <w:trPr>
          <w:jc w:val="center"/>
        </w:trPr>
        <w:tc>
          <w:tcPr>
            <w:tcW w:w="6799" w:type="dxa"/>
            <w:gridSpan w:val="3"/>
          </w:tcPr>
          <w:p w14:paraId="5587AB44" w14:textId="77777777" w:rsidR="00990545" w:rsidRPr="00C925B5" w:rsidRDefault="00990545" w:rsidP="006B2419">
            <w:pPr>
              <w:jc w:val="center"/>
              <w:rPr>
                <w:rFonts w:eastAsiaTheme="minorEastAsia"/>
                <w:b/>
                <w:bCs/>
                <w:sz w:val="18"/>
                <w:szCs w:val="22"/>
              </w:rPr>
            </w:pPr>
            <w:r w:rsidRPr="00C925B5">
              <w:rPr>
                <w:rFonts w:eastAsiaTheme="minorEastAsia"/>
                <w:b/>
                <w:bCs/>
                <w:sz w:val="18"/>
                <w:szCs w:val="22"/>
              </w:rPr>
              <w:t>Wi-Fi</w:t>
            </w:r>
          </w:p>
        </w:tc>
      </w:tr>
      <w:tr w:rsidR="00990545" w:rsidRPr="00C925B5" w14:paraId="1F2D7798" w14:textId="77777777" w:rsidTr="006B2419">
        <w:trPr>
          <w:jc w:val="center"/>
        </w:trPr>
        <w:tc>
          <w:tcPr>
            <w:tcW w:w="2263" w:type="dxa"/>
          </w:tcPr>
          <w:p w14:paraId="43BACB6D" w14:textId="77777777" w:rsidR="00990545" w:rsidRPr="00C925B5" w:rsidRDefault="00990545" w:rsidP="006B2419">
            <w:pPr>
              <w:rPr>
                <w:rFonts w:eastAsiaTheme="minorEastAsia"/>
                <w:sz w:val="18"/>
                <w:szCs w:val="22"/>
              </w:rPr>
            </w:pPr>
            <w:r w:rsidRPr="00C925B5">
              <w:rPr>
                <w:rFonts w:eastAsiaTheme="minorEastAsia"/>
                <w:sz w:val="18"/>
                <w:szCs w:val="22"/>
              </w:rPr>
              <w:t>RTS/CTS</w:t>
            </w:r>
          </w:p>
        </w:tc>
        <w:tc>
          <w:tcPr>
            <w:tcW w:w="2694" w:type="dxa"/>
          </w:tcPr>
          <w:p w14:paraId="701AF63A" w14:textId="77777777" w:rsidR="00990545" w:rsidRPr="00C925B5" w:rsidRDefault="00990545" w:rsidP="006B2419">
            <w:pPr>
              <w:rPr>
                <w:rFonts w:eastAsiaTheme="minorEastAsia"/>
                <w:sz w:val="18"/>
                <w:szCs w:val="22"/>
              </w:rPr>
            </w:pPr>
            <w:r w:rsidRPr="00C925B5">
              <w:rPr>
                <w:rFonts w:eastAsiaTheme="minorEastAsia"/>
                <w:sz w:val="18"/>
                <w:szCs w:val="22"/>
              </w:rPr>
              <w:t>Disabled</w:t>
            </w:r>
          </w:p>
        </w:tc>
        <w:tc>
          <w:tcPr>
            <w:tcW w:w="1842" w:type="dxa"/>
          </w:tcPr>
          <w:p w14:paraId="556502E9" w14:textId="77777777" w:rsidR="00990545" w:rsidRPr="00C925B5" w:rsidRDefault="00990545" w:rsidP="006B2419">
            <w:pPr>
              <w:rPr>
                <w:rFonts w:eastAsiaTheme="minorEastAsia"/>
                <w:sz w:val="18"/>
                <w:szCs w:val="22"/>
              </w:rPr>
            </w:pPr>
          </w:p>
        </w:tc>
      </w:tr>
      <w:tr w:rsidR="00990545" w:rsidRPr="00C925B5" w14:paraId="2E0F0FFC" w14:textId="77777777" w:rsidTr="006B2419">
        <w:trPr>
          <w:jc w:val="center"/>
        </w:trPr>
        <w:tc>
          <w:tcPr>
            <w:tcW w:w="2263" w:type="dxa"/>
          </w:tcPr>
          <w:p w14:paraId="2E51B89E" w14:textId="77777777" w:rsidR="00990545" w:rsidRPr="00C925B5" w:rsidRDefault="00990545" w:rsidP="006B2419">
            <w:pPr>
              <w:rPr>
                <w:rFonts w:eastAsiaTheme="minorEastAsia"/>
                <w:sz w:val="18"/>
                <w:szCs w:val="22"/>
              </w:rPr>
            </w:pPr>
            <w:r w:rsidRPr="00C925B5">
              <w:rPr>
                <w:rFonts w:eastAsiaTheme="minorEastAsia"/>
                <w:sz w:val="18"/>
                <w:szCs w:val="22"/>
              </w:rPr>
              <w:t>MPDU size</w:t>
            </w:r>
          </w:p>
        </w:tc>
        <w:tc>
          <w:tcPr>
            <w:tcW w:w="2694" w:type="dxa"/>
          </w:tcPr>
          <w:p w14:paraId="10245A4C" w14:textId="77777777" w:rsidR="00990545" w:rsidRPr="00C925B5" w:rsidRDefault="00990545" w:rsidP="006B2419">
            <w:pPr>
              <w:rPr>
                <w:rFonts w:eastAsiaTheme="minorEastAsia"/>
                <w:sz w:val="18"/>
                <w:szCs w:val="22"/>
              </w:rPr>
            </w:pPr>
            <w:r w:rsidRPr="00C925B5">
              <w:rPr>
                <w:rFonts w:eastAsiaTheme="minorEastAsia"/>
                <w:sz w:val="18"/>
                <w:szCs w:val="22"/>
              </w:rPr>
              <w:t>1500 bytes</w:t>
            </w:r>
          </w:p>
        </w:tc>
        <w:tc>
          <w:tcPr>
            <w:tcW w:w="1842" w:type="dxa"/>
          </w:tcPr>
          <w:p w14:paraId="5DA8C15E" w14:textId="77777777" w:rsidR="00990545" w:rsidRPr="00C925B5" w:rsidRDefault="00990545" w:rsidP="006B2419">
            <w:pPr>
              <w:rPr>
                <w:rFonts w:eastAsiaTheme="minorEastAsia"/>
                <w:sz w:val="18"/>
                <w:szCs w:val="22"/>
              </w:rPr>
            </w:pPr>
          </w:p>
        </w:tc>
      </w:tr>
      <w:tr w:rsidR="00990545" w:rsidRPr="00C925B5" w14:paraId="28195B03" w14:textId="77777777" w:rsidTr="006B2419">
        <w:trPr>
          <w:jc w:val="center"/>
        </w:trPr>
        <w:tc>
          <w:tcPr>
            <w:tcW w:w="2263" w:type="dxa"/>
          </w:tcPr>
          <w:p w14:paraId="12E51269" w14:textId="77777777" w:rsidR="00990545" w:rsidRPr="00C925B5" w:rsidRDefault="00990545" w:rsidP="006B2419">
            <w:pPr>
              <w:rPr>
                <w:rFonts w:eastAsiaTheme="minorEastAsia"/>
                <w:sz w:val="18"/>
                <w:szCs w:val="22"/>
              </w:rPr>
            </w:pPr>
            <w:r w:rsidRPr="00C925B5">
              <w:rPr>
                <w:rFonts w:eastAsiaTheme="minorEastAsia"/>
                <w:sz w:val="18"/>
                <w:szCs w:val="22"/>
              </w:rPr>
              <w:t xml:space="preserve">Wi-Fi guard interval </w:t>
            </w:r>
          </w:p>
        </w:tc>
        <w:tc>
          <w:tcPr>
            <w:tcW w:w="2694" w:type="dxa"/>
          </w:tcPr>
          <w:p w14:paraId="79001424" w14:textId="77777777" w:rsidR="00990545" w:rsidRPr="00C925B5" w:rsidRDefault="00990545" w:rsidP="006B2419">
            <w:pPr>
              <w:rPr>
                <w:rFonts w:eastAsiaTheme="minorEastAsia"/>
                <w:sz w:val="18"/>
                <w:szCs w:val="22"/>
              </w:rPr>
            </w:pPr>
            <w:r w:rsidRPr="00C925B5">
              <w:rPr>
                <w:rFonts w:eastAsiaTheme="minorEastAsia"/>
                <w:sz w:val="18"/>
                <w:szCs w:val="22"/>
              </w:rPr>
              <w:t>Short</w:t>
            </w:r>
          </w:p>
        </w:tc>
        <w:tc>
          <w:tcPr>
            <w:tcW w:w="1842" w:type="dxa"/>
          </w:tcPr>
          <w:p w14:paraId="1311ACA8" w14:textId="77777777" w:rsidR="00990545" w:rsidRPr="00C925B5" w:rsidRDefault="00990545" w:rsidP="006B2419">
            <w:pPr>
              <w:rPr>
                <w:rFonts w:eastAsiaTheme="minorEastAsia"/>
                <w:sz w:val="18"/>
                <w:szCs w:val="22"/>
              </w:rPr>
            </w:pPr>
          </w:p>
        </w:tc>
      </w:tr>
      <w:tr w:rsidR="00990545" w:rsidRPr="00C925B5" w14:paraId="0DF32F66" w14:textId="77777777" w:rsidTr="006B2419">
        <w:trPr>
          <w:jc w:val="center"/>
        </w:trPr>
        <w:tc>
          <w:tcPr>
            <w:tcW w:w="2263" w:type="dxa"/>
          </w:tcPr>
          <w:p w14:paraId="6FC53B7B" w14:textId="77777777" w:rsidR="00990545" w:rsidRPr="00C925B5" w:rsidRDefault="00990545" w:rsidP="006B2419">
            <w:pPr>
              <w:rPr>
                <w:rFonts w:eastAsiaTheme="minorEastAsia"/>
                <w:sz w:val="18"/>
                <w:szCs w:val="22"/>
              </w:rPr>
            </w:pPr>
            <w:r w:rsidRPr="00C925B5">
              <w:rPr>
                <w:rFonts w:eastAsiaTheme="minorEastAsia"/>
                <w:sz w:val="18"/>
                <w:szCs w:val="22"/>
              </w:rPr>
              <w:t>Frame Aggregation</w:t>
            </w:r>
          </w:p>
        </w:tc>
        <w:tc>
          <w:tcPr>
            <w:tcW w:w="2694" w:type="dxa"/>
          </w:tcPr>
          <w:p w14:paraId="7C87E321" w14:textId="77777777" w:rsidR="00990545" w:rsidRPr="00C925B5" w:rsidRDefault="00990545" w:rsidP="006B2419">
            <w:pPr>
              <w:rPr>
                <w:rFonts w:eastAsiaTheme="minorEastAsia"/>
                <w:sz w:val="18"/>
                <w:szCs w:val="22"/>
              </w:rPr>
            </w:pPr>
            <w:r w:rsidRPr="00C925B5">
              <w:rPr>
                <w:rFonts w:eastAsiaTheme="minorEastAsia"/>
                <w:sz w:val="18"/>
                <w:szCs w:val="22"/>
              </w:rPr>
              <w:t>A-MPDU</w:t>
            </w:r>
          </w:p>
        </w:tc>
        <w:tc>
          <w:tcPr>
            <w:tcW w:w="1842" w:type="dxa"/>
          </w:tcPr>
          <w:p w14:paraId="0421562A" w14:textId="77777777" w:rsidR="00990545" w:rsidRPr="00C925B5" w:rsidRDefault="00990545" w:rsidP="006B2419">
            <w:pPr>
              <w:rPr>
                <w:rFonts w:eastAsiaTheme="minorEastAsia"/>
                <w:sz w:val="18"/>
                <w:szCs w:val="22"/>
              </w:rPr>
            </w:pPr>
          </w:p>
        </w:tc>
      </w:tr>
    </w:tbl>
    <w:p w14:paraId="030543DC" w14:textId="77777777" w:rsidR="00990545" w:rsidRPr="00DB19EA" w:rsidRDefault="00990545" w:rsidP="007508E5">
      <w:pPr>
        <w:rPr>
          <w:lang w:eastAsia="x-none"/>
        </w:rPr>
      </w:pPr>
    </w:p>
    <w:p w14:paraId="28ABF424" w14:textId="3F2418B5" w:rsidR="0077616D" w:rsidRPr="00AA24E4" w:rsidRDefault="00A12155" w:rsidP="0077616D">
      <w:pPr>
        <w:pStyle w:val="Heading2"/>
        <w:rPr>
          <w:color w:val="000000" w:themeColor="text1"/>
        </w:rPr>
      </w:pPr>
      <w:r>
        <w:rPr>
          <w:color w:val="000000" w:themeColor="text1"/>
        </w:rPr>
        <w:t>Others</w:t>
      </w:r>
    </w:p>
    <w:p w14:paraId="4765B4AD" w14:textId="77777777" w:rsidR="003B1490" w:rsidRPr="003B1490" w:rsidRDefault="00A854FA">
      <w:pPr>
        <w:pStyle w:val="ListParagraph"/>
        <w:numPr>
          <w:ilvl w:val="0"/>
          <w:numId w:val="19"/>
        </w:numPr>
        <w:ind w:leftChars="0"/>
        <w:rPr>
          <w:rFonts w:asciiTheme="minorHAnsi" w:hAnsiTheme="minorHAnsi" w:cstheme="minorHAnsi"/>
          <w:sz w:val="22"/>
          <w:szCs w:val="22"/>
        </w:rPr>
      </w:pPr>
      <w:r w:rsidRPr="003B1490">
        <w:rPr>
          <w:rFonts w:asciiTheme="minorHAnsi" w:hAnsiTheme="minorHAnsi" w:cstheme="minorHAnsi"/>
          <w:sz w:val="22"/>
          <w:szCs w:val="22"/>
        </w:rPr>
        <w:t>[</w:t>
      </w:r>
      <w:r w:rsidR="00B219E8" w:rsidRPr="003B1490">
        <w:rPr>
          <w:rFonts w:asciiTheme="minorHAnsi" w:hAnsiTheme="minorHAnsi" w:cstheme="minorHAnsi"/>
          <w:sz w:val="22"/>
          <w:szCs w:val="22"/>
        </w:rPr>
        <w:t>3/FW</w:t>
      </w:r>
      <w:r w:rsidRPr="003B1490">
        <w:rPr>
          <w:rFonts w:asciiTheme="minorHAnsi" w:hAnsiTheme="minorHAnsi" w:cstheme="minorHAnsi"/>
          <w:sz w:val="22"/>
          <w:szCs w:val="22"/>
        </w:rPr>
        <w:t>]</w:t>
      </w:r>
      <w:r w:rsidR="00CE5E56" w:rsidRPr="003B1490">
        <w:rPr>
          <w:rFonts w:asciiTheme="minorHAnsi" w:hAnsiTheme="minorHAnsi" w:cstheme="minorHAnsi"/>
          <w:sz w:val="22"/>
          <w:szCs w:val="22"/>
        </w:rPr>
        <w:t>:</w:t>
      </w:r>
      <w:r w:rsidR="00092439" w:rsidRPr="003B1490">
        <w:rPr>
          <w:rFonts w:asciiTheme="minorHAnsi" w:hAnsiTheme="minorHAnsi" w:cstheme="minorHAnsi"/>
          <w:sz w:val="22"/>
          <w:szCs w:val="22"/>
        </w:rPr>
        <w:t xml:space="preserve"> </w:t>
      </w:r>
    </w:p>
    <w:p w14:paraId="282EECD4" w14:textId="21AFF676" w:rsidR="003B1490" w:rsidRPr="003B1490" w:rsidRDefault="003B1490" w:rsidP="003B1490">
      <w:pPr>
        <w:pStyle w:val="ListParagraph"/>
        <w:numPr>
          <w:ilvl w:val="1"/>
          <w:numId w:val="19"/>
        </w:numPr>
        <w:ind w:leftChars="0"/>
        <w:rPr>
          <w:rFonts w:asciiTheme="minorHAnsi" w:hAnsiTheme="minorHAnsi" w:cstheme="minorHAnsi"/>
          <w:sz w:val="22"/>
          <w:szCs w:val="22"/>
        </w:rPr>
      </w:pPr>
      <w:r w:rsidRPr="003B1490">
        <w:rPr>
          <w:rFonts w:asciiTheme="minorHAnsi" w:hAnsiTheme="minorHAnsi" w:cstheme="minorHAnsi"/>
          <w:sz w:val="22"/>
          <w:szCs w:val="22"/>
        </w:rPr>
        <w:t>Cell wide configuration for shared spectrum SL-U operation is provided by gNB in dedicated SIB12-U, which is based on SIB12 design.</w:t>
      </w:r>
    </w:p>
    <w:p w14:paraId="768ECA88" w14:textId="1B19D636" w:rsidR="003B1490" w:rsidRDefault="003B1490" w:rsidP="003B1490">
      <w:pPr>
        <w:pStyle w:val="ListParagraph"/>
        <w:numPr>
          <w:ilvl w:val="1"/>
          <w:numId w:val="19"/>
        </w:numPr>
        <w:ind w:leftChars="0"/>
        <w:rPr>
          <w:rFonts w:asciiTheme="minorHAnsi" w:hAnsiTheme="minorHAnsi" w:cstheme="minorHAnsi"/>
          <w:sz w:val="22"/>
          <w:szCs w:val="22"/>
        </w:rPr>
      </w:pPr>
      <w:r w:rsidRPr="003B1490">
        <w:rPr>
          <w:rFonts w:asciiTheme="minorHAnsi" w:hAnsiTheme="minorHAnsi" w:cstheme="minorHAnsi"/>
          <w:sz w:val="22"/>
          <w:szCs w:val="22"/>
        </w:rPr>
        <w:t>In Mode 1, SL-U UE reports to gNB on the successful operation in unlicensed spectrum. Examples of such information: LBT success rate, LBT persistent failure, channel occupancy ratio, etc.</w:t>
      </w:r>
    </w:p>
    <w:p w14:paraId="493BA4F7" w14:textId="2D249BBC" w:rsidR="00CE4618" w:rsidRDefault="00CE4618" w:rsidP="003B1490">
      <w:pPr>
        <w:pStyle w:val="ListParagraph"/>
        <w:numPr>
          <w:ilvl w:val="1"/>
          <w:numId w:val="19"/>
        </w:numPr>
        <w:ind w:leftChars="0"/>
        <w:rPr>
          <w:rFonts w:asciiTheme="minorHAnsi" w:hAnsiTheme="minorHAnsi" w:cstheme="minorHAnsi"/>
          <w:sz w:val="22"/>
          <w:szCs w:val="22"/>
        </w:rPr>
      </w:pPr>
      <w:r w:rsidRPr="00CE4618">
        <w:rPr>
          <w:rFonts w:asciiTheme="minorHAnsi" w:hAnsiTheme="minorHAnsi" w:cstheme="minorHAnsi"/>
          <w:sz w:val="22"/>
          <w:szCs w:val="22"/>
        </w:rPr>
        <w:t>In Mode 2 of operation SL UE should identify and measure the channel occupancy of non-SL transmissions.</w:t>
      </w:r>
    </w:p>
    <w:p w14:paraId="707734C4" w14:textId="46EE8B84" w:rsidR="00CE4618" w:rsidRPr="003B1490" w:rsidRDefault="00CE4618" w:rsidP="003B1490">
      <w:pPr>
        <w:pStyle w:val="ListParagraph"/>
        <w:numPr>
          <w:ilvl w:val="1"/>
          <w:numId w:val="19"/>
        </w:numPr>
        <w:ind w:leftChars="0"/>
        <w:rPr>
          <w:rFonts w:asciiTheme="minorHAnsi" w:hAnsiTheme="minorHAnsi" w:cstheme="minorHAnsi"/>
          <w:sz w:val="22"/>
          <w:szCs w:val="22"/>
        </w:rPr>
      </w:pPr>
      <w:r w:rsidRPr="00CE4618">
        <w:rPr>
          <w:rFonts w:asciiTheme="minorHAnsi" w:hAnsiTheme="minorHAnsi" w:cstheme="minorHAnsi"/>
          <w:sz w:val="22"/>
          <w:szCs w:val="22"/>
        </w:rPr>
        <w:t>Define mechanisms to mitigate the impact of other RAT transmissions in the resource pool selection, and IUC procedures.</w:t>
      </w:r>
    </w:p>
    <w:p w14:paraId="455896C7" w14:textId="77777777" w:rsidR="00F81077" w:rsidRPr="00117800" w:rsidRDefault="00F81077" w:rsidP="00F81077">
      <w:pPr>
        <w:pStyle w:val="ListParagraph"/>
        <w:numPr>
          <w:ilvl w:val="0"/>
          <w:numId w:val="19"/>
        </w:numPr>
        <w:ind w:leftChars="0"/>
        <w:rPr>
          <w:rFonts w:asciiTheme="minorHAnsi" w:hAnsiTheme="minorHAnsi" w:cstheme="minorHAnsi"/>
          <w:color w:val="000000" w:themeColor="text1"/>
          <w:sz w:val="22"/>
          <w:szCs w:val="28"/>
        </w:rPr>
      </w:pPr>
      <w:r w:rsidRPr="00117800">
        <w:rPr>
          <w:rFonts w:asciiTheme="minorHAnsi" w:hAnsiTheme="minorHAnsi" w:cstheme="minorHAnsi"/>
          <w:color w:val="000000" w:themeColor="text1"/>
          <w:sz w:val="22"/>
          <w:szCs w:val="28"/>
        </w:rPr>
        <w:lastRenderedPageBreak/>
        <w:t>[11/</w:t>
      </w:r>
      <w:r w:rsidRPr="00B04546">
        <w:rPr>
          <w:rFonts w:asciiTheme="minorHAnsi" w:hAnsiTheme="minorHAnsi" w:cstheme="minorHAnsi"/>
          <w:sz w:val="22"/>
          <w:szCs w:val="28"/>
        </w:rPr>
        <w:t xml:space="preserve">Intel], [23/MediaTek]: Study </w:t>
      </w:r>
      <w:r w:rsidRPr="00117800">
        <w:rPr>
          <w:rFonts w:asciiTheme="minorHAnsi" w:hAnsiTheme="minorHAnsi" w:cstheme="minorHAnsi"/>
          <w:color w:val="000000" w:themeColor="text1"/>
          <w:sz w:val="22"/>
          <w:szCs w:val="28"/>
        </w:rPr>
        <w:t>support of very low power (VLP) operation for SL-U.</w:t>
      </w:r>
    </w:p>
    <w:p w14:paraId="5F48B73E" w14:textId="785FA07E" w:rsidR="007C0DF3" w:rsidRPr="00B04546" w:rsidRDefault="007C0DF3">
      <w:pPr>
        <w:pStyle w:val="ListParagraph"/>
        <w:numPr>
          <w:ilvl w:val="0"/>
          <w:numId w:val="19"/>
        </w:numPr>
        <w:ind w:leftChars="0"/>
        <w:rPr>
          <w:rFonts w:asciiTheme="minorHAnsi" w:hAnsiTheme="minorHAnsi" w:cstheme="minorHAnsi"/>
          <w:sz w:val="22"/>
          <w:szCs w:val="28"/>
        </w:rPr>
      </w:pPr>
      <w:r w:rsidRPr="00B04546">
        <w:rPr>
          <w:rFonts w:asciiTheme="minorHAnsi" w:hAnsiTheme="minorHAnsi" w:cstheme="minorHAnsi"/>
          <w:sz w:val="22"/>
          <w:szCs w:val="28"/>
        </w:rPr>
        <w:t>[13/CATT, GH]: Only HARQ ACK/NACK-based feedback can be supported, i.e., NACK-based feedback is not supported in SL-U.</w:t>
      </w:r>
    </w:p>
    <w:p w14:paraId="0FD3E9A4" w14:textId="0F144E5C" w:rsidR="00F81077" w:rsidRDefault="00F81077">
      <w:pPr>
        <w:pStyle w:val="ListParagraph"/>
        <w:numPr>
          <w:ilvl w:val="0"/>
          <w:numId w:val="19"/>
        </w:numPr>
        <w:ind w:leftChars="0"/>
        <w:rPr>
          <w:rFonts w:asciiTheme="minorHAnsi" w:hAnsiTheme="minorHAnsi" w:cstheme="minorHAnsi"/>
          <w:sz w:val="22"/>
          <w:szCs w:val="28"/>
        </w:rPr>
      </w:pPr>
      <w:r>
        <w:rPr>
          <w:rFonts w:asciiTheme="minorHAnsi" w:hAnsiTheme="minorHAnsi" w:cstheme="minorHAnsi"/>
          <w:sz w:val="22"/>
          <w:szCs w:val="28"/>
        </w:rPr>
        <w:t xml:space="preserve">[15/Tranassion]: </w:t>
      </w:r>
      <w:r w:rsidRPr="00F81077">
        <w:rPr>
          <w:rFonts w:asciiTheme="minorHAnsi" w:hAnsiTheme="minorHAnsi" w:cstheme="minorHAnsi"/>
          <w:bCs/>
          <w:iCs/>
          <w:sz w:val="22"/>
          <w:szCs w:val="22"/>
          <w:lang w:val="en-US" w:eastAsia="zh-CN"/>
        </w:rPr>
        <w:t>L3 RSSI measurement and channel occupancy reporting from sidelink UE should be supported in sidelink unlicensed access system.</w:t>
      </w:r>
    </w:p>
    <w:p w14:paraId="166DC3E1" w14:textId="729D18F8" w:rsidR="00240F2F" w:rsidRPr="00735C78" w:rsidRDefault="00240F2F">
      <w:pPr>
        <w:pStyle w:val="ListParagraph"/>
        <w:numPr>
          <w:ilvl w:val="0"/>
          <w:numId w:val="19"/>
        </w:numPr>
        <w:ind w:leftChars="0"/>
        <w:rPr>
          <w:rFonts w:asciiTheme="minorHAnsi" w:hAnsiTheme="minorHAnsi" w:cstheme="minorHAnsi"/>
          <w:sz w:val="22"/>
          <w:szCs w:val="28"/>
        </w:rPr>
      </w:pPr>
      <w:r w:rsidRPr="00735C78">
        <w:rPr>
          <w:rFonts w:asciiTheme="minorHAnsi" w:hAnsiTheme="minorHAnsi" w:cstheme="minorHAnsi"/>
          <w:sz w:val="22"/>
          <w:szCs w:val="28"/>
        </w:rPr>
        <w:t>[</w:t>
      </w:r>
      <w:r w:rsidR="00BC644A" w:rsidRPr="00735C78">
        <w:rPr>
          <w:rFonts w:asciiTheme="minorHAnsi" w:hAnsiTheme="minorHAnsi" w:cstheme="minorHAnsi"/>
          <w:sz w:val="22"/>
          <w:szCs w:val="28"/>
        </w:rPr>
        <w:t>18/Lenovo</w:t>
      </w:r>
      <w:r w:rsidRPr="00735C78">
        <w:rPr>
          <w:rFonts w:asciiTheme="minorHAnsi" w:hAnsiTheme="minorHAnsi" w:cstheme="minorHAnsi"/>
          <w:sz w:val="22"/>
          <w:szCs w:val="28"/>
        </w:rPr>
        <w:t>]</w:t>
      </w:r>
    </w:p>
    <w:p w14:paraId="6DFA8C19" w14:textId="24A960C0" w:rsidR="00240F2F" w:rsidRPr="00735C78" w:rsidRDefault="00240F2F">
      <w:pPr>
        <w:pStyle w:val="ListParagraph"/>
        <w:numPr>
          <w:ilvl w:val="1"/>
          <w:numId w:val="19"/>
        </w:numPr>
        <w:ind w:leftChars="0"/>
        <w:rPr>
          <w:rFonts w:asciiTheme="minorHAnsi" w:hAnsiTheme="minorHAnsi" w:cstheme="minorHAnsi"/>
          <w:sz w:val="22"/>
          <w:szCs w:val="28"/>
        </w:rPr>
      </w:pPr>
      <w:r w:rsidRPr="00735C78">
        <w:rPr>
          <w:rFonts w:asciiTheme="minorHAnsi" w:hAnsiTheme="minorHAnsi" w:cstheme="minorHAnsi"/>
          <w:sz w:val="22"/>
          <w:szCs w:val="28"/>
        </w:rPr>
        <w:t>RAN1 to study the benefit of introducing the one-shot HARQ feedback, non-numerical HARQ feedback timing indicator features for sidelink unlicensed operation</w:t>
      </w:r>
    </w:p>
    <w:p w14:paraId="10F17EC5" w14:textId="0B0B4E7F" w:rsidR="00240F2F" w:rsidRPr="00735C78" w:rsidRDefault="00240F2F">
      <w:pPr>
        <w:pStyle w:val="ListParagraph"/>
        <w:numPr>
          <w:ilvl w:val="1"/>
          <w:numId w:val="19"/>
        </w:numPr>
        <w:ind w:leftChars="0"/>
        <w:rPr>
          <w:rFonts w:asciiTheme="minorHAnsi" w:hAnsiTheme="minorHAnsi" w:cstheme="minorHAnsi"/>
          <w:sz w:val="22"/>
          <w:szCs w:val="28"/>
        </w:rPr>
      </w:pPr>
      <w:r w:rsidRPr="00735C78">
        <w:rPr>
          <w:rFonts w:asciiTheme="minorHAnsi" w:hAnsiTheme="minorHAnsi" w:cstheme="minorHAnsi"/>
          <w:sz w:val="22"/>
          <w:szCs w:val="28"/>
        </w:rPr>
        <w:t>RAN1 to study the benefit of delaying the generation and transmission of SL HARQ feedback using non-numerical HARQ feedback timing value for an unlicensed spectrum</w:t>
      </w:r>
    </w:p>
    <w:p w14:paraId="4BCF0D1E" w14:textId="40AE003F" w:rsidR="00240F2F" w:rsidRPr="00735C78" w:rsidRDefault="00240F2F">
      <w:pPr>
        <w:pStyle w:val="ListParagraph"/>
        <w:numPr>
          <w:ilvl w:val="1"/>
          <w:numId w:val="19"/>
        </w:numPr>
        <w:ind w:leftChars="0"/>
        <w:rPr>
          <w:rFonts w:asciiTheme="minorHAnsi" w:hAnsiTheme="minorHAnsi" w:cstheme="minorHAnsi"/>
          <w:sz w:val="22"/>
          <w:szCs w:val="28"/>
        </w:rPr>
      </w:pPr>
      <w:r w:rsidRPr="00735C78">
        <w:rPr>
          <w:rFonts w:asciiTheme="minorHAnsi" w:hAnsiTheme="minorHAnsi" w:cstheme="minorHAnsi"/>
          <w:sz w:val="22"/>
          <w:szCs w:val="28"/>
        </w:rPr>
        <w:t>RAN1 could further study the PSFCH enhancement to mitigate problems arising due to delayed sidelink HARQ feedback reception for an unlicensed spectrum</w:t>
      </w:r>
    </w:p>
    <w:p w14:paraId="025927DD" w14:textId="46F3C01A" w:rsidR="009959A4" w:rsidRPr="009E5318" w:rsidRDefault="009959A4">
      <w:pPr>
        <w:pStyle w:val="ListParagraph"/>
        <w:numPr>
          <w:ilvl w:val="0"/>
          <w:numId w:val="19"/>
        </w:numPr>
        <w:ind w:leftChars="0"/>
        <w:rPr>
          <w:rFonts w:asciiTheme="minorHAnsi" w:hAnsiTheme="minorHAnsi" w:cstheme="minorHAnsi"/>
          <w:sz w:val="22"/>
          <w:szCs w:val="28"/>
        </w:rPr>
      </w:pPr>
      <w:r w:rsidRPr="009E5318">
        <w:rPr>
          <w:rFonts w:asciiTheme="minorHAnsi" w:hAnsiTheme="minorHAnsi" w:cstheme="minorHAnsi"/>
          <w:sz w:val="22"/>
          <w:szCs w:val="28"/>
        </w:rPr>
        <w:t>[</w:t>
      </w:r>
      <w:r w:rsidR="007B2CAB" w:rsidRPr="009E5318">
        <w:rPr>
          <w:rFonts w:asciiTheme="minorHAnsi" w:hAnsiTheme="minorHAnsi" w:cstheme="minorHAnsi"/>
          <w:sz w:val="22"/>
          <w:szCs w:val="28"/>
        </w:rPr>
        <w:t>23/MediaTek</w:t>
      </w:r>
      <w:r w:rsidRPr="009E5318">
        <w:rPr>
          <w:rFonts w:asciiTheme="minorHAnsi" w:hAnsiTheme="minorHAnsi" w:cstheme="minorHAnsi"/>
          <w:sz w:val="22"/>
          <w:szCs w:val="28"/>
        </w:rPr>
        <w:t>] (VLP):</w:t>
      </w:r>
    </w:p>
    <w:p w14:paraId="0FD5890F" w14:textId="0AFBAE9D" w:rsidR="009959A4" w:rsidRPr="009E5318" w:rsidRDefault="009959A4">
      <w:pPr>
        <w:pStyle w:val="ListParagraph"/>
        <w:numPr>
          <w:ilvl w:val="1"/>
          <w:numId w:val="19"/>
        </w:numPr>
        <w:ind w:leftChars="0"/>
        <w:rPr>
          <w:rFonts w:asciiTheme="minorHAnsi" w:hAnsiTheme="minorHAnsi" w:cstheme="minorHAnsi"/>
          <w:sz w:val="22"/>
          <w:szCs w:val="28"/>
        </w:rPr>
      </w:pPr>
      <w:r w:rsidRPr="009E5318">
        <w:rPr>
          <w:rFonts w:asciiTheme="minorHAnsi" w:hAnsiTheme="minorHAnsi" w:cstheme="minorHAnsi"/>
          <w:sz w:val="22"/>
          <w:szCs w:val="28"/>
        </w:rPr>
        <w:t>LBT is necessary to stabilize system interference especially for non-coordinated SL-U deployment with higher max transmission power (18dBm, non-VLP).</w:t>
      </w:r>
    </w:p>
    <w:p w14:paraId="7466723B" w14:textId="7F40FFDE" w:rsidR="009959A4" w:rsidRPr="009E5318" w:rsidRDefault="009959A4">
      <w:pPr>
        <w:pStyle w:val="ListParagraph"/>
        <w:numPr>
          <w:ilvl w:val="1"/>
          <w:numId w:val="19"/>
        </w:numPr>
        <w:ind w:leftChars="0"/>
        <w:rPr>
          <w:rFonts w:asciiTheme="minorHAnsi" w:hAnsiTheme="minorHAnsi" w:cstheme="minorHAnsi"/>
          <w:sz w:val="22"/>
          <w:szCs w:val="22"/>
        </w:rPr>
      </w:pPr>
      <w:r w:rsidRPr="009E5318">
        <w:rPr>
          <w:rFonts w:asciiTheme="minorHAnsi" w:hAnsiTheme="minorHAnsi" w:cstheme="minorHAnsi"/>
          <w:sz w:val="22"/>
          <w:szCs w:val="28"/>
        </w:rPr>
        <w:t xml:space="preserve">Compared with higher SL-U max transmission power (18dBm, non-VLP), the UPT of NR-U can be improved for the case with lower SL-U max transmission power (5dBm, VLP) in </w:t>
      </w:r>
      <w:r w:rsidRPr="009E5318">
        <w:rPr>
          <w:rFonts w:asciiTheme="minorHAnsi" w:hAnsiTheme="minorHAnsi" w:cstheme="minorHAnsi"/>
          <w:sz w:val="22"/>
          <w:szCs w:val="22"/>
        </w:rPr>
        <w:t>coexistence scenario.</w:t>
      </w:r>
    </w:p>
    <w:p w14:paraId="7BA4DAA9" w14:textId="2F16B794" w:rsidR="009959A4" w:rsidRPr="009E5318" w:rsidRDefault="009959A4">
      <w:pPr>
        <w:pStyle w:val="ListParagraph"/>
        <w:numPr>
          <w:ilvl w:val="1"/>
          <w:numId w:val="19"/>
        </w:numPr>
        <w:ind w:leftChars="0"/>
        <w:rPr>
          <w:rFonts w:asciiTheme="minorHAnsi" w:hAnsiTheme="minorHAnsi" w:cstheme="minorHAnsi"/>
          <w:sz w:val="22"/>
          <w:szCs w:val="22"/>
        </w:rPr>
      </w:pPr>
      <w:r w:rsidRPr="009E5318">
        <w:rPr>
          <w:rFonts w:asciiTheme="minorHAnsi" w:hAnsiTheme="minorHAnsi" w:cstheme="minorHAnsi"/>
          <w:sz w:val="22"/>
          <w:szCs w:val="22"/>
        </w:rPr>
        <w:t>Compared to higher SL-U max transmission power (18dBm, non-VLP), the UPT performance of SL-U can be improved for the case of lower SL-U max transmission power (5dBm, VLP) together with no LBT operation in the coexistence scenario.</w:t>
      </w:r>
    </w:p>
    <w:p w14:paraId="158D62EA" w14:textId="7F5DF26A" w:rsidR="009959A4" w:rsidRPr="009E5318" w:rsidRDefault="009959A4">
      <w:pPr>
        <w:pStyle w:val="ListParagraph"/>
        <w:numPr>
          <w:ilvl w:val="1"/>
          <w:numId w:val="19"/>
        </w:numPr>
        <w:ind w:leftChars="0"/>
        <w:rPr>
          <w:rFonts w:asciiTheme="minorHAnsi" w:hAnsiTheme="minorHAnsi" w:cstheme="minorHAnsi"/>
          <w:sz w:val="22"/>
          <w:szCs w:val="22"/>
        </w:rPr>
      </w:pPr>
      <w:r w:rsidRPr="009E5318">
        <w:rPr>
          <w:rFonts w:asciiTheme="minorHAnsi" w:hAnsiTheme="minorHAnsi" w:cstheme="minorHAnsi"/>
          <w:sz w:val="22"/>
          <w:szCs w:val="22"/>
        </w:rPr>
        <w:t>Compared with SL-U with higher max transmission power (18dBm, non-VLP), the SL-U with lower max transmission power (5dBm, VLP) can better support XR traffic with an increased UE satisfaction rate and system capacity.</w:t>
      </w:r>
    </w:p>
    <w:p w14:paraId="5229D51A" w14:textId="3A97EBC2" w:rsidR="009959A4" w:rsidRPr="009E5318" w:rsidRDefault="009959A4">
      <w:pPr>
        <w:pStyle w:val="ListParagraph"/>
        <w:numPr>
          <w:ilvl w:val="1"/>
          <w:numId w:val="19"/>
        </w:numPr>
        <w:ind w:leftChars="0"/>
        <w:rPr>
          <w:rFonts w:asciiTheme="minorHAnsi" w:hAnsiTheme="minorHAnsi" w:cstheme="minorHAnsi"/>
          <w:sz w:val="22"/>
          <w:szCs w:val="22"/>
        </w:rPr>
      </w:pPr>
      <w:r w:rsidRPr="009E5318">
        <w:rPr>
          <w:rFonts w:asciiTheme="minorHAnsi" w:hAnsiTheme="minorHAnsi" w:cstheme="minorHAnsi"/>
          <w:sz w:val="22"/>
          <w:szCs w:val="22"/>
        </w:rPr>
        <w:t>Compared with SL-U with 1 SCI decoding number, 2 SCI decoding number can improve the UE satisfaction rate and system capacity especially for larger SL-U pair number.</w:t>
      </w:r>
    </w:p>
    <w:p w14:paraId="5C1B3A78" w14:textId="531D82C0" w:rsidR="0059036D" w:rsidRPr="00D62235" w:rsidRDefault="0059036D">
      <w:pPr>
        <w:pStyle w:val="ListParagraph"/>
        <w:numPr>
          <w:ilvl w:val="0"/>
          <w:numId w:val="19"/>
        </w:numPr>
        <w:ind w:leftChars="0"/>
        <w:rPr>
          <w:rFonts w:asciiTheme="minorHAnsi" w:hAnsiTheme="minorHAnsi" w:cstheme="minorHAnsi"/>
          <w:color w:val="000000" w:themeColor="text1"/>
          <w:sz w:val="22"/>
          <w:szCs w:val="28"/>
        </w:rPr>
      </w:pPr>
      <w:r w:rsidRPr="00D62235">
        <w:rPr>
          <w:rFonts w:asciiTheme="minorHAnsi" w:hAnsiTheme="minorHAnsi" w:cstheme="minorHAnsi"/>
          <w:color w:val="000000" w:themeColor="text1"/>
          <w:sz w:val="22"/>
          <w:szCs w:val="28"/>
        </w:rPr>
        <w:t>[</w:t>
      </w:r>
      <w:r w:rsidR="00263C76" w:rsidRPr="00D62235">
        <w:rPr>
          <w:rFonts w:asciiTheme="minorHAnsi" w:hAnsiTheme="minorHAnsi" w:cstheme="minorHAnsi"/>
          <w:color w:val="000000" w:themeColor="text1"/>
          <w:sz w:val="22"/>
          <w:szCs w:val="28"/>
        </w:rPr>
        <w:t>36/E///</w:t>
      </w:r>
      <w:r w:rsidRPr="00D62235">
        <w:rPr>
          <w:rFonts w:asciiTheme="minorHAnsi" w:hAnsiTheme="minorHAnsi" w:cstheme="minorHAnsi"/>
          <w:color w:val="000000" w:themeColor="text1"/>
          <w:sz w:val="22"/>
          <w:szCs w:val="28"/>
        </w:rPr>
        <w:t>]</w:t>
      </w:r>
    </w:p>
    <w:p w14:paraId="753D3C09" w14:textId="79D2BEE7" w:rsidR="0059036D" w:rsidRPr="00EC7D69" w:rsidRDefault="0059036D">
      <w:pPr>
        <w:pStyle w:val="ListParagraph"/>
        <w:numPr>
          <w:ilvl w:val="1"/>
          <w:numId w:val="19"/>
        </w:numPr>
        <w:ind w:leftChars="0"/>
        <w:rPr>
          <w:rFonts w:asciiTheme="minorHAnsi" w:hAnsiTheme="minorHAnsi" w:cstheme="minorHAnsi"/>
          <w:color w:val="000000" w:themeColor="text1"/>
          <w:sz w:val="22"/>
          <w:szCs w:val="28"/>
        </w:rPr>
      </w:pPr>
      <w:r w:rsidRPr="00EC7D69">
        <w:rPr>
          <w:rFonts w:asciiTheme="minorHAnsi" w:hAnsiTheme="minorHAnsi" w:cstheme="minorHAnsi"/>
          <w:color w:val="000000" w:themeColor="text1"/>
          <w:sz w:val="22"/>
          <w:szCs w:val="28"/>
        </w:rPr>
        <w:t>Discussions on congestion control for SL operation in unlicensed spectrum are down-prioritized in Rel-18</w:t>
      </w:r>
    </w:p>
    <w:p w14:paraId="1B6CC65F" w14:textId="77777777" w:rsidR="000279B5" w:rsidRPr="007B0ECF" w:rsidRDefault="000279B5" w:rsidP="00CF5D09">
      <w:pPr>
        <w:rPr>
          <w:color w:val="000000" w:themeColor="text1"/>
          <w:lang w:eastAsia="x-none"/>
        </w:rPr>
      </w:pPr>
    </w:p>
    <w:p w14:paraId="1419B182" w14:textId="77777777" w:rsidR="00BE3A80" w:rsidRDefault="00BE3A80" w:rsidP="00BE3A80">
      <w:pPr>
        <w:pStyle w:val="3GPPH1"/>
        <w:numPr>
          <w:ilvl w:val="0"/>
          <w:numId w:val="0"/>
        </w:numPr>
        <w:ind w:left="432" w:hanging="432"/>
      </w:pPr>
      <w:r>
        <w:t>References</w:t>
      </w:r>
    </w:p>
    <w:p w14:paraId="47763378" w14:textId="2D1BA4EA" w:rsidR="00E875C1" w:rsidRPr="00D72277" w:rsidRDefault="00000000" w:rsidP="00E875C1">
      <w:pPr>
        <w:pStyle w:val="ListParagraph"/>
        <w:numPr>
          <w:ilvl w:val="0"/>
          <w:numId w:val="14"/>
        </w:numPr>
        <w:tabs>
          <w:tab w:val="left" w:pos="1560"/>
        </w:tabs>
        <w:ind w:leftChars="0" w:left="1560" w:hanging="1560"/>
      </w:pPr>
      <w:hyperlink r:id="rId16" w:history="1">
        <w:r w:rsidR="00E875C1" w:rsidRPr="00D72277">
          <w:rPr>
            <w:rStyle w:val="Hyperlink"/>
            <w:rFonts w:ascii="Times New Roman" w:hAnsi="Times New Roman"/>
          </w:rPr>
          <w:t>RP-2219</w:t>
        </w:r>
        <w:r w:rsidR="00187F74">
          <w:rPr>
            <w:rStyle w:val="Hyperlink"/>
            <w:rFonts w:ascii="Times New Roman" w:hAnsi="Times New Roman"/>
          </w:rPr>
          <w:t>3</w:t>
        </w:r>
        <w:r w:rsidR="00E875C1" w:rsidRPr="00D72277">
          <w:rPr>
            <w:rStyle w:val="Hyperlink"/>
            <w:rFonts w:ascii="Times New Roman" w:hAnsi="Times New Roman"/>
          </w:rPr>
          <w:t>8</w:t>
        </w:r>
      </w:hyperlink>
      <w:r w:rsidR="00E875C1" w:rsidRPr="00D72277">
        <w:rPr>
          <w:rFonts w:ascii="Times New Roman" w:hAnsi="Times New Roman"/>
        </w:rPr>
        <w:tab/>
        <w:t>WID revision: NR sidelink evolution</w:t>
      </w:r>
      <w:r w:rsidR="00E875C1" w:rsidRPr="00D72277">
        <w:rPr>
          <w:rFonts w:ascii="Times New Roman" w:hAnsi="Times New Roman"/>
        </w:rPr>
        <w:tab/>
      </w:r>
      <w:r w:rsidR="00E875C1" w:rsidRPr="00D72277">
        <w:rPr>
          <w:rFonts w:ascii="Times New Roman" w:eastAsia="PMingLiU" w:hAnsi="Times New Roman"/>
          <w:lang w:eastAsia="zh-TW"/>
        </w:rPr>
        <w:t>OPPO</w:t>
      </w:r>
    </w:p>
    <w:p w14:paraId="11B00773" w14:textId="7FFFDFEF" w:rsidR="00DB7D48" w:rsidRPr="00DA20DC" w:rsidRDefault="00000000" w:rsidP="00DB7D48">
      <w:pPr>
        <w:pStyle w:val="ListParagraph"/>
        <w:numPr>
          <w:ilvl w:val="0"/>
          <w:numId w:val="14"/>
        </w:numPr>
        <w:tabs>
          <w:tab w:val="left" w:pos="1560"/>
        </w:tabs>
        <w:ind w:leftChars="0"/>
      </w:pPr>
      <w:hyperlink r:id="rId17" w:history="1">
        <w:r w:rsidR="00DB7D48" w:rsidRPr="00DA20DC">
          <w:rPr>
            <w:rStyle w:val="Hyperlink"/>
          </w:rPr>
          <w:t>R1-2208356</w:t>
        </w:r>
      </w:hyperlink>
      <w:r w:rsidR="00DB7D48" w:rsidRPr="00DA20DC">
        <w:tab/>
        <w:t>On Channel Access Mechanism for SL-U</w:t>
      </w:r>
      <w:r w:rsidR="00DB7D48" w:rsidRPr="00DA20DC">
        <w:tab/>
        <w:t>Nokia, Nokia Shanghai Bell</w:t>
      </w:r>
    </w:p>
    <w:p w14:paraId="291A7E60" w14:textId="561FF34B" w:rsidR="00DB7D48" w:rsidRPr="00DA20DC" w:rsidRDefault="00000000" w:rsidP="00DB7D48">
      <w:pPr>
        <w:pStyle w:val="ListParagraph"/>
        <w:numPr>
          <w:ilvl w:val="0"/>
          <w:numId w:val="14"/>
        </w:numPr>
        <w:tabs>
          <w:tab w:val="left" w:pos="1560"/>
        </w:tabs>
        <w:ind w:leftChars="0"/>
      </w:pPr>
      <w:hyperlink r:id="rId18" w:history="1">
        <w:r w:rsidR="00DB7D48" w:rsidRPr="00DA20DC">
          <w:rPr>
            <w:rStyle w:val="Hyperlink"/>
          </w:rPr>
          <w:t>R1-2208370</w:t>
        </w:r>
      </w:hyperlink>
      <w:r w:rsidR="00DB7D48" w:rsidRPr="00DA20DC">
        <w:tab/>
        <w:t>Discussion on channel access mechanism for sidelink on unlicensed spectrum</w:t>
      </w:r>
      <w:r w:rsidR="00DB7D48" w:rsidRPr="00DA20DC">
        <w:tab/>
        <w:t>FUTUREWEI</w:t>
      </w:r>
    </w:p>
    <w:p w14:paraId="786EFA2B" w14:textId="285901C1" w:rsidR="00DB7D48" w:rsidRPr="00DA20DC" w:rsidRDefault="00000000" w:rsidP="00DB7D48">
      <w:pPr>
        <w:pStyle w:val="ListParagraph"/>
        <w:numPr>
          <w:ilvl w:val="0"/>
          <w:numId w:val="14"/>
        </w:numPr>
        <w:tabs>
          <w:tab w:val="left" w:pos="1560"/>
        </w:tabs>
        <w:ind w:leftChars="0"/>
      </w:pPr>
      <w:hyperlink r:id="rId19" w:history="1">
        <w:r w:rsidR="00DB7D48" w:rsidRPr="00DA20DC">
          <w:rPr>
            <w:rStyle w:val="Hyperlink"/>
          </w:rPr>
          <w:t>R1-2208448</w:t>
        </w:r>
      </w:hyperlink>
      <w:r w:rsidR="00DB7D48" w:rsidRPr="00DA20DC">
        <w:tab/>
        <w:t>Channel access mechanism and resource allocation for sidelink operation over unlicensed spectrum</w:t>
      </w:r>
      <w:r w:rsidR="00DB7D48" w:rsidRPr="00DA20DC">
        <w:tab/>
        <w:t>Huawei, HiSilicon</w:t>
      </w:r>
    </w:p>
    <w:p w14:paraId="548046E5" w14:textId="1A2ED15E" w:rsidR="00DB7D48" w:rsidRPr="00DA20DC" w:rsidRDefault="00000000" w:rsidP="00DB7D48">
      <w:pPr>
        <w:pStyle w:val="ListParagraph"/>
        <w:numPr>
          <w:ilvl w:val="0"/>
          <w:numId w:val="14"/>
        </w:numPr>
        <w:tabs>
          <w:tab w:val="left" w:pos="1560"/>
        </w:tabs>
        <w:ind w:leftChars="0"/>
      </w:pPr>
      <w:hyperlink r:id="rId20" w:history="1">
        <w:r w:rsidR="00DB7D48" w:rsidRPr="00DA20DC">
          <w:rPr>
            <w:rStyle w:val="Hyperlink"/>
          </w:rPr>
          <w:t>R1-2208554</w:t>
        </w:r>
      </w:hyperlink>
      <w:r w:rsidR="00DB7D48" w:rsidRPr="00DA20DC">
        <w:tab/>
        <w:t>Discussion on channel access mechanism for sidelink on unlicensed spectrum</w:t>
      </w:r>
      <w:r w:rsidR="00DB7D48" w:rsidRPr="00DA20DC">
        <w:tab/>
        <w:t>Spreadtrum Communications</w:t>
      </w:r>
    </w:p>
    <w:p w14:paraId="582CA205" w14:textId="79AAA8B3" w:rsidR="00DB7D48" w:rsidRPr="00DA20DC" w:rsidRDefault="00000000" w:rsidP="00DB7D48">
      <w:pPr>
        <w:pStyle w:val="ListParagraph"/>
        <w:numPr>
          <w:ilvl w:val="0"/>
          <w:numId w:val="14"/>
        </w:numPr>
        <w:tabs>
          <w:tab w:val="left" w:pos="1560"/>
        </w:tabs>
        <w:ind w:leftChars="0"/>
      </w:pPr>
      <w:hyperlink r:id="rId21" w:history="1">
        <w:r w:rsidR="00DB7D48" w:rsidRPr="00DA20DC">
          <w:rPr>
            <w:rStyle w:val="Hyperlink"/>
          </w:rPr>
          <w:t>R1-2208643</w:t>
        </w:r>
      </w:hyperlink>
      <w:r w:rsidR="00DB7D48" w:rsidRPr="00DA20DC">
        <w:tab/>
        <w:t>Channel access mechanism for sidelink on unlicensed spectrum</w:t>
      </w:r>
      <w:r w:rsidR="00DB7D48" w:rsidRPr="00DA20DC">
        <w:tab/>
        <w:t>vivo</w:t>
      </w:r>
    </w:p>
    <w:p w14:paraId="43508A0F" w14:textId="1430F9F1" w:rsidR="00DB7D48" w:rsidRPr="00DA20DC" w:rsidRDefault="00000000" w:rsidP="00DB7D48">
      <w:pPr>
        <w:pStyle w:val="ListParagraph"/>
        <w:numPr>
          <w:ilvl w:val="0"/>
          <w:numId w:val="14"/>
        </w:numPr>
        <w:tabs>
          <w:tab w:val="left" w:pos="1560"/>
        </w:tabs>
        <w:ind w:leftChars="0"/>
      </w:pPr>
      <w:hyperlink r:id="rId22" w:history="1">
        <w:r w:rsidR="00DB7D48" w:rsidRPr="00DA20DC">
          <w:rPr>
            <w:rStyle w:val="Hyperlink"/>
          </w:rPr>
          <w:t>R1-2208722</w:t>
        </w:r>
      </w:hyperlink>
      <w:r w:rsidR="00DB7D48" w:rsidRPr="00DA20DC">
        <w:tab/>
        <w:t>Discussion on channel access mechanism for SL-U</w:t>
      </w:r>
      <w:r w:rsidR="00DB7D48" w:rsidRPr="00DA20DC">
        <w:tab/>
        <w:t>ZTE, Sanechips</w:t>
      </w:r>
    </w:p>
    <w:p w14:paraId="03CD3F0A" w14:textId="1F4846C8" w:rsidR="00DB7D48" w:rsidRPr="00DA20DC" w:rsidRDefault="00000000" w:rsidP="00DB7D48">
      <w:pPr>
        <w:pStyle w:val="ListParagraph"/>
        <w:numPr>
          <w:ilvl w:val="0"/>
          <w:numId w:val="14"/>
        </w:numPr>
        <w:tabs>
          <w:tab w:val="left" w:pos="1560"/>
        </w:tabs>
        <w:ind w:leftChars="0"/>
      </w:pPr>
      <w:hyperlink r:id="rId23" w:history="1">
        <w:r w:rsidR="00DB7D48" w:rsidRPr="00DA20DC">
          <w:rPr>
            <w:rStyle w:val="Hyperlink"/>
          </w:rPr>
          <w:t>R1-2208822</w:t>
        </w:r>
      </w:hyperlink>
      <w:r w:rsidR="00DB7D48" w:rsidRPr="00DA20DC">
        <w:tab/>
        <w:t>On channel access mechanism and resource allocation for SL-U</w:t>
      </w:r>
      <w:r w:rsidR="00DB7D48" w:rsidRPr="00DA20DC">
        <w:tab/>
        <w:t>OPPO</w:t>
      </w:r>
    </w:p>
    <w:p w14:paraId="73F81116" w14:textId="1C5C96FA" w:rsidR="00DB7D48" w:rsidRPr="00DA20DC" w:rsidRDefault="00000000" w:rsidP="00DB7D48">
      <w:pPr>
        <w:pStyle w:val="ListParagraph"/>
        <w:numPr>
          <w:ilvl w:val="0"/>
          <w:numId w:val="14"/>
        </w:numPr>
        <w:tabs>
          <w:tab w:val="left" w:pos="1560"/>
        </w:tabs>
        <w:ind w:leftChars="0"/>
      </w:pPr>
      <w:hyperlink r:id="rId24" w:history="1">
        <w:r w:rsidR="00DB7D48" w:rsidRPr="00DA20DC">
          <w:rPr>
            <w:rStyle w:val="Hyperlink"/>
          </w:rPr>
          <w:t>R1-2208976</w:t>
        </w:r>
      </w:hyperlink>
      <w:r w:rsidR="00DB7D48" w:rsidRPr="00DA20DC">
        <w:tab/>
        <w:t>Discussion on channel access mechanism for sidelink on unlicensed spectrum</w:t>
      </w:r>
      <w:r w:rsidR="00DB7D48" w:rsidRPr="00DA20DC">
        <w:tab/>
        <w:t>CATT, GOHIGH</w:t>
      </w:r>
    </w:p>
    <w:p w14:paraId="0EB46A83" w14:textId="3B130EDB" w:rsidR="00DB7D48" w:rsidRPr="00DA20DC" w:rsidRDefault="00000000" w:rsidP="00DB7D48">
      <w:pPr>
        <w:pStyle w:val="ListParagraph"/>
        <w:numPr>
          <w:ilvl w:val="0"/>
          <w:numId w:val="14"/>
        </w:numPr>
        <w:tabs>
          <w:tab w:val="left" w:pos="1560"/>
        </w:tabs>
        <w:ind w:leftChars="0"/>
      </w:pPr>
      <w:hyperlink r:id="rId25" w:history="1">
        <w:r w:rsidR="00DB7D48" w:rsidRPr="00DA20DC">
          <w:rPr>
            <w:rStyle w:val="Hyperlink"/>
          </w:rPr>
          <w:t>R1-2209017</w:t>
        </w:r>
      </w:hyperlink>
      <w:r w:rsidR="00DB7D48" w:rsidRPr="00DA20DC">
        <w:tab/>
        <w:t>Discussion on channel access mechanism for SL-U</w:t>
      </w:r>
      <w:r w:rsidR="00DB7D48" w:rsidRPr="00DA20DC">
        <w:tab/>
        <w:t>Fujitsu</w:t>
      </w:r>
    </w:p>
    <w:p w14:paraId="3A66DE42" w14:textId="0CC80E02" w:rsidR="00DB7D48" w:rsidRPr="00DA20DC" w:rsidRDefault="00000000" w:rsidP="00DB7D48">
      <w:pPr>
        <w:pStyle w:val="ListParagraph"/>
        <w:numPr>
          <w:ilvl w:val="0"/>
          <w:numId w:val="14"/>
        </w:numPr>
        <w:tabs>
          <w:tab w:val="left" w:pos="1560"/>
        </w:tabs>
        <w:ind w:leftChars="0"/>
      </w:pPr>
      <w:hyperlink r:id="rId26" w:history="1">
        <w:r w:rsidR="00DB7D48" w:rsidRPr="00DA20DC">
          <w:rPr>
            <w:rStyle w:val="Hyperlink"/>
          </w:rPr>
          <w:t>R1-2209054</w:t>
        </w:r>
      </w:hyperlink>
      <w:r w:rsidR="00DB7D48" w:rsidRPr="00DA20DC">
        <w:tab/>
        <w:t>Channel Access Mechanisms for SL Operating in Unlicensed Spectrum</w:t>
      </w:r>
      <w:r w:rsidR="00DB7D48" w:rsidRPr="00DA20DC">
        <w:tab/>
        <w:t>Intel Corporation</w:t>
      </w:r>
    </w:p>
    <w:p w14:paraId="17696C6F" w14:textId="77F3DCBB" w:rsidR="00DB7D48" w:rsidRPr="00DA20DC" w:rsidRDefault="00000000" w:rsidP="00DB7D48">
      <w:pPr>
        <w:pStyle w:val="ListParagraph"/>
        <w:numPr>
          <w:ilvl w:val="0"/>
          <w:numId w:val="14"/>
        </w:numPr>
        <w:tabs>
          <w:tab w:val="left" w:pos="1560"/>
        </w:tabs>
        <w:ind w:leftChars="0"/>
      </w:pPr>
      <w:hyperlink r:id="rId27" w:history="1">
        <w:r w:rsidR="00DB7D48" w:rsidRPr="00DA20DC">
          <w:rPr>
            <w:rStyle w:val="Hyperlink"/>
          </w:rPr>
          <w:t>R1-2209081</w:t>
        </w:r>
      </w:hyperlink>
      <w:r w:rsidR="00DB7D48" w:rsidRPr="00DA20DC">
        <w:tab/>
        <w:t>Discussion on channel access mechanisms</w:t>
      </w:r>
      <w:r w:rsidR="00DB7D48" w:rsidRPr="00DA20DC">
        <w:tab/>
        <w:t>Johns Hopkins University APL</w:t>
      </w:r>
    </w:p>
    <w:p w14:paraId="4271ABBA" w14:textId="0AEE2147" w:rsidR="00DB7D48" w:rsidRPr="00DA20DC" w:rsidRDefault="00000000" w:rsidP="00DB7D48">
      <w:pPr>
        <w:pStyle w:val="ListParagraph"/>
        <w:numPr>
          <w:ilvl w:val="0"/>
          <w:numId w:val="14"/>
        </w:numPr>
        <w:tabs>
          <w:tab w:val="left" w:pos="1560"/>
        </w:tabs>
        <w:ind w:leftChars="0"/>
      </w:pPr>
      <w:hyperlink r:id="rId28" w:history="1">
        <w:r w:rsidR="00DB7D48" w:rsidRPr="00DA20DC">
          <w:rPr>
            <w:rStyle w:val="Hyperlink"/>
          </w:rPr>
          <w:t>R1-2209101</w:t>
        </w:r>
      </w:hyperlink>
      <w:r w:rsidR="00DB7D48" w:rsidRPr="00DA20DC">
        <w:tab/>
        <w:t>Discussion on channel access mechanism for SL-unlicensed</w:t>
      </w:r>
      <w:r w:rsidR="00DB7D48" w:rsidRPr="00DA20DC">
        <w:tab/>
        <w:t>Sony</w:t>
      </w:r>
    </w:p>
    <w:p w14:paraId="1DD5CA66" w14:textId="4E9C4E31" w:rsidR="00DB7D48" w:rsidRPr="00DA20DC" w:rsidRDefault="00000000" w:rsidP="00DB7D48">
      <w:pPr>
        <w:pStyle w:val="ListParagraph"/>
        <w:numPr>
          <w:ilvl w:val="0"/>
          <w:numId w:val="14"/>
        </w:numPr>
        <w:tabs>
          <w:tab w:val="left" w:pos="1560"/>
        </w:tabs>
        <w:ind w:leftChars="0"/>
      </w:pPr>
      <w:hyperlink r:id="rId29" w:history="1">
        <w:r w:rsidR="00DB7D48" w:rsidRPr="00DA20DC">
          <w:rPr>
            <w:rStyle w:val="Hyperlink"/>
          </w:rPr>
          <w:t>R1-2209148</w:t>
        </w:r>
      </w:hyperlink>
      <w:r w:rsidR="00DB7D48" w:rsidRPr="00DA20DC">
        <w:tab/>
        <w:t>Channel Access of Sidelink on Unlicensed Spetrum</w:t>
      </w:r>
      <w:r w:rsidR="00DB7D48" w:rsidRPr="00DA20DC">
        <w:tab/>
        <w:t>NEC</w:t>
      </w:r>
    </w:p>
    <w:p w14:paraId="2DC27E00" w14:textId="41F1A6C7" w:rsidR="00DB7D48" w:rsidRPr="00DA20DC" w:rsidRDefault="00000000" w:rsidP="00DB7D48">
      <w:pPr>
        <w:pStyle w:val="ListParagraph"/>
        <w:numPr>
          <w:ilvl w:val="0"/>
          <w:numId w:val="14"/>
        </w:numPr>
        <w:tabs>
          <w:tab w:val="left" w:pos="1560"/>
        </w:tabs>
        <w:ind w:leftChars="0"/>
      </w:pPr>
      <w:hyperlink r:id="rId30" w:history="1">
        <w:r w:rsidR="00DB7D48" w:rsidRPr="00DA20DC">
          <w:rPr>
            <w:rStyle w:val="Hyperlink"/>
          </w:rPr>
          <w:t>R1-2209167</w:t>
        </w:r>
      </w:hyperlink>
      <w:r w:rsidR="00DB7D48" w:rsidRPr="00DA20DC">
        <w:tab/>
        <w:t>Discussion of channel access mechanism for sidelink in unlicensed spectrum</w:t>
      </w:r>
      <w:r w:rsidR="00DB7D48" w:rsidRPr="00DA20DC">
        <w:tab/>
        <w:t>Transsion Holdings</w:t>
      </w:r>
    </w:p>
    <w:p w14:paraId="1968A2C4" w14:textId="4E32AB1A" w:rsidR="00DB7D48" w:rsidRPr="00DA20DC" w:rsidRDefault="00000000" w:rsidP="00DB7D48">
      <w:pPr>
        <w:pStyle w:val="ListParagraph"/>
        <w:numPr>
          <w:ilvl w:val="0"/>
          <w:numId w:val="14"/>
        </w:numPr>
        <w:tabs>
          <w:tab w:val="left" w:pos="1560"/>
        </w:tabs>
        <w:ind w:leftChars="0"/>
      </w:pPr>
      <w:hyperlink r:id="rId31" w:history="1">
        <w:r w:rsidR="00DB7D48" w:rsidRPr="00DA20DC">
          <w:rPr>
            <w:rStyle w:val="Hyperlink"/>
          </w:rPr>
          <w:t>R1-2209236</w:t>
        </w:r>
      </w:hyperlink>
      <w:r w:rsidR="00DB7D48" w:rsidRPr="00DA20DC">
        <w:tab/>
        <w:t>Considerations on channel access mechanism of SL-U</w:t>
      </w:r>
      <w:r w:rsidR="00DB7D48" w:rsidRPr="00DA20DC">
        <w:tab/>
        <w:t>CAICT</w:t>
      </w:r>
    </w:p>
    <w:p w14:paraId="5E38E7BB" w14:textId="2B559A51" w:rsidR="00DB7D48" w:rsidRPr="00DA20DC" w:rsidRDefault="00000000" w:rsidP="00DB7D48">
      <w:pPr>
        <w:pStyle w:val="ListParagraph"/>
        <w:numPr>
          <w:ilvl w:val="0"/>
          <w:numId w:val="14"/>
        </w:numPr>
        <w:tabs>
          <w:tab w:val="left" w:pos="1560"/>
        </w:tabs>
        <w:ind w:leftChars="0"/>
      </w:pPr>
      <w:hyperlink r:id="rId32" w:history="1">
        <w:r w:rsidR="00DB7D48" w:rsidRPr="00DA20DC">
          <w:rPr>
            <w:rStyle w:val="Hyperlink"/>
          </w:rPr>
          <w:t>R1-2209286</w:t>
        </w:r>
      </w:hyperlink>
      <w:r w:rsidR="00DB7D48" w:rsidRPr="00DA20DC">
        <w:tab/>
        <w:t>Discussion on channel access mechanism for sidelink-unlicensed</w:t>
      </w:r>
      <w:r w:rsidR="00DB7D48" w:rsidRPr="00DA20DC">
        <w:tab/>
        <w:t>xiaomi</w:t>
      </w:r>
    </w:p>
    <w:p w14:paraId="481EE96B" w14:textId="065A2654" w:rsidR="00DB7D48" w:rsidRPr="00DA20DC" w:rsidRDefault="00000000" w:rsidP="00DB7D48">
      <w:pPr>
        <w:pStyle w:val="ListParagraph"/>
        <w:numPr>
          <w:ilvl w:val="0"/>
          <w:numId w:val="14"/>
        </w:numPr>
        <w:tabs>
          <w:tab w:val="left" w:pos="1560"/>
        </w:tabs>
        <w:ind w:leftChars="0"/>
      </w:pPr>
      <w:hyperlink r:id="rId33" w:history="1">
        <w:r w:rsidR="00DB7D48" w:rsidRPr="00DA20DC">
          <w:rPr>
            <w:rStyle w:val="Hyperlink"/>
          </w:rPr>
          <w:t>R1-2209301</w:t>
        </w:r>
      </w:hyperlink>
      <w:r w:rsidR="00DB7D48" w:rsidRPr="00DA20DC">
        <w:tab/>
        <w:t>Channel access mechanism for sidelink on FR1 unlicensed spectrum</w:t>
      </w:r>
      <w:r w:rsidR="00DB7D48" w:rsidRPr="00DA20DC">
        <w:tab/>
        <w:t>Lenovo</w:t>
      </w:r>
    </w:p>
    <w:p w14:paraId="64ED8AB5" w14:textId="50F8C73E" w:rsidR="00DB7D48" w:rsidRPr="00DA20DC" w:rsidRDefault="00000000" w:rsidP="00DB7D48">
      <w:pPr>
        <w:pStyle w:val="ListParagraph"/>
        <w:numPr>
          <w:ilvl w:val="0"/>
          <w:numId w:val="14"/>
        </w:numPr>
        <w:tabs>
          <w:tab w:val="left" w:pos="1560"/>
        </w:tabs>
        <w:ind w:leftChars="0"/>
      </w:pPr>
      <w:hyperlink r:id="rId34" w:history="1">
        <w:r w:rsidR="00DB7D48" w:rsidRPr="00DA20DC">
          <w:rPr>
            <w:rStyle w:val="Hyperlink"/>
          </w:rPr>
          <w:t>R1-2209338</w:t>
        </w:r>
      </w:hyperlink>
      <w:r w:rsidR="00DB7D48" w:rsidRPr="00DA20DC">
        <w:tab/>
        <w:t>Discussion on channel access mechanism for sidelink on unlicensed spectrum</w:t>
      </w:r>
      <w:r w:rsidR="00DB7D48" w:rsidRPr="00DA20DC">
        <w:tab/>
        <w:t>CMCC</w:t>
      </w:r>
    </w:p>
    <w:p w14:paraId="07EF1D9F" w14:textId="156E8CA0" w:rsidR="00DB7D48" w:rsidRPr="00DA20DC" w:rsidRDefault="00000000" w:rsidP="00DB7D48">
      <w:pPr>
        <w:pStyle w:val="ListParagraph"/>
        <w:numPr>
          <w:ilvl w:val="0"/>
          <w:numId w:val="14"/>
        </w:numPr>
        <w:tabs>
          <w:tab w:val="left" w:pos="1560"/>
        </w:tabs>
        <w:ind w:leftChars="0"/>
      </w:pPr>
      <w:hyperlink r:id="rId35" w:history="1">
        <w:r w:rsidR="00DB7D48" w:rsidRPr="00DA20DC">
          <w:rPr>
            <w:rStyle w:val="Hyperlink"/>
          </w:rPr>
          <w:t>R1-2209404</w:t>
        </w:r>
      </w:hyperlink>
      <w:r w:rsidR="00DB7D48" w:rsidRPr="00DA20DC">
        <w:tab/>
        <w:t>Discussion on channel access mechanism for sidelink on unlicensed spectrum</w:t>
      </w:r>
      <w:r w:rsidR="00DB7D48" w:rsidRPr="00DA20DC">
        <w:tab/>
        <w:t>ETRI</w:t>
      </w:r>
    </w:p>
    <w:p w14:paraId="7B500465" w14:textId="413FF46D" w:rsidR="00DB7D48" w:rsidRPr="00DA20DC" w:rsidRDefault="00000000" w:rsidP="00DB7D48">
      <w:pPr>
        <w:pStyle w:val="ListParagraph"/>
        <w:numPr>
          <w:ilvl w:val="0"/>
          <w:numId w:val="14"/>
        </w:numPr>
        <w:tabs>
          <w:tab w:val="left" w:pos="1560"/>
        </w:tabs>
        <w:ind w:leftChars="0"/>
      </w:pPr>
      <w:hyperlink r:id="rId36" w:history="1">
        <w:r w:rsidR="00DB7D48" w:rsidRPr="00DA20DC">
          <w:rPr>
            <w:rStyle w:val="Hyperlink"/>
          </w:rPr>
          <w:t>R1-2209417</w:t>
        </w:r>
      </w:hyperlink>
      <w:r w:rsidR="00DB7D48" w:rsidRPr="00DA20DC">
        <w:tab/>
        <w:t>NR Sidelink Unlicensed Channel Access Mechanisms</w:t>
      </w:r>
      <w:r w:rsidR="00DB7D48" w:rsidRPr="00DA20DC">
        <w:tab/>
        <w:t>Fraunhofer HHI, Fraunhofer IIS</w:t>
      </w:r>
    </w:p>
    <w:p w14:paraId="47C59A44" w14:textId="50F6880C" w:rsidR="00DB7D48" w:rsidRPr="00DA20DC" w:rsidRDefault="00000000" w:rsidP="00DB7D48">
      <w:pPr>
        <w:pStyle w:val="ListParagraph"/>
        <w:numPr>
          <w:ilvl w:val="0"/>
          <w:numId w:val="14"/>
        </w:numPr>
        <w:tabs>
          <w:tab w:val="left" w:pos="1560"/>
        </w:tabs>
        <w:ind w:leftChars="0"/>
      </w:pPr>
      <w:hyperlink r:id="rId37" w:history="1">
        <w:r w:rsidR="00DB7D48" w:rsidRPr="00DA20DC">
          <w:rPr>
            <w:rStyle w:val="Hyperlink"/>
          </w:rPr>
          <w:t>R1-2209478</w:t>
        </w:r>
      </w:hyperlink>
      <w:r w:rsidR="00DB7D48" w:rsidRPr="00DA20DC">
        <w:tab/>
        <w:t>Discussion on channel access mechanism for sidelink on unlicensed spectrum</w:t>
      </w:r>
      <w:r w:rsidR="00DB7D48" w:rsidRPr="00DA20DC">
        <w:tab/>
        <w:t>LG Electronics</w:t>
      </w:r>
    </w:p>
    <w:p w14:paraId="02BBFB0C" w14:textId="510E678A" w:rsidR="00DB7D48" w:rsidRPr="00DA20DC" w:rsidRDefault="00000000" w:rsidP="00DB7D48">
      <w:pPr>
        <w:pStyle w:val="ListParagraph"/>
        <w:numPr>
          <w:ilvl w:val="0"/>
          <w:numId w:val="14"/>
        </w:numPr>
        <w:tabs>
          <w:tab w:val="left" w:pos="1560"/>
        </w:tabs>
        <w:ind w:leftChars="0"/>
      </w:pPr>
      <w:hyperlink r:id="rId38" w:history="1">
        <w:r w:rsidR="00DB7D48" w:rsidRPr="00DA20DC">
          <w:rPr>
            <w:rStyle w:val="Hyperlink"/>
          </w:rPr>
          <w:t>R1-2209529</w:t>
        </w:r>
      </w:hyperlink>
      <w:r w:rsidR="00DB7D48" w:rsidRPr="00DA20DC">
        <w:tab/>
        <w:t>Discussion on channel access mechanism</w:t>
      </w:r>
      <w:r w:rsidR="00DB7D48" w:rsidRPr="00DA20DC">
        <w:tab/>
        <w:t>MediaTek Inc.</w:t>
      </w:r>
    </w:p>
    <w:p w14:paraId="009AB4C2" w14:textId="26024F4A" w:rsidR="00DB7D48" w:rsidRPr="00DA20DC" w:rsidRDefault="00000000" w:rsidP="00DB7D48">
      <w:pPr>
        <w:pStyle w:val="ListParagraph"/>
        <w:numPr>
          <w:ilvl w:val="0"/>
          <w:numId w:val="14"/>
        </w:numPr>
        <w:tabs>
          <w:tab w:val="left" w:pos="1560"/>
        </w:tabs>
        <w:ind w:leftChars="0"/>
      </w:pPr>
      <w:hyperlink r:id="rId39" w:history="1">
        <w:r w:rsidR="00DB7D48" w:rsidRPr="00DA20DC">
          <w:rPr>
            <w:rStyle w:val="Hyperlink"/>
          </w:rPr>
          <w:t>R1-22</w:t>
        </w:r>
        <w:r w:rsidR="00FC1ECA" w:rsidRPr="00DA20DC">
          <w:rPr>
            <w:rStyle w:val="Hyperlink"/>
          </w:rPr>
          <w:t>10271</w:t>
        </w:r>
      </w:hyperlink>
      <w:r w:rsidR="00DB7D48" w:rsidRPr="00DA20DC">
        <w:tab/>
        <w:t>SL-U Simulation assumption parameters</w:t>
      </w:r>
      <w:r w:rsidR="00DB7D48" w:rsidRPr="00DA20DC">
        <w:tab/>
        <w:t>CableLabs</w:t>
      </w:r>
    </w:p>
    <w:p w14:paraId="4A152F33" w14:textId="08715C8B" w:rsidR="00DB7D48" w:rsidRPr="00DA20DC" w:rsidRDefault="00000000" w:rsidP="00DB7D48">
      <w:pPr>
        <w:pStyle w:val="ListParagraph"/>
        <w:numPr>
          <w:ilvl w:val="0"/>
          <w:numId w:val="14"/>
        </w:numPr>
        <w:tabs>
          <w:tab w:val="left" w:pos="1560"/>
        </w:tabs>
        <w:ind w:leftChars="0"/>
      </w:pPr>
      <w:hyperlink r:id="rId40" w:history="1">
        <w:r w:rsidR="00DB7D48" w:rsidRPr="00DA20DC">
          <w:rPr>
            <w:rStyle w:val="Hyperlink"/>
          </w:rPr>
          <w:t>R1-2209585</w:t>
        </w:r>
      </w:hyperlink>
      <w:r w:rsidR="00DB7D48" w:rsidRPr="00DA20DC">
        <w:tab/>
        <w:t>Channel access mechanism for sidelink on FR1 unlicensed band</w:t>
      </w:r>
      <w:r w:rsidR="00DB7D48" w:rsidRPr="00DA20DC">
        <w:tab/>
        <w:t>Apple</w:t>
      </w:r>
    </w:p>
    <w:p w14:paraId="29C09542" w14:textId="03FEFC80" w:rsidR="00DB7D48" w:rsidRPr="00DA20DC" w:rsidRDefault="00000000" w:rsidP="00DB7D48">
      <w:pPr>
        <w:pStyle w:val="ListParagraph"/>
        <w:numPr>
          <w:ilvl w:val="0"/>
          <w:numId w:val="14"/>
        </w:numPr>
        <w:tabs>
          <w:tab w:val="left" w:pos="1560"/>
        </w:tabs>
        <w:ind w:leftChars="0"/>
      </w:pPr>
      <w:hyperlink r:id="rId41" w:history="1">
        <w:r w:rsidR="00DB7D48" w:rsidRPr="00DA20DC">
          <w:rPr>
            <w:rStyle w:val="Hyperlink"/>
          </w:rPr>
          <w:t>R1-2209646</w:t>
        </w:r>
      </w:hyperlink>
      <w:r w:rsidR="00DB7D48" w:rsidRPr="00DA20DC">
        <w:tab/>
        <w:t>Further Details of Channel Access Mechanism</w:t>
      </w:r>
      <w:r w:rsidR="00DB7D48" w:rsidRPr="00DA20DC">
        <w:tab/>
        <w:t>National Spectrum Consortium</w:t>
      </w:r>
    </w:p>
    <w:p w14:paraId="5C2AD4A0" w14:textId="715B1DD5" w:rsidR="00DB7D48" w:rsidRPr="00DA20DC" w:rsidRDefault="00000000" w:rsidP="00DB7D48">
      <w:pPr>
        <w:pStyle w:val="ListParagraph"/>
        <w:numPr>
          <w:ilvl w:val="0"/>
          <w:numId w:val="14"/>
        </w:numPr>
        <w:tabs>
          <w:tab w:val="left" w:pos="1560"/>
        </w:tabs>
        <w:ind w:leftChars="0"/>
      </w:pPr>
      <w:hyperlink r:id="rId42" w:history="1">
        <w:r w:rsidR="00DB7D48" w:rsidRPr="00DA20DC">
          <w:rPr>
            <w:rStyle w:val="Hyperlink"/>
          </w:rPr>
          <w:t>R1-2209659</w:t>
        </w:r>
      </w:hyperlink>
      <w:r w:rsidR="00DB7D48" w:rsidRPr="00DA20DC">
        <w:tab/>
        <w:t>SL Channel access in unlicensed spectrum</w:t>
      </w:r>
      <w:r w:rsidR="00DB7D48" w:rsidRPr="00DA20DC">
        <w:tab/>
        <w:t>InterDigital, Inc.</w:t>
      </w:r>
    </w:p>
    <w:p w14:paraId="722BDB2F" w14:textId="24536A03" w:rsidR="00DB7D48" w:rsidRPr="00DA20DC" w:rsidRDefault="00000000" w:rsidP="00DB7D48">
      <w:pPr>
        <w:pStyle w:val="ListParagraph"/>
        <w:numPr>
          <w:ilvl w:val="0"/>
          <w:numId w:val="14"/>
        </w:numPr>
        <w:tabs>
          <w:tab w:val="left" w:pos="1560"/>
        </w:tabs>
        <w:ind w:leftChars="0"/>
      </w:pPr>
      <w:hyperlink r:id="rId43" w:history="1">
        <w:r w:rsidR="00DB7D48" w:rsidRPr="00DA20DC">
          <w:rPr>
            <w:rStyle w:val="Hyperlink"/>
          </w:rPr>
          <w:t>R1-2209731</w:t>
        </w:r>
      </w:hyperlink>
      <w:r w:rsidR="00DB7D48" w:rsidRPr="00DA20DC">
        <w:tab/>
        <w:t>On channel access mehanism for sidelink on FR1 unlicensed spectrum</w:t>
      </w:r>
      <w:r w:rsidR="00DB7D48" w:rsidRPr="00DA20DC">
        <w:tab/>
        <w:t>Samsung</w:t>
      </w:r>
    </w:p>
    <w:p w14:paraId="17848AD8" w14:textId="2E3C92C6" w:rsidR="00DB7D48" w:rsidRPr="00DA20DC" w:rsidRDefault="00000000" w:rsidP="00DB7D48">
      <w:pPr>
        <w:pStyle w:val="ListParagraph"/>
        <w:numPr>
          <w:ilvl w:val="0"/>
          <w:numId w:val="14"/>
        </w:numPr>
        <w:tabs>
          <w:tab w:val="left" w:pos="1560"/>
        </w:tabs>
        <w:ind w:leftChars="0"/>
      </w:pPr>
      <w:hyperlink r:id="rId44" w:history="1">
        <w:r w:rsidR="00DB7D48" w:rsidRPr="00DA20DC">
          <w:rPr>
            <w:rStyle w:val="Hyperlink"/>
          </w:rPr>
          <w:t>R1-2209767</w:t>
        </w:r>
      </w:hyperlink>
      <w:r w:rsidR="00DB7D48" w:rsidRPr="00DA20DC">
        <w:tab/>
        <w:t>On Channel Access Mechanism for SL-U</w:t>
      </w:r>
      <w:r w:rsidR="00DB7D48" w:rsidRPr="00DA20DC">
        <w:tab/>
        <w:t>ITL</w:t>
      </w:r>
    </w:p>
    <w:p w14:paraId="52CF422E" w14:textId="421E523E" w:rsidR="00DB7D48" w:rsidRPr="00DA20DC" w:rsidRDefault="00000000" w:rsidP="00DB7D48">
      <w:pPr>
        <w:pStyle w:val="ListParagraph"/>
        <w:numPr>
          <w:ilvl w:val="0"/>
          <w:numId w:val="14"/>
        </w:numPr>
        <w:tabs>
          <w:tab w:val="left" w:pos="1560"/>
        </w:tabs>
        <w:ind w:leftChars="0"/>
      </w:pPr>
      <w:hyperlink r:id="rId45" w:history="1">
        <w:r w:rsidR="00DB7D48" w:rsidRPr="00DA20DC">
          <w:rPr>
            <w:rStyle w:val="Hyperlink"/>
          </w:rPr>
          <w:t>R1-2209775</w:t>
        </w:r>
      </w:hyperlink>
      <w:r w:rsidR="00DB7D48" w:rsidRPr="00DA20DC">
        <w:tab/>
        <w:t>Discussion on Channel access mechanism for NR sidelink evolution</w:t>
      </w:r>
      <w:r w:rsidR="00DB7D48" w:rsidRPr="00DA20DC">
        <w:tab/>
        <w:t>Sharp</w:t>
      </w:r>
    </w:p>
    <w:p w14:paraId="742AC403" w14:textId="71EFF1BA" w:rsidR="00DB7D48" w:rsidRPr="00DA20DC" w:rsidRDefault="00000000" w:rsidP="00DB7D48">
      <w:pPr>
        <w:pStyle w:val="ListParagraph"/>
        <w:numPr>
          <w:ilvl w:val="0"/>
          <w:numId w:val="14"/>
        </w:numPr>
        <w:tabs>
          <w:tab w:val="left" w:pos="1560"/>
        </w:tabs>
        <w:ind w:leftChars="0"/>
      </w:pPr>
      <w:hyperlink r:id="rId46" w:history="1">
        <w:r w:rsidR="00DB7D48" w:rsidRPr="00DA20DC">
          <w:rPr>
            <w:rStyle w:val="Hyperlink"/>
          </w:rPr>
          <w:t>R1-2209780</w:t>
        </w:r>
      </w:hyperlink>
      <w:r w:rsidR="00DB7D48" w:rsidRPr="00DA20DC">
        <w:tab/>
        <w:t>Sidelink channel access on unlicensed spectrum</w:t>
      </w:r>
      <w:r w:rsidR="00DB7D48" w:rsidRPr="00DA20DC">
        <w:tab/>
        <w:t>Panasonic</w:t>
      </w:r>
    </w:p>
    <w:p w14:paraId="27AE971C" w14:textId="02F8652A" w:rsidR="00DB7D48" w:rsidRPr="00DA20DC" w:rsidRDefault="00000000" w:rsidP="00DB7D48">
      <w:pPr>
        <w:pStyle w:val="ListParagraph"/>
        <w:numPr>
          <w:ilvl w:val="0"/>
          <w:numId w:val="14"/>
        </w:numPr>
        <w:tabs>
          <w:tab w:val="left" w:pos="1560"/>
        </w:tabs>
        <w:ind w:leftChars="0"/>
      </w:pPr>
      <w:hyperlink r:id="rId47" w:history="1">
        <w:r w:rsidR="00DB7D48" w:rsidRPr="00DA20DC">
          <w:rPr>
            <w:rStyle w:val="Hyperlink"/>
          </w:rPr>
          <w:t>R1-2209904</w:t>
        </w:r>
      </w:hyperlink>
      <w:r w:rsidR="00DB7D48" w:rsidRPr="00DA20DC">
        <w:tab/>
        <w:t>Discussion on channel access mechanism in SL-U</w:t>
      </w:r>
      <w:r w:rsidR="00DB7D48" w:rsidRPr="00DA20DC">
        <w:tab/>
        <w:t>NTT DOCOMO, INC.</w:t>
      </w:r>
    </w:p>
    <w:p w14:paraId="6FE7D5ED" w14:textId="2B081A91" w:rsidR="00DB7D48" w:rsidRPr="00DA20DC" w:rsidRDefault="00000000" w:rsidP="00DB7D48">
      <w:pPr>
        <w:pStyle w:val="ListParagraph"/>
        <w:numPr>
          <w:ilvl w:val="0"/>
          <w:numId w:val="14"/>
        </w:numPr>
        <w:tabs>
          <w:tab w:val="left" w:pos="1560"/>
        </w:tabs>
        <w:ind w:leftChars="0"/>
      </w:pPr>
      <w:hyperlink r:id="rId48" w:history="1">
        <w:r w:rsidR="00DB7D48" w:rsidRPr="00DA20DC">
          <w:rPr>
            <w:rStyle w:val="Hyperlink"/>
          </w:rPr>
          <w:t>R1-2209985</w:t>
        </w:r>
      </w:hyperlink>
      <w:r w:rsidR="00DB7D48" w:rsidRPr="00DA20DC">
        <w:tab/>
        <w:t>Channel Access Mechanism for Sidelink on Unlicensed Spectrum</w:t>
      </w:r>
      <w:r w:rsidR="00DB7D48" w:rsidRPr="00DA20DC">
        <w:tab/>
        <w:t>Qualcomm Incorporated</w:t>
      </w:r>
    </w:p>
    <w:p w14:paraId="2C06CD40" w14:textId="52524D35" w:rsidR="00DB7D48" w:rsidRPr="00DA20DC" w:rsidRDefault="00000000" w:rsidP="00DB7D48">
      <w:pPr>
        <w:pStyle w:val="ListParagraph"/>
        <w:numPr>
          <w:ilvl w:val="0"/>
          <w:numId w:val="14"/>
        </w:numPr>
        <w:tabs>
          <w:tab w:val="left" w:pos="1560"/>
        </w:tabs>
        <w:ind w:leftChars="0"/>
      </w:pPr>
      <w:hyperlink r:id="rId49" w:history="1">
        <w:r w:rsidR="00DB7D48" w:rsidRPr="00DA20DC">
          <w:rPr>
            <w:rStyle w:val="Hyperlink"/>
          </w:rPr>
          <w:t>R1-2210074</w:t>
        </w:r>
      </w:hyperlink>
      <w:r w:rsidR="00DB7D48" w:rsidRPr="00DA20DC">
        <w:tab/>
        <w:t>Discussion on sidelink on unlicensed spectrum</w:t>
      </w:r>
      <w:r w:rsidR="00DB7D48" w:rsidRPr="00DA20DC">
        <w:tab/>
        <w:t>ASUSTeK</w:t>
      </w:r>
    </w:p>
    <w:p w14:paraId="1BFCD64F" w14:textId="34B0C967" w:rsidR="00DB7D48" w:rsidRPr="00DA20DC" w:rsidRDefault="00000000" w:rsidP="00DB7D48">
      <w:pPr>
        <w:pStyle w:val="ListParagraph"/>
        <w:numPr>
          <w:ilvl w:val="0"/>
          <w:numId w:val="14"/>
        </w:numPr>
        <w:tabs>
          <w:tab w:val="left" w:pos="1560"/>
        </w:tabs>
        <w:ind w:leftChars="0"/>
      </w:pPr>
      <w:hyperlink r:id="rId50" w:history="1">
        <w:r w:rsidR="00DB7D48" w:rsidRPr="00DA20DC">
          <w:rPr>
            <w:rStyle w:val="Hyperlink"/>
          </w:rPr>
          <w:t>R1-2210082</w:t>
        </w:r>
      </w:hyperlink>
      <w:r w:rsidR="00DB7D48" w:rsidRPr="00DA20DC">
        <w:tab/>
        <w:t>Discussions on channel access mechanism for sidelink on unlicensed spectrum</w:t>
      </w:r>
      <w:r w:rsidR="00DB7D48" w:rsidRPr="00DA20DC">
        <w:tab/>
        <w:t>ROBERT BOSCH GmbH</w:t>
      </w:r>
    </w:p>
    <w:p w14:paraId="4DB6682B" w14:textId="57B5AEAC" w:rsidR="00DB7D48" w:rsidRPr="00DA20DC" w:rsidRDefault="00000000" w:rsidP="00DB7D48">
      <w:pPr>
        <w:pStyle w:val="ListParagraph"/>
        <w:numPr>
          <w:ilvl w:val="0"/>
          <w:numId w:val="14"/>
        </w:numPr>
        <w:tabs>
          <w:tab w:val="left" w:pos="1560"/>
        </w:tabs>
        <w:ind w:leftChars="0"/>
      </w:pPr>
      <w:hyperlink r:id="rId51" w:history="1">
        <w:r w:rsidR="00DB7D48" w:rsidRPr="00DA20DC">
          <w:rPr>
            <w:rStyle w:val="Hyperlink"/>
          </w:rPr>
          <w:t>R1-2210132</w:t>
        </w:r>
      </w:hyperlink>
      <w:r w:rsidR="00DB7D48" w:rsidRPr="00DA20DC">
        <w:tab/>
        <w:t>Channel access mechanism for SL-U</w:t>
      </w:r>
      <w:r w:rsidR="00DB7D48" w:rsidRPr="00DA20DC">
        <w:tab/>
        <w:t>Ericsson</w:t>
      </w:r>
    </w:p>
    <w:p w14:paraId="4530FFB7" w14:textId="69181D68" w:rsidR="00E875C1" w:rsidRPr="00D72277" w:rsidRDefault="00000000" w:rsidP="00DB7D48">
      <w:pPr>
        <w:pStyle w:val="ListParagraph"/>
        <w:numPr>
          <w:ilvl w:val="0"/>
          <w:numId w:val="14"/>
        </w:numPr>
        <w:tabs>
          <w:tab w:val="left" w:pos="1560"/>
        </w:tabs>
        <w:ind w:leftChars="0"/>
      </w:pPr>
      <w:hyperlink r:id="rId52" w:history="1">
        <w:r w:rsidR="00DB7D48" w:rsidRPr="00E67819">
          <w:rPr>
            <w:rStyle w:val="Hyperlink"/>
          </w:rPr>
          <w:t>R1-2210139</w:t>
        </w:r>
      </w:hyperlink>
      <w:r w:rsidR="00DB7D48">
        <w:tab/>
        <w:t>Discussion on channel access mechanism for SL on unlicensed spectrum</w:t>
      </w:r>
      <w:r w:rsidR="00DB7D48">
        <w:tab/>
        <w:t>WILUS Inc.</w:t>
      </w:r>
    </w:p>
    <w:p w14:paraId="3D44AFE3" w14:textId="448754AE" w:rsidR="00BA4387" w:rsidRDefault="00BA4387">
      <w:r>
        <w:br w:type="page"/>
      </w:r>
    </w:p>
    <w:p w14:paraId="1DB70BA3" w14:textId="10C663C4" w:rsidR="00FA6950" w:rsidRDefault="00FA6950" w:rsidP="00FA6950">
      <w:pPr>
        <w:pStyle w:val="3GPPH1"/>
      </w:pPr>
      <w:r>
        <w:lastRenderedPageBreak/>
        <w:t>Contact information</w:t>
      </w:r>
    </w:p>
    <w:p w14:paraId="404EE44F" w14:textId="53BF1C27" w:rsidR="00FA6950" w:rsidRDefault="00BA4387" w:rsidP="00FA6950">
      <w:pPr>
        <w:tabs>
          <w:tab w:val="left" w:pos="1560"/>
        </w:tabs>
        <w:rPr>
          <w:rFonts w:asciiTheme="minorHAnsi" w:hAnsiTheme="minorHAnsi" w:cstheme="minorHAnsi"/>
          <w:sz w:val="22"/>
          <w:szCs w:val="28"/>
        </w:rPr>
      </w:pPr>
      <w:r w:rsidRPr="00BA4387">
        <w:rPr>
          <w:rFonts w:asciiTheme="minorHAnsi" w:hAnsiTheme="minorHAnsi" w:cstheme="minorHAnsi"/>
          <w:sz w:val="22"/>
          <w:szCs w:val="28"/>
        </w:rPr>
        <w:t>The contact information below is collected during the last RAN1#109-e meeting. Companies are requested to update this information if required.</w:t>
      </w:r>
    </w:p>
    <w:p w14:paraId="65A7E2CD" w14:textId="74B4BC1E" w:rsidR="00BA4387" w:rsidRDefault="00BA4387" w:rsidP="00FA6950">
      <w:pPr>
        <w:tabs>
          <w:tab w:val="left" w:pos="1560"/>
        </w:tabs>
        <w:rPr>
          <w:rFonts w:asciiTheme="minorHAnsi" w:hAnsiTheme="minorHAnsi" w:cstheme="minorHAnsi"/>
          <w:sz w:val="22"/>
          <w:szCs w:val="28"/>
        </w:rPr>
      </w:pPr>
    </w:p>
    <w:tbl>
      <w:tblPr>
        <w:tblStyle w:val="TableGrid"/>
        <w:tblW w:w="9776" w:type="dxa"/>
        <w:tblLayout w:type="fixed"/>
        <w:tblLook w:val="04A0" w:firstRow="1" w:lastRow="0" w:firstColumn="1" w:lastColumn="0" w:noHBand="0" w:noVBand="1"/>
      </w:tblPr>
      <w:tblGrid>
        <w:gridCol w:w="1980"/>
        <w:gridCol w:w="2693"/>
        <w:gridCol w:w="5103"/>
      </w:tblGrid>
      <w:tr w:rsidR="00BA4387" w14:paraId="351FB088" w14:textId="77777777" w:rsidTr="006B2419">
        <w:tc>
          <w:tcPr>
            <w:tcW w:w="1980" w:type="dxa"/>
          </w:tcPr>
          <w:p w14:paraId="5EA02EB1" w14:textId="77777777" w:rsidR="00BA4387" w:rsidRDefault="00BA4387" w:rsidP="006B2419">
            <w:pPr>
              <w:autoSpaceDE w:val="0"/>
              <w:autoSpaceDN w:val="0"/>
              <w:jc w:val="both"/>
              <w:rPr>
                <w:rFonts w:ascii="Calibri" w:hAnsi="Calibri" w:cs="Calibri"/>
                <w:b/>
                <w:bCs/>
                <w:sz w:val="22"/>
              </w:rPr>
            </w:pPr>
            <w:r>
              <w:rPr>
                <w:rFonts w:ascii="Calibri" w:hAnsi="Calibri" w:cs="Calibri"/>
                <w:b/>
                <w:bCs/>
                <w:sz w:val="22"/>
              </w:rPr>
              <w:t>Company</w:t>
            </w:r>
          </w:p>
        </w:tc>
        <w:tc>
          <w:tcPr>
            <w:tcW w:w="2693" w:type="dxa"/>
          </w:tcPr>
          <w:p w14:paraId="422C13D1" w14:textId="77777777" w:rsidR="00BA4387" w:rsidRDefault="00BA4387" w:rsidP="006B2419">
            <w:pPr>
              <w:autoSpaceDE w:val="0"/>
              <w:autoSpaceDN w:val="0"/>
              <w:jc w:val="both"/>
              <w:rPr>
                <w:rFonts w:ascii="Calibri" w:hAnsi="Calibri" w:cs="Calibri"/>
                <w:b/>
                <w:bCs/>
                <w:sz w:val="22"/>
              </w:rPr>
            </w:pPr>
            <w:r>
              <w:rPr>
                <w:rFonts w:ascii="Calibri" w:hAnsi="Calibri" w:cs="Calibri"/>
                <w:b/>
                <w:bCs/>
                <w:sz w:val="22"/>
              </w:rPr>
              <w:t>Delegate name(s)</w:t>
            </w:r>
          </w:p>
        </w:tc>
        <w:tc>
          <w:tcPr>
            <w:tcW w:w="5103" w:type="dxa"/>
          </w:tcPr>
          <w:p w14:paraId="300118C3" w14:textId="77777777" w:rsidR="00BA4387" w:rsidRDefault="00BA4387" w:rsidP="006B2419">
            <w:pPr>
              <w:autoSpaceDE w:val="0"/>
              <w:autoSpaceDN w:val="0"/>
              <w:jc w:val="both"/>
              <w:rPr>
                <w:rFonts w:ascii="Calibri" w:hAnsi="Calibri" w:cs="Calibri"/>
                <w:b/>
                <w:bCs/>
                <w:sz w:val="22"/>
              </w:rPr>
            </w:pPr>
            <w:r>
              <w:rPr>
                <w:rFonts w:ascii="Calibri" w:hAnsi="Calibri" w:cs="Calibri"/>
                <w:b/>
                <w:bCs/>
                <w:sz w:val="22"/>
              </w:rPr>
              <w:t>Email address(es)</w:t>
            </w:r>
          </w:p>
        </w:tc>
      </w:tr>
      <w:tr w:rsidR="00BA4387" w14:paraId="3D4F2CF9" w14:textId="77777777" w:rsidTr="006B2419">
        <w:tc>
          <w:tcPr>
            <w:tcW w:w="1980" w:type="dxa"/>
          </w:tcPr>
          <w:p w14:paraId="1BC41405" w14:textId="77777777" w:rsidR="00BA4387" w:rsidRDefault="00BA4387" w:rsidP="006B2419">
            <w:pPr>
              <w:autoSpaceDE w:val="0"/>
              <w:autoSpaceDN w:val="0"/>
              <w:jc w:val="both"/>
              <w:rPr>
                <w:rFonts w:ascii="Calibri" w:hAnsi="Calibri" w:cs="Calibri"/>
                <w:sz w:val="22"/>
              </w:rPr>
            </w:pPr>
            <w:r>
              <w:rPr>
                <w:rFonts w:ascii="Calibri" w:hAnsi="Calibri" w:cs="Calibri"/>
                <w:sz w:val="22"/>
              </w:rPr>
              <w:t xml:space="preserve">InterDigital </w:t>
            </w:r>
          </w:p>
        </w:tc>
        <w:tc>
          <w:tcPr>
            <w:tcW w:w="2693" w:type="dxa"/>
          </w:tcPr>
          <w:p w14:paraId="4C40C9A6" w14:textId="77777777" w:rsidR="00BA4387" w:rsidRDefault="00BA4387" w:rsidP="006B2419">
            <w:pPr>
              <w:autoSpaceDE w:val="0"/>
              <w:autoSpaceDN w:val="0"/>
              <w:jc w:val="both"/>
              <w:rPr>
                <w:rFonts w:ascii="Calibri" w:hAnsi="Calibri" w:cs="Calibri"/>
                <w:sz w:val="22"/>
              </w:rPr>
            </w:pPr>
            <w:r>
              <w:rPr>
                <w:rFonts w:ascii="Calibri" w:hAnsi="Calibri" w:cs="Calibri"/>
                <w:sz w:val="22"/>
              </w:rPr>
              <w:t>Aata El Hamss</w:t>
            </w:r>
          </w:p>
        </w:tc>
        <w:tc>
          <w:tcPr>
            <w:tcW w:w="5103" w:type="dxa"/>
          </w:tcPr>
          <w:p w14:paraId="6C84CA3B" w14:textId="77777777" w:rsidR="00BA4387" w:rsidRDefault="00BA4387" w:rsidP="006B2419">
            <w:pPr>
              <w:autoSpaceDE w:val="0"/>
              <w:autoSpaceDN w:val="0"/>
              <w:jc w:val="both"/>
              <w:rPr>
                <w:rFonts w:ascii="Calibri" w:hAnsi="Calibri" w:cs="Calibri"/>
                <w:sz w:val="22"/>
              </w:rPr>
            </w:pPr>
            <w:r>
              <w:rPr>
                <w:rFonts w:ascii="Calibri" w:hAnsi="Calibri" w:cs="Calibri"/>
                <w:sz w:val="22"/>
              </w:rPr>
              <w:t>aata.elhamss@interdigital.com</w:t>
            </w:r>
          </w:p>
        </w:tc>
      </w:tr>
      <w:tr w:rsidR="00BA4387" w14:paraId="027D64D2" w14:textId="77777777" w:rsidTr="006B2419">
        <w:tc>
          <w:tcPr>
            <w:tcW w:w="1980" w:type="dxa"/>
          </w:tcPr>
          <w:p w14:paraId="217D29E5" w14:textId="77777777" w:rsidR="00BA4387" w:rsidRDefault="00BA4387" w:rsidP="006B2419">
            <w:pPr>
              <w:autoSpaceDE w:val="0"/>
              <w:autoSpaceDN w:val="0"/>
              <w:jc w:val="both"/>
              <w:rPr>
                <w:rFonts w:ascii="Calibri" w:hAnsi="Calibri" w:cs="Calibri"/>
                <w:sz w:val="22"/>
              </w:rPr>
            </w:pPr>
            <w:r>
              <w:rPr>
                <w:rFonts w:ascii="Calibri" w:hAnsi="Calibri" w:cs="Calibri"/>
                <w:sz w:val="22"/>
              </w:rPr>
              <w:t>Intel</w:t>
            </w:r>
          </w:p>
        </w:tc>
        <w:tc>
          <w:tcPr>
            <w:tcW w:w="2693" w:type="dxa"/>
          </w:tcPr>
          <w:p w14:paraId="59BCFD13" w14:textId="77777777" w:rsidR="00BA4387" w:rsidRDefault="00BA4387" w:rsidP="006B2419">
            <w:pPr>
              <w:autoSpaceDE w:val="0"/>
              <w:autoSpaceDN w:val="0"/>
              <w:jc w:val="both"/>
              <w:rPr>
                <w:rFonts w:ascii="Calibri" w:hAnsi="Calibri" w:cs="Calibri"/>
                <w:sz w:val="22"/>
              </w:rPr>
            </w:pPr>
            <w:r>
              <w:rPr>
                <w:rFonts w:ascii="Calibri" w:hAnsi="Calibri" w:cs="Calibri"/>
                <w:sz w:val="22"/>
              </w:rPr>
              <w:t>Salvatore Talarico</w:t>
            </w:r>
          </w:p>
        </w:tc>
        <w:tc>
          <w:tcPr>
            <w:tcW w:w="5103" w:type="dxa"/>
          </w:tcPr>
          <w:p w14:paraId="4245954C" w14:textId="77777777" w:rsidR="00BA4387" w:rsidRDefault="00BA4387" w:rsidP="006B2419">
            <w:pPr>
              <w:autoSpaceDE w:val="0"/>
              <w:autoSpaceDN w:val="0"/>
              <w:jc w:val="both"/>
              <w:rPr>
                <w:rFonts w:ascii="Calibri" w:hAnsi="Calibri" w:cs="Calibri"/>
                <w:sz w:val="22"/>
              </w:rPr>
            </w:pPr>
            <w:r>
              <w:rPr>
                <w:rFonts w:ascii="Calibri" w:hAnsi="Calibri" w:cs="Calibri"/>
                <w:sz w:val="22"/>
              </w:rPr>
              <w:t>salvatore.talarico@intel.com</w:t>
            </w:r>
          </w:p>
        </w:tc>
      </w:tr>
      <w:tr w:rsidR="00BA4387" w14:paraId="4EF5ACDB" w14:textId="77777777" w:rsidTr="006B2419">
        <w:tc>
          <w:tcPr>
            <w:tcW w:w="1980" w:type="dxa"/>
          </w:tcPr>
          <w:p w14:paraId="1F918875" w14:textId="77777777" w:rsidR="00BA4387" w:rsidRDefault="00BA4387" w:rsidP="006B2419">
            <w:pPr>
              <w:autoSpaceDE w:val="0"/>
              <w:autoSpaceDN w:val="0"/>
              <w:jc w:val="both"/>
              <w:rPr>
                <w:rFonts w:ascii="Calibri" w:hAnsi="Calibri" w:cs="Calibri"/>
                <w:sz w:val="22"/>
              </w:rPr>
            </w:pPr>
            <w:r>
              <w:rPr>
                <w:rFonts w:ascii="Calibri" w:hAnsi="Calibri" w:cs="Calibri" w:hint="eastAsia"/>
                <w:sz w:val="22"/>
                <w:lang w:eastAsia="ko-KR"/>
              </w:rPr>
              <w:t>L</w:t>
            </w:r>
            <w:r>
              <w:rPr>
                <w:rFonts w:ascii="Calibri" w:hAnsi="Calibri" w:cs="Calibri"/>
                <w:sz w:val="22"/>
                <w:lang w:eastAsia="ko-KR"/>
              </w:rPr>
              <w:t>G Electronics</w:t>
            </w:r>
          </w:p>
        </w:tc>
        <w:tc>
          <w:tcPr>
            <w:tcW w:w="2693" w:type="dxa"/>
          </w:tcPr>
          <w:p w14:paraId="2D2CC4E1" w14:textId="77777777" w:rsidR="00BA4387" w:rsidRDefault="00BA4387" w:rsidP="006B2419">
            <w:pPr>
              <w:autoSpaceDE w:val="0"/>
              <w:autoSpaceDN w:val="0"/>
              <w:jc w:val="both"/>
              <w:rPr>
                <w:rFonts w:ascii="Calibri" w:hAnsi="Calibri" w:cs="Calibri"/>
                <w:sz w:val="22"/>
                <w:lang w:eastAsia="ko-KR"/>
              </w:rPr>
            </w:pPr>
            <w:r>
              <w:rPr>
                <w:rFonts w:ascii="Calibri" w:hAnsi="Calibri" w:cs="Calibri" w:hint="eastAsia"/>
                <w:sz w:val="22"/>
                <w:lang w:eastAsia="ko-KR"/>
              </w:rPr>
              <w:t>Daesung Hwang</w:t>
            </w:r>
          </w:p>
          <w:p w14:paraId="2989A416" w14:textId="77777777" w:rsidR="00BA4387" w:rsidRDefault="00BA4387" w:rsidP="006B2419">
            <w:pPr>
              <w:autoSpaceDE w:val="0"/>
              <w:autoSpaceDN w:val="0"/>
              <w:jc w:val="both"/>
              <w:rPr>
                <w:rFonts w:ascii="Calibri" w:hAnsi="Calibri" w:cs="Calibri"/>
                <w:sz w:val="22"/>
              </w:rPr>
            </w:pPr>
            <w:r>
              <w:rPr>
                <w:rFonts w:ascii="Calibri" w:hAnsi="Calibri" w:cs="Calibri"/>
                <w:sz w:val="22"/>
                <w:lang w:eastAsia="ko-KR"/>
              </w:rPr>
              <w:t>Seungmin Lee</w:t>
            </w:r>
          </w:p>
        </w:tc>
        <w:tc>
          <w:tcPr>
            <w:tcW w:w="5103" w:type="dxa"/>
          </w:tcPr>
          <w:p w14:paraId="2068AA40" w14:textId="77777777" w:rsidR="00BA4387" w:rsidRDefault="00BA4387" w:rsidP="006B2419">
            <w:pPr>
              <w:autoSpaceDE w:val="0"/>
              <w:autoSpaceDN w:val="0"/>
              <w:jc w:val="both"/>
              <w:rPr>
                <w:rFonts w:ascii="Calibri" w:hAnsi="Calibri" w:cs="Calibri"/>
                <w:sz w:val="22"/>
                <w:lang w:eastAsia="ko-KR"/>
              </w:rPr>
            </w:pPr>
            <w:r>
              <w:rPr>
                <w:rFonts w:ascii="Calibri" w:hAnsi="Calibri" w:cs="Calibri"/>
                <w:sz w:val="22"/>
                <w:lang w:eastAsia="ko-KR"/>
              </w:rPr>
              <w:t>d</w:t>
            </w:r>
            <w:r>
              <w:rPr>
                <w:rFonts w:ascii="Calibri" w:hAnsi="Calibri" w:cs="Calibri" w:hint="eastAsia"/>
                <w:sz w:val="22"/>
                <w:lang w:eastAsia="ko-KR"/>
              </w:rPr>
              <w:t>aesung.</w:t>
            </w:r>
            <w:r>
              <w:rPr>
                <w:rFonts w:ascii="Calibri" w:hAnsi="Calibri" w:cs="Calibri"/>
                <w:sz w:val="22"/>
                <w:lang w:eastAsia="ko-KR"/>
              </w:rPr>
              <w:t>hwang@lge.com</w:t>
            </w:r>
          </w:p>
          <w:p w14:paraId="6A580CF3" w14:textId="77777777" w:rsidR="00BA4387" w:rsidRDefault="00BA4387" w:rsidP="006B2419">
            <w:pPr>
              <w:autoSpaceDE w:val="0"/>
              <w:autoSpaceDN w:val="0"/>
              <w:jc w:val="both"/>
              <w:rPr>
                <w:rFonts w:ascii="Calibri" w:hAnsi="Calibri" w:cs="Calibri"/>
                <w:sz w:val="22"/>
                <w:lang w:eastAsia="ko-KR"/>
              </w:rPr>
            </w:pPr>
            <w:r>
              <w:rPr>
                <w:rFonts w:ascii="Calibri" w:hAnsi="Calibri" w:cs="Calibri" w:hint="eastAsia"/>
                <w:sz w:val="22"/>
                <w:lang w:eastAsia="ko-KR"/>
              </w:rPr>
              <w:t>edison.</w:t>
            </w:r>
            <w:r>
              <w:rPr>
                <w:rFonts w:ascii="Calibri" w:hAnsi="Calibri" w:cs="Calibri"/>
                <w:sz w:val="22"/>
                <w:lang w:eastAsia="ko-KR"/>
              </w:rPr>
              <w:t>lee@lge.com</w:t>
            </w:r>
          </w:p>
        </w:tc>
      </w:tr>
      <w:tr w:rsidR="00BA4387" w14:paraId="23D27937" w14:textId="77777777" w:rsidTr="006B2419">
        <w:tc>
          <w:tcPr>
            <w:tcW w:w="1980" w:type="dxa"/>
          </w:tcPr>
          <w:p w14:paraId="41F51A96" w14:textId="77777777" w:rsidR="00BA4387" w:rsidRDefault="00BA4387" w:rsidP="006B2419">
            <w:pPr>
              <w:autoSpaceDE w:val="0"/>
              <w:autoSpaceDN w:val="0"/>
              <w:jc w:val="both"/>
              <w:rPr>
                <w:rFonts w:ascii="Calibri" w:hAnsi="Calibri" w:cs="Calibri"/>
                <w:sz w:val="22"/>
              </w:rPr>
            </w:pPr>
            <w:r>
              <w:rPr>
                <w:rFonts w:ascii="Calibri" w:eastAsiaTheme="minorEastAsia" w:hAnsi="Calibri" w:cs="Calibri" w:hint="eastAsia"/>
                <w:sz w:val="22"/>
                <w:lang w:eastAsia="zh-CN"/>
              </w:rPr>
              <w:t>O</w:t>
            </w:r>
            <w:r>
              <w:rPr>
                <w:rFonts w:ascii="Calibri" w:eastAsiaTheme="minorEastAsia" w:hAnsi="Calibri" w:cs="Calibri"/>
                <w:sz w:val="22"/>
                <w:lang w:eastAsia="zh-CN"/>
              </w:rPr>
              <w:t>PPO</w:t>
            </w:r>
          </w:p>
        </w:tc>
        <w:tc>
          <w:tcPr>
            <w:tcW w:w="2693" w:type="dxa"/>
          </w:tcPr>
          <w:p w14:paraId="7309BBD7" w14:textId="77777777" w:rsidR="00BA4387" w:rsidRDefault="00BA4387" w:rsidP="006B2419">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K</w:t>
            </w:r>
            <w:r>
              <w:rPr>
                <w:rFonts w:ascii="Calibri" w:eastAsiaTheme="minorEastAsia" w:hAnsi="Calibri" w:cs="Calibri"/>
                <w:sz w:val="22"/>
                <w:lang w:eastAsia="zh-CN"/>
              </w:rPr>
              <w:t>evin Lin</w:t>
            </w:r>
          </w:p>
          <w:p w14:paraId="57780EA8" w14:textId="77777777" w:rsidR="00BA4387" w:rsidRDefault="00BA4387" w:rsidP="006B2419">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Z</w:t>
            </w:r>
            <w:r>
              <w:rPr>
                <w:rFonts w:ascii="Calibri" w:eastAsiaTheme="minorEastAsia" w:hAnsi="Calibri" w:cs="Calibri"/>
                <w:sz w:val="22"/>
                <w:lang w:eastAsia="zh-CN"/>
              </w:rPr>
              <w:t>henshan ZHAO</w:t>
            </w:r>
          </w:p>
        </w:tc>
        <w:tc>
          <w:tcPr>
            <w:tcW w:w="5103" w:type="dxa"/>
          </w:tcPr>
          <w:p w14:paraId="33D71E12" w14:textId="77777777" w:rsidR="00BA4387" w:rsidRDefault="00000000" w:rsidP="006B2419">
            <w:pPr>
              <w:autoSpaceDE w:val="0"/>
              <w:autoSpaceDN w:val="0"/>
              <w:jc w:val="both"/>
              <w:rPr>
                <w:rFonts w:ascii="Calibri" w:eastAsiaTheme="minorEastAsia" w:hAnsi="Calibri" w:cs="Calibri"/>
                <w:sz w:val="22"/>
                <w:lang w:eastAsia="zh-CN"/>
              </w:rPr>
            </w:pPr>
            <w:hyperlink r:id="rId53" w:history="1">
              <w:r w:rsidR="00BA4387">
                <w:rPr>
                  <w:rStyle w:val="Hyperlink"/>
                  <w:rFonts w:ascii="Calibri" w:eastAsiaTheme="minorEastAsia" w:hAnsi="Calibri" w:cs="Calibri"/>
                  <w:sz w:val="22"/>
                  <w:lang w:eastAsia="zh-CN"/>
                </w:rPr>
                <w:t>Kevin.lin@oppo.com</w:t>
              </w:r>
            </w:hyperlink>
          </w:p>
          <w:p w14:paraId="5EA9669D" w14:textId="77777777" w:rsidR="00BA4387" w:rsidRDefault="00000000" w:rsidP="006B2419">
            <w:pPr>
              <w:autoSpaceDE w:val="0"/>
              <w:autoSpaceDN w:val="0"/>
              <w:jc w:val="both"/>
              <w:rPr>
                <w:rFonts w:ascii="Calibri" w:hAnsi="Calibri" w:cs="Calibri"/>
                <w:sz w:val="22"/>
              </w:rPr>
            </w:pPr>
            <w:hyperlink r:id="rId54" w:history="1">
              <w:r w:rsidR="00BA4387">
                <w:rPr>
                  <w:rStyle w:val="Hyperlink"/>
                  <w:rFonts w:ascii="Calibri" w:eastAsiaTheme="minorEastAsia" w:hAnsi="Calibri" w:cs="Calibri" w:hint="eastAsia"/>
                  <w:sz w:val="22"/>
                  <w:lang w:eastAsia="zh-CN"/>
                </w:rPr>
                <w:t>z</w:t>
              </w:r>
              <w:r w:rsidR="00BA4387">
                <w:rPr>
                  <w:rStyle w:val="Hyperlink"/>
                  <w:rFonts w:ascii="Calibri" w:eastAsiaTheme="minorEastAsia" w:hAnsi="Calibri" w:cs="Calibri"/>
                  <w:sz w:val="22"/>
                  <w:lang w:eastAsia="zh-CN"/>
                </w:rPr>
                <w:t>haozhenshan@oppo.com</w:t>
              </w:r>
            </w:hyperlink>
          </w:p>
        </w:tc>
      </w:tr>
      <w:tr w:rsidR="00BA4387" w14:paraId="68710C7E" w14:textId="77777777" w:rsidTr="006B2419">
        <w:tc>
          <w:tcPr>
            <w:tcW w:w="1980" w:type="dxa"/>
          </w:tcPr>
          <w:p w14:paraId="5C810733" w14:textId="77777777" w:rsidR="00BA4387" w:rsidRDefault="00BA4387" w:rsidP="006B2419">
            <w:pPr>
              <w:autoSpaceDE w:val="0"/>
              <w:autoSpaceDN w:val="0"/>
              <w:jc w:val="both"/>
              <w:rPr>
                <w:rFonts w:ascii="Calibri" w:eastAsiaTheme="minorEastAsia" w:hAnsi="Calibri" w:cs="Calibri"/>
                <w:sz w:val="22"/>
                <w:lang w:eastAsia="zh-CN"/>
              </w:rPr>
            </w:pPr>
            <w:r>
              <w:rPr>
                <w:rFonts w:ascii="Calibri" w:hAnsi="Calibri" w:cs="Calibri"/>
                <w:sz w:val="22"/>
              </w:rPr>
              <w:t>Futurewei</w:t>
            </w:r>
          </w:p>
        </w:tc>
        <w:tc>
          <w:tcPr>
            <w:tcW w:w="2693" w:type="dxa"/>
          </w:tcPr>
          <w:p w14:paraId="5CFE0FA9" w14:textId="77777777" w:rsidR="00BA4387" w:rsidRDefault="00BA4387" w:rsidP="006B2419">
            <w:pPr>
              <w:autoSpaceDE w:val="0"/>
              <w:autoSpaceDN w:val="0"/>
              <w:jc w:val="both"/>
              <w:rPr>
                <w:rFonts w:ascii="Calibri" w:eastAsiaTheme="minorEastAsia" w:hAnsi="Calibri" w:cs="Calibri"/>
                <w:sz w:val="22"/>
                <w:lang w:eastAsia="zh-CN"/>
              </w:rPr>
            </w:pPr>
            <w:r>
              <w:rPr>
                <w:rFonts w:ascii="Calibri" w:hAnsi="Calibri" w:cs="Calibri"/>
                <w:sz w:val="22"/>
              </w:rPr>
              <w:t>Guosen Yue</w:t>
            </w:r>
          </w:p>
        </w:tc>
        <w:tc>
          <w:tcPr>
            <w:tcW w:w="5103" w:type="dxa"/>
          </w:tcPr>
          <w:p w14:paraId="19ABA1F6" w14:textId="77777777" w:rsidR="00BA4387" w:rsidRDefault="00BA4387" w:rsidP="006B2419">
            <w:pPr>
              <w:autoSpaceDE w:val="0"/>
              <w:autoSpaceDN w:val="0"/>
              <w:jc w:val="both"/>
              <w:rPr>
                <w:rFonts w:ascii="Calibri" w:eastAsiaTheme="minorEastAsia" w:hAnsi="Calibri" w:cs="Calibri"/>
                <w:sz w:val="22"/>
                <w:lang w:eastAsia="zh-CN"/>
              </w:rPr>
            </w:pPr>
            <w:r>
              <w:rPr>
                <w:rFonts w:ascii="Calibri" w:hAnsi="Calibri" w:cs="Calibri"/>
                <w:sz w:val="22"/>
              </w:rPr>
              <w:t>gyue@futurewei.com</w:t>
            </w:r>
          </w:p>
        </w:tc>
      </w:tr>
      <w:tr w:rsidR="00BA4387" w14:paraId="63DF6B05" w14:textId="77777777" w:rsidTr="006B2419">
        <w:tc>
          <w:tcPr>
            <w:tcW w:w="1980" w:type="dxa"/>
          </w:tcPr>
          <w:p w14:paraId="53F92B78" w14:textId="77777777" w:rsidR="00BA4387" w:rsidRDefault="00BA4387" w:rsidP="006B2419">
            <w:pPr>
              <w:autoSpaceDE w:val="0"/>
              <w:autoSpaceDN w:val="0"/>
              <w:jc w:val="both"/>
              <w:rPr>
                <w:rFonts w:ascii="Calibri" w:hAnsi="Calibri" w:cs="Calibri"/>
                <w:sz w:val="22"/>
              </w:rPr>
            </w:pPr>
            <w:r>
              <w:rPr>
                <w:rFonts w:ascii="Calibri" w:hAnsi="Calibri" w:cs="Calibri"/>
                <w:sz w:val="22"/>
              </w:rPr>
              <w:t>Qualcomm</w:t>
            </w:r>
          </w:p>
        </w:tc>
        <w:tc>
          <w:tcPr>
            <w:tcW w:w="2693" w:type="dxa"/>
          </w:tcPr>
          <w:p w14:paraId="19057170" w14:textId="77777777" w:rsidR="00BA4387" w:rsidRDefault="00BA4387" w:rsidP="006B2419">
            <w:pPr>
              <w:autoSpaceDE w:val="0"/>
              <w:autoSpaceDN w:val="0"/>
              <w:jc w:val="both"/>
              <w:rPr>
                <w:rFonts w:ascii="Calibri" w:hAnsi="Calibri" w:cs="Calibri"/>
                <w:sz w:val="22"/>
              </w:rPr>
            </w:pPr>
            <w:r>
              <w:rPr>
                <w:rFonts w:ascii="Calibri" w:hAnsi="Calibri" w:cs="Calibri"/>
                <w:sz w:val="22"/>
              </w:rPr>
              <w:t>Giovanni Chisci</w:t>
            </w:r>
          </w:p>
          <w:p w14:paraId="00DD9D2C" w14:textId="77777777" w:rsidR="00BA4387" w:rsidRDefault="00BA4387" w:rsidP="006B2419">
            <w:pPr>
              <w:autoSpaceDE w:val="0"/>
              <w:autoSpaceDN w:val="0"/>
              <w:jc w:val="both"/>
              <w:rPr>
                <w:rFonts w:ascii="Calibri" w:hAnsi="Calibri" w:cs="Calibri"/>
                <w:sz w:val="22"/>
              </w:rPr>
            </w:pPr>
            <w:r>
              <w:rPr>
                <w:rFonts w:ascii="Calibri" w:hAnsi="Calibri" w:cs="Calibri"/>
                <w:sz w:val="22"/>
              </w:rPr>
              <w:t>Stelios Stefanatos</w:t>
            </w:r>
          </w:p>
        </w:tc>
        <w:tc>
          <w:tcPr>
            <w:tcW w:w="5103" w:type="dxa"/>
          </w:tcPr>
          <w:p w14:paraId="50E35F66" w14:textId="77777777" w:rsidR="00BA4387" w:rsidRDefault="00000000" w:rsidP="006B2419">
            <w:pPr>
              <w:autoSpaceDE w:val="0"/>
              <w:autoSpaceDN w:val="0"/>
              <w:jc w:val="both"/>
              <w:rPr>
                <w:rFonts w:ascii="Calibri" w:hAnsi="Calibri" w:cs="Calibri"/>
                <w:sz w:val="22"/>
              </w:rPr>
            </w:pPr>
            <w:hyperlink r:id="rId55" w:history="1">
              <w:r w:rsidR="00BA4387">
                <w:rPr>
                  <w:rStyle w:val="Hyperlink"/>
                  <w:rFonts w:ascii="Calibri" w:hAnsi="Calibri" w:cs="Calibri"/>
                  <w:sz w:val="22"/>
                </w:rPr>
                <w:t>gchisci@qti.qualcomm.com</w:t>
              </w:r>
            </w:hyperlink>
          </w:p>
          <w:p w14:paraId="3DCFB1A9" w14:textId="77777777" w:rsidR="00BA4387" w:rsidRDefault="00000000" w:rsidP="006B2419">
            <w:pPr>
              <w:autoSpaceDE w:val="0"/>
              <w:autoSpaceDN w:val="0"/>
              <w:jc w:val="both"/>
              <w:rPr>
                <w:rFonts w:ascii="Calibri" w:hAnsi="Calibri" w:cs="Calibri"/>
                <w:sz w:val="22"/>
              </w:rPr>
            </w:pPr>
            <w:hyperlink r:id="rId56" w:history="1">
              <w:r w:rsidR="00BA4387">
                <w:rPr>
                  <w:rStyle w:val="Hyperlink"/>
                  <w:rFonts w:ascii="Calibri" w:hAnsi="Calibri" w:cs="Calibri"/>
                  <w:sz w:val="22"/>
                </w:rPr>
                <w:t>sstefana@qti.qualcomm.com</w:t>
              </w:r>
            </w:hyperlink>
          </w:p>
        </w:tc>
      </w:tr>
      <w:tr w:rsidR="00BA4387" w14:paraId="57EA75C6" w14:textId="77777777" w:rsidTr="006B2419">
        <w:tc>
          <w:tcPr>
            <w:tcW w:w="1980" w:type="dxa"/>
          </w:tcPr>
          <w:p w14:paraId="0D199BBA" w14:textId="77777777" w:rsidR="00BA4387" w:rsidRDefault="00BA4387" w:rsidP="006B2419">
            <w:pPr>
              <w:autoSpaceDE w:val="0"/>
              <w:autoSpaceDN w:val="0"/>
              <w:jc w:val="both"/>
              <w:rPr>
                <w:rFonts w:ascii="Calibri" w:eastAsia="MS Mincho" w:hAnsi="Calibri" w:cs="Calibri"/>
                <w:sz w:val="22"/>
                <w:lang w:eastAsia="ja-JP"/>
              </w:rPr>
            </w:pPr>
            <w:r>
              <w:rPr>
                <w:rFonts w:ascii="Calibri" w:eastAsia="MS Mincho" w:hAnsi="Calibri" w:cs="Calibri" w:hint="eastAsia"/>
                <w:sz w:val="22"/>
                <w:lang w:eastAsia="ja-JP"/>
              </w:rPr>
              <w:t>P</w:t>
            </w:r>
            <w:r>
              <w:rPr>
                <w:rFonts w:ascii="Calibri" w:eastAsia="MS Mincho" w:hAnsi="Calibri" w:cs="Calibri"/>
                <w:sz w:val="22"/>
                <w:lang w:eastAsia="ja-JP"/>
              </w:rPr>
              <w:t>anasonic</w:t>
            </w:r>
          </w:p>
        </w:tc>
        <w:tc>
          <w:tcPr>
            <w:tcW w:w="2693" w:type="dxa"/>
          </w:tcPr>
          <w:p w14:paraId="2A77DA2E" w14:textId="77777777" w:rsidR="00BA4387" w:rsidRDefault="00BA4387" w:rsidP="006B2419">
            <w:pPr>
              <w:autoSpaceDE w:val="0"/>
              <w:autoSpaceDN w:val="0"/>
              <w:jc w:val="both"/>
              <w:rPr>
                <w:rFonts w:ascii="Calibri" w:eastAsia="MS Mincho" w:hAnsi="Calibri" w:cs="Calibri"/>
                <w:sz w:val="22"/>
                <w:lang w:eastAsia="ja-JP"/>
              </w:rPr>
            </w:pPr>
            <w:r>
              <w:rPr>
                <w:rFonts w:ascii="Calibri" w:eastAsia="MS Mincho" w:hAnsi="Calibri" w:cs="Calibri" w:hint="eastAsia"/>
                <w:sz w:val="22"/>
                <w:lang w:eastAsia="ja-JP"/>
              </w:rPr>
              <w:t>A</w:t>
            </w:r>
            <w:r>
              <w:rPr>
                <w:rFonts w:ascii="Calibri" w:eastAsia="MS Mincho" w:hAnsi="Calibri" w:cs="Calibri"/>
                <w:sz w:val="22"/>
                <w:lang w:eastAsia="ja-JP"/>
              </w:rPr>
              <w:t>yako Iwata</w:t>
            </w:r>
          </w:p>
        </w:tc>
        <w:tc>
          <w:tcPr>
            <w:tcW w:w="5103" w:type="dxa"/>
          </w:tcPr>
          <w:p w14:paraId="52F9E59C" w14:textId="77777777" w:rsidR="00BA4387" w:rsidRDefault="00BA4387" w:rsidP="006B2419">
            <w:pPr>
              <w:autoSpaceDE w:val="0"/>
              <w:autoSpaceDN w:val="0"/>
              <w:jc w:val="both"/>
              <w:rPr>
                <w:rFonts w:eastAsia="MS Mincho"/>
                <w:lang w:eastAsia="ja-JP"/>
              </w:rPr>
            </w:pPr>
            <w:r>
              <w:rPr>
                <w:rFonts w:ascii="Calibri" w:hAnsi="Calibri" w:cs="Calibri"/>
                <w:sz w:val="22"/>
                <w:lang w:eastAsia="ko-KR"/>
              </w:rPr>
              <w:t>iwata.ayako@jp.panasonic.com</w:t>
            </w:r>
          </w:p>
        </w:tc>
      </w:tr>
      <w:tr w:rsidR="00BA4387" w14:paraId="563BCD33" w14:textId="77777777" w:rsidTr="006B2419">
        <w:tc>
          <w:tcPr>
            <w:tcW w:w="1980" w:type="dxa"/>
          </w:tcPr>
          <w:p w14:paraId="58B5208B" w14:textId="77777777" w:rsidR="00BA4387" w:rsidRDefault="00BA4387" w:rsidP="006B2419">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C</w:t>
            </w:r>
            <w:r>
              <w:rPr>
                <w:rFonts w:ascii="Calibri" w:eastAsiaTheme="minorEastAsia" w:hAnsi="Calibri" w:cs="Calibri"/>
                <w:sz w:val="22"/>
                <w:lang w:eastAsia="zh-CN"/>
              </w:rPr>
              <w:t>MCC</w:t>
            </w:r>
          </w:p>
        </w:tc>
        <w:tc>
          <w:tcPr>
            <w:tcW w:w="2693" w:type="dxa"/>
          </w:tcPr>
          <w:p w14:paraId="37AE58C0" w14:textId="77777777" w:rsidR="00BA4387" w:rsidRDefault="00BA4387" w:rsidP="006B2419">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P</w:t>
            </w:r>
            <w:r>
              <w:rPr>
                <w:rFonts w:ascii="Calibri" w:eastAsiaTheme="minorEastAsia" w:hAnsi="Calibri" w:cs="Calibri"/>
                <w:sz w:val="22"/>
                <w:lang w:eastAsia="zh-CN"/>
              </w:rPr>
              <w:t>engyu JI</w:t>
            </w:r>
          </w:p>
          <w:p w14:paraId="368F98F0" w14:textId="77777777" w:rsidR="00BA4387" w:rsidRDefault="00BA4387" w:rsidP="006B2419">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J</w:t>
            </w:r>
            <w:r>
              <w:rPr>
                <w:rFonts w:ascii="Calibri" w:eastAsiaTheme="minorEastAsia" w:hAnsi="Calibri" w:cs="Calibri"/>
                <w:sz w:val="22"/>
                <w:lang w:eastAsia="zh-CN"/>
              </w:rPr>
              <w:t>ingwen ZHANG</w:t>
            </w:r>
          </w:p>
        </w:tc>
        <w:tc>
          <w:tcPr>
            <w:tcW w:w="5103" w:type="dxa"/>
          </w:tcPr>
          <w:p w14:paraId="3DEB0B33" w14:textId="77777777" w:rsidR="00BA4387" w:rsidRDefault="00000000" w:rsidP="006B2419">
            <w:pPr>
              <w:autoSpaceDE w:val="0"/>
              <w:autoSpaceDN w:val="0"/>
              <w:jc w:val="both"/>
              <w:rPr>
                <w:rFonts w:ascii="Calibri" w:eastAsiaTheme="minorEastAsia" w:hAnsi="Calibri" w:cs="Calibri"/>
                <w:sz w:val="22"/>
                <w:lang w:eastAsia="zh-CN"/>
              </w:rPr>
            </w:pPr>
            <w:hyperlink r:id="rId57" w:history="1">
              <w:r w:rsidR="00BA4387">
                <w:rPr>
                  <w:rStyle w:val="Hyperlink"/>
                  <w:rFonts w:ascii="Calibri" w:eastAsiaTheme="minorEastAsia" w:hAnsi="Calibri" w:cs="Calibri" w:hint="eastAsia"/>
                  <w:sz w:val="22"/>
                  <w:lang w:eastAsia="zh-CN"/>
                </w:rPr>
                <w:t>j</w:t>
              </w:r>
              <w:r w:rsidR="00BA4387">
                <w:rPr>
                  <w:rStyle w:val="Hyperlink"/>
                  <w:rFonts w:ascii="Calibri" w:eastAsiaTheme="minorEastAsia" w:hAnsi="Calibri" w:cs="Calibri"/>
                  <w:sz w:val="22"/>
                  <w:lang w:eastAsia="zh-CN"/>
                </w:rPr>
                <w:t>ipengyu@chinamobile.com</w:t>
              </w:r>
            </w:hyperlink>
          </w:p>
          <w:p w14:paraId="7D197F76" w14:textId="77777777" w:rsidR="00BA4387" w:rsidRDefault="00BA4387" w:rsidP="006B2419">
            <w:pPr>
              <w:autoSpaceDE w:val="0"/>
              <w:autoSpaceDN w:val="0"/>
              <w:jc w:val="both"/>
              <w:rPr>
                <w:rFonts w:asciiTheme="minorHAnsi" w:eastAsiaTheme="minorEastAsia" w:hAnsiTheme="minorHAnsi" w:cstheme="minorHAnsi"/>
                <w:sz w:val="22"/>
                <w:szCs w:val="22"/>
                <w:lang w:eastAsia="zh-CN"/>
              </w:rPr>
            </w:pPr>
            <w:r>
              <w:rPr>
                <w:rStyle w:val="Hyperlink"/>
                <w:rFonts w:asciiTheme="minorHAnsi" w:hAnsiTheme="minorHAnsi" w:cstheme="minorHAnsi"/>
                <w:sz w:val="22"/>
                <w:szCs w:val="22"/>
              </w:rPr>
              <w:t>zhangjingwen@chinamobile.com</w:t>
            </w:r>
          </w:p>
        </w:tc>
      </w:tr>
      <w:tr w:rsidR="00BA4387" w14:paraId="6BB1FED0" w14:textId="77777777" w:rsidTr="006B2419">
        <w:tc>
          <w:tcPr>
            <w:tcW w:w="1980" w:type="dxa"/>
          </w:tcPr>
          <w:p w14:paraId="4F3BF6C4" w14:textId="77777777" w:rsidR="00BA4387" w:rsidRDefault="00BA4387" w:rsidP="006B2419">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ZTE,Sanechips</w:t>
            </w:r>
          </w:p>
        </w:tc>
        <w:tc>
          <w:tcPr>
            <w:tcW w:w="2693" w:type="dxa"/>
          </w:tcPr>
          <w:p w14:paraId="4A76A3DB" w14:textId="77777777" w:rsidR="00BA4387" w:rsidRDefault="00BA4387" w:rsidP="006B2419">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Yuzhou Hu</w:t>
            </w:r>
          </w:p>
        </w:tc>
        <w:tc>
          <w:tcPr>
            <w:tcW w:w="5103" w:type="dxa"/>
          </w:tcPr>
          <w:p w14:paraId="4478DC8E" w14:textId="77777777" w:rsidR="00BA4387" w:rsidRDefault="00BA4387" w:rsidP="006B2419">
            <w:pPr>
              <w:autoSpaceDE w:val="0"/>
              <w:autoSpaceDN w:val="0"/>
              <w:jc w:val="both"/>
              <w:rPr>
                <w:rFonts w:eastAsiaTheme="minorEastAsia"/>
                <w:lang w:eastAsia="zh-CN"/>
              </w:rPr>
            </w:pPr>
            <w:r>
              <w:rPr>
                <w:rFonts w:eastAsiaTheme="minorEastAsia" w:hint="eastAsia"/>
                <w:lang w:eastAsia="zh-CN"/>
              </w:rPr>
              <w:t>hu.yuzhou@zte.com.cn</w:t>
            </w:r>
          </w:p>
        </w:tc>
      </w:tr>
      <w:tr w:rsidR="00BA4387" w14:paraId="2DFA7CC6" w14:textId="77777777" w:rsidTr="006B2419">
        <w:tc>
          <w:tcPr>
            <w:tcW w:w="1980" w:type="dxa"/>
          </w:tcPr>
          <w:p w14:paraId="2689597D" w14:textId="77777777" w:rsidR="00BA4387" w:rsidRDefault="00BA4387" w:rsidP="006B2419">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Sharp</w:t>
            </w:r>
          </w:p>
        </w:tc>
        <w:tc>
          <w:tcPr>
            <w:tcW w:w="2693" w:type="dxa"/>
          </w:tcPr>
          <w:p w14:paraId="7E3AE7D9" w14:textId="77777777" w:rsidR="00BA4387" w:rsidRDefault="00BA4387" w:rsidP="006B2419">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Luochao</w:t>
            </w:r>
          </w:p>
        </w:tc>
        <w:tc>
          <w:tcPr>
            <w:tcW w:w="5103" w:type="dxa"/>
          </w:tcPr>
          <w:p w14:paraId="34DD6F10" w14:textId="77777777" w:rsidR="00BA4387" w:rsidRDefault="00BA4387" w:rsidP="006B2419">
            <w:pPr>
              <w:autoSpaceDE w:val="0"/>
              <w:autoSpaceDN w:val="0"/>
              <w:jc w:val="both"/>
            </w:pPr>
            <w:r>
              <w:rPr>
                <w:rFonts w:ascii="Calibri" w:hAnsi="Calibri" w:cs="Calibri"/>
                <w:sz w:val="22"/>
              </w:rPr>
              <w:t>chao.luo@cn.sharp-world.com</w:t>
            </w:r>
          </w:p>
        </w:tc>
      </w:tr>
      <w:tr w:rsidR="00BA4387" w14:paraId="3BD4722A" w14:textId="77777777" w:rsidTr="006B2419">
        <w:tc>
          <w:tcPr>
            <w:tcW w:w="1980" w:type="dxa"/>
          </w:tcPr>
          <w:p w14:paraId="7D918819" w14:textId="77777777" w:rsidR="00BA4387" w:rsidRDefault="00BA4387" w:rsidP="006B2419">
            <w:pPr>
              <w:autoSpaceDE w:val="0"/>
              <w:autoSpaceDN w:val="0"/>
              <w:jc w:val="both"/>
              <w:rPr>
                <w:rFonts w:ascii="Calibri" w:eastAsiaTheme="minorEastAsia" w:hAnsi="Calibri" w:cs="Calibri"/>
                <w:sz w:val="22"/>
                <w:lang w:eastAsia="zh-CN"/>
              </w:rPr>
            </w:pPr>
            <w:r>
              <w:rPr>
                <w:rFonts w:ascii="Calibri" w:hAnsi="Calibri" w:cs="Calibri"/>
                <w:sz w:val="22"/>
              </w:rPr>
              <w:t>CableLabs</w:t>
            </w:r>
          </w:p>
        </w:tc>
        <w:tc>
          <w:tcPr>
            <w:tcW w:w="2693" w:type="dxa"/>
          </w:tcPr>
          <w:p w14:paraId="531F34EC" w14:textId="77777777" w:rsidR="00BA4387" w:rsidRDefault="00BA4387" w:rsidP="006B2419">
            <w:pPr>
              <w:autoSpaceDE w:val="0"/>
              <w:autoSpaceDN w:val="0"/>
              <w:jc w:val="both"/>
              <w:rPr>
                <w:rFonts w:ascii="Calibri" w:eastAsiaTheme="minorEastAsia" w:hAnsi="Calibri" w:cs="Calibri"/>
                <w:sz w:val="22"/>
                <w:lang w:eastAsia="zh-CN"/>
              </w:rPr>
            </w:pPr>
            <w:r>
              <w:rPr>
                <w:rFonts w:ascii="Calibri" w:hAnsi="Calibri" w:cs="Calibri"/>
                <w:sz w:val="22"/>
              </w:rPr>
              <w:t>Dorin Viorel</w:t>
            </w:r>
          </w:p>
        </w:tc>
        <w:tc>
          <w:tcPr>
            <w:tcW w:w="5103" w:type="dxa"/>
          </w:tcPr>
          <w:p w14:paraId="6F3E15BA" w14:textId="77777777" w:rsidR="00BA4387" w:rsidRDefault="00BA4387" w:rsidP="006B2419">
            <w:pPr>
              <w:autoSpaceDE w:val="0"/>
              <w:autoSpaceDN w:val="0"/>
              <w:jc w:val="both"/>
              <w:rPr>
                <w:rFonts w:ascii="Calibri" w:hAnsi="Calibri" w:cs="Calibri"/>
                <w:sz w:val="22"/>
              </w:rPr>
            </w:pPr>
            <w:r>
              <w:rPr>
                <w:rFonts w:ascii="Calibri" w:hAnsi="Calibri" w:cs="Calibri"/>
                <w:sz w:val="22"/>
              </w:rPr>
              <w:t>d.viorel@cablelabs.com</w:t>
            </w:r>
          </w:p>
        </w:tc>
      </w:tr>
      <w:tr w:rsidR="00BA4387" w14:paraId="1A441D8A" w14:textId="77777777" w:rsidTr="006B2419">
        <w:trPr>
          <w:trHeight w:val="450"/>
        </w:trPr>
        <w:tc>
          <w:tcPr>
            <w:tcW w:w="1980" w:type="dxa"/>
          </w:tcPr>
          <w:p w14:paraId="602C76D2" w14:textId="77777777" w:rsidR="00BA4387" w:rsidRDefault="00BA4387" w:rsidP="006B2419">
            <w:pPr>
              <w:rPr>
                <w:rFonts w:ascii="Calibri" w:hAnsi="Calibri" w:cs="Calibri"/>
                <w:sz w:val="22"/>
              </w:rPr>
            </w:pPr>
            <w:r>
              <w:rPr>
                <w:rFonts w:ascii="Calibri" w:hAnsi="Calibri" w:cs="Calibri"/>
                <w:sz w:val="22"/>
              </w:rPr>
              <w:t>xiaomi</w:t>
            </w:r>
          </w:p>
        </w:tc>
        <w:tc>
          <w:tcPr>
            <w:tcW w:w="2693" w:type="dxa"/>
          </w:tcPr>
          <w:p w14:paraId="24D72DA8" w14:textId="77777777" w:rsidR="00BA4387" w:rsidRDefault="00BA4387" w:rsidP="006B2419">
            <w:pPr>
              <w:rPr>
                <w:rFonts w:ascii="Calibri" w:hAnsi="Calibri" w:cs="Calibri"/>
                <w:sz w:val="22"/>
              </w:rPr>
            </w:pPr>
            <w:r>
              <w:rPr>
                <w:rFonts w:ascii="Calibri" w:hAnsi="Calibri" w:cs="Calibri"/>
                <w:sz w:val="22"/>
              </w:rPr>
              <w:t>Wensu Zhao</w:t>
            </w:r>
          </w:p>
          <w:p w14:paraId="6DFF57ED" w14:textId="77777777" w:rsidR="00BA4387" w:rsidRDefault="00BA4387" w:rsidP="006B2419">
            <w:pPr>
              <w:rPr>
                <w:rFonts w:ascii="Calibri" w:hAnsi="Calibri" w:cs="Calibri"/>
                <w:sz w:val="22"/>
              </w:rPr>
            </w:pPr>
            <w:r>
              <w:rPr>
                <w:rFonts w:ascii="Calibri" w:hAnsi="Calibri" w:cs="Calibri"/>
                <w:sz w:val="22"/>
              </w:rPr>
              <w:t>Qun Z</w:t>
            </w:r>
            <w:r>
              <w:rPr>
                <w:rFonts w:ascii="Calibri" w:hAnsi="Calibri" w:cs="Calibri" w:hint="eastAsia"/>
                <w:sz w:val="22"/>
              </w:rPr>
              <w:t>h</w:t>
            </w:r>
            <w:r>
              <w:rPr>
                <w:rFonts w:ascii="Calibri" w:hAnsi="Calibri" w:cs="Calibri"/>
                <w:sz w:val="22"/>
              </w:rPr>
              <w:t>ao</w:t>
            </w:r>
          </w:p>
        </w:tc>
        <w:tc>
          <w:tcPr>
            <w:tcW w:w="5103" w:type="dxa"/>
          </w:tcPr>
          <w:p w14:paraId="77DD0D64" w14:textId="77777777" w:rsidR="00BA4387" w:rsidRDefault="00BA4387" w:rsidP="006B2419">
            <w:pPr>
              <w:rPr>
                <w:rFonts w:ascii="Calibri" w:hAnsi="Calibri" w:cs="Calibri"/>
                <w:sz w:val="22"/>
              </w:rPr>
            </w:pPr>
            <w:r>
              <w:rPr>
                <w:rFonts w:ascii="Calibri" w:hAnsi="Calibri" w:cs="Calibri" w:hint="eastAsia"/>
                <w:sz w:val="22"/>
              </w:rPr>
              <w:t>z</w:t>
            </w:r>
            <w:r>
              <w:rPr>
                <w:rFonts w:ascii="Calibri" w:hAnsi="Calibri" w:cs="Calibri"/>
                <w:sz w:val="22"/>
              </w:rPr>
              <w:t>haowensu@xiaomi.com</w:t>
            </w:r>
          </w:p>
          <w:p w14:paraId="76579D8D" w14:textId="77777777" w:rsidR="00BA4387" w:rsidRDefault="00BA4387" w:rsidP="006B2419">
            <w:pPr>
              <w:rPr>
                <w:rFonts w:ascii="Calibri" w:hAnsi="Calibri" w:cs="Calibri"/>
                <w:sz w:val="22"/>
              </w:rPr>
            </w:pPr>
            <w:r>
              <w:rPr>
                <w:rFonts w:ascii="Calibri" w:hAnsi="Calibri" w:cs="Calibri"/>
                <w:sz w:val="22"/>
              </w:rPr>
              <w:t>zhaoqun1@xiaomi.com</w:t>
            </w:r>
          </w:p>
        </w:tc>
      </w:tr>
      <w:tr w:rsidR="00BA4387" w:rsidRPr="00663172" w14:paraId="5CE08A0A" w14:textId="77777777" w:rsidTr="006B2419">
        <w:trPr>
          <w:trHeight w:val="450"/>
        </w:trPr>
        <w:tc>
          <w:tcPr>
            <w:tcW w:w="1980" w:type="dxa"/>
          </w:tcPr>
          <w:p w14:paraId="422DFF97" w14:textId="77777777" w:rsidR="00BA4387" w:rsidRDefault="00BA4387" w:rsidP="006B2419">
            <w:pPr>
              <w:rPr>
                <w:rFonts w:ascii="Calibri" w:hAnsi="Calibri" w:cs="Calibri"/>
                <w:sz w:val="22"/>
              </w:rPr>
            </w:pPr>
            <w:r>
              <w:rPr>
                <w:rFonts w:ascii="Calibri" w:eastAsia="MS Mincho" w:hAnsi="Calibri" w:cs="Calibri"/>
                <w:sz w:val="22"/>
                <w:lang w:eastAsia="ja-JP"/>
              </w:rPr>
              <w:t>Lenovo</w:t>
            </w:r>
          </w:p>
        </w:tc>
        <w:tc>
          <w:tcPr>
            <w:tcW w:w="2693" w:type="dxa"/>
          </w:tcPr>
          <w:p w14:paraId="79B31021" w14:textId="77777777" w:rsidR="00BA4387" w:rsidRDefault="00BA4387" w:rsidP="006B2419">
            <w:pPr>
              <w:autoSpaceDE w:val="0"/>
              <w:autoSpaceDN w:val="0"/>
              <w:jc w:val="both"/>
              <w:rPr>
                <w:rFonts w:ascii="Calibri" w:eastAsia="MS Mincho" w:hAnsi="Calibri" w:cs="Calibri"/>
                <w:sz w:val="22"/>
                <w:lang w:val="de-DE" w:eastAsia="ja-JP"/>
              </w:rPr>
            </w:pPr>
            <w:r>
              <w:rPr>
                <w:rFonts w:ascii="Calibri" w:eastAsia="MS Mincho" w:hAnsi="Calibri" w:cs="Calibri"/>
                <w:sz w:val="22"/>
                <w:lang w:val="de-DE" w:eastAsia="ja-JP"/>
              </w:rPr>
              <w:t>Karthikeyan Ganesan</w:t>
            </w:r>
          </w:p>
          <w:p w14:paraId="657EBEBE" w14:textId="77777777" w:rsidR="00BA4387" w:rsidRDefault="00BA4387" w:rsidP="006B2419">
            <w:pPr>
              <w:autoSpaceDE w:val="0"/>
              <w:autoSpaceDN w:val="0"/>
              <w:jc w:val="both"/>
              <w:rPr>
                <w:rFonts w:ascii="Calibri" w:eastAsia="MS Mincho" w:hAnsi="Calibri" w:cs="Calibri"/>
                <w:sz w:val="22"/>
                <w:lang w:val="de-DE" w:eastAsia="ja-JP"/>
              </w:rPr>
            </w:pPr>
            <w:r>
              <w:rPr>
                <w:rFonts w:ascii="Calibri" w:eastAsia="MS Mincho" w:hAnsi="Calibri" w:cs="Calibri"/>
                <w:sz w:val="22"/>
                <w:lang w:val="de-DE" w:eastAsia="ja-JP"/>
              </w:rPr>
              <w:t>Alexander Golitschek</w:t>
            </w:r>
          </w:p>
          <w:p w14:paraId="4A68697F" w14:textId="77777777" w:rsidR="00BA4387" w:rsidRDefault="00BA4387" w:rsidP="006B2419">
            <w:pPr>
              <w:rPr>
                <w:rFonts w:ascii="Calibri" w:hAnsi="Calibri" w:cs="Calibri"/>
                <w:sz w:val="22"/>
                <w:lang w:val="de-DE"/>
              </w:rPr>
            </w:pPr>
            <w:r>
              <w:rPr>
                <w:rFonts w:ascii="Calibri" w:eastAsia="MS Mincho" w:hAnsi="Calibri" w:cs="Calibri"/>
                <w:sz w:val="22"/>
                <w:lang w:val="de-DE" w:eastAsia="ja-JP"/>
              </w:rPr>
              <w:t>Haipeng Lei</w:t>
            </w:r>
          </w:p>
        </w:tc>
        <w:tc>
          <w:tcPr>
            <w:tcW w:w="5103" w:type="dxa"/>
          </w:tcPr>
          <w:p w14:paraId="22A40B40" w14:textId="72E5B7F0" w:rsidR="00BA4387" w:rsidRDefault="00BA4387" w:rsidP="006B2419">
            <w:pPr>
              <w:autoSpaceDE w:val="0"/>
              <w:autoSpaceDN w:val="0"/>
              <w:jc w:val="both"/>
              <w:rPr>
                <w:rFonts w:ascii="Calibri" w:hAnsi="Calibri" w:cs="Calibri"/>
                <w:sz w:val="22"/>
                <w:lang w:val="de-DE" w:eastAsia="ko-KR"/>
              </w:rPr>
            </w:pPr>
            <w:r w:rsidRPr="00DF750F">
              <w:rPr>
                <w:rFonts w:ascii="Calibri" w:hAnsi="Calibri" w:cs="Calibri"/>
                <w:sz w:val="22"/>
                <w:lang w:val="de-DE" w:eastAsia="ko-KR"/>
              </w:rPr>
              <w:t>kganesan@lenovo.com</w:t>
            </w:r>
          </w:p>
          <w:p w14:paraId="0A504F20" w14:textId="145582B3" w:rsidR="00BA4387" w:rsidRDefault="00BA4387" w:rsidP="006B2419">
            <w:pPr>
              <w:autoSpaceDE w:val="0"/>
              <w:autoSpaceDN w:val="0"/>
              <w:jc w:val="both"/>
              <w:rPr>
                <w:rFonts w:ascii="Calibri" w:hAnsi="Calibri" w:cs="Calibri"/>
                <w:sz w:val="22"/>
                <w:lang w:val="de-DE" w:eastAsia="ko-KR"/>
              </w:rPr>
            </w:pPr>
            <w:r w:rsidRPr="00DF750F">
              <w:rPr>
                <w:rFonts w:ascii="Calibri" w:hAnsi="Calibri" w:cs="Calibri"/>
                <w:sz w:val="22"/>
                <w:lang w:val="de-DE" w:eastAsia="ko-KR"/>
              </w:rPr>
              <w:t>aelbwart@lenovo.com</w:t>
            </w:r>
          </w:p>
          <w:p w14:paraId="45F82CEE" w14:textId="77777777" w:rsidR="00BA4387" w:rsidRDefault="00BA4387" w:rsidP="006B2419">
            <w:pPr>
              <w:rPr>
                <w:rFonts w:ascii="Calibri" w:hAnsi="Calibri" w:cs="Calibri"/>
                <w:sz w:val="22"/>
                <w:lang w:val="de-DE"/>
              </w:rPr>
            </w:pPr>
            <w:r>
              <w:rPr>
                <w:rFonts w:ascii="Calibri" w:hAnsi="Calibri" w:cs="Calibri"/>
                <w:sz w:val="22"/>
                <w:lang w:val="de-DE" w:eastAsia="ko-KR"/>
              </w:rPr>
              <w:t>leihp1@lenovo.com</w:t>
            </w:r>
          </w:p>
        </w:tc>
      </w:tr>
      <w:tr w:rsidR="00BA4387" w14:paraId="0D096689" w14:textId="77777777" w:rsidTr="006B2419">
        <w:tc>
          <w:tcPr>
            <w:tcW w:w="1980" w:type="dxa"/>
          </w:tcPr>
          <w:p w14:paraId="2D1C8AD5" w14:textId="77777777" w:rsidR="00BA4387" w:rsidRDefault="00BA4387" w:rsidP="006B2419">
            <w:pPr>
              <w:autoSpaceDE w:val="0"/>
              <w:autoSpaceDN w:val="0"/>
              <w:jc w:val="both"/>
              <w:rPr>
                <w:rFonts w:ascii="Calibri" w:eastAsia="MS Mincho" w:hAnsi="Calibri" w:cs="Calibri"/>
                <w:sz w:val="22"/>
                <w:lang w:eastAsia="ja-JP"/>
              </w:rPr>
            </w:pPr>
            <w:r>
              <w:rPr>
                <w:rFonts w:ascii="Calibri" w:eastAsia="MS Mincho" w:hAnsi="Calibri" w:cs="Calibri" w:hint="eastAsia"/>
                <w:sz w:val="22"/>
                <w:lang w:eastAsia="ja-JP"/>
              </w:rPr>
              <w:t>N</w:t>
            </w:r>
            <w:r>
              <w:rPr>
                <w:rFonts w:ascii="Calibri" w:eastAsia="MS Mincho" w:hAnsi="Calibri" w:cs="Calibri"/>
                <w:sz w:val="22"/>
                <w:lang w:eastAsia="ja-JP"/>
              </w:rPr>
              <w:t>TT DOCOMO</w:t>
            </w:r>
          </w:p>
        </w:tc>
        <w:tc>
          <w:tcPr>
            <w:tcW w:w="2693" w:type="dxa"/>
          </w:tcPr>
          <w:p w14:paraId="3B06E81E" w14:textId="77777777" w:rsidR="00BA4387" w:rsidRDefault="00BA4387" w:rsidP="006B2419">
            <w:pPr>
              <w:autoSpaceDE w:val="0"/>
              <w:autoSpaceDN w:val="0"/>
              <w:jc w:val="both"/>
              <w:rPr>
                <w:rFonts w:ascii="Calibri" w:eastAsia="MS Mincho" w:hAnsi="Calibri" w:cs="Calibri"/>
                <w:sz w:val="22"/>
                <w:lang w:eastAsia="ja-JP"/>
              </w:rPr>
            </w:pPr>
            <w:r>
              <w:rPr>
                <w:rFonts w:ascii="Calibri" w:eastAsia="MS Mincho" w:hAnsi="Calibri" w:cs="Calibri" w:hint="eastAsia"/>
                <w:sz w:val="22"/>
                <w:lang w:eastAsia="ja-JP"/>
              </w:rPr>
              <w:t>S</w:t>
            </w:r>
            <w:r>
              <w:rPr>
                <w:rFonts w:ascii="Calibri" w:eastAsia="MS Mincho" w:hAnsi="Calibri" w:cs="Calibri"/>
                <w:sz w:val="22"/>
                <w:lang w:eastAsia="ja-JP"/>
              </w:rPr>
              <w:t>hohei Yoshioka</w:t>
            </w:r>
          </w:p>
        </w:tc>
        <w:tc>
          <w:tcPr>
            <w:tcW w:w="5103" w:type="dxa"/>
          </w:tcPr>
          <w:p w14:paraId="13039F77" w14:textId="77777777" w:rsidR="00BA4387" w:rsidRDefault="00BA4387" w:rsidP="006B2419">
            <w:pPr>
              <w:autoSpaceDE w:val="0"/>
              <w:autoSpaceDN w:val="0"/>
              <w:jc w:val="both"/>
              <w:rPr>
                <w:rFonts w:ascii="Calibri" w:eastAsia="MS Mincho" w:hAnsi="Calibri" w:cs="Calibri"/>
                <w:sz w:val="22"/>
                <w:lang w:eastAsia="ja-JP"/>
              </w:rPr>
            </w:pPr>
            <w:r>
              <w:rPr>
                <w:rFonts w:ascii="Calibri" w:eastAsia="MS Mincho" w:hAnsi="Calibri" w:cs="Calibri" w:hint="eastAsia"/>
                <w:sz w:val="22"/>
                <w:lang w:eastAsia="ja-JP"/>
              </w:rPr>
              <w:t>s</w:t>
            </w:r>
            <w:r>
              <w:rPr>
                <w:rFonts w:ascii="Calibri" w:eastAsia="MS Mincho" w:hAnsi="Calibri" w:cs="Calibri"/>
                <w:sz w:val="22"/>
                <w:lang w:eastAsia="ja-JP"/>
              </w:rPr>
              <w:t>hohei.yoshioka@docomo-lab.com</w:t>
            </w:r>
          </w:p>
        </w:tc>
      </w:tr>
      <w:tr w:rsidR="00BA4387" w:rsidRPr="00663172" w14:paraId="106E1E92" w14:textId="77777777" w:rsidTr="006B2419">
        <w:trPr>
          <w:trHeight w:val="450"/>
        </w:trPr>
        <w:tc>
          <w:tcPr>
            <w:tcW w:w="1980" w:type="dxa"/>
          </w:tcPr>
          <w:p w14:paraId="3CAF4221" w14:textId="77777777" w:rsidR="00BA4387" w:rsidRDefault="00BA4387" w:rsidP="006B2419">
            <w:pPr>
              <w:rPr>
                <w:rFonts w:ascii="Calibri" w:eastAsia="MS Mincho" w:hAnsi="Calibri" w:cs="Calibri"/>
                <w:sz w:val="22"/>
                <w:lang w:eastAsia="ja-JP"/>
              </w:rPr>
            </w:pPr>
            <w:r>
              <w:rPr>
                <w:rFonts w:ascii="Calibri" w:eastAsiaTheme="minorEastAsia" w:hAnsi="Calibri" w:cs="Calibri" w:hint="eastAsia"/>
                <w:sz w:val="22"/>
                <w:lang w:eastAsia="zh-CN"/>
              </w:rPr>
              <w:t>S</w:t>
            </w:r>
            <w:r>
              <w:rPr>
                <w:rFonts w:ascii="Calibri" w:eastAsiaTheme="minorEastAsia" w:hAnsi="Calibri" w:cs="Calibri"/>
                <w:sz w:val="22"/>
                <w:lang w:eastAsia="zh-CN"/>
              </w:rPr>
              <w:t>preadtrum</w:t>
            </w:r>
          </w:p>
        </w:tc>
        <w:tc>
          <w:tcPr>
            <w:tcW w:w="2693" w:type="dxa"/>
          </w:tcPr>
          <w:p w14:paraId="2A88B3D9" w14:textId="77777777" w:rsidR="00BA4387" w:rsidRDefault="00BA4387" w:rsidP="006B2419">
            <w:pPr>
              <w:autoSpaceDE w:val="0"/>
              <w:autoSpaceDN w:val="0"/>
              <w:jc w:val="both"/>
              <w:rPr>
                <w:rFonts w:ascii="Calibri" w:eastAsia="MS Mincho" w:hAnsi="Calibri" w:cs="Calibri"/>
                <w:sz w:val="22"/>
                <w:lang w:val="de-DE" w:eastAsia="ja-JP"/>
              </w:rPr>
            </w:pPr>
            <w:r>
              <w:rPr>
                <w:rFonts w:ascii="Calibri" w:eastAsiaTheme="minorEastAsia" w:hAnsi="Calibri" w:cs="Calibri" w:hint="eastAsia"/>
                <w:sz w:val="22"/>
                <w:lang w:eastAsia="zh-CN"/>
              </w:rPr>
              <w:t>M</w:t>
            </w:r>
            <w:r>
              <w:rPr>
                <w:rFonts w:ascii="Calibri" w:eastAsiaTheme="minorEastAsia" w:hAnsi="Calibri" w:cs="Calibri"/>
                <w:sz w:val="22"/>
                <w:lang w:eastAsia="zh-CN"/>
              </w:rPr>
              <w:t>imi Chen</w:t>
            </w:r>
          </w:p>
        </w:tc>
        <w:tc>
          <w:tcPr>
            <w:tcW w:w="5103" w:type="dxa"/>
          </w:tcPr>
          <w:p w14:paraId="596846B9" w14:textId="77777777" w:rsidR="00BA4387" w:rsidRDefault="00BA4387" w:rsidP="006B2419">
            <w:pPr>
              <w:autoSpaceDE w:val="0"/>
              <w:autoSpaceDN w:val="0"/>
              <w:jc w:val="both"/>
              <w:rPr>
                <w:lang w:val="de-DE"/>
              </w:rPr>
            </w:pPr>
            <w:r>
              <w:rPr>
                <w:rFonts w:ascii="Calibri" w:eastAsiaTheme="minorEastAsia" w:hAnsi="Calibri" w:cs="Calibri"/>
                <w:sz w:val="22"/>
                <w:lang w:val="de-DE" w:eastAsia="zh-CN"/>
              </w:rPr>
              <w:t>mimi.chen@unisoc.com</w:t>
            </w:r>
          </w:p>
        </w:tc>
      </w:tr>
      <w:tr w:rsidR="00BA4387" w14:paraId="33E2EF7A" w14:textId="77777777" w:rsidTr="006B2419">
        <w:trPr>
          <w:trHeight w:val="450"/>
        </w:trPr>
        <w:tc>
          <w:tcPr>
            <w:tcW w:w="1980" w:type="dxa"/>
          </w:tcPr>
          <w:p w14:paraId="6B978813" w14:textId="77777777" w:rsidR="00BA4387" w:rsidRDefault="00BA4387" w:rsidP="006B2419">
            <w:pPr>
              <w:rPr>
                <w:rFonts w:ascii="Calibri" w:eastAsiaTheme="minorEastAsia" w:hAnsi="Calibri" w:cs="Calibri"/>
                <w:sz w:val="22"/>
                <w:lang w:eastAsia="zh-CN"/>
              </w:rPr>
            </w:pPr>
            <w:r>
              <w:rPr>
                <w:rFonts w:ascii="Calibri" w:eastAsiaTheme="minorEastAsia" w:hAnsi="Calibri" w:cs="Calibri"/>
                <w:sz w:val="22"/>
                <w:lang w:eastAsia="zh-CN"/>
              </w:rPr>
              <w:t>Vivo</w:t>
            </w:r>
          </w:p>
        </w:tc>
        <w:tc>
          <w:tcPr>
            <w:tcW w:w="2693" w:type="dxa"/>
          </w:tcPr>
          <w:p w14:paraId="2F4C3438" w14:textId="77777777" w:rsidR="00BA4387" w:rsidRDefault="00BA4387" w:rsidP="006B2419">
            <w:pPr>
              <w:autoSpaceDE w:val="0"/>
              <w:autoSpaceDN w:val="0"/>
              <w:jc w:val="both"/>
              <w:rPr>
                <w:rFonts w:ascii="Calibri" w:eastAsiaTheme="minorEastAsia" w:hAnsi="Calibri" w:cs="Calibri"/>
                <w:sz w:val="22"/>
                <w:lang w:val="de-DE" w:eastAsia="zh-CN"/>
              </w:rPr>
            </w:pPr>
            <w:r>
              <w:rPr>
                <w:rFonts w:ascii="Calibri" w:eastAsiaTheme="minorEastAsia" w:hAnsi="Calibri" w:cs="Calibri" w:hint="eastAsia"/>
                <w:sz w:val="22"/>
                <w:lang w:val="de-DE" w:eastAsia="zh-CN"/>
              </w:rPr>
              <w:t>H</w:t>
            </w:r>
            <w:r>
              <w:rPr>
                <w:rFonts w:ascii="Calibri" w:eastAsiaTheme="minorEastAsia" w:hAnsi="Calibri" w:cs="Calibri"/>
                <w:sz w:val="22"/>
                <w:lang w:val="de-DE" w:eastAsia="zh-CN"/>
              </w:rPr>
              <w:t>uan Wang</w:t>
            </w:r>
          </w:p>
          <w:p w14:paraId="197C10CD" w14:textId="77777777" w:rsidR="00BA4387" w:rsidRDefault="00BA4387" w:rsidP="006B2419">
            <w:pPr>
              <w:autoSpaceDE w:val="0"/>
              <w:autoSpaceDN w:val="0"/>
              <w:jc w:val="both"/>
              <w:rPr>
                <w:rFonts w:ascii="Calibri" w:eastAsiaTheme="minorEastAsia" w:hAnsi="Calibri" w:cs="Calibri"/>
                <w:sz w:val="22"/>
                <w:lang w:eastAsia="zh-CN"/>
              </w:rPr>
            </w:pPr>
            <w:r>
              <w:rPr>
                <w:rFonts w:ascii="Calibri" w:eastAsiaTheme="minorEastAsia" w:hAnsi="Calibri" w:cs="Calibri"/>
                <w:sz w:val="22"/>
                <w:lang w:val="de-DE" w:eastAsia="zh-CN"/>
              </w:rPr>
              <w:t>Zichao Ji</w:t>
            </w:r>
          </w:p>
        </w:tc>
        <w:tc>
          <w:tcPr>
            <w:tcW w:w="5103" w:type="dxa"/>
          </w:tcPr>
          <w:p w14:paraId="479D54C0" w14:textId="77777777" w:rsidR="00BA4387" w:rsidRDefault="00000000" w:rsidP="006B2419">
            <w:pPr>
              <w:autoSpaceDE w:val="0"/>
              <w:autoSpaceDN w:val="0"/>
              <w:jc w:val="both"/>
              <w:rPr>
                <w:rFonts w:eastAsiaTheme="minorEastAsia"/>
                <w:lang w:eastAsia="zh-CN"/>
              </w:rPr>
            </w:pPr>
            <w:hyperlink r:id="rId58" w:history="1">
              <w:r w:rsidR="00BA4387">
                <w:rPr>
                  <w:rStyle w:val="Hyperlink"/>
                  <w:rFonts w:eastAsiaTheme="minorEastAsia" w:hint="eastAsia"/>
                  <w:lang w:eastAsia="zh-CN"/>
                </w:rPr>
                <w:t>w</w:t>
              </w:r>
              <w:r w:rsidR="00BA4387">
                <w:rPr>
                  <w:rStyle w:val="Hyperlink"/>
                  <w:rFonts w:eastAsiaTheme="minorEastAsia"/>
                  <w:lang w:eastAsia="zh-CN"/>
                </w:rPr>
                <w:t>anghuan@vivo.com</w:t>
              </w:r>
            </w:hyperlink>
          </w:p>
          <w:p w14:paraId="79C92024" w14:textId="77777777" w:rsidR="00BA4387" w:rsidRDefault="00000000" w:rsidP="006B2419">
            <w:pPr>
              <w:autoSpaceDE w:val="0"/>
              <w:autoSpaceDN w:val="0"/>
              <w:jc w:val="both"/>
              <w:rPr>
                <w:rFonts w:ascii="Calibri" w:eastAsiaTheme="minorEastAsia" w:hAnsi="Calibri" w:cs="Calibri"/>
                <w:sz w:val="22"/>
                <w:lang w:eastAsia="zh-CN"/>
              </w:rPr>
            </w:pPr>
            <w:hyperlink r:id="rId59" w:history="1">
              <w:r w:rsidR="00BA4387">
                <w:rPr>
                  <w:rStyle w:val="Hyperlink"/>
                  <w:rFonts w:eastAsiaTheme="minorEastAsia"/>
                  <w:lang w:eastAsia="zh-CN"/>
                </w:rPr>
                <w:t>jizichao@vivo.com</w:t>
              </w:r>
            </w:hyperlink>
            <w:r w:rsidR="00BA4387">
              <w:rPr>
                <w:rFonts w:eastAsiaTheme="minorEastAsia"/>
                <w:lang w:eastAsia="zh-CN"/>
              </w:rPr>
              <w:t xml:space="preserve"> </w:t>
            </w:r>
          </w:p>
        </w:tc>
      </w:tr>
      <w:tr w:rsidR="00BA4387" w:rsidRPr="00663172" w14:paraId="57F6C61A" w14:textId="77777777" w:rsidTr="006B2419">
        <w:trPr>
          <w:trHeight w:val="450"/>
        </w:trPr>
        <w:tc>
          <w:tcPr>
            <w:tcW w:w="1980" w:type="dxa"/>
          </w:tcPr>
          <w:p w14:paraId="2409F277" w14:textId="77777777" w:rsidR="00BA4387" w:rsidRDefault="00BA4387" w:rsidP="006B2419">
            <w:pPr>
              <w:rPr>
                <w:rFonts w:ascii="Calibri" w:eastAsiaTheme="minorEastAsia" w:hAnsi="Calibri" w:cs="Calibri"/>
                <w:sz w:val="22"/>
                <w:lang w:eastAsia="zh-CN"/>
              </w:rPr>
            </w:pPr>
            <w:r>
              <w:rPr>
                <w:rFonts w:ascii="Calibri" w:eastAsiaTheme="minorEastAsia" w:hAnsi="Calibri" w:cs="Calibri" w:hint="eastAsia"/>
                <w:sz w:val="22"/>
                <w:lang w:eastAsia="zh-CN"/>
              </w:rPr>
              <w:t>F</w:t>
            </w:r>
            <w:r>
              <w:rPr>
                <w:rFonts w:ascii="Calibri" w:eastAsiaTheme="minorEastAsia" w:hAnsi="Calibri" w:cs="Calibri"/>
                <w:sz w:val="22"/>
                <w:lang w:eastAsia="zh-CN"/>
              </w:rPr>
              <w:t>ujitsu</w:t>
            </w:r>
          </w:p>
        </w:tc>
        <w:tc>
          <w:tcPr>
            <w:tcW w:w="2693" w:type="dxa"/>
          </w:tcPr>
          <w:p w14:paraId="2CA77C39" w14:textId="77777777" w:rsidR="00BA4387" w:rsidRDefault="00BA4387" w:rsidP="006B2419">
            <w:pPr>
              <w:autoSpaceDE w:val="0"/>
              <w:autoSpaceDN w:val="0"/>
              <w:jc w:val="both"/>
              <w:rPr>
                <w:rFonts w:ascii="Calibri" w:eastAsiaTheme="minorEastAsia" w:hAnsi="Calibri" w:cs="Calibri"/>
                <w:sz w:val="22"/>
                <w:lang w:val="de-DE" w:eastAsia="zh-CN"/>
              </w:rPr>
            </w:pPr>
            <w:r>
              <w:rPr>
                <w:rFonts w:ascii="Calibri" w:eastAsiaTheme="minorEastAsia" w:hAnsi="Calibri" w:cs="Calibri"/>
                <w:sz w:val="22"/>
                <w:lang w:eastAsia="zh-CN"/>
              </w:rPr>
              <w:t xml:space="preserve">Jian </w:t>
            </w:r>
            <w:r>
              <w:rPr>
                <w:rFonts w:ascii="Calibri" w:eastAsiaTheme="minorEastAsia" w:hAnsi="Calibri" w:cs="Calibri" w:hint="eastAsia"/>
                <w:sz w:val="22"/>
                <w:lang w:eastAsia="zh-CN"/>
              </w:rPr>
              <w:t>Z</w:t>
            </w:r>
            <w:r>
              <w:rPr>
                <w:rFonts w:ascii="Calibri" w:eastAsiaTheme="minorEastAsia" w:hAnsi="Calibri" w:cs="Calibri"/>
                <w:sz w:val="22"/>
                <w:lang w:eastAsia="zh-CN"/>
              </w:rPr>
              <w:t>hang</w:t>
            </w:r>
          </w:p>
        </w:tc>
        <w:tc>
          <w:tcPr>
            <w:tcW w:w="5103" w:type="dxa"/>
          </w:tcPr>
          <w:p w14:paraId="30556B01" w14:textId="77777777" w:rsidR="00BA4387" w:rsidRDefault="00BA4387" w:rsidP="006B2419">
            <w:pPr>
              <w:autoSpaceDE w:val="0"/>
              <w:autoSpaceDN w:val="0"/>
              <w:jc w:val="both"/>
              <w:rPr>
                <w:lang w:val="de-DE"/>
              </w:rPr>
            </w:pPr>
            <w:r>
              <w:rPr>
                <w:rFonts w:ascii="Calibri" w:eastAsiaTheme="minorEastAsia" w:hAnsi="Calibri" w:cs="Calibri" w:hint="eastAsia"/>
                <w:sz w:val="22"/>
                <w:lang w:val="de-DE" w:eastAsia="zh-CN"/>
              </w:rPr>
              <w:t>z</w:t>
            </w:r>
            <w:r>
              <w:rPr>
                <w:rFonts w:ascii="Calibri" w:eastAsiaTheme="minorEastAsia" w:hAnsi="Calibri" w:cs="Calibri"/>
                <w:sz w:val="22"/>
                <w:lang w:val="de-DE" w:eastAsia="zh-CN"/>
              </w:rPr>
              <w:t>hangjian1288@fujitsu.com</w:t>
            </w:r>
          </w:p>
        </w:tc>
      </w:tr>
      <w:tr w:rsidR="00BA4387" w:rsidRPr="00663172" w14:paraId="7E6AB7BE" w14:textId="77777777" w:rsidTr="006B2419">
        <w:trPr>
          <w:trHeight w:val="450"/>
        </w:trPr>
        <w:tc>
          <w:tcPr>
            <w:tcW w:w="1980" w:type="dxa"/>
          </w:tcPr>
          <w:p w14:paraId="311AAAE3" w14:textId="77777777" w:rsidR="00BA4387" w:rsidRDefault="00BA4387" w:rsidP="006B2419">
            <w:pPr>
              <w:rPr>
                <w:rFonts w:ascii="Calibri" w:eastAsiaTheme="minorEastAsia" w:hAnsi="Calibri" w:cs="Calibri"/>
                <w:sz w:val="22"/>
                <w:lang w:val="de-DE" w:eastAsia="zh-CN"/>
              </w:rPr>
            </w:pPr>
            <w:r>
              <w:rPr>
                <w:rFonts w:ascii="Calibri" w:eastAsiaTheme="minorEastAsia" w:hAnsi="Calibri" w:cs="Calibri" w:hint="eastAsia"/>
                <w:sz w:val="22"/>
                <w:lang w:eastAsia="zh-CN"/>
              </w:rPr>
              <w:t>C</w:t>
            </w:r>
            <w:r>
              <w:rPr>
                <w:rFonts w:ascii="Calibri" w:eastAsiaTheme="minorEastAsia" w:hAnsi="Calibri" w:cs="Calibri"/>
                <w:sz w:val="22"/>
                <w:lang w:eastAsia="zh-CN"/>
              </w:rPr>
              <w:t>ATT, GOHIGH</w:t>
            </w:r>
          </w:p>
        </w:tc>
        <w:tc>
          <w:tcPr>
            <w:tcW w:w="2693" w:type="dxa"/>
          </w:tcPr>
          <w:p w14:paraId="671A9F54" w14:textId="77777777" w:rsidR="00BA4387" w:rsidRDefault="00BA4387" w:rsidP="006B2419">
            <w:pPr>
              <w:autoSpaceDE w:val="0"/>
              <w:autoSpaceDN w:val="0"/>
              <w:jc w:val="both"/>
              <w:rPr>
                <w:rFonts w:ascii="Calibri" w:eastAsiaTheme="minorEastAsia" w:hAnsi="Calibri" w:cs="Calibri"/>
                <w:sz w:val="22"/>
                <w:lang w:val="de-DE" w:eastAsia="zh-CN"/>
              </w:rPr>
            </w:pPr>
            <w:r>
              <w:rPr>
                <w:rFonts w:ascii="Calibri" w:eastAsiaTheme="minorEastAsia" w:hAnsi="Calibri" w:cs="Calibri" w:hint="eastAsia"/>
                <w:sz w:val="22"/>
                <w:lang w:val="de-DE" w:eastAsia="zh-CN"/>
              </w:rPr>
              <w:t>R</w:t>
            </w:r>
            <w:r>
              <w:rPr>
                <w:rFonts w:ascii="Calibri" w:eastAsiaTheme="minorEastAsia" w:hAnsi="Calibri" w:cs="Calibri"/>
                <w:sz w:val="22"/>
                <w:lang w:val="de-DE" w:eastAsia="zh-CN"/>
              </w:rPr>
              <w:t>ui Zhao</w:t>
            </w:r>
          </w:p>
          <w:p w14:paraId="035F43B1" w14:textId="77777777" w:rsidR="00BA4387" w:rsidRDefault="00BA4387" w:rsidP="006B2419">
            <w:pPr>
              <w:autoSpaceDE w:val="0"/>
              <w:autoSpaceDN w:val="0"/>
              <w:jc w:val="both"/>
              <w:rPr>
                <w:rFonts w:ascii="Calibri" w:eastAsiaTheme="minorEastAsia" w:hAnsi="Calibri" w:cs="Calibri"/>
                <w:sz w:val="22"/>
                <w:lang w:val="de-DE" w:eastAsia="zh-CN"/>
              </w:rPr>
            </w:pPr>
            <w:r>
              <w:rPr>
                <w:rFonts w:ascii="Calibri" w:eastAsiaTheme="minorEastAsia" w:hAnsi="Calibri" w:cs="Calibri"/>
                <w:sz w:val="22"/>
                <w:lang w:val="de-DE" w:eastAsia="zh-CN"/>
              </w:rPr>
              <w:t>Shupeng Li</w:t>
            </w:r>
          </w:p>
          <w:p w14:paraId="78B49F89" w14:textId="77777777" w:rsidR="00BA4387" w:rsidRDefault="00BA4387" w:rsidP="006B2419">
            <w:pPr>
              <w:autoSpaceDE w:val="0"/>
              <w:autoSpaceDN w:val="0"/>
              <w:jc w:val="both"/>
              <w:rPr>
                <w:rFonts w:ascii="Calibri" w:eastAsiaTheme="minorEastAsia" w:hAnsi="Calibri" w:cs="Calibri"/>
                <w:sz w:val="22"/>
                <w:lang w:val="de-DE" w:eastAsia="zh-CN"/>
              </w:rPr>
            </w:pPr>
            <w:r>
              <w:rPr>
                <w:rFonts w:ascii="Calibri" w:eastAsiaTheme="minorEastAsia" w:hAnsi="Calibri" w:cs="Calibri"/>
                <w:sz w:val="22"/>
                <w:lang w:val="de-DE" w:eastAsia="zh-CN"/>
              </w:rPr>
              <w:t>Xiaoran Wen</w:t>
            </w:r>
          </w:p>
        </w:tc>
        <w:tc>
          <w:tcPr>
            <w:tcW w:w="5103" w:type="dxa"/>
          </w:tcPr>
          <w:p w14:paraId="44593A7D" w14:textId="77777777" w:rsidR="00BA4387" w:rsidRDefault="00BA4387" w:rsidP="006B2419">
            <w:pPr>
              <w:autoSpaceDE w:val="0"/>
              <w:autoSpaceDN w:val="0"/>
              <w:jc w:val="both"/>
              <w:rPr>
                <w:rFonts w:ascii="Calibri" w:eastAsia="MS Mincho" w:hAnsi="Calibri" w:cs="Calibri"/>
                <w:sz w:val="22"/>
                <w:lang w:val="de-DE" w:eastAsia="ja-JP"/>
              </w:rPr>
            </w:pPr>
            <w:r>
              <w:rPr>
                <w:rFonts w:ascii="Calibri" w:eastAsia="MS Mincho" w:hAnsi="Calibri" w:cs="Calibri"/>
                <w:sz w:val="22"/>
                <w:lang w:val="de-DE" w:eastAsia="ja-JP"/>
              </w:rPr>
              <w:t>zhaorui@goghigh.com.cn</w:t>
            </w:r>
          </w:p>
          <w:p w14:paraId="2E25A0A8" w14:textId="77777777" w:rsidR="00BA4387" w:rsidRDefault="00BA4387" w:rsidP="006B2419">
            <w:pPr>
              <w:autoSpaceDE w:val="0"/>
              <w:autoSpaceDN w:val="0"/>
              <w:jc w:val="both"/>
              <w:rPr>
                <w:rFonts w:ascii="Calibri" w:eastAsia="MS Mincho" w:hAnsi="Calibri" w:cs="Calibri"/>
                <w:sz w:val="22"/>
                <w:lang w:val="de-DE" w:eastAsia="ja-JP"/>
              </w:rPr>
            </w:pPr>
            <w:r>
              <w:rPr>
                <w:rFonts w:ascii="Calibri" w:eastAsia="MS Mincho" w:hAnsi="Calibri" w:cs="Calibri"/>
                <w:sz w:val="22"/>
                <w:lang w:val="de-DE" w:eastAsia="ja-JP"/>
              </w:rPr>
              <w:t>lsp@catt.cn</w:t>
            </w:r>
          </w:p>
          <w:p w14:paraId="74911F4D" w14:textId="77777777" w:rsidR="00BA4387" w:rsidRDefault="00BA4387" w:rsidP="006B2419">
            <w:pPr>
              <w:autoSpaceDE w:val="0"/>
              <w:autoSpaceDN w:val="0"/>
              <w:jc w:val="both"/>
              <w:rPr>
                <w:rFonts w:ascii="Calibri" w:eastAsiaTheme="minorEastAsia" w:hAnsi="Calibri" w:cs="Calibri"/>
                <w:sz w:val="22"/>
                <w:lang w:val="de-DE" w:eastAsia="zh-CN"/>
              </w:rPr>
            </w:pPr>
            <w:r>
              <w:rPr>
                <w:rFonts w:ascii="Calibri" w:eastAsia="MS Mincho" w:hAnsi="Calibri" w:cs="Calibri"/>
                <w:sz w:val="22"/>
                <w:lang w:val="de-DE" w:eastAsia="ja-JP"/>
              </w:rPr>
              <w:t>wenxiaoran@gohigh.com.cn</w:t>
            </w:r>
          </w:p>
        </w:tc>
      </w:tr>
      <w:tr w:rsidR="00BA4387" w:rsidRPr="00663172" w14:paraId="4C1509FF" w14:textId="77777777" w:rsidTr="006B2419">
        <w:trPr>
          <w:trHeight w:val="450"/>
        </w:trPr>
        <w:tc>
          <w:tcPr>
            <w:tcW w:w="1980" w:type="dxa"/>
          </w:tcPr>
          <w:p w14:paraId="5F17EE14" w14:textId="77777777" w:rsidR="00BA4387" w:rsidRDefault="00BA4387" w:rsidP="006B2419">
            <w:pPr>
              <w:rPr>
                <w:rFonts w:ascii="Calibri" w:eastAsiaTheme="minorEastAsia" w:hAnsi="Calibri" w:cs="Calibri"/>
                <w:sz w:val="22"/>
                <w:lang w:eastAsia="zh-CN"/>
              </w:rPr>
            </w:pPr>
            <w:r>
              <w:rPr>
                <w:rFonts w:ascii="Calibri" w:eastAsia="MS Mincho" w:hAnsi="Calibri" w:cs="Calibri"/>
                <w:sz w:val="22"/>
                <w:lang w:eastAsia="ja-JP"/>
              </w:rPr>
              <w:t>Sony</w:t>
            </w:r>
          </w:p>
        </w:tc>
        <w:tc>
          <w:tcPr>
            <w:tcW w:w="2693" w:type="dxa"/>
          </w:tcPr>
          <w:p w14:paraId="3415716C" w14:textId="77777777" w:rsidR="00BA4387" w:rsidRDefault="00BA4387" w:rsidP="006B2419">
            <w:pPr>
              <w:autoSpaceDE w:val="0"/>
              <w:autoSpaceDN w:val="0"/>
              <w:jc w:val="both"/>
              <w:rPr>
                <w:rFonts w:ascii="Calibri" w:eastAsiaTheme="minorEastAsia" w:hAnsi="Calibri" w:cs="Calibri"/>
                <w:sz w:val="22"/>
                <w:lang w:val="de-DE" w:eastAsia="zh-CN"/>
              </w:rPr>
            </w:pPr>
            <w:r>
              <w:rPr>
                <w:rFonts w:ascii="Calibri" w:eastAsia="MS Mincho" w:hAnsi="Calibri" w:cs="Calibri"/>
                <w:sz w:val="22"/>
                <w:lang w:eastAsia="ja-JP"/>
              </w:rPr>
              <w:t>Kazuyuki Shimezawa</w:t>
            </w:r>
          </w:p>
        </w:tc>
        <w:tc>
          <w:tcPr>
            <w:tcW w:w="5103" w:type="dxa"/>
          </w:tcPr>
          <w:p w14:paraId="35AD1540" w14:textId="77777777" w:rsidR="00BA4387" w:rsidRDefault="00BA4387" w:rsidP="006B2419">
            <w:pPr>
              <w:autoSpaceDE w:val="0"/>
              <w:autoSpaceDN w:val="0"/>
              <w:jc w:val="both"/>
              <w:rPr>
                <w:rFonts w:ascii="Calibri" w:eastAsia="MS Mincho" w:hAnsi="Calibri" w:cs="Calibri"/>
                <w:sz w:val="22"/>
                <w:lang w:val="de-DE" w:eastAsia="ja-JP"/>
              </w:rPr>
            </w:pPr>
            <w:r>
              <w:rPr>
                <w:rFonts w:ascii="Calibri" w:eastAsia="MS Mincho" w:hAnsi="Calibri" w:cs="Calibri"/>
                <w:sz w:val="22"/>
                <w:lang w:val="de-DE" w:eastAsia="ja-JP"/>
              </w:rPr>
              <w:t>kazuyuki.shimezawa@sony.com</w:t>
            </w:r>
          </w:p>
        </w:tc>
      </w:tr>
      <w:tr w:rsidR="00BA4387" w14:paraId="05C66BD0" w14:textId="77777777" w:rsidTr="006B2419">
        <w:tc>
          <w:tcPr>
            <w:tcW w:w="1980" w:type="dxa"/>
          </w:tcPr>
          <w:p w14:paraId="5E2D5BFE" w14:textId="77777777" w:rsidR="00BA4387" w:rsidRDefault="00BA4387" w:rsidP="006B2419">
            <w:pPr>
              <w:autoSpaceDE w:val="0"/>
              <w:autoSpaceDN w:val="0"/>
              <w:jc w:val="both"/>
              <w:rPr>
                <w:rFonts w:ascii="Calibri" w:hAnsi="Calibri" w:cs="Calibri"/>
                <w:sz w:val="22"/>
              </w:rPr>
            </w:pPr>
            <w:r>
              <w:rPr>
                <w:rFonts w:ascii="Calibri" w:hAnsi="Calibri" w:cs="Calibri"/>
                <w:sz w:val="22"/>
              </w:rPr>
              <w:t>Nokia</w:t>
            </w:r>
          </w:p>
        </w:tc>
        <w:tc>
          <w:tcPr>
            <w:tcW w:w="2693" w:type="dxa"/>
          </w:tcPr>
          <w:p w14:paraId="0D2F0FBF" w14:textId="77777777" w:rsidR="00BA4387" w:rsidRDefault="00BA4387" w:rsidP="006B2419">
            <w:pPr>
              <w:autoSpaceDE w:val="0"/>
              <w:autoSpaceDN w:val="0"/>
              <w:jc w:val="both"/>
              <w:rPr>
                <w:rFonts w:ascii="Calibri" w:hAnsi="Calibri" w:cs="Calibri"/>
                <w:sz w:val="22"/>
              </w:rPr>
            </w:pPr>
            <w:r>
              <w:rPr>
                <w:rFonts w:ascii="Calibri" w:hAnsi="Calibri" w:cs="Calibri"/>
                <w:sz w:val="22"/>
              </w:rPr>
              <w:t>Timo Lunttila</w:t>
            </w:r>
          </w:p>
          <w:p w14:paraId="617BB826" w14:textId="77777777" w:rsidR="00BA4387" w:rsidRDefault="00BA4387" w:rsidP="006B2419">
            <w:pPr>
              <w:autoSpaceDE w:val="0"/>
              <w:autoSpaceDN w:val="0"/>
              <w:jc w:val="both"/>
              <w:rPr>
                <w:rFonts w:ascii="Calibri" w:hAnsi="Calibri" w:cs="Calibri"/>
                <w:sz w:val="22"/>
              </w:rPr>
            </w:pPr>
            <w:r>
              <w:rPr>
                <w:rFonts w:ascii="Calibri" w:hAnsi="Calibri" w:cs="Calibri"/>
                <w:sz w:val="22"/>
              </w:rPr>
              <w:t>Torsten Wildschek</w:t>
            </w:r>
          </w:p>
        </w:tc>
        <w:tc>
          <w:tcPr>
            <w:tcW w:w="5103" w:type="dxa"/>
          </w:tcPr>
          <w:p w14:paraId="6254789F" w14:textId="77777777" w:rsidR="00BA4387" w:rsidRDefault="00000000" w:rsidP="006B2419">
            <w:pPr>
              <w:autoSpaceDE w:val="0"/>
              <w:autoSpaceDN w:val="0"/>
              <w:jc w:val="both"/>
              <w:rPr>
                <w:rFonts w:ascii="Calibri" w:hAnsi="Calibri" w:cs="Calibri"/>
                <w:sz w:val="22"/>
              </w:rPr>
            </w:pPr>
            <w:hyperlink r:id="rId60" w:history="1">
              <w:r w:rsidR="00BA4387">
                <w:rPr>
                  <w:rStyle w:val="Hyperlink"/>
                  <w:rFonts w:ascii="Calibri" w:hAnsi="Calibri" w:cs="Calibri"/>
                  <w:sz w:val="22"/>
                </w:rPr>
                <w:t>timo.lunttila@nokia.com</w:t>
              </w:r>
            </w:hyperlink>
          </w:p>
          <w:p w14:paraId="5DA45E67" w14:textId="77777777" w:rsidR="00BA4387" w:rsidRDefault="00000000" w:rsidP="006B2419">
            <w:pPr>
              <w:autoSpaceDE w:val="0"/>
              <w:autoSpaceDN w:val="0"/>
              <w:jc w:val="both"/>
              <w:rPr>
                <w:rFonts w:ascii="Calibri" w:hAnsi="Calibri" w:cs="Calibri"/>
                <w:sz w:val="22"/>
              </w:rPr>
            </w:pPr>
            <w:hyperlink r:id="rId61" w:history="1">
              <w:r w:rsidR="00BA4387">
                <w:rPr>
                  <w:rStyle w:val="Hyperlink"/>
                  <w:rFonts w:ascii="Calibri" w:hAnsi="Calibri" w:cs="Calibri"/>
                  <w:sz w:val="22"/>
                </w:rPr>
                <w:t>Torsten.wildschek@nokia.com</w:t>
              </w:r>
            </w:hyperlink>
          </w:p>
        </w:tc>
      </w:tr>
      <w:tr w:rsidR="00BA4387" w14:paraId="3671FE9C" w14:textId="77777777" w:rsidTr="006B2419">
        <w:tc>
          <w:tcPr>
            <w:tcW w:w="1980" w:type="dxa"/>
          </w:tcPr>
          <w:p w14:paraId="2822CE99" w14:textId="77777777" w:rsidR="00BA4387" w:rsidRDefault="00BA4387" w:rsidP="006B2419">
            <w:pPr>
              <w:autoSpaceDE w:val="0"/>
              <w:autoSpaceDN w:val="0"/>
              <w:jc w:val="both"/>
              <w:rPr>
                <w:rFonts w:ascii="Calibri" w:hAnsi="Calibri" w:cs="Calibri"/>
                <w:sz w:val="22"/>
              </w:rPr>
            </w:pPr>
            <w:r>
              <w:rPr>
                <w:rFonts w:ascii="Calibri" w:hAnsi="Calibri" w:cs="Calibri"/>
                <w:sz w:val="22"/>
              </w:rPr>
              <w:t>Nokia Shanghai Bell</w:t>
            </w:r>
          </w:p>
        </w:tc>
        <w:tc>
          <w:tcPr>
            <w:tcW w:w="2693" w:type="dxa"/>
          </w:tcPr>
          <w:p w14:paraId="5A5C9AB9" w14:textId="77777777" w:rsidR="00BA4387" w:rsidRDefault="00000000" w:rsidP="006B2419">
            <w:pPr>
              <w:autoSpaceDE w:val="0"/>
              <w:autoSpaceDN w:val="0"/>
              <w:jc w:val="both"/>
              <w:rPr>
                <w:rFonts w:ascii="Calibri" w:hAnsi="Calibri" w:cs="Calibri"/>
                <w:sz w:val="22"/>
              </w:rPr>
            </w:pPr>
            <w:hyperlink r:id="rId62" w:history="1">
              <w:r w:rsidR="00BA4387">
                <w:rPr>
                  <w:rFonts w:ascii="Calibri" w:hAnsi="Calibri" w:cs="Calibri"/>
                  <w:sz w:val="22"/>
                </w:rPr>
                <w:t>Naizheng Zheng</w:t>
              </w:r>
            </w:hyperlink>
          </w:p>
        </w:tc>
        <w:tc>
          <w:tcPr>
            <w:tcW w:w="5103" w:type="dxa"/>
          </w:tcPr>
          <w:p w14:paraId="2DA88E90" w14:textId="77777777" w:rsidR="00BA4387" w:rsidRDefault="00BA4387" w:rsidP="006B2419">
            <w:pPr>
              <w:autoSpaceDE w:val="0"/>
              <w:autoSpaceDN w:val="0"/>
              <w:jc w:val="both"/>
              <w:rPr>
                <w:rFonts w:ascii="Calibri" w:hAnsi="Calibri" w:cs="Calibri"/>
                <w:sz w:val="22"/>
              </w:rPr>
            </w:pPr>
            <w:r>
              <w:rPr>
                <w:rFonts w:ascii="Calibri" w:hAnsi="Calibri" w:cs="Calibri"/>
                <w:sz w:val="22"/>
              </w:rPr>
              <w:t>naizheng.zheng@nokia-sbell.com</w:t>
            </w:r>
          </w:p>
        </w:tc>
      </w:tr>
      <w:tr w:rsidR="00BA4387" w14:paraId="48F7223B" w14:textId="77777777" w:rsidTr="006B2419">
        <w:tc>
          <w:tcPr>
            <w:tcW w:w="1980" w:type="dxa"/>
          </w:tcPr>
          <w:p w14:paraId="4E416769" w14:textId="77777777" w:rsidR="00BA4387" w:rsidRDefault="00BA4387" w:rsidP="006B2419">
            <w:pPr>
              <w:autoSpaceDE w:val="0"/>
              <w:autoSpaceDN w:val="0"/>
              <w:jc w:val="both"/>
              <w:rPr>
                <w:rFonts w:ascii="Calibri" w:hAnsi="Calibri" w:cs="Calibri"/>
                <w:sz w:val="22"/>
              </w:rPr>
            </w:pPr>
            <w:r>
              <w:rPr>
                <w:rFonts w:ascii="Calibri" w:eastAsiaTheme="minorEastAsia" w:hAnsi="Calibri" w:cs="Calibri"/>
                <w:sz w:val="22"/>
                <w:lang w:eastAsia="zh-CN"/>
              </w:rPr>
              <w:t>Fraunhofer</w:t>
            </w:r>
          </w:p>
        </w:tc>
        <w:tc>
          <w:tcPr>
            <w:tcW w:w="2693" w:type="dxa"/>
          </w:tcPr>
          <w:p w14:paraId="3E28FE96" w14:textId="77777777" w:rsidR="00BA4387" w:rsidRDefault="00BA4387" w:rsidP="006B2419">
            <w:pPr>
              <w:autoSpaceDE w:val="0"/>
              <w:autoSpaceDN w:val="0"/>
              <w:jc w:val="both"/>
            </w:pPr>
            <w:r>
              <w:rPr>
                <w:rFonts w:ascii="Calibri" w:eastAsiaTheme="minorEastAsia" w:hAnsi="Calibri" w:cs="Calibri"/>
                <w:sz w:val="22"/>
                <w:lang w:eastAsia="zh-CN"/>
              </w:rPr>
              <w:t>Sarun Selvanesan</w:t>
            </w:r>
          </w:p>
        </w:tc>
        <w:tc>
          <w:tcPr>
            <w:tcW w:w="5103" w:type="dxa"/>
          </w:tcPr>
          <w:p w14:paraId="45BB995B" w14:textId="77777777" w:rsidR="00BA4387" w:rsidRDefault="00000000" w:rsidP="006B2419">
            <w:pPr>
              <w:autoSpaceDE w:val="0"/>
              <w:autoSpaceDN w:val="0"/>
              <w:jc w:val="both"/>
              <w:rPr>
                <w:rFonts w:ascii="Calibri" w:hAnsi="Calibri" w:cs="Calibri"/>
                <w:sz w:val="22"/>
              </w:rPr>
            </w:pPr>
            <w:hyperlink r:id="rId63" w:history="1">
              <w:r w:rsidR="00BA4387">
                <w:rPr>
                  <w:rStyle w:val="Hyperlink"/>
                  <w:rFonts w:ascii="Calibri" w:hAnsi="Calibri" w:cs="Calibri"/>
                  <w:sz w:val="22"/>
                </w:rPr>
                <w:t>sarun.selvanesan@hhi.fraunhofer.de</w:t>
              </w:r>
            </w:hyperlink>
          </w:p>
        </w:tc>
      </w:tr>
      <w:tr w:rsidR="00BA4387" w14:paraId="7EF4DBE9" w14:textId="77777777" w:rsidTr="006B2419">
        <w:tc>
          <w:tcPr>
            <w:tcW w:w="1980" w:type="dxa"/>
          </w:tcPr>
          <w:p w14:paraId="4BE91A08" w14:textId="77777777" w:rsidR="00BA4387" w:rsidRDefault="00BA4387" w:rsidP="006B2419">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val="en-US" w:eastAsia="zh-CN"/>
              </w:rPr>
              <w:t>Transsion</w:t>
            </w:r>
          </w:p>
        </w:tc>
        <w:tc>
          <w:tcPr>
            <w:tcW w:w="2693" w:type="dxa"/>
          </w:tcPr>
          <w:p w14:paraId="489894A0" w14:textId="77777777" w:rsidR="00BA4387" w:rsidRDefault="00BA4387" w:rsidP="006B2419">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val="en-US" w:eastAsia="zh-CN"/>
              </w:rPr>
              <w:t>Xingya Shen</w:t>
            </w:r>
          </w:p>
        </w:tc>
        <w:tc>
          <w:tcPr>
            <w:tcW w:w="5103" w:type="dxa"/>
          </w:tcPr>
          <w:p w14:paraId="208A914C" w14:textId="77777777" w:rsidR="00BA4387" w:rsidRDefault="00BA4387" w:rsidP="006B2419">
            <w:pPr>
              <w:autoSpaceDE w:val="0"/>
              <w:autoSpaceDN w:val="0"/>
              <w:jc w:val="both"/>
            </w:pPr>
            <w:r>
              <w:rPr>
                <w:rFonts w:ascii="Calibri" w:eastAsia="SimSun" w:hAnsi="Calibri" w:cs="Calibri" w:hint="eastAsia"/>
                <w:sz w:val="22"/>
                <w:lang w:val="en-US" w:eastAsia="zh-CN"/>
              </w:rPr>
              <w:t>xingya.shen@transsion.com</w:t>
            </w:r>
          </w:p>
        </w:tc>
      </w:tr>
      <w:tr w:rsidR="00BA4387" w14:paraId="18CD934C" w14:textId="77777777" w:rsidTr="006B2419">
        <w:tc>
          <w:tcPr>
            <w:tcW w:w="1980" w:type="dxa"/>
          </w:tcPr>
          <w:p w14:paraId="12A5688B" w14:textId="77777777" w:rsidR="00BA4387" w:rsidRDefault="00BA4387" w:rsidP="006B2419">
            <w:pPr>
              <w:autoSpaceDE w:val="0"/>
              <w:autoSpaceDN w:val="0"/>
              <w:jc w:val="both"/>
              <w:rPr>
                <w:rFonts w:ascii="Calibri" w:eastAsiaTheme="minorEastAsia" w:hAnsi="Calibri" w:cs="Calibri"/>
                <w:sz w:val="22"/>
                <w:lang w:val="en-US" w:eastAsia="zh-CN"/>
              </w:rPr>
            </w:pPr>
            <w:r>
              <w:rPr>
                <w:rFonts w:ascii="Calibri" w:hAnsi="Calibri" w:cs="Calibri"/>
                <w:sz w:val="22"/>
              </w:rPr>
              <w:t>Ericsson</w:t>
            </w:r>
          </w:p>
        </w:tc>
        <w:tc>
          <w:tcPr>
            <w:tcW w:w="2693" w:type="dxa"/>
          </w:tcPr>
          <w:p w14:paraId="6EA84960" w14:textId="77777777" w:rsidR="00BA4387" w:rsidRDefault="00BA4387" w:rsidP="006B2419">
            <w:pPr>
              <w:autoSpaceDE w:val="0"/>
              <w:autoSpaceDN w:val="0"/>
              <w:jc w:val="both"/>
              <w:rPr>
                <w:rFonts w:ascii="Calibri" w:hAnsi="Calibri" w:cs="Calibri"/>
                <w:sz w:val="22"/>
                <w:lang w:val="it-IT"/>
              </w:rPr>
            </w:pPr>
            <w:r>
              <w:rPr>
                <w:rFonts w:ascii="Calibri" w:hAnsi="Calibri" w:cs="Calibri"/>
                <w:sz w:val="22"/>
                <w:lang w:val="it-IT"/>
              </w:rPr>
              <w:t>Ricardo Blasco</w:t>
            </w:r>
          </w:p>
          <w:p w14:paraId="4913E082" w14:textId="77777777" w:rsidR="00BA4387" w:rsidRDefault="00BA4387" w:rsidP="006B2419">
            <w:pPr>
              <w:autoSpaceDE w:val="0"/>
              <w:autoSpaceDN w:val="0"/>
              <w:jc w:val="both"/>
              <w:rPr>
                <w:rFonts w:ascii="Calibri" w:eastAsiaTheme="minorEastAsia" w:hAnsi="Calibri" w:cs="Calibri"/>
                <w:sz w:val="22"/>
                <w:lang w:val="it-IT" w:eastAsia="zh-CN"/>
              </w:rPr>
            </w:pPr>
            <w:r>
              <w:rPr>
                <w:rFonts w:ascii="Calibri" w:hAnsi="Calibri" w:cs="Calibri"/>
                <w:sz w:val="22"/>
                <w:lang w:val="it-IT"/>
              </w:rPr>
              <w:t>Jose Leon Calvo</w:t>
            </w:r>
          </w:p>
        </w:tc>
        <w:tc>
          <w:tcPr>
            <w:tcW w:w="5103" w:type="dxa"/>
          </w:tcPr>
          <w:p w14:paraId="1A98C627" w14:textId="77777777" w:rsidR="00BA4387" w:rsidRDefault="00BA4387" w:rsidP="006B2419">
            <w:pPr>
              <w:autoSpaceDE w:val="0"/>
              <w:autoSpaceDN w:val="0"/>
              <w:jc w:val="both"/>
              <w:rPr>
                <w:rFonts w:ascii="Calibri" w:hAnsi="Calibri" w:cs="Calibri"/>
                <w:sz w:val="22"/>
              </w:rPr>
            </w:pPr>
            <w:r>
              <w:rPr>
                <w:rFonts w:ascii="Calibri" w:hAnsi="Calibri" w:cs="Calibri"/>
                <w:sz w:val="22"/>
              </w:rPr>
              <w:t>name.surname at company . com</w:t>
            </w:r>
          </w:p>
          <w:p w14:paraId="71F6815C" w14:textId="77777777" w:rsidR="00BA4387" w:rsidRDefault="00BA4387" w:rsidP="006B2419">
            <w:pPr>
              <w:autoSpaceDE w:val="0"/>
              <w:autoSpaceDN w:val="0"/>
              <w:jc w:val="both"/>
              <w:rPr>
                <w:rFonts w:ascii="Calibri" w:eastAsia="SimSun" w:hAnsi="Calibri" w:cs="Calibri"/>
                <w:sz w:val="22"/>
                <w:lang w:val="en-US" w:eastAsia="zh-CN"/>
              </w:rPr>
            </w:pPr>
            <w:r>
              <w:rPr>
                <w:rFonts w:ascii="Calibri" w:hAnsi="Calibri" w:cs="Calibri"/>
                <w:sz w:val="22"/>
              </w:rPr>
              <w:t>jose.leon.calvo@ericsson.com</w:t>
            </w:r>
          </w:p>
        </w:tc>
      </w:tr>
      <w:tr w:rsidR="00BA4387" w14:paraId="6C3032B0" w14:textId="77777777" w:rsidTr="006B2419">
        <w:tc>
          <w:tcPr>
            <w:tcW w:w="1980" w:type="dxa"/>
          </w:tcPr>
          <w:p w14:paraId="21987B3D" w14:textId="77777777" w:rsidR="00BA4387" w:rsidRDefault="00BA4387" w:rsidP="006B2419">
            <w:pPr>
              <w:autoSpaceDE w:val="0"/>
              <w:autoSpaceDN w:val="0"/>
              <w:jc w:val="both"/>
              <w:rPr>
                <w:rFonts w:ascii="Calibri" w:hAnsi="Calibri" w:cs="Calibri"/>
                <w:sz w:val="22"/>
              </w:rPr>
            </w:pPr>
            <w:r>
              <w:rPr>
                <w:rFonts w:ascii="Times New Roman" w:eastAsiaTheme="minorEastAsia" w:hAnsi="Times New Roman"/>
                <w:sz w:val="22"/>
                <w:lang w:eastAsia="zh-CN"/>
              </w:rPr>
              <w:t>NEC</w:t>
            </w:r>
          </w:p>
        </w:tc>
        <w:tc>
          <w:tcPr>
            <w:tcW w:w="2693" w:type="dxa"/>
          </w:tcPr>
          <w:p w14:paraId="71BCA893" w14:textId="77777777" w:rsidR="00BA4387" w:rsidRDefault="00BA4387" w:rsidP="006B2419">
            <w:pPr>
              <w:autoSpaceDE w:val="0"/>
              <w:autoSpaceDN w:val="0"/>
              <w:jc w:val="both"/>
              <w:rPr>
                <w:rFonts w:ascii="Times New Roman" w:eastAsiaTheme="minorEastAsia" w:hAnsi="Times New Roman"/>
                <w:sz w:val="22"/>
                <w:lang w:eastAsia="zh-CN"/>
              </w:rPr>
            </w:pPr>
            <w:r>
              <w:rPr>
                <w:rFonts w:ascii="Times New Roman" w:eastAsiaTheme="minorEastAsia" w:hAnsi="Times New Roman"/>
                <w:sz w:val="22"/>
                <w:lang w:eastAsia="zh-CN"/>
              </w:rPr>
              <w:t>Jin Yang</w:t>
            </w:r>
          </w:p>
          <w:p w14:paraId="6D9C124D" w14:textId="77777777" w:rsidR="00BA4387" w:rsidRDefault="00BA4387" w:rsidP="006B2419">
            <w:pPr>
              <w:autoSpaceDE w:val="0"/>
              <w:autoSpaceDN w:val="0"/>
              <w:jc w:val="both"/>
              <w:rPr>
                <w:rFonts w:ascii="Calibri" w:hAnsi="Calibri" w:cs="Calibri"/>
                <w:sz w:val="22"/>
              </w:rPr>
            </w:pPr>
            <w:r>
              <w:rPr>
                <w:rFonts w:ascii="Times New Roman" w:eastAsiaTheme="minorEastAsia" w:hAnsi="Times New Roman"/>
                <w:sz w:val="22"/>
                <w:lang w:eastAsia="zh-CN"/>
              </w:rPr>
              <w:t>Zhaobang Miao</w:t>
            </w:r>
          </w:p>
        </w:tc>
        <w:tc>
          <w:tcPr>
            <w:tcW w:w="5103" w:type="dxa"/>
          </w:tcPr>
          <w:p w14:paraId="1776FA67" w14:textId="77777777" w:rsidR="00BA4387" w:rsidRDefault="00BA4387" w:rsidP="006B2419">
            <w:pPr>
              <w:autoSpaceDE w:val="0"/>
              <w:autoSpaceDN w:val="0"/>
              <w:jc w:val="both"/>
              <w:rPr>
                <w:rFonts w:ascii="Times New Roman" w:eastAsiaTheme="minorEastAsia" w:hAnsi="Times New Roman"/>
                <w:sz w:val="22"/>
                <w:lang w:eastAsia="zh-CN"/>
              </w:rPr>
            </w:pPr>
            <w:r>
              <w:rPr>
                <w:rFonts w:ascii="Times New Roman" w:eastAsiaTheme="minorEastAsia" w:hAnsi="Times New Roman"/>
                <w:sz w:val="22"/>
                <w:lang w:eastAsia="zh-CN"/>
              </w:rPr>
              <w:t>yangjin@labs.nec.cn</w:t>
            </w:r>
          </w:p>
          <w:p w14:paraId="4A710095" w14:textId="77777777" w:rsidR="00BA4387" w:rsidRDefault="00000000" w:rsidP="006B2419">
            <w:pPr>
              <w:autoSpaceDE w:val="0"/>
              <w:autoSpaceDN w:val="0"/>
              <w:jc w:val="both"/>
              <w:rPr>
                <w:rFonts w:ascii="Calibri" w:hAnsi="Calibri" w:cs="Calibri"/>
                <w:sz w:val="22"/>
              </w:rPr>
            </w:pPr>
            <w:hyperlink r:id="rId64" w:history="1">
              <w:r w:rsidR="00BA4387">
                <w:rPr>
                  <w:rStyle w:val="Hyperlink"/>
                  <w:rFonts w:ascii="Times New Roman" w:eastAsiaTheme="minorEastAsia" w:hAnsi="Times New Roman"/>
                  <w:sz w:val="22"/>
                  <w:lang w:eastAsia="zh-CN"/>
                </w:rPr>
                <w:t>miao_zhaobang@nec.cn</w:t>
              </w:r>
            </w:hyperlink>
          </w:p>
        </w:tc>
      </w:tr>
      <w:tr w:rsidR="00BA4387" w14:paraId="34752691" w14:textId="77777777" w:rsidTr="006B2419">
        <w:tc>
          <w:tcPr>
            <w:tcW w:w="1980" w:type="dxa"/>
          </w:tcPr>
          <w:p w14:paraId="10156C9F" w14:textId="77777777" w:rsidR="00BA4387" w:rsidRDefault="00BA4387" w:rsidP="006B2419">
            <w:pPr>
              <w:autoSpaceDE w:val="0"/>
              <w:autoSpaceDN w:val="0"/>
              <w:jc w:val="both"/>
              <w:rPr>
                <w:rFonts w:ascii="Times New Roman" w:eastAsiaTheme="minorEastAsia" w:hAnsi="Times New Roman"/>
                <w:sz w:val="22"/>
                <w:lang w:eastAsia="zh-CN"/>
              </w:rPr>
            </w:pPr>
            <w:r>
              <w:rPr>
                <w:rFonts w:ascii="Times New Roman" w:eastAsiaTheme="minorEastAsia" w:hAnsi="Times New Roman"/>
                <w:sz w:val="22"/>
                <w:lang w:eastAsia="zh-CN"/>
              </w:rPr>
              <w:t>MediaTek</w:t>
            </w:r>
          </w:p>
        </w:tc>
        <w:tc>
          <w:tcPr>
            <w:tcW w:w="2693" w:type="dxa"/>
          </w:tcPr>
          <w:p w14:paraId="20F4CBC8" w14:textId="77777777" w:rsidR="00BA4387" w:rsidRDefault="00BA4387" w:rsidP="006B2419">
            <w:pPr>
              <w:autoSpaceDE w:val="0"/>
              <w:autoSpaceDN w:val="0"/>
              <w:jc w:val="both"/>
              <w:rPr>
                <w:rFonts w:ascii="Times New Roman" w:eastAsiaTheme="minorEastAsia" w:hAnsi="Times New Roman"/>
                <w:sz w:val="22"/>
                <w:lang w:eastAsia="zh-CN"/>
              </w:rPr>
            </w:pPr>
            <w:r>
              <w:rPr>
                <w:rFonts w:ascii="Times New Roman" w:eastAsiaTheme="minorEastAsia" w:hAnsi="Times New Roman"/>
                <w:sz w:val="22"/>
                <w:lang w:eastAsia="zh-CN"/>
              </w:rPr>
              <w:t>Tao CHEN</w:t>
            </w:r>
          </w:p>
          <w:p w14:paraId="6A3A7E16" w14:textId="77777777" w:rsidR="00BA4387" w:rsidRDefault="00BA4387" w:rsidP="006B2419">
            <w:pPr>
              <w:autoSpaceDE w:val="0"/>
              <w:autoSpaceDN w:val="0"/>
              <w:jc w:val="both"/>
              <w:rPr>
                <w:rFonts w:ascii="Times New Roman" w:eastAsiaTheme="minorEastAsia" w:hAnsi="Times New Roman"/>
                <w:sz w:val="22"/>
                <w:lang w:eastAsia="zh-CN"/>
              </w:rPr>
            </w:pPr>
            <w:r>
              <w:rPr>
                <w:rFonts w:ascii="Times New Roman" w:eastAsiaTheme="minorEastAsia" w:hAnsi="Times New Roman"/>
                <w:sz w:val="22"/>
                <w:lang w:eastAsia="zh-CN"/>
              </w:rPr>
              <w:t>Junqiang CHENG</w:t>
            </w:r>
          </w:p>
        </w:tc>
        <w:tc>
          <w:tcPr>
            <w:tcW w:w="5103" w:type="dxa"/>
          </w:tcPr>
          <w:p w14:paraId="6104084D" w14:textId="77777777" w:rsidR="00BA4387" w:rsidRDefault="00000000" w:rsidP="006B2419">
            <w:pPr>
              <w:autoSpaceDE w:val="0"/>
              <w:autoSpaceDN w:val="0"/>
              <w:jc w:val="both"/>
              <w:rPr>
                <w:rFonts w:ascii="Times New Roman" w:eastAsiaTheme="minorEastAsia" w:hAnsi="Times New Roman"/>
                <w:sz w:val="22"/>
                <w:lang w:eastAsia="zh-CN"/>
              </w:rPr>
            </w:pPr>
            <w:hyperlink r:id="rId65" w:history="1">
              <w:r w:rsidR="00BA4387">
                <w:rPr>
                  <w:rStyle w:val="Hyperlink"/>
                  <w:rFonts w:ascii="Times New Roman" w:eastAsiaTheme="minorEastAsia" w:hAnsi="Times New Roman"/>
                  <w:sz w:val="22"/>
                  <w:lang w:eastAsia="zh-CN"/>
                </w:rPr>
                <w:t>Tao.chen@mediatek.com</w:t>
              </w:r>
            </w:hyperlink>
          </w:p>
          <w:p w14:paraId="72BF6AE7" w14:textId="77777777" w:rsidR="00BA4387" w:rsidRDefault="00BA4387" w:rsidP="006B2419">
            <w:pPr>
              <w:autoSpaceDE w:val="0"/>
              <w:autoSpaceDN w:val="0"/>
              <w:jc w:val="both"/>
              <w:rPr>
                <w:rFonts w:ascii="Times New Roman" w:eastAsiaTheme="minorEastAsia" w:hAnsi="Times New Roman"/>
                <w:sz w:val="22"/>
                <w:lang w:eastAsia="zh-CN"/>
              </w:rPr>
            </w:pPr>
            <w:r>
              <w:rPr>
                <w:rFonts w:ascii="Times New Roman" w:eastAsiaTheme="minorEastAsia" w:hAnsi="Times New Roman"/>
                <w:sz w:val="22"/>
                <w:lang w:eastAsia="zh-CN"/>
              </w:rPr>
              <w:t>Junqiang.cheng@mediatek.com</w:t>
            </w:r>
          </w:p>
        </w:tc>
      </w:tr>
      <w:tr w:rsidR="00BA4387" w14:paraId="4C94AAF1" w14:textId="77777777" w:rsidTr="006B2419">
        <w:trPr>
          <w:trHeight w:val="158"/>
        </w:trPr>
        <w:tc>
          <w:tcPr>
            <w:tcW w:w="1980" w:type="dxa"/>
          </w:tcPr>
          <w:p w14:paraId="0D554BE4" w14:textId="77777777" w:rsidR="00BA4387" w:rsidRDefault="00BA4387" w:rsidP="006B2419">
            <w:pPr>
              <w:rPr>
                <w:rFonts w:ascii="Calibri" w:hAnsi="Calibri" w:cs="Calibri"/>
                <w:sz w:val="22"/>
                <w:lang w:val="en-US" w:eastAsia="zh-CN"/>
              </w:rPr>
            </w:pPr>
            <w:r>
              <w:rPr>
                <w:rFonts w:ascii="Calibri" w:hAnsi="Calibri" w:cs="Calibri"/>
                <w:sz w:val="22"/>
                <w:lang w:val="en-US" w:eastAsia="zh-CN"/>
              </w:rPr>
              <w:t>HiSilicon</w:t>
            </w:r>
          </w:p>
        </w:tc>
        <w:tc>
          <w:tcPr>
            <w:tcW w:w="2693" w:type="dxa"/>
          </w:tcPr>
          <w:p w14:paraId="1C4D1AAF" w14:textId="77777777" w:rsidR="00BA4387" w:rsidRDefault="00BA4387" w:rsidP="006B2419">
            <w:pPr>
              <w:rPr>
                <w:rFonts w:ascii="Calibri" w:hAnsi="Calibri" w:cs="Calibri"/>
                <w:sz w:val="22"/>
                <w:lang w:val="en-US" w:eastAsia="zh-CN"/>
              </w:rPr>
            </w:pPr>
            <w:r>
              <w:rPr>
                <w:rFonts w:ascii="Calibri" w:hAnsi="Calibri" w:cs="Calibri"/>
                <w:sz w:val="22"/>
                <w:lang w:val="en-US" w:eastAsia="zh-CN"/>
              </w:rPr>
              <w:t>Fan Yang</w:t>
            </w:r>
          </w:p>
        </w:tc>
        <w:tc>
          <w:tcPr>
            <w:tcW w:w="5103" w:type="dxa"/>
          </w:tcPr>
          <w:p w14:paraId="55056F89" w14:textId="77777777" w:rsidR="00BA4387" w:rsidRDefault="00BA4387" w:rsidP="006B2419">
            <w:pPr>
              <w:rPr>
                <w:rFonts w:ascii="Calibri" w:hAnsi="Calibri" w:cs="Calibri"/>
                <w:sz w:val="22"/>
                <w:lang w:eastAsia="zh-CN"/>
              </w:rPr>
            </w:pPr>
            <w:r>
              <w:rPr>
                <w:rFonts w:ascii="Calibri" w:hAnsi="Calibri" w:cs="Calibri"/>
                <w:sz w:val="22"/>
                <w:lang w:eastAsia="zh-CN"/>
              </w:rPr>
              <w:t>james.yangfan@huawei.com</w:t>
            </w:r>
          </w:p>
        </w:tc>
      </w:tr>
      <w:tr w:rsidR="00BA4387" w14:paraId="24D9FF89" w14:textId="77777777" w:rsidTr="006B2419">
        <w:trPr>
          <w:trHeight w:val="158"/>
        </w:trPr>
        <w:tc>
          <w:tcPr>
            <w:tcW w:w="1980" w:type="dxa"/>
          </w:tcPr>
          <w:p w14:paraId="7E6EC706" w14:textId="77777777" w:rsidR="00BA4387" w:rsidRDefault="00BA4387" w:rsidP="006B2419">
            <w:pPr>
              <w:rPr>
                <w:rFonts w:ascii="Calibri" w:hAnsi="Calibri" w:cs="Calibri"/>
                <w:sz w:val="22"/>
                <w:lang w:val="en-US" w:eastAsia="zh-CN"/>
              </w:rPr>
            </w:pPr>
            <w:r>
              <w:rPr>
                <w:rFonts w:ascii="Calibri" w:hAnsi="Calibri" w:cs="Calibri"/>
                <w:sz w:val="22"/>
                <w:lang w:val="en-US" w:eastAsia="zh-CN"/>
              </w:rPr>
              <w:t>Huawei</w:t>
            </w:r>
          </w:p>
        </w:tc>
        <w:tc>
          <w:tcPr>
            <w:tcW w:w="2693" w:type="dxa"/>
          </w:tcPr>
          <w:p w14:paraId="7AD62B76" w14:textId="77777777" w:rsidR="00BA4387" w:rsidRDefault="00BA4387" w:rsidP="006B2419">
            <w:pPr>
              <w:rPr>
                <w:rFonts w:ascii="Calibri" w:hAnsi="Calibri" w:cs="Calibri"/>
                <w:sz w:val="22"/>
                <w:lang w:val="en-US" w:eastAsia="zh-CN"/>
              </w:rPr>
            </w:pPr>
            <w:r>
              <w:rPr>
                <w:rFonts w:ascii="Calibri" w:hAnsi="Calibri" w:cs="Calibri"/>
                <w:sz w:val="22"/>
                <w:lang w:val="en-US" w:eastAsia="zh-CN"/>
              </w:rPr>
              <w:t>Xiang Mi</w:t>
            </w:r>
          </w:p>
        </w:tc>
        <w:tc>
          <w:tcPr>
            <w:tcW w:w="5103" w:type="dxa"/>
          </w:tcPr>
          <w:p w14:paraId="054E387E" w14:textId="77777777" w:rsidR="00BA4387" w:rsidRDefault="00BA4387" w:rsidP="006B2419">
            <w:pPr>
              <w:rPr>
                <w:rFonts w:ascii="Calibri" w:hAnsi="Calibri" w:cs="Calibri"/>
                <w:sz w:val="22"/>
                <w:lang w:eastAsia="zh-CN"/>
              </w:rPr>
            </w:pPr>
            <w:r>
              <w:rPr>
                <w:rFonts w:ascii="Calibri" w:hAnsi="Calibri" w:cs="Calibri"/>
                <w:sz w:val="22"/>
                <w:lang w:eastAsia="zh-CN"/>
              </w:rPr>
              <w:t>shawn.mixiang@huawei.com</w:t>
            </w:r>
          </w:p>
        </w:tc>
      </w:tr>
      <w:tr w:rsidR="00BA4387" w14:paraId="67E66791" w14:textId="77777777" w:rsidTr="006B2419">
        <w:trPr>
          <w:trHeight w:val="158"/>
        </w:trPr>
        <w:tc>
          <w:tcPr>
            <w:tcW w:w="1980" w:type="dxa"/>
          </w:tcPr>
          <w:p w14:paraId="5A2CE25D" w14:textId="77777777" w:rsidR="00BA4387" w:rsidRDefault="00BA4387" w:rsidP="006B2419">
            <w:pPr>
              <w:rPr>
                <w:rFonts w:ascii="Calibri" w:hAnsi="Calibri" w:cs="Calibri"/>
                <w:sz w:val="22"/>
                <w:lang w:val="en-US" w:eastAsia="zh-CN"/>
              </w:rPr>
            </w:pPr>
            <w:r>
              <w:rPr>
                <w:rFonts w:ascii="Calibri" w:hAnsi="Calibri" w:cs="Calibri"/>
                <w:sz w:val="22"/>
                <w:lang w:val="en-US" w:eastAsia="zh-CN"/>
              </w:rPr>
              <w:t>Apple</w:t>
            </w:r>
          </w:p>
        </w:tc>
        <w:tc>
          <w:tcPr>
            <w:tcW w:w="2693" w:type="dxa"/>
          </w:tcPr>
          <w:p w14:paraId="06F50173" w14:textId="77777777" w:rsidR="00BA4387" w:rsidRDefault="00BA4387" w:rsidP="006B2419">
            <w:pPr>
              <w:rPr>
                <w:rFonts w:ascii="Calibri" w:hAnsi="Calibri" w:cs="Calibri"/>
                <w:sz w:val="22"/>
                <w:lang w:val="en-US" w:eastAsia="zh-CN"/>
              </w:rPr>
            </w:pPr>
            <w:r>
              <w:rPr>
                <w:rFonts w:ascii="Calibri" w:hAnsi="Calibri" w:cs="Calibri"/>
                <w:sz w:val="22"/>
                <w:lang w:val="en-US" w:eastAsia="zh-CN"/>
              </w:rPr>
              <w:t>Huaning Niu</w:t>
            </w:r>
          </w:p>
          <w:p w14:paraId="00454F54" w14:textId="77777777" w:rsidR="00BA4387" w:rsidRDefault="00BA4387" w:rsidP="006B2419">
            <w:pPr>
              <w:rPr>
                <w:rFonts w:ascii="Calibri" w:hAnsi="Calibri" w:cs="Calibri"/>
                <w:sz w:val="22"/>
                <w:lang w:val="en-US" w:eastAsia="zh-CN"/>
              </w:rPr>
            </w:pPr>
            <w:r>
              <w:rPr>
                <w:rFonts w:ascii="Calibri" w:hAnsi="Calibri" w:cs="Calibri"/>
                <w:sz w:val="22"/>
                <w:lang w:val="en-US" w:eastAsia="zh-CN"/>
              </w:rPr>
              <w:t>Chunxuan Ye</w:t>
            </w:r>
          </w:p>
        </w:tc>
        <w:tc>
          <w:tcPr>
            <w:tcW w:w="5103" w:type="dxa"/>
          </w:tcPr>
          <w:p w14:paraId="7E0105FB" w14:textId="77777777" w:rsidR="00BA4387" w:rsidRDefault="00000000" w:rsidP="006B2419">
            <w:pPr>
              <w:rPr>
                <w:rFonts w:ascii="Calibri" w:hAnsi="Calibri" w:cs="Calibri"/>
                <w:sz w:val="22"/>
                <w:lang w:eastAsia="zh-CN"/>
              </w:rPr>
            </w:pPr>
            <w:hyperlink r:id="rId66" w:history="1">
              <w:r w:rsidR="00BA4387">
                <w:rPr>
                  <w:rStyle w:val="Hyperlink"/>
                  <w:rFonts w:ascii="Calibri" w:hAnsi="Calibri" w:cs="Calibri"/>
                  <w:sz w:val="22"/>
                  <w:lang w:eastAsia="zh-CN"/>
                </w:rPr>
                <w:t>Huaning_niu@apple.com</w:t>
              </w:r>
            </w:hyperlink>
          </w:p>
          <w:p w14:paraId="084F5E6E" w14:textId="77777777" w:rsidR="00BA4387" w:rsidRDefault="00BA4387" w:rsidP="006B2419">
            <w:pPr>
              <w:rPr>
                <w:rFonts w:ascii="Calibri" w:hAnsi="Calibri" w:cs="Calibri"/>
                <w:sz w:val="22"/>
                <w:lang w:eastAsia="zh-CN"/>
              </w:rPr>
            </w:pPr>
            <w:r>
              <w:rPr>
                <w:rFonts w:ascii="Calibri" w:hAnsi="Calibri" w:cs="Calibri"/>
                <w:sz w:val="22"/>
                <w:lang w:eastAsia="zh-CN"/>
              </w:rPr>
              <w:t>Chunxuan_ye@apple.com</w:t>
            </w:r>
          </w:p>
        </w:tc>
      </w:tr>
      <w:tr w:rsidR="00BA4387" w14:paraId="49CBB66F" w14:textId="77777777" w:rsidTr="006B2419">
        <w:trPr>
          <w:trHeight w:val="158"/>
        </w:trPr>
        <w:tc>
          <w:tcPr>
            <w:tcW w:w="1980" w:type="dxa"/>
          </w:tcPr>
          <w:p w14:paraId="0D201C11" w14:textId="77777777" w:rsidR="00BA4387" w:rsidRDefault="00BA4387" w:rsidP="006B2419">
            <w:pPr>
              <w:rPr>
                <w:rFonts w:ascii="Calibri" w:hAnsi="Calibri" w:cs="Calibri"/>
                <w:sz w:val="22"/>
                <w:lang w:val="en-US" w:eastAsia="zh-CN"/>
              </w:rPr>
            </w:pPr>
            <w:r>
              <w:rPr>
                <w:rFonts w:ascii="Calibri" w:hAnsi="Calibri" w:cs="Calibri"/>
                <w:sz w:val="22"/>
                <w:lang w:val="en-US" w:eastAsia="zh-CN"/>
              </w:rPr>
              <w:lastRenderedPageBreak/>
              <w:t>WILUS</w:t>
            </w:r>
          </w:p>
        </w:tc>
        <w:tc>
          <w:tcPr>
            <w:tcW w:w="2693" w:type="dxa"/>
          </w:tcPr>
          <w:p w14:paraId="23E16B5B" w14:textId="77777777" w:rsidR="00BA4387" w:rsidRDefault="00BA4387" w:rsidP="006B2419">
            <w:pPr>
              <w:rPr>
                <w:rFonts w:ascii="Calibri" w:hAnsi="Calibri" w:cs="Calibri"/>
                <w:sz w:val="22"/>
                <w:lang w:val="en-US" w:eastAsia="zh-CN"/>
              </w:rPr>
            </w:pPr>
            <w:r>
              <w:rPr>
                <w:rFonts w:ascii="Calibri" w:hAnsi="Calibri" w:cs="Calibri" w:hint="eastAsia"/>
                <w:sz w:val="22"/>
                <w:lang w:val="en-US" w:eastAsia="ko-KR"/>
              </w:rPr>
              <w:t>M</w:t>
            </w:r>
            <w:r>
              <w:rPr>
                <w:rFonts w:ascii="Calibri" w:hAnsi="Calibri" w:cs="Calibri"/>
                <w:sz w:val="22"/>
                <w:lang w:val="en-US" w:eastAsia="ko-KR"/>
              </w:rPr>
              <w:t>inseok Noh</w:t>
            </w:r>
          </w:p>
        </w:tc>
        <w:tc>
          <w:tcPr>
            <w:tcW w:w="5103" w:type="dxa"/>
          </w:tcPr>
          <w:p w14:paraId="19E037DC" w14:textId="77777777" w:rsidR="00BA4387" w:rsidRDefault="00BA4387" w:rsidP="006B2419">
            <w:r>
              <w:rPr>
                <w:rFonts w:ascii="Calibri" w:hAnsi="Calibri" w:cs="Calibri"/>
                <w:sz w:val="22"/>
                <w:lang w:eastAsia="ko-KR"/>
              </w:rPr>
              <w:t>minseok.noh@wilusgroup.com</w:t>
            </w:r>
          </w:p>
        </w:tc>
      </w:tr>
      <w:tr w:rsidR="00BA4387" w14:paraId="69BE3B15" w14:textId="77777777" w:rsidTr="006B2419">
        <w:trPr>
          <w:trHeight w:val="158"/>
        </w:trPr>
        <w:tc>
          <w:tcPr>
            <w:tcW w:w="1980" w:type="dxa"/>
          </w:tcPr>
          <w:p w14:paraId="27228D0D" w14:textId="77777777" w:rsidR="00BA4387" w:rsidRDefault="00BA4387" w:rsidP="006B2419">
            <w:pPr>
              <w:rPr>
                <w:rFonts w:ascii="Calibri" w:hAnsi="Calibri" w:cs="Calibri"/>
                <w:sz w:val="22"/>
                <w:lang w:val="en-US" w:eastAsia="zh-CN"/>
              </w:rPr>
            </w:pPr>
            <w:r>
              <w:rPr>
                <w:rFonts w:ascii="Calibri" w:hAnsi="Calibri" w:cs="Calibri"/>
                <w:sz w:val="22"/>
                <w:lang w:val="en-US" w:eastAsia="zh-CN"/>
              </w:rPr>
              <w:t>Bosch</w:t>
            </w:r>
          </w:p>
        </w:tc>
        <w:tc>
          <w:tcPr>
            <w:tcW w:w="2693" w:type="dxa"/>
          </w:tcPr>
          <w:p w14:paraId="738A058F" w14:textId="77777777" w:rsidR="00BA4387" w:rsidRDefault="00BA4387" w:rsidP="006B2419">
            <w:pPr>
              <w:rPr>
                <w:rFonts w:ascii="Calibri" w:hAnsi="Calibri" w:cs="Calibri"/>
                <w:sz w:val="22"/>
                <w:lang w:val="en-US" w:eastAsia="ko-KR"/>
              </w:rPr>
            </w:pPr>
            <w:r>
              <w:rPr>
                <w:rFonts w:ascii="Calibri" w:hAnsi="Calibri" w:cs="Calibri"/>
                <w:sz w:val="22"/>
                <w:lang w:val="en-US" w:eastAsia="ko-KR"/>
              </w:rPr>
              <w:t>Khaled Hassan</w:t>
            </w:r>
          </w:p>
        </w:tc>
        <w:tc>
          <w:tcPr>
            <w:tcW w:w="5103" w:type="dxa"/>
          </w:tcPr>
          <w:p w14:paraId="110436FD" w14:textId="77777777" w:rsidR="00BA4387" w:rsidRDefault="00BA4387" w:rsidP="006B2419">
            <w:pPr>
              <w:rPr>
                <w:rFonts w:ascii="Calibri" w:hAnsi="Calibri" w:cs="Calibri"/>
                <w:sz w:val="22"/>
                <w:lang w:eastAsia="ko-KR"/>
              </w:rPr>
            </w:pPr>
            <w:r>
              <w:rPr>
                <w:rFonts w:ascii="Calibri" w:hAnsi="Calibri" w:cs="Calibri"/>
                <w:sz w:val="22"/>
                <w:lang w:eastAsia="ko-KR"/>
              </w:rPr>
              <w:t>Khaled.hassan@de.bosch.com</w:t>
            </w:r>
          </w:p>
        </w:tc>
      </w:tr>
      <w:tr w:rsidR="00BA4387" w14:paraId="49E4420C" w14:textId="77777777" w:rsidTr="006B2419">
        <w:trPr>
          <w:trHeight w:val="158"/>
        </w:trPr>
        <w:tc>
          <w:tcPr>
            <w:tcW w:w="1980" w:type="dxa"/>
          </w:tcPr>
          <w:p w14:paraId="41ED9727" w14:textId="77777777" w:rsidR="00BA4387" w:rsidRDefault="00BA4387" w:rsidP="006B2419">
            <w:pPr>
              <w:rPr>
                <w:rFonts w:ascii="Calibri" w:hAnsi="Calibri" w:cs="Calibri"/>
                <w:sz w:val="22"/>
                <w:lang w:eastAsia="zh-CN"/>
              </w:rPr>
            </w:pPr>
            <w:r>
              <w:rPr>
                <w:rFonts w:ascii="Calibri" w:hAnsi="Calibri" w:cs="Calibri" w:hint="eastAsia"/>
                <w:sz w:val="22"/>
                <w:lang w:val="en-US" w:eastAsia="zh-CN"/>
              </w:rPr>
              <w:t>China</w:t>
            </w:r>
            <w:r>
              <w:rPr>
                <w:rFonts w:ascii="Calibri" w:hAnsi="Calibri" w:cs="Calibri"/>
                <w:sz w:val="22"/>
                <w:lang w:val="en-US" w:eastAsia="zh-CN"/>
              </w:rPr>
              <w:t xml:space="preserve"> Telecom</w:t>
            </w:r>
          </w:p>
        </w:tc>
        <w:tc>
          <w:tcPr>
            <w:tcW w:w="2693" w:type="dxa"/>
          </w:tcPr>
          <w:p w14:paraId="52CC9D0A" w14:textId="77777777" w:rsidR="00BA4387" w:rsidRDefault="00BA4387" w:rsidP="006B2419">
            <w:pPr>
              <w:rPr>
                <w:rFonts w:ascii="Calibri" w:eastAsiaTheme="minorEastAsia" w:hAnsi="Calibri" w:cs="Calibri"/>
                <w:sz w:val="22"/>
                <w:lang w:val="en-US" w:eastAsia="zh-CN"/>
              </w:rPr>
            </w:pPr>
            <w:r>
              <w:rPr>
                <w:rFonts w:ascii="Calibri" w:eastAsiaTheme="minorEastAsia" w:hAnsi="Calibri" w:cs="Calibri" w:hint="eastAsia"/>
                <w:sz w:val="22"/>
                <w:lang w:val="en-US" w:eastAsia="zh-CN"/>
              </w:rPr>
              <w:t>J</w:t>
            </w:r>
            <w:r>
              <w:rPr>
                <w:rFonts w:ascii="Calibri" w:eastAsiaTheme="minorEastAsia" w:hAnsi="Calibri" w:cs="Calibri"/>
                <w:sz w:val="22"/>
                <w:lang w:val="en-US" w:eastAsia="zh-CN"/>
              </w:rPr>
              <w:t>ing Guo</w:t>
            </w:r>
          </w:p>
        </w:tc>
        <w:tc>
          <w:tcPr>
            <w:tcW w:w="5103" w:type="dxa"/>
          </w:tcPr>
          <w:p w14:paraId="0EB17BBA" w14:textId="77777777" w:rsidR="00BA4387" w:rsidRDefault="00BA4387" w:rsidP="006B2419">
            <w:pPr>
              <w:rPr>
                <w:rFonts w:ascii="Calibri" w:eastAsiaTheme="minorEastAsia" w:hAnsi="Calibri" w:cs="Calibri"/>
                <w:sz w:val="22"/>
                <w:lang w:eastAsia="zh-CN"/>
              </w:rPr>
            </w:pPr>
            <w:r>
              <w:rPr>
                <w:rFonts w:ascii="Calibri" w:eastAsiaTheme="minorEastAsia" w:hAnsi="Calibri" w:cs="Calibri"/>
                <w:sz w:val="22"/>
                <w:lang w:eastAsia="zh-CN"/>
              </w:rPr>
              <w:t>guojing6@chinatelecom.cn</w:t>
            </w:r>
          </w:p>
        </w:tc>
      </w:tr>
      <w:tr w:rsidR="00BA4387" w14:paraId="31C10E7F" w14:textId="77777777" w:rsidTr="006B2419">
        <w:trPr>
          <w:trHeight w:val="158"/>
        </w:trPr>
        <w:tc>
          <w:tcPr>
            <w:tcW w:w="1980" w:type="dxa"/>
          </w:tcPr>
          <w:p w14:paraId="54C69808" w14:textId="77777777" w:rsidR="00BA4387" w:rsidRDefault="00BA4387" w:rsidP="006B2419">
            <w:pPr>
              <w:rPr>
                <w:rFonts w:ascii="Calibri" w:hAnsi="Calibri" w:cs="Calibri"/>
                <w:sz w:val="22"/>
                <w:lang w:val="en-US" w:eastAsia="zh-CN"/>
              </w:rPr>
            </w:pPr>
            <w:r>
              <w:rPr>
                <w:rFonts w:ascii="Calibri" w:hAnsi="Calibri" w:cs="Calibri"/>
                <w:sz w:val="22"/>
                <w:lang w:val="en-US" w:eastAsia="zh-CN"/>
              </w:rPr>
              <w:t>Broadcom</w:t>
            </w:r>
          </w:p>
        </w:tc>
        <w:tc>
          <w:tcPr>
            <w:tcW w:w="2693" w:type="dxa"/>
          </w:tcPr>
          <w:p w14:paraId="61C3444B" w14:textId="77777777" w:rsidR="00BA4387" w:rsidRDefault="00BA4387" w:rsidP="006B2419">
            <w:pPr>
              <w:rPr>
                <w:rFonts w:ascii="Calibri" w:eastAsiaTheme="minorEastAsia" w:hAnsi="Calibri" w:cs="Calibri"/>
                <w:sz w:val="22"/>
                <w:lang w:val="en-US" w:eastAsia="zh-CN"/>
              </w:rPr>
            </w:pPr>
            <w:r>
              <w:rPr>
                <w:rFonts w:ascii="Calibri" w:eastAsiaTheme="minorEastAsia" w:hAnsi="Calibri" w:cs="Calibri"/>
                <w:sz w:val="22"/>
                <w:lang w:val="en-US" w:eastAsia="zh-CN"/>
              </w:rPr>
              <w:t>Florin Baboescu</w:t>
            </w:r>
          </w:p>
        </w:tc>
        <w:tc>
          <w:tcPr>
            <w:tcW w:w="5103" w:type="dxa"/>
          </w:tcPr>
          <w:p w14:paraId="1B1FE5D6" w14:textId="77777777" w:rsidR="00BA4387" w:rsidRPr="00340847" w:rsidRDefault="00BA4387" w:rsidP="006B2419">
            <w:pPr>
              <w:autoSpaceDE w:val="0"/>
              <w:autoSpaceDN w:val="0"/>
              <w:jc w:val="both"/>
              <w:rPr>
                <w:rFonts w:ascii="Calibri" w:hAnsi="Calibri" w:cs="Calibri"/>
                <w:sz w:val="22"/>
              </w:rPr>
            </w:pPr>
            <w:r>
              <w:rPr>
                <w:rFonts w:ascii="Calibri" w:hAnsi="Calibri" w:cs="Calibri"/>
                <w:sz w:val="22"/>
              </w:rPr>
              <w:t>name.surname at company . com</w:t>
            </w:r>
          </w:p>
        </w:tc>
      </w:tr>
      <w:tr w:rsidR="00BA4387" w14:paraId="687E6DF8" w14:textId="77777777" w:rsidTr="006B2419">
        <w:trPr>
          <w:trHeight w:val="158"/>
        </w:trPr>
        <w:tc>
          <w:tcPr>
            <w:tcW w:w="1980" w:type="dxa"/>
          </w:tcPr>
          <w:p w14:paraId="5655EA1D" w14:textId="77777777" w:rsidR="00BA4387" w:rsidRDefault="00BA4387" w:rsidP="006B2419">
            <w:pPr>
              <w:rPr>
                <w:rFonts w:ascii="Calibri" w:hAnsi="Calibri" w:cs="Calibri"/>
                <w:sz w:val="22"/>
                <w:lang w:val="en-US" w:eastAsia="zh-CN"/>
              </w:rPr>
            </w:pPr>
            <w:r>
              <w:rPr>
                <w:rFonts w:ascii="Calibri" w:hAnsi="Calibri" w:cs="Calibri"/>
                <w:sz w:val="22"/>
                <w:lang w:val="en-US" w:eastAsia="zh-CN"/>
              </w:rPr>
              <w:t>Toyota ITC</w:t>
            </w:r>
          </w:p>
        </w:tc>
        <w:tc>
          <w:tcPr>
            <w:tcW w:w="2693" w:type="dxa"/>
          </w:tcPr>
          <w:p w14:paraId="39033B6B" w14:textId="77777777" w:rsidR="00BA4387" w:rsidRDefault="00BA4387" w:rsidP="006B2419">
            <w:pPr>
              <w:rPr>
                <w:rFonts w:ascii="Calibri" w:eastAsiaTheme="minorEastAsia" w:hAnsi="Calibri" w:cs="Calibri"/>
                <w:sz w:val="22"/>
                <w:lang w:val="en-US" w:eastAsia="zh-CN"/>
              </w:rPr>
            </w:pPr>
            <w:r>
              <w:rPr>
                <w:rFonts w:ascii="Calibri" w:eastAsiaTheme="minorEastAsia" w:hAnsi="Calibri" w:cs="Calibri"/>
                <w:sz w:val="22"/>
                <w:lang w:val="en-US" w:eastAsia="zh-CN"/>
              </w:rPr>
              <w:t>Takayuki Shimizu</w:t>
            </w:r>
          </w:p>
        </w:tc>
        <w:tc>
          <w:tcPr>
            <w:tcW w:w="5103" w:type="dxa"/>
          </w:tcPr>
          <w:p w14:paraId="4C0B4C64" w14:textId="77777777" w:rsidR="00BA4387" w:rsidRDefault="00BA4387" w:rsidP="006B2419">
            <w:pPr>
              <w:autoSpaceDE w:val="0"/>
              <w:autoSpaceDN w:val="0"/>
              <w:jc w:val="both"/>
              <w:rPr>
                <w:rFonts w:ascii="Calibri" w:hAnsi="Calibri" w:cs="Calibri"/>
                <w:sz w:val="22"/>
              </w:rPr>
            </w:pPr>
            <w:r>
              <w:rPr>
                <w:rFonts w:ascii="Calibri" w:eastAsiaTheme="minorEastAsia" w:hAnsi="Calibri" w:cs="Calibri"/>
                <w:sz w:val="22"/>
                <w:lang w:eastAsia="zh-CN"/>
              </w:rPr>
              <w:t>takayuki.shimizu@toyota.com</w:t>
            </w:r>
          </w:p>
        </w:tc>
      </w:tr>
      <w:tr w:rsidR="00BA4387" w14:paraId="3F2FB424" w14:textId="77777777" w:rsidTr="006B2419">
        <w:trPr>
          <w:trHeight w:val="158"/>
        </w:trPr>
        <w:tc>
          <w:tcPr>
            <w:tcW w:w="1980" w:type="dxa"/>
          </w:tcPr>
          <w:p w14:paraId="554DB489" w14:textId="77777777" w:rsidR="00BA4387" w:rsidRDefault="00BA4387" w:rsidP="006B2419">
            <w:pPr>
              <w:rPr>
                <w:rFonts w:ascii="Calibri" w:hAnsi="Calibri" w:cs="Calibri"/>
                <w:sz w:val="22"/>
                <w:lang w:val="en-US" w:eastAsia="zh-CN"/>
              </w:rPr>
            </w:pPr>
            <w:r>
              <w:rPr>
                <w:rFonts w:ascii="Calibri" w:eastAsiaTheme="minorEastAsia" w:hAnsi="Calibri" w:cs="Calibri" w:hint="eastAsia"/>
                <w:sz w:val="22"/>
                <w:lang w:val="en-US" w:eastAsia="zh-CN"/>
              </w:rPr>
              <w:t>S</w:t>
            </w:r>
            <w:r>
              <w:rPr>
                <w:rFonts w:ascii="Calibri" w:eastAsiaTheme="minorEastAsia" w:hAnsi="Calibri" w:cs="Calibri"/>
                <w:sz w:val="22"/>
                <w:lang w:val="en-US" w:eastAsia="zh-CN"/>
              </w:rPr>
              <w:t>amsung</w:t>
            </w:r>
          </w:p>
        </w:tc>
        <w:tc>
          <w:tcPr>
            <w:tcW w:w="2693" w:type="dxa"/>
          </w:tcPr>
          <w:p w14:paraId="2113C5C3" w14:textId="77777777" w:rsidR="00BA4387" w:rsidRDefault="00BA4387" w:rsidP="006B2419">
            <w:pPr>
              <w:rPr>
                <w:rFonts w:ascii="Calibri" w:eastAsiaTheme="minorEastAsia" w:hAnsi="Calibri" w:cs="Calibri"/>
                <w:sz w:val="22"/>
                <w:lang w:val="en-US" w:eastAsia="zh-CN"/>
              </w:rPr>
            </w:pPr>
            <w:r>
              <w:rPr>
                <w:rFonts w:ascii="Calibri" w:eastAsiaTheme="minorEastAsia" w:hAnsi="Calibri" w:cs="Calibri" w:hint="eastAsia"/>
                <w:sz w:val="22"/>
                <w:lang w:val="en-US" w:eastAsia="zh-CN"/>
              </w:rPr>
              <w:t>M</w:t>
            </w:r>
            <w:r>
              <w:rPr>
                <w:rFonts w:ascii="Calibri" w:eastAsiaTheme="minorEastAsia" w:hAnsi="Calibri" w:cs="Calibri"/>
                <w:sz w:val="22"/>
                <w:lang w:val="en-US" w:eastAsia="zh-CN"/>
              </w:rPr>
              <w:t>iao Zhou</w:t>
            </w:r>
          </w:p>
        </w:tc>
        <w:tc>
          <w:tcPr>
            <w:tcW w:w="5103" w:type="dxa"/>
          </w:tcPr>
          <w:p w14:paraId="0E968317" w14:textId="77777777" w:rsidR="00BA4387" w:rsidRDefault="00BA4387" w:rsidP="006B2419">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miao.zhou@samsung.com</w:t>
            </w:r>
          </w:p>
        </w:tc>
      </w:tr>
    </w:tbl>
    <w:p w14:paraId="54A1CF72" w14:textId="64690559" w:rsidR="00BA4387" w:rsidRDefault="00BA4387" w:rsidP="00FA6950">
      <w:pPr>
        <w:tabs>
          <w:tab w:val="left" w:pos="1560"/>
        </w:tabs>
        <w:rPr>
          <w:rFonts w:asciiTheme="minorHAnsi" w:hAnsiTheme="minorHAnsi" w:cstheme="minorHAnsi"/>
          <w:sz w:val="22"/>
          <w:szCs w:val="28"/>
        </w:rPr>
      </w:pPr>
    </w:p>
    <w:p w14:paraId="2BFF2596" w14:textId="77777777" w:rsidR="00BA4387" w:rsidRDefault="00BA4387">
      <w:pPr>
        <w:rPr>
          <w:rFonts w:asciiTheme="minorHAnsi" w:hAnsiTheme="minorHAnsi" w:cstheme="minorHAnsi"/>
          <w:sz w:val="22"/>
          <w:szCs w:val="28"/>
        </w:rPr>
      </w:pPr>
      <w:r>
        <w:rPr>
          <w:rFonts w:asciiTheme="minorHAnsi" w:hAnsiTheme="minorHAnsi" w:cstheme="minorHAnsi"/>
          <w:sz w:val="22"/>
          <w:szCs w:val="28"/>
        </w:rPr>
        <w:br w:type="page"/>
      </w:r>
    </w:p>
    <w:p w14:paraId="4941567D" w14:textId="2A085BD0" w:rsidR="00BE3A80" w:rsidRDefault="00BE3A80" w:rsidP="00BE3A80">
      <w:pPr>
        <w:pStyle w:val="3GPPH1"/>
      </w:pPr>
      <w:r>
        <w:lastRenderedPageBreak/>
        <w:t>Appendix (outcomes</w:t>
      </w:r>
      <w:r w:rsidR="008F358A">
        <w:t xml:space="preserve"> of past meetings</w:t>
      </w:r>
      <w:r>
        <w:t>)</w:t>
      </w:r>
    </w:p>
    <w:p w14:paraId="6A9FD6C5" w14:textId="46C1A525" w:rsidR="00BE3A80" w:rsidRPr="00EF74FD" w:rsidRDefault="00BE3A80" w:rsidP="00BE3A80">
      <w:pPr>
        <w:pStyle w:val="Heading2"/>
      </w:pPr>
      <w:r w:rsidRPr="00EF74FD">
        <w:t>RAN1#10</w:t>
      </w:r>
      <w:r w:rsidR="004960F9">
        <w:t>9</w:t>
      </w:r>
      <w:r w:rsidRPr="00EF74FD">
        <w:t>-e</w:t>
      </w:r>
      <w:r>
        <w:t xml:space="preserve"> (</w:t>
      </w:r>
      <w:r w:rsidR="004960F9">
        <w:t>09</w:t>
      </w:r>
      <w:r>
        <w:t xml:space="preserve"> – </w:t>
      </w:r>
      <w:r w:rsidR="004960F9">
        <w:t>20 May</w:t>
      </w:r>
      <w:r>
        <w:t xml:space="preserve"> 202</w:t>
      </w:r>
      <w:r w:rsidR="004960F9">
        <w:t>2</w:t>
      </w:r>
      <w:r>
        <w:t>)</w:t>
      </w:r>
    </w:p>
    <w:p w14:paraId="2BF8BB74" w14:textId="77777777" w:rsidR="00DF2A79" w:rsidRPr="003F56DF" w:rsidRDefault="00DF2A79" w:rsidP="00DF2A79">
      <w:pPr>
        <w:autoSpaceDE w:val="0"/>
        <w:autoSpaceDN w:val="0"/>
        <w:jc w:val="both"/>
        <w:rPr>
          <w:rFonts w:cs="Times"/>
          <w:b/>
          <w:bCs/>
        </w:rPr>
      </w:pPr>
      <w:r w:rsidRPr="003F56DF">
        <w:rPr>
          <w:rFonts w:cs="Times"/>
          <w:b/>
          <w:bCs/>
          <w:highlight w:val="green"/>
        </w:rPr>
        <w:t>Agreement</w:t>
      </w:r>
    </w:p>
    <w:p w14:paraId="003C2271" w14:textId="77777777" w:rsidR="00DF2A79" w:rsidRPr="003F56DF" w:rsidRDefault="00DF2A79" w:rsidP="00DF2A79">
      <w:pPr>
        <w:autoSpaceDE w:val="0"/>
        <w:autoSpaceDN w:val="0"/>
        <w:jc w:val="both"/>
        <w:rPr>
          <w:rFonts w:cs="Times"/>
        </w:rPr>
      </w:pPr>
      <w:r w:rsidRPr="003F56DF">
        <w:rPr>
          <w:rFonts w:cs="Times"/>
        </w:rPr>
        <w:t xml:space="preserve">Type 1 and Type 2 (2A/2B/2C) channel access </w:t>
      </w:r>
      <w:r w:rsidRPr="003F56DF">
        <w:rPr>
          <w:rFonts w:cs="Times"/>
          <w:color w:val="000000"/>
        </w:rPr>
        <w:t>procedures</w:t>
      </w:r>
      <w:r w:rsidRPr="003F56DF">
        <w:rPr>
          <w:rFonts w:cs="Times"/>
        </w:rPr>
        <w:t>, transmission gap and LBT sensing idle time requirements specified in TS37.213 for NR-U are taken as baseline for NR sidelink operation in a shared channel.</w:t>
      </w:r>
    </w:p>
    <w:p w14:paraId="1E01FF9A" w14:textId="77777777" w:rsidR="00DF2A79" w:rsidRPr="003F56DF" w:rsidRDefault="00DF2A79">
      <w:pPr>
        <w:pStyle w:val="ListParagraph"/>
        <w:numPr>
          <w:ilvl w:val="0"/>
          <w:numId w:val="18"/>
        </w:numPr>
        <w:autoSpaceDE w:val="0"/>
        <w:autoSpaceDN w:val="0"/>
        <w:ind w:leftChars="0"/>
        <w:jc w:val="both"/>
        <w:rPr>
          <w:rFonts w:cs="Times"/>
        </w:rPr>
      </w:pPr>
      <w:r w:rsidRPr="003F56DF">
        <w:rPr>
          <w:rFonts w:cs="Times"/>
        </w:rPr>
        <w:t>FFS conditions for the actual channel access type(s) used for each SL channel and signal transmitted, and based on COT sharing conditions (if supported)</w:t>
      </w:r>
    </w:p>
    <w:p w14:paraId="4DB7736A" w14:textId="77777777" w:rsidR="00DF2A79" w:rsidRPr="003F56DF" w:rsidRDefault="00DF2A79">
      <w:pPr>
        <w:pStyle w:val="ListParagraph"/>
        <w:numPr>
          <w:ilvl w:val="0"/>
          <w:numId w:val="18"/>
        </w:numPr>
        <w:autoSpaceDE w:val="0"/>
        <w:autoSpaceDN w:val="0"/>
        <w:ind w:leftChars="0"/>
        <w:jc w:val="both"/>
        <w:rPr>
          <w:rFonts w:cs="Times"/>
        </w:rPr>
      </w:pPr>
      <w:r w:rsidRPr="003F56DF">
        <w:rPr>
          <w:rFonts w:cs="Times"/>
        </w:rPr>
        <w:t xml:space="preserve">FFS whether UL CAPC or DL CAPC or both should be used as the baseline, </w:t>
      </w:r>
    </w:p>
    <w:p w14:paraId="11D381C7" w14:textId="77777777" w:rsidR="00DF2A79" w:rsidRPr="003F56DF" w:rsidRDefault="00DF2A79">
      <w:pPr>
        <w:pStyle w:val="ListParagraph"/>
        <w:numPr>
          <w:ilvl w:val="1"/>
          <w:numId w:val="18"/>
        </w:numPr>
        <w:autoSpaceDE w:val="0"/>
        <w:autoSpaceDN w:val="0"/>
        <w:ind w:leftChars="0"/>
        <w:jc w:val="both"/>
        <w:rPr>
          <w:rFonts w:cs="Times"/>
        </w:rPr>
      </w:pPr>
      <w:r w:rsidRPr="003F56DF">
        <w:rPr>
          <w:rFonts w:cs="Times"/>
        </w:rPr>
        <w:t>FFS how the channel access priority classes apply to each SL channel and signal</w:t>
      </w:r>
    </w:p>
    <w:p w14:paraId="2D7FB30D" w14:textId="7E9BFCF2" w:rsidR="00DF2A79" w:rsidRPr="00DF2A79" w:rsidRDefault="00DF2A79">
      <w:pPr>
        <w:pStyle w:val="ListParagraph"/>
        <w:numPr>
          <w:ilvl w:val="1"/>
          <w:numId w:val="18"/>
        </w:numPr>
        <w:autoSpaceDE w:val="0"/>
        <w:autoSpaceDN w:val="0"/>
        <w:ind w:leftChars="0"/>
        <w:jc w:val="both"/>
        <w:rPr>
          <w:rFonts w:cs="Times"/>
        </w:rPr>
      </w:pPr>
      <w:r w:rsidRPr="003F56DF">
        <w:rPr>
          <w:rFonts w:cs="Times"/>
        </w:rPr>
        <w:t>FFS sidelink priority levels (PQI or L1 priority), channel and signal mapping to the 4 channel access priority classes. The discussion may involve other WGs.</w:t>
      </w:r>
    </w:p>
    <w:p w14:paraId="316A75A9" w14:textId="77777777" w:rsidR="00DF2A79" w:rsidRDefault="00DF2A79" w:rsidP="00DF2A79">
      <w:pPr>
        <w:autoSpaceDE w:val="0"/>
        <w:autoSpaceDN w:val="0"/>
        <w:jc w:val="both"/>
        <w:rPr>
          <w:rFonts w:cs="Times"/>
          <w:b/>
          <w:bCs/>
          <w:highlight w:val="green"/>
        </w:rPr>
      </w:pPr>
    </w:p>
    <w:p w14:paraId="1704C015" w14:textId="28B7E21F" w:rsidR="00DF2A79" w:rsidRPr="003F56DF" w:rsidRDefault="00DF2A79" w:rsidP="00DF2A79">
      <w:pPr>
        <w:autoSpaceDE w:val="0"/>
        <w:autoSpaceDN w:val="0"/>
        <w:jc w:val="both"/>
        <w:rPr>
          <w:rFonts w:cs="Times"/>
          <w:b/>
          <w:bCs/>
        </w:rPr>
      </w:pPr>
      <w:r w:rsidRPr="003F56DF">
        <w:rPr>
          <w:rFonts w:cs="Times"/>
          <w:b/>
          <w:bCs/>
          <w:highlight w:val="green"/>
        </w:rPr>
        <w:t>Agreement</w:t>
      </w:r>
    </w:p>
    <w:p w14:paraId="2C49AE9C" w14:textId="77777777" w:rsidR="00DF2A79" w:rsidRPr="003F56DF" w:rsidRDefault="00DF2A79">
      <w:pPr>
        <w:pStyle w:val="ListParagraph"/>
        <w:numPr>
          <w:ilvl w:val="0"/>
          <w:numId w:val="18"/>
        </w:numPr>
        <w:autoSpaceDE w:val="0"/>
        <w:autoSpaceDN w:val="0"/>
        <w:ind w:leftChars="0"/>
        <w:jc w:val="both"/>
        <w:rPr>
          <w:rFonts w:cs="Times"/>
        </w:rPr>
      </w:pPr>
      <w:r w:rsidRPr="003F56DF">
        <w:rPr>
          <w:rFonts w:cs="Times"/>
        </w:rPr>
        <w:t>UE-to-UE COT sharing is supported in NR sidelink operation in a shared channel (SL-U).</w:t>
      </w:r>
    </w:p>
    <w:p w14:paraId="21BC6D5E" w14:textId="77777777" w:rsidR="00DF2A79" w:rsidRPr="003F56DF" w:rsidRDefault="00DF2A79">
      <w:pPr>
        <w:pStyle w:val="ListParagraph"/>
        <w:numPr>
          <w:ilvl w:val="1"/>
          <w:numId w:val="18"/>
        </w:numPr>
        <w:autoSpaceDE w:val="0"/>
        <w:autoSpaceDN w:val="0"/>
        <w:ind w:leftChars="0"/>
        <w:jc w:val="both"/>
        <w:rPr>
          <w:rFonts w:cs="Times"/>
        </w:rPr>
      </w:pPr>
      <w:r w:rsidRPr="003F56DF">
        <w:rPr>
          <w:rFonts w:cs="Times"/>
        </w:rPr>
        <w:t>FFS applicable SL channels and signals (e.g., PSCCH/PSSCH, PSFCH, S-SSB) for shared COT access and any restrictions (e.g. whether the COT can be shared with a single UE or multiple UEs)</w:t>
      </w:r>
    </w:p>
    <w:p w14:paraId="54BC68B1" w14:textId="77777777" w:rsidR="00DF2A79" w:rsidRPr="003F56DF" w:rsidRDefault="00DF2A79">
      <w:pPr>
        <w:pStyle w:val="ListParagraph"/>
        <w:numPr>
          <w:ilvl w:val="1"/>
          <w:numId w:val="18"/>
        </w:numPr>
        <w:autoSpaceDE w:val="0"/>
        <w:autoSpaceDN w:val="0"/>
        <w:ind w:leftChars="0"/>
        <w:jc w:val="both"/>
        <w:rPr>
          <w:rFonts w:cs="Times"/>
        </w:rPr>
      </w:pPr>
      <w:r w:rsidRPr="003F56DF">
        <w:rPr>
          <w:rFonts w:cs="Times"/>
        </w:rPr>
        <w:t>FFS all other details in compliance with the regulatory requirement</w:t>
      </w:r>
      <w:r w:rsidRPr="003F56DF">
        <w:rPr>
          <w:rFonts w:cs="Times"/>
          <w:color w:val="7030A0"/>
        </w:rPr>
        <w:t>s</w:t>
      </w:r>
    </w:p>
    <w:p w14:paraId="5B093B52" w14:textId="77777777" w:rsidR="00DF2A79" w:rsidRPr="003F56DF" w:rsidRDefault="00DF2A79">
      <w:pPr>
        <w:pStyle w:val="ListParagraph"/>
        <w:numPr>
          <w:ilvl w:val="0"/>
          <w:numId w:val="18"/>
        </w:numPr>
        <w:autoSpaceDE w:val="0"/>
        <w:autoSpaceDN w:val="0"/>
        <w:ind w:leftChars="0"/>
        <w:jc w:val="both"/>
        <w:rPr>
          <w:rFonts w:cs="Times"/>
        </w:rPr>
      </w:pPr>
      <w:r w:rsidRPr="003F56DF">
        <w:rPr>
          <w:rFonts w:cs="Times"/>
          <w:szCs w:val="22"/>
        </w:rPr>
        <w:t>CP extension (CPE)</w:t>
      </w:r>
      <w:r w:rsidRPr="003F56DF">
        <w:rPr>
          <w:rFonts w:cs="Times"/>
          <w:color w:val="000000"/>
          <w:szCs w:val="22"/>
        </w:rPr>
        <w:t xml:space="preserve"> is supported </w:t>
      </w:r>
      <w:r w:rsidRPr="003F56DF">
        <w:rPr>
          <w:rFonts w:cs="Times"/>
        </w:rPr>
        <w:t>for NR sidelink operation in a shared channel.</w:t>
      </w:r>
    </w:p>
    <w:p w14:paraId="0C359DA5" w14:textId="77777777" w:rsidR="00DF2A79" w:rsidRPr="003F56DF" w:rsidRDefault="00DF2A79">
      <w:pPr>
        <w:pStyle w:val="ListParagraph"/>
        <w:numPr>
          <w:ilvl w:val="1"/>
          <w:numId w:val="18"/>
        </w:numPr>
        <w:autoSpaceDE w:val="0"/>
        <w:autoSpaceDN w:val="0"/>
        <w:ind w:leftChars="0"/>
        <w:jc w:val="both"/>
        <w:rPr>
          <w:rFonts w:cs="Times"/>
          <w:color w:val="000000"/>
        </w:rPr>
      </w:pPr>
      <w:r w:rsidRPr="003F56DF">
        <w:rPr>
          <w:rFonts w:cs="Times"/>
          <w:color w:val="000000"/>
        </w:rPr>
        <w:t>FFS all remaining details including applicable scenarios, usage, PHY structure, etc.</w:t>
      </w:r>
    </w:p>
    <w:p w14:paraId="7FED8925" w14:textId="77777777" w:rsidR="00DF2A79" w:rsidRPr="003F56DF" w:rsidRDefault="00DF2A79" w:rsidP="00DF2A79">
      <w:pPr>
        <w:rPr>
          <w:rFonts w:cs="Times"/>
          <w:sz w:val="16"/>
          <w:lang w:eastAsia="x-none"/>
        </w:rPr>
      </w:pPr>
    </w:p>
    <w:p w14:paraId="56B35836" w14:textId="77777777" w:rsidR="00DF2A79" w:rsidRPr="003F56DF" w:rsidRDefault="00DF2A79" w:rsidP="00DF2A79">
      <w:pPr>
        <w:autoSpaceDE w:val="0"/>
        <w:autoSpaceDN w:val="0"/>
        <w:jc w:val="both"/>
        <w:rPr>
          <w:rFonts w:cs="Times"/>
          <w:b/>
          <w:bCs/>
        </w:rPr>
      </w:pPr>
      <w:r w:rsidRPr="003F56DF">
        <w:rPr>
          <w:rFonts w:cs="Times"/>
          <w:b/>
          <w:bCs/>
          <w:highlight w:val="green"/>
        </w:rPr>
        <w:t>Agreement</w:t>
      </w:r>
    </w:p>
    <w:p w14:paraId="394BEE8D" w14:textId="77777777" w:rsidR="00DF2A79" w:rsidRPr="003F56DF" w:rsidRDefault="00DF2A79" w:rsidP="00DF2A79">
      <w:pPr>
        <w:pStyle w:val="ListParagraph"/>
        <w:autoSpaceDE w:val="0"/>
        <w:autoSpaceDN w:val="0"/>
        <w:ind w:leftChars="0" w:left="0"/>
        <w:jc w:val="both"/>
        <w:rPr>
          <w:rFonts w:cs="Times"/>
        </w:rPr>
      </w:pPr>
      <w:r w:rsidRPr="003F56DF">
        <w:rPr>
          <w:rFonts w:cs="Times"/>
          <w:szCs w:val="28"/>
        </w:rPr>
        <w:t xml:space="preserve">Channel access procedures for transmission(s) on multiple channels are supported for NR sidelink operation </w:t>
      </w:r>
      <w:r w:rsidRPr="003F56DF">
        <w:rPr>
          <w:rFonts w:cs="Times"/>
          <w:szCs w:val="22"/>
        </w:rPr>
        <w:t>as defined by TS37.213 for NR-U (wherever applicable)</w:t>
      </w:r>
    </w:p>
    <w:p w14:paraId="310B7662" w14:textId="77777777" w:rsidR="00DF2A79" w:rsidRPr="003F56DF" w:rsidRDefault="00DF2A79">
      <w:pPr>
        <w:pStyle w:val="ListParagraph"/>
        <w:numPr>
          <w:ilvl w:val="0"/>
          <w:numId w:val="18"/>
        </w:numPr>
        <w:autoSpaceDE w:val="0"/>
        <w:autoSpaceDN w:val="0"/>
        <w:ind w:leftChars="0"/>
        <w:jc w:val="both"/>
        <w:rPr>
          <w:rFonts w:cs="Times"/>
          <w:color w:val="000000"/>
        </w:rPr>
      </w:pPr>
      <w:r w:rsidRPr="003F56DF">
        <w:rPr>
          <w:rFonts w:cs="Times"/>
          <w:color w:val="000000"/>
        </w:rPr>
        <w:t xml:space="preserve">FFS </w:t>
      </w:r>
      <w:r w:rsidRPr="003F56DF">
        <w:rPr>
          <w:rFonts w:cs="Times"/>
        </w:rPr>
        <w:t xml:space="preserve">whether the downlink, uplink and/or semi-static multiple channel access procedure(s) (if </w:t>
      </w:r>
      <w:r w:rsidRPr="003F56DF">
        <w:rPr>
          <w:rFonts w:cs="Times"/>
          <w:color w:val="000000"/>
        </w:rPr>
        <w:t xml:space="preserve">supported) from NR-U should be used as a baseline and whether/how they are applied in SL </w:t>
      </w:r>
      <w:r w:rsidRPr="003F56DF">
        <w:rPr>
          <w:rFonts w:cs="Times"/>
        </w:rPr>
        <w:t>mode 1 and mode 2 operation</w:t>
      </w:r>
    </w:p>
    <w:p w14:paraId="1FC95B4E" w14:textId="77777777" w:rsidR="00DF2A79" w:rsidRDefault="00DF2A79" w:rsidP="00DF2A79">
      <w:pPr>
        <w:rPr>
          <w:lang w:eastAsia="x-none"/>
        </w:rPr>
      </w:pPr>
    </w:p>
    <w:p w14:paraId="45C4C7F5" w14:textId="77777777" w:rsidR="00DF2A79" w:rsidRPr="003F56DF" w:rsidRDefault="00DF2A79" w:rsidP="00DF2A79">
      <w:pPr>
        <w:autoSpaceDE w:val="0"/>
        <w:autoSpaceDN w:val="0"/>
        <w:jc w:val="both"/>
        <w:rPr>
          <w:rFonts w:cs="Times"/>
          <w:b/>
          <w:bCs/>
        </w:rPr>
      </w:pPr>
      <w:r w:rsidRPr="003F56DF">
        <w:rPr>
          <w:rFonts w:cs="Times"/>
          <w:b/>
          <w:bCs/>
          <w:highlight w:val="green"/>
        </w:rPr>
        <w:t>Agreement</w:t>
      </w:r>
    </w:p>
    <w:p w14:paraId="2937EF2D" w14:textId="77777777" w:rsidR="00DF2A79" w:rsidRPr="003B25EA" w:rsidRDefault="00DF2A79">
      <w:pPr>
        <w:pStyle w:val="ListParagraph"/>
        <w:numPr>
          <w:ilvl w:val="0"/>
          <w:numId w:val="18"/>
        </w:numPr>
        <w:autoSpaceDE w:val="0"/>
        <w:autoSpaceDN w:val="0"/>
        <w:ind w:leftChars="0"/>
        <w:jc w:val="both"/>
        <w:rPr>
          <w:rFonts w:ascii="Times New Roman" w:hAnsi="Times New Roman"/>
          <w:szCs w:val="20"/>
        </w:rPr>
      </w:pPr>
      <w:r w:rsidRPr="003B25EA">
        <w:rPr>
          <w:rFonts w:ascii="Times New Roman" w:hAnsi="Times New Roman"/>
          <w:szCs w:val="20"/>
        </w:rPr>
        <w:t>The existing sidelink mode 1 RA including dynamic grant, Type 1 and Type 2 configured grants are supported as a baseline for sidelink operation in a shared carrier, subject to applicable regional regulations. At least in dynamic channel access, SL UE performs Type 1 or one of the Type 2 LBTs before SL</w:t>
      </w:r>
      <w:r w:rsidRPr="003B25EA">
        <w:rPr>
          <w:rFonts w:ascii="Times New Roman" w:hAnsi="Times New Roman"/>
          <w:strike/>
          <w:szCs w:val="20"/>
        </w:rPr>
        <w:t xml:space="preserve"> </w:t>
      </w:r>
      <w:r w:rsidRPr="003B25EA">
        <w:rPr>
          <w:rFonts w:ascii="Times New Roman" w:hAnsi="Times New Roman"/>
          <w:szCs w:val="20"/>
        </w:rPr>
        <w:t>transmission using the allocated resource(s), in compliance with transmission gap and LBT sensing idle time requirements specified in TS37.213.</w:t>
      </w:r>
    </w:p>
    <w:p w14:paraId="61DF5DC6" w14:textId="77777777" w:rsidR="00DF2A79" w:rsidRPr="003B25EA" w:rsidRDefault="00DF2A79">
      <w:pPr>
        <w:pStyle w:val="ListParagraph"/>
        <w:numPr>
          <w:ilvl w:val="1"/>
          <w:numId w:val="18"/>
        </w:numPr>
        <w:autoSpaceDE w:val="0"/>
        <w:autoSpaceDN w:val="0"/>
        <w:ind w:leftChars="0"/>
        <w:jc w:val="both"/>
        <w:rPr>
          <w:rFonts w:ascii="Times New Roman" w:hAnsi="Times New Roman"/>
          <w:szCs w:val="20"/>
        </w:rPr>
      </w:pPr>
      <w:r w:rsidRPr="003B25EA">
        <w:rPr>
          <w:rFonts w:ascii="Times New Roman" w:hAnsi="Times New Roman"/>
          <w:szCs w:val="20"/>
          <w:lang w:val="en-AU"/>
        </w:rPr>
        <w:t xml:space="preserve">FFS whether/how mode 1 resource allocation </w:t>
      </w:r>
      <w:r w:rsidRPr="003B25EA">
        <w:rPr>
          <w:rFonts w:ascii="Times New Roman" w:hAnsi="Times New Roman"/>
          <w:strike/>
          <w:szCs w:val="20"/>
          <w:lang w:val="en-AU"/>
        </w:rPr>
        <w:t xml:space="preserve">selection </w:t>
      </w:r>
      <w:r w:rsidRPr="003B25EA">
        <w:rPr>
          <w:rFonts w:ascii="Times New Roman" w:hAnsi="Times New Roman"/>
          <w:szCs w:val="20"/>
          <w:lang w:val="en-AU"/>
        </w:rPr>
        <w:t>procedure needs to be updated / enhanced due to shared spectrum channel access</w:t>
      </w:r>
    </w:p>
    <w:p w14:paraId="511D5942" w14:textId="77777777" w:rsidR="00DF2A79" w:rsidRPr="003B25EA" w:rsidRDefault="00DF2A79">
      <w:pPr>
        <w:pStyle w:val="ListParagraph"/>
        <w:numPr>
          <w:ilvl w:val="0"/>
          <w:numId w:val="18"/>
        </w:numPr>
        <w:autoSpaceDE w:val="0"/>
        <w:autoSpaceDN w:val="0"/>
        <w:ind w:leftChars="0"/>
        <w:jc w:val="both"/>
        <w:rPr>
          <w:rFonts w:ascii="Times New Roman" w:hAnsi="Times New Roman"/>
          <w:szCs w:val="20"/>
        </w:rPr>
      </w:pPr>
      <w:r w:rsidRPr="003B25EA">
        <w:rPr>
          <w:rFonts w:ascii="Times New Roman" w:hAnsi="Times New Roman"/>
          <w:szCs w:val="20"/>
        </w:rPr>
        <w:t>The existing sidelink mode 2 RA schemes are supported as a baseline for sidelink operation in a shared carrier, subject to applicable regional regulations. At least in dynamic channel access, SL UE performs Type 1 or one of the Type 2 LBTs before SL transmission using the selected and/or reserved resources, in compliance with transmission gap and LBT sensing idle time requirements specified in TS37.213.</w:t>
      </w:r>
    </w:p>
    <w:p w14:paraId="6DF61B21" w14:textId="77777777" w:rsidR="00DF2A79" w:rsidRPr="003B25EA" w:rsidRDefault="00DF2A79">
      <w:pPr>
        <w:pStyle w:val="ListParagraph"/>
        <w:numPr>
          <w:ilvl w:val="1"/>
          <w:numId w:val="18"/>
        </w:numPr>
        <w:ind w:leftChars="0"/>
        <w:jc w:val="both"/>
        <w:rPr>
          <w:rFonts w:ascii="Times New Roman" w:hAnsi="Times New Roman"/>
          <w:szCs w:val="20"/>
        </w:rPr>
      </w:pPr>
      <w:r w:rsidRPr="003B25EA">
        <w:rPr>
          <w:rFonts w:ascii="Times New Roman" w:hAnsi="Times New Roman"/>
          <w:szCs w:val="20"/>
          <w:lang w:val="en-AU"/>
        </w:rPr>
        <w:t>FFS whether/how mode 2 resource selection procedure needs to be updated / enhanced due to shared spectrum channel access</w:t>
      </w:r>
    </w:p>
    <w:p w14:paraId="157BBF3F" w14:textId="77777777" w:rsidR="00DF2A79" w:rsidRPr="003B25EA" w:rsidRDefault="00DF2A79">
      <w:pPr>
        <w:pStyle w:val="ListParagraph"/>
        <w:numPr>
          <w:ilvl w:val="0"/>
          <w:numId w:val="18"/>
        </w:numPr>
        <w:ind w:leftChars="0"/>
        <w:jc w:val="both"/>
        <w:rPr>
          <w:rFonts w:ascii="Times New Roman" w:hAnsi="Times New Roman"/>
          <w:szCs w:val="20"/>
        </w:rPr>
      </w:pPr>
      <w:r w:rsidRPr="003B25EA">
        <w:rPr>
          <w:rFonts w:ascii="Times New Roman" w:hAnsi="Times New Roman"/>
          <w:szCs w:val="20"/>
        </w:rPr>
        <w:t>FFS whether/how multi-consecutive slots transmission can be supported for NR sidelink operation in unlicensed spectrum, including the following aspects</w:t>
      </w:r>
    </w:p>
    <w:p w14:paraId="476489E9" w14:textId="77777777" w:rsidR="00DF2A79" w:rsidRPr="003B25EA" w:rsidRDefault="00DF2A79">
      <w:pPr>
        <w:pStyle w:val="ListParagraph"/>
        <w:numPr>
          <w:ilvl w:val="1"/>
          <w:numId w:val="18"/>
        </w:numPr>
        <w:ind w:leftChars="0"/>
        <w:jc w:val="both"/>
        <w:rPr>
          <w:rFonts w:ascii="Times New Roman" w:hAnsi="Times New Roman"/>
          <w:szCs w:val="20"/>
        </w:rPr>
      </w:pPr>
      <w:r w:rsidRPr="003B25EA">
        <w:rPr>
          <w:rFonts w:ascii="Times New Roman" w:hAnsi="Times New Roman"/>
          <w:szCs w:val="20"/>
        </w:rPr>
        <w:t>channel access, resource allocation and PHY channel design</w:t>
      </w:r>
    </w:p>
    <w:p w14:paraId="770B880F" w14:textId="77777777" w:rsidR="00DF2A79" w:rsidRPr="003B25EA" w:rsidRDefault="00DF2A79">
      <w:pPr>
        <w:pStyle w:val="ListParagraph"/>
        <w:numPr>
          <w:ilvl w:val="0"/>
          <w:numId w:val="18"/>
        </w:numPr>
        <w:ind w:leftChars="0"/>
        <w:jc w:val="both"/>
        <w:rPr>
          <w:rFonts w:ascii="Times New Roman" w:hAnsi="Times New Roman"/>
          <w:szCs w:val="20"/>
        </w:rPr>
      </w:pPr>
      <w:r w:rsidRPr="003B25EA">
        <w:rPr>
          <w:rFonts w:ascii="Times New Roman" w:hAnsi="Times New Roman"/>
          <w:szCs w:val="20"/>
        </w:rPr>
        <w:t>FFS whether/how enhancement is needed between the end of the LBT procedure and the start of the SL transmission to retain channel access</w:t>
      </w:r>
    </w:p>
    <w:p w14:paraId="106F8E2E" w14:textId="77777777" w:rsidR="00DF2A79" w:rsidRPr="003B25EA" w:rsidRDefault="00DF2A79">
      <w:pPr>
        <w:pStyle w:val="ListParagraph"/>
        <w:numPr>
          <w:ilvl w:val="0"/>
          <w:numId w:val="18"/>
        </w:numPr>
        <w:ind w:leftChars="0"/>
        <w:jc w:val="both"/>
        <w:rPr>
          <w:rFonts w:ascii="Times New Roman" w:hAnsi="Times New Roman"/>
          <w:szCs w:val="20"/>
        </w:rPr>
      </w:pPr>
      <w:r w:rsidRPr="003B25EA">
        <w:rPr>
          <w:rFonts w:ascii="Times New Roman" w:hAnsi="Times New Roman"/>
          <w:szCs w:val="20"/>
        </w:rPr>
        <w:t>RAN1 to strive for a common solution for channel access for Mode 1 and Mode 2</w:t>
      </w:r>
    </w:p>
    <w:p w14:paraId="21DB53C9" w14:textId="7629F752" w:rsidR="00282D74" w:rsidRDefault="00282D74" w:rsidP="00FA12D7">
      <w:pPr>
        <w:autoSpaceDE w:val="0"/>
        <w:autoSpaceDN w:val="0"/>
        <w:jc w:val="both"/>
        <w:rPr>
          <w:rFonts w:ascii="Times New Roman" w:eastAsia="Times New Roman" w:hAnsi="Times New Roman"/>
          <w:color w:val="000000"/>
          <w:sz w:val="22"/>
          <w:szCs w:val="22"/>
        </w:rPr>
      </w:pPr>
    </w:p>
    <w:p w14:paraId="22BF9B1B" w14:textId="70472611" w:rsidR="00282E2D" w:rsidRPr="00EF74FD" w:rsidRDefault="00282E2D" w:rsidP="00282E2D">
      <w:pPr>
        <w:pStyle w:val="Heading2"/>
      </w:pPr>
      <w:r w:rsidRPr="00EF74FD">
        <w:t>RAN1#1</w:t>
      </w:r>
      <w:r>
        <w:t>10 (22 – 26 August 2022)</w:t>
      </w:r>
    </w:p>
    <w:p w14:paraId="2BAE2165" w14:textId="77777777" w:rsidR="00282E2D" w:rsidRPr="009A3062" w:rsidRDefault="00282E2D" w:rsidP="009A3062">
      <w:pPr>
        <w:autoSpaceDE w:val="0"/>
        <w:autoSpaceDN w:val="0"/>
        <w:jc w:val="both"/>
        <w:rPr>
          <w:rFonts w:ascii="Times New Roman" w:hAnsi="Times New Roman"/>
          <w:b/>
          <w:bCs/>
          <w:szCs w:val="20"/>
        </w:rPr>
      </w:pPr>
      <w:r w:rsidRPr="009A3062">
        <w:rPr>
          <w:rFonts w:ascii="Times New Roman" w:hAnsi="Times New Roman"/>
          <w:b/>
          <w:bCs/>
          <w:szCs w:val="20"/>
          <w:highlight w:val="green"/>
        </w:rPr>
        <w:t>Agreement</w:t>
      </w:r>
    </w:p>
    <w:p w14:paraId="7FCBC776" w14:textId="77777777" w:rsidR="009A3062" w:rsidRPr="009A3062" w:rsidRDefault="009A3062" w:rsidP="009A3062">
      <w:pPr>
        <w:autoSpaceDE w:val="0"/>
        <w:autoSpaceDN w:val="0"/>
        <w:rPr>
          <w:rFonts w:ascii="Times New Roman" w:hAnsi="Times New Roman"/>
          <w:szCs w:val="20"/>
        </w:rPr>
      </w:pPr>
      <w:r w:rsidRPr="009A3062">
        <w:rPr>
          <w:rFonts w:ascii="Times New Roman" w:hAnsi="Times New Roman"/>
          <w:szCs w:val="20"/>
        </w:rPr>
        <w:t>The following evaluation scenario can be used for evaluating performance of SL-U designs, resource allocation schemes, and coexistence study with another RAT in a shared channel.</w:t>
      </w:r>
    </w:p>
    <w:p w14:paraId="47AFFA72" w14:textId="77777777" w:rsidR="009A3062" w:rsidRPr="009A3062" w:rsidRDefault="009A3062">
      <w:pPr>
        <w:pStyle w:val="ListParagraph"/>
        <w:numPr>
          <w:ilvl w:val="0"/>
          <w:numId w:val="18"/>
        </w:numPr>
        <w:ind w:leftChars="0"/>
        <w:jc w:val="both"/>
        <w:rPr>
          <w:rFonts w:ascii="Times New Roman" w:hAnsi="Times New Roman"/>
          <w:szCs w:val="20"/>
        </w:rPr>
      </w:pPr>
      <w:r w:rsidRPr="009A3062">
        <w:rPr>
          <w:rFonts w:ascii="Times New Roman" w:hAnsi="Times New Roman"/>
          <w:szCs w:val="20"/>
        </w:rPr>
        <w:t>Scenario 1 (</w:t>
      </w:r>
      <w:r w:rsidRPr="009A3062">
        <w:rPr>
          <w:rFonts w:ascii="Times New Roman" w:hAnsi="Times New Roman"/>
          <w:color w:val="000000"/>
          <w:szCs w:val="20"/>
        </w:rPr>
        <w:t>commercial use cases) – recommended:</w:t>
      </w:r>
    </w:p>
    <w:p w14:paraId="4527B590" w14:textId="77777777" w:rsidR="009A3062" w:rsidRPr="009A3062" w:rsidRDefault="009A3062">
      <w:pPr>
        <w:pStyle w:val="ListParagraph"/>
        <w:numPr>
          <w:ilvl w:val="1"/>
          <w:numId w:val="18"/>
        </w:numPr>
        <w:ind w:leftChars="0"/>
        <w:jc w:val="both"/>
        <w:rPr>
          <w:rFonts w:ascii="Times New Roman" w:hAnsi="Times New Roman"/>
          <w:szCs w:val="20"/>
        </w:rPr>
      </w:pPr>
      <w:r w:rsidRPr="009A3062">
        <w:rPr>
          <w:rFonts w:ascii="Times New Roman" w:hAnsi="Times New Roman"/>
          <w:szCs w:val="20"/>
        </w:rPr>
        <w:t>Evaluation methodology baseline is NR-U from TR 38.889 with the following updates.</w:t>
      </w:r>
    </w:p>
    <w:p w14:paraId="1F6D4076" w14:textId="77777777" w:rsidR="009A3062" w:rsidRPr="009A3062" w:rsidRDefault="009A3062">
      <w:pPr>
        <w:pStyle w:val="ListParagraph"/>
        <w:numPr>
          <w:ilvl w:val="1"/>
          <w:numId w:val="18"/>
        </w:numPr>
        <w:ind w:leftChars="0"/>
        <w:jc w:val="both"/>
        <w:rPr>
          <w:rFonts w:ascii="Times New Roman" w:hAnsi="Times New Roman"/>
          <w:szCs w:val="20"/>
        </w:rPr>
      </w:pPr>
      <w:r w:rsidRPr="009A3062">
        <w:rPr>
          <w:rFonts w:ascii="Times New Roman" w:hAnsi="Times New Roman"/>
          <w:szCs w:val="20"/>
        </w:rPr>
        <w:t xml:space="preserve">Indoor layout </w:t>
      </w:r>
    </w:p>
    <w:p w14:paraId="3D4EBEF7" w14:textId="77777777" w:rsidR="009A3062" w:rsidRPr="009A3062" w:rsidRDefault="009A3062">
      <w:pPr>
        <w:pStyle w:val="ListParagraph"/>
        <w:numPr>
          <w:ilvl w:val="2"/>
          <w:numId w:val="18"/>
        </w:numPr>
        <w:ind w:leftChars="0"/>
        <w:jc w:val="both"/>
        <w:rPr>
          <w:rFonts w:ascii="Times New Roman" w:hAnsi="Times New Roman"/>
          <w:color w:val="000000"/>
          <w:szCs w:val="20"/>
        </w:rPr>
      </w:pPr>
      <w:r w:rsidRPr="009A3062">
        <w:rPr>
          <w:rFonts w:ascii="Times New Roman" w:hAnsi="Times New Roman"/>
          <w:szCs w:val="20"/>
        </w:rPr>
        <w:t xml:space="preserve">Option 1: a pairs topology for SL-U </w:t>
      </w:r>
      <w:r w:rsidRPr="009A3062">
        <w:rPr>
          <w:rFonts w:ascii="Times New Roman" w:hAnsi="Times New Roman"/>
          <w:color w:val="000000"/>
          <w:szCs w:val="20"/>
        </w:rPr>
        <w:t>from R1-2205033 – recommended</w:t>
      </w:r>
    </w:p>
    <w:p w14:paraId="1100EA3E" w14:textId="2928AE82" w:rsidR="009A3062" w:rsidRPr="009A3062" w:rsidRDefault="001E5BBA" w:rsidP="009A3062">
      <w:pPr>
        <w:pStyle w:val="ListParagraph"/>
        <w:ind w:leftChars="1063" w:left="2126" w:firstLine="400"/>
        <w:rPr>
          <w:rFonts w:ascii="Times New Roman" w:eastAsia="DengXian" w:hAnsi="Times New Roman"/>
          <w:szCs w:val="20"/>
        </w:rPr>
      </w:pPr>
      <w:r>
        <w:rPr>
          <w:rFonts w:ascii="Times New Roman" w:hAnsi="Times New Roman"/>
          <w:noProof/>
          <w:szCs w:val="20"/>
          <w:lang w:val="en-US" w:eastAsia="zh-CN"/>
        </w:rPr>
        <w:lastRenderedPageBreak/>
        <w:drawing>
          <wp:inline distT="0" distB="0" distL="0" distR="0" wp14:anchorId="526C4F44" wp14:editId="0E45DC7F">
            <wp:extent cx="2432050" cy="1040765"/>
            <wp:effectExtent l="0" t="0" r="6350" b="698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7">
                      <a:extLst>
                        <a:ext uri="{28A0092B-C50C-407E-A947-70E740481C1C}">
                          <a14:useLocalDpi xmlns:a14="http://schemas.microsoft.com/office/drawing/2010/main" val="0"/>
                        </a:ext>
                      </a:extLst>
                    </a:blip>
                    <a:srcRect/>
                    <a:stretch>
                      <a:fillRect/>
                    </a:stretch>
                  </pic:blipFill>
                  <pic:spPr bwMode="auto">
                    <a:xfrm>
                      <a:off x="0" y="0"/>
                      <a:ext cx="2432050" cy="1040765"/>
                    </a:xfrm>
                    <a:prstGeom prst="rect">
                      <a:avLst/>
                    </a:prstGeom>
                    <a:noFill/>
                    <a:ln>
                      <a:noFill/>
                    </a:ln>
                  </pic:spPr>
                </pic:pic>
              </a:graphicData>
            </a:graphic>
          </wp:inline>
        </w:drawing>
      </w:r>
    </w:p>
    <w:p w14:paraId="6B26FE33" w14:textId="77777777" w:rsidR="009A3062" w:rsidRPr="009A3062" w:rsidRDefault="009A3062">
      <w:pPr>
        <w:pStyle w:val="ListParagraph"/>
        <w:numPr>
          <w:ilvl w:val="3"/>
          <w:numId w:val="18"/>
        </w:numPr>
        <w:ind w:leftChars="0"/>
        <w:rPr>
          <w:rFonts w:ascii="Times New Roman" w:hAnsi="Times New Roman"/>
          <w:color w:val="000000"/>
          <w:szCs w:val="20"/>
        </w:rPr>
      </w:pPr>
      <w:r w:rsidRPr="009A3062">
        <w:rPr>
          <w:rFonts w:ascii="Times New Roman" w:hAnsi="Times New Roman"/>
          <w:color w:val="111112"/>
          <w:szCs w:val="20"/>
          <w:shd w:val="clear" w:color="auto" w:fill="FFFFFF"/>
        </w:rPr>
        <w:t>a = 20m, b = 60m, c = 20m, d = 80 m</w:t>
      </w:r>
    </w:p>
    <w:p w14:paraId="51F2D4C6" w14:textId="77777777" w:rsidR="009A3062" w:rsidRPr="009A3062" w:rsidRDefault="009A3062">
      <w:pPr>
        <w:pStyle w:val="ListParagraph"/>
        <w:numPr>
          <w:ilvl w:val="3"/>
          <w:numId w:val="18"/>
        </w:numPr>
        <w:ind w:leftChars="0"/>
        <w:rPr>
          <w:rFonts w:ascii="Times New Roman" w:hAnsi="Times New Roman"/>
          <w:szCs w:val="20"/>
        </w:rPr>
      </w:pPr>
      <w:r w:rsidRPr="009A3062">
        <w:rPr>
          <w:rFonts w:ascii="Times New Roman" w:hAnsi="Times New Roman"/>
          <w:szCs w:val="20"/>
        </w:rPr>
        <w:t>There are two operators to model two RATs at a time. The red one is SL-U UE, the blue one is Wi-Fi or NR-U.</w:t>
      </w:r>
    </w:p>
    <w:p w14:paraId="6BD99FA5" w14:textId="77777777" w:rsidR="009A3062" w:rsidRPr="009A3062" w:rsidRDefault="009A3062">
      <w:pPr>
        <w:pStyle w:val="ListParagraph"/>
        <w:numPr>
          <w:ilvl w:val="3"/>
          <w:numId w:val="18"/>
        </w:numPr>
        <w:ind w:leftChars="0"/>
        <w:rPr>
          <w:rFonts w:ascii="Times New Roman" w:hAnsi="Times New Roman"/>
          <w:szCs w:val="20"/>
        </w:rPr>
      </w:pPr>
      <w:r w:rsidRPr="009A3062">
        <w:rPr>
          <w:rFonts w:ascii="Times New Roman" w:hAnsi="Times New Roman"/>
          <w:szCs w:val="20"/>
        </w:rPr>
        <w:t>For NR-U / Wi-Fi, the same number of UEs / Wi-Fi STA as the total number of SL-U devices are dropped in the area. The NR-U UE / Wi-Fi nodes are dropped uniformly per gNB/AP per 20 MHz.</w:t>
      </w:r>
    </w:p>
    <w:p w14:paraId="16CE767A" w14:textId="77777777" w:rsidR="009A3062" w:rsidRPr="009A3062" w:rsidRDefault="009A3062">
      <w:pPr>
        <w:pStyle w:val="ListParagraph"/>
        <w:numPr>
          <w:ilvl w:val="4"/>
          <w:numId w:val="18"/>
        </w:numPr>
        <w:ind w:leftChars="0"/>
        <w:rPr>
          <w:rFonts w:ascii="Times New Roman" w:hAnsi="Times New Roman"/>
          <w:szCs w:val="20"/>
        </w:rPr>
      </w:pPr>
      <w:r w:rsidRPr="009A3062">
        <w:rPr>
          <w:rFonts w:ascii="Times New Roman" w:hAnsi="Times New Roman"/>
          <w:szCs w:val="20"/>
        </w:rPr>
        <w:t>Companies should report if they used a different number of UEs / Wi-Fi STA as the total number of SL-U devices, as an additional evaluation scenario.</w:t>
      </w:r>
    </w:p>
    <w:p w14:paraId="09A3F1C7" w14:textId="77777777" w:rsidR="009A3062" w:rsidRPr="009A3062" w:rsidRDefault="009A3062">
      <w:pPr>
        <w:pStyle w:val="ListParagraph"/>
        <w:numPr>
          <w:ilvl w:val="3"/>
          <w:numId w:val="18"/>
        </w:numPr>
        <w:ind w:leftChars="0"/>
        <w:rPr>
          <w:rFonts w:ascii="Times New Roman" w:hAnsi="Times New Roman"/>
          <w:szCs w:val="20"/>
        </w:rPr>
      </w:pPr>
      <w:r w:rsidRPr="009A3062">
        <w:rPr>
          <w:rFonts w:ascii="Times New Roman" w:hAnsi="Times New Roman"/>
          <w:szCs w:val="20"/>
        </w:rPr>
        <w:t xml:space="preserve">For evaluation of unicast traffic, the topology of SL-U is pair topology and the SL-U UEs are dropped uniformly at random in the area. </w:t>
      </w:r>
    </w:p>
    <w:p w14:paraId="717F0F65" w14:textId="77777777" w:rsidR="009A3062" w:rsidRPr="009A3062" w:rsidRDefault="009A3062">
      <w:pPr>
        <w:pStyle w:val="ListParagraph"/>
        <w:numPr>
          <w:ilvl w:val="4"/>
          <w:numId w:val="18"/>
        </w:numPr>
        <w:ind w:leftChars="0"/>
        <w:rPr>
          <w:rFonts w:ascii="Times New Roman" w:hAnsi="Times New Roman"/>
          <w:szCs w:val="20"/>
        </w:rPr>
      </w:pPr>
      <w:r w:rsidRPr="009A3062">
        <w:rPr>
          <w:rFonts w:ascii="Times New Roman" w:hAnsi="Times New Roman"/>
          <w:szCs w:val="20"/>
        </w:rPr>
        <w:t>Companies should report how SL-U UEs are paired</w:t>
      </w:r>
    </w:p>
    <w:p w14:paraId="327E870F" w14:textId="77777777" w:rsidR="009A3062" w:rsidRPr="009A3062" w:rsidRDefault="009A3062">
      <w:pPr>
        <w:pStyle w:val="ListParagraph"/>
        <w:numPr>
          <w:ilvl w:val="4"/>
          <w:numId w:val="18"/>
        </w:numPr>
        <w:ind w:leftChars="0"/>
        <w:rPr>
          <w:rFonts w:ascii="Times New Roman" w:hAnsi="Times New Roman"/>
          <w:szCs w:val="20"/>
        </w:rPr>
      </w:pPr>
      <w:r w:rsidRPr="009A3062">
        <w:rPr>
          <w:rFonts w:ascii="Times New Roman" w:hAnsi="Times New Roman"/>
          <w:szCs w:val="20"/>
        </w:rPr>
        <w:t>6 SL-U pairs and 4 NR-U UEs / Wi-Fi nodes per gNB/AP per 20 MHz</w:t>
      </w:r>
    </w:p>
    <w:p w14:paraId="3B101D8C" w14:textId="77777777" w:rsidR="009A3062" w:rsidRPr="009A3062" w:rsidRDefault="009A3062">
      <w:pPr>
        <w:pStyle w:val="ListParagraph"/>
        <w:numPr>
          <w:ilvl w:val="3"/>
          <w:numId w:val="18"/>
        </w:numPr>
        <w:ind w:leftChars="0"/>
        <w:rPr>
          <w:rFonts w:ascii="Times New Roman" w:hAnsi="Times New Roman"/>
          <w:szCs w:val="20"/>
        </w:rPr>
      </w:pPr>
      <w:r w:rsidRPr="009A3062">
        <w:rPr>
          <w:rFonts w:ascii="Times New Roman" w:hAnsi="Times New Roman"/>
          <w:szCs w:val="20"/>
        </w:rPr>
        <w:t xml:space="preserve">For evaluation of groupcast traffic, SL-U UEs are dropped uniformly at random in the area, SL-UEs form groupcast UE group based on TX-RX UE distancing, the distance is provided by each company. </w:t>
      </w:r>
    </w:p>
    <w:p w14:paraId="744A4831" w14:textId="77777777" w:rsidR="009A3062" w:rsidRPr="009A3062" w:rsidRDefault="009A3062">
      <w:pPr>
        <w:pStyle w:val="ListParagraph"/>
        <w:numPr>
          <w:ilvl w:val="4"/>
          <w:numId w:val="18"/>
        </w:numPr>
        <w:ind w:leftChars="0"/>
        <w:rPr>
          <w:rFonts w:ascii="Times New Roman" w:hAnsi="Times New Roman"/>
          <w:szCs w:val="20"/>
        </w:rPr>
      </w:pPr>
      <w:r w:rsidRPr="009A3062">
        <w:rPr>
          <w:rFonts w:ascii="Times New Roman" w:hAnsi="Times New Roman"/>
          <w:szCs w:val="20"/>
        </w:rPr>
        <w:t>Companies should report how SL-U UEs form a group</w:t>
      </w:r>
    </w:p>
    <w:p w14:paraId="60C072D0" w14:textId="77777777" w:rsidR="009A3062" w:rsidRPr="009A3062" w:rsidRDefault="009A3062">
      <w:pPr>
        <w:pStyle w:val="ListParagraph"/>
        <w:numPr>
          <w:ilvl w:val="4"/>
          <w:numId w:val="18"/>
        </w:numPr>
        <w:ind w:leftChars="0"/>
        <w:rPr>
          <w:rFonts w:ascii="Times New Roman" w:hAnsi="Times New Roman"/>
          <w:szCs w:val="20"/>
        </w:rPr>
      </w:pPr>
      <w:r w:rsidRPr="009A3062">
        <w:rPr>
          <w:rFonts w:ascii="Times New Roman" w:eastAsia="DengXian" w:hAnsi="Times New Roman"/>
          <w:szCs w:val="20"/>
        </w:rPr>
        <w:t xml:space="preserve">12 SL-U UEs and 4 </w:t>
      </w:r>
      <w:r w:rsidRPr="009A3062">
        <w:rPr>
          <w:rFonts w:ascii="Times New Roman" w:hAnsi="Times New Roman"/>
          <w:szCs w:val="20"/>
        </w:rPr>
        <w:t>NR-U UEs / Wi-Fi nodes per gNB/AP per 20 MHz</w:t>
      </w:r>
    </w:p>
    <w:p w14:paraId="52018EDF" w14:textId="77777777" w:rsidR="009A3062" w:rsidRPr="009A3062" w:rsidRDefault="009A3062">
      <w:pPr>
        <w:pStyle w:val="ListParagraph"/>
        <w:numPr>
          <w:ilvl w:val="3"/>
          <w:numId w:val="18"/>
        </w:numPr>
        <w:ind w:leftChars="0"/>
        <w:rPr>
          <w:rFonts w:ascii="Times New Roman" w:hAnsi="Times New Roman"/>
          <w:szCs w:val="20"/>
        </w:rPr>
      </w:pPr>
      <w:r w:rsidRPr="009A3062">
        <w:rPr>
          <w:rFonts w:ascii="Times New Roman" w:hAnsi="Times New Roman"/>
          <w:szCs w:val="20"/>
        </w:rPr>
        <w:t>For evaluation of broadcast traffic, SL-U UEs are dropped uniformly at random in the area.</w:t>
      </w:r>
    </w:p>
    <w:p w14:paraId="20D2DDC6" w14:textId="77777777" w:rsidR="009A3062" w:rsidRPr="009A3062" w:rsidRDefault="009A3062">
      <w:pPr>
        <w:pStyle w:val="ListParagraph"/>
        <w:numPr>
          <w:ilvl w:val="4"/>
          <w:numId w:val="18"/>
        </w:numPr>
        <w:ind w:leftChars="0"/>
        <w:rPr>
          <w:rFonts w:ascii="Times New Roman" w:hAnsi="Times New Roman"/>
          <w:szCs w:val="20"/>
        </w:rPr>
      </w:pPr>
      <w:r w:rsidRPr="009A3062">
        <w:rPr>
          <w:rFonts w:ascii="Times New Roman" w:eastAsia="DengXian" w:hAnsi="Times New Roman"/>
          <w:szCs w:val="20"/>
        </w:rPr>
        <w:t>12 SL-U UEs</w:t>
      </w:r>
      <w:r w:rsidRPr="009A3062">
        <w:rPr>
          <w:rFonts w:ascii="Times New Roman" w:hAnsi="Times New Roman"/>
          <w:szCs w:val="20"/>
        </w:rPr>
        <w:t xml:space="preserve"> and 4 NR-U UEs / Wi-Fi nodes per gNB/AP per 20 MHz</w:t>
      </w:r>
    </w:p>
    <w:p w14:paraId="5492C9D3" w14:textId="77777777" w:rsidR="009A3062" w:rsidRPr="009A3062" w:rsidRDefault="009A3062">
      <w:pPr>
        <w:pStyle w:val="ListParagraph"/>
        <w:numPr>
          <w:ilvl w:val="2"/>
          <w:numId w:val="18"/>
        </w:numPr>
        <w:autoSpaceDE w:val="0"/>
        <w:autoSpaceDN w:val="0"/>
        <w:ind w:leftChars="0"/>
        <w:jc w:val="both"/>
        <w:rPr>
          <w:rFonts w:ascii="Times New Roman" w:hAnsi="Times New Roman"/>
          <w:color w:val="000000"/>
          <w:szCs w:val="20"/>
        </w:rPr>
      </w:pPr>
      <w:r w:rsidRPr="009A3062">
        <w:rPr>
          <w:rFonts w:ascii="Times New Roman" w:hAnsi="Times New Roman"/>
          <w:color w:val="000000"/>
          <w:szCs w:val="20"/>
          <w:lang w:val="en-AU"/>
        </w:rPr>
        <w:t>Option 2: SL UE clusters (R1-2203146)</w:t>
      </w:r>
    </w:p>
    <w:p w14:paraId="1E5575C7" w14:textId="438C2D48" w:rsidR="009A3062" w:rsidRPr="009A3062" w:rsidRDefault="009A3062" w:rsidP="009A3062">
      <w:pPr>
        <w:pStyle w:val="ListParagraph"/>
        <w:autoSpaceDE w:val="0"/>
        <w:autoSpaceDN w:val="0"/>
        <w:ind w:leftChars="1063" w:left="2126" w:firstLine="400"/>
        <w:rPr>
          <w:rFonts w:ascii="Times New Roman" w:eastAsia="DengXian" w:hAnsi="Times New Roman"/>
          <w:szCs w:val="20"/>
        </w:rPr>
      </w:pPr>
      <w:r w:rsidRPr="009A3062">
        <w:rPr>
          <w:rFonts w:ascii="Times New Roman" w:hAnsi="Times New Roman"/>
          <w:b/>
          <w:noProof/>
          <w:color w:val="000000"/>
          <w:szCs w:val="20"/>
          <w:lang w:val="en-US" w:eastAsia="zh-CN"/>
        </w:rPr>
        <w:drawing>
          <wp:inline distT="0" distB="0" distL="0" distR="0" wp14:anchorId="2029D48C" wp14:editId="044E1BC6">
            <wp:extent cx="3423285" cy="1720215"/>
            <wp:effectExtent l="0" t="0" r="5715" b="0"/>
            <wp:docPr id="2" name="Picture 2" descr="捕获"/>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6" descr="捕获"/>
                    <pic:cNvPicPr>
                      <a:picLocks noChangeAspect="1" noChangeArrowheads="1"/>
                    </pic:cNvPicPr>
                  </pic:nvPicPr>
                  <pic:blipFill>
                    <a:blip r:embed="rId68">
                      <a:extLst>
                        <a:ext uri="{28A0092B-C50C-407E-A947-70E740481C1C}">
                          <a14:useLocalDpi xmlns:a14="http://schemas.microsoft.com/office/drawing/2010/main" val="0"/>
                        </a:ext>
                      </a:extLst>
                    </a:blip>
                    <a:srcRect/>
                    <a:stretch>
                      <a:fillRect/>
                    </a:stretch>
                  </pic:blipFill>
                  <pic:spPr bwMode="auto">
                    <a:xfrm>
                      <a:off x="0" y="0"/>
                      <a:ext cx="3423285" cy="1720215"/>
                    </a:xfrm>
                    <a:prstGeom prst="rect">
                      <a:avLst/>
                    </a:prstGeom>
                    <a:noFill/>
                    <a:ln>
                      <a:noFill/>
                    </a:ln>
                  </pic:spPr>
                </pic:pic>
              </a:graphicData>
            </a:graphic>
          </wp:inline>
        </w:drawing>
      </w:r>
    </w:p>
    <w:p w14:paraId="4F9409C4" w14:textId="77777777" w:rsidR="009A3062" w:rsidRPr="009A3062" w:rsidRDefault="009A3062">
      <w:pPr>
        <w:pStyle w:val="ListParagraph"/>
        <w:numPr>
          <w:ilvl w:val="3"/>
          <w:numId w:val="18"/>
        </w:numPr>
        <w:ind w:leftChars="0"/>
        <w:rPr>
          <w:rFonts w:ascii="Times New Roman" w:hAnsi="Times New Roman"/>
          <w:color w:val="000000"/>
          <w:szCs w:val="20"/>
        </w:rPr>
      </w:pPr>
      <w:r w:rsidRPr="009A3062">
        <w:rPr>
          <w:rFonts w:ascii="Times New Roman" w:hAnsi="Times New Roman"/>
          <w:color w:val="000000"/>
          <w:szCs w:val="20"/>
        </w:rPr>
        <w:t>Indoor layout and UE dropping model with N = 3 or 6 clusters and each with M=5 UEs</w:t>
      </w:r>
    </w:p>
    <w:p w14:paraId="7D478010" w14:textId="77777777" w:rsidR="009A3062" w:rsidRPr="009A3062" w:rsidRDefault="009A3062">
      <w:pPr>
        <w:pStyle w:val="ListParagraph"/>
        <w:numPr>
          <w:ilvl w:val="3"/>
          <w:numId w:val="18"/>
        </w:numPr>
        <w:ind w:leftChars="0"/>
        <w:rPr>
          <w:rFonts w:ascii="Times New Roman" w:hAnsi="Times New Roman"/>
          <w:szCs w:val="20"/>
        </w:rPr>
      </w:pPr>
      <w:r w:rsidRPr="009A3062">
        <w:rPr>
          <w:rFonts w:ascii="Times New Roman" w:hAnsi="Times New Roman"/>
          <w:color w:val="000000"/>
          <w:szCs w:val="20"/>
        </w:rPr>
        <w:t xml:space="preserve">Each cluster is a circle, with a central point and radius Rmax = 15 or 10m and </w:t>
      </w:r>
      <w:r w:rsidRPr="009A3062">
        <w:rPr>
          <w:rFonts w:ascii="Times New Roman" w:hAnsi="Times New Roman"/>
          <w:szCs w:val="20"/>
        </w:rPr>
        <w:t>Rmin = 5 or 1m</w:t>
      </w:r>
    </w:p>
    <w:p w14:paraId="3B08DA2D" w14:textId="77777777" w:rsidR="009A3062" w:rsidRPr="009A3062" w:rsidRDefault="009A3062">
      <w:pPr>
        <w:pStyle w:val="ListParagraph"/>
        <w:numPr>
          <w:ilvl w:val="3"/>
          <w:numId w:val="18"/>
        </w:numPr>
        <w:ind w:leftChars="0"/>
        <w:rPr>
          <w:rFonts w:ascii="Times New Roman" w:hAnsi="Times New Roman"/>
          <w:szCs w:val="20"/>
        </w:rPr>
      </w:pPr>
      <w:r w:rsidRPr="009A3062">
        <w:rPr>
          <w:rFonts w:ascii="Times New Roman" w:hAnsi="Times New Roman"/>
          <w:szCs w:val="20"/>
        </w:rPr>
        <w:t>No overlapping among the N clusters</w:t>
      </w:r>
    </w:p>
    <w:p w14:paraId="5DA6CDA2" w14:textId="77777777" w:rsidR="009A3062" w:rsidRPr="009A3062" w:rsidRDefault="009A3062">
      <w:pPr>
        <w:pStyle w:val="ListParagraph"/>
        <w:numPr>
          <w:ilvl w:val="3"/>
          <w:numId w:val="18"/>
        </w:numPr>
        <w:ind w:leftChars="0"/>
        <w:rPr>
          <w:rFonts w:ascii="Times New Roman" w:hAnsi="Times New Roman"/>
          <w:szCs w:val="20"/>
        </w:rPr>
      </w:pPr>
      <w:r w:rsidRPr="009A3062">
        <w:rPr>
          <w:rFonts w:ascii="Times New Roman" w:hAnsi="Times New Roman"/>
          <w:szCs w:val="20"/>
        </w:rPr>
        <w:t>For coexistence, there are two operators to model two RATs at a time, where the red one is Wi-Fi AP or NR-U gNB. NR-U UE / Wi-Fi STA are dropped uniformly per gNB/AP.</w:t>
      </w:r>
    </w:p>
    <w:p w14:paraId="632B9F29" w14:textId="77777777" w:rsidR="009A3062" w:rsidRPr="009A3062" w:rsidRDefault="009A3062">
      <w:pPr>
        <w:pStyle w:val="ListParagraph"/>
        <w:numPr>
          <w:ilvl w:val="3"/>
          <w:numId w:val="18"/>
        </w:numPr>
        <w:ind w:leftChars="0"/>
        <w:rPr>
          <w:rFonts w:ascii="Times New Roman" w:hAnsi="Times New Roman"/>
          <w:szCs w:val="20"/>
        </w:rPr>
      </w:pPr>
      <w:r w:rsidRPr="009A3062">
        <w:rPr>
          <w:rFonts w:ascii="Times New Roman" w:hAnsi="Times New Roman"/>
          <w:szCs w:val="20"/>
        </w:rPr>
        <w:t>Simulation bandwidth can be larger than 20MHz (e.g., 80MHz)</w:t>
      </w:r>
    </w:p>
    <w:p w14:paraId="1B85C389" w14:textId="77777777" w:rsidR="009A3062" w:rsidRPr="009A3062" w:rsidRDefault="009A3062">
      <w:pPr>
        <w:pStyle w:val="ListParagraph"/>
        <w:numPr>
          <w:ilvl w:val="1"/>
          <w:numId w:val="18"/>
        </w:numPr>
        <w:ind w:leftChars="0"/>
        <w:jc w:val="both"/>
        <w:rPr>
          <w:rFonts w:ascii="Times New Roman" w:hAnsi="Times New Roman"/>
          <w:szCs w:val="20"/>
        </w:rPr>
      </w:pPr>
      <w:r w:rsidRPr="009A3062">
        <w:rPr>
          <w:rFonts w:ascii="Times New Roman" w:hAnsi="Times New Roman"/>
          <w:szCs w:val="20"/>
        </w:rPr>
        <w:t>Channel model follows NR InH Mixed Office model used in NR-U (TR38.889)</w:t>
      </w:r>
    </w:p>
    <w:p w14:paraId="75AB17DD" w14:textId="77777777" w:rsidR="009A3062" w:rsidRPr="009A3062" w:rsidRDefault="009A3062">
      <w:pPr>
        <w:pStyle w:val="ListParagraph"/>
        <w:numPr>
          <w:ilvl w:val="1"/>
          <w:numId w:val="18"/>
        </w:numPr>
        <w:ind w:leftChars="0"/>
        <w:jc w:val="both"/>
        <w:rPr>
          <w:rFonts w:ascii="Times New Roman" w:hAnsi="Times New Roman"/>
          <w:szCs w:val="20"/>
        </w:rPr>
      </w:pPr>
      <w:r w:rsidRPr="009A3062">
        <w:rPr>
          <w:rFonts w:ascii="Times New Roman" w:hAnsi="Times New Roman"/>
          <w:szCs w:val="20"/>
        </w:rPr>
        <w:t xml:space="preserve">Traffic model </w:t>
      </w:r>
    </w:p>
    <w:p w14:paraId="3FBF62DC" w14:textId="77777777" w:rsidR="009A3062" w:rsidRPr="009A3062" w:rsidRDefault="009A3062">
      <w:pPr>
        <w:pStyle w:val="ListParagraph"/>
        <w:numPr>
          <w:ilvl w:val="2"/>
          <w:numId w:val="18"/>
        </w:numPr>
        <w:ind w:leftChars="0"/>
        <w:jc w:val="both"/>
        <w:rPr>
          <w:rFonts w:ascii="Times New Roman" w:hAnsi="Times New Roman"/>
          <w:szCs w:val="20"/>
        </w:rPr>
      </w:pPr>
      <w:r w:rsidRPr="009A3062">
        <w:rPr>
          <w:rFonts w:ascii="Times New Roman" w:hAnsi="Times New Roman"/>
          <w:szCs w:val="20"/>
        </w:rPr>
        <w:t>Option 1: R17 sidelink commercial traffic model with periodic model 3 with packet size reduced by a factor of (high: 1; mid: 5; low: 10)</w:t>
      </w:r>
    </w:p>
    <w:p w14:paraId="2C406937" w14:textId="77777777" w:rsidR="009A3062" w:rsidRPr="009A3062" w:rsidRDefault="009A3062">
      <w:pPr>
        <w:pStyle w:val="ListParagraph"/>
        <w:numPr>
          <w:ilvl w:val="3"/>
          <w:numId w:val="18"/>
        </w:numPr>
        <w:ind w:leftChars="0"/>
        <w:jc w:val="both"/>
        <w:rPr>
          <w:rFonts w:ascii="Times New Roman" w:hAnsi="Times New Roman"/>
          <w:szCs w:val="20"/>
        </w:rPr>
      </w:pPr>
      <w:r w:rsidRPr="009A3062">
        <w:rPr>
          <w:rFonts w:ascii="Times New Roman" w:hAnsi="Times New Roman"/>
          <w:szCs w:val="20"/>
        </w:rPr>
        <w:t>FFS whether/how the PDB requirement can be captured</w:t>
      </w:r>
    </w:p>
    <w:p w14:paraId="3E112DE9" w14:textId="77777777" w:rsidR="009A3062" w:rsidRPr="009A3062" w:rsidRDefault="009A3062">
      <w:pPr>
        <w:pStyle w:val="ListParagraph"/>
        <w:numPr>
          <w:ilvl w:val="2"/>
          <w:numId w:val="18"/>
        </w:numPr>
        <w:ind w:leftChars="0"/>
        <w:jc w:val="both"/>
        <w:rPr>
          <w:rFonts w:ascii="Times New Roman" w:hAnsi="Times New Roman"/>
          <w:szCs w:val="20"/>
        </w:rPr>
      </w:pPr>
      <w:r w:rsidRPr="009A3062">
        <w:rPr>
          <w:rFonts w:ascii="Times New Roman" w:hAnsi="Times New Roman"/>
          <w:szCs w:val="20"/>
        </w:rPr>
        <w:t>Option 2: FTP model 3 with arrival rate satisfying one of the followings:</w:t>
      </w:r>
    </w:p>
    <w:p w14:paraId="341B0FB3" w14:textId="77777777" w:rsidR="009A3062" w:rsidRPr="009A3062" w:rsidRDefault="009A3062">
      <w:pPr>
        <w:pStyle w:val="ListParagraph"/>
        <w:numPr>
          <w:ilvl w:val="3"/>
          <w:numId w:val="18"/>
        </w:numPr>
        <w:ind w:leftChars="0"/>
        <w:jc w:val="both"/>
        <w:rPr>
          <w:rFonts w:ascii="Times New Roman" w:hAnsi="Times New Roman"/>
          <w:szCs w:val="20"/>
        </w:rPr>
      </w:pPr>
      <w:r w:rsidRPr="009A3062">
        <w:rPr>
          <w:rFonts w:ascii="Times New Roman" w:hAnsi="Times New Roman"/>
          <w:szCs w:val="20"/>
        </w:rPr>
        <w:t>BO Low load: 10%~25%</w:t>
      </w:r>
    </w:p>
    <w:p w14:paraId="0D360785" w14:textId="77777777" w:rsidR="009A3062" w:rsidRPr="009A3062" w:rsidRDefault="009A3062">
      <w:pPr>
        <w:pStyle w:val="ListParagraph"/>
        <w:numPr>
          <w:ilvl w:val="3"/>
          <w:numId w:val="18"/>
        </w:numPr>
        <w:ind w:leftChars="0"/>
        <w:jc w:val="both"/>
        <w:rPr>
          <w:rFonts w:ascii="Times New Roman" w:hAnsi="Times New Roman"/>
          <w:szCs w:val="20"/>
        </w:rPr>
      </w:pPr>
      <w:r w:rsidRPr="009A3062">
        <w:rPr>
          <w:rFonts w:ascii="Times New Roman" w:hAnsi="Times New Roman"/>
          <w:szCs w:val="20"/>
        </w:rPr>
        <w:t>BO Mid load: 35%~50%</w:t>
      </w:r>
    </w:p>
    <w:p w14:paraId="6CCB2359" w14:textId="77777777" w:rsidR="009A3062" w:rsidRPr="009A3062" w:rsidRDefault="009A3062">
      <w:pPr>
        <w:pStyle w:val="ListParagraph"/>
        <w:numPr>
          <w:ilvl w:val="3"/>
          <w:numId w:val="18"/>
        </w:numPr>
        <w:ind w:leftChars="0"/>
        <w:jc w:val="both"/>
        <w:rPr>
          <w:rFonts w:ascii="Times New Roman" w:hAnsi="Times New Roman"/>
          <w:szCs w:val="20"/>
        </w:rPr>
      </w:pPr>
      <w:r w:rsidRPr="009A3062">
        <w:rPr>
          <w:rFonts w:ascii="Times New Roman" w:hAnsi="Times New Roman"/>
          <w:szCs w:val="20"/>
        </w:rPr>
        <w:t>BO High load: above 55%</w:t>
      </w:r>
    </w:p>
    <w:p w14:paraId="481809B6" w14:textId="77777777" w:rsidR="009A3062" w:rsidRPr="009A3062" w:rsidRDefault="009A3062">
      <w:pPr>
        <w:pStyle w:val="ListParagraph"/>
        <w:numPr>
          <w:ilvl w:val="2"/>
          <w:numId w:val="18"/>
        </w:numPr>
        <w:ind w:leftChars="0"/>
        <w:jc w:val="both"/>
        <w:rPr>
          <w:rFonts w:ascii="Times New Roman" w:hAnsi="Times New Roman"/>
          <w:szCs w:val="20"/>
        </w:rPr>
      </w:pPr>
      <w:r w:rsidRPr="009A3062">
        <w:rPr>
          <w:rFonts w:ascii="Times New Roman" w:hAnsi="Times New Roman"/>
          <w:szCs w:val="20"/>
        </w:rPr>
        <w:t>Option 3: XR cloud gaming model in TR38.838</w:t>
      </w:r>
    </w:p>
    <w:p w14:paraId="5D397909" w14:textId="77777777" w:rsidR="009A3062" w:rsidRPr="009A3062" w:rsidRDefault="009A3062">
      <w:pPr>
        <w:pStyle w:val="ListParagraph"/>
        <w:numPr>
          <w:ilvl w:val="3"/>
          <w:numId w:val="18"/>
        </w:numPr>
        <w:ind w:leftChars="0"/>
        <w:jc w:val="both"/>
        <w:rPr>
          <w:rFonts w:ascii="Times New Roman" w:hAnsi="Times New Roman"/>
          <w:szCs w:val="20"/>
        </w:rPr>
      </w:pPr>
      <w:r w:rsidRPr="009A3062">
        <w:rPr>
          <w:rFonts w:ascii="Times New Roman" w:hAnsi="Times New Roman"/>
          <w:szCs w:val="20"/>
        </w:rPr>
        <w:t>FFS whether/how the PDB requirement can be captured</w:t>
      </w:r>
    </w:p>
    <w:p w14:paraId="00E53A05" w14:textId="77777777" w:rsidR="009A3062" w:rsidRPr="009A3062" w:rsidRDefault="009A3062">
      <w:pPr>
        <w:pStyle w:val="ListParagraph"/>
        <w:numPr>
          <w:ilvl w:val="2"/>
          <w:numId w:val="18"/>
        </w:numPr>
        <w:ind w:leftChars="0"/>
        <w:jc w:val="both"/>
        <w:rPr>
          <w:rFonts w:ascii="Times New Roman" w:hAnsi="Times New Roman"/>
          <w:szCs w:val="20"/>
        </w:rPr>
      </w:pPr>
      <w:r w:rsidRPr="009A3062">
        <w:rPr>
          <w:rFonts w:ascii="Times New Roman" w:hAnsi="Times New Roman"/>
          <w:szCs w:val="20"/>
        </w:rPr>
        <w:t>It is up to each company to use either Option 1 or 2 or Option 3 or mixed of them</w:t>
      </w:r>
    </w:p>
    <w:p w14:paraId="74EF8CEF" w14:textId="77777777" w:rsidR="009A3062" w:rsidRPr="009A3062" w:rsidRDefault="009A3062">
      <w:pPr>
        <w:pStyle w:val="ListParagraph"/>
        <w:numPr>
          <w:ilvl w:val="1"/>
          <w:numId w:val="18"/>
        </w:numPr>
        <w:ind w:leftChars="0"/>
        <w:jc w:val="both"/>
        <w:rPr>
          <w:rFonts w:ascii="Times New Roman" w:hAnsi="Times New Roman"/>
          <w:szCs w:val="20"/>
        </w:rPr>
      </w:pPr>
      <w:r w:rsidRPr="009A3062">
        <w:rPr>
          <w:rFonts w:ascii="Times New Roman" w:hAnsi="Times New Roman"/>
          <w:szCs w:val="20"/>
        </w:rPr>
        <w:lastRenderedPageBreak/>
        <w:t xml:space="preserve">Interference model: </w:t>
      </w:r>
    </w:p>
    <w:p w14:paraId="24FE92BB" w14:textId="77777777" w:rsidR="009A3062" w:rsidRPr="009A3062" w:rsidRDefault="009A3062">
      <w:pPr>
        <w:pStyle w:val="ListParagraph"/>
        <w:numPr>
          <w:ilvl w:val="2"/>
          <w:numId w:val="18"/>
        </w:numPr>
        <w:ind w:leftChars="0"/>
        <w:jc w:val="both"/>
        <w:rPr>
          <w:rFonts w:ascii="Times New Roman" w:hAnsi="Times New Roman"/>
          <w:szCs w:val="20"/>
        </w:rPr>
      </w:pPr>
      <w:r w:rsidRPr="009A3062">
        <w:rPr>
          <w:rFonts w:ascii="Times New Roman" w:hAnsi="Times New Roman"/>
          <w:szCs w:val="20"/>
        </w:rPr>
        <w:t xml:space="preserve">Layout option 1: </w:t>
      </w:r>
      <w:r w:rsidRPr="009A3062">
        <w:rPr>
          <w:rFonts w:ascii="Times New Roman" w:hAnsi="Times New Roman"/>
          <w:szCs w:val="20"/>
          <w:lang w:val="en-AU"/>
        </w:rPr>
        <w:t>Explicit modelling of NR-U / WiFi transmissions (as per TR38.889)</w:t>
      </w:r>
    </w:p>
    <w:p w14:paraId="554FD025" w14:textId="77777777" w:rsidR="009A3062" w:rsidRPr="009A3062" w:rsidRDefault="009A3062">
      <w:pPr>
        <w:pStyle w:val="ListParagraph"/>
        <w:numPr>
          <w:ilvl w:val="2"/>
          <w:numId w:val="18"/>
        </w:numPr>
        <w:ind w:leftChars="0"/>
        <w:jc w:val="both"/>
        <w:rPr>
          <w:rFonts w:ascii="Times New Roman" w:hAnsi="Times New Roman"/>
          <w:szCs w:val="20"/>
        </w:rPr>
      </w:pPr>
      <w:r w:rsidRPr="009A3062">
        <w:rPr>
          <w:rFonts w:ascii="Times New Roman" w:hAnsi="Times New Roman"/>
          <w:szCs w:val="20"/>
        </w:rPr>
        <w:t>Note, for the interference traffic model:</w:t>
      </w:r>
    </w:p>
    <w:p w14:paraId="71F10ED4" w14:textId="77777777" w:rsidR="009A3062" w:rsidRPr="009A3062" w:rsidRDefault="009A3062">
      <w:pPr>
        <w:pStyle w:val="ListParagraph"/>
        <w:numPr>
          <w:ilvl w:val="3"/>
          <w:numId w:val="18"/>
        </w:numPr>
        <w:ind w:leftChars="0"/>
        <w:jc w:val="both"/>
        <w:rPr>
          <w:rFonts w:ascii="Times New Roman" w:hAnsi="Times New Roman"/>
          <w:szCs w:val="20"/>
        </w:rPr>
      </w:pPr>
      <w:r w:rsidRPr="009A3062">
        <w:rPr>
          <w:rFonts w:ascii="Times New Roman" w:hAnsi="Times New Roman"/>
          <w:szCs w:val="20"/>
        </w:rPr>
        <w:t xml:space="preserve">The same or equivalent traffic model setting as SL-U should be used as much as possible to achieve equal load (e.g., SL-U RAT offered load equal the interfering RAT’s offered load). </w:t>
      </w:r>
    </w:p>
    <w:p w14:paraId="47D2D0BA" w14:textId="77777777" w:rsidR="009A3062" w:rsidRPr="009A3062" w:rsidRDefault="009A3062">
      <w:pPr>
        <w:pStyle w:val="ListParagraph"/>
        <w:numPr>
          <w:ilvl w:val="3"/>
          <w:numId w:val="18"/>
        </w:numPr>
        <w:ind w:leftChars="0"/>
        <w:jc w:val="both"/>
        <w:rPr>
          <w:rFonts w:ascii="Times New Roman" w:hAnsi="Times New Roman"/>
          <w:szCs w:val="20"/>
        </w:rPr>
      </w:pPr>
      <w:r w:rsidRPr="009A3062">
        <w:rPr>
          <w:rFonts w:ascii="Times New Roman" w:hAnsi="Times New Roman"/>
          <w:szCs w:val="20"/>
        </w:rPr>
        <w:t>The same number of traffic flows should be used between SL-U and the interfering RAT (e.g., 10 UEs with 10 flows, and 5 STAs with 2 flows each, one for DL and one for UL)</w:t>
      </w:r>
    </w:p>
    <w:p w14:paraId="7D9E5731" w14:textId="77777777" w:rsidR="009A3062" w:rsidRPr="009A3062" w:rsidRDefault="009A3062">
      <w:pPr>
        <w:pStyle w:val="ListParagraph"/>
        <w:numPr>
          <w:ilvl w:val="4"/>
          <w:numId w:val="18"/>
        </w:numPr>
        <w:ind w:leftChars="0"/>
        <w:rPr>
          <w:rFonts w:ascii="Times New Roman" w:hAnsi="Times New Roman"/>
          <w:szCs w:val="20"/>
        </w:rPr>
      </w:pPr>
      <w:r w:rsidRPr="009A3062">
        <w:rPr>
          <w:rFonts w:ascii="Times New Roman" w:hAnsi="Times New Roman"/>
          <w:szCs w:val="20"/>
        </w:rPr>
        <w:t>Companies should report if they used a different assumption, as an additional evaluation scenario.</w:t>
      </w:r>
    </w:p>
    <w:p w14:paraId="3E83FB05" w14:textId="77777777" w:rsidR="009A3062" w:rsidRPr="009A3062" w:rsidRDefault="009A3062">
      <w:pPr>
        <w:pStyle w:val="ListParagraph"/>
        <w:numPr>
          <w:ilvl w:val="1"/>
          <w:numId w:val="18"/>
        </w:numPr>
        <w:ind w:leftChars="0"/>
        <w:jc w:val="both"/>
        <w:rPr>
          <w:rFonts w:ascii="Times New Roman" w:hAnsi="Times New Roman"/>
          <w:szCs w:val="20"/>
        </w:rPr>
      </w:pPr>
      <w:r w:rsidRPr="009A3062">
        <w:rPr>
          <w:rFonts w:ascii="Times New Roman" w:hAnsi="Times New Roman"/>
          <w:szCs w:val="20"/>
        </w:rPr>
        <w:t xml:space="preserve">Performance metric: </w:t>
      </w:r>
      <w:r w:rsidRPr="009A3062">
        <w:rPr>
          <w:rFonts w:ascii="Times New Roman" w:hAnsi="Times New Roman"/>
          <w:szCs w:val="20"/>
          <w:lang w:val="en-AU"/>
        </w:rPr>
        <w:t xml:space="preserve">UPT, latency, and PRR which regards the packet whose delay exceeding the remaining PDB as transmission failure. </w:t>
      </w:r>
    </w:p>
    <w:p w14:paraId="6841D158" w14:textId="77777777" w:rsidR="009A3062" w:rsidRPr="009A3062" w:rsidRDefault="009A3062">
      <w:pPr>
        <w:pStyle w:val="ListParagraph"/>
        <w:numPr>
          <w:ilvl w:val="2"/>
          <w:numId w:val="18"/>
        </w:numPr>
        <w:ind w:leftChars="0"/>
        <w:jc w:val="both"/>
        <w:rPr>
          <w:rFonts w:ascii="Times New Roman" w:hAnsi="Times New Roman"/>
          <w:szCs w:val="20"/>
        </w:rPr>
      </w:pPr>
      <w:r w:rsidRPr="009A3062">
        <w:rPr>
          <w:rFonts w:ascii="Times New Roman" w:hAnsi="Times New Roman"/>
          <w:szCs w:val="20"/>
        </w:rPr>
        <w:t>FFS: UE satisfaction/system capacity as section 7.2 in TR 38.838 for XR traffic evaluation</w:t>
      </w:r>
    </w:p>
    <w:p w14:paraId="400917B4" w14:textId="77777777" w:rsidR="009A3062" w:rsidRPr="009A3062" w:rsidRDefault="009A3062">
      <w:pPr>
        <w:pStyle w:val="ListParagraph"/>
        <w:numPr>
          <w:ilvl w:val="2"/>
          <w:numId w:val="18"/>
        </w:numPr>
        <w:ind w:leftChars="0"/>
        <w:jc w:val="both"/>
        <w:rPr>
          <w:rFonts w:ascii="Times New Roman" w:hAnsi="Times New Roman"/>
          <w:szCs w:val="20"/>
        </w:rPr>
      </w:pPr>
      <w:r w:rsidRPr="009A3062">
        <w:rPr>
          <w:rFonts w:ascii="Times New Roman" w:hAnsi="Times New Roman"/>
          <w:szCs w:val="20"/>
        </w:rPr>
        <w:t>FFS for groupcast and broadcast</w:t>
      </w:r>
    </w:p>
    <w:p w14:paraId="37DF1C19" w14:textId="77777777" w:rsidR="009A3062" w:rsidRPr="009A3062" w:rsidRDefault="009A3062">
      <w:pPr>
        <w:pStyle w:val="ListParagraph"/>
        <w:numPr>
          <w:ilvl w:val="1"/>
          <w:numId w:val="18"/>
        </w:numPr>
        <w:ind w:leftChars="0"/>
        <w:jc w:val="both"/>
        <w:rPr>
          <w:rFonts w:ascii="Times New Roman" w:hAnsi="Times New Roman"/>
          <w:szCs w:val="20"/>
        </w:rPr>
      </w:pPr>
      <w:r w:rsidRPr="009A3062">
        <w:rPr>
          <w:rFonts w:ascii="Times New Roman" w:hAnsi="Times New Roman"/>
          <w:szCs w:val="20"/>
          <w:lang w:val="en-AU"/>
        </w:rPr>
        <w:t xml:space="preserve">Fair coexistence criterion </w:t>
      </w:r>
      <w:r w:rsidRPr="009A3062">
        <w:rPr>
          <w:rFonts w:ascii="Times New Roman" w:hAnsi="Times New Roman"/>
          <w:szCs w:val="20"/>
        </w:rPr>
        <w:t xml:space="preserve">between SL-U and the interfering RAT (e.g., </w:t>
      </w:r>
      <w:r w:rsidRPr="009A3062">
        <w:rPr>
          <w:rFonts w:ascii="Times New Roman" w:hAnsi="Times New Roman"/>
          <w:szCs w:val="20"/>
          <w:lang w:val="en-AU"/>
        </w:rPr>
        <w:t>according to NR-U TR38.889)</w:t>
      </w:r>
    </w:p>
    <w:p w14:paraId="5FA64EA8" w14:textId="77777777" w:rsidR="009A3062" w:rsidRPr="009A3062" w:rsidRDefault="009A3062" w:rsidP="009A3062">
      <w:pPr>
        <w:rPr>
          <w:rFonts w:ascii="Times New Roman" w:hAnsi="Times New Roman"/>
          <w:szCs w:val="20"/>
          <w:lang w:eastAsia="x-none"/>
        </w:rPr>
      </w:pPr>
    </w:p>
    <w:p w14:paraId="735BD644" w14:textId="77777777" w:rsidR="009A3062" w:rsidRPr="009A3062" w:rsidRDefault="009A3062" w:rsidP="009A3062">
      <w:pPr>
        <w:autoSpaceDE w:val="0"/>
        <w:autoSpaceDN w:val="0"/>
        <w:jc w:val="both"/>
        <w:rPr>
          <w:rFonts w:ascii="Times New Roman" w:hAnsi="Times New Roman"/>
          <w:szCs w:val="20"/>
        </w:rPr>
      </w:pPr>
      <w:r w:rsidRPr="009A3062">
        <w:rPr>
          <w:rFonts w:ascii="Times New Roman" w:hAnsi="Times New Roman"/>
          <w:b/>
          <w:bCs/>
          <w:szCs w:val="20"/>
          <w:highlight w:val="green"/>
        </w:rPr>
        <w:t>Agreement</w:t>
      </w:r>
    </w:p>
    <w:p w14:paraId="2537D6A1" w14:textId="77777777" w:rsidR="009A3062" w:rsidRPr="009A3062" w:rsidRDefault="009A3062">
      <w:pPr>
        <w:pStyle w:val="ListParagraph"/>
        <w:numPr>
          <w:ilvl w:val="0"/>
          <w:numId w:val="18"/>
        </w:numPr>
        <w:autoSpaceDE w:val="0"/>
        <w:autoSpaceDN w:val="0"/>
        <w:ind w:leftChars="0"/>
        <w:jc w:val="both"/>
        <w:rPr>
          <w:rFonts w:ascii="Times New Roman" w:hAnsi="Times New Roman"/>
          <w:szCs w:val="20"/>
        </w:rPr>
      </w:pPr>
      <w:r w:rsidRPr="009A3062">
        <w:rPr>
          <w:rFonts w:ascii="Times New Roman" w:hAnsi="Times New Roman"/>
          <w:szCs w:val="20"/>
        </w:rPr>
        <w:t>CW adjustment</w:t>
      </w:r>
    </w:p>
    <w:p w14:paraId="6A31B5ED" w14:textId="77777777" w:rsidR="009A3062" w:rsidRPr="009A3062" w:rsidRDefault="009A3062">
      <w:pPr>
        <w:pStyle w:val="ListParagraph"/>
        <w:numPr>
          <w:ilvl w:val="1"/>
          <w:numId w:val="18"/>
        </w:numPr>
        <w:autoSpaceDE w:val="0"/>
        <w:autoSpaceDN w:val="0"/>
        <w:ind w:leftChars="0"/>
        <w:jc w:val="both"/>
        <w:rPr>
          <w:rFonts w:ascii="Times New Roman" w:hAnsi="Times New Roman"/>
          <w:szCs w:val="20"/>
        </w:rPr>
      </w:pPr>
      <w:r w:rsidRPr="009A3062">
        <w:rPr>
          <w:rFonts w:ascii="Times New Roman" w:hAnsi="Times New Roman"/>
          <w:szCs w:val="20"/>
        </w:rPr>
        <w:t xml:space="preserve">NR-U DL CW adjustment mechanism is used as the baseline for SL-U when SL-HARQ feedback is enabled in SCI for unicast </w:t>
      </w:r>
    </w:p>
    <w:p w14:paraId="101D4454" w14:textId="77777777" w:rsidR="009A3062" w:rsidRPr="009A3062" w:rsidRDefault="009A3062">
      <w:pPr>
        <w:pStyle w:val="ListParagraph"/>
        <w:numPr>
          <w:ilvl w:val="2"/>
          <w:numId w:val="18"/>
        </w:numPr>
        <w:autoSpaceDE w:val="0"/>
        <w:autoSpaceDN w:val="0"/>
        <w:ind w:leftChars="0"/>
        <w:jc w:val="both"/>
        <w:rPr>
          <w:rFonts w:ascii="Times New Roman" w:hAnsi="Times New Roman"/>
          <w:szCs w:val="20"/>
        </w:rPr>
      </w:pPr>
      <w:r w:rsidRPr="009A3062">
        <w:rPr>
          <w:rFonts w:ascii="Times New Roman" w:hAnsi="Times New Roman"/>
          <w:szCs w:val="20"/>
        </w:rPr>
        <w:t>FFS any necessary update for SL-U operation</w:t>
      </w:r>
    </w:p>
    <w:p w14:paraId="4DD30E53" w14:textId="77777777" w:rsidR="009A3062" w:rsidRPr="009A3062" w:rsidRDefault="009A3062">
      <w:pPr>
        <w:pStyle w:val="ListParagraph"/>
        <w:numPr>
          <w:ilvl w:val="1"/>
          <w:numId w:val="18"/>
        </w:numPr>
        <w:autoSpaceDE w:val="0"/>
        <w:autoSpaceDN w:val="0"/>
        <w:ind w:leftChars="0"/>
        <w:jc w:val="both"/>
        <w:rPr>
          <w:rFonts w:ascii="Times New Roman" w:hAnsi="Times New Roman"/>
          <w:szCs w:val="20"/>
        </w:rPr>
      </w:pPr>
      <w:r w:rsidRPr="009A3062">
        <w:rPr>
          <w:rFonts w:ascii="Times New Roman" w:hAnsi="Times New Roman"/>
          <w:szCs w:val="20"/>
        </w:rPr>
        <w:t>FFS: how to determine CW size when SL-HARQ feedback is disabled in SCI</w:t>
      </w:r>
    </w:p>
    <w:p w14:paraId="34D96EC1" w14:textId="77777777" w:rsidR="009A3062" w:rsidRPr="009A3062" w:rsidRDefault="009A3062">
      <w:pPr>
        <w:pStyle w:val="ListParagraph"/>
        <w:numPr>
          <w:ilvl w:val="1"/>
          <w:numId w:val="18"/>
        </w:numPr>
        <w:autoSpaceDE w:val="0"/>
        <w:autoSpaceDN w:val="0"/>
        <w:ind w:leftChars="0"/>
        <w:jc w:val="both"/>
        <w:rPr>
          <w:rFonts w:ascii="Times New Roman" w:hAnsi="Times New Roman"/>
          <w:szCs w:val="20"/>
        </w:rPr>
      </w:pPr>
      <w:r w:rsidRPr="009A3062">
        <w:rPr>
          <w:rFonts w:ascii="Times New Roman" w:hAnsi="Times New Roman"/>
          <w:szCs w:val="20"/>
          <w:lang w:val="en-AU"/>
        </w:rPr>
        <w:t xml:space="preserve">FFS the case of groupcast option 1 (NACK-only) and </w:t>
      </w:r>
      <w:r w:rsidRPr="009A3062">
        <w:rPr>
          <w:rFonts w:ascii="Times New Roman" w:hAnsi="Times New Roman"/>
          <w:szCs w:val="20"/>
        </w:rPr>
        <w:t>groupcast option 2</w:t>
      </w:r>
    </w:p>
    <w:p w14:paraId="147AAB79" w14:textId="77777777" w:rsidR="009A3062" w:rsidRPr="009A3062" w:rsidRDefault="009A3062" w:rsidP="009A3062">
      <w:pPr>
        <w:autoSpaceDE w:val="0"/>
        <w:autoSpaceDN w:val="0"/>
        <w:jc w:val="both"/>
        <w:rPr>
          <w:rFonts w:ascii="Times New Roman" w:hAnsi="Times New Roman"/>
          <w:b/>
          <w:bCs/>
          <w:szCs w:val="20"/>
          <w:highlight w:val="yellow"/>
        </w:rPr>
      </w:pPr>
    </w:p>
    <w:p w14:paraId="4110EDC4" w14:textId="77777777" w:rsidR="009A3062" w:rsidRPr="009A3062" w:rsidRDefault="009A3062" w:rsidP="009A3062">
      <w:pPr>
        <w:autoSpaceDE w:val="0"/>
        <w:autoSpaceDN w:val="0"/>
        <w:jc w:val="both"/>
        <w:rPr>
          <w:rFonts w:ascii="Times New Roman" w:hAnsi="Times New Roman"/>
          <w:szCs w:val="20"/>
        </w:rPr>
      </w:pPr>
      <w:r w:rsidRPr="009A3062">
        <w:rPr>
          <w:rFonts w:ascii="Times New Roman" w:hAnsi="Times New Roman"/>
          <w:b/>
          <w:bCs/>
          <w:szCs w:val="20"/>
          <w:highlight w:val="green"/>
        </w:rPr>
        <w:t>Agreement</w:t>
      </w:r>
    </w:p>
    <w:p w14:paraId="417E4382" w14:textId="77777777" w:rsidR="009A3062" w:rsidRPr="009A3062" w:rsidRDefault="009A3062">
      <w:pPr>
        <w:pStyle w:val="ListParagraph"/>
        <w:numPr>
          <w:ilvl w:val="0"/>
          <w:numId w:val="18"/>
        </w:numPr>
        <w:autoSpaceDE w:val="0"/>
        <w:autoSpaceDN w:val="0"/>
        <w:ind w:leftChars="0"/>
        <w:jc w:val="both"/>
        <w:rPr>
          <w:rFonts w:ascii="Times New Roman" w:hAnsi="Times New Roman"/>
          <w:szCs w:val="20"/>
        </w:rPr>
      </w:pPr>
      <w:r w:rsidRPr="009A3062">
        <w:rPr>
          <w:rFonts w:ascii="Times New Roman" w:hAnsi="Times New Roman"/>
          <w:szCs w:val="20"/>
        </w:rPr>
        <w:t>Type 2A/2B/2C SL channel access procedures</w:t>
      </w:r>
    </w:p>
    <w:p w14:paraId="23F09AC2" w14:textId="77777777" w:rsidR="009A3062" w:rsidRPr="00DA20DC" w:rsidRDefault="009A3062">
      <w:pPr>
        <w:pStyle w:val="ListParagraph"/>
        <w:numPr>
          <w:ilvl w:val="1"/>
          <w:numId w:val="18"/>
        </w:numPr>
        <w:autoSpaceDE w:val="0"/>
        <w:autoSpaceDN w:val="0"/>
        <w:ind w:leftChars="0"/>
        <w:jc w:val="both"/>
        <w:rPr>
          <w:rFonts w:ascii="Times New Roman" w:hAnsi="Times New Roman"/>
          <w:szCs w:val="20"/>
        </w:rPr>
      </w:pPr>
      <w:r w:rsidRPr="00DA20DC">
        <w:rPr>
          <w:rFonts w:ascii="Times New Roman" w:hAnsi="Times New Roman"/>
          <w:szCs w:val="20"/>
        </w:rPr>
        <w:t>Type 2A channel access procedure is applicable to the following case:</w:t>
      </w:r>
    </w:p>
    <w:p w14:paraId="606DD7B8" w14:textId="77777777" w:rsidR="009A3062" w:rsidRPr="00DA20DC" w:rsidRDefault="009A3062">
      <w:pPr>
        <w:pStyle w:val="ListParagraph"/>
        <w:numPr>
          <w:ilvl w:val="2"/>
          <w:numId w:val="18"/>
        </w:numPr>
        <w:autoSpaceDE w:val="0"/>
        <w:autoSpaceDN w:val="0"/>
        <w:ind w:leftChars="0"/>
        <w:jc w:val="both"/>
        <w:rPr>
          <w:rFonts w:ascii="Times New Roman" w:hAnsi="Times New Roman"/>
          <w:szCs w:val="20"/>
        </w:rPr>
      </w:pPr>
      <w:r w:rsidRPr="00DA20DC">
        <w:rPr>
          <w:rFonts w:ascii="Times New Roman" w:hAnsi="Times New Roman"/>
          <w:szCs w:val="20"/>
        </w:rPr>
        <w:t>Transmission(s) by a UE following transmission(s) by another UE for a gap ≥ 25μs in a shared channel occupancy</w:t>
      </w:r>
    </w:p>
    <w:p w14:paraId="70F9A67A" w14:textId="77777777" w:rsidR="009A3062" w:rsidRPr="00DA20DC" w:rsidRDefault="009A3062">
      <w:pPr>
        <w:pStyle w:val="ListParagraph"/>
        <w:numPr>
          <w:ilvl w:val="2"/>
          <w:numId w:val="18"/>
        </w:numPr>
        <w:autoSpaceDE w:val="0"/>
        <w:autoSpaceDN w:val="0"/>
        <w:ind w:leftChars="0"/>
        <w:jc w:val="both"/>
        <w:rPr>
          <w:rFonts w:ascii="Times New Roman" w:hAnsi="Times New Roman"/>
          <w:szCs w:val="20"/>
        </w:rPr>
      </w:pPr>
      <w:r w:rsidRPr="00DA20DC">
        <w:rPr>
          <w:rFonts w:ascii="Times New Roman" w:hAnsi="Times New Roman"/>
          <w:szCs w:val="20"/>
        </w:rPr>
        <w:t>FFS any other transmission by a UE (e.g., other than COT sharing)</w:t>
      </w:r>
    </w:p>
    <w:p w14:paraId="34748118" w14:textId="77777777" w:rsidR="009A3062" w:rsidRPr="00DA20DC" w:rsidRDefault="009A3062">
      <w:pPr>
        <w:pStyle w:val="ListParagraph"/>
        <w:numPr>
          <w:ilvl w:val="2"/>
          <w:numId w:val="18"/>
        </w:numPr>
        <w:autoSpaceDE w:val="0"/>
        <w:autoSpaceDN w:val="0"/>
        <w:ind w:leftChars="0"/>
        <w:jc w:val="both"/>
        <w:rPr>
          <w:rFonts w:ascii="Times New Roman" w:hAnsi="Times New Roman"/>
          <w:szCs w:val="20"/>
        </w:rPr>
      </w:pPr>
      <w:r w:rsidRPr="00DA20DC">
        <w:rPr>
          <w:rFonts w:ascii="Times New Roman" w:hAnsi="Times New Roman"/>
          <w:szCs w:val="20"/>
        </w:rPr>
        <w:t>FFS whether Type 2A is used also for the case of short control signalling transmission</w:t>
      </w:r>
    </w:p>
    <w:p w14:paraId="74894969" w14:textId="77777777" w:rsidR="009A3062" w:rsidRPr="00DA20DC" w:rsidRDefault="009A3062">
      <w:pPr>
        <w:pStyle w:val="ListParagraph"/>
        <w:numPr>
          <w:ilvl w:val="1"/>
          <w:numId w:val="18"/>
        </w:numPr>
        <w:autoSpaceDE w:val="0"/>
        <w:autoSpaceDN w:val="0"/>
        <w:ind w:leftChars="0"/>
        <w:jc w:val="both"/>
        <w:rPr>
          <w:rFonts w:ascii="Times New Roman" w:hAnsi="Times New Roman"/>
          <w:szCs w:val="20"/>
        </w:rPr>
      </w:pPr>
      <w:r w:rsidRPr="00DA20DC">
        <w:rPr>
          <w:rFonts w:ascii="Times New Roman" w:hAnsi="Times New Roman"/>
          <w:szCs w:val="20"/>
        </w:rPr>
        <w:t>Type 2B channel access procedure is applicable to the following case:</w:t>
      </w:r>
    </w:p>
    <w:p w14:paraId="51D23D3A" w14:textId="77777777" w:rsidR="009A3062" w:rsidRPr="00DA20DC" w:rsidRDefault="009A3062">
      <w:pPr>
        <w:pStyle w:val="ListParagraph"/>
        <w:numPr>
          <w:ilvl w:val="2"/>
          <w:numId w:val="18"/>
        </w:numPr>
        <w:autoSpaceDE w:val="0"/>
        <w:autoSpaceDN w:val="0"/>
        <w:ind w:leftChars="0"/>
        <w:jc w:val="both"/>
        <w:rPr>
          <w:rFonts w:ascii="Times New Roman" w:hAnsi="Times New Roman"/>
          <w:szCs w:val="20"/>
        </w:rPr>
      </w:pPr>
      <w:r w:rsidRPr="00DA20DC">
        <w:rPr>
          <w:rFonts w:ascii="Times New Roman" w:hAnsi="Times New Roman"/>
          <w:szCs w:val="20"/>
        </w:rPr>
        <w:t>Transmission(s) by a UE following transmission(s) by another UE at least when the gap is 16μs in a shared channel occupancy</w:t>
      </w:r>
    </w:p>
    <w:p w14:paraId="0983AC1F" w14:textId="77777777" w:rsidR="009A3062" w:rsidRPr="00DA20DC" w:rsidRDefault="009A3062">
      <w:pPr>
        <w:pStyle w:val="ListParagraph"/>
        <w:numPr>
          <w:ilvl w:val="2"/>
          <w:numId w:val="18"/>
        </w:numPr>
        <w:autoSpaceDE w:val="0"/>
        <w:autoSpaceDN w:val="0"/>
        <w:ind w:leftChars="0"/>
        <w:jc w:val="both"/>
        <w:rPr>
          <w:rFonts w:ascii="Times New Roman" w:hAnsi="Times New Roman"/>
          <w:szCs w:val="20"/>
        </w:rPr>
      </w:pPr>
      <w:r w:rsidRPr="00DA20DC">
        <w:rPr>
          <w:rFonts w:ascii="Times New Roman" w:hAnsi="Times New Roman"/>
          <w:szCs w:val="20"/>
        </w:rPr>
        <w:t>FFS the case when the gap is between 16 and 25us</w:t>
      </w:r>
    </w:p>
    <w:p w14:paraId="1B6ED0C5" w14:textId="77777777" w:rsidR="009A3062" w:rsidRPr="00DA20DC" w:rsidRDefault="009A3062">
      <w:pPr>
        <w:pStyle w:val="ListParagraph"/>
        <w:numPr>
          <w:ilvl w:val="2"/>
          <w:numId w:val="18"/>
        </w:numPr>
        <w:autoSpaceDE w:val="0"/>
        <w:autoSpaceDN w:val="0"/>
        <w:ind w:leftChars="0"/>
        <w:jc w:val="both"/>
        <w:rPr>
          <w:rFonts w:ascii="Times New Roman" w:hAnsi="Times New Roman"/>
          <w:szCs w:val="20"/>
        </w:rPr>
      </w:pPr>
      <w:r w:rsidRPr="00DA20DC">
        <w:rPr>
          <w:rFonts w:ascii="Times New Roman" w:hAnsi="Times New Roman"/>
          <w:szCs w:val="20"/>
        </w:rPr>
        <w:t>FFS any other transmission by a UE (e.g., other than COT sharing)</w:t>
      </w:r>
    </w:p>
    <w:p w14:paraId="054BCF31" w14:textId="77777777" w:rsidR="009A3062" w:rsidRPr="00DA20DC" w:rsidRDefault="009A3062">
      <w:pPr>
        <w:pStyle w:val="ListParagraph"/>
        <w:numPr>
          <w:ilvl w:val="1"/>
          <w:numId w:val="18"/>
        </w:numPr>
        <w:autoSpaceDE w:val="0"/>
        <w:autoSpaceDN w:val="0"/>
        <w:ind w:leftChars="0"/>
        <w:jc w:val="both"/>
        <w:rPr>
          <w:rFonts w:ascii="Times New Roman" w:hAnsi="Times New Roman"/>
          <w:szCs w:val="20"/>
        </w:rPr>
      </w:pPr>
      <w:r w:rsidRPr="00DA20DC">
        <w:rPr>
          <w:rFonts w:ascii="Times New Roman" w:hAnsi="Times New Roman"/>
          <w:szCs w:val="20"/>
        </w:rPr>
        <w:t>Type 2C channel access procedure is applicable to the following case:</w:t>
      </w:r>
    </w:p>
    <w:p w14:paraId="48583210" w14:textId="77777777" w:rsidR="009A3062" w:rsidRPr="00DA20DC" w:rsidRDefault="009A3062">
      <w:pPr>
        <w:pStyle w:val="ListParagraph"/>
        <w:numPr>
          <w:ilvl w:val="2"/>
          <w:numId w:val="18"/>
        </w:numPr>
        <w:autoSpaceDE w:val="0"/>
        <w:autoSpaceDN w:val="0"/>
        <w:ind w:leftChars="0"/>
        <w:jc w:val="both"/>
        <w:rPr>
          <w:rFonts w:ascii="Times New Roman" w:hAnsi="Times New Roman"/>
          <w:szCs w:val="20"/>
        </w:rPr>
      </w:pPr>
      <w:r w:rsidRPr="00DA20DC">
        <w:rPr>
          <w:rFonts w:ascii="Times New Roman" w:hAnsi="Times New Roman"/>
          <w:szCs w:val="20"/>
        </w:rPr>
        <w:t>Transmission(s) by a UE following transmission(s) by another UE for a gap ≤ 16μs in a shared channel occupancy and the duration of the corresponding transmission is at most 584us.</w:t>
      </w:r>
    </w:p>
    <w:p w14:paraId="7A85708B" w14:textId="77777777" w:rsidR="009A3062" w:rsidRPr="009A3062" w:rsidRDefault="009A3062">
      <w:pPr>
        <w:pStyle w:val="ListParagraph"/>
        <w:numPr>
          <w:ilvl w:val="2"/>
          <w:numId w:val="18"/>
        </w:numPr>
        <w:autoSpaceDE w:val="0"/>
        <w:autoSpaceDN w:val="0"/>
        <w:ind w:leftChars="0"/>
        <w:jc w:val="both"/>
        <w:rPr>
          <w:rFonts w:ascii="Times New Roman" w:hAnsi="Times New Roman"/>
          <w:szCs w:val="20"/>
        </w:rPr>
      </w:pPr>
      <w:r w:rsidRPr="009A3062">
        <w:rPr>
          <w:rFonts w:ascii="Times New Roman" w:hAnsi="Times New Roman"/>
          <w:szCs w:val="20"/>
        </w:rPr>
        <w:t>FFS any other transmission by a UE (e.g., other than COT sharing)</w:t>
      </w:r>
    </w:p>
    <w:p w14:paraId="6C3B7171" w14:textId="77777777" w:rsidR="009A3062" w:rsidRPr="009A3062" w:rsidRDefault="009A3062">
      <w:pPr>
        <w:pStyle w:val="ListParagraph"/>
        <w:numPr>
          <w:ilvl w:val="2"/>
          <w:numId w:val="18"/>
        </w:numPr>
        <w:autoSpaceDE w:val="0"/>
        <w:autoSpaceDN w:val="0"/>
        <w:ind w:leftChars="0"/>
        <w:jc w:val="both"/>
        <w:rPr>
          <w:rFonts w:ascii="Times New Roman" w:hAnsi="Times New Roman"/>
          <w:szCs w:val="20"/>
        </w:rPr>
      </w:pPr>
      <w:r w:rsidRPr="009A3062">
        <w:rPr>
          <w:rFonts w:ascii="Times New Roman" w:hAnsi="Times New Roman"/>
          <w:szCs w:val="20"/>
        </w:rPr>
        <w:t>FFS whether Type 2C is used also for the case of short control signalling transmission</w:t>
      </w:r>
    </w:p>
    <w:p w14:paraId="3F7BDA16" w14:textId="77777777" w:rsidR="009A3062" w:rsidRPr="009A3062" w:rsidRDefault="009A3062">
      <w:pPr>
        <w:pStyle w:val="ListParagraph"/>
        <w:numPr>
          <w:ilvl w:val="1"/>
          <w:numId w:val="18"/>
        </w:numPr>
        <w:autoSpaceDE w:val="0"/>
        <w:autoSpaceDN w:val="0"/>
        <w:ind w:leftChars="0"/>
        <w:jc w:val="both"/>
        <w:rPr>
          <w:rFonts w:ascii="Times New Roman" w:hAnsi="Times New Roman"/>
          <w:szCs w:val="20"/>
        </w:rPr>
      </w:pPr>
      <w:r w:rsidRPr="009A3062">
        <w:rPr>
          <w:rFonts w:ascii="Times New Roman" w:hAnsi="Times New Roman"/>
          <w:szCs w:val="20"/>
        </w:rPr>
        <w:t>FFS under which conditions (other than the gap) UEs can apply the Type 2A/2B/2C SL channel access procedures</w:t>
      </w:r>
    </w:p>
    <w:p w14:paraId="0D6A5656" w14:textId="77777777" w:rsidR="009A3062" w:rsidRPr="009A3062" w:rsidRDefault="009A3062">
      <w:pPr>
        <w:pStyle w:val="ListParagraph"/>
        <w:numPr>
          <w:ilvl w:val="1"/>
          <w:numId w:val="18"/>
        </w:numPr>
        <w:autoSpaceDE w:val="0"/>
        <w:autoSpaceDN w:val="0"/>
        <w:ind w:leftChars="0"/>
        <w:jc w:val="both"/>
        <w:rPr>
          <w:rFonts w:ascii="Times New Roman" w:hAnsi="Times New Roman"/>
          <w:szCs w:val="20"/>
        </w:rPr>
      </w:pPr>
      <w:r w:rsidRPr="009A3062">
        <w:rPr>
          <w:rFonts w:ascii="Times New Roman" w:hAnsi="Times New Roman"/>
          <w:szCs w:val="20"/>
        </w:rPr>
        <w:t>FFS under which conditions Type 2B or Type 2C is applied in case of a gap of 16 μs</w:t>
      </w:r>
    </w:p>
    <w:p w14:paraId="437EDAA3" w14:textId="77777777" w:rsidR="009A3062" w:rsidRPr="009A3062" w:rsidRDefault="009A3062" w:rsidP="009A3062">
      <w:pPr>
        <w:rPr>
          <w:rFonts w:ascii="Times New Roman" w:hAnsi="Times New Roman"/>
          <w:szCs w:val="20"/>
          <w:lang w:eastAsia="x-none"/>
        </w:rPr>
      </w:pPr>
    </w:p>
    <w:p w14:paraId="01187712" w14:textId="77777777" w:rsidR="009A3062" w:rsidRPr="009A3062" w:rsidRDefault="009A3062" w:rsidP="009A3062">
      <w:pPr>
        <w:autoSpaceDE w:val="0"/>
        <w:autoSpaceDN w:val="0"/>
        <w:jc w:val="both"/>
        <w:rPr>
          <w:rFonts w:ascii="Times New Roman" w:hAnsi="Times New Roman"/>
          <w:szCs w:val="20"/>
        </w:rPr>
      </w:pPr>
      <w:r w:rsidRPr="009A3062">
        <w:rPr>
          <w:rFonts w:ascii="Times New Roman" w:hAnsi="Times New Roman"/>
          <w:b/>
          <w:bCs/>
          <w:szCs w:val="20"/>
          <w:highlight w:val="green"/>
        </w:rPr>
        <w:t>Agreement</w:t>
      </w:r>
    </w:p>
    <w:p w14:paraId="229CA8F6" w14:textId="77777777" w:rsidR="009A3062" w:rsidRPr="009A3062" w:rsidRDefault="009A3062" w:rsidP="009A3062">
      <w:pPr>
        <w:pStyle w:val="ListParagraph"/>
        <w:autoSpaceDE w:val="0"/>
        <w:autoSpaceDN w:val="0"/>
        <w:ind w:leftChars="0" w:left="0"/>
        <w:jc w:val="both"/>
        <w:rPr>
          <w:rFonts w:ascii="Times New Roman" w:hAnsi="Times New Roman"/>
          <w:szCs w:val="20"/>
        </w:rPr>
      </w:pPr>
      <w:r w:rsidRPr="009A3062">
        <w:rPr>
          <w:rFonts w:ascii="Times New Roman" w:hAnsi="Times New Roman"/>
          <w:szCs w:val="20"/>
        </w:rPr>
        <w:t>Multi-consecutive slots transmission (MCSt) is supported for Mode 1 and Mode 2 resource allocation in SL-U.</w:t>
      </w:r>
    </w:p>
    <w:p w14:paraId="6F0A9A6A" w14:textId="77777777" w:rsidR="009A3062" w:rsidRPr="009A3062" w:rsidRDefault="009A3062">
      <w:pPr>
        <w:pStyle w:val="ListParagraph"/>
        <w:numPr>
          <w:ilvl w:val="0"/>
          <w:numId w:val="18"/>
        </w:numPr>
        <w:autoSpaceDE w:val="0"/>
        <w:autoSpaceDN w:val="0"/>
        <w:ind w:leftChars="0"/>
        <w:jc w:val="both"/>
        <w:rPr>
          <w:rFonts w:ascii="Times New Roman" w:hAnsi="Times New Roman"/>
          <w:szCs w:val="20"/>
        </w:rPr>
      </w:pPr>
      <w:r w:rsidRPr="009A3062">
        <w:rPr>
          <w:rFonts w:ascii="Times New Roman" w:hAnsi="Times New Roman"/>
          <w:szCs w:val="20"/>
          <w:lang w:val="en-AU"/>
        </w:rPr>
        <w:t>FFS details</w:t>
      </w:r>
    </w:p>
    <w:p w14:paraId="26A5F26F" w14:textId="77777777" w:rsidR="009A3062" w:rsidRPr="009A3062" w:rsidRDefault="009A3062" w:rsidP="009A3062">
      <w:pPr>
        <w:rPr>
          <w:rFonts w:ascii="Times New Roman" w:hAnsi="Times New Roman"/>
          <w:szCs w:val="20"/>
          <w:lang w:eastAsia="x-none"/>
        </w:rPr>
      </w:pPr>
    </w:p>
    <w:p w14:paraId="47525A1A" w14:textId="77777777" w:rsidR="009A3062" w:rsidRPr="009A3062" w:rsidRDefault="009A3062" w:rsidP="009A3062">
      <w:pPr>
        <w:autoSpaceDE w:val="0"/>
        <w:autoSpaceDN w:val="0"/>
        <w:jc w:val="both"/>
        <w:rPr>
          <w:rFonts w:ascii="Times New Roman" w:hAnsi="Times New Roman"/>
          <w:szCs w:val="20"/>
        </w:rPr>
      </w:pPr>
      <w:r w:rsidRPr="009A3062">
        <w:rPr>
          <w:rFonts w:ascii="Times New Roman" w:hAnsi="Times New Roman"/>
          <w:b/>
          <w:bCs/>
          <w:szCs w:val="20"/>
          <w:highlight w:val="green"/>
        </w:rPr>
        <w:t>Agreement</w:t>
      </w:r>
    </w:p>
    <w:p w14:paraId="3D575FC0" w14:textId="77777777" w:rsidR="009A3062" w:rsidRPr="009A3062" w:rsidRDefault="009A3062">
      <w:pPr>
        <w:pStyle w:val="ListParagraph"/>
        <w:numPr>
          <w:ilvl w:val="0"/>
          <w:numId w:val="18"/>
        </w:numPr>
        <w:autoSpaceDE w:val="0"/>
        <w:autoSpaceDN w:val="0"/>
        <w:ind w:leftChars="0"/>
        <w:jc w:val="both"/>
        <w:rPr>
          <w:rFonts w:ascii="Times New Roman" w:hAnsi="Times New Roman"/>
          <w:szCs w:val="20"/>
        </w:rPr>
      </w:pPr>
      <w:r w:rsidRPr="009A3062">
        <w:rPr>
          <w:rFonts w:ascii="Times New Roman" w:hAnsi="Times New Roman"/>
          <w:szCs w:val="20"/>
        </w:rPr>
        <w:t>For UE-to-UE COT sharing, continue considering the following alternatives:</w:t>
      </w:r>
    </w:p>
    <w:p w14:paraId="5C012D74" w14:textId="77777777" w:rsidR="009A3062" w:rsidRPr="009A3062" w:rsidRDefault="009A3062">
      <w:pPr>
        <w:pStyle w:val="ListParagraph"/>
        <w:numPr>
          <w:ilvl w:val="1"/>
          <w:numId w:val="18"/>
        </w:numPr>
        <w:autoSpaceDE w:val="0"/>
        <w:autoSpaceDN w:val="0"/>
        <w:ind w:leftChars="0"/>
        <w:jc w:val="both"/>
        <w:rPr>
          <w:rFonts w:ascii="Times New Roman" w:hAnsi="Times New Roman"/>
          <w:szCs w:val="20"/>
        </w:rPr>
      </w:pPr>
      <w:r w:rsidRPr="009A3062">
        <w:rPr>
          <w:rFonts w:ascii="Times New Roman" w:hAnsi="Times New Roman"/>
          <w:szCs w:val="20"/>
        </w:rPr>
        <w:t>Alt. 1: A responding SL UE can utilize a COT shared by a COT initiating UE when the responding SL UE is a target receiver of the at least COT initiating UE’s PSSCH data transmission in the COT.</w:t>
      </w:r>
    </w:p>
    <w:p w14:paraId="343999C7" w14:textId="77777777" w:rsidR="009A3062" w:rsidRPr="009A3062" w:rsidRDefault="009A3062">
      <w:pPr>
        <w:pStyle w:val="ListParagraph"/>
        <w:numPr>
          <w:ilvl w:val="2"/>
          <w:numId w:val="18"/>
        </w:numPr>
        <w:autoSpaceDE w:val="0"/>
        <w:autoSpaceDN w:val="0"/>
        <w:ind w:leftChars="0"/>
        <w:jc w:val="both"/>
        <w:rPr>
          <w:rFonts w:ascii="Times New Roman" w:hAnsi="Times New Roman"/>
          <w:szCs w:val="20"/>
        </w:rPr>
      </w:pPr>
      <w:r w:rsidRPr="009A3062">
        <w:rPr>
          <w:rFonts w:ascii="Times New Roman" w:hAnsi="Times New Roman"/>
          <w:szCs w:val="20"/>
        </w:rPr>
        <w:t>When the responding UE uses the shared COT for its transmission has an equal or smaller CAPC value than the CAPC value indicated in a shared COT information</w:t>
      </w:r>
    </w:p>
    <w:p w14:paraId="20CD2A95" w14:textId="77777777" w:rsidR="009A3062" w:rsidRPr="009A3062" w:rsidRDefault="009A3062">
      <w:pPr>
        <w:pStyle w:val="ListParagraph"/>
        <w:numPr>
          <w:ilvl w:val="2"/>
          <w:numId w:val="18"/>
        </w:numPr>
        <w:autoSpaceDE w:val="0"/>
        <w:autoSpaceDN w:val="0"/>
        <w:ind w:leftChars="0"/>
        <w:jc w:val="both"/>
        <w:rPr>
          <w:rFonts w:ascii="Times New Roman" w:hAnsi="Times New Roman"/>
          <w:szCs w:val="20"/>
        </w:rPr>
      </w:pPr>
      <w:r w:rsidRPr="009A3062">
        <w:rPr>
          <w:rFonts w:ascii="Times New Roman" w:hAnsi="Times New Roman"/>
          <w:szCs w:val="20"/>
        </w:rPr>
        <w:t>FFS any additional conditions</w:t>
      </w:r>
    </w:p>
    <w:p w14:paraId="79E74DF3" w14:textId="77777777" w:rsidR="009A3062" w:rsidRPr="009A3062" w:rsidRDefault="009A3062">
      <w:pPr>
        <w:pStyle w:val="ListParagraph"/>
        <w:numPr>
          <w:ilvl w:val="1"/>
          <w:numId w:val="18"/>
        </w:numPr>
        <w:autoSpaceDE w:val="0"/>
        <w:autoSpaceDN w:val="0"/>
        <w:ind w:leftChars="0"/>
        <w:jc w:val="both"/>
        <w:rPr>
          <w:rFonts w:ascii="Times New Roman" w:hAnsi="Times New Roman"/>
          <w:szCs w:val="20"/>
        </w:rPr>
      </w:pPr>
      <w:r w:rsidRPr="009A3062">
        <w:rPr>
          <w:rFonts w:ascii="Times New Roman" w:hAnsi="Times New Roman"/>
          <w:szCs w:val="20"/>
        </w:rPr>
        <w:t>Alt. 2: A responding SL UE can utilize a COT shared by a COT initiating UE when the responding SL UE is a target receiver of the COT initiating UE’s transmission in the COT.</w:t>
      </w:r>
    </w:p>
    <w:p w14:paraId="39A6497B" w14:textId="77777777" w:rsidR="009A3062" w:rsidRPr="009A3062" w:rsidRDefault="009A3062">
      <w:pPr>
        <w:pStyle w:val="ListParagraph"/>
        <w:numPr>
          <w:ilvl w:val="2"/>
          <w:numId w:val="18"/>
        </w:numPr>
        <w:autoSpaceDE w:val="0"/>
        <w:autoSpaceDN w:val="0"/>
        <w:ind w:leftChars="0"/>
        <w:jc w:val="both"/>
        <w:rPr>
          <w:rFonts w:ascii="Times New Roman" w:hAnsi="Times New Roman"/>
          <w:szCs w:val="20"/>
        </w:rPr>
      </w:pPr>
      <w:r w:rsidRPr="009A3062">
        <w:rPr>
          <w:rFonts w:ascii="Times New Roman" w:hAnsi="Times New Roman"/>
          <w:szCs w:val="20"/>
        </w:rPr>
        <w:t>When the responding UE uses the shared COT for its transmission has an equal or smaller CAPC value than the CAPC value indicated in a shared COT information</w:t>
      </w:r>
    </w:p>
    <w:p w14:paraId="3CC7CC0B" w14:textId="77777777" w:rsidR="00320668" w:rsidRDefault="009A3062">
      <w:pPr>
        <w:pStyle w:val="ListParagraph"/>
        <w:numPr>
          <w:ilvl w:val="2"/>
          <w:numId w:val="18"/>
        </w:numPr>
        <w:autoSpaceDE w:val="0"/>
        <w:autoSpaceDN w:val="0"/>
        <w:ind w:leftChars="0"/>
        <w:jc w:val="both"/>
        <w:rPr>
          <w:rFonts w:ascii="Times New Roman" w:hAnsi="Times New Roman"/>
          <w:szCs w:val="20"/>
        </w:rPr>
      </w:pPr>
      <w:r w:rsidRPr="009A3062">
        <w:rPr>
          <w:rFonts w:ascii="Times New Roman" w:hAnsi="Times New Roman"/>
          <w:szCs w:val="20"/>
        </w:rPr>
        <w:t>FFS how to determine a SL UE is a target receiver</w:t>
      </w:r>
    </w:p>
    <w:p w14:paraId="3B5DC43B" w14:textId="6B231ACB" w:rsidR="009A3062" w:rsidRPr="009A3062" w:rsidRDefault="009A3062">
      <w:pPr>
        <w:pStyle w:val="ListParagraph"/>
        <w:numPr>
          <w:ilvl w:val="2"/>
          <w:numId w:val="18"/>
        </w:numPr>
        <w:autoSpaceDE w:val="0"/>
        <w:autoSpaceDN w:val="0"/>
        <w:ind w:leftChars="0"/>
        <w:jc w:val="both"/>
        <w:rPr>
          <w:rFonts w:ascii="Times New Roman" w:hAnsi="Times New Roman"/>
          <w:szCs w:val="20"/>
        </w:rPr>
      </w:pPr>
      <w:r w:rsidRPr="009A3062">
        <w:rPr>
          <w:rFonts w:ascii="Times New Roman" w:hAnsi="Times New Roman"/>
          <w:szCs w:val="20"/>
        </w:rPr>
        <w:lastRenderedPageBreak/>
        <w:t>FFS: details of the channel type of the COT initiating UE’s transmission</w:t>
      </w:r>
    </w:p>
    <w:p w14:paraId="173DEF64" w14:textId="77777777" w:rsidR="009A3062" w:rsidRPr="009A3062" w:rsidRDefault="009A3062">
      <w:pPr>
        <w:pStyle w:val="ListParagraph"/>
        <w:numPr>
          <w:ilvl w:val="2"/>
          <w:numId w:val="18"/>
        </w:numPr>
        <w:autoSpaceDE w:val="0"/>
        <w:autoSpaceDN w:val="0"/>
        <w:ind w:leftChars="0"/>
        <w:jc w:val="both"/>
        <w:rPr>
          <w:rFonts w:ascii="Times New Roman" w:hAnsi="Times New Roman"/>
          <w:szCs w:val="20"/>
        </w:rPr>
      </w:pPr>
      <w:r w:rsidRPr="009A3062">
        <w:rPr>
          <w:rFonts w:ascii="Times New Roman" w:hAnsi="Times New Roman"/>
          <w:szCs w:val="20"/>
        </w:rPr>
        <w:t>FFS any additional conditions</w:t>
      </w:r>
    </w:p>
    <w:p w14:paraId="3E158EA5" w14:textId="77777777" w:rsidR="009A3062" w:rsidRPr="009A3062" w:rsidRDefault="009A3062">
      <w:pPr>
        <w:pStyle w:val="ListParagraph"/>
        <w:numPr>
          <w:ilvl w:val="1"/>
          <w:numId w:val="18"/>
        </w:numPr>
        <w:autoSpaceDE w:val="0"/>
        <w:autoSpaceDN w:val="0"/>
        <w:ind w:leftChars="0"/>
        <w:jc w:val="both"/>
        <w:rPr>
          <w:rFonts w:ascii="Times New Roman" w:hAnsi="Times New Roman"/>
          <w:szCs w:val="20"/>
        </w:rPr>
      </w:pPr>
      <w:r w:rsidRPr="009A3062">
        <w:rPr>
          <w:rFonts w:ascii="Times New Roman" w:hAnsi="Times New Roman"/>
          <w:szCs w:val="20"/>
        </w:rPr>
        <w:t>For Alt1 and Alt2: When a responding UE uses a shared COT for its transmission(s), the COT initiating UE is a target receiver of the responding UE’s transmission(s).</w:t>
      </w:r>
    </w:p>
    <w:p w14:paraId="5C0E1613" w14:textId="77777777" w:rsidR="009A3062" w:rsidRPr="009A3062" w:rsidRDefault="009A3062">
      <w:pPr>
        <w:pStyle w:val="ListParagraph"/>
        <w:numPr>
          <w:ilvl w:val="2"/>
          <w:numId w:val="18"/>
        </w:numPr>
        <w:autoSpaceDE w:val="0"/>
        <w:autoSpaceDN w:val="0"/>
        <w:ind w:leftChars="0"/>
        <w:jc w:val="both"/>
        <w:rPr>
          <w:rFonts w:ascii="Times New Roman" w:hAnsi="Times New Roman"/>
          <w:szCs w:val="20"/>
        </w:rPr>
      </w:pPr>
      <w:r w:rsidRPr="009A3062">
        <w:rPr>
          <w:rFonts w:ascii="Times New Roman" w:hAnsi="Times New Roman"/>
          <w:szCs w:val="20"/>
        </w:rPr>
        <w:t>FFS: details of the channel type of the responding UE’s transmission(s)</w:t>
      </w:r>
    </w:p>
    <w:p w14:paraId="2371B158" w14:textId="77777777" w:rsidR="009A3062" w:rsidRPr="009A3062" w:rsidRDefault="009A3062">
      <w:pPr>
        <w:pStyle w:val="ListParagraph"/>
        <w:numPr>
          <w:ilvl w:val="0"/>
          <w:numId w:val="18"/>
        </w:numPr>
        <w:autoSpaceDE w:val="0"/>
        <w:autoSpaceDN w:val="0"/>
        <w:ind w:leftChars="0"/>
        <w:jc w:val="both"/>
        <w:rPr>
          <w:rFonts w:ascii="Times New Roman" w:hAnsi="Times New Roman"/>
          <w:szCs w:val="20"/>
        </w:rPr>
      </w:pPr>
      <w:r w:rsidRPr="009A3062">
        <w:rPr>
          <w:rFonts w:ascii="Times New Roman" w:hAnsi="Times New Roman"/>
          <w:szCs w:val="20"/>
        </w:rPr>
        <w:t>gNB relaying/forwarding a UE initiated COT to another UE is not supported in Rel-18</w:t>
      </w:r>
    </w:p>
    <w:p w14:paraId="5BAD39A9" w14:textId="77777777" w:rsidR="009A3062" w:rsidRPr="009A3062" w:rsidRDefault="009A3062">
      <w:pPr>
        <w:pStyle w:val="ListParagraph"/>
        <w:numPr>
          <w:ilvl w:val="0"/>
          <w:numId w:val="18"/>
        </w:numPr>
        <w:autoSpaceDE w:val="0"/>
        <w:autoSpaceDN w:val="0"/>
        <w:ind w:leftChars="0"/>
        <w:jc w:val="both"/>
        <w:rPr>
          <w:rFonts w:ascii="Times New Roman" w:hAnsi="Times New Roman"/>
          <w:szCs w:val="20"/>
        </w:rPr>
      </w:pPr>
      <w:r w:rsidRPr="009A3062">
        <w:rPr>
          <w:rFonts w:ascii="Times New Roman" w:hAnsi="Times New Roman"/>
          <w:szCs w:val="20"/>
        </w:rPr>
        <w:t>FFS whether a Mode 1 UE can report a COT or related information to gNB for aiding Mode 1 RA</w:t>
      </w:r>
    </w:p>
    <w:p w14:paraId="5243D736" w14:textId="4FCB55A3" w:rsidR="00282E2D" w:rsidRPr="009A3062" w:rsidRDefault="00282E2D" w:rsidP="009A3062">
      <w:pPr>
        <w:autoSpaceDE w:val="0"/>
        <w:autoSpaceDN w:val="0"/>
        <w:jc w:val="both"/>
        <w:rPr>
          <w:rFonts w:ascii="Times New Roman" w:hAnsi="Times New Roman"/>
          <w:szCs w:val="20"/>
        </w:rPr>
      </w:pPr>
    </w:p>
    <w:sectPr w:rsidR="00282E2D" w:rsidRPr="009A3062" w:rsidSect="0004212D">
      <w:pgSz w:w="11909" w:h="16834" w:code="9"/>
      <w:pgMar w:top="1134" w:right="1134" w:bottom="1134" w:left="1134" w:header="720" w:footer="720"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231">
      <wne:macro wne:macroName="PROJECT.NEWMACROS.APPROVE"/>
    </wne:keymap>
    <wne:keymap wne:kcmPrimary="0232">
      <wne:macro wne:macroName="PROJECT.NEWMACROS.POSTPONE"/>
    </wne:keymap>
    <wne:keymap wne:kcmPrimary="0233">
      <wne:macro wne:macroName="PROJECT.NEWMACROS.REJECT"/>
    </wne:keymap>
    <wne:keymap wne:kcmPrimary="0234">
      <wne:macro wne:macroName="PROJECT.NEWMACROS.EMAIL"/>
    </wne:keymap>
    <wne:keymap wne:kcmPrimary="0235">
      <wne:macro wne:macroName="PROJECT.NEWMACROS.WORKINGASSUMPTION"/>
    </wne:keymap>
    <wne:keymap wne:kcmPrimary="0236">
      <wne:macro wne:macroName="PROJECT.NEWMACROS.NOHIGHLIGHT"/>
    </wne:keymap>
    <wne:keymap wne:kcmPrimary="0244">
      <wne:macro wne:macroName="PROJECT.NEWMACROS.PASTEUNFORMATTEDTEXT"/>
    </wne:keymap>
    <wne:keymap wne:kcmPrimary="0245">
      <wne:macro wne:macroName="PROJECT.NEWMACROS.ENDDISPLAYMODE"/>
    </wne:keymap>
    <wne:keymap wne:kcmPrimary="0247">
      <wne:macro wne:macroName="PROJECT.NEWMACROS.R112"/>
    </wne:keymap>
    <wne:keymap wne:kcmPrimary="0248">
      <wne:macro wne:macroName="PROJECT.NEWMACROS.REVISIONOFR112"/>
    </wne:keymap>
    <wne:keymap wne:kcmPrimary="024D">
      <wne:macro wne:macroName="PROJECT.NEWMACROS.STARTDISPLAYMODE"/>
    </wne:keymap>
    <wne:keymap wne:kcmPrimary="0251">
      <wne:macro wne:macroName="PROJECT.NEWMACROS.DISPLAYFILENAME"/>
    </wne:keymap>
    <wne:keymap wne:kcmPrimary="0252">
      <wne:macro wne:macroName="PROJECT.NEWMACROS.REDUCEINDENT"/>
    </wne:keymap>
    <wne:keymap wne:kcmPrimary="0257">
      <wne:macro wne:macroName="PROJECT.LINKWIZARDMODULELOCAL.START_LINKWIZARDLOCAL"/>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DB9988" w14:textId="77777777" w:rsidR="00426905" w:rsidRDefault="00426905">
      <w:r>
        <w:separator/>
      </w:r>
    </w:p>
  </w:endnote>
  <w:endnote w:type="continuationSeparator" w:id="0">
    <w:p w14:paraId="53B01C12" w14:textId="77777777" w:rsidR="00426905" w:rsidRDefault="004269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HGPGothicE"/>
    <w:charset w:val="00"/>
    <w:family w:val="auto"/>
    <w:pitch w:val="variable"/>
    <w:sig w:usb0="800000AF" w:usb1="1001ECEA" w:usb2="00000000" w:usb3="00000000" w:csb0="80000001" w:csb1="00000000"/>
  </w:font>
  <w:font w:name="Wingdings">
    <w:panose1 w:val="05000000000000000000"/>
    <w:charset w:val="02"/>
    <w:family w:val="auto"/>
    <w:pitch w:val="variable"/>
    <w:sig w:usb0="00000000" w:usb1="10000000" w:usb2="00000000" w:usb3="00000000" w:csb0="80000000" w:csb1="00000000"/>
  </w:font>
  <w:font w:name="Batang">
    <w:altName w:val="Malgun Gothic"/>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STKaiti">
    <w:panose1 w:val="02010600040101010101"/>
    <w:charset w:val="86"/>
    <w:family w:val="auto"/>
    <w:pitch w:val="variable"/>
    <w:sig w:usb0="00000287" w:usb1="080F0000" w:usb2="00000010" w:usb3="00000000" w:csb0="0004009F"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icrosoft YaHei">
    <w:panose1 w:val="020B0503020204020204"/>
    <w:charset w:val="86"/>
    <w:family w:val="swiss"/>
    <w:pitch w:val="variable"/>
    <w:sig w:usb0="80000287" w:usb1="2ACF3C50" w:usb2="00000016" w:usb3="00000000" w:csb0="0004001F" w:csb1="00000000"/>
  </w:font>
  <w:font w:name="TimesNewRomanPS">
    <w:altName w:val="Times New Roman"/>
    <w:charset w:val="00"/>
    <w:family w:val="roman"/>
    <w:pitch w:val="default"/>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CCD634" w14:textId="77777777" w:rsidR="00426905" w:rsidRDefault="00426905">
      <w:r>
        <w:separator/>
      </w:r>
    </w:p>
  </w:footnote>
  <w:footnote w:type="continuationSeparator" w:id="0">
    <w:p w14:paraId="358220BD" w14:textId="77777777" w:rsidR="00426905" w:rsidRDefault="0042690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2"/>
    <w:lvl w:ilvl="0">
      <w:start w:val="1"/>
      <w:numFmt w:val="bullet"/>
      <w:lvlText w:val=""/>
      <w:lvlJc w:val="left"/>
      <w:pPr>
        <w:tabs>
          <w:tab w:val="num" w:pos="851"/>
        </w:tabs>
        <w:ind w:left="851" w:hanging="851"/>
      </w:pPr>
      <w:rPr>
        <w:rFonts w:ascii="ZapfDingbats" w:hAnsi="ZapfDingbats"/>
      </w:rPr>
    </w:lvl>
  </w:abstractNum>
  <w:abstractNum w:abstractNumId="1"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2" w15:restartNumberingAfterBreak="0">
    <w:nsid w:val="02BE73B2"/>
    <w:multiLevelType w:val="hybridMultilevel"/>
    <w:tmpl w:val="E04A0B84"/>
    <w:lvl w:ilvl="0" w:tplc="4A9E1544">
      <w:numFmt w:val="bullet"/>
      <w:lvlText w:val=""/>
      <w:lvlJc w:val="left"/>
      <w:pPr>
        <w:ind w:left="720" w:hanging="360"/>
      </w:pPr>
      <w:rPr>
        <w:rFonts w:ascii="Wingdings" w:eastAsia="Batang" w:hAnsi="Wingdings" w:cs="Times New Roman" w:hint="default"/>
      </w:rPr>
    </w:lvl>
    <w:lvl w:ilvl="1" w:tplc="04090005">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5AE17A9"/>
    <w:multiLevelType w:val="multilevel"/>
    <w:tmpl w:val="B8727EDA"/>
    <w:styleLink w:val="3GPPBullets"/>
    <w:lvl w:ilvl="0">
      <w:start w:val="1"/>
      <w:numFmt w:val="decimal"/>
      <w:lvlText w:val="Observation %1:"/>
      <w:lvlJc w:val="left"/>
      <w:pPr>
        <w:ind w:left="0" w:firstLine="0"/>
      </w:pPr>
      <w:rPr>
        <w:rFonts w:ascii="Times New Roman" w:hAnsi="Times New Roman" w:hint="default"/>
        <w:b/>
        <w:i w:val="0"/>
        <w:caps w:val="0"/>
        <w:smallCaps w:val="0"/>
        <w:strike w:val="0"/>
        <w:dstrike w:val="0"/>
        <w:vanish w:val="0"/>
        <w:color w:val="auto"/>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AAD35D1"/>
    <w:multiLevelType w:val="hybridMultilevel"/>
    <w:tmpl w:val="1FA43E70"/>
    <w:lvl w:ilvl="0" w:tplc="08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0B7E0A60"/>
    <w:multiLevelType w:val="hybridMultilevel"/>
    <w:tmpl w:val="59AED3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ECB426C"/>
    <w:multiLevelType w:val="hybridMultilevel"/>
    <w:tmpl w:val="73865356"/>
    <w:lvl w:ilvl="0" w:tplc="8E420970">
      <w:numFmt w:val="bullet"/>
      <w:lvlText w:val=""/>
      <w:lvlJc w:val="left"/>
      <w:pPr>
        <w:ind w:left="720" w:hanging="360"/>
      </w:pPr>
      <w:rPr>
        <w:rFonts w:ascii="Symbol" w:eastAsia="Batang" w:hAnsi="Symbol"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F804482"/>
    <w:multiLevelType w:val="hybridMultilevel"/>
    <w:tmpl w:val="DECE1826"/>
    <w:lvl w:ilvl="0" w:tplc="E572CEDA">
      <w:start w:val="1"/>
      <w:numFmt w:val="bullet"/>
      <w:lvlText w:val="•"/>
      <w:lvlJc w:val="left"/>
      <w:pPr>
        <w:tabs>
          <w:tab w:val="num" w:pos="720"/>
        </w:tabs>
        <w:ind w:left="720" w:hanging="360"/>
      </w:pPr>
      <w:rPr>
        <w:rFonts w:ascii="Arial" w:hAnsi="Arial" w:hint="default"/>
      </w:rPr>
    </w:lvl>
    <w:lvl w:ilvl="1" w:tplc="37E4AEDA">
      <w:numFmt w:val="bullet"/>
      <w:lvlText w:val="o"/>
      <w:lvlJc w:val="left"/>
      <w:pPr>
        <w:tabs>
          <w:tab w:val="num" w:pos="1440"/>
        </w:tabs>
        <w:ind w:left="1440" w:hanging="360"/>
      </w:pPr>
      <w:rPr>
        <w:rFonts w:ascii="Courier New" w:hAnsi="Courier New" w:hint="default"/>
      </w:rPr>
    </w:lvl>
    <w:lvl w:ilvl="2" w:tplc="7FFA033A">
      <w:numFmt w:val="bullet"/>
      <w:lvlText w:val=""/>
      <w:lvlJc w:val="left"/>
      <w:pPr>
        <w:tabs>
          <w:tab w:val="num" w:pos="2160"/>
        </w:tabs>
        <w:ind w:left="2160" w:hanging="360"/>
      </w:pPr>
      <w:rPr>
        <w:rFonts w:ascii="Wingdings" w:hAnsi="Wingdings" w:hint="default"/>
      </w:rPr>
    </w:lvl>
    <w:lvl w:ilvl="3" w:tplc="05A61DC0">
      <w:numFmt w:val="bullet"/>
      <w:lvlText w:val=""/>
      <w:lvlJc w:val="left"/>
      <w:pPr>
        <w:tabs>
          <w:tab w:val="num" w:pos="2880"/>
        </w:tabs>
        <w:ind w:left="2880" w:hanging="360"/>
      </w:pPr>
      <w:rPr>
        <w:rFonts w:ascii="Wingdings" w:hAnsi="Wingdings" w:hint="default"/>
      </w:rPr>
    </w:lvl>
    <w:lvl w:ilvl="4" w:tplc="B3DC9138" w:tentative="1">
      <w:start w:val="1"/>
      <w:numFmt w:val="bullet"/>
      <w:lvlText w:val="•"/>
      <w:lvlJc w:val="left"/>
      <w:pPr>
        <w:tabs>
          <w:tab w:val="num" w:pos="3600"/>
        </w:tabs>
        <w:ind w:left="3600" w:hanging="360"/>
      </w:pPr>
      <w:rPr>
        <w:rFonts w:ascii="Arial" w:hAnsi="Arial" w:hint="default"/>
      </w:rPr>
    </w:lvl>
    <w:lvl w:ilvl="5" w:tplc="A352FB02" w:tentative="1">
      <w:start w:val="1"/>
      <w:numFmt w:val="bullet"/>
      <w:lvlText w:val="•"/>
      <w:lvlJc w:val="left"/>
      <w:pPr>
        <w:tabs>
          <w:tab w:val="num" w:pos="4320"/>
        </w:tabs>
        <w:ind w:left="4320" w:hanging="360"/>
      </w:pPr>
      <w:rPr>
        <w:rFonts w:ascii="Arial" w:hAnsi="Arial" w:hint="default"/>
      </w:rPr>
    </w:lvl>
    <w:lvl w:ilvl="6" w:tplc="FE942AFC" w:tentative="1">
      <w:start w:val="1"/>
      <w:numFmt w:val="bullet"/>
      <w:lvlText w:val="•"/>
      <w:lvlJc w:val="left"/>
      <w:pPr>
        <w:tabs>
          <w:tab w:val="num" w:pos="5040"/>
        </w:tabs>
        <w:ind w:left="5040" w:hanging="360"/>
      </w:pPr>
      <w:rPr>
        <w:rFonts w:ascii="Arial" w:hAnsi="Arial" w:hint="default"/>
      </w:rPr>
    </w:lvl>
    <w:lvl w:ilvl="7" w:tplc="8118FA8C" w:tentative="1">
      <w:start w:val="1"/>
      <w:numFmt w:val="bullet"/>
      <w:lvlText w:val="•"/>
      <w:lvlJc w:val="left"/>
      <w:pPr>
        <w:tabs>
          <w:tab w:val="num" w:pos="5760"/>
        </w:tabs>
        <w:ind w:left="5760" w:hanging="360"/>
      </w:pPr>
      <w:rPr>
        <w:rFonts w:ascii="Arial" w:hAnsi="Arial" w:hint="default"/>
      </w:rPr>
    </w:lvl>
    <w:lvl w:ilvl="8" w:tplc="73B09E06"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18C6192"/>
    <w:multiLevelType w:val="hybridMultilevel"/>
    <w:tmpl w:val="E050E390"/>
    <w:lvl w:ilvl="0" w:tplc="A6EC3722">
      <w:start w:val="1"/>
      <w:numFmt w:val="bullet"/>
      <w:lvlText w:val="•"/>
      <w:lvlJc w:val="left"/>
      <w:pPr>
        <w:tabs>
          <w:tab w:val="num" w:pos="720"/>
        </w:tabs>
        <w:ind w:left="720" w:hanging="360"/>
      </w:pPr>
      <w:rPr>
        <w:rFonts w:ascii="Arial" w:hAnsi="Arial" w:hint="default"/>
      </w:rPr>
    </w:lvl>
    <w:lvl w:ilvl="1" w:tplc="6352A5FE">
      <w:numFmt w:val="bullet"/>
      <w:lvlText w:val="o"/>
      <w:lvlJc w:val="left"/>
      <w:pPr>
        <w:tabs>
          <w:tab w:val="num" w:pos="1440"/>
        </w:tabs>
        <w:ind w:left="1440" w:hanging="360"/>
      </w:pPr>
      <w:rPr>
        <w:rFonts w:ascii="Courier New" w:hAnsi="Courier New" w:hint="default"/>
      </w:rPr>
    </w:lvl>
    <w:lvl w:ilvl="2" w:tplc="A35EC8E2">
      <w:start w:val="1"/>
      <w:numFmt w:val="bullet"/>
      <w:lvlText w:val="•"/>
      <w:lvlJc w:val="left"/>
      <w:pPr>
        <w:tabs>
          <w:tab w:val="num" w:pos="2160"/>
        </w:tabs>
        <w:ind w:left="2160" w:hanging="360"/>
      </w:pPr>
      <w:rPr>
        <w:rFonts w:ascii="Arial" w:hAnsi="Arial" w:hint="default"/>
      </w:rPr>
    </w:lvl>
    <w:lvl w:ilvl="3" w:tplc="080299B8" w:tentative="1">
      <w:start w:val="1"/>
      <w:numFmt w:val="bullet"/>
      <w:lvlText w:val="•"/>
      <w:lvlJc w:val="left"/>
      <w:pPr>
        <w:tabs>
          <w:tab w:val="num" w:pos="2880"/>
        </w:tabs>
        <w:ind w:left="2880" w:hanging="360"/>
      </w:pPr>
      <w:rPr>
        <w:rFonts w:ascii="Arial" w:hAnsi="Arial" w:hint="default"/>
      </w:rPr>
    </w:lvl>
    <w:lvl w:ilvl="4" w:tplc="C58ACA46" w:tentative="1">
      <w:start w:val="1"/>
      <w:numFmt w:val="bullet"/>
      <w:lvlText w:val="•"/>
      <w:lvlJc w:val="left"/>
      <w:pPr>
        <w:tabs>
          <w:tab w:val="num" w:pos="3600"/>
        </w:tabs>
        <w:ind w:left="3600" w:hanging="360"/>
      </w:pPr>
      <w:rPr>
        <w:rFonts w:ascii="Arial" w:hAnsi="Arial" w:hint="default"/>
      </w:rPr>
    </w:lvl>
    <w:lvl w:ilvl="5" w:tplc="58CE3E12" w:tentative="1">
      <w:start w:val="1"/>
      <w:numFmt w:val="bullet"/>
      <w:lvlText w:val="•"/>
      <w:lvlJc w:val="left"/>
      <w:pPr>
        <w:tabs>
          <w:tab w:val="num" w:pos="4320"/>
        </w:tabs>
        <w:ind w:left="4320" w:hanging="360"/>
      </w:pPr>
      <w:rPr>
        <w:rFonts w:ascii="Arial" w:hAnsi="Arial" w:hint="default"/>
      </w:rPr>
    </w:lvl>
    <w:lvl w:ilvl="6" w:tplc="9BA82A3C" w:tentative="1">
      <w:start w:val="1"/>
      <w:numFmt w:val="bullet"/>
      <w:lvlText w:val="•"/>
      <w:lvlJc w:val="left"/>
      <w:pPr>
        <w:tabs>
          <w:tab w:val="num" w:pos="5040"/>
        </w:tabs>
        <w:ind w:left="5040" w:hanging="360"/>
      </w:pPr>
      <w:rPr>
        <w:rFonts w:ascii="Arial" w:hAnsi="Arial" w:hint="default"/>
      </w:rPr>
    </w:lvl>
    <w:lvl w:ilvl="7" w:tplc="CA5CD394" w:tentative="1">
      <w:start w:val="1"/>
      <w:numFmt w:val="bullet"/>
      <w:lvlText w:val="•"/>
      <w:lvlJc w:val="left"/>
      <w:pPr>
        <w:tabs>
          <w:tab w:val="num" w:pos="5760"/>
        </w:tabs>
        <w:ind w:left="5760" w:hanging="360"/>
      </w:pPr>
      <w:rPr>
        <w:rFonts w:ascii="Arial" w:hAnsi="Arial" w:hint="default"/>
      </w:rPr>
    </w:lvl>
    <w:lvl w:ilvl="8" w:tplc="7916A36A"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7251332"/>
    <w:multiLevelType w:val="multilevel"/>
    <w:tmpl w:val="EA72ABC4"/>
    <w:styleLink w:val="StyleBulletedSymbolsymbolLeft025Hanging02511"/>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753046E"/>
    <w:multiLevelType w:val="hybridMultilevel"/>
    <w:tmpl w:val="475C04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75954FE"/>
    <w:multiLevelType w:val="multilevel"/>
    <w:tmpl w:val="175954FE"/>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19F91365"/>
    <w:multiLevelType w:val="multilevel"/>
    <w:tmpl w:val="19F91365"/>
    <w:lvl w:ilvl="0">
      <w:start w:val="1"/>
      <w:numFmt w:val="bullet"/>
      <w:lvlText w:val=""/>
      <w:lvlJc w:val="left"/>
      <w:pPr>
        <w:ind w:left="1080" w:hanging="360"/>
      </w:pPr>
      <w:rPr>
        <w:rFonts w:ascii="Symbol" w:hAnsi="Symbol" w:hint="default"/>
      </w:rPr>
    </w:lvl>
    <w:lvl w:ilvl="1">
      <w:start w:val="1"/>
      <w:numFmt w:val="decimal"/>
      <w:lvlText w:val="%2."/>
      <w:lvlJc w:val="left"/>
      <w:pPr>
        <w:ind w:left="1800" w:hanging="360"/>
      </w:pPr>
      <w:rPr>
        <w:rFonts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5" w15:restartNumberingAfterBreak="0">
    <w:nsid w:val="1AF967AF"/>
    <w:multiLevelType w:val="multilevel"/>
    <w:tmpl w:val="1AF967AF"/>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6" w15:restartNumberingAfterBreak="0">
    <w:nsid w:val="1CB91147"/>
    <w:multiLevelType w:val="hybridMultilevel"/>
    <w:tmpl w:val="1D3CD1BE"/>
    <w:lvl w:ilvl="0" w:tplc="91BAFDCE">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1F566824">
      <w:start w:val="1"/>
      <w:numFmt w:val="bullet"/>
      <w:lvlText w:val="•"/>
      <w:lvlJc w:val="left"/>
      <w:pPr>
        <w:tabs>
          <w:tab w:val="num" w:pos="2160"/>
        </w:tabs>
        <w:ind w:left="2160" w:hanging="360"/>
      </w:pPr>
      <w:rPr>
        <w:rFonts w:ascii="Arial" w:hAnsi="Arial" w:hint="default"/>
      </w:rPr>
    </w:lvl>
    <w:lvl w:ilvl="3" w:tplc="B622A582" w:tentative="1">
      <w:start w:val="1"/>
      <w:numFmt w:val="bullet"/>
      <w:lvlText w:val="•"/>
      <w:lvlJc w:val="left"/>
      <w:pPr>
        <w:tabs>
          <w:tab w:val="num" w:pos="2880"/>
        </w:tabs>
        <w:ind w:left="2880" w:hanging="360"/>
      </w:pPr>
      <w:rPr>
        <w:rFonts w:ascii="Arial" w:hAnsi="Arial" w:hint="default"/>
      </w:rPr>
    </w:lvl>
    <w:lvl w:ilvl="4" w:tplc="1C00A998" w:tentative="1">
      <w:start w:val="1"/>
      <w:numFmt w:val="bullet"/>
      <w:lvlText w:val="•"/>
      <w:lvlJc w:val="left"/>
      <w:pPr>
        <w:tabs>
          <w:tab w:val="num" w:pos="3600"/>
        </w:tabs>
        <w:ind w:left="3600" w:hanging="360"/>
      </w:pPr>
      <w:rPr>
        <w:rFonts w:ascii="Arial" w:hAnsi="Arial" w:hint="default"/>
      </w:rPr>
    </w:lvl>
    <w:lvl w:ilvl="5" w:tplc="AD621268" w:tentative="1">
      <w:start w:val="1"/>
      <w:numFmt w:val="bullet"/>
      <w:lvlText w:val="•"/>
      <w:lvlJc w:val="left"/>
      <w:pPr>
        <w:tabs>
          <w:tab w:val="num" w:pos="4320"/>
        </w:tabs>
        <w:ind w:left="4320" w:hanging="360"/>
      </w:pPr>
      <w:rPr>
        <w:rFonts w:ascii="Arial" w:hAnsi="Arial" w:hint="default"/>
      </w:rPr>
    </w:lvl>
    <w:lvl w:ilvl="6" w:tplc="8ECA8600" w:tentative="1">
      <w:start w:val="1"/>
      <w:numFmt w:val="bullet"/>
      <w:lvlText w:val="•"/>
      <w:lvlJc w:val="left"/>
      <w:pPr>
        <w:tabs>
          <w:tab w:val="num" w:pos="5040"/>
        </w:tabs>
        <w:ind w:left="5040" w:hanging="360"/>
      </w:pPr>
      <w:rPr>
        <w:rFonts w:ascii="Arial" w:hAnsi="Arial" w:hint="default"/>
      </w:rPr>
    </w:lvl>
    <w:lvl w:ilvl="7" w:tplc="2E469F3E" w:tentative="1">
      <w:start w:val="1"/>
      <w:numFmt w:val="bullet"/>
      <w:lvlText w:val="•"/>
      <w:lvlJc w:val="left"/>
      <w:pPr>
        <w:tabs>
          <w:tab w:val="num" w:pos="5760"/>
        </w:tabs>
        <w:ind w:left="5760" w:hanging="360"/>
      </w:pPr>
      <w:rPr>
        <w:rFonts w:ascii="Arial" w:hAnsi="Arial" w:hint="default"/>
      </w:rPr>
    </w:lvl>
    <w:lvl w:ilvl="8" w:tplc="77CA1432"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215F78B0"/>
    <w:multiLevelType w:val="hybridMultilevel"/>
    <w:tmpl w:val="B4B28E60"/>
    <w:lvl w:ilvl="0" w:tplc="04070001">
      <w:start w:val="1"/>
      <w:numFmt w:val="bullet"/>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8" w15:restartNumberingAfterBreak="0">
    <w:nsid w:val="21B71597"/>
    <w:multiLevelType w:val="multilevel"/>
    <w:tmpl w:val="21B71597"/>
    <w:lvl w:ilvl="0">
      <w:start w:val="1"/>
      <w:numFmt w:val="decimal"/>
      <w:lvlText w:val="%1."/>
      <w:lvlJc w:val="left"/>
      <w:pPr>
        <w:ind w:left="770" w:hanging="360"/>
      </w:pPr>
    </w:lvl>
    <w:lvl w:ilvl="1">
      <w:start w:val="1"/>
      <w:numFmt w:val="lowerLetter"/>
      <w:lvlText w:val="%2."/>
      <w:lvlJc w:val="left"/>
      <w:pPr>
        <w:ind w:left="1490" w:hanging="360"/>
      </w:pPr>
    </w:lvl>
    <w:lvl w:ilvl="2">
      <w:start w:val="1"/>
      <w:numFmt w:val="lowerRoman"/>
      <w:lvlText w:val="%3."/>
      <w:lvlJc w:val="right"/>
      <w:pPr>
        <w:ind w:left="2210" w:hanging="180"/>
      </w:pPr>
    </w:lvl>
    <w:lvl w:ilvl="3">
      <w:start w:val="1"/>
      <w:numFmt w:val="decimal"/>
      <w:lvlText w:val="%4."/>
      <w:lvlJc w:val="left"/>
      <w:pPr>
        <w:ind w:left="2930" w:hanging="360"/>
      </w:pPr>
    </w:lvl>
    <w:lvl w:ilvl="4">
      <w:start w:val="1"/>
      <w:numFmt w:val="lowerLetter"/>
      <w:lvlText w:val="%5."/>
      <w:lvlJc w:val="left"/>
      <w:pPr>
        <w:ind w:left="3650" w:hanging="360"/>
      </w:pPr>
    </w:lvl>
    <w:lvl w:ilvl="5">
      <w:start w:val="1"/>
      <w:numFmt w:val="lowerRoman"/>
      <w:lvlText w:val="%6."/>
      <w:lvlJc w:val="right"/>
      <w:pPr>
        <w:ind w:left="4370" w:hanging="180"/>
      </w:pPr>
    </w:lvl>
    <w:lvl w:ilvl="6">
      <w:start w:val="1"/>
      <w:numFmt w:val="decimal"/>
      <w:lvlText w:val="%7."/>
      <w:lvlJc w:val="left"/>
      <w:pPr>
        <w:ind w:left="5090" w:hanging="360"/>
      </w:pPr>
    </w:lvl>
    <w:lvl w:ilvl="7">
      <w:start w:val="1"/>
      <w:numFmt w:val="lowerLetter"/>
      <w:lvlText w:val="%8."/>
      <w:lvlJc w:val="left"/>
      <w:pPr>
        <w:ind w:left="5810" w:hanging="360"/>
      </w:pPr>
    </w:lvl>
    <w:lvl w:ilvl="8">
      <w:start w:val="1"/>
      <w:numFmt w:val="lowerRoman"/>
      <w:lvlText w:val="%9."/>
      <w:lvlJc w:val="right"/>
      <w:pPr>
        <w:ind w:left="6530" w:hanging="180"/>
      </w:pPr>
    </w:lvl>
  </w:abstractNum>
  <w:abstractNum w:abstractNumId="19" w15:restartNumberingAfterBreak="0">
    <w:nsid w:val="21EC15DF"/>
    <w:multiLevelType w:val="multilevel"/>
    <w:tmpl w:val="21EC15DF"/>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0" w15:restartNumberingAfterBreak="0">
    <w:nsid w:val="22D75959"/>
    <w:multiLevelType w:val="multilevel"/>
    <w:tmpl w:val="680E6A82"/>
    <w:lvl w:ilvl="0">
      <w:start w:val="1"/>
      <w:numFmt w:val="decimal"/>
      <w:lvlText w:val="[%1]"/>
      <w:lvlJc w:val="left"/>
      <w:pPr>
        <w:tabs>
          <w:tab w:val="num" w:pos="420"/>
        </w:tabs>
        <w:ind w:left="420" w:hanging="420"/>
      </w:pPr>
      <w:rPr>
        <w:i w:val="0"/>
        <w:sz w:val="20"/>
        <w:szCs w:val="20"/>
      </w:rPr>
    </w:lvl>
    <w:lvl w:ilvl="1">
      <w:start w:val="1"/>
      <w:numFmt w:val="bullet"/>
      <w:lvlText w:val=""/>
      <w:lvlJc w:val="left"/>
      <w:pPr>
        <w:tabs>
          <w:tab w:val="num" w:pos="840"/>
        </w:tabs>
        <w:ind w:left="840" w:hanging="420"/>
      </w:pPr>
      <w:rPr>
        <w:rFonts w:ascii="Symbol" w:hAnsi="Symbol" w:hint="default"/>
      </w:rPr>
    </w:lvl>
    <w:lvl w:ilvl="2">
      <w:start w:val="1"/>
      <w:numFmt w:val="bullet"/>
      <w:lvlText w:val="o"/>
      <w:lvlJc w:val="left"/>
      <w:pPr>
        <w:tabs>
          <w:tab w:val="num" w:pos="1260"/>
        </w:tabs>
        <w:ind w:left="1260" w:hanging="420"/>
      </w:pPr>
      <w:rPr>
        <w:rFonts w:ascii="Courier New" w:hAnsi="Courier New" w:cs="Courier New" w:hint="default"/>
      </w:r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21" w15:restartNumberingAfterBreak="0">
    <w:nsid w:val="27C02AD2"/>
    <w:multiLevelType w:val="multilevel"/>
    <w:tmpl w:val="27C02AD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2" w15:restartNumberingAfterBreak="0">
    <w:nsid w:val="2CC7125C"/>
    <w:multiLevelType w:val="singleLevel"/>
    <w:tmpl w:val="24D0B6C8"/>
    <w:lvl w:ilvl="0">
      <w:numFmt w:val="decimal"/>
      <w:pStyle w:val="Bulletedo1"/>
      <w:lvlText w:val=""/>
      <w:lvlJc w:val="left"/>
    </w:lvl>
  </w:abstractNum>
  <w:abstractNum w:abstractNumId="23"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5" w15:restartNumberingAfterBreak="0">
    <w:nsid w:val="30167EE9"/>
    <w:multiLevelType w:val="hybridMultilevel"/>
    <w:tmpl w:val="3EAEF55E"/>
    <w:lvl w:ilvl="0" w:tplc="E25C8D20">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5F5A6FE4" w:tentative="1">
      <w:start w:val="1"/>
      <w:numFmt w:val="bullet"/>
      <w:lvlText w:val="•"/>
      <w:lvlJc w:val="left"/>
      <w:pPr>
        <w:tabs>
          <w:tab w:val="num" w:pos="2880"/>
        </w:tabs>
        <w:ind w:left="2880" w:hanging="360"/>
      </w:pPr>
      <w:rPr>
        <w:rFonts w:ascii="Arial" w:hAnsi="Arial" w:hint="default"/>
      </w:rPr>
    </w:lvl>
    <w:lvl w:ilvl="4" w:tplc="ECBEF7C8" w:tentative="1">
      <w:start w:val="1"/>
      <w:numFmt w:val="bullet"/>
      <w:lvlText w:val="•"/>
      <w:lvlJc w:val="left"/>
      <w:pPr>
        <w:tabs>
          <w:tab w:val="num" w:pos="3600"/>
        </w:tabs>
        <w:ind w:left="3600" w:hanging="360"/>
      </w:pPr>
      <w:rPr>
        <w:rFonts w:ascii="Arial" w:hAnsi="Arial" w:hint="default"/>
      </w:rPr>
    </w:lvl>
    <w:lvl w:ilvl="5" w:tplc="673E22E8" w:tentative="1">
      <w:start w:val="1"/>
      <w:numFmt w:val="bullet"/>
      <w:lvlText w:val="•"/>
      <w:lvlJc w:val="left"/>
      <w:pPr>
        <w:tabs>
          <w:tab w:val="num" w:pos="4320"/>
        </w:tabs>
        <w:ind w:left="4320" w:hanging="360"/>
      </w:pPr>
      <w:rPr>
        <w:rFonts w:ascii="Arial" w:hAnsi="Arial" w:hint="default"/>
      </w:rPr>
    </w:lvl>
    <w:lvl w:ilvl="6" w:tplc="88C20080" w:tentative="1">
      <w:start w:val="1"/>
      <w:numFmt w:val="bullet"/>
      <w:lvlText w:val="•"/>
      <w:lvlJc w:val="left"/>
      <w:pPr>
        <w:tabs>
          <w:tab w:val="num" w:pos="5040"/>
        </w:tabs>
        <w:ind w:left="5040" w:hanging="360"/>
      </w:pPr>
      <w:rPr>
        <w:rFonts w:ascii="Arial" w:hAnsi="Arial" w:hint="default"/>
      </w:rPr>
    </w:lvl>
    <w:lvl w:ilvl="7" w:tplc="6D9A2E18" w:tentative="1">
      <w:start w:val="1"/>
      <w:numFmt w:val="bullet"/>
      <w:lvlText w:val="•"/>
      <w:lvlJc w:val="left"/>
      <w:pPr>
        <w:tabs>
          <w:tab w:val="num" w:pos="5760"/>
        </w:tabs>
        <w:ind w:left="5760" w:hanging="360"/>
      </w:pPr>
      <w:rPr>
        <w:rFonts w:ascii="Arial" w:hAnsi="Arial" w:hint="default"/>
      </w:rPr>
    </w:lvl>
    <w:lvl w:ilvl="8" w:tplc="BAC0CAD2"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305866E3"/>
    <w:multiLevelType w:val="hybridMultilevel"/>
    <w:tmpl w:val="CA50DDB0"/>
    <w:lvl w:ilvl="0" w:tplc="0409000F">
      <w:start w:val="1"/>
      <w:numFmt w:val="decimal"/>
      <w:lvlText w:val="%1."/>
      <w:lvlJc w:val="left"/>
      <w:pPr>
        <w:ind w:left="360" w:hanging="360"/>
      </w:pPr>
      <w:rPr>
        <w:rFont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325A5882"/>
    <w:multiLevelType w:val="multilevel"/>
    <w:tmpl w:val="325A5882"/>
    <w:lvl w:ilvl="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340B3EA1"/>
    <w:multiLevelType w:val="hybridMultilevel"/>
    <w:tmpl w:val="CA50DDB0"/>
    <w:lvl w:ilvl="0" w:tplc="0409000F">
      <w:start w:val="1"/>
      <w:numFmt w:val="decimal"/>
      <w:lvlText w:val="%1."/>
      <w:lvlJc w:val="left"/>
      <w:pPr>
        <w:ind w:left="360" w:hanging="360"/>
      </w:pPr>
      <w:rPr>
        <w:rFont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3433525C"/>
    <w:multiLevelType w:val="multilevel"/>
    <w:tmpl w:val="2022FAE2"/>
    <w:lvl w:ilvl="0">
      <w:start w:val="1"/>
      <w:numFmt w:val="decimal"/>
      <w:pStyle w:val="1st-Proposal-YJ"/>
      <w:lvlText w:val="Proposal %1:"/>
      <w:lvlJc w:val="left"/>
      <w:pPr>
        <w:tabs>
          <w:tab w:val="num" w:pos="0"/>
        </w:tabs>
        <w:ind w:left="0" w:firstLine="0"/>
      </w:pPr>
      <w:rPr>
        <w:rFonts w:ascii="Times New Roman" w:eastAsia="SimSun" w:hAnsi="Times New Roman" w:hint="default"/>
        <w:b/>
        <w:i/>
        <w:sz w:val="20"/>
      </w:rPr>
    </w:lvl>
    <w:lvl w:ilvl="1">
      <w:start w:val="1"/>
      <w:numFmt w:val="bullet"/>
      <w:pStyle w:val="2nd-proposal-YJ"/>
      <w:lvlText w:val="−"/>
      <w:lvlJc w:val="left"/>
      <w:pPr>
        <w:tabs>
          <w:tab w:val="num" w:pos="851"/>
        </w:tabs>
        <w:ind w:left="851" w:firstLine="0"/>
      </w:pPr>
      <w:rPr>
        <w:rFonts w:ascii="Verdana" w:hAnsi="Verdana" w:hint="default"/>
        <w:sz w:val="20"/>
      </w:rPr>
    </w:lvl>
    <w:lvl w:ilvl="2">
      <w:start w:val="1"/>
      <w:numFmt w:val="bullet"/>
      <w:pStyle w:val="3nd-proposal-YJ"/>
      <w:lvlText w:val=""/>
      <w:lvlJc w:val="left"/>
      <w:pPr>
        <w:tabs>
          <w:tab w:val="num"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30" w15:restartNumberingAfterBreak="0">
    <w:nsid w:val="39151F72"/>
    <w:multiLevelType w:val="multilevel"/>
    <w:tmpl w:val="3AB44867"/>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39C443B4"/>
    <w:multiLevelType w:val="hybridMultilevel"/>
    <w:tmpl w:val="4000AB58"/>
    <w:lvl w:ilvl="0" w:tplc="FFFFFFFF">
      <w:numFmt w:val="bullet"/>
      <w:lvlText w:val=""/>
      <w:lvlJc w:val="left"/>
      <w:pPr>
        <w:ind w:left="720" w:hanging="360"/>
      </w:pPr>
      <w:rPr>
        <w:rFonts w:ascii="Wingdings" w:eastAsia="Batang" w:hAnsi="Wingdings"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3" w15:restartNumberingAfterBreak="0">
    <w:nsid w:val="428366AB"/>
    <w:multiLevelType w:val="hybridMultilevel"/>
    <w:tmpl w:val="E95AA5C6"/>
    <w:lvl w:ilvl="0" w:tplc="FFFFFFFF">
      <w:numFmt w:val="bullet"/>
      <w:lvlText w:val=""/>
      <w:lvlJc w:val="left"/>
      <w:pPr>
        <w:ind w:left="720" w:hanging="360"/>
      </w:pPr>
      <w:rPr>
        <w:rFonts w:ascii="Wingdings" w:eastAsia="Batang" w:hAnsi="Wingdings" w:cs="Times New Roman" w:hint="default"/>
      </w:rPr>
    </w:lvl>
    <w:lvl w:ilvl="1" w:tplc="FFFFFFFF">
      <w:start w:val="1"/>
      <w:numFmt w:val="bullet"/>
      <w:lvlText w:val=""/>
      <w:lvlJc w:val="left"/>
      <w:pPr>
        <w:ind w:left="1440" w:hanging="360"/>
      </w:pPr>
      <w:rPr>
        <w:rFonts w:ascii="Wingdings" w:hAnsi="Wingdings" w:hint="default"/>
      </w:rPr>
    </w:lvl>
    <w:lvl w:ilvl="2" w:tplc="04090001">
      <w:start w:val="1"/>
      <w:numFmt w:val="bullet"/>
      <w:lvlText w:val=""/>
      <w:lvlJc w:val="left"/>
      <w:pPr>
        <w:ind w:left="2160" w:hanging="360"/>
      </w:pPr>
      <w:rPr>
        <w:rFonts w:ascii="Symbol" w:hAnsi="Symbol"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4315416E"/>
    <w:multiLevelType w:val="multilevel"/>
    <w:tmpl w:val="4315416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43FF5F2B"/>
    <w:multiLevelType w:val="multilevel"/>
    <w:tmpl w:val="EE12EBF2"/>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b w:val="0"/>
      </w:rPr>
    </w:lvl>
    <w:lvl w:ilvl="3">
      <w:start w:val="1"/>
      <w:numFmt w:val="decimal"/>
      <w:pStyle w:val="Heading4"/>
      <w:lvlText w:val="%1.%2.%3.%4"/>
      <w:lvlJc w:val="left"/>
      <w:pPr>
        <w:tabs>
          <w:tab w:val="num" w:pos="864"/>
        </w:tabs>
        <w:ind w:left="864" w:hanging="864"/>
      </w:pPr>
      <w:rPr>
        <w:rFonts w:hint="default"/>
        <w:b/>
      </w:rPr>
    </w:lvl>
    <w:lvl w:ilvl="4">
      <w:start w:val="1"/>
      <w:numFmt w:val="decimal"/>
      <w:pStyle w:val="Heading5"/>
      <w:lvlText w:val="%1.%2.%3.%4.%5"/>
      <w:lvlJc w:val="left"/>
      <w:pPr>
        <w:tabs>
          <w:tab w:val="num" w:pos="0"/>
        </w:tabs>
        <w:ind w:left="0" w:firstLine="0"/>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6" w15:restartNumberingAfterBreak="0">
    <w:nsid w:val="44471F25"/>
    <w:multiLevelType w:val="hybridMultilevel"/>
    <w:tmpl w:val="81506666"/>
    <w:lvl w:ilvl="0" w:tplc="95D822B8">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8" w15:restartNumberingAfterBreak="0">
    <w:nsid w:val="4B46065D"/>
    <w:multiLevelType w:val="hybridMultilevel"/>
    <w:tmpl w:val="25FE020E"/>
    <w:lvl w:ilvl="0" w:tplc="FFFFFFFF">
      <w:numFmt w:val="bullet"/>
      <w:lvlText w:val=""/>
      <w:lvlJc w:val="left"/>
      <w:pPr>
        <w:ind w:left="720" w:hanging="360"/>
      </w:pPr>
      <w:rPr>
        <w:rFonts w:ascii="Wingdings" w:eastAsia="Batang" w:hAnsi="Wingdings" w:cs="Times New Roman" w:hint="default"/>
      </w:rPr>
    </w:lvl>
    <w:lvl w:ilvl="1" w:tplc="FFFFFFFF">
      <w:start w:val="1"/>
      <w:numFmt w:val="bullet"/>
      <w:lvlText w:val="o"/>
      <w:lvlJc w:val="left"/>
      <w:pPr>
        <w:ind w:left="1440" w:hanging="360"/>
      </w:pPr>
      <w:rPr>
        <w:rFonts w:ascii="Courier New" w:hAnsi="Courier New" w:cs="Courier New" w:hint="default"/>
      </w:rPr>
    </w:lvl>
    <w:lvl w:ilvl="2" w:tplc="04090017">
      <w:start w:val="1"/>
      <w:numFmt w:val="lowerLetter"/>
      <w:lvlText w:val="%3)"/>
      <w:lvlJc w:val="left"/>
      <w:pPr>
        <w:ind w:left="2160" w:hanging="360"/>
      </w:p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9" w15:restartNumberingAfterBreak="0">
    <w:nsid w:val="4D8E02B4"/>
    <w:multiLevelType w:val="hybridMultilevel"/>
    <w:tmpl w:val="ABB6DC6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4E9E506F"/>
    <w:multiLevelType w:val="multilevel"/>
    <w:tmpl w:val="4E9E506F"/>
    <w:lvl w:ilvl="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59833EE1"/>
    <w:multiLevelType w:val="hybridMultilevel"/>
    <w:tmpl w:val="F17E156E"/>
    <w:lvl w:ilvl="0" w:tplc="FFFFFFFF">
      <w:numFmt w:val="bullet"/>
      <w:lvlText w:val=""/>
      <w:lvlJc w:val="left"/>
      <w:pPr>
        <w:ind w:left="720" w:hanging="360"/>
      </w:pPr>
      <w:rPr>
        <w:rFonts w:ascii="Wingdings" w:eastAsia="Batang" w:hAnsi="Wingdings" w:cs="Times New Roman" w:hint="default"/>
      </w:rPr>
    </w:lvl>
    <w:lvl w:ilvl="1" w:tplc="04090003">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3" w15:restartNumberingAfterBreak="0">
    <w:nsid w:val="59D63AB0"/>
    <w:multiLevelType w:val="hybridMultilevel"/>
    <w:tmpl w:val="107A7BE8"/>
    <w:lvl w:ilvl="0" w:tplc="90823134">
      <w:start w:val="2"/>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5BA357B4"/>
    <w:multiLevelType w:val="multilevel"/>
    <w:tmpl w:val="5BA357B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5E913E68"/>
    <w:multiLevelType w:val="hybridMultilevel"/>
    <w:tmpl w:val="13A61F1C"/>
    <w:lvl w:ilvl="0" w:tplc="EDB00074">
      <w:start w:val="1"/>
      <w:numFmt w:val="bullet"/>
      <w:lvlText w:val="-"/>
      <w:lvlJc w:val="left"/>
      <w:pPr>
        <w:ind w:left="840" w:hanging="420"/>
      </w:pPr>
      <w:rPr>
        <w:rFonts w:ascii="Times" w:eastAsia="Batang" w:hAnsi="Times" w:cs="Times" w:hint="default"/>
      </w:rPr>
    </w:lvl>
    <w:lvl w:ilvl="1" w:tplc="FFFFFFFF" w:tentative="1">
      <w:start w:val="1"/>
      <w:numFmt w:val="bullet"/>
      <w:lvlText w:val=""/>
      <w:lvlJc w:val="left"/>
      <w:pPr>
        <w:ind w:left="1260" w:hanging="420"/>
      </w:pPr>
      <w:rPr>
        <w:rFonts w:ascii="Wingdings" w:hAnsi="Wingdings" w:hint="default"/>
      </w:rPr>
    </w:lvl>
    <w:lvl w:ilvl="2" w:tplc="FFFFFFFF" w:tentative="1">
      <w:start w:val="1"/>
      <w:numFmt w:val="bullet"/>
      <w:lvlText w:val=""/>
      <w:lvlJc w:val="left"/>
      <w:pPr>
        <w:ind w:left="1680" w:hanging="420"/>
      </w:pPr>
      <w:rPr>
        <w:rFonts w:ascii="Wingdings" w:hAnsi="Wingdings" w:hint="default"/>
      </w:rPr>
    </w:lvl>
    <w:lvl w:ilvl="3" w:tplc="FFFFFFFF" w:tentative="1">
      <w:start w:val="1"/>
      <w:numFmt w:val="bullet"/>
      <w:lvlText w:val=""/>
      <w:lvlJc w:val="left"/>
      <w:pPr>
        <w:ind w:left="2100" w:hanging="420"/>
      </w:pPr>
      <w:rPr>
        <w:rFonts w:ascii="Wingdings" w:hAnsi="Wingdings" w:hint="default"/>
      </w:rPr>
    </w:lvl>
    <w:lvl w:ilvl="4" w:tplc="FFFFFFFF" w:tentative="1">
      <w:start w:val="1"/>
      <w:numFmt w:val="bullet"/>
      <w:lvlText w:val=""/>
      <w:lvlJc w:val="left"/>
      <w:pPr>
        <w:ind w:left="2520" w:hanging="420"/>
      </w:pPr>
      <w:rPr>
        <w:rFonts w:ascii="Wingdings" w:hAnsi="Wingdings" w:hint="default"/>
      </w:rPr>
    </w:lvl>
    <w:lvl w:ilvl="5" w:tplc="FFFFFFFF" w:tentative="1">
      <w:start w:val="1"/>
      <w:numFmt w:val="bullet"/>
      <w:lvlText w:val=""/>
      <w:lvlJc w:val="left"/>
      <w:pPr>
        <w:ind w:left="2940" w:hanging="420"/>
      </w:pPr>
      <w:rPr>
        <w:rFonts w:ascii="Wingdings" w:hAnsi="Wingdings" w:hint="default"/>
      </w:rPr>
    </w:lvl>
    <w:lvl w:ilvl="6" w:tplc="FFFFFFFF" w:tentative="1">
      <w:start w:val="1"/>
      <w:numFmt w:val="bullet"/>
      <w:lvlText w:val=""/>
      <w:lvlJc w:val="left"/>
      <w:pPr>
        <w:ind w:left="3360" w:hanging="420"/>
      </w:pPr>
      <w:rPr>
        <w:rFonts w:ascii="Wingdings" w:hAnsi="Wingdings" w:hint="default"/>
      </w:rPr>
    </w:lvl>
    <w:lvl w:ilvl="7" w:tplc="FFFFFFFF" w:tentative="1">
      <w:start w:val="1"/>
      <w:numFmt w:val="bullet"/>
      <w:lvlText w:val=""/>
      <w:lvlJc w:val="left"/>
      <w:pPr>
        <w:ind w:left="3780" w:hanging="420"/>
      </w:pPr>
      <w:rPr>
        <w:rFonts w:ascii="Wingdings" w:hAnsi="Wingdings" w:hint="default"/>
      </w:rPr>
    </w:lvl>
    <w:lvl w:ilvl="8" w:tplc="FFFFFFFF" w:tentative="1">
      <w:start w:val="1"/>
      <w:numFmt w:val="bullet"/>
      <w:lvlText w:val=""/>
      <w:lvlJc w:val="left"/>
      <w:pPr>
        <w:ind w:left="4200" w:hanging="420"/>
      </w:pPr>
      <w:rPr>
        <w:rFonts w:ascii="Wingdings" w:hAnsi="Wingdings" w:hint="default"/>
      </w:rPr>
    </w:lvl>
  </w:abstractNum>
  <w:abstractNum w:abstractNumId="46" w15:restartNumberingAfterBreak="0">
    <w:nsid w:val="60847E10"/>
    <w:multiLevelType w:val="multilevel"/>
    <w:tmpl w:val="60847E10"/>
    <w:lvl w:ilvl="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63B31E12"/>
    <w:multiLevelType w:val="hybridMultilevel"/>
    <w:tmpl w:val="23528178"/>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1">
      <w:start w:val="1"/>
      <w:numFmt w:val="bullet"/>
      <w:lvlText w:val=""/>
      <w:lvlJc w:val="left"/>
      <w:pPr>
        <w:ind w:left="2160" w:hanging="180"/>
      </w:pPr>
      <w:rPr>
        <w:rFonts w:ascii="Symbol" w:hAnsi="Symbol"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6F6A72B9"/>
    <w:multiLevelType w:val="multilevel"/>
    <w:tmpl w:val="6F6A72B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6FA72F2E"/>
    <w:multiLevelType w:val="hybridMultilevel"/>
    <w:tmpl w:val="4F4EEA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727C6255"/>
    <w:multiLevelType w:val="multilevel"/>
    <w:tmpl w:val="727C625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746217A3"/>
    <w:multiLevelType w:val="hybridMultilevel"/>
    <w:tmpl w:val="A0882596"/>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4" w15:restartNumberingAfterBreak="0">
    <w:nsid w:val="77997E26"/>
    <w:multiLevelType w:val="hybridMultilevel"/>
    <w:tmpl w:val="7B26FE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56"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57"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711223201">
    <w:abstractNumId w:val="3"/>
  </w:num>
  <w:num w:numId="2" w16cid:durableId="2004581480">
    <w:abstractNumId w:val="41"/>
  </w:num>
  <w:num w:numId="3" w16cid:durableId="1159926670">
    <w:abstractNumId w:val="56"/>
  </w:num>
  <w:num w:numId="4" w16cid:durableId="1085223277">
    <w:abstractNumId w:val="55"/>
  </w:num>
  <w:num w:numId="5" w16cid:durableId="404307236">
    <w:abstractNumId w:val="50"/>
  </w:num>
  <w:num w:numId="6" w16cid:durableId="1738239238">
    <w:abstractNumId w:val="35"/>
  </w:num>
  <w:num w:numId="7" w16cid:durableId="2046054978">
    <w:abstractNumId w:val="11"/>
  </w:num>
  <w:num w:numId="8" w16cid:durableId="1263225796">
    <w:abstractNumId w:val="57"/>
  </w:num>
  <w:num w:numId="9" w16cid:durableId="2137941600">
    <w:abstractNumId w:val="23"/>
  </w:num>
  <w:num w:numId="10" w16cid:durableId="1221401523">
    <w:abstractNumId w:val="52"/>
  </w:num>
  <w:num w:numId="11" w16cid:durableId="184174619">
    <w:abstractNumId w:val="32"/>
  </w:num>
  <w:num w:numId="12" w16cid:durableId="56058515">
    <w:abstractNumId w:val="4"/>
  </w:num>
  <w:num w:numId="13" w16cid:durableId="1088847819">
    <w:abstractNumId w:val="24"/>
  </w:num>
  <w:num w:numId="14" w16cid:durableId="285235722">
    <w:abstractNumId w:val="20"/>
  </w:num>
  <w:num w:numId="15" w16cid:durableId="413623735">
    <w:abstractNumId w:val="2"/>
  </w:num>
  <w:num w:numId="16" w16cid:durableId="565189844">
    <w:abstractNumId w:val="5"/>
  </w:num>
  <w:num w:numId="17" w16cid:durableId="998464448">
    <w:abstractNumId w:val="36"/>
  </w:num>
  <w:num w:numId="18" w16cid:durableId="1769503939">
    <w:abstractNumId w:val="8"/>
  </w:num>
  <w:num w:numId="19" w16cid:durableId="83037903">
    <w:abstractNumId w:val="31"/>
  </w:num>
  <w:num w:numId="20" w16cid:durableId="1159152752">
    <w:abstractNumId w:val="37"/>
  </w:num>
  <w:num w:numId="21" w16cid:durableId="2102410994">
    <w:abstractNumId w:val="38"/>
  </w:num>
  <w:num w:numId="22" w16cid:durableId="332806601">
    <w:abstractNumId w:val="29"/>
  </w:num>
  <w:num w:numId="23" w16cid:durableId="1463697261">
    <w:abstractNumId w:val="22"/>
  </w:num>
  <w:num w:numId="24" w16cid:durableId="378751236">
    <w:abstractNumId w:val="16"/>
  </w:num>
  <w:num w:numId="25" w16cid:durableId="510921805">
    <w:abstractNumId w:val="9"/>
  </w:num>
  <w:num w:numId="26" w16cid:durableId="589856217">
    <w:abstractNumId w:val="10"/>
  </w:num>
  <w:num w:numId="27" w16cid:durableId="925919098">
    <w:abstractNumId w:val="25"/>
  </w:num>
  <w:num w:numId="28" w16cid:durableId="2040887640">
    <w:abstractNumId w:val="33"/>
  </w:num>
  <w:num w:numId="29" w16cid:durableId="158427584">
    <w:abstractNumId w:val="42"/>
  </w:num>
  <w:num w:numId="30" w16cid:durableId="2055764145">
    <w:abstractNumId w:val="43"/>
  </w:num>
  <w:num w:numId="31" w16cid:durableId="1811245122">
    <w:abstractNumId w:val="37"/>
  </w:num>
  <w:num w:numId="32" w16cid:durableId="1366447092">
    <w:abstractNumId w:val="30"/>
  </w:num>
  <w:num w:numId="33" w16cid:durableId="21133171">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727727119">
    <w:abstractNumId w:val="21"/>
  </w:num>
  <w:num w:numId="35" w16cid:durableId="63190203">
    <w:abstractNumId w:val="54"/>
  </w:num>
  <w:num w:numId="36" w16cid:durableId="1954437016">
    <w:abstractNumId w:val="27"/>
  </w:num>
  <w:num w:numId="37" w16cid:durableId="349332118">
    <w:abstractNumId w:val="48"/>
  </w:num>
  <w:num w:numId="38" w16cid:durableId="859122372">
    <w:abstractNumId w:val="40"/>
  </w:num>
  <w:num w:numId="39" w16cid:durableId="101608319">
    <w:abstractNumId w:val="15"/>
  </w:num>
  <w:num w:numId="40" w16cid:durableId="461195104">
    <w:abstractNumId w:val="13"/>
  </w:num>
  <w:num w:numId="41" w16cid:durableId="598101687">
    <w:abstractNumId w:val="46"/>
  </w:num>
  <w:num w:numId="42" w16cid:durableId="1279072259">
    <w:abstractNumId w:val="44"/>
  </w:num>
  <w:num w:numId="43" w16cid:durableId="1244338877">
    <w:abstractNumId w:val="18"/>
  </w:num>
  <w:num w:numId="44" w16cid:durableId="1617172143">
    <w:abstractNumId w:val="14"/>
  </w:num>
  <w:num w:numId="45" w16cid:durableId="69884952">
    <w:abstractNumId w:val="19"/>
  </w:num>
  <w:num w:numId="46" w16cid:durableId="1250576758">
    <w:abstractNumId w:val="34"/>
  </w:num>
  <w:num w:numId="47" w16cid:durableId="603801793">
    <w:abstractNumId w:val="51"/>
  </w:num>
  <w:num w:numId="48" w16cid:durableId="12919763">
    <w:abstractNumId w:val="49"/>
  </w:num>
  <w:num w:numId="49" w16cid:durableId="677970407">
    <w:abstractNumId w:val="53"/>
  </w:num>
  <w:num w:numId="50" w16cid:durableId="1731346580">
    <w:abstractNumId w:val="7"/>
  </w:num>
  <w:num w:numId="51" w16cid:durableId="81223698">
    <w:abstractNumId w:val="26"/>
  </w:num>
  <w:num w:numId="52" w16cid:durableId="1096363029">
    <w:abstractNumId w:val="45"/>
  </w:num>
  <w:num w:numId="53" w16cid:durableId="929697541">
    <w:abstractNumId w:val="17"/>
  </w:num>
  <w:num w:numId="54" w16cid:durableId="104155669">
    <w:abstractNumId w:val="32"/>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55" w16cid:durableId="908003972">
    <w:abstractNumId w:val="6"/>
  </w:num>
  <w:num w:numId="56" w16cid:durableId="1834956088">
    <w:abstractNumId w:val="47"/>
  </w:num>
  <w:num w:numId="57" w16cid:durableId="866140139">
    <w:abstractNumId w:val="28"/>
  </w:num>
  <w:num w:numId="58" w16cid:durableId="795374576">
    <w:abstractNumId w:val="12"/>
  </w:num>
  <w:num w:numId="59" w16cid:durableId="1257329578">
    <w:abstractNumId w:val="39"/>
  </w:num>
  <w:numIdMacAtCleanup w:val="5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evin Lin">
    <w15:presenceInfo w15:providerId="Windows Live" w15:userId="97d5581bb704cf6f"/>
  </w15:person>
  <w15:person w15:author="Giovanni Chisci">
    <w15:presenceInfo w15:providerId="AD" w15:userId="S::gchisci@qti.qualcomm.com::eeac98f7-fbf3-469c-b682-696f1247cc3f"/>
  </w15:person>
  <w15:person w15:author="陈咪咪 (Mimi Chen)">
    <w15:presenceInfo w15:providerId="None" w15:userId="陈咪咪 (Mimi Chen)"/>
  </w15:person>
  <w15:person w15:author="Broadcom_0">
    <w15:presenceInfo w15:providerId="None" w15:userId="Broadcom_0"/>
  </w15:person>
  <w15:person w15:author="Alexander Golitschek">
    <w15:presenceInfo w15:providerId="None" w15:userId="Alexander Golitschek"/>
  </w15:person>
  <w15:person w15:author="Noh Minseok">
    <w15:presenceInfo w15:providerId="Windows Live" w15:userId="bc888e0c7c76b82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bordersDoNotSurroundHeader/>
  <w:bordersDoNotSurroundFooter/>
  <w:activeWritingStyle w:appName="MSWord" w:lang="en-GB" w:vendorID="64" w:dllVersion="6" w:nlCheck="1" w:checkStyle="0"/>
  <w:activeWritingStyle w:appName="MSWord" w:lang="en-AU" w:vendorID="64" w:dllVersion="6" w:nlCheck="1" w:checkStyle="0"/>
  <w:activeWritingStyle w:appName="MSWord" w:lang="fr-CA" w:vendorID="64" w:dllVersion="6" w:nlCheck="1" w:checkStyle="1"/>
  <w:activeWritingStyle w:appName="MSWord" w:lang="en-US" w:vendorID="64" w:dllVersion="6" w:nlCheck="1" w:checkStyle="0"/>
  <w:activeWritingStyle w:appName="MSWord" w:lang="fr-FR" w:vendorID="64" w:dllVersion="6" w:nlCheck="1" w:checkStyle="1"/>
  <w:activeWritingStyle w:appName="MSWord" w:lang="ja-JP" w:vendorID="64" w:dllVersion="6" w:nlCheck="1" w:checkStyle="1"/>
  <w:activeWritingStyle w:appName="MSWord" w:lang="en-CA"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en-SG" w:vendorID="64" w:dllVersion="6" w:nlCheck="1" w:checkStyle="1"/>
  <w:activeWritingStyle w:appName="MSWord" w:lang="en-AU" w:vendorID="64" w:dllVersion="0" w:nlCheck="1" w:checkStyle="0"/>
  <w:activeWritingStyle w:appName="MSWord" w:lang="en-SG" w:vendorID="64" w:dllVersion="0" w:nlCheck="1" w:checkStyle="0"/>
  <w:activeWritingStyle w:appName="MSWord" w:lang="de-DE" w:vendorID="64" w:dllVersion="0" w:nlCheck="1" w:checkStyle="0"/>
  <w:activeWritingStyle w:appName="MSWord" w:lang="en-AU" w:vendorID="64" w:dllVersion="4096" w:nlCheck="1" w:checkStyle="0"/>
  <w:activeWritingStyle w:appName="MSWord" w:lang="zh-CN" w:vendorID="64" w:dllVersion="0" w:nlCheck="1" w:checkStyle="1"/>
  <w:activeWritingStyle w:appName="MSWord" w:lang="zh-CN" w:vendorID="64" w:dllVersion="5"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hyphenationZone w:val="425"/>
  <w:drawingGridHorizontalSpacing w:val="100"/>
  <w:displayHorizontalDrawingGridEvery w:val="2"/>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B758A"/>
    <w:rsid w:val="00000243"/>
    <w:rsid w:val="0000038B"/>
    <w:rsid w:val="000003AA"/>
    <w:rsid w:val="00000491"/>
    <w:rsid w:val="00000589"/>
    <w:rsid w:val="0000068A"/>
    <w:rsid w:val="000006B4"/>
    <w:rsid w:val="000006B6"/>
    <w:rsid w:val="0000078E"/>
    <w:rsid w:val="00000CDB"/>
    <w:rsid w:val="00000D60"/>
    <w:rsid w:val="00000DE8"/>
    <w:rsid w:val="00000E40"/>
    <w:rsid w:val="00000EE1"/>
    <w:rsid w:val="0000115C"/>
    <w:rsid w:val="000011EC"/>
    <w:rsid w:val="000017EF"/>
    <w:rsid w:val="00001AE6"/>
    <w:rsid w:val="00001B1A"/>
    <w:rsid w:val="00001BE4"/>
    <w:rsid w:val="00001C63"/>
    <w:rsid w:val="00001DDA"/>
    <w:rsid w:val="00001E4C"/>
    <w:rsid w:val="00001F3D"/>
    <w:rsid w:val="00002035"/>
    <w:rsid w:val="00002050"/>
    <w:rsid w:val="00002097"/>
    <w:rsid w:val="00002127"/>
    <w:rsid w:val="00002201"/>
    <w:rsid w:val="0000226C"/>
    <w:rsid w:val="00002285"/>
    <w:rsid w:val="000022B5"/>
    <w:rsid w:val="00002314"/>
    <w:rsid w:val="000023A7"/>
    <w:rsid w:val="0000240F"/>
    <w:rsid w:val="00002523"/>
    <w:rsid w:val="0000254F"/>
    <w:rsid w:val="0000268B"/>
    <w:rsid w:val="000028B1"/>
    <w:rsid w:val="0000293D"/>
    <w:rsid w:val="00002A43"/>
    <w:rsid w:val="00002B43"/>
    <w:rsid w:val="00002BC6"/>
    <w:rsid w:val="00002C0C"/>
    <w:rsid w:val="00002C3C"/>
    <w:rsid w:val="00002DC6"/>
    <w:rsid w:val="00002DFD"/>
    <w:rsid w:val="00002F51"/>
    <w:rsid w:val="0000309D"/>
    <w:rsid w:val="000030E2"/>
    <w:rsid w:val="000030F9"/>
    <w:rsid w:val="00003110"/>
    <w:rsid w:val="00003182"/>
    <w:rsid w:val="00003478"/>
    <w:rsid w:val="00003698"/>
    <w:rsid w:val="000036AE"/>
    <w:rsid w:val="000036CF"/>
    <w:rsid w:val="000039AB"/>
    <w:rsid w:val="000039B2"/>
    <w:rsid w:val="00003A0C"/>
    <w:rsid w:val="00003B58"/>
    <w:rsid w:val="00003F92"/>
    <w:rsid w:val="00004056"/>
    <w:rsid w:val="00004070"/>
    <w:rsid w:val="00004154"/>
    <w:rsid w:val="000043E1"/>
    <w:rsid w:val="000044CB"/>
    <w:rsid w:val="00004651"/>
    <w:rsid w:val="00004681"/>
    <w:rsid w:val="0000498E"/>
    <w:rsid w:val="00004A2F"/>
    <w:rsid w:val="00004AC3"/>
    <w:rsid w:val="00004BED"/>
    <w:rsid w:val="00004BF9"/>
    <w:rsid w:val="00004DA7"/>
    <w:rsid w:val="0000507D"/>
    <w:rsid w:val="0000515D"/>
    <w:rsid w:val="000051B7"/>
    <w:rsid w:val="00005350"/>
    <w:rsid w:val="00005397"/>
    <w:rsid w:val="000054EA"/>
    <w:rsid w:val="00005591"/>
    <w:rsid w:val="00005597"/>
    <w:rsid w:val="00005620"/>
    <w:rsid w:val="000056CC"/>
    <w:rsid w:val="00005D9B"/>
    <w:rsid w:val="00005FC6"/>
    <w:rsid w:val="000061D2"/>
    <w:rsid w:val="000062E9"/>
    <w:rsid w:val="00006365"/>
    <w:rsid w:val="00006384"/>
    <w:rsid w:val="000063E4"/>
    <w:rsid w:val="000067DB"/>
    <w:rsid w:val="0000682F"/>
    <w:rsid w:val="00006A42"/>
    <w:rsid w:val="00006C6D"/>
    <w:rsid w:val="00006E4E"/>
    <w:rsid w:val="00006ECD"/>
    <w:rsid w:val="00006F9F"/>
    <w:rsid w:val="00007449"/>
    <w:rsid w:val="000076F5"/>
    <w:rsid w:val="000077E1"/>
    <w:rsid w:val="0000788B"/>
    <w:rsid w:val="000079B1"/>
    <w:rsid w:val="00007BD3"/>
    <w:rsid w:val="00007C28"/>
    <w:rsid w:val="00007C7F"/>
    <w:rsid w:val="00007ED8"/>
    <w:rsid w:val="000101AB"/>
    <w:rsid w:val="0001026D"/>
    <w:rsid w:val="000102F9"/>
    <w:rsid w:val="0001030E"/>
    <w:rsid w:val="00010540"/>
    <w:rsid w:val="00010637"/>
    <w:rsid w:val="00010906"/>
    <w:rsid w:val="00010A8B"/>
    <w:rsid w:val="00010AA0"/>
    <w:rsid w:val="00010C30"/>
    <w:rsid w:val="00010D2E"/>
    <w:rsid w:val="00010DD3"/>
    <w:rsid w:val="00010E49"/>
    <w:rsid w:val="00010F6E"/>
    <w:rsid w:val="00011222"/>
    <w:rsid w:val="000112A4"/>
    <w:rsid w:val="0001136D"/>
    <w:rsid w:val="0001162B"/>
    <w:rsid w:val="000116E3"/>
    <w:rsid w:val="000116E8"/>
    <w:rsid w:val="00011754"/>
    <w:rsid w:val="000119E4"/>
    <w:rsid w:val="00011A78"/>
    <w:rsid w:val="00011B61"/>
    <w:rsid w:val="00011BE1"/>
    <w:rsid w:val="00011C7B"/>
    <w:rsid w:val="00011E5B"/>
    <w:rsid w:val="00011E76"/>
    <w:rsid w:val="00011E85"/>
    <w:rsid w:val="00011F23"/>
    <w:rsid w:val="000120A3"/>
    <w:rsid w:val="0001210D"/>
    <w:rsid w:val="0001217C"/>
    <w:rsid w:val="0001221D"/>
    <w:rsid w:val="00012262"/>
    <w:rsid w:val="000122B0"/>
    <w:rsid w:val="00012312"/>
    <w:rsid w:val="000123AC"/>
    <w:rsid w:val="0001269D"/>
    <w:rsid w:val="000126B4"/>
    <w:rsid w:val="00012755"/>
    <w:rsid w:val="000128CA"/>
    <w:rsid w:val="00012A9E"/>
    <w:rsid w:val="00012C2D"/>
    <w:rsid w:val="00012D72"/>
    <w:rsid w:val="00012DCD"/>
    <w:rsid w:val="00012DDE"/>
    <w:rsid w:val="00012FE4"/>
    <w:rsid w:val="000130B7"/>
    <w:rsid w:val="000131CE"/>
    <w:rsid w:val="000136D7"/>
    <w:rsid w:val="00013953"/>
    <w:rsid w:val="00013A85"/>
    <w:rsid w:val="00013B1D"/>
    <w:rsid w:val="00013BB3"/>
    <w:rsid w:val="00013BE5"/>
    <w:rsid w:val="00013C3F"/>
    <w:rsid w:val="00013DE1"/>
    <w:rsid w:val="000143B4"/>
    <w:rsid w:val="00014482"/>
    <w:rsid w:val="000145DE"/>
    <w:rsid w:val="00014646"/>
    <w:rsid w:val="00014673"/>
    <w:rsid w:val="000146FC"/>
    <w:rsid w:val="000147B6"/>
    <w:rsid w:val="00014927"/>
    <w:rsid w:val="000149E3"/>
    <w:rsid w:val="00014BC4"/>
    <w:rsid w:val="00014DB4"/>
    <w:rsid w:val="00014ED4"/>
    <w:rsid w:val="0001505F"/>
    <w:rsid w:val="0001522B"/>
    <w:rsid w:val="0001525D"/>
    <w:rsid w:val="0001526A"/>
    <w:rsid w:val="000152E7"/>
    <w:rsid w:val="0001544A"/>
    <w:rsid w:val="0001552B"/>
    <w:rsid w:val="00015533"/>
    <w:rsid w:val="000155DA"/>
    <w:rsid w:val="00015638"/>
    <w:rsid w:val="00015847"/>
    <w:rsid w:val="000159AB"/>
    <w:rsid w:val="00015C08"/>
    <w:rsid w:val="00015D2E"/>
    <w:rsid w:val="00015D52"/>
    <w:rsid w:val="00015D64"/>
    <w:rsid w:val="00015D7A"/>
    <w:rsid w:val="00015F0E"/>
    <w:rsid w:val="00015F7A"/>
    <w:rsid w:val="0001609C"/>
    <w:rsid w:val="00016153"/>
    <w:rsid w:val="00016291"/>
    <w:rsid w:val="00016362"/>
    <w:rsid w:val="0001645E"/>
    <w:rsid w:val="00016474"/>
    <w:rsid w:val="00016720"/>
    <w:rsid w:val="000167F5"/>
    <w:rsid w:val="00016CC6"/>
    <w:rsid w:val="00016D2D"/>
    <w:rsid w:val="00016E19"/>
    <w:rsid w:val="00017027"/>
    <w:rsid w:val="00017099"/>
    <w:rsid w:val="000170D9"/>
    <w:rsid w:val="00017138"/>
    <w:rsid w:val="000172F1"/>
    <w:rsid w:val="0001764A"/>
    <w:rsid w:val="0001774C"/>
    <w:rsid w:val="00017816"/>
    <w:rsid w:val="00017AE4"/>
    <w:rsid w:val="00017AFA"/>
    <w:rsid w:val="00017C1C"/>
    <w:rsid w:val="00017C43"/>
    <w:rsid w:val="00017D73"/>
    <w:rsid w:val="00017DED"/>
    <w:rsid w:val="00017E60"/>
    <w:rsid w:val="00020001"/>
    <w:rsid w:val="0002027C"/>
    <w:rsid w:val="00020852"/>
    <w:rsid w:val="00020919"/>
    <w:rsid w:val="00020974"/>
    <w:rsid w:val="0002097D"/>
    <w:rsid w:val="00020B2C"/>
    <w:rsid w:val="00020CBB"/>
    <w:rsid w:val="00020DAE"/>
    <w:rsid w:val="00020DDD"/>
    <w:rsid w:val="000210BF"/>
    <w:rsid w:val="00021298"/>
    <w:rsid w:val="00021350"/>
    <w:rsid w:val="00021677"/>
    <w:rsid w:val="0002178F"/>
    <w:rsid w:val="000218B3"/>
    <w:rsid w:val="00021920"/>
    <w:rsid w:val="00021975"/>
    <w:rsid w:val="00021A52"/>
    <w:rsid w:val="00021EC8"/>
    <w:rsid w:val="00022000"/>
    <w:rsid w:val="000220B1"/>
    <w:rsid w:val="00022226"/>
    <w:rsid w:val="00022315"/>
    <w:rsid w:val="000224BA"/>
    <w:rsid w:val="00022819"/>
    <w:rsid w:val="000228E9"/>
    <w:rsid w:val="000228EB"/>
    <w:rsid w:val="00022A61"/>
    <w:rsid w:val="00022B32"/>
    <w:rsid w:val="00022C64"/>
    <w:rsid w:val="00022CB2"/>
    <w:rsid w:val="00022CC7"/>
    <w:rsid w:val="00022CFD"/>
    <w:rsid w:val="00022DDD"/>
    <w:rsid w:val="00022F21"/>
    <w:rsid w:val="00023049"/>
    <w:rsid w:val="000230B8"/>
    <w:rsid w:val="0002338E"/>
    <w:rsid w:val="0002343F"/>
    <w:rsid w:val="00023593"/>
    <w:rsid w:val="0002361C"/>
    <w:rsid w:val="0002373F"/>
    <w:rsid w:val="00023C07"/>
    <w:rsid w:val="00023C73"/>
    <w:rsid w:val="00023CB1"/>
    <w:rsid w:val="00023E0A"/>
    <w:rsid w:val="000241ED"/>
    <w:rsid w:val="00024207"/>
    <w:rsid w:val="0002421B"/>
    <w:rsid w:val="0002427D"/>
    <w:rsid w:val="000243C8"/>
    <w:rsid w:val="000245BE"/>
    <w:rsid w:val="000245EF"/>
    <w:rsid w:val="000246BC"/>
    <w:rsid w:val="000246F5"/>
    <w:rsid w:val="0002470C"/>
    <w:rsid w:val="0002493C"/>
    <w:rsid w:val="00024951"/>
    <w:rsid w:val="00024C07"/>
    <w:rsid w:val="00024C09"/>
    <w:rsid w:val="00024D9C"/>
    <w:rsid w:val="00024E65"/>
    <w:rsid w:val="00024F12"/>
    <w:rsid w:val="000250F0"/>
    <w:rsid w:val="00025104"/>
    <w:rsid w:val="0002521C"/>
    <w:rsid w:val="0002528C"/>
    <w:rsid w:val="000255FF"/>
    <w:rsid w:val="00025843"/>
    <w:rsid w:val="00025864"/>
    <w:rsid w:val="00025A45"/>
    <w:rsid w:val="00025BB5"/>
    <w:rsid w:val="00025BD6"/>
    <w:rsid w:val="00025E6B"/>
    <w:rsid w:val="00025E91"/>
    <w:rsid w:val="00026006"/>
    <w:rsid w:val="0002600E"/>
    <w:rsid w:val="000260E7"/>
    <w:rsid w:val="00026165"/>
    <w:rsid w:val="0002616F"/>
    <w:rsid w:val="000262BB"/>
    <w:rsid w:val="000262F4"/>
    <w:rsid w:val="0002634D"/>
    <w:rsid w:val="0002639F"/>
    <w:rsid w:val="000263AA"/>
    <w:rsid w:val="0002641F"/>
    <w:rsid w:val="0002643E"/>
    <w:rsid w:val="00026453"/>
    <w:rsid w:val="00026481"/>
    <w:rsid w:val="000264A5"/>
    <w:rsid w:val="000264DF"/>
    <w:rsid w:val="000266D8"/>
    <w:rsid w:val="000267B0"/>
    <w:rsid w:val="000267B5"/>
    <w:rsid w:val="00026AC3"/>
    <w:rsid w:val="00026B68"/>
    <w:rsid w:val="00026CF3"/>
    <w:rsid w:val="00026D0D"/>
    <w:rsid w:val="00026DAB"/>
    <w:rsid w:val="00026E55"/>
    <w:rsid w:val="00026E8B"/>
    <w:rsid w:val="00027017"/>
    <w:rsid w:val="00027042"/>
    <w:rsid w:val="00027250"/>
    <w:rsid w:val="000272B8"/>
    <w:rsid w:val="0002739F"/>
    <w:rsid w:val="000273E6"/>
    <w:rsid w:val="00027494"/>
    <w:rsid w:val="000276F0"/>
    <w:rsid w:val="000279B5"/>
    <w:rsid w:val="000279F7"/>
    <w:rsid w:val="00027B25"/>
    <w:rsid w:val="00027CC8"/>
    <w:rsid w:val="00027D4F"/>
    <w:rsid w:val="00027DB4"/>
    <w:rsid w:val="00027DE2"/>
    <w:rsid w:val="00027ED9"/>
    <w:rsid w:val="00027F61"/>
    <w:rsid w:val="00027F9D"/>
    <w:rsid w:val="00030096"/>
    <w:rsid w:val="00030156"/>
    <w:rsid w:val="000301DB"/>
    <w:rsid w:val="0003027C"/>
    <w:rsid w:val="000302E5"/>
    <w:rsid w:val="000303B7"/>
    <w:rsid w:val="00030435"/>
    <w:rsid w:val="0003058A"/>
    <w:rsid w:val="000307F0"/>
    <w:rsid w:val="0003083C"/>
    <w:rsid w:val="00030A7A"/>
    <w:rsid w:val="00030ABE"/>
    <w:rsid w:val="00030ADC"/>
    <w:rsid w:val="00030D6E"/>
    <w:rsid w:val="00030D79"/>
    <w:rsid w:val="00030DDE"/>
    <w:rsid w:val="0003107D"/>
    <w:rsid w:val="0003117A"/>
    <w:rsid w:val="0003121D"/>
    <w:rsid w:val="0003126F"/>
    <w:rsid w:val="00031336"/>
    <w:rsid w:val="000313B9"/>
    <w:rsid w:val="00031427"/>
    <w:rsid w:val="00031534"/>
    <w:rsid w:val="00031731"/>
    <w:rsid w:val="00031774"/>
    <w:rsid w:val="0003178D"/>
    <w:rsid w:val="00031AA7"/>
    <w:rsid w:val="00031AD4"/>
    <w:rsid w:val="00031AEB"/>
    <w:rsid w:val="00031BCA"/>
    <w:rsid w:val="00031C4F"/>
    <w:rsid w:val="00031EC8"/>
    <w:rsid w:val="00031FBD"/>
    <w:rsid w:val="000320B4"/>
    <w:rsid w:val="000323EC"/>
    <w:rsid w:val="00032423"/>
    <w:rsid w:val="00032450"/>
    <w:rsid w:val="000324F8"/>
    <w:rsid w:val="000325C4"/>
    <w:rsid w:val="000329BF"/>
    <w:rsid w:val="00032A4D"/>
    <w:rsid w:val="00032B30"/>
    <w:rsid w:val="00032BA8"/>
    <w:rsid w:val="00032D28"/>
    <w:rsid w:val="00032EA2"/>
    <w:rsid w:val="00032F7F"/>
    <w:rsid w:val="000336E2"/>
    <w:rsid w:val="000338A6"/>
    <w:rsid w:val="00033923"/>
    <w:rsid w:val="00033945"/>
    <w:rsid w:val="00033A20"/>
    <w:rsid w:val="00033C54"/>
    <w:rsid w:val="00033CCE"/>
    <w:rsid w:val="00033CE1"/>
    <w:rsid w:val="00033CE4"/>
    <w:rsid w:val="00033F99"/>
    <w:rsid w:val="0003416E"/>
    <w:rsid w:val="000345AB"/>
    <w:rsid w:val="00034769"/>
    <w:rsid w:val="0003486E"/>
    <w:rsid w:val="0003491B"/>
    <w:rsid w:val="00034A71"/>
    <w:rsid w:val="00034CB9"/>
    <w:rsid w:val="00034E4F"/>
    <w:rsid w:val="00035007"/>
    <w:rsid w:val="00035295"/>
    <w:rsid w:val="0003534A"/>
    <w:rsid w:val="00035446"/>
    <w:rsid w:val="00035474"/>
    <w:rsid w:val="0003547D"/>
    <w:rsid w:val="0003553E"/>
    <w:rsid w:val="00035736"/>
    <w:rsid w:val="000358A1"/>
    <w:rsid w:val="00035916"/>
    <w:rsid w:val="00035AC0"/>
    <w:rsid w:val="00035DEB"/>
    <w:rsid w:val="00035DFB"/>
    <w:rsid w:val="00035F1C"/>
    <w:rsid w:val="00035F47"/>
    <w:rsid w:val="0003603F"/>
    <w:rsid w:val="000360B7"/>
    <w:rsid w:val="000362FE"/>
    <w:rsid w:val="00036372"/>
    <w:rsid w:val="0003641D"/>
    <w:rsid w:val="0003652D"/>
    <w:rsid w:val="0003659D"/>
    <w:rsid w:val="0003662D"/>
    <w:rsid w:val="0003663A"/>
    <w:rsid w:val="000367F0"/>
    <w:rsid w:val="00036920"/>
    <w:rsid w:val="00036A9B"/>
    <w:rsid w:val="00036B56"/>
    <w:rsid w:val="00036B8C"/>
    <w:rsid w:val="00036EC5"/>
    <w:rsid w:val="00036F09"/>
    <w:rsid w:val="0003730E"/>
    <w:rsid w:val="00037441"/>
    <w:rsid w:val="000375BB"/>
    <w:rsid w:val="00037646"/>
    <w:rsid w:val="00037991"/>
    <w:rsid w:val="000379CA"/>
    <w:rsid w:val="00037A92"/>
    <w:rsid w:val="00037AE7"/>
    <w:rsid w:val="00037AF7"/>
    <w:rsid w:val="00037B9A"/>
    <w:rsid w:val="00037D1F"/>
    <w:rsid w:val="00037F5E"/>
    <w:rsid w:val="00037FC0"/>
    <w:rsid w:val="000402D6"/>
    <w:rsid w:val="000402FF"/>
    <w:rsid w:val="00040418"/>
    <w:rsid w:val="00040683"/>
    <w:rsid w:val="00040744"/>
    <w:rsid w:val="00040887"/>
    <w:rsid w:val="000408AD"/>
    <w:rsid w:val="00040988"/>
    <w:rsid w:val="00040B52"/>
    <w:rsid w:val="00040B9B"/>
    <w:rsid w:val="00040BB3"/>
    <w:rsid w:val="00040BE4"/>
    <w:rsid w:val="00040C2B"/>
    <w:rsid w:val="000411DE"/>
    <w:rsid w:val="00041520"/>
    <w:rsid w:val="000418A3"/>
    <w:rsid w:val="000418EC"/>
    <w:rsid w:val="0004194B"/>
    <w:rsid w:val="0004194E"/>
    <w:rsid w:val="0004197E"/>
    <w:rsid w:val="00041E7D"/>
    <w:rsid w:val="00041E99"/>
    <w:rsid w:val="00041FD7"/>
    <w:rsid w:val="000420C0"/>
    <w:rsid w:val="0004212D"/>
    <w:rsid w:val="000422A1"/>
    <w:rsid w:val="0004244A"/>
    <w:rsid w:val="000424FC"/>
    <w:rsid w:val="00042567"/>
    <w:rsid w:val="00042693"/>
    <w:rsid w:val="00042936"/>
    <w:rsid w:val="00042969"/>
    <w:rsid w:val="00042A37"/>
    <w:rsid w:val="00042D09"/>
    <w:rsid w:val="00042ECA"/>
    <w:rsid w:val="00042F4C"/>
    <w:rsid w:val="00043003"/>
    <w:rsid w:val="000430AC"/>
    <w:rsid w:val="000430C3"/>
    <w:rsid w:val="000433FA"/>
    <w:rsid w:val="000434B1"/>
    <w:rsid w:val="00043578"/>
    <w:rsid w:val="00043619"/>
    <w:rsid w:val="00043718"/>
    <w:rsid w:val="00043897"/>
    <w:rsid w:val="0004393E"/>
    <w:rsid w:val="00043A5E"/>
    <w:rsid w:val="00043AE8"/>
    <w:rsid w:val="00043AF9"/>
    <w:rsid w:val="00043C64"/>
    <w:rsid w:val="00043D08"/>
    <w:rsid w:val="00043E89"/>
    <w:rsid w:val="00043F08"/>
    <w:rsid w:val="00043FAD"/>
    <w:rsid w:val="00044013"/>
    <w:rsid w:val="00044148"/>
    <w:rsid w:val="00044233"/>
    <w:rsid w:val="00044272"/>
    <w:rsid w:val="00044413"/>
    <w:rsid w:val="000445C5"/>
    <w:rsid w:val="000447FD"/>
    <w:rsid w:val="00044967"/>
    <w:rsid w:val="000449D0"/>
    <w:rsid w:val="000449FE"/>
    <w:rsid w:val="00044AE9"/>
    <w:rsid w:val="00044B62"/>
    <w:rsid w:val="0004536A"/>
    <w:rsid w:val="000454BB"/>
    <w:rsid w:val="000458C4"/>
    <w:rsid w:val="00045975"/>
    <w:rsid w:val="000459C0"/>
    <w:rsid w:val="00045A0A"/>
    <w:rsid w:val="00045A8E"/>
    <w:rsid w:val="00045C45"/>
    <w:rsid w:val="00045E17"/>
    <w:rsid w:val="000461F3"/>
    <w:rsid w:val="000464C9"/>
    <w:rsid w:val="00046546"/>
    <w:rsid w:val="0004659D"/>
    <w:rsid w:val="00046652"/>
    <w:rsid w:val="00046657"/>
    <w:rsid w:val="000466C2"/>
    <w:rsid w:val="00046741"/>
    <w:rsid w:val="00046817"/>
    <w:rsid w:val="00046A46"/>
    <w:rsid w:val="00046A72"/>
    <w:rsid w:val="00046B5A"/>
    <w:rsid w:val="00046E15"/>
    <w:rsid w:val="00046F19"/>
    <w:rsid w:val="00046F1D"/>
    <w:rsid w:val="00046FA7"/>
    <w:rsid w:val="000470CD"/>
    <w:rsid w:val="00047220"/>
    <w:rsid w:val="000472C6"/>
    <w:rsid w:val="000474B8"/>
    <w:rsid w:val="000478CE"/>
    <w:rsid w:val="000478FC"/>
    <w:rsid w:val="0004796D"/>
    <w:rsid w:val="00047C30"/>
    <w:rsid w:val="00047D6D"/>
    <w:rsid w:val="00047DE6"/>
    <w:rsid w:val="00047E19"/>
    <w:rsid w:val="00047F2F"/>
    <w:rsid w:val="00050087"/>
    <w:rsid w:val="000500A9"/>
    <w:rsid w:val="000503C7"/>
    <w:rsid w:val="0005075E"/>
    <w:rsid w:val="000507C2"/>
    <w:rsid w:val="000507E1"/>
    <w:rsid w:val="00050906"/>
    <w:rsid w:val="00050960"/>
    <w:rsid w:val="00050A50"/>
    <w:rsid w:val="00050C5B"/>
    <w:rsid w:val="00050D19"/>
    <w:rsid w:val="00050D40"/>
    <w:rsid w:val="00050EB2"/>
    <w:rsid w:val="00051216"/>
    <w:rsid w:val="00051232"/>
    <w:rsid w:val="00051366"/>
    <w:rsid w:val="000514E2"/>
    <w:rsid w:val="00051687"/>
    <w:rsid w:val="00051696"/>
    <w:rsid w:val="000516EB"/>
    <w:rsid w:val="000518AE"/>
    <w:rsid w:val="0005195B"/>
    <w:rsid w:val="00051AA8"/>
    <w:rsid w:val="00051B20"/>
    <w:rsid w:val="00051C90"/>
    <w:rsid w:val="00051DB5"/>
    <w:rsid w:val="00051DC9"/>
    <w:rsid w:val="00051EED"/>
    <w:rsid w:val="00051EFC"/>
    <w:rsid w:val="00051F02"/>
    <w:rsid w:val="000521D7"/>
    <w:rsid w:val="0005242C"/>
    <w:rsid w:val="000524F6"/>
    <w:rsid w:val="00052519"/>
    <w:rsid w:val="000525D3"/>
    <w:rsid w:val="000526E1"/>
    <w:rsid w:val="0005289B"/>
    <w:rsid w:val="00052AEF"/>
    <w:rsid w:val="00052BE2"/>
    <w:rsid w:val="00052C36"/>
    <w:rsid w:val="00052D0C"/>
    <w:rsid w:val="00052DB8"/>
    <w:rsid w:val="00052E9D"/>
    <w:rsid w:val="00052E9E"/>
    <w:rsid w:val="00052F03"/>
    <w:rsid w:val="00053033"/>
    <w:rsid w:val="00053048"/>
    <w:rsid w:val="000530AF"/>
    <w:rsid w:val="000531E6"/>
    <w:rsid w:val="00053200"/>
    <w:rsid w:val="00053374"/>
    <w:rsid w:val="00053380"/>
    <w:rsid w:val="00053436"/>
    <w:rsid w:val="0005344B"/>
    <w:rsid w:val="0005368D"/>
    <w:rsid w:val="00053905"/>
    <w:rsid w:val="00053A3C"/>
    <w:rsid w:val="00053BBC"/>
    <w:rsid w:val="00053DAA"/>
    <w:rsid w:val="00053FA8"/>
    <w:rsid w:val="00053FE5"/>
    <w:rsid w:val="000540AD"/>
    <w:rsid w:val="000540CD"/>
    <w:rsid w:val="000542DD"/>
    <w:rsid w:val="00054376"/>
    <w:rsid w:val="00054378"/>
    <w:rsid w:val="000543CC"/>
    <w:rsid w:val="0005443B"/>
    <w:rsid w:val="0005443C"/>
    <w:rsid w:val="000544E6"/>
    <w:rsid w:val="00054836"/>
    <w:rsid w:val="000549D9"/>
    <w:rsid w:val="00054C82"/>
    <w:rsid w:val="00054CCF"/>
    <w:rsid w:val="00054D59"/>
    <w:rsid w:val="00054F2B"/>
    <w:rsid w:val="000552B4"/>
    <w:rsid w:val="00055343"/>
    <w:rsid w:val="00055414"/>
    <w:rsid w:val="00055715"/>
    <w:rsid w:val="00055764"/>
    <w:rsid w:val="00055A0A"/>
    <w:rsid w:val="00055B8B"/>
    <w:rsid w:val="00055C96"/>
    <w:rsid w:val="00055CC5"/>
    <w:rsid w:val="00055E65"/>
    <w:rsid w:val="00055EAF"/>
    <w:rsid w:val="000562A6"/>
    <w:rsid w:val="0005653B"/>
    <w:rsid w:val="00056607"/>
    <w:rsid w:val="0005676B"/>
    <w:rsid w:val="0005680B"/>
    <w:rsid w:val="000568E1"/>
    <w:rsid w:val="00056B6B"/>
    <w:rsid w:val="00056B77"/>
    <w:rsid w:val="00056BD9"/>
    <w:rsid w:val="00056DF3"/>
    <w:rsid w:val="0005715E"/>
    <w:rsid w:val="000571B1"/>
    <w:rsid w:val="0005720C"/>
    <w:rsid w:val="000574F6"/>
    <w:rsid w:val="00057561"/>
    <w:rsid w:val="000575D7"/>
    <w:rsid w:val="00057764"/>
    <w:rsid w:val="0005785F"/>
    <w:rsid w:val="00057B04"/>
    <w:rsid w:val="00057D4F"/>
    <w:rsid w:val="00057D72"/>
    <w:rsid w:val="00057E28"/>
    <w:rsid w:val="00057E63"/>
    <w:rsid w:val="00057FAA"/>
    <w:rsid w:val="00060055"/>
    <w:rsid w:val="000600B4"/>
    <w:rsid w:val="00060193"/>
    <w:rsid w:val="00060196"/>
    <w:rsid w:val="000602EB"/>
    <w:rsid w:val="00060570"/>
    <w:rsid w:val="0006067F"/>
    <w:rsid w:val="000606B9"/>
    <w:rsid w:val="00060BD5"/>
    <w:rsid w:val="00060C56"/>
    <w:rsid w:val="00060D72"/>
    <w:rsid w:val="00060DD6"/>
    <w:rsid w:val="00060EE8"/>
    <w:rsid w:val="00060EED"/>
    <w:rsid w:val="0006131F"/>
    <w:rsid w:val="000614DA"/>
    <w:rsid w:val="00061550"/>
    <w:rsid w:val="0006161A"/>
    <w:rsid w:val="000617B1"/>
    <w:rsid w:val="00061B7C"/>
    <w:rsid w:val="00061BC7"/>
    <w:rsid w:val="00061CEC"/>
    <w:rsid w:val="00061D21"/>
    <w:rsid w:val="00062285"/>
    <w:rsid w:val="00062476"/>
    <w:rsid w:val="0006253E"/>
    <w:rsid w:val="00062950"/>
    <w:rsid w:val="0006298A"/>
    <w:rsid w:val="00062B1A"/>
    <w:rsid w:val="00062DCB"/>
    <w:rsid w:val="0006314C"/>
    <w:rsid w:val="000631C8"/>
    <w:rsid w:val="00063237"/>
    <w:rsid w:val="00063244"/>
    <w:rsid w:val="0006330F"/>
    <w:rsid w:val="0006353F"/>
    <w:rsid w:val="000637C4"/>
    <w:rsid w:val="00063899"/>
    <w:rsid w:val="00063914"/>
    <w:rsid w:val="000639DE"/>
    <w:rsid w:val="00063A9D"/>
    <w:rsid w:val="00063B50"/>
    <w:rsid w:val="00063D89"/>
    <w:rsid w:val="00063DDE"/>
    <w:rsid w:val="00063EBF"/>
    <w:rsid w:val="00063F69"/>
    <w:rsid w:val="000640FE"/>
    <w:rsid w:val="00064339"/>
    <w:rsid w:val="0006436A"/>
    <w:rsid w:val="0006443B"/>
    <w:rsid w:val="000644B6"/>
    <w:rsid w:val="000645A8"/>
    <w:rsid w:val="0006465B"/>
    <w:rsid w:val="00064880"/>
    <w:rsid w:val="00064A33"/>
    <w:rsid w:val="00064C99"/>
    <w:rsid w:val="00064CBD"/>
    <w:rsid w:val="00064CD0"/>
    <w:rsid w:val="00064E66"/>
    <w:rsid w:val="00064F61"/>
    <w:rsid w:val="000650A9"/>
    <w:rsid w:val="00065237"/>
    <w:rsid w:val="00065430"/>
    <w:rsid w:val="00065564"/>
    <w:rsid w:val="00065743"/>
    <w:rsid w:val="0006574B"/>
    <w:rsid w:val="000659BD"/>
    <w:rsid w:val="00065AE6"/>
    <w:rsid w:val="00065B36"/>
    <w:rsid w:val="00065B41"/>
    <w:rsid w:val="00065E92"/>
    <w:rsid w:val="00065FFD"/>
    <w:rsid w:val="00066079"/>
    <w:rsid w:val="00066092"/>
    <w:rsid w:val="000660A5"/>
    <w:rsid w:val="000662F8"/>
    <w:rsid w:val="00066458"/>
    <w:rsid w:val="000666E9"/>
    <w:rsid w:val="00066729"/>
    <w:rsid w:val="0006677B"/>
    <w:rsid w:val="00066829"/>
    <w:rsid w:val="00066836"/>
    <w:rsid w:val="000668EC"/>
    <w:rsid w:val="00066A22"/>
    <w:rsid w:val="00066C81"/>
    <w:rsid w:val="00066CFE"/>
    <w:rsid w:val="000671D5"/>
    <w:rsid w:val="000672C9"/>
    <w:rsid w:val="0006755A"/>
    <w:rsid w:val="00067664"/>
    <w:rsid w:val="000679BB"/>
    <w:rsid w:val="00067A6B"/>
    <w:rsid w:val="00067C11"/>
    <w:rsid w:val="00067C19"/>
    <w:rsid w:val="00067DCE"/>
    <w:rsid w:val="00067E6B"/>
    <w:rsid w:val="00067EE6"/>
    <w:rsid w:val="00067F53"/>
    <w:rsid w:val="00067FC0"/>
    <w:rsid w:val="00070002"/>
    <w:rsid w:val="0007012F"/>
    <w:rsid w:val="00070295"/>
    <w:rsid w:val="0007043D"/>
    <w:rsid w:val="000705A0"/>
    <w:rsid w:val="000707EC"/>
    <w:rsid w:val="00070A13"/>
    <w:rsid w:val="00070D54"/>
    <w:rsid w:val="00071070"/>
    <w:rsid w:val="000710CF"/>
    <w:rsid w:val="00071477"/>
    <w:rsid w:val="000714D4"/>
    <w:rsid w:val="0007155B"/>
    <w:rsid w:val="0007161C"/>
    <w:rsid w:val="00071694"/>
    <w:rsid w:val="00071701"/>
    <w:rsid w:val="000718AD"/>
    <w:rsid w:val="0007191C"/>
    <w:rsid w:val="00071A71"/>
    <w:rsid w:val="00071A83"/>
    <w:rsid w:val="00071AB9"/>
    <w:rsid w:val="00071B07"/>
    <w:rsid w:val="00071DD1"/>
    <w:rsid w:val="00071FF8"/>
    <w:rsid w:val="00072280"/>
    <w:rsid w:val="000722BE"/>
    <w:rsid w:val="00072364"/>
    <w:rsid w:val="000723C5"/>
    <w:rsid w:val="0007262D"/>
    <w:rsid w:val="000726AD"/>
    <w:rsid w:val="00072743"/>
    <w:rsid w:val="00072970"/>
    <w:rsid w:val="000729E1"/>
    <w:rsid w:val="00072B2C"/>
    <w:rsid w:val="00072B47"/>
    <w:rsid w:val="00072D23"/>
    <w:rsid w:val="00072D43"/>
    <w:rsid w:val="00072D4D"/>
    <w:rsid w:val="00072EF1"/>
    <w:rsid w:val="00073050"/>
    <w:rsid w:val="000731F9"/>
    <w:rsid w:val="0007320C"/>
    <w:rsid w:val="00073354"/>
    <w:rsid w:val="0007350F"/>
    <w:rsid w:val="000736C9"/>
    <w:rsid w:val="000736E6"/>
    <w:rsid w:val="0007394F"/>
    <w:rsid w:val="00073A62"/>
    <w:rsid w:val="00073ADF"/>
    <w:rsid w:val="00073E5B"/>
    <w:rsid w:val="00073F00"/>
    <w:rsid w:val="00073F4B"/>
    <w:rsid w:val="00073FB9"/>
    <w:rsid w:val="00074076"/>
    <w:rsid w:val="00074150"/>
    <w:rsid w:val="000742E5"/>
    <w:rsid w:val="00074326"/>
    <w:rsid w:val="000743B2"/>
    <w:rsid w:val="000744D6"/>
    <w:rsid w:val="000744F8"/>
    <w:rsid w:val="0007455F"/>
    <w:rsid w:val="000746EE"/>
    <w:rsid w:val="00074843"/>
    <w:rsid w:val="0007487A"/>
    <w:rsid w:val="00074909"/>
    <w:rsid w:val="00074A2B"/>
    <w:rsid w:val="00074C28"/>
    <w:rsid w:val="00074DA4"/>
    <w:rsid w:val="00074E3E"/>
    <w:rsid w:val="00074FC5"/>
    <w:rsid w:val="000750AC"/>
    <w:rsid w:val="000753CA"/>
    <w:rsid w:val="00075466"/>
    <w:rsid w:val="0007565D"/>
    <w:rsid w:val="00075813"/>
    <w:rsid w:val="00075C5E"/>
    <w:rsid w:val="00075F8D"/>
    <w:rsid w:val="00075FEB"/>
    <w:rsid w:val="000760A1"/>
    <w:rsid w:val="000760A8"/>
    <w:rsid w:val="000760F6"/>
    <w:rsid w:val="0007627F"/>
    <w:rsid w:val="00076291"/>
    <w:rsid w:val="0007637E"/>
    <w:rsid w:val="00076483"/>
    <w:rsid w:val="000765AB"/>
    <w:rsid w:val="000767D1"/>
    <w:rsid w:val="0007698F"/>
    <w:rsid w:val="00076A3B"/>
    <w:rsid w:val="00076C93"/>
    <w:rsid w:val="00076DBD"/>
    <w:rsid w:val="00076EF1"/>
    <w:rsid w:val="00076F66"/>
    <w:rsid w:val="00076FA3"/>
    <w:rsid w:val="000770A9"/>
    <w:rsid w:val="00077480"/>
    <w:rsid w:val="0007748D"/>
    <w:rsid w:val="00077634"/>
    <w:rsid w:val="000777D3"/>
    <w:rsid w:val="00077800"/>
    <w:rsid w:val="000779E1"/>
    <w:rsid w:val="00077A30"/>
    <w:rsid w:val="00077A63"/>
    <w:rsid w:val="00077D49"/>
    <w:rsid w:val="00077E31"/>
    <w:rsid w:val="00077F5B"/>
    <w:rsid w:val="00077F70"/>
    <w:rsid w:val="0008023F"/>
    <w:rsid w:val="000802E8"/>
    <w:rsid w:val="0008044E"/>
    <w:rsid w:val="0008092E"/>
    <w:rsid w:val="000809C1"/>
    <w:rsid w:val="00080A20"/>
    <w:rsid w:val="00080A69"/>
    <w:rsid w:val="00080B5B"/>
    <w:rsid w:val="00080B72"/>
    <w:rsid w:val="00080C08"/>
    <w:rsid w:val="0008112A"/>
    <w:rsid w:val="000811BD"/>
    <w:rsid w:val="00081239"/>
    <w:rsid w:val="0008131B"/>
    <w:rsid w:val="00081409"/>
    <w:rsid w:val="00081433"/>
    <w:rsid w:val="00081472"/>
    <w:rsid w:val="000815D4"/>
    <w:rsid w:val="00081600"/>
    <w:rsid w:val="000818ED"/>
    <w:rsid w:val="00081957"/>
    <w:rsid w:val="000819BC"/>
    <w:rsid w:val="00081A03"/>
    <w:rsid w:val="00081BC0"/>
    <w:rsid w:val="00081D2A"/>
    <w:rsid w:val="00081D8A"/>
    <w:rsid w:val="00081DA2"/>
    <w:rsid w:val="00081E40"/>
    <w:rsid w:val="00081E6E"/>
    <w:rsid w:val="00081FB2"/>
    <w:rsid w:val="0008210A"/>
    <w:rsid w:val="0008217A"/>
    <w:rsid w:val="0008227A"/>
    <w:rsid w:val="00082362"/>
    <w:rsid w:val="000823E1"/>
    <w:rsid w:val="00082519"/>
    <w:rsid w:val="00082943"/>
    <w:rsid w:val="000829CA"/>
    <w:rsid w:val="00082A8A"/>
    <w:rsid w:val="00082DB7"/>
    <w:rsid w:val="00082E80"/>
    <w:rsid w:val="00082ECC"/>
    <w:rsid w:val="00083170"/>
    <w:rsid w:val="00083197"/>
    <w:rsid w:val="00083329"/>
    <w:rsid w:val="000833BD"/>
    <w:rsid w:val="00083452"/>
    <w:rsid w:val="0008358D"/>
    <w:rsid w:val="00083647"/>
    <w:rsid w:val="0008365D"/>
    <w:rsid w:val="00083741"/>
    <w:rsid w:val="00083748"/>
    <w:rsid w:val="00083761"/>
    <w:rsid w:val="0008378C"/>
    <w:rsid w:val="00083851"/>
    <w:rsid w:val="0008386A"/>
    <w:rsid w:val="00083896"/>
    <w:rsid w:val="000839F4"/>
    <w:rsid w:val="00083D47"/>
    <w:rsid w:val="00083DFE"/>
    <w:rsid w:val="00084000"/>
    <w:rsid w:val="00084214"/>
    <w:rsid w:val="000842A9"/>
    <w:rsid w:val="000842EC"/>
    <w:rsid w:val="000842F8"/>
    <w:rsid w:val="00084307"/>
    <w:rsid w:val="0008433F"/>
    <w:rsid w:val="000845D5"/>
    <w:rsid w:val="00084700"/>
    <w:rsid w:val="00084B6D"/>
    <w:rsid w:val="00084B7F"/>
    <w:rsid w:val="00084EC6"/>
    <w:rsid w:val="00084FB5"/>
    <w:rsid w:val="00085392"/>
    <w:rsid w:val="00085611"/>
    <w:rsid w:val="00085940"/>
    <w:rsid w:val="00085A2C"/>
    <w:rsid w:val="00085AC8"/>
    <w:rsid w:val="00085B87"/>
    <w:rsid w:val="00085CB3"/>
    <w:rsid w:val="000862A2"/>
    <w:rsid w:val="00086301"/>
    <w:rsid w:val="00086326"/>
    <w:rsid w:val="000863CC"/>
    <w:rsid w:val="000863ED"/>
    <w:rsid w:val="000863FD"/>
    <w:rsid w:val="00086419"/>
    <w:rsid w:val="00086421"/>
    <w:rsid w:val="0008647F"/>
    <w:rsid w:val="0008656C"/>
    <w:rsid w:val="0008660D"/>
    <w:rsid w:val="000868EA"/>
    <w:rsid w:val="00086DAB"/>
    <w:rsid w:val="00086E2E"/>
    <w:rsid w:val="00086E43"/>
    <w:rsid w:val="00087010"/>
    <w:rsid w:val="000871D5"/>
    <w:rsid w:val="0008735B"/>
    <w:rsid w:val="0008738B"/>
    <w:rsid w:val="000873F6"/>
    <w:rsid w:val="00087466"/>
    <w:rsid w:val="00087496"/>
    <w:rsid w:val="000875B2"/>
    <w:rsid w:val="00087716"/>
    <w:rsid w:val="00087728"/>
    <w:rsid w:val="000877E1"/>
    <w:rsid w:val="00087A54"/>
    <w:rsid w:val="00087A99"/>
    <w:rsid w:val="00087DAB"/>
    <w:rsid w:val="0009013C"/>
    <w:rsid w:val="0009020D"/>
    <w:rsid w:val="00090333"/>
    <w:rsid w:val="00090446"/>
    <w:rsid w:val="00090555"/>
    <w:rsid w:val="00090630"/>
    <w:rsid w:val="0009090B"/>
    <w:rsid w:val="00090919"/>
    <w:rsid w:val="00090968"/>
    <w:rsid w:val="0009099B"/>
    <w:rsid w:val="000909E4"/>
    <w:rsid w:val="00090A16"/>
    <w:rsid w:val="00090B3C"/>
    <w:rsid w:val="00090DCA"/>
    <w:rsid w:val="000910D0"/>
    <w:rsid w:val="000911CD"/>
    <w:rsid w:val="00091312"/>
    <w:rsid w:val="000913A9"/>
    <w:rsid w:val="000913F0"/>
    <w:rsid w:val="0009143A"/>
    <w:rsid w:val="00091557"/>
    <w:rsid w:val="00091722"/>
    <w:rsid w:val="00091B03"/>
    <w:rsid w:val="00091BDD"/>
    <w:rsid w:val="00091CA2"/>
    <w:rsid w:val="00091E4D"/>
    <w:rsid w:val="00091FBD"/>
    <w:rsid w:val="000920BB"/>
    <w:rsid w:val="00092191"/>
    <w:rsid w:val="00092260"/>
    <w:rsid w:val="00092386"/>
    <w:rsid w:val="00092439"/>
    <w:rsid w:val="0009256D"/>
    <w:rsid w:val="000925E8"/>
    <w:rsid w:val="00092615"/>
    <w:rsid w:val="00092657"/>
    <w:rsid w:val="00092754"/>
    <w:rsid w:val="000927B5"/>
    <w:rsid w:val="00092851"/>
    <w:rsid w:val="000928E0"/>
    <w:rsid w:val="00092BBA"/>
    <w:rsid w:val="00092CB1"/>
    <w:rsid w:val="00092D27"/>
    <w:rsid w:val="00092FFD"/>
    <w:rsid w:val="00093081"/>
    <w:rsid w:val="000930B1"/>
    <w:rsid w:val="0009328C"/>
    <w:rsid w:val="00093816"/>
    <w:rsid w:val="0009395D"/>
    <w:rsid w:val="00093A11"/>
    <w:rsid w:val="00093D36"/>
    <w:rsid w:val="0009400A"/>
    <w:rsid w:val="00094102"/>
    <w:rsid w:val="000941AA"/>
    <w:rsid w:val="000941E6"/>
    <w:rsid w:val="000942A1"/>
    <w:rsid w:val="00094776"/>
    <w:rsid w:val="00094791"/>
    <w:rsid w:val="000947F0"/>
    <w:rsid w:val="00094886"/>
    <w:rsid w:val="00094A37"/>
    <w:rsid w:val="00094B1F"/>
    <w:rsid w:val="00094BF4"/>
    <w:rsid w:val="00094C2D"/>
    <w:rsid w:val="00094CAA"/>
    <w:rsid w:val="00094D75"/>
    <w:rsid w:val="000952C9"/>
    <w:rsid w:val="000952E9"/>
    <w:rsid w:val="0009543D"/>
    <w:rsid w:val="0009552E"/>
    <w:rsid w:val="000959D3"/>
    <w:rsid w:val="00095BD5"/>
    <w:rsid w:val="00095C5B"/>
    <w:rsid w:val="00095D0C"/>
    <w:rsid w:val="00095D33"/>
    <w:rsid w:val="00095D88"/>
    <w:rsid w:val="00095DD7"/>
    <w:rsid w:val="00095EB3"/>
    <w:rsid w:val="00095EF7"/>
    <w:rsid w:val="00095F94"/>
    <w:rsid w:val="00095FC1"/>
    <w:rsid w:val="00095FCC"/>
    <w:rsid w:val="00096280"/>
    <w:rsid w:val="0009630D"/>
    <w:rsid w:val="0009639C"/>
    <w:rsid w:val="0009643F"/>
    <w:rsid w:val="000964D1"/>
    <w:rsid w:val="000968CA"/>
    <w:rsid w:val="0009695B"/>
    <w:rsid w:val="00096B3D"/>
    <w:rsid w:val="00096C8D"/>
    <w:rsid w:val="00096D85"/>
    <w:rsid w:val="00096E53"/>
    <w:rsid w:val="00096ED0"/>
    <w:rsid w:val="00096F6F"/>
    <w:rsid w:val="00097016"/>
    <w:rsid w:val="00097133"/>
    <w:rsid w:val="000971C0"/>
    <w:rsid w:val="000971D5"/>
    <w:rsid w:val="00097234"/>
    <w:rsid w:val="0009735E"/>
    <w:rsid w:val="000973ED"/>
    <w:rsid w:val="00097427"/>
    <w:rsid w:val="00097497"/>
    <w:rsid w:val="00097811"/>
    <w:rsid w:val="000979A4"/>
    <w:rsid w:val="00097A3D"/>
    <w:rsid w:val="000A057C"/>
    <w:rsid w:val="000A0745"/>
    <w:rsid w:val="000A0892"/>
    <w:rsid w:val="000A0B04"/>
    <w:rsid w:val="000A0B8C"/>
    <w:rsid w:val="000A0D6C"/>
    <w:rsid w:val="000A0D79"/>
    <w:rsid w:val="000A0FDC"/>
    <w:rsid w:val="000A1110"/>
    <w:rsid w:val="000A11F6"/>
    <w:rsid w:val="000A12FE"/>
    <w:rsid w:val="000A1312"/>
    <w:rsid w:val="000A1458"/>
    <w:rsid w:val="000A14BC"/>
    <w:rsid w:val="000A15FE"/>
    <w:rsid w:val="000A1626"/>
    <w:rsid w:val="000A16EC"/>
    <w:rsid w:val="000A1767"/>
    <w:rsid w:val="000A1862"/>
    <w:rsid w:val="000A18EF"/>
    <w:rsid w:val="000A1F1A"/>
    <w:rsid w:val="000A1F96"/>
    <w:rsid w:val="000A1FB4"/>
    <w:rsid w:val="000A1FB5"/>
    <w:rsid w:val="000A21C5"/>
    <w:rsid w:val="000A2421"/>
    <w:rsid w:val="000A24C7"/>
    <w:rsid w:val="000A2588"/>
    <w:rsid w:val="000A2589"/>
    <w:rsid w:val="000A26AE"/>
    <w:rsid w:val="000A2A95"/>
    <w:rsid w:val="000A2CE7"/>
    <w:rsid w:val="000A2D1E"/>
    <w:rsid w:val="000A2FAF"/>
    <w:rsid w:val="000A322E"/>
    <w:rsid w:val="000A33BB"/>
    <w:rsid w:val="000A351A"/>
    <w:rsid w:val="000A354E"/>
    <w:rsid w:val="000A35B2"/>
    <w:rsid w:val="000A396E"/>
    <w:rsid w:val="000A39DE"/>
    <w:rsid w:val="000A3A33"/>
    <w:rsid w:val="000A3B42"/>
    <w:rsid w:val="000A3C52"/>
    <w:rsid w:val="000A3D5A"/>
    <w:rsid w:val="000A3E0C"/>
    <w:rsid w:val="000A3F6B"/>
    <w:rsid w:val="000A401C"/>
    <w:rsid w:val="000A418D"/>
    <w:rsid w:val="000A42D4"/>
    <w:rsid w:val="000A4331"/>
    <w:rsid w:val="000A434C"/>
    <w:rsid w:val="000A4418"/>
    <w:rsid w:val="000A459E"/>
    <w:rsid w:val="000A4938"/>
    <w:rsid w:val="000A4A3F"/>
    <w:rsid w:val="000A4AA0"/>
    <w:rsid w:val="000A4ACE"/>
    <w:rsid w:val="000A4B10"/>
    <w:rsid w:val="000A4B59"/>
    <w:rsid w:val="000A4C0D"/>
    <w:rsid w:val="000A4CA3"/>
    <w:rsid w:val="000A4F6A"/>
    <w:rsid w:val="000A50DD"/>
    <w:rsid w:val="000A515A"/>
    <w:rsid w:val="000A5204"/>
    <w:rsid w:val="000A560F"/>
    <w:rsid w:val="000A57E1"/>
    <w:rsid w:val="000A595D"/>
    <w:rsid w:val="000A599F"/>
    <w:rsid w:val="000A59A1"/>
    <w:rsid w:val="000A5A5C"/>
    <w:rsid w:val="000A5BA8"/>
    <w:rsid w:val="000A5BFE"/>
    <w:rsid w:val="000A5C2A"/>
    <w:rsid w:val="000A5CF0"/>
    <w:rsid w:val="000A5E4D"/>
    <w:rsid w:val="000A5EE9"/>
    <w:rsid w:val="000A5F98"/>
    <w:rsid w:val="000A6135"/>
    <w:rsid w:val="000A64FE"/>
    <w:rsid w:val="000A6593"/>
    <w:rsid w:val="000A65C1"/>
    <w:rsid w:val="000A679A"/>
    <w:rsid w:val="000A67E4"/>
    <w:rsid w:val="000A6814"/>
    <w:rsid w:val="000A68A1"/>
    <w:rsid w:val="000A6A77"/>
    <w:rsid w:val="000A6ABA"/>
    <w:rsid w:val="000A6B78"/>
    <w:rsid w:val="000A6B8D"/>
    <w:rsid w:val="000A6C15"/>
    <w:rsid w:val="000A6DE0"/>
    <w:rsid w:val="000A6FDB"/>
    <w:rsid w:val="000A7109"/>
    <w:rsid w:val="000A7253"/>
    <w:rsid w:val="000A731B"/>
    <w:rsid w:val="000A733B"/>
    <w:rsid w:val="000A73E6"/>
    <w:rsid w:val="000A73FF"/>
    <w:rsid w:val="000A7754"/>
    <w:rsid w:val="000A77CA"/>
    <w:rsid w:val="000A7C4F"/>
    <w:rsid w:val="000A7ED1"/>
    <w:rsid w:val="000A7FD0"/>
    <w:rsid w:val="000A7FE6"/>
    <w:rsid w:val="000B033E"/>
    <w:rsid w:val="000B03B5"/>
    <w:rsid w:val="000B0436"/>
    <w:rsid w:val="000B0857"/>
    <w:rsid w:val="000B0B07"/>
    <w:rsid w:val="000B0D28"/>
    <w:rsid w:val="000B0E9E"/>
    <w:rsid w:val="000B0FEC"/>
    <w:rsid w:val="000B102B"/>
    <w:rsid w:val="000B1449"/>
    <w:rsid w:val="000B1457"/>
    <w:rsid w:val="000B14FD"/>
    <w:rsid w:val="000B157C"/>
    <w:rsid w:val="000B1632"/>
    <w:rsid w:val="000B16E6"/>
    <w:rsid w:val="000B180E"/>
    <w:rsid w:val="000B1947"/>
    <w:rsid w:val="000B19B8"/>
    <w:rsid w:val="000B19E5"/>
    <w:rsid w:val="000B1B64"/>
    <w:rsid w:val="000B1BED"/>
    <w:rsid w:val="000B1CAB"/>
    <w:rsid w:val="000B1CC6"/>
    <w:rsid w:val="000B1E5D"/>
    <w:rsid w:val="000B2034"/>
    <w:rsid w:val="000B20F6"/>
    <w:rsid w:val="000B217A"/>
    <w:rsid w:val="000B223B"/>
    <w:rsid w:val="000B22ED"/>
    <w:rsid w:val="000B249C"/>
    <w:rsid w:val="000B252A"/>
    <w:rsid w:val="000B280A"/>
    <w:rsid w:val="000B2AAF"/>
    <w:rsid w:val="000B2B1C"/>
    <w:rsid w:val="000B2B27"/>
    <w:rsid w:val="000B2B98"/>
    <w:rsid w:val="000B2D3C"/>
    <w:rsid w:val="000B2E65"/>
    <w:rsid w:val="000B2EB8"/>
    <w:rsid w:val="000B2EC5"/>
    <w:rsid w:val="000B2ECD"/>
    <w:rsid w:val="000B2EF3"/>
    <w:rsid w:val="000B2FF6"/>
    <w:rsid w:val="000B315B"/>
    <w:rsid w:val="000B315F"/>
    <w:rsid w:val="000B32E9"/>
    <w:rsid w:val="000B3427"/>
    <w:rsid w:val="000B3434"/>
    <w:rsid w:val="000B3464"/>
    <w:rsid w:val="000B3531"/>
    <w:rsid w:val="000B35AC"/>
    <w:rsid w:val="000B3627"/>
    <w:rsid w:val="000B36ED"/>
    <w:rsid w:val="000B36F8"/>
    <w:rsid w:val="000B3798"/>
    <w:rsid w:val="000B3828"/>
    <w:rsid w:val="000B3A73"/>
    <w:rsid w:val="000B3D53"/>
    <w:rsid w:val="000B3E2F"/>
    <w:rsid w:val="000B3FC2"/>
    <w:rsid w:val="000B3FEB"/>
    <w:rsid w:val="000B42A2"/>
    <w:rsid w:val="000B4357"/>
    <w:rsid w:val="000B4408"/>
    <w:rsid w:val="000B44E9"/>
    <w:rsid w:val="000B45BC"/>
    <w:rsid w:val="000B4B0E"/>
    <w:rsid w:val="000B4B1F"/>
    <w:rsid w:val="000B4B62"/>
    <w:rsid w:val="000B4B9E"/>
    <w:rsid w:val="000B4C4B"/>
    <w:rsid w:val="000B4C5F"/>
    <w:rsid w:val="000B4DFC"/>
    <w:rsid w:val="000B4E76"/>
    <w:rsid w:val="000B51A9"/>
    <w:rsid w:val="000B51E5"/>
    <w:rsid w:val="000B535B"/>
    <w:rsid w:val="000B53FA"/>
    <w:rsid w:val="000B5507"/>
    <w:rsid w:val="000B5677"/>
    <w:rsid w:val="000B5697"/>
    <w:rsid w:val="000B5837"/>
    <w:rsid w:val="000B5A3E"/>
    <w:rsid w:val="000B5B49"/>
    <w:rsid w:val="000B5C41"/>
    <w:rsid w:val="000B5C48"/>
    <w:rsid w:val="000B5C68"/>
    <w:rsid w:val="000B5DA1"/>
    <w:rsid w:val="000B5E56"/>
    <w:rsid w:val="000B5FC6"/>
    <w:rsid w:val="000B614B"/>
    <w:rsid w:val="000B6182"/>
    <w:rsid w:val="000B61B2"/>
    <w:rsid w:val="000B61EE"/>
    <w:rsid w:val="000B6452"/>
    <w:rsid w:val="000B6508"/>
    <w:rsid w:val="000B66F1"/>
    <w:rsid w:val="000B673D"/>
    <w:rsid w:val="000B6820"/>
    <w:rsid w:val="000B69B2"/>
    <w:rsid w:val="000B6A17"/>
    <w:rsid w:val="000B6B67"/>
    <w:rsid w:val="000B6C45"/>
    <w:rsid w:val="000B6E17"/>
    <w:rsid w:val="000B6E8A"/>
    <w:rsid w:val="000B6EF2"/>
    <w:rsid w:val="000B6F73"/>
    <w:rsid w:val="000B70AE"/>
    <w:rsid w:val="000B7196"/>
    <w:rsid w:val="000B730A"/>
    <w:rsid w:val="000B7664"/>
    <w:rsid w:val="000B7A59"/>
    <w:rsid w:val="000B7A76"/>
    <w:rsid w:val="000B7C00"/>
    <w:rsid w:val="000B7C28"/>
    <w:rsid w:val="000B7D17"/>
    <w:rsid w:val="000B7DAC"/>
    <w:rsid w:val="000B7EBB"/>
    <w:rsid w:val="000B7EEE"/>
    <w:rsid w:val="000B7F91"/>
    <w:rsid w:val="000C017C"/>
    <w:rsid w:val="000C01FC"/>
    <w:rsid w:val="000C024C"/>
    <w:rsid w:val="000C0407"/>
    <w:rsid w:val="000C04C8"/>
    <w:rsid w:val="000C050B"/>
    <w:rsid w:val="000C05E7"/>
    <w:rsid w:val="000C0696"/>
    <w:rsid w:val="000C06A7"/>
    <w:rsid w:val="000C06AC"/>
    <w:rsid w:val="000C0706"/>
    <w:rsid w:val="000C0806"/>
    <w:rsid w:val="000C09F5"/>
    <w:rsid w:val="000C09FC"/>
    <w:rsid w:val="000C0A62"/>
    <w:rsid w:val="000C0B94"/>
    <w:rsid w:val="000C0C75"/>
    <w:rsid w:val="000C0D06"/>
    <w:rsid w:val="000C0E88"/>
    <w:rsid w:val="000C0EF8"/>
    <w:rsid w:val="000C11B1"/>
    <w:rsid w:val="000C123B"/>
    <w:rsid w:val="000C1334"/>
    <w:rsid w:val="000C17DB"/>
    <w:rsid w:val="000C197F"/>
    <w:rsid w:val="000C1B12"/>
    <w:rsid w:val="000C1B5C"/>
    <w:rsid w:val="000C1D9E"/>
    <w:rsid w:val="000C1E1C"/>
    <w:rsid w:val="000C1E86"/>
    <w:rsid w:val="000C1FFB"/>
    <w:rsid w:val="000C2024"/>
    <w:rsid w:val="000C204F"/>
    <w:rsid w:val="000C2223"/>
    <w:rsid w:val="000C229C"/>
    <w:rsid w:val="000C24EF"/>
    <w:rsid w:val="000C260D"/>
    <w:rsid w:val="000C268C"/>
    <w:rsid w:val="000C28BB"/>
    <w:rsid w:val="000C295A"/>
    <w:rsid w:val="000C2A35"/>
    <w:rsid w:val="000C2AA8"/>
    <w:rsid w:val="000C301D"/>
    <w:rsid w:val="000C3119"/>
    <w:rsid w:val="000C33E5"/>
    <w:rsid w:val="000C34CD"/>
    <w:rsid w:val="000C3759"/>
    <w:rsid w:val="000C37F9"/>
    <w:rsid w:val="000C3921"/>
    <w:rsid w:val="000C3A53"/>
    <w:rsid w:val="000C3AF6"/>
    <w:rsid w:val="000C3CF6"/>
    <w:rsid w:val="000C3D33"/>
    <w:rsid w:val="000C3D5A"/>
    <w:rsid w:val="000C3EED"/>
    <w:rsid w:val="000C3FED"/>
    <w:rsid w:val="000C41A2"/>
    <w:rsid w:val="000C41B7"/>
    <w:rsid w:val="000C41C3"/>
    <w:rsid w:val="000C432A"/>
    <w:rsid w:val="000C4577"/>
    <w:rsid w:val="000C45DE"/>
    <w:rsid w:val="000C46AD"/>
    <w:rsid w:val="000C46CB"/>
    <w:rsid w:val="000C4736"/>
    <w:rsid w:val="000C476D"/>
    <w:rsid w:val="000C481E"/>
    <w:rsid w:val="000C4868"/>
    <w:rsid w:val="000C48CD"/>
    <w:rsid w:val="000C49AD"/>
    <w:rsid w:val="000C4BB5"/>
    <w:rsid w:val="000C4D68"/>
    <w:rsid w:val="000C4E6C"/>
    <w:rsid w:val="000C4ECD"/>
    <w:rsid w:val="000C4ED1"/>
    <w:rsid w:val="000C4F3C"/>
    <w:rsid w:val="000C5156"/>
    <w:rsid w:val="000C53E1"/>
    <w:rsid w:val="000C5429"/>
    <w:rsid w:val="000C567D"/>
    <w:rsid w:val="000C56D7"/>
    <w:rsid w:val="000C575F"/>
    <w:rsid w:val="000C57E3"/>
    <w:rsid w:val="000C57F9"/>
    <w:rsid w:val="000C5875"/>
    <w:rsid w:val="000C5A0B"/>
    <w:rsid w:val="000C5CB8"/>
    <w:rsid w:val="000C5E17"/>
    <w:rsid w:val="000C5FD6"/>
    <w:rsid w:val="000C666E"/>
    <w:rsid w:val="000C669E"/>
    <w:rsid w:val="000C6766"/>
    <w:rsid w:val="000C68B6"/>
    <w:rsid w:val="000C6957"/>
    <w:rsid w:val="000C6959"/>
    <w:rsid w:val="000C6AD7"/>
    <w:rsid w:val="000C6DDA"/>
    <w:rsid w:val="000C7225"/>
    <w:rsid w:val="000C762B"/>
    <w:rsid w:val="000C76E1"/>
    <w:rsid w:val="000C76F3"/>
    <w:rsid w:val="000C7B5E"/>
    <w:rsid w:val="000C7EA4"/>
    <w:rsid w:val="000C7EB0"/>
    <w:rsid w:val="000C7EC8"/>
    <w:rsid w:val="000C7F91"/>
    <w:rsid w:val="000D003E"/>
    <w:rsid w:val="000D00E3"/>
    <w:rsid w:val="000D0162"/>
    <w:rsid w:val="000D01C7"/>
    <w:rsid w:val="000D0502"/>
    <w:rsid w:val="000D0765"/>
    <w:rsid w:val="000D0C2D"/>
    <w:rsid w:val="000D0C6D"/>
    <w:rsid w:val="000D0CCA"/>
    <w:rsid w:val="000D0E3D"/>
    <w:rsid w:val="000D0EAD"/>
    <w:rsid w:val="000D0EC9"/>
    <w:rsid w:val="000D1056"/>
    <w:rsid w:val="000D1107"/>
    <w:rsid w:val="000D11BC"/>
    <w:rsid w:val="000D1397"/>
    <w:rsid w:val="000D16E8"/>
    <w:rsid w:val="000D1713"/>
    <w:rsid w:val="000D1900"/>
    <w:rsid w:val="000D1955"/>
    <w:rsid w:val="000D19A7"/>
    <w:rsid w:val="000D19D4"/>
    <w:rsid w:val="000D1A41"/>
    <w:rsid w:val="000D1A94"/>
    <w:rsid w:val="000D1C78"/>
    <w:rsid w:val="000D1CCF"/>
    <w:rsid w:val="000D1DD3"/>
    <w:rsid w:val="000D1ED5"/>
    <w:rsid w:val="000D1FE3"/>
    <w:rsid w:val="000D211A"/>
    <w:rsid w:val="000D2177"/>
    <w:rsid w:val="000D229E"/>
    <w:rsid w:val="000D24A3"/>
    <w:rsid w:val="000D2546"/>
    <w:rsid w:val="000D25BC"/>
    <w:rsid w:val="000D269E"/>
    <w:rsid w:val="000D2701"/>
    <w:rsid w:val="000D27EA"/>
    <w:rsid w:val="000D2833"/>
    <w:rsid w:val="000D2838"/>
    <w:rsid w:val="000D2886"/>
    <w:rsid w:val="000D2EF0"/>
    <w:rsid w:val="000D2F21"/>
    <w:rsid w:val="000D3284"/>
    <w:rsid w:val="000D35B9"/>
    <w:rsid w:val="000D363A"/>
    <w:rsid w:val="000D38F1"/>
    <w:rsid w:val="000D395C"/>
    <w:rsid w:val="000D3B33"/>
    <w:rsid w:val="000D3B86"/>
    <w:rsid w:val="000D3C10"/>
    <w:rsid w:val="000D3D9F"/>
    <w:rsid w:val="000D3E83"/>
    <w:rsid w:val="000D3FD2"/>
    <w:rsid w:val="000D4058"/>
    <w:rsid w:val="000D4082"/>
    <w:rsid w:val="000D4125"/>
    <w:rsid w:val="000D4137"/>
    <w:rsid w:val="000D4527"/>
    <w:rsid w:val="000D4631"/>
    <w:rsid w:val="000D4748"/>
    <w:rsid w:val="000D49BF"/>
    <w:rsid w:val="000D4AD8"/>
    <w:rsid w:val="000D4AF1"/>
    <w:rsid w:val="000D4B56"/>
    <w:rsid w:val="000D4CA9"/>
    <w:rsid w:val="000D4CE2"/>
    <w:rsid w:val="000D4E95"/>
    <w:rsid w:val="000D4E98"/>
    <w:rsid w:val="000D5020"/>
    <w:rsid w:val="000D504F"/>
    <w:rsid w:val="000D545C"/>
    <w:rsid w:val="000D55BE"/>
    <w:rsid w:val="000D56C3"/>
    <w:rsid w:val="000D5738"/>
    <w:rsid w:val="000D58B3"/>
    <w:rsid w:val="000D59E8"/>
    <w:rsid w:val="000D59EB"/>
    <w:rsid w:val="000D5B79"/>
    <w:rsid w:val="000D5BF1"/>
    <w:rsid w:val="000D5CB9"/>
    <w:rsid w:val="000D5E6D"/>
    <w:rsid w:val="000D5E71"/>
    <w:rsid w:val="000D609E"/>
    <w:rsid w:val="000D60C0"/>
    <w:rsid w:val="000D6255"/>
    <w:rsid w:val="000D62A6"/>
    <w:rsid w:val="000D6348"/>
    <w:rsid w:val="000D6361"/>
    <w:rsid w:val="000D63A1"/>
    <w:rsid w:val="000D6558"/>
    <w:rsid w:val="000D655D"/>
    <w:rsid w:val="000D656E"/>
    <w:rsid w:val="000D66A5"/>
    <w:rsid w:val="000D6841"/>
    <w:rsid w:val="000D684A"/>
    <w:rsid w:val="000D6AA3"/>
    <w:rsid w:val="000D6ED6"/>
    <w:rsid w:val="000D717B"/>
    <w:rsid w:val="000D7232"/>
    <w:rsid w:val="000D72E1"/>
    <w:rsid w:val="000D730D"/>
    <w:rsid w:val="000D73AC"/>
    <w:rsid w:val="000D75E0"/>
    <w:rsid w:val="000D7612"/>
    <w:rsid w:val="000D76DB"/>
    <w:rsid w:val="000D77F8"/>
    <w:rsid w:val="000D782F"/>
    <w:rsid w:val="000D789A"/>
    <w:rsid w:val="000D797A"/>
    <w:rsid w:val="000D7ACE"/>
    <w:rsid w:val="000D7D89"/>
    <w:rsid w:val="000D7F40"/>
    <w:rsid w:val="000E0095"/>
    <w:rsid w:val="000E00FF"/>
    <w:rsid w:val="000E018E"/>
    <w:rsid w:val="000E01B5"/>
    <w:rsid w:val="000E0277"/>
    <w:rsid w:val="000E031A"/>
    <w:rsid w:val="000E032C"/>
    <w:rsid w:val="000E0407"/>
    <w:rsid w:val="000E04A1"/>
    <w:rsid w:val="000E0654"/>
    <w:rsid w:val="000E074E"/>
    <w:rsid w:val="000E0802"/>
    <w:rsid w:val="000E080F"/>
    <w:rsid w:val="000E0833"/>
    <w:rsid w:val="000E08C7"/>
    <w:rsid w:val="000E0949"/>
    <w:rsid w:val="000E09FC"/>
    <w:rsid w:val="000E0A58"/>
    <w:rsid w:val="000E0BCC"/>
    <w:rsid w:val="000E0BF7"/>
    <w:rsid w:val="000E0DD3"/>
    <w:rsid w:val="000E0F19"/>
    <w:rsid w:val="000E0F7C"/>
    <w:rsid w:val="000E1192"/>
    <w:rsid w:val="000E1228"/>
    <w:rsid w:val="000E12A6"/>
    <w:rsid w:val="000E165F"/>
    <w:rsid w:val="000E1672"/>
    <w:rsid w:val="000E1896"/>
    <w:rsid w:val="000E18EA"/>
    <w:rsid w:val="000E18EB"/>
    <w:rsid w:val="000E1934"/>
    <w:rsid w:val="000E1941"/>
    <w:rsid w:val="000E1A7A"/>
    <w:rsid w:val="000E1B8B"/>
    <w:rsid w:val="000E1FC4"/>
    <w:rsid w:val="000E1FE7"/>
    <w:rsid w:val="000E1FF0"/>
    <w:rsid w:val="000E2014"/>
    <w:rsid w:val="000E2052"/>
    <w:rsid w:val="000E23EE"/>
    <w:rsid w:val="000E2407"/>
    <w:rsid w:val="000E2433"/>
    <w:rsid w:val="000E24C0"/>
    <w:rsid w:val="000E2533"/>
    <w:rsid w:val="000E2608"/>
    <w:rsid w:val="000E2743"/>
    <w:rsid w:val="000E28B6"/>
    <w:rsid w:val="000E2AA0"/>
    <w:rsid w:val="000E2C95"/>
    <w:rsid w:val="000E2D4F"/>
    <w:rsid w:val="000E2D52"/>
    <w:rsid w:val="000E2D54"/>
    <w:rsid w:val="000E2F64"/>
    <w:rsid w:val="000E3053"/>
    <w:rsid w:val="000E3086"/>
    <w:rsid w:val="000E309C"/>
    <w:rsid w:val="000E340E"/>
    <w:rsid w:val="000E34C2"/>
    <w:rsid w:val="000E3677"/>
    <w:rsid w:val="000E36E3"/>
    <w:rsid w:val="000E3A59"/>
    <w:rsid w:val="000E3ACB"/>
    <w:rsid w:val="000E3B8E"/>
    <w:rsid w:val="000E3D89"/>
    <w:rsid w:val="000E3DE0"/>
    <w:rsid w:val="000E3FDB"/>
    <w:rsid w:val="000E3FE0"/>
    <w:rsid w:val="000E4081"/>
    <w:rsid w:val="000E4197"/>
    <w:rsid w:val="000E4230"/>
    <w:rsid w:val="000E4240"/>
    <w:rsid w:val="000E4267"/>
    <w:rsid w:val="000E4594"/>
    <w:rsid w:val="000E46A9"/>
    <w:rsid w:val="000E48B6"/>
    <w:rsid w:val="000E4A4A"/>
    <w:rsid w:val="000E4A85"/>
    <w:rsid w:val="000E4C93"/>
    <w:rsid w:val="000E4CA2"/>
    <w:rsid w:val="000E4DAA"/>
    <w:rsid w:val="000E4DDD"/>
    <w:rsid w:val="000E51ED"/>
    <w:rsid w:val="000E523D"/>
    <w:rsid w:val="000E534B"/>
    <w:rsid w:val="000E546A"/>
    <w:rsid w:val="000E55EE"/>
    <w:rsid w:val="000E5682"/>
    <w:rsid w:val="000E5881"/>
    <w:rsid w:val="000E5915"/>
    <w:rsid w:val="000E5AF1"/>
    <w:rsid w:val="000E5CAB"/>
    <w:rsid w:val="000E5DB6"/>
    <w:rsid w:val="000E5F77"/>
    <w:rsid w:val="000E619F"/>
    <w:rsid w:val="000E6380"/>
    <w:rsid w:val="000E639F"/>
    <w:rsid w:val="000E6765"/>
    <w:rsid w:val="000E67F5"/>
    <w:rsid w:val="000E6A10"/>
    <w:rsid w:val="000E6FDF"/>
    <w:rsid w:val="000E70EE"/>
    <w:rsid w:val="000E7255"/>
    <w:rsid w:val="000E73BD"/>
    <w:rsid w:val="000E73EF"/>
    <w:rsid w:val="000E73F3"/>
    <w:rsid w:val="000E750F"/>
    <w:rsid w:val="000E7D5C"/>
    <w:rsid w:val="000E7E1F"/>
    <w:rsid w:val="000E7ED4"/>
    <w:rsid w:val="000F02CB"/>
    <w:rsid w:val="000F0388"/>
    <w:rsid w:val="000F0389"/>
    <w:rsid w:val="000F04D5"/>
    <w:rsid w:val="000F057D"/>
    <w:rsid w:val="000F07B1"/>
    <w:rsid w:val="000F0952"/>
    <w:rsid w:val="000F0D0B"/>
    <w:rsid w:val="000F0E01"/>
    <w:rsid w:val="000F1206"/>
    <w:rsid w:val="000F141F"/>
    <w:rsid w:val="000F1531"/>
    <w:rsid w:val="000F15F8"/>
    <w:rsid w:val="000F1A8F"/>
    <w:rsid w:val="000F1E21"/>
    <w:rsid w:val="000F1FFA"/>
    <w:rsid w:val="000F231F"/>
    <w:rsid w:val="000F249A"/>
    <w:rsid w:val="000F25A8"/>
    <w:rsid w:val="000F25F7"/>
    <w:rsid w:val="000F264C"/>
    <w:rsid w:val="000F26F5"/>
    <w:rsid w:val="000F2888"/>
    <w:rsid w:val="000F2969"/>
    <w:rsid w:val="000F2AB6"/>
    <w:rsid w:val="000F2D54"/>
    <w:rsid w:val="000F2ED1"/>
    <w:rsid w:val="000F2F2C"/>
    <w:rsid w:val="000F2F9F"/>
    <w:rsid w:val="000F301A"/>
    <w:rsid w:val="000F33FC"/>
    <w:rsid w:val="000F37E9"/>
    <w:rsid w:val="000F380D"/>
    <w:rsid w:val="000F3989"/>
    <w:rsid w:val="000F3C92"/>
    <w:rsid w:val="000F4056"/>
    <w:rsid w:val="000F406D"/>
    <w:rsid w:val="000F4189"/>
    <w:rsid w:val="000F42EF"/>
    <w:rsid w:val="000F447D"/>
    <w:rsid w:val="000F4577"/>
    <w:rsid w:val="000F4612"/>
    <w:rsid w:val="000F4693"/>
    <w:rsid w:val="000F474A"/>
    <w:rsid w:val="000F47E9"/>
    <w:rsid w:val="000F48F0"/>
    <w:rsid w:val="000F49A8"/>
    <w:rsid w:val="000F4A22"/>
    <w:rsid w:val="000F4E1E"/>
    <w:rsid w:val="000F5025"/>
    <w:rsid w:val="000F51D5"/>
    <w:rsid w:val="000F52FD"/>
    <w:rsid w:val="000F531E"/>
    <w:rsid w:val="000F53D7"/>
    <w:rsid w:val="000F53EF"/>
    <w:rsid w:val="000F5445"/>
    <w:rsid w:val="000F583B"/>
    <w:rsid w:val="000F5879"/>
    <w:rsid w:val="000F5980"/>
    <w:rsid w:val="000F5D62"/>
    <w:rsid w:val="000F6396"/>
    <w:rsid w:val="000F6488"/>
    <w:rsid w:val="000F6686"/>
    <w:rsid w:val="000F6BCC"/>
    <w:rsid w:val="000F6BCD"/>
    <w:rsid w:val="000F6D5F"/>
    <w:rsid w:val="000F6D75"/>
    <w:rsid w:val="000F7071"/>
    <w:rsid w:val="000F711F"/>
    <w:rsid w:val="000F7143"/>
    <w:rsid w:val="000F7256"/>
    <w:rsid w:val="000F739F"/>
    <w:rsid w:val="000F7597"/>
    <w:rsid w:val="000F7601"/>
    <w:rsid w:val="000F7656"/>
    <w:rsid w:val="000F767D"/>
    <w:rsid w:val="000F7844"/>
    <w:rsid w:val="000F7913"/>
    <w:rsid w:val="000F797D"/>
    <w:rsid w:val="000F7BEF"/>
    <w:rsid w:val="000F7C85"/>
    <w:rsid w:val="000F7D1E"/>
    <w:rsid w:val="000F7DF4"/>
    <w:rsid w:val="000F7E73"/>
    <w:rsid w:val="000F7F57"/>
    <w:rsid w:val="00100269"/>
    <w:rsid w:val="001004B6"/>
    <w:rsid w:val="00100579"/>
    <w:rsid w:val="0010059A"/>
    <w:rsid w:val="001005D5"/>
    <w:rsid w:val="00100702"/>
    <w:rsid w:val="00100819"/>
    <w:rsid w:val="00100862"/>
    <w:rsid w:val="00100965"/>
    <w:rsid w:val="001009AE"/>
    <w:rsid w:val="00100BDA"/>
    <w:rsid w:val="00100DA8"/>
    <w:rsid w:val="00100F2D"/>
    <w:rsid w:val="00101076"/>
    <w:rsid w:val="001010BF"/>
    <w:rsid w:val="0010110A"/>
    <w:rsid w:val="00101124"/>
    <w:rsid w:val="0010125A"/>
    <w:rsid w:val="001013E9"/>
    <w:rsid w:val="00101402"/>
    <w:rsid w:val="00101455"/>
    <w:rsid w:val="00101730"/>
    <w:rsid w:val="00101793"/>
    <w:rsid w:val="00101844"/>
    <w:rsid w:val="00101AE9"/>
    <w:rsid w:val="00101C73"/>
    <w:rsid w:val="00101C75"/>
    <w:rsid w:val="00101D4F"/>
    <w:rsid w:val="00101E16"/>
    <w:rsid w:val="00101EEF"/>
    <w:rsid w:val="00101FF8"/>
    <w:rsid w:val="00102042"/>
    <w:rsid w:val="001020FD"/>
    <w:rsid w:val="00102388"/>
    <w:rsid w:val="00102735"/>
    <w:rsid w:val="00102746"/>
    <w:rsid w:val="00102900"/>
    <w:rsid w:val="00102A1D"/>
    <w:rsid w:val="00102A70"/>
    <w:rsid w:val="00102B5C"/>
    <w:rsid w:val="00102BD0"/>
    <w:rsid w:val="00102CA8"/>
    <w:rsid w:val="00102D08"/>
    <w:rsid w:val="001030C2"/>
    <w:rsid w:val="0010317E"/>
    <w:rsid w:val="001033AC"/>
    <w:rsid w:val="001033DC"/>
    <w:rsid w:val="001034BA"/>
    <w:rsid w:val="001036A7"/>
    <w:rsid w:val="00103713"/>
    <w:rsid w:val="001037F4"/>
    <w:rsid w:val="00103945"/>
    <w:rsid w:val="00103946"/>
    <w:rsid w:val="00103B3B"/>
    <w:rsid w:val="00103BD6"/>
    <w:rsid w:val="00103C6C"/>
    <w:rsid w:val="00103E3A"/>
    <w:rsid w:val="00103EB6"/>
    <w:rsid w:val="00103F4B"/>
    <w:rsid w:val="00103FDC"/>
    <w:rsid w:val="001043E9"/>
    <w:rsid w:val="00104836"/>
    <w:rsid w:val="00104892"/>
    <w:rsid w:val="001048A1"/>
    <w:rsid w:val="00104A1F"/>
    <w:rsid w:val="00104AD3"/>
    <w:rsid w:val="00104BA8"/>
    <w:rsid w:val="00104D08"/>
    <w:rsid w:val="00104E5D"/>
    <w:rsid w:val="00104EAE"/>
    <w:rsid w:val="00104F5E"/>
    <w:rsid w:val="001051C2"/>
    <w:rsid w:val="00105252"/>
    <w:rsid w:val="00105685"/>
    <w:rsid w:val="001058EE"/>
    <w:rsid w:val="00105A30"/>
    <w:rsid w:val="00105BBE"/>
    <w:rsid w:val="00105CD0"/>
    <w:rsid w:val="00105D2B"/>
    <w:rsid w:val="00105E2C"/>
    <w:rsid w:val="00105F08"/>
    <w:rsid w:val="001064A3"/>
    <w:rsid w:val="00106516"/>
    <w:rsid w:val="001066AF"/>
    <w:rsid w:val="0010670D"/>
    <w:rsid w:val="00106904"/>
    <w:rsid w:val="00106ACF"/>
    <w:rsid w:val="00106C6E"/>
    <w:rsid w:val="00106EA8"/>
    <w:rsid w:val="00106FB3"/>
    <w:rsid w:val="00107039"/>
    <w:rsid w:val="001070A6"/>
    <w:rsid w:val="00107151"/>
    <w:rsid w:val="001071F7"/>
    <w:rsid w:val="00107208"/>
    <w:rsid w:val="00107248"/>
    <w:rsid w:val="00107485"/>
    <w:rsid w:val="001075F9"/>
    <w:rsid w:val="001076DF"/>
    <w:rsid w:val="0010773C"/>
    <w:rsid w:val="001077E2"/>
    <w:rsid w:val="00107882"/>
    <w:rsid w:val="00107BCE"/>
    <w:rsid w:val="00107C61"/>
    <w:rsid w:val="00107D5D"/>
    <w:rsid w:val="00107EFC"/>
    <w:rsid w:val="00107F3C"/>
    <w:rsid w:val="00107FDA"/>
    <w:rsid w:val="0011012A"/>
    <w:rsid w:val="00110193"/>
    <w:rsid w:val="00110324"/>
    <w:rsid w:val="001105AE"/>
    <w:rsid w:val="001105E4"/>
    <w:rsid w:val="00110627"/>
    <w:rsid w:val="00110635"/>
    <w:rsid w:val="00110934"/>
    <w:rsid w:val="001109CE"/>
    <w:rsid w:val="00110AA2"/>
    <w:rsid w:val="00110AFA"/>
    <w:rsid w:val="00110CB2"/>
    <w:rsid w:val="00110CF2"/>
    <w:rsid w:val="00110EAB"/>
    <w:rsid w:val="00110FB8"/>
    <w:rsid w:val="00110FEE"/>
    <w:rsid w:val="0011110F"/>
    <w:rsid w:val="00111254"/>
    <w:rsid w:val="001115AB"/>
    <w:rsid w:val="0011160F"/>
    <w:rsid w:val="00111ABB"/>
    <w:rsid w:val="00111B46"/>
    <w:rsid w:val="00111B52"/>
    <w:rsid w:val="0011210B"/>
    <w:rsid w:val="00112296"/>
    <w:rsid w:val="001122F9"/>
    <w:rsid w:val="0011238D"/>
    <w:rsid w:val="001123A6"/>
    <w:rsid w:val="00112742"/>
    <w:rsid w:val="001127E7"/>
    <w:rsid w:val="00112916"/>
    <w:rsid w:val="00112A0C"/>
    <w:rsid w:val="00112A60"/>
    <w:rsid w:val="00112BBA"/>
    <w:rsid w:val="00112E14"/>
    <w:rsid w:val="00112F8A"/>
    <w:rsid w:val="001135C2"/>
    <w:rsid w:val="001136EF"/>
    <w:rsid w:val="00113715"/>
    <w:rsid w:val="001137E4"/>
    <w:rsid w:val="001138D1"/>
    <w:rsid w:val="00113E2F"/>
    <w:rsid w:val="00113FFF"/>
    <w:rsid w:val="00114033"/>
    <w:rsid w:val="0011407C"/>
    <w:rsid w:val="001140A0"/>
    <w:rsid w:val="00114311"/>
    <w:rsid w:val="001143B6"/>
    <w:rsid w:val="0011445E"/>
    <w:rsid w:val="00114557"/>
    <w:rsid w:val="001145D3"/>
    <w:rsid w:val="001145E0"/>
    <w:rsid w:val="0011460C"/>
    <w:rsid w:val="00114688"/>
    <w:rsid w:val="00114764"/>
    <w:rsid w:val="001148E6"/>
    <w:rsid w:val="00114935"/>
    <w:rsid w:val="00114A49"/>
    <w:rsid w:val="00114ADD"/>
    <w:rsid w:val="00114D9E"/>
    <w:rsid w:val="00114DE4"/>
    <w:rsid w:val="00114EC1"/>
    <w:rsid w:val="00114F69"/>
    <w:rsid w:val="00114FB5"/>
    <w:rsid w:val="00115115"/>
    <w:rsid w:val="0011522C"/>
    <w:rsid w:val="001152A7"/>
    <w:rsid w:val="0011532B"/>
    <w:rsid w:val="001154CC"/>
    <w:rsid w:val="001157D7"/>
    <w:rsid w:val="001157E5"/>
    <w:rsid w:val="0011594C"/>
    <w:rsid w:val="001159CE"/>
    <w:rsid w:val="00115A6E"/>
    <w:rsid w:val="00115B16"/>
    <w:rsid w:val="0011603E"/>
    <w:rsid w:val="001160AB"/>
    <w:rsid w:val="0011627B"/>
    <w:rsid w:val="00116298"/>
    <w:rsid w:val="001163BB"/>
    <w:rsid w:val="001163E2"/>
    <w:rsid w:val="001164EB"/>
    <w:rsid w:val="00116520"/>
    <w:rsid w:val="00116530"/>
    <w:rsid w:val="0011674F"/>
    <w:rsid w:val="0011686F"/>
    <w:rsid w:val="0011687B"/>
    <w:rsid w:val="00116D9D"/>
    <w:rsid w:val="00116EDC"/>
    <w:rsid w:val="00116FB5"/>
    <w:rsid w:val="001170C6"/>
    <w:rsid w:val="00117146"/>
    <w:rsid w:val="00117331"/>
    <w:rsid w:val="001174C3"/>
    <w:rsid w:val="00117800"/>
    <w:rsid w:val="00117809"/>
    <w:rsid w:val="00117952"/>
    <w:rsid w:val="001179CD"/>
    <w:rsid w:val="00117AA3"/>
    <w:rsid w:val="00120185"/>
    <w:rsid w:val="00120212"/>
    <w:rsid w:val="001204DD"/>
    <w:rsid w:val="00120505"/>
    <w:rsid w:val="00120582"/>
    <w:rsid w:val="001206DA"/>
    <w:rsid w:val="001206F5"/>
    <w:rsid w:val="001208DF"/>
    <w:rsid w:val="00120AE2"/>
    <w:rsid w:val="00120B16"/>
    <w:rsid w:val="00120B3A"/>
    <w:rsid w:val="00120F5F"/>
    <w:rsid w:val="00120F7F"/>
    <w:rsid w:val="001214F8"/>
    <w:rsid w:val="001216A8"/>
    <w:rsid w:val="00121733"/>
    <w:rsid w:val="001218CF"/>
    <w:rsid w:val="00121B8B"/>
    <w:rsid w:val="00121BDC"/>
    <w:rsid w:val="00121E58"/>
    <w:rsid w:val="00121F16"/>
    <w:rsid w:val="00121FC5"/>
    <w:rsid w:val="00122145"/>
    <w:rsid w:val="00122177"/>
    <w:rsid w:val="00122461"/>
    <w:rsid w:val="0012248D"/>
    <w:rsid w:val="00122593"/>
    <w:rsid w:val="00122845"/>
    <w:rsid w:val="00122C52"/>
    <w:rsid w:val="00122C65"/>
    <w:rsid w:val="00122C7D"/>
    <w:rsid w:val="00122C98"/>
    <w:rsid w:val="00122EF7"/>
    <w:rsid w:val="00123180"/>
    <w:rsid w:val="001232F6"/>
    <w:rsid w:val="00123747"/>
    <w:rsid w:val="001239ED"/>
    <w:rsid w:val="00123A09"/>
    <w:rsid w:val="00123A8B"/>
    <w:rsid w:val="00123C63"/>
    <w:rsid w:val="00123F83"/>
    <w:rsid w:val="0012409F"/>
    <w:rsid w:val="00124200"/>
    <w:rsid w:val="00124350"/>
    <w:rsid w:val="001243B8"/>
    <w:rsid w:val="00124409"/>
    <w:rsid w:val="001244FB"/>
    <w:rsid w:val="001245BA"/>
    <w:rsid w:val="001245D2"/>
    <w:rsid w:val="0012463F"/>
    <w:rsid w:val="00124B17"/>
    <w:rsid w:val="00124B3C"/>
    <w:rsid w:val="00124D21"/>
    <w:rsid w:val="00124D4A"/>
    <w:rsid w:val="00125613"/>
    <w:rsid w:val="0012572A"/>
    <w:rsid w:val="001257A5"/>
    <w:rsid w:val="00125919"/>
    <w:rsid w:val="00125930"/>
    <w:rsid w:val="00125B16"/>
    <w:rsid w:val="00125C80"/>
    <w:rsid w:val="00125E24"/>
    <w:rsid w:val="00125E66"/>
    <w:rsid w:val="00125EFA"/>
    <w:rsid w:val="00125F34"/>
    <w:rsid w:val="00126009"/>
    <w:rsid w:val="001260E6"/>
    <w:rsid w:val="00126161"/>
    <w:rsid w:val="00126460"/>
    <w:rsid w:val="001266F5"/>
    <w:rsid w:val="00126804"/>
    <w:rsid w:val="001268BC"/>
    <w:rsid w:val="00126911"/>
    <w:rsid w:val="00126982"/>
    <w:rsid w:val="00126BD0"/>
    <w:rsid w:val="00126C60"/>
    <w:rsid w:val="00126CB3"/>
    <w:rsid w:val="00126F39"/>
    <w:rsid w:val="00126F54"/>
    <w:rsid w:val="001272DD"/>
    <w:rsid w:val="00127332"/>
    <w:rsid w:val="00127554"/>
    <w:rsid w:val="00127558"/>
    <w:rsid w:val="00127590"/>
    <w:rsid w:val="001275FC"/>
    <w:rsid w:val="00127689"/>
    <w:rsid w:val="001277BF"/>
    <w:rsid w:val="001278D8"/>
    <w:rsid w:val="00127A78"/>
    <w:rsid w:val="00127B1E"/>
    <w:rsid w:val="00127BA1"/>
    <w:rsid w:val="00127E2C"/>
    <w:rsid w:val="00127ECE"/>
    <w:rsid w:val="00127F40"/>
    <w:rsid w:val="00127F59"/>
    <w:rsid w:val="0013004B"/>
    <w:rsid w:val="00130199"/>
    <w:rsid w:val="0013019F"/>
    <w:rsid w:val="0013041B"/>
    <w:rsid w:val="001304EB"/>
    <w:rsid w:val="001305F2"/>
    <w:rsid w:val="001305F3"/>
    <w:rsid w:val="00130813"/>
    <w:rsid w:val="001309B4"/>
    <w:rsid w:val="00130B04"/>
    <w:rsid w:val="00130C0D"/>
    <w:rsid w:val="00130C17"/>
    <w:rsid w:val="00130C25"/>
    <w:rsid w:val="00130C44"/>
    <w:rsid w:val="00130E18"/>
    <w:rsid w:val="00130E6F"/>
    <w:rsid w:val="00130F48"/>
    <w:rsid w:val="0013133A"/>
    <w:rsid w:val="00131600"/>
    <w:rsid w:val="001317E2"/>
    <w:rsid w:val="0013183C"/>
    <w:rsid w:val="00131A1E"/>
    <w:rsid w:val="00131A3F"/>
    <w:rsid w:val="00131C73"/>
    <w:rsid w:val="00131F96"/>
    <w:rsid w:val="001321FD"/>
    <w:rsid w:val="00132297"/>
    <w:rsid w:val="001324E9"/>
    <w:rsid w:val="001325EE"/>
    <w:rsid w:val="00132821"/>
    <w:rsid w:val="00132881"/>
    <w:rsid w:val="001328B6"/>
    <w:rsid w:val="00132991"/>
    <w:rsid w:val="001329A4"/>
    <w:rsid w:val="00132E25"/>
    <w:rsid w:val="00132E3E"/>
    <w:rsid w:val="0013303B"/>
    <w:rsid w:val="00133165"/>
    <w:rsid w:val="001333FC"/>
    <w:rsid w:val="00133408"/>
    <w:rsid w:val="00133970"/>
    <w:rsid w:val="001339D0"/>
    <w:rsid w:val="00133BAF"/>
    <w:rsid w:val="00133BF3"/>
    <w:rsid w:val="00133C33"/>
    <w:rsid w:val="001341A4"/>
    <w:rsid w:val="001342E1"/>
    <w:rsid w:val="001343EA"/>
    <w:rsid w:val="00134481"/>
    <w:rsid w:val="00134522"/>
    <w:rsid w:val="00134523"/>
    <w:rsid w:val="00134564"/>
    <w:rsid w:val="00134574"/>
    <w:rsid w:val="001345A4"/>
    <w:rsid w:val="001347EC"/>
    <w:rsid w:val="0013480A"/>
    <w:rsid w:val="00134862"/>
    <w:rsid w:val="001348BC"/>
    <w:rsid w:val="00134B17"/>
    <w:rsid w:val="00134BD4"/>
    <w:rsid w:val="00134D1A"/>
    <w:rsid w:val="00134F81"/>
    <w:rsid w:val="001350F9"/>
    <w:rsid w:val="0013511E"/>
    <w:rsid w:val="001353E4"/>
    <w:rsid w:val="00135637"/>
    <w:rsid w:val="00135728"/>
    <w:rsid w:val="0013598C"/>
    <w:rsid w:val="00135B82"/>
    <w:rsid w:val="00135D61"/>
    <w:rsid w:val="00135F67"/>
    <w:rsid w:val="00135F7A"/>
    <w:rsid w:val="00135FF1"/>
    <w:rsid w:val="00136061"/>
    <w:rsid w:val="001362CC"/>
    <w:rsid w:val="001362DA"/>
    <w:rsid w:val="001363F9"/>
    <w:rsid w:val="0013651F"/>
    <w:rsid w:val="00136CD7"/>
    <w:rsid w:val="00136D45"/>
    <w:rsid w:val="00136DFA"/>
    <w:rsid w:val="00136E6A"/>
    <w:rsid w:val="001370FE"/>
    <w:rsid w:val="00137124"/>
    <w:rsid w:val="00137265"/>
    <w:rsid w:val="00137279"/>
    <w:rsid w:val="001372C4"/>
    <w:rsid w:val="001373AB"/>
    <w:rsid w:val="0013744A"/>
    <w:rsid w:val="0013761E"/>
    <w:rsid w:val="00137661"/>
    <w:rsid w:val="001376B0"/>
    <w:rsid w:val="00137B4D"/>
    <w:rsid w:val="00137F84"/>
    <w:rsid w:val="00137F9A"/>
    <w:rsid w:val="00140314"/>
    <w:rsid w:val="001407D4"/>
    <w:rsid w:val="00140A3F"/>
    <w:rsid w:val="00140A69"/>
    <w:rsid w:val="00140ACA"/>
    <w:rsid w:val="00140D8A"/>
    <w:rsid w:val="00140DDF"/>
    <w:rsid w:val="0014118E"/>
    <w:rsid w:val="001411B7"/>
    <w:rsid w:val="001412A5"/>
    <w:rsid w:val="00141559"/>
    <w:rsid w:val="001415AD"/>
    <w:rsid w:val="0014165D"/>
    <w:rsid w:val="00141786"/>
    <w:rsid w:val="001418E9"/>
    <w:rsid w:val="001419E7"/>
    <w:rsid w:val="00141A4C"/>
    <w:rsid w:val="00141A79"/>
    <w:rsid w:val="00141B51"/>
    <w:rsid w:val="00141DDD"/>
    <w:rsid w:val="00141F39"/>
    <w:rsid w:val="00142075"/>
    <w:rsid w:val="001420CF"/>
    <w:rsid w:val="001421AE"/>
    <w:rsid w:val="0014222A"/>
    <w:rsid w:val="0014226F"/>
    <w:rsid w:val="0014271E"/>
    <w:rsid w:val="001427D6"/>
    <w:rsid w:val="0014286F"/>
    <w:rsid w:val="0014295F"/>
    <w:rsid w:val="00142AE8"/>
    <w:rsid w:val="00142B06"/>
    <w:rsid w:val="00142D3B"/>
    <w:rsid w:val="00142D56"/>
    <w:rsid w:val="00142E79"/>
    <w:rsid w:val="00142EB2"/>
    <w:rsid w:val="00142F59"/>
    <w:rsid w:val="00143042"/>
    <w:rsid w:val="00143313"/>
    <w:rsid w:val="00143696"/>
    <w:rsid w:val="00143B36"/>
    <w:rsid w:val="00143BF9"/>
    <w:rsid w:val="00143C3F"/>
    <w:rsid w:val="00143C88"/>
    <w:rsid w:val="00143C8A"/>
    <w:rsid w:val="001441B7"/>
    <w:rsid w:val="001442D8"/>
    <w:rsid w:val="00144409"/>
    <w:rsid w:val="00144435"/>
    <w:rsid w:val="00144472"/>
    <w:rsid w:val="00144741"/>
    <w:rsid w:val="00144856"/>
    <w:rsid w:val="0014489E"/>
    <w:rsid w:val="001449A3"/>
    <w:rsid w:val="001449E5"/>
    <w:rsid w:val="00144A5C"/>
    <w:rsid w:val="00144B8B"/>
    <w:rsid w:val="00144C9D"/>
    <w:rsid w:val="00144DAB"/>
    <w:rsid w:val="0014510E"/>
    <w:rsid w:val="001452BE"/>
    <w:rsid w:val="0014532B"/>
    <w:rsid w:val="00145408"/>
    <w:rsid w:val="0014551A"/>
    <w:rsid w:val="001458CD"/>
    <w:rsid w:val="001458E1"/>
    <w:rsid w:val="0014592E"/>
    <w:rsid w:val="00145947"/>
    <w:rsid w:val="001459C8"/>
    <w:rsid w:val="00145A33"/>
    <w:rsid w:val="00145A87"/>
    <w:rsid w:val="00145C56"/>
    <w:rsid w:val="00145D4D"/>
    <w:rsid w:val="00145E48"/>
    <w:rsid w:val="00145E77"/>
    <w:rsid w:val="0014611C"/>
    <w:rsid w:val="00146228"/>
    <w:rsid w:val="0014631C"/>
    <w:rsid w:val="00146355"/>
    <w:rsid w:val="0014636A"/>
    <w:rsid w:val="001464E8"/>
    <w:rsid w:val="0014660E"/>
    <w:rsid w:val="00146622"/>
    <w:rsid w:val="00146960"/>
    <w:rsid w:val="00146974"/>
    <w:rsid w:val="00146AF3"/>
    <w:rsid w:val="00146DCE"/>
    <w:rsid w:val="00146DDF"/>
    <w:rsid w:val="00146F71"/>
    <w:rsid w:val="001470D5"/>
    <w:rsid w:val="001470F6"/>
    <w:rsid w:val="0014721D"/>
    <w:rsid w:val="0014724E"/>
    <w:rsid w:val="0014730C"/>
    <w:rsid w:val="00147321"/>
    <w:rsid w:val="00147355"/>
    <w:rsid w:val="00147540"/>
    <w:rsid w:val="00147695"/>
    <w:rsid w:val="001477C7"/>
    <w:rsid w:val="001477E3"/>
    <w:rsid w:val="00147947"/>
    <w:rsid w:val="00147A08"/>
    <w:rsid w:val="00147A1F"/>
    <w:rsid w:val="00147B56"/>
    <w:rsid w:val="00147B93"/>
    <w:rsid w:val="00147CE3"/>
    <w:rsid w:val="00147D70"/>
    <w:rsid w:val="00147EDB"/>
    <w:rsid w:val="00147F56"/>
    <w:rsid w:val="001500FF"/>
    <w:rsid w:val="0015026A"/>
    <w:rsid w:val="001504AC"/>
    <w:rsid w:val="00150550"/>
    <w:rsid w:val="00150628"/>
    <w:rsid w:val="001509CF"/>
    <w:rsid w:val="00150A6B"/>
    <w:rsid w:val="00150AF4"/>
    <w:rsid w:val="00150CF0"/>
    <w:rsid w:val="00150D05"/>
    <w:rsid w:val="00150EB4"/>
    <w:rsid w:val="0015139E"/>
    <w:rsid w:val="001513A7"/>
    <w:rsid w:val="001515BB"/>
    <w:rsid w:val="00151734"/>
    <w:rsid w:val="00151B4B"/>
    <w:rsid w:val="00151BC7"/>
    <w:rsid w:val="00151C4F"/>
    <w:rsid w:val="00151DFB"/>
    <w:rsid w:val="00151EC3"/>
    <w:rsid w:val="00152221"/>
    <w:rsid w:val="001522A3"/>
    <w:rsid w:val="00152389"/>
    <w:rsid w:val="00152428"/>
    <w:rsid w:val="0015261D"/>
    <w:rsid w:val="001526F1"/>
    <w:rsid w:val="00152774"/>
    <w:rsid w:val="001527DE"/>
    <w:rsid w:val="001528F2"/>
    <w:rsid w:val="0015293D"/>
    <w:rsid w:val="00152A99"/>
    <w:rsid w:val="00152ADD"/>
    <w:rsid w:val="00152C9D"/>
    <w:rsid w:val="00152D88"/>
    <w:rsid w:val="00152DED"/>
    <w:rsid w:val="00152ED7"/>
    <w:rsid w:val="00152F1C"/>
    <w:rsid w:val="00152F4D"/>
    <w:rsid w:val="00152F6A"/>
    <w:rsid w:val="00152FD1"/>
    <w:rsid w:val="001530D0"/>
    <w:rsid w:val="0015319E"/>
    <w:rsid w:val="0015326A"/>
    <w:rsid w:val="00153320"/>
    <w:rsid w:val="001533D6"/>
    <w:rsid w:val="001534F4"/>
    <w:rsid w:val="00153535"/>
    <w:rsid w:val="00153A71"/>
    <w:rsid w:val="00153B2B"/>
    <w:rsid w:val="00153C11"/>
    <w:rsid w:val="00153EC2"/>
    <w:rsid w:val="00154112"/>
    <w:rsid w:val="0015411F"/>
    <w:rsid w:val="001541FE"/>
    <w:rsid w:val="00154331"/>
    <w:rsid w:val="00154462"/>
    <w:rsid w:val="001544B2"/>
    <w:rsid w:val="00154647"/>
    <w:rsid w:val="0015470A"/>
    <w:rsid w:val="001547C6"/>
    <w:rsid w:val="00154976"/>
    <w:rsid w:val="001549BD"/>
    <w:rsid w:val="001549DE"/>
    <w:rsid w:val="00154C8D"/>
    <w:rsid w:val="00154F0E"/>
    <w:rsid w:val="00154F60"/>
    <w:rsid w:val="0015506B"/>
    <w:rsid w:val="0015511C"/>
    <w:rsid w:val="00155126"/>
    <w:rsid w:val="001551E0"/>
    <w:rsid w:val="00155421"/>
    <w:rsid w:val="0015548A"/>
    <w:rsid w:val="001554CB"/>
    <w:rsid w:val="001554DB"/>
    <w:rsid w:val="00155512"/>
    <w:rsid w:val="001555CA"/>
    <w:rsid w:val="00155811"/>
    <w:rsid w:val="00155832"/>
    <w:rsid w:val="001558DE"/>
    <w:rsid w:val="00155BFD"/>
    <w:rsid w:val="00155C0C"/>
    <w:rsid w:val="00155CBB"/>
    <w:rsid w:val="00156029"/>
    <w:rsid w:val="0015605E"/>
    <w:rsid w:val="00156120"/>
    <w:rsid w:val="001562FB"/>
    <w:rsid w:val="00156356"/>
    <w:rsid w:val="001563E4"/>
    <w:rsid w:val="001565E8"/>
    <w:rsid w:val="00156777"/>
    <w:rsid w:val="00156A30"/>
    <w:rsid w:val="00156A8B"/>
    <w:rsid w:val="00156A8D"/>
    <w:rsid w:val="00156AC6"/>
    <w:rsid w:val="00156B1D"/>
    <w:rsid w:val="00156B2F"/>
    <w:rsid w:val="00156B69"/>
    <w:rsid w:val="00156B6D"/>
    <w:rsid w:val="00156BA8"/>
    <w:rsid w:val="00156E2A"/>
    <w:rsid w:val="00156E83"/>
    <w:rsid w:val="00156F79"/>
    <w:rsid w:val="00157089"/>
    <w:rsid w:val="00157542"/>
    <w:rsid w:val="001575CC"/>
    <w:rsid w:val="001577C9"/>
    <w:rsid w:val="001579E4"/>
    <w:rsid w:val="00157B16"/>
    <w:rsid w:val="00157C95"/>
    <w:rsid w:val="00157CF3"/>
    <w:rsid w:val="00157D12"/>
    <w:rsid w:val="00157F47"/>
    <w:rsid w:val="00160064"/>
    <w:rsid w:val="0016011D"/>
    <w:rsid w:val="0016013D"/>
    <w:rsid w:val="001601BE"/>
    <w:rsid w:val="00160298"/>
    <w:rsid w:val="00160299"/>
    <w:rsid w:val="0016037D"/>
    <w:rsid w:val="001603DE"/>
    <w:rsid w:val="001604E8"/>
    <w:rsid w:val="00160789"/>
    <w:rsid w:val="00160821"/>
    <w:rsid w:val="00160B91"/>
    <w:rsid w:val="00160BA9"/>
    <w:rsid w:val="00160CEE"/>
    <w:rsid w:val="00160DF3"/>
    <w:rsid w:val="00160F59"/>
    <w:rsid w:val="00161168"/>
    <w:rsid w:val="00161187"/>
    <w:rsid w:val="0016132F"/>
    <w:rsid w:val="0016167E"/>
    <w:rsid w:val="001618E4"/>
    <w:rsid w:val="0016191F"/>
    <w:rsid w:val="00161A9C"/>
    <w:rsid w:val="00161BE7"/>
    <w:rsid w:val="00161C21"/>
    <w:rsid w:val="00161E60"/>
    <w:rsid w:val="001620C3"/>
    <w:rsid w:val="0016216B"/>
    <w:rsid w:val="00162224"/>
    <w:rsid w:val="00162353"/>
    <w:rsid w:val="00162354"/>
    <w:rsid w:val="001624AC"/>
    <w:rsid w:val="001629B9"/>
    <w:rsid w:val="00162BFF"/>
    <w:rsid w:val="00162DEB"/>
    <w:rsid w:val="00162E1F"/>
    <w:rsid w:val="00162ECF"/>
    <w:rsid w:val="0016300B"/>
    <w:rsid w:val="001630AF"/>
    <w:rsid w:val="001630FD"/>
    <w:rsid w:val="001631C5"/>
    <w:rsid w:val="00163427"/>
    <w:rsid w:val="001637BF"/>
    <w:rsid w:val="001637C1"/>
    <w:rsid w:val="001638A9"/>
    <w:rsid w:val="00163935"/>
    <w:rsid w:val="001639F0"/>
    <w:rsid w:val="00163AA3"/>
    <w:rsid w:val="00163B94"/>
    <w:rsid w:val="00163E53"/>
    <w:rsid w:val="00164018"/>
    <w:rsid w:val="0016421C"/>
    <w:rsid w:val="00164341"/>
    <w:rsid w:val="0016456A"/>
    <w:rsid w:val="0016462D"/>
    <w:rsid w:val="0016469E"/>
    <w:rsid w:val="001646BD"/>
    <w:rsid w:val="0016471A"/>
    <w:rsid w:val="00164795"/>
    <w:rsid w:val="00164881"/>
    <w:rsid w:val="001648B8"/>
    <w:rsid w:val="00164E6A"/>
    <w:rsid w:val="00164EE2"/>
    <w:rsid w:val="00165089"/>
    <w:rsid w:val="00165151"/>
    <w:rsid w:val="00165371"/>
    <w:rsid w:val="0016541C"/>
    <w:rsid w:val="0016543C"/>
    <w:rsid w:val="001654E7"/>
    <w:rsid w:val="00165670"/>
    <w:rsid w:val="001656AF"/>
    <w:rsid w:val="001657FB"/>
    <w:rsid w:val="00165964"/>
    <w:rsid w:val="00165D3E"/>
    <w:rsid w:val="00165D4E"/>
    <w:rsid w:val="00165F5E"/>
    <w:rsid w:val="00166061"/>
    <w:rsid w:val="0016617C"/>
    <w:rsid w:val="001661FE"/>
    <w:rsid w:val="00166361"/>
    <w:rsid w:val="001663B1"/>
    <w:rsid w:val="00166403"/>
    <w:rsid w:val="0016644B"/>
    <w:rsid w:val="001665DA"/>
    <w:rsid w:val="00166710"/>
    <w:rsid w:val="00166716"/>
    <w:rsid w:val="00166AA2"/>
    <w:rsid w:val="00166B73"/>
    <w:rsid w:val="00166CE7"/>
    <w:rsid w:val="00166EA3"/>
    <w:rsid w:val="00167153"/>
    <w:rsid w:val="0016753B"/>
    <w:rsid w:val="00167650"/>
    <w:rsid w:val="00167764"/>
    <w:rsid w:val="0016780F"/>
    <w:rsid w:val="00167874"/>
    <w:rsid w:val="00167AC3"/>
    <w:rsid w:val="00167D4D"/>
    <w:rsid w:val="00167D75"/>
    <w:rsid w:val="00167F80"/>
    <w:rsid w:val="00167F9F"/>
    <w:rsid w:val="00170070"/>
    <w:rsid w:val="00170137"/>
    <w:rsid w:val="0017051F"/>
    <w:rsid w:val="001707E7"/>
    <w:rsid w:val="0017085F"/>
    <w:rsid w:val="001709C7"/>
    <w:rsid w:val="00170A70"/>
    <w:rsid w:val="00170C31"/>
    <w:rsid w:val="00170C6E"/>
    <w:rsid w:val="00170DB6"/>
    <w:rsid w:val="001710AE"/>
    <w:rsid w:val="001710FC"/>
    <w:rsid w:val="001711A2"/>
    <w:rsid w:val="0017121D"/>
    <w:rsid w:val="001716D2"/>
    <w:rsid w:val="00171703"/>
    <w:rsid w:val="00171839"/>
    <w:rsid w:val="00171972"/>
    <w:rsid w:val="00171ABE"/>
    <w:rsid w:val="00171BBE"/>
    <w:rsid w:val="00171C05"/>
    <w:rsid w:val="00171CDD"/>
    <w:rsid w:val="00171E48"/>
    <w:rsid w:val="00171F39"/>
    <w:rsid w:val="0017222F"/>
    <w:rsid w:val="0017224C"/>
    <w:rsid w:val="001722ED"/>
    <w:rsid w:val="0017237F"/>
    <w:rsid w:val="0017239E"/>
    <w:rsid w:val="001724B8"/>
    <w:rsid w:val="0017262F"/>
    <w:rsid w:val="00172752"/>
    <w:rsid w:val="0017276A"/>
    <w:rsid w:val="00172A4D"/>
    <w:rsid w:val="00172D31"/>
    <w:rsid w:val="00172D6D"/>
    <w:rsid w:val="00172E93"/>
    <w:rsid w:val="00172F9E"/>
    <w:rsid w:val="0017311B"/>
    <w:rsid w:val="00173330"/>
    <w:rsid w:val="001733CB"/>
    <w:rsid w:val="00173629"/>
    <w:rsid w:val="00173807"/>
    <w:rsid w:val="00173921"/>
    <w:rsid w:val="00173B1B"/>
    <w:rsid w:val="00173B43"/>
    <w:rsid w:val="00173BA7"/>
    <w:rsid w:val="00173CAB"/>
    <w:rsid w:val="00173F4F"/>
    <w:rsid w:val="00173F69"/>
    <w:rsid w:val="00173FC1"/>
    <w:rsid w:val="00174032"/>
    <w:rsid w:val="00174362"/>
    <w:rsid w:val="001748DD"/>
    <w:rsid w:val="001749F9"/>
    <w:rsid w:val="00174A33"/>
    <w:rsid w:val="00174A62"/>
    <w:rsid w:val="00174E9C"/>
    <w:rsid w:val="00174E9E"/>
    <w:rsid w:val="00174F48"/>
    <w:rsid w:val="00175098"/>
    <w:rsid w:val="00175126"/>
    <w:rsid w:val="00175178"/>
    <w:rsid w:val="0017523F"/>
    <w:rsid w:val="00175299"/>
    <w:rsid w:val="001754D6"/>
    <w:rsid w:val="001755BF"/>
    <w:rsid w:val="0017599D"/>
    <w:rsid w:val="00175B42"/>
    <w:rsid w:val="00175D9C"/>
    <w:rsid w:val="00175EB0"/>
    <w:rsid w:val="00176268"/>
    <w:rsid w:val="001762AC"/>
    <w:rsid w:val="0017633F"/>
    <w:rsid w:val="001763A0"/>
    <w:rsid w:val="00176B06"/>
    <w:rsid w:val="00176DB0"/>
    <w:rsid w:val="00176DB3"/>
    <w:rsid w:val="00176FA8"/>
    <w:rsid w:val="00177132"/>
    <w:rsid w:val="0017717E"/>
    <w:rsid w:val="00177341"/>
    <w:rsid w:val="00177417"/>
    <w:rsid w:val="00177450"/>
    <w:rsid w:val="001776BE"/>
    <w:rsid w:val="001778FA"/>
    <w:rsid w:val="00177920"/>
    <w:rsid w:val="001779E8"/>
    <w:rsid w:val="00177AF0"/>
    <w:rsid w:val="00177B4A"/>
    <w:rsid w:val="00177B83"/>
    <w:rsid w:val="00177D37"/>
    <w:rsid w:val="00177FDF"/>
    <w:rsid w:val="001800E6"/>
    <w:rsid w:val="00180109"/>
    <w:rsid w:val="00180134"/>
    <w:rsid w:val="001801E9"/>
    <w:rsid w:val="0018028C"/>
    <w:rsid w:val="00180321"/>
    <w:rsid w:val="0018064E"/>
    <w:rsid w:val="00180680"/>
    <w:rsid w:val="00180720"/>
    <w:rsid w:val="00180D5B"/>
    <w:rsid w:val="00180D5C"/>
    <w:rsid w:val="0018103E"/>
    <w:rsid w:val="0018105F"/>
    <w:rsid w:val="00181268"/>
    <w:rsid w:val="001812A5"/>
    <w:rsid w:val="00181303"/>
    <w:rsid w:val="00181620"/>
    <w:rsid w:val="0018163F"/>
    <w:rsid w:val="001816B2"/>
    <w:rsid w:val="0018180A"/>
    <w:rsid w:val="00181C67"/>
    <w:rsid w:val="0018206F"/>
    <w:rsid w:val="00182151"/>
    <w:rsid w:val="00182201"/>
    <w:rsid w:val="00182229"/>
    <w:rsid w:val="00182365"/>
    <w:rsid w:val="0018244B"/>
    <w:rsid w:val="001824A1"/>
    <w:rsid w:val="001824F0"/>
    <w:rsid w:val="001827C6"/>
    <w:rsid w:val="00182856"/>
    <w:rsid w:val="00182BA1"/>
    <w:rsid w:val="00182D6F"/>
    <w:rsid w:val="00182F80"/>
    <w:rsid w:val="00183084"/>
    <w:rsid w:val="001830B5"/>
    <w:rsid w:val="001831CA"/>
    <w:rsid w:val="0018338D"/>
    <w:rsid w:val="001838C2"/>
    <w:rsid w:val="00183B47"/>
    <w:rsid w:val="00183C26"/>
    <w:rsid w:val="00183C58"/>
    <w:rsid w:val="00183CB1"/>
    <w:rsid w:val="00183D24"/>
    <w:rsid w:val="00183D5F"/>
    <w:rsid w:val="00183E1A"/>
    <w:rsid w:val="00183E53"/>
    <w:rsid w:val="00183E91"/>
    <w:rsid w:val="00183FE0"/>
    <w:rsid w:val="0018405C"/>
    <w:rsid w:val="001840AE"/>
    <w:rsid w:val="00184103"/>
    <w:rsid w:val="001841B2"/>
    <w:rsid w:val="0018420B"/>
    <w:rsid w:val="00184327"/>
    <w:rsid w:val="0018434C"/>
    <w:rsid w:val="001843B8"/>
    <w:rsid w:val="00184529"/>
    <w:rsid w:val="0018457D"/>
    <w:rsid w:val="001845AB"/>
    <w:rsid w:val="001845F3"/>
    <w:rsid w:val="001847BF"/>
    <w:rsid w:val="00184821"/>
    <w:rsid w:val="0018487A"/>
    <w:rsid w:val="001849D8"/>
    <w:rsid w:val="00184AFF"/>
    <w:rsid w:val="00184B8C"/>
    <w:rsid w:val="00184C8F"/>
    <w:rsid w:val="00184CB3"/>
    <w:rsid w:val="00184DFB"/>
    <w:rsid w:val="001850CD"/>
    <w:rsid w:val="00185137"/>
    <w:rsid w:val="00185191"/>
    <w:rsid w:val="00185284"/>
    <w:rsid w:val="0018544E"/>
    <w:rsid w:val="0018554D"/>
    <w:rsid w:val="001855C9"/>
    <w:rsid w:val="00185759"/>
    <w:rsid w:val="00185888"/>
    <w:rsid w:val="0018592F"/>
    <w:rsid w:val="00185D57"/>
    <w:rsid w:val="00185EBA"/>
    <w:rsid w:val="00186031"/>
    <w:rsid w:val="00186350"/>
    <w:rsid w:val="001863A0"/>
    <w:rsid w:val="00186433"/>
    <w:rsid w:val="001864F6"/>
    <w:rsid w:val="00186802"/>
    <w:rsid w:val="001868AD"/>
    <w:rsid w:val="00186955"/>
    <w:rsid w:val="0018699A"/>
    <w:rsid w:val="00186A5B"/>
    <w:rsid w:val="00186B59"/>
    <w:rsid w:val="00186C2A"/>
    <w:rsid w:val="00186E01"/>
    <w:rsid w:val="00186FF9"/>
    <w:rsid w:val="001871C1"/>
    <w:rsid w:val="001872CD"/>
    <w:rsid w:val="001874DA"/>
    <w:rsid w:val="00187664"/>
    <w:rsid w:val="00187898"/>
    <w:rsid w:val="00187A0E"/>
    <w:rsid w:val="00187B90"/>
    <w:rsid w:val="00187C27"/>
    <w:rsid w:val="00187D1D"/>
    <w:rsid w:val="00187F74"/>
    <w:rsid w:val="00190008"/>
    <w:rsid w:val="0019032D"/>
    <w:rsid w:val="0019068B"/>
    <w:rsid w:val="001906F0"/>
    <w:rsid w:val="001908AF"/>
    <w:rsid w:val="00190929"/>
    <w:rsid w:val="0019095A"/>
    <w:rsid w:val="001909B9"/>
    <w:rsid w:val="00190A44"/>
    <w:rsid w:val="00190A98"/>
    <w:rsid w:val="00190BFB"/>
    <w:rsid w:val="00190C3D"/>
    <w:rsid w:val="00190C6A"/>
    <w:rsid w:val="00190E63"/>
    <w:rsid w:val="00190F76"/>
    <w:rsid w:val="00190FD7"/>
    <w:rsid w:val="00190FF5"/>
    <w:rsid w:val="0019107D"/>
    <w:rsid w:val="00191116"/>
    <w:rsid w:val="0019121C"/>
    <w:rsid w:val="001915B8"/>
    <w:rsid w:val="0019165F"/>
    <w:rsid w:val="001917DF"/>
    <w:rsid w:val="0019189D"/>
    <w:rsid w:val="00191A78"/>
    <w:rsid w:val="00191E2C"/>
    <w:rsid w:val="00191E39"/>
    <w:rsid w:val="00191E7B"/>
    <w:rsid w:val="00191E91"/>
    <w:rsid w:val="00191F14"/>
    <w:rsid w:val="00192222"/>
    <w:rsid w:val="001923D9"/>
    <w:rsid w:val="001923FD"/>
    <w:rsid w:val="0019240A"/>
    <w:rsid w:val="00192668"/>
    <w:rsid w:val="00192875"/>
    <w:rsid w:val="001928A5"/>
    <w:rsid w:val="001928B6"/>
    <w:rsid w:val="00192ADD"/>
    <w:rsid w:val="00192B52"/>
    <w:rsid w:val="00192CF7"/>
    <w:rsid w:val="00192DEA"/>
    <w:rsid w:val="001930B0"/>
    <w:rsid w:val="00193278"/>
    <w:rsid w:val="001932CA"/>
    <w:rsid w:val="001934E2"/>
    <w:rsid w:val="00193599"/>
    <w:rsid w:val="001936BA"/>
    <w:rsid w:val="00193849"/>
    <w:rsid w:val="0019386A"/>
    <w:rsid w:val="0019391A"/>
    <w:rsid w:val="00193943"/>
    <w:rsid w:val="00193B0C"/>
    <w:rsid w:val="00193BCA"/>
    <w:rsid w:val="00193D05"/>
    <w:rsid w:val="00193D7F"/>
    <w:rsid w:val="00193DDD"/>
    <w:rsid w:val="00193DFA"/>
    <w:rsid w:val="00193F8C"/>
    <w:rsid w:val="0019419F"/>
    <w:rsid w:val="001941E3"/>
    <w:rsid w:val="0019428B"/>
    <w:rsid w:val="001946F9"/>
    <w:rsid w:val="001947BA"/>
    <w:rsid w:val="001948F4"/>
    <w:rsid w:val="00194D31"/>
    <w:rsid w:val="00194D45"/>
    <w:rsid w:val="00194D6E"/>
    <w:rsid w:val="00194E3F"/>
    <w:rsid w:val="00194FFA"/>
    <w:rsid w:val="0019503D"/>
    <w:rsid w:val="001950C6"/>
    <w:rsid w:val="0019525F"/>
    <w:rsid w:val="00195577"/>
    <w:rsid w:val="00195713"/>
    <w:rsid w:val="0019580F"/>
    <w:rsid w:val="0019581C"/>
    <w:rsid w:val="0019583D"/>
    <w:rsid w:val="00195931"/>
    <w:rsid w:val="00195952"/>
    <w:rsid w:val="00195B54"/>
    <w:rsid w:val="00195C73"/>
    <w:rsid w:val="00195D75"/>
    <w:rsid w:val="00195E78"/>
    <w:rsid w:val="00195FEE"/>
    <w:rsid w:val="00196142"/>
    <w:rsid w:val="001961B2"/>
    <w:rsid w:val="001962CF"/>
    <w:rsid w:val="001962D3"/>
    <w:rsid w:val="00196393"/>
    <w:rsid w:val="00196600"/>
    <w:rsid w:val="0019671D"/>
    <w:rsid w:val="00196919"/>
    <w:rsid w:val="00196922"/>
    <w:rsid w:val="00196B45"/>
    <w:rsid w:val="00196B86"/>
    <w:rsid w:val="00196B8C"/>
    <w:rsid w:val="00196BAD"/>
    <w:rsid w:val="00196D13"/>
    <w:rsid w:val="00196FC1"/>
    <w:rsid w:val="0019724A"/>
    <w:rsid w:val="001973CB"/>
    <w:rsid w:val="001975C3"/>
    <w:rsid w:val="001976FD"/>
    <w:rsid w:val="001977B5"/>
    <w:rsid w:val="001978F3"/>
    <w:rsid w:val="00197922"/>
    <w:rsid w:val="0019795A"/>
    <w:rsid w:val="00197A2B"/>
    <w:rsid w:val="00197B61"/>
    <w:rsid w:val="00197B81"/>
    <w:rsid w:val="00197B85"/>
    <w:rsid w:val="00197CDF"/>
    <w:rsid w:val="001A004D"/>
    <w:rsid w:val="001A00EF"/>
    <w:rsid w:val="001A0178"/>
    <w:rsid w:val="001A0198"/>
    <w:rsid w:val="001A0304"/>
    <w:rsid w:val="001A036A"/>
    <w:rsid w:val="001A0456"/>
    <w:rsid w:val="001A07C0"/>
    <w:rsid w:val="001A086B"/>
    <w:rsid w:val="001A09C2"/>
    <w:rsid w:val="001A0B73"/>
    <w:rsid w:val="001A0B7F"/>
    <w:rsid w:val="001A0BE2"/>
    <w:rsid w:val="001A0E10"/>
    <w:rsid w:val="001A0E95"/>
    <w:rsid w:val="001A0ED1"/>
    <w:rsid w:val="001A10D7"/>
    <w:rsid w:val="001A1142"/>
    <w:rsid w:val="001A116A"/>
    <w:rsid w:val="001A1220"/>
    <w:rsid w:val="001A1436"/>
    <w:rsid w:val="001A1447"/>
    <w:rsid w:val="001A14AD"/>
    <w:rsid w:val="001A14C6"/>
    <w:rsid w:val="001A168C"/>
    <w:rsid w:val="001A18EE"/>
    <w:rsid w:val="001A192F"/>
    <w:rsid w:val="001A1933"/>
    <w:rsid w:val="001A1A48"/>
    <w:rsid w:val="001A1A58"/>
    <w:rsid w:val="001A1BE2"/>
    <w:rsid w:val="001A1E94"/>
    <w:rsid w:val="001A203E"/>
    <w:rsid w:val="001A2158"/>
    <w:rsid w:val="001A21D5"/>
    <w:rsid w:val="001A22D7"/>
    <w:rsid w:val="001A22FA"/>
    <w:rsid w:val="001A24F4"/>
    <w:rsid w:val="001A2800"/>
    <w:rsid w:val="001A2A6B"/>
    <w:rsid w:val="001A2DA0"/>
    <w:rsid w:val="001A2E9D"/>
    <w:rsid w:val="001A2F9B"/>
    <w:rsid w:val="001A2F9D"/>
    <w:rsid w:val="001A3090"/>
    <w:rsid w:val="001A3127"/>
    <w:rsid w:val="001A329C"/>
    <w:rsid w:val="001A3642"/>
    <w:rsid w:val="001A3656"/>
    <w:rsid w:val="001A3992"/>
    <w:rsid w:val="001A3BD3"/>
    <w:rsid w:val="001A3E90"/>
    <w:rsid w:val="001A3EF9"/>
    <w:rsid w:val="001A3F4D"/>
    <w:rsid w:val="001A4082"/>
    <w:rsid w:val="001A413C"/>
    <w:rsid w:val="001A41FA"/>
    <w:rsid w:val="001A4287"/>
    <w:rsid w:val="001A4423"/>
    <w:rsid w:val="001A445D"/>
    <w:rsid w:val="001A4537"/>
    <w:rsid w:val="001A4657"/>
    <w:rsid w:val="001A4679"/>
    <w:rsid w:val="001A4723"/>
    <w:rsid w:val="001A4794"/>
    <w:rsid w:val="001A479E"/>
    <w:rsid w:val="001A4833"/>
    <w:rsid w:val="001A495E"/>
    <w:rsid w:val="001A4A98"/>
    <w:rsid w:val="001A4B8D"/>
    <w:rsid w:val="001A4C16"/>
    <w:rsid w:val="001A4C4A"/>
    <w:rsid w:val="001A4E06"/>
    <w:rsid w:val="001A50B6"/>
    <w:rsid w:val="001A511C"/>
    <w:rsid w:val="001A514C"/>
    <w:rsid w:val="001A5343"/>
    <w:rsid w:val="001A5490"/>
    <w:rsid w:val="001A54A8"/>
    <w:rsid w:val="001A54FB"/>
    <w:rsid w:val="001A5522"/>
    <w:rsid w:val="001A5695"/>
    <w:rsid w:val="001A56F2"/>
    <w:rsid w:val="001A58D3"/>
    <w:rsid w:val="001A5A08"/>
    <w:rsid w:val="001A5A8D"/>
    <w:rsid w:val="001A5B99"/>
    <w:rsid w:val="001A5BCE"/>
    <w:rsid w:val="001A5DC0"/>
    <w:rsid w:val="001A6192"/>
    <w:rsid w:val="001A61D6"/>
    <w:rsid w:val="001A662F"/>
    <w:rsid w:val="001A66CE"/>
    <w:rsid w:val="001A6A51"/>
    <w:rsid w:val="001A6ACE"/>
    <w:rsid w:val="001A6C29"/>
    <w:rsid w:val="001A6D30"/>
    <w:rsid w:val="001A6D55"/>
    <w:rsid w:val="001A6E2C"/>
    <w:rsid w:val="001A6FA6"/>
    <w:rsid w:val="001A702E"/>
    <w:rsid w:val="001A704B"/>
    <w:rsid w:val="001A7122"/>
    <w:rsid w:val="001A713A"/>
    <w:rsid w:val="001A72EE"/>
    <w:rsid w:val="001A752E"/>
    <w:rsid w:val="001A7694"/>
    <w:rsid w:val="001A79A7"/>
    <w:rsid w:val="001A79E0"/>
    <w:rsid w:val="001A7E32"/>
    <w:rsid w:val="001A7E99"/>
    <w:rsid w:val="001A7F04"/>
    <w:rsid w:val="001A7F23"/>
    <w:rsid w:val="001A7FBD"/>
    <w:rsid w:val="001B01C3"/>
    <w:rsid w:val="001B03FC"/>
    <w:rsid w:val="001B0414"/>
    <w:rsid w:val="001B0480"/>
    <w:rsid w:val="001B048A"/>
    <w:rsid w:val="001B04A6"/>
    <w:rsid w:val="001B0572"/>
    <w:rsid w:val="001B0634"/>
    <w:rsid w:val="001B06D7"/>
    <w:rsid w:val="001B0700"/>
    <w:rsid w:val="001B07F9"/>
    <w:rsid w:val="001B083B"/>
    <w:rsid w:val="001B08A3"/>
    <w:rsid w:val="001B09B0"/>
    <w:rsid w:val="001B09D3"/>
    <w:rsid w:val="001B0B09"/>
    <w:rsid w:val="001B0B5A"/>
    <w:rsid w:val="001B0B75"/>
    <w:rsid w:val="001B0C5E"/>
    <w:rsid w:val="001B0C83"/>
    <w:rsid w:val="001B0ED5"/>
    <w:rsid w:val="001B0FD3"/>
    <w:rsid w:val="001B12AC"/>
    <w:rsid w:val="001B1429"/>
    <w:rsid w:val="001B147F"/>
    <w:rsid w:val="001B15FC"/>
    <w:rsid w:val="001B17B0"/>
    <w:rsid w:val="001B1868"/>
    <w:rsid w:val="001B189C"/>
    <w:rsid w:val="001B1981"/>
    <w:rsid w:val="001B19CA"/>
    <w:rsid w:val="001B1A3D"/>
    <w:rsid w:val="001B1B36"/>
    <w:rsid w:val="001B1CC5"/>
    <w:rsid w:val="001B1D6A"/>
    <w:rsid w:val="001B1DDF"/>
    <w:rsid w:val="001B1EA2"/>
    <w:rsid w:val="001B1EC7"/>
    <w:rsid w:val="001B1ED3"/>
    <w:rsid w:val="001B1FA9"/>
    <w:rsid w:val="001B2195"/>
    <w:rsid w:val="001B21F7"/>
    <w:rsid w:val="001B2222"/>
    <w:rsid w:val="001B227D"/>
    <w:rsid w:val="001B22AD"/>
    <w:rsid w:val="001B232D"/>
    <w:rsid w:val="001B232F"/>
    <w:rsid w:val="001B2343"/>
    <w:rsid w:val="001B2643"/>
    <w:rsid w:val="001B2716"/>
    <w:rsid w:val="001B27A5"/>
    <w:rsid w:val="001B2859"/>
    <w:rsid w:val="001B2888"/>
    <w:rsid w:val="001B28CF"/>
    <w:rsid w:val="001B290E"/>
    <w:rsid w:val="001B2A9F"/>
    <w:rsid w:val="001B2C63"/>
    <w:rsid w:val="001B2F57"/>
    <w:rsid w:val="001B30BF"/>
    <w:rsid w:val="001B334B"/>
    <w:rsid w:val="001B344A"/>
    <w:rsid w:val="001B354F"/>
    <w:rsid w:val="001B35FC"/>
    <w:rsid w:val="001B36BF"/>
    <w:rsid w:val="001B378C"/>
    <w:rsid w:val="001B388E"/>
    <w:rsid w:val="001B3A79"/>
    <w:rsid w:val="001B3B0A"/>
    <w:rsid w:val="001B3D39"/>
    <w:rsid w:val="001B3E12"/>
    <w:rsid w:val="001B3EE7"/>
    <w:rsid w:val="001B3EE9"/>
    <w:rsid w:val="001B3FA1"/>
    <w:rsid w:val="001B4149"/>
    <w:rsid w:val="001B4322"/>
    <w:rsid w:val="001B43DC"/>
    <w:rsid w:val="001B4452"/>
    <w:rsid w:val="001B4493"/>
    <w:rsid w:val="001B4494"/>
    <w:rsid w:val="001B4497"/>
    <w:rsid w:val="001B44C1"/>
    <w:rsid w:val="001B44DF"/>
    <w:rsid w:val="001B44FA"/>
    <w:rsid w:val="001B4761"/>
    <w:rsid w:val="001B47A9"/>
    <w:rsid w:val="001B480B"/>
    <w:rsid w:val="001B48E1"/>
    <w:rsid w:val="001B4AAA"/>
    <w:rsid w:val="001B4B18"/>
    <w:rsid w:val="001B4CBE"/>
    <w:rsid w:val="001B4FBF"/>
    <w:rsid w:val="001B4FED"/>
    <w:rsid w:val="001B5026"/>
    <w:rsid w:val="001B50AC"/>
    <w:rsid w:val="001B5169"/>
    <w:rsid w:val="001B53AD"/>
    <w:rsid w:val="001B5490"/>
    <w:rsid w:val="001B54DC"/>
    <w:rsid w:val="001B5586"/>
    <w:rsid w:val="001B5800"/>
    <w:rsid w:val="001B58B0"/>
    <w:rsid w:val="001B5969"/>
    <w:rsid w:val="001B5ACB"/>
    <w:rsid w:val="001B5B69"/>
    <w:rsid w:val="001B5D9B"/>
    <w:rsid w:val="001B5E4D"/>
    <w:rsid w:val="001B61E4"/>
    <w:rsid w:val="001B6717"/>
    <w:rsid w:val="001B672A"/>
    <w:rsid w:val="001B679F"/>
    <w:rsid w:val="001B67E3"/>
    <w:rsid w:val="001B685F"/>
    <w:rsid w:val="001B69F6"/>
    <w:rsid w:val="001B69F7"/>
    <w:rsid w:val="001B6B0E"/>
    <w:rsid w:val="001B6B3A"/>
    <w:rsid w:val="001B6B44"/>
    <w:rsid w:val="001B6B85"/>
    <w:rsid w:val="001B6BC3"/>
    <w:rsid w:val="001B6C45"/>
    <w:rsid w:val="001B6FA3"/>
    <w:rsid w:val="001B6FB5"/>
    <w:rsid w:val="001B6FE8"/>
    <w:rsid w:val="001B7112"/>
    <w:rsid w:val="001B7287"/>
    <w:rsid w:val="001B740A"/>
    <w:rsid w:val="001B7430"/>
    <w:rsid w:val="001B75CC"/>
    <w:rsid w:val="001B7794"/>
    <w:rsid w:val="001B7798"/>
    <w:rsid w:val="001B782E"/>
    <w:rsid w:val="001B7898"/>
    <w:rsid w:val="001B78C6"/>
    <w:rsid w:val="001B79AF"/>
    <w:rsid w:val="001B7C80"/>
    <w:rsid w:val="001B7C9A"/>
    <w:rsid w:val="001B7CE0"/>
    <w:rsid w:val="001B7F78"/>
    <w:rsid w:val="001B7FE9"/>
    <w:rsid w:val="001C004A"/>
    <w:rsid w:val="001C00BE"/>
    <w:rsid w:val="001C0143"/>
    <w:rsid w:val="001C0423"/>
    <w:rsid w:val="001C0652"/>
    <w:rsid w:val="001C067A"/>
    <w:rsid w:val="001C080F"/>
    <w:rsid w:val="001C0912"/>
    <w:rsid w:val="001C0D21"/>
    <w:rsid w:val="001C0E94"/>
    <w:rsid w:val="001C0FA9"/>
    <w:rsid w:val="001C117F"/>
    <w:rsid w:val="001C1192"/>
    <w:rsid w:val="001C13BB"/>
    <w:rsid w:val="001C15B7"/>
    <w:rsid w:val="001C1AE6"/>
    <w:rsid w:val="001C1BD3"/>
    <w:rsid w:val="001C1D5D"/>
    <w:rsid w:val="001C1E6C"/>
    <w:rsid w:val="001C1EBA"/>
    <w:rsid w:val="001C2197"/>
    <w:rsid w:val="001C2382"/>
    <w:rsid w:val="001C2448"/>
    <w:rsid w:val="001C259D"/>
    <w:rsid w:val="001C2953"/>
    <w:rsid w:val="001C2977"/>
    <w:rsid w:val="001C2A69"/>
    <w:rsid w:val="001C2BB9"/>
    <w:rsid w:val="001C2C13"/>
    <w:rsid w:val="001C2D6B"/>
    <w:rsid w:val="001C2DBB"/>
    <w:rsid w:val="001C2E60"/>
    <w:rsid w:val="001C31F9"/>
    <w:rsid w:val="001C3244"/>
    <w:rsid w:val="001C32AC"/>
    <w:rsid w:val="001C32FE"/>
    <w:rsid w:val="001C33D1"/>
    <w:rsid w:val="001C36E2"/>
    <w:rsid w:val="001C36F5"/>
    <w:rsid w:val="001C37B9"/>
    <w:rsid w:val="001C38A1"/>
    <w:rsid w:val="001C38EE"/>
    <w:rsid w:val="001C39D2"/>
    <w:rsid w:val="001C3D02"/>
    <w:rsid w:val="001C3D5A"/>
    <w:rsid w:val="001C3F3B"/>
    <w:rsid w:val="001C3F73"/>
    <w:rsid w:val="001C40AE"/>
    <w:rsid w:val="001C4221"/>
    <w:rsid w:val="001C425E"/>
    <w:rsid w:val="001C4565"/>
    <w:rsid w:val="001C458C"/>
    <w:rsid w:val="001C4972"/>
    <w:rsid w:val="001C49E6"/>
    <w:rsid w:val="001C4A65"/>
    <w:rsid w:val="001C4A7A"/>
    <w:rsid w:val="001C4C5E"/>
    <w:rsid w:val="001C4EFF"/>
    <w:rsid w:val="001C4F29"/>
    <w:rsid w:val="001C5276"/>
    <w:rsid w:val="001C5689"/>
    <w:rsid w:val="001C56BA"/>
    <w:rsid w:val="001C57BD"/>
    <w:rsid w:val="001C5A0C"/>
    <w:rsid w:val="001C5A9C"/>
    <w:rsid w:val="001C5B17"/>
    <w:rsid w:val="001C5C1D"/>
    <w:rsid w:val="001C5C3C"/>
    <w:rsid w:val="001C5CB5"/>
    <w:rsid w:val="001C5E00"/>
    <w:rsid w:val="001C60ED"/>
    <w:rsid w:val="001C62CC"/>
    <w:rsid w:val="001C6305"/>
    <w:rsid w:val="001C630F"/>
    <w:rsid w:val="001C642A"/>
    <w:rsid w:val="001C6507"/>
    <w:rsid w:val="001C6573"/>
    <w:rsid w:val="001C6802"/>
    <w:rsid w:val="001C682A"/>
    <w:rsid w:val="001C68B2"/>
    <w:rsid w:val="001C68CB"/>
    <w:rsid w:val="001C69C1"/>
    <w:rsid w:val="001C69FE"/>
    <w:rsid w:val="001C6B74"/>
    <w:rsid w:val="001C6BD7"/>
    <w:rsid w:val="001C6CCE"/>
    <w:rsid w:val="001C6E31"/>
    <w:rsid w:val="001C6F3D"/>
    <w:rsid w:val="001C7122"/>
    <w:rsid w:val="001C71D0"/>
    <w:rsid w:val="001C75E3"/>
    <w:rsid w:val="001C7673"/>
    <w:rsid w:val="001C76C4"/>
    <w:rsid w:val="001C76F0"/>
    <w:rsid w:val="001C7774"/>
    <w:rsid w:val="001C7821"/>
    <w:rsid w:val="001C78BB"/>
    <w:rsid w:val="001C79F9"/>
    <w:rsid w:val="001C7ADC"/>
    <w:rsid w:val="001C7B99"/>
    <w:rsid w:val="001C7C52"/>
    <w:rsid w:val="001C7D93"/>
    <w:rsid w:val="001C7F0F"/>
    <w:rsid w:val="001D0221"/>
    <w:rsid w:val="001D026B"/>
    <w:rsid w:val="001D02C0"/>
    <w:rsid w:val="001D045E"/>
    <w:rsid w:val="001D049F"/>
    <w:rsid w:val="001D04C7"/>
    <w:rsid w:val="001D05F9"/>
    <w:rsid w:val="001D0913"/>
    <w:rsid w:val="001D0AE4"/>
    <w:rsid w:val="001D0D45"/>
    <w:rsid w:val="001D0F07"/>
    <w:rsid w:val="001D1091"/>
    <w:rsid w:val="001D129E"/>
    <w:rsid w:val="001D13DC"/>
    <w:rsid w:val="001D14D5"/>
    <w:rsid w:val="001D186D"/>
    <w:rsid w:val="001D19A5"/>
    <w:rsid w:val="001D1A04"/>
    <w:rsid w:val="001D1C79"/>
    <w:rsid w:val="001D1F6E"/>
    <w:rsid w:val="001D2025"/>
    <w:rsid w:val="001D20A3"/>
    <w:rsid w:val="001D22A1"/>
    <w:rsid w:val="001D23AC"/>
    <w:rsid w:val="001D2521"/>
    <w:rsid w:val="001D25D9"/>
    <w:rsid w:val="001D2647"/>
    <w:rsid w:val="001D26EF"/>
    <w:rsid w:val="001D279D"/>
    <w:rsid w:val="001D27C5"/>
    <w:rsid w:val="001D28AD"/>
    <w:rsid w:val="001D28F8"/>
    <w:rsid w:val="001D2950"/>
    <w:rsid w:val="001D2C18"/>
    <w:rsid w:val="001D2F24"/>
    <w:rsid w:val="001D2F88"/>
    <w:rsid w:val="001D2FEA"/>
    <w:rsid w:val="001D32B0"/>
    <w:rsid w:val="001D3370"/>
    <w:rsid w:val="001D3447"/>
    <w:rsid w:val="001D3496"/>
    <w:rsid w:val="001D35E4"/>
    <w:rsid w:val="001D365A"/>
    <w:rsid w:val="001D37B1"/>
    <w:rsid w:val="001D3B11"/>
    <w:rsid w:val="001D3C2D"/>
    <w:rsid w:val="001D3D3D"/>
    <w:rsid w:val="001D3DDA"/>
    <w:rsid w:val="001D3F9E"/>
    <w:rsid w:val="001D4021"/>
    <w:rsid w:val="001D4124"/>
    <w:rsid w:val="001D417C"/>
    <w:rsid w:val="001D4184"/>
    <w:rsid w:val="001D440B"/>
    <w:rsid w:val="001D469A"/>
    <w:rsid w:val="001D4739"/>
    <w:rsid w:val="001D4794"/>
    <w:rsid w:val="001D47EE"/>
    <w:rsid w:val="001D4A5A"/>
    <w:rsid w:val="001D4BB5"/>
    <w:rsid w:val="001D4D5D"/>
    <w:rsid w:val="001D4DC2"/>
    <w:rsid w:val="001D50FD"/>
    <w:rsid w:val="001D516D"/>
    <w:rsid w:val="001D534B"/>
    <w:rsid w:val="001D54ED"/>
    <w:rsid w:val="001D55F6"/>
    <w:rsid w:val="001D576E"/>
    <w:rsid w:val="001D5891"/>
    <w:rsid w:val="001D5A75"/>
    <w:rsid w:val="001D5AEB"/>
    <w:rsid w:val="001D5B34"/>
    <w:rsid w:val="001D5B35"/>
    <w:rsid w:val="001D5FAC"/>
    <w:rsid w:val="001D60F3"/>
    <w:rsid w:val="001D6402"/>
    <w:rsid w:val="001D642C"/>
    <w:rsid w:val="001D6450"/>
    <w:rsid w:val="001D653B"/>
    <w:rsid w:val="001D65DD"/>
    <w:rsid w:val="001D67F5"/>
    <w:rsid w:val="001D6883"/>
    <w:rsid w:val="001D688B"/>
    <w:rsid w:val="001D69BC"/>
    <w:rsid w:val="001D69CA"/>
    <w:rsid w:val="001D69E9"/>
    <w:rsid w:val="001D6A2E"/>
    <w:rsid w:val="001D6B4E"/>
    <w:rsid w:val="001D6B74"/>
    <w:rsid w:val="001D6C19"/>
    <w:rsid w:val="001D6C59"/>
    <w:rsid w:val="001D6E06"/>
    <w:rsid w:val="001D6E42"/>
    <w:rsid w:val="001D6EA3"/>
    <w:rsid w:val="001D73E2"/>
    <w:rsid w:val="001D73EB"/>
    <w:rsid w:val="001D74C9"/>
    <w:rsid w:val="001D75C2"/>
    <w:rsid w:val="001D766F"/>
    <w:rsid w:val="001D770F"/>
    <w:rsid w:val="001D7782"/>
    <w:rsid w:val="001D7789"/>
    <w:rsid w:val="001D7846"/>
    <w:rsid w:val="001D799B"/>
    <w:rsid w:val="001D7ABE"/>
    <w:rsid w:val="001D7B07"/>
    <w:rsid w:val="001D7B66"/>
    <w:rsid w:val="001D7BDD"/>
    <w:rsid w:val="001D7C8C"/>
    <w:rsid w:val="001D7DA0"/>
    <w:rsid w:val="001D7E17"/>
    <w:rsid w:val="001D7E57"/>
    <w:rsid w:val="001D7FCB"/>
    <w:rsid w:val="001E0046"/>
    <w:rsid w:val="001E026D"/>
    <w:rsid w:val="001E0582"/>
    <w:rsid w:val="001E070C"/>
    <w:rsid w:val="001E0788"/>
    <w:rsid w:val="001E07AC"/>
    <w:rsid w:val="001E0969"/>
    <w:rsid w:val="001E0977"/>
    <w:rsid w:val="001E0AA9"/>
    <w:rsid w:val="001E0B1C"/>
    <w:rsid w:val="001E0B5A"/>
    <w:rsid w:val="001E0B72"/>
    <w:rsid w:val="001E0BBF"/>
    <w:rsid w:val="001E0CFB"/>
    <w:rsid w:val="001E1000"/>
    <w:rsid w:val="001E104F"/>
    <w:rsid w:val="001E10DF"/>
    <w:rsid w:val="001E10E7"/>
    <w:rsid w:val="001E12C5"/>
    <w:rsid w:val="001E16AB"/>
    <w:rsid w:val="001E170C"/>
    <w:rsid w:val="001E17E3"/>
    <w:rsid w:val="001E1807"/>
    <w:rsid w:val="001E1819"/>
    <w:rsid w:val="001E1846"/>
    <w:rsid w:val="001E194C"/>
    <w:rsid w:val="001E196D"/>
    <w:rsid w:val="001E1D23"/>
    <w:rsid w:val="001E1FF6"/>
    <w:rsid w:val="001E206C"/>
    <w:rsid w:val="001E246E"/>
    <w:rsid w:val="001E2492"/>
    <w:rsid w:val="001E27A5"/>
    <w:rsid w:val="001E2856"/>
    <w:rsid w:val="001E293A"/>
    <w:rsid w:val="001E2A83"/>
    <w:rsid w:val="001E2C25"/>
    <w:rsid w:val="001E2D1E"/>
    <w:rsid w:val="001E2E52"/>
    <w:rsid w:val="001E30A3"/>
    <w:rsid w:val="001E30A8"/>
    <w:rsid w:val="001E310B"/>
    <w:rsid w:val="001E3274"/>
    <w:rsid w:val="001E33A7"/>
    <w:rsid w:val="001E35C3"/>
    <w:rsid w:val="001E3645"/>
    <w:rsid w:val="001E39D5"/>
    <w:rsid w:val="001E3ABA"/>
    <w:rsid w:val="001E3ABE"/>
    <w:rsid w:val="001E3F86"/>
    <w:rsid w:val="001E4023"/>
    <w:rsid w:val="001E41FB"/>
    <w:rsid w:val="001E430A"/>
    <w:rsid w:val="001E452C"/>
    <w:rsid w:val="001E45B4"/>
    <w:rsid w:val="001E4648"/>
    <w:rsid w:val="001E46F3"/>
    <w:rsid w:val="001E4809"/>
    <w:rsid w:val="001E496D"/>
    <w:rsid w:val="001E4B00"/>
    <w:rsid w:val="001E4E72"/>
    <w:rsid w:val="001E50C7"/>
    <w:rsid w:val="001E53C4"/>
    <w:rsid w:val="001E5674"/>
    <w:rsid w:val="001E588A"/>
    <w:rsid w:val="001E5A1A"/>
    <w:rsid w:val="001E5A70"/>
    <w:rsid w:val="001E5B9A"/>
    <w:rsid w:val="001E5BBA"/>
    <w:rsid w:val="001E5C03"/>
    <w:rsid w:val="001E5CF1"/>
    <w:rsid w:val="001E5D54"/>
    <w:rsid w:val="001E60CA"/>
    <w:rsid w:val="001E6118"/>
    <w:rsid w:val="001E6813"/>
    <w:rsid w:val="001E6853"/>
    <w:rsid w:val="001E69DD"/>
    <w:rsid w:val="001E6B23"/>
    <w:rsid w:val="001E6B8D"/>
    <w:rsid w:val="001E6BA0"/>
    <w:rsid w:val="001E6CCD"/>
    <w:rsid w:val="001E6E23"/>
    <w:rsid w:val="001E6FD3"/>
    <w:rsid w:val="001E7022"/>
    <w:rsid w:val="001E71F1"/>
    <w:rsid w:val="001E7266"/>
    <w:rsid w:val="001E75F6"/>
    <w:rsid w:val="001E7696"/>
    <w:rsid w:val="001E7928"/>
    <w:rsid w:val="001E79A2"/>
    <w:rsid w:val="001E79ED"/>
    <w:rsid w:val="001E7B52"/>
    <w:rsid w:val="001E7C51"/>
    <w:rsid w:val="001E7FFE"/>
    <w:rsid w:val="001F013E"/>
    <w:rsid w:val="001F023B"/>
    <w:rsid w:val="001F0248"/>
    <w:rsid w:val="001F0396"/>
    <w:rsid w:val="001F0438"/>
    <w:rsid w:val="001F0466"/>
    <w:rsid w:val="001F06A2"/>
    <w:rsid w:val="001F06AC"/>
    <w:rsid w:val="001F0877"/>
    <w:rsid w:val="001F090C"/>
    <w:rsid w:val="001F0978"/>
    <w:rsid w:val="001F0AA7"/>
    <w:rsid w:val="001F0E97"/>
    <w:rsid w:val="001F0EBE"/>
    <w:rsid w:val="001F0EEE"/>
    <w:rsid w:val="001F1073"/>
    <w:rsid w:val="001F10E5"/>
    <w:rsid w:val="001F11D9"/>
    <w:rsid w:val="001F11F0"/>
    <w:rsid w:val="001F137E"/>
    <w:rsid w:val="001F1469"/>
    <w:rsid w:val="001F1509"/>
    <w:rsid w:val="001F17D7"/>
    <w:rsid w:val="001F18FC"/>
    <w:rsid w:val="001F1B03"/>
    <w:rsid w:val="001F1C2E"/>
    <w:rsid w:val="001F1C55"/>
    <w:rsid w:val="001F1F9F"/>
    <w:rsid w:val="001F21D9"/>
    <w:rsid w:val="001F2235"/>
    <w:rsid w:val="001F23F4"/>
    <w:rsid w:val="001F2519"/>
    <w:rsid w:val="001F2573"/>
    <w:rsid w:val="001F26AA"/>
    <w:rsid w:val="001F2726"/>
    <w:rsid w:val="001F2B81"/>
    <w:rsid w:val="001F2C1B"/>
    <w:rsid w:val="001F2C3E"/>
    <w:rsid w:val="001F2F62"/>
    <w:rsid w:val="001F3328"/>
    <w:rsid w:val="001F340B"/>
    <w:rsid w:val="001F3524"/>
    <w:rsid w:val="001F353B"/>
    <w:rsid w:val="001F356A"/>
    <w:rsid w:val="001F35FC"/>
    <w:rsid w:val="001F37D0"/>
    <w:rsid w:val="001F391A"/>
    <w:rsid w:val="001F398A"/>
    <w:rsid w:val="001F39BD"/>
    <w:rsid w:val="001F3A5E"/>
    <w:rsid w:val="001F3BDF"/>
    <w:rsid w:val="001F3D85"/>
    <w:rsid w:val="001F3E58"/>
    <w:rsid w:val="001F3FD1"/>
    <w:rsid w:val="001F4048"/>
    <w:rsid w:val="001F42B4"/>
    <w:rsid w:val="001F43E7"/>
    <w:rsid w:val="001F448D"/>
    <w:rsid w:val="001F44EB"/>
    <w:rsid w:val="001F48A8"/>
    <w:rsid w:val="001F492D"/>
    <w:rsid w:val="001F4CED"/>
    <w:rsid w:val="001F4D27"/>
    <w:rsid w:val="001F5110"/>
    <w:rsid w:val="001F531A"/>
    <w:rsid w:val="001F5358"/>
    <w:rsid w:val="001F53DA"/>
    <w:rsid w:val="001F5440"/>
    <w:rsid w:val="001F5454"/>
    <w:rsid w:val="001F549C"/>
    <w:rsid w:val="001F54AA"/>
    <w:rsid w:val="001F54D5"/>
    <w:rsid w:val="001F564F"/>
    <w:rsid w:val="001F5684"/>
    <w:rsid w:val="001F58A1"/>
    <w:rsid w:val="001F58CB"/>
    <w:rsid w:val="001F5C10"/>
    <w:rsid w:val="001F5CBB"/>
    <w:rsid w:val="001F6113"/>
    <w:rsid w:val="001F6219"/>
    <w:rsid w:val="001F669D"/>
    <w:rsid w:val="001F66E0"/>
    <w:rsid w:val="001F675E"/>
    <w:rsid w:val="001F69F6"/>
    <w:rsid w:val="001F6A2A"/>
    <w:rsid w:val="001F6A3B"/>
    <w:rsid w:val="001F6B3E"/>
    <w:rsid w:val="001F6C93"/>
    <w:rsid w:val="001F6CA1"/>
    <w:rsid w:val="001F6D52"/>
    <w:rsid w:val="001F6D59"/>
    <w:rsid w:val="001F7136"/>
    <w:rsid w:val="001F7249"/>
    <w:rsid w:val="001F73C6"/>
    <w:rsid w:val="001F74F3"/>
    <w:rsid w:val="001F7653"/>
    <w:rsid w:val="001F76CA"/>
    <w:rsid w:val="001F7713"/>
    <w:rsid w:val="001F7807"/>
    <w:rsid w:val="001F7814"/>
    <w:rsid w:val="001F7B9B"/>
    <w:rsid w:val="001F7C9F"/>
    <w:rsid w:val="001F7DB8"/>
    <w:rsid w:val="001F7E16"/>
    <w:rsid w:val="001F7E1F"/>
    <w:rsid w:val="00200193"/>
    <w:rsid w:val="00200219"/>
    <w:rsid w:val="002002A3"/>
    <w:rsid w:val="00200319"/>
    <w:rsid w:val="00200483"/>
    <w:rsid w:val="002004BC"/>
    <w:rsid w:val="00200674"/>
    <w:rsid w:val="002006F6"/>
    <w:rsid w:val="00200732"/>
    <w:rsid w:val="00200777"/>
    <w:rsid w:val="00200912"/>
    <w:rsid w:val="00200913"/>
    <w:rsid w:val="00200CFB"/>
    <w:rsid w:val="00200ECF"/>
    <w:rsid w:val="00201309"/>
    <w:rsid w:val="0020183D"/>
    <w:rsid w:val="00201840"/>
    <w:rsid w:val="0020185D"/>
    <w:rsid w:val="002019AC"/>
    <w:rsid w:val="00201A4C"/>
    <w:rsid w:val="00201C8F"/>
    <w:rsid w:val="00201DEF"/>
    <w:rsid w:val="00201E25"/>
    <w:rsid w:val="00202115"/>
    <w:rsid w:val="0020217C"/>
    <w:rsid w:val="002024C4"/>
    <w:rsid w:val="00202544"/>
    <w:rsid w:val="002029EF"/>
    <w:rsid w:val="00202AE6"/>
    <w:rsid w:val="00202C67"/>
    <w:rsid w:val="00203159"/>
    <w:rsid w:val="00203493"/>
    <w:rsid w:val="0020355B"/>
    <w:rsid w:val="002039E3"/>
    <w:rsid w:val="00203A51"/>
    <w:rsid w:val="00203B7F"/>
    <w:rsid w:val="00203C04"/>
    <w:rsid w:val="00203E96"/>
    <w:rsid w:val="00203ED1"/>
    <w:rsid w:val="0020401C"/>
    <w:rsid w:val="002040EC"/>
    <w:rsid w:val="00204104"/>
    <w:rsid w:val="0020433C"/>
    <w:rsid w:val="00204496"/>
    <w:rsid w:val="002045B4"/>
    <w:rsid w:val="002048CB"/>
    <w:rsid w:val="00204906"/>
    <w:rsid w:val="00204D44"/>
    <w:rsid w:val="002051B8"/>
    <w:rsid w:val="002052B3"/>
    <w:rsid w:val="00205307"/>
    <w:rsid w:val="00205462"/>
    <w:rsid w:val="00205471"/>
    <w:rsid w:val="0020569D"/>
    <w:rsid w:val="002057E5"/>
    <w:rsid w:val="002057FB"/>
    <w:rsid w:val="002059E4"/>
    <w:rsid w:val="00205A9D"/>
    <w:rsid w:val="00205B14"/>
    <w:rsid w:val="00205C21"/>
    <w:rsid w:val="00205C98"/>
    <w:rsid w:val="00205D06"/>
    <w:rsid w:val="002060A3"/>
    <w:rsid w:val="002062A7"/>
    <w:rsid w:val="002068CD"/>
    <w:rsid w:val="00206A18"/>
    <w:rsid w:val="00206B1A"/>
    <w:rsid w:val="00206B23"/>
    <w:rsid w:val="00206B57"/>
    <w:rsid w:val="00206BED"/>
    <w:rsid w:val="00206DE7"/>
    <w:rsid w:val="00206E2E"/>
    <w:rsid w:val="00206FAD"/>
    <w:rsid w:val="00207050"/>
    <w:rsid w:val="002070DE"/>
    <w:rsid w:val="002074F3"/>
    <w:rsid w:val="0020750C"/>
    <w:rsid w:val="00207693"/>
    <w:rsid w:val="002076F7"/>
    <w:rsid w:val="00207922"/>
    <w:rsid w:val="00207A0E"/>
    <w:rsid w:val="00207C9E"/>
    <w:rsid w:val="00210050"/>
    <w:rsid w:val="0021005C"/>
    <w:rsid w:val="0021016F"/>
    <w:rsid w:val="0021023A"/>
    <w:rsid w:val="00210246"/>
    <w:rsid w:val="0021035B"/>
    <w:rsid w:val="002103C7"/>
    <w:rsid w:val="00210418"/>
    <w:rsid w:val="002104C2"/>
    <w:rsid w:val="00210569"/>
    <w:rsid w:val="00210873"/>
    <w:rsid w:val="00210979"/>
    <w:rsid w:val="00210AF9"/>
    <w:rsid w:val="00210D7F"/>
    <w:rsid w:val="00210DEB"/>
    <w:rsid w:val="00210E07"/>
    <w:rsid w:val="00210E6C"/>
    <w:rsid w:val="00210FD5"/>
    <w:rsid w:val="00211092"/>
    <w:rsid w:val="002111AC"/>
    <w:rsid w:val="0021136F"/>
    <w:rsid w:val="002113A3"/>
    <w:rsid w:val="002113EC"/>
    <w:rsid w:val="00211493"/>
    <w:rsid w:val="002118B9"/>
    <w:rsid w:val="00211950"/>
    <w:rsid w:val="00211B0E"/>
    <w:rsid w:val="00211B62"/>
    <w:rsid w:val="00211D58"/>
    <w:rsid w:val="00211DCF"/>
    <w:rsid w:val="00211F14"/>
    <w:rsid w:val="00211F25"/>
    <w:rsid w:val="00211FE8"/>
    <w:rsid w:val="00212050"/>
    <w:rsid w:val="002123E9"/>
    <w:rsid w:val="00212547"/>
    <w:rsid w:val="00212565"/>
    <w:rsid w:val="00212695"/>
    <w:rsid w:val="0021277F"/>
    <w:rsid w:val="00212909"/>
    <w:rsid w:val="00212A53"/>
    <w:rsid w:val="00212C32"/>
    <w:rsid w:val="00212D45"/>
    <w:rsid w:val="00212ED4"/>
    <w:rsid w:val="00213234"/>
    <w:rsid w:val="002132E1"/>
    <w:rsid w:val="00213370"/>
    <w:rsid w:val="002134A3"/>
    <w:rsid w:val="00213516"/>
    <w:rsid w:val="00213599"/>
    <w:rsid w:val="002138E0"/>
    <w:rsid w:val="00213B07"/>
    <w:rsid w:val="00213B4E"/>
    <w:rsid w:val="00213B7F"/>
    <w:rsid w:val="00213BE1"/>
    <w:rsid w:val="00213DB1"/>
    <w:rsid w:val="00213DCC"/>
    <w:rsid w:val="00213E5B"/>
    <w:rsid w:val="00213F14"/>
    <w:rsid w:val="00213FE1"/>
    <w:rsid w:val="0021409A"/>
    <w:rsid w:val="00214426"/>
    <w:rsid w:val="002144A6"/>
    <w:rsid w:val="002145D3"/>
    <w:rsid w:val="00214610"/>
    <w:rsid w:val="00214692"/>
    <w:rsid w:val="002146FA"/>
    <w:rsid w:val="00214896"/>
    <w:rsid w:val="00214A84"/>
    <w:rsid w:val="00214A91"/>
    <w:rsid w:val="00214B3F"/>
    <w:rsid w:val="00214C1C"/>
    <w:rsid w:val="00214EDE"/>
    <w:rsid w:val="00215181"/>
    <w:rsid w:val="00215187"/>
    <w:rsid w:val="0021530D"/>
    <w:rsid w:val="0021570A"/>
    <w:rsid w:val="00215835"/>
    <w:rsid w:val="00215921"/>
    <w:rsid w:val="002159CC"/>
    <w:rsid w:val="00215A28"/>
    <w:rsid w:val="00215B0E"/>
    <w:rsid w:val="00215C22"/>
    <w:rsid w:val="00215C62"/>
    <w:rsid w:val="00215CC5"/>
    <w:rsid w:val="00215F8D"/>
    <w:rsid w:val="002160A0"/>
    <w:rsid w:val="00216182"/>
    <w:rsid w:val="002161B4"/>
    <w:rsid w:val="00216218"/>
    <w:rsid w:val="002162F4"/>
    <w:rsid w:val="0021648A"/>
    <w:rsid w:val="0021693C"/>
    <w:rsid w:val="00216BEE"/>
    <w:rsid w:val="00216C7F"/>
    <w:rsid w:val="00216C9A"/>
    <w:rsid w:val="00216E49"/>
    <w:rsid w:val="00216EFD"/>
    <w:rsid w:val="00216F3B"/>
    <w:rsid w:val="00216FC9"/>
    <w:rsid w:val="002170B8"/>
    <w:rsid w:val="002170DF"/>
    <w:rsid w:val="00217200"/>
    <w:rsid w:val="002172C5"/>
    <w:rsid w:val="002173BD"/>
    <w:rsid w:val="002173BF"/>
    <w:rsid w:val="00217818"/>
    <w:rsid w:val="0021787C"/>
    <w:rsid w:val="00217942"/>
    <w:rsid w:val="002179C8"/>
    <w:rsid w:val="00217AD3"/>
    <w:rsid w:val="00217C20"/>
    <w:rsid w:val="00217F6D"/>
    <w:rsid w:val="00220150"/>
    <w:rsid w:val="002201C9"/>
    <w:rsid w:val="00220230"/>
    <w:rsid w:val="00220279"/>
    <w:rsid w:val="002202B7"/>
    <w:rsid w:val="00220303"/>
    <w:rsid w:val="00220421"/>
    <w:rsid w:val="00220461"/>
    <w:rsid w:val="002207BF"/>
    <w:rsid w:val="002209E5"/>
    <w:rsid w:val="00220A0E"/>
    <w:rsid w:val="00220BC4"/>
    <w:rsid w:val="00220BD9"/>
    <w:rsid w:val="00220C5C"/>
    <w:rsid w:val="00220FBB"/>
    <w:rsid w:val="002210BF"/>
    <w:rsid w:val="0022111A"/>
    <w:rsid w:val="002211F1"/>
    <w:rsid w:val="00221503"/>
    <w:rsid w:val="00221606"/>
    <w:rsid w:val="0022180C"/>
    <w:rsid w:val="00221951"/>
    <w:rsid w:val="00221A6F"/>
    <w:rsid w:val="00221AC0"/>
    <w:rsid w:val="00221ADC"/>
    <w:rsid w:val="00221BD0"/>
    <w:rsid w:val="00221C3B"/>
    <w:rsid w:val="00221E1A"/>
    <w:rsid w:val="00221E47"/>
    <w:rsid w:val="00221F33"/>
    <w:rsid w:val="00221F88"/>
    <w:rsid w:val="00221F89"/>
    <w:rsid w:val="00222073"/>
    <w:rsid w:val="002220BB"/>
    <w:rsid w:val="0022212E"/>
    <w:rsid w:val="00222214"/>
    <w:rsid w:val="0022231D"/>
    <w:rsid w:val="0022242C"/>
    <w:rsid w:val="002224B5"/>
    <w:rsid w:val="0022252D"/>
    <w:rsid w:val="00222859"/>
    <w:rsid w:val="00222929"/>
    <w:rsid w:val="00222944"/>
    <w:rsid w:val="00222F40"/>
    <w:rsid w:val="00222F77"/>
    <w:rsid w:val="00223127"/>
    <w:rsid w:val="0022314B"/>
    <w:rsid w:val="00223167"/>
    <w:rsid w:val="0022324E"/>
    <w:rsid w:val="00223310"/>
    <w:rsid w:val="002233FB"/>
    <w:rsid w:val="00223858"/>
    <w:rsid w:val="002238FB"/>
    <w:rsid w:val="00223960"/>
    <w:rsid w:val="00223966"/>
    <w:rsid w:val="002239F8"/>
    <w:rsid w:val="00223A96"/>
    <w:rsid w:val="00223EE7"/>
    <w:rsid w:val="0022436E"/>
    <w:rsid w:val="002243A5"/>
    <w:rsid w:val="002244A6"/>
    <w:rsid w:val="0022464D"/>
    <w:rsid w:val="00224677"/>
    <w:rsid w:val="0022473A"/>
    <w:rsid w:val="00224780"/>
    <w:rsid w:val="00224B95"/>
    <w:rsid w:val="00224D37"/>
    <w:rsid w:val="00225108"/>
    <w:rsid w:val="00225124"/>
    <w:rsid w:val="00225146"/>
    <w:rsid w:val="002251F3"/>
    <w:rsid w:val="0022521B"/>
    <w:rsid w:val="002252FF"/>
    <w:rsid w:val="002254BB"/>
    <w:rsid w:val="00225585"/>
    <w:rsid w:val="002255D1"/>
    <w:rsid w:val="00225603"/>
    <w:rsid w:val="00225A48"/>
    <w:rsid w:val="00225AB2"/>
    <w:rsid w:val="00225B0A"/>
    <w:rsid w:val="00225E0B"/>
    <w:rsid w:val="00225EAE"/>
    <w:rsid w:val="00225F48"/>
    <w:rsid w:val="00225FEF"/>
    <w:rsid w:val="00226017"/>
    <w:rsid w:val="002260AA"/>
    <w:rsid w:val="002262E4"/>
    <w:rsid w:val="00226573"/>
    <w:rsid w:val="00226669"/>
    <w:rsid w:val="0022682B"/>
    <w:rsid w:val="002269F7"/>
    <w:rsid w:val="00226A9A"/>
    <w:rsid w:val="00226AE4"/>
    <w:rsid w:val="00226C17"/>
    <w:rsid w:val="00226CF1"/>
    <w:rsid w:val="00226DAC"/>
    <w:rsid w:val="002270F2"/>
    <w:rsid w:val="002271B5"/>
    <w:rsid w:val="002273D2"/>
    <w:rsid w:val="002273F4"/>
    <w:rsid w:val="0022743E"/>
    <w:rsid w:val="00227677"/>
    <w:rsid w:val="00227729"/>
    <w:rsid w:val="00227A6F"/>
    <w:rsid w:val="00227C47"/>
    <w:rsid w:val="00227E64"/>
    <w:rsid w:val="00227F81"/>
    <w:rsid w:val="0023002E"/>
    <w:rsid w:val="00230075"/>
    <w:rsid w:val="0023014B"/>
    <w:rsid w:val="0023049F"/>
    <w:rsid w:val="00230521"/>
    <w:rsid w:val="002305B8"/>
    <w:rsid w:val="002305D7"/>
    <w:rsid w:val="002305DD"/>
    <w:rsid w:val="00230891"/>
    <w:rsid w:val="0023096C"/>
    <w:rsid w:val="00230A10"/>
    <w:rsid w:val="00230ABE"/>
    <w:rsid w:val="00230CB9"/>
    <w:rsid w:val="00230CC7"/>
    <w:rsid w:val="00231046"/>
    <w:rsid w:val="00231052"/>
    <w:rsid w:val="00231202"/>
    <w:rsid w:val="0023133F"/>
    <w:rsid w:val="002313F3"/>
    <w:rsid w:val="0023140A"/>
    <w:rsid w:val="002314D7"/>
    <w:rsid w:val="00231615"/>
    <w:rsid w:val="00231AEF"/>
    <w:rsid w:val="00231BC2"/>
    <w:rsid w:val="00231CE2"/>
    <w:rsid w:val="00231D47"/>
    <w:rsid w:val="00231E75"/>
    <w:rsid w:val="00231ECC"/>
    <w:rsid w:val="002320D8"/>
    <w:rsid w:val="00232104"/>
    <w:rsid w:val="002321DD"/>
    <w:rsid w:val="002321F6"/>
    <w:rsid w:val="0023240E"/>
    <w:rsid w:val="002324C7"/>
    <w:rsid w:val="002325FC"/>
    <w:rsid w:val="00232601"/>
    <w:rsid w:val="00232685"/>
    <w:rsid w:val="002326D4"/>
    <w:rsid w:val="00232770"/>
    <w:rsid w:val="0023285B"/>
    <w:rsid w:val="00232912"/>
    <w:rsid w:val="00232B54"/>
    <w:rsid w:val="00232BDE"/>
    <w:rsid w:val="00232EBA"/>
    <w:rsid w:val="00232F49"/>
    <w:rsid w:val="00232F9B"/>
    <w:rsid w:val="00233254"/>
    <w:rsid w:val="00233426"/>
    <w:rsid w:val="00233455"/>
    <w:rsid w:val="0023352F"/>
    <w:rsid w:val="002336A4"/>
    <w:rsid w:val="002337F2"/>
    <w:rsid w:val="00233841"/>
    <w:rsid w:val="0023388E"/>
    <w:rsid w:val="00233C87"/>
    <w:rsid w:val="00233E74"/>
    <w:rsid w:val="00234151"/>
    <w:rsid w:val="00234152"/>
    <w:rsid w:val="002341A7"/>
    <w:rsid w:val="002341B7"/>
    <w:rsid w:val="00234499"/>
    <w:rsid w:val="0023464D"/>
    <w:rsid w:val="002346D6"/>
    <w:rsid w:val="00234958"/>
    <w:rsid w:val="002349D5"/>
    <w:rsid w:val="00234A24"/>
    <w:rsid w:val="00234BA8"/>
    <w:rsid w:val="00234C74"/>
    <w:rsid w:val="00234D72"/>
    <w:rsid w:val="00234DE5"/>
    <w:rsid w:val="00234F63"/>
    <w:rsid w:val="00235117"/>
    <w:rsid w:val="002352A6"/>
    <w:rsid w:val="00235516"/>
    <w:rsid w:val="00235839"/>
    <w:rsid w:val="002358FE"/>
    <w:rsid w:val="00235981"/>
    <w:rsid w:val="00235C9A"/>
    <w:rsid w:val="00235D93"/>
    <w:rsid w:val="00235E1B"/>
    <w:rsid w:val="0023600F"/>
    <w:rsid w:val="0023602B"/>
    <w:rsid w:val="00236562"/>
    <w:rsid w:val="00236771"/>
    <w:rsid w:val="0023692B"/>
    <w:rsid w:val="00236A07"/>
    <w:rsid w:val="00236A55"/>
    <w:rsid w:val="00236B00"/>
    <w:rsid w:val="00236B07"/>
    <w:rsid w:val="00236C39"/>
    <w:rsid w:val="00236D89"/>
    <w:rsid w:val="00236F20"/>
    <w:rsid w:val="002370B8"/>
    <w:rsid w:val="00237461"/>
    <w:rsid w:val="0023756E"/>
    <w:rsid w:val="0023764D"/>
    <w:rsid w:val="00237697"/>
    <w:rsid w:val="0023769D"/>
    <w:rsid w:val="002378BC"/>
    <w:rsid w:val="002378D0"/>
    <w:rsid w:val="002379FE"/>
    <w:rsid w:val="00237E0D"/>
    <w:rsid w:val="00237E54"/>
    <w:rsid w:val="002400EF"/>
    <w:rsid w:val="0024010A"/>
    <w:rsid w:val="00240206"/>
    <w:rsid w:val="00240300"/>
    <w:rsid w:val="00240340"/>
    <w:rsid w:val="00240513"/>
    <w:rsid w:val="002405C7"/>
    <w:rsid w:val="0024079D"/>
    <w:rsid w:val="0024090B"/>
    <w:rsid w:val="00240C7A"/>
    <w:rsid w:val="00240D71"/>
    <w:rsid w:val="00240DF9"/>
    <w:rsid w:val="00240E46"/>
    <w:rsid w:val="00240E81"/>
    <w:rsid w:val="00240F2F"/>
    <w:rsid w:val="002411A4"/>
    <w:rsid w:val="002411DA"/>
    <w:rsid w:val="0024128E"/>
    <w:rsid w:val="002413D1"/>
    <w:rsid w:val="00241425"/>
    <w:rsid w:val="0024158C"/>
    <w:rsid w:val="0024164D"/>
    <w:rsid w:val="0024166C"/>
    <w:rsid w:val="002416C5"/>
    <w:rsid w:val="00241725"/>
    <w:rsid w:val="0024198E"/>
    <w:rsid w:val="00241A03"/>
    <w:rsid w:val="00241A38"/>
    <w:rsid w:val="00241AB9"/>
    <w:rsid w:val="00241C6D"/>
    <w:rsid w:val="00241CCF"/>
    <w:rsid w:val="00241FE3"/>
    <w:rsid w:val="002421A8"/>
    <w:rsid w:val="0024237C"/>
    <w:rsid w:val="002423C9"/>
    <w:rsid w:val="0024241D"/>
    <w:rsid w:val="002424BD"/>
    <w:rsid w:val="00242576"/>
    <w:rsid w:val="002426B8"/>
    <w:rsid w:val="0024274B"/>
    <w:rsid w:val="002427B8"/>
    <w:rsid w:val="0024283D"/>
    <w:rsid w:val="002428A3"/>
    <w:rsid w:val="00242A1D"/>
    <w:rsid w:val="00242CEE"/>
    <w:rsid w:val="00242D53"/>
    <w:rsid w:val="00242E45"/>
    <w:rsid w:val="00242ECB"/>
    <w:rsid w:val="00242F52"/>
    <w:rsid w:val="00243169"/>
    <w:rsid w:val="00243180"/>
    <w:rsid w:val="0024356A"/>
    <w:rsid w:val="002436B1"/>
    <w:rsid w:val="002437C3"/>
    <w:rsid w:val="00243890"/>
    <w:rsid w:val="0024396F"/>
    <w:rsid w:val="00243A31"/>
    <w:rsid w:val="00243AB2"/>
    <w:rsid w:val="00243BD8"/>
    <w:rsid w:val="00243C9A"/>
    <w:rsid w:val="00243F11"/>
    <w:rsid w:val="00243FDC"/>
    <w:rsid w:val="0024400B"/>
    <w:rsid w:val="00244135"/>
    <w:rsid w:val="0024421B"/>
    <w:rsid w:val="002444A7"/>
    <w:rsid w:val="00244511"/>
    <w:rsid w:val="0024465C"/>
    <w:rsid w:val="002449C6"/>
    <w:rsid w:val="00244AF0"/>
    <w:rsid w:val="00244B0A"/>
    <w:rsid w:val="00244C9D"/>
    <w:rsid w:val="00244D0C"/>
    <w:rsid w:val="00244D46"/>
    <w:rsid w:val="00244E77"/>
    <w:rsid w:val="002450CF"/>
    <w:rsid w:val="002450DE"/>
    <w:rsid w:val="002456CC"/>
    <w:rsid w:val="00245898"/>
    <w:rsid w:val="002458CD"/>
    <w:rsid w:val="0024599B"/>
    <w:rsid w:val="00245B21"/>
    <w:rsid w:val="00245B80"/>
    <w:rsid w:val="00245D0F"/>
    <w:rsid w:val="00245DA2"/>
    <w:rsid w:val="00245FA6"/>
    <w:rsid w:val="0024627E"/>
    <w:rsid w:val="0024636D"/>
    <w:rsid w:val="00246397"/>
    <w:rsid w:val="002464A4"/>
    <w:rsid w:val="00246508"/>
    <w:rsid w:val="002465A7"/>
    <w:rsid w:val="00246755"/>
    <w:rsid w:val="002467C2"/>
    <w:rsid w:val="002467CC"/>
    <w:rsid w:val="00246940"/>
    <w:rsid w:val="00246DA7"/>
    <w:rsid w:val="00247021"/>
    <w:rsid w:val="0024705D"/>
    <w:rsid w:val="002470FA"/>
    <w:rsid w:val="00247292"/>
    <w:rsid w:val="0024730F"/>
    <w:rsid w:val="00247318"/>
    <w:rsid w:val="0024743F"/>
    <w:rsid w:val="00247586"/>
    <w:rsid w:val="0024762A"/>
    <w:rsid w:val="0024774B"/>
    <w:rsid w:val="0024788B"/>
    <w:rsid w:val="00247A44"/>
    <w:rsid w:val="00247A9B"/>
    <w:rsid w:val="00247B1A"/>
    <w:rsid w:val="00247B87"/>
    <w:rsid w:val="00247EB8"/>
    <w:rsid w:val="00247FBB"/>
    <w:rsid w:val="00250093"/>
    <w:rsid w:val="002500A7"/>
    <w:rsid w:val="00250508"/>
    <w:rsid w:val="00250565"/>
    <w:rsid w:val="00250577"/>
    <w:rsid w:val="002507A5"/>
    <w:rsid w:val="002508BD"/>
    <w:rsid w:val="0025091A"/>
    <w:rsid w:val="002509AD"/>
    <w:rsid w:val="00250A70"/>
    <w:rsid w:val="00250AB2"/>
    <w:rsid w:val="00250B4E"/>
    <w:rsid w:val="00250BF8"/>
    <w:rsid w:val="00250D41"/>
    <w:rsid w:val="00250E25"/>
    <w:rsid w:val="00250F0F"/>
    <w:rsid w:val="0025116A"/>
    <w:rsid w:val="002511CE"/>
    <w:rsid w:val="002514A4"/>
    <w:rsid w:val="00251515"/>
    <w:rsid w:val="00251617"/>
    <w:rsid w:val="0025169D"/>
    <w:rsid w:val="0025183B"/>
    <w:rsid w:val="00251A7A"/>
    <w:rsid w:val="00251D43"/>
    <w:rsid w:val="00251DAE"/>
    <w:rsid w:val="00251EF2"/>
    <w:rsid w:val="00251F5D"/>
    <w:rsid w:val="00251FE5"/>
    <w:rsid w:val="00252021"/>
    <w:rsid w:val="002522E9"/>
    <w:rsid w:val="002524EC"/>
    <w:rsid w:val="002525CF"/>
    <w:rsid w:val="002525D6"/>
    <w:rsid w:val="002525FF"/>
    <w:rsid w:val="00252952"/>
    <w:rsid w:val="00252963"/>
    <w:rsid w:val="002529E7"/>
    <w:rsid w:val="00252BAA"/>
    <w:rsid w:val="00252C54"/>
    <w:rsid w:val="00252D8F"/>
    <w:rsid w:val="00252EE1"/>
    <w:rsid w:val="00252EE6"/>
    <w:rsid w:val="00252F76"/>
    <w:rsid w:val="00253039"/>
    <w:rsid w:val="0025308F"/>
    <w:rsid w:val="0025309A"/>
    <w:rsid w:val="00253271"/>
    <w:rsid w:val="0025328E"/>
    <w:rsid w:val="002533BA"/>
    <w:rsid w:val="0025386A"/>
    <w:rsid w:val="00253873"/>
    <w:rsid w:val="00253874"/>
    <w:rsid w:val="002538F4"/>
    <w:rsid w:val="00253A22"/>
    <w:rsid w:val="00253C01"/>
    <w:rsid w:val="002540A3"/>
    <w:rsid w:val="0025425D"/>
    <w:rsid w:val="002542FC"/>
    <w:rsid w:val="002543F6"/>
    <w:rsid w:val="002545F6"/>
    <w:rsid w:val="00254631"/>
    <w:rsid w:val="002546E5"/>
    <w:rsid w:val="002546FC"/>
    <w:rsid w:val="002549EF"/>
    <w:rsid w:val="00254A10"/>
    <w:rsid w:val="00254A35"/>
    <w:rsid w:val="00254A49"/>
    <w:rsid w:val="00254B01"/>
    <w:rsid w:val="00254E4D"/>
    <w:rsid w:val="00254F26"/>
    <w:rsid w:val="00254F3D"/>
    <w:rsid w:val="0025506B"/>
    <w:rsid w:val="002550B9"/>
    <w:rsid w:val="00255139"/>
    <w:rsid w:val="00255183"/>
    <w:rsid w:val="002551C7"/>
    <w:rsid w:val="00255339"/>
    <w:rsid w:val="00255364"/>
    <w:rsid w:val="00255438"/>
    <w:rsid w:val="0025553B"/>
    <w:rsid w:val="0025569A"/>
    <w:rsid w:val="00255809"/>
    <w:rsid w:val="002559C6"/>
    <w:rsid w:val="00255BF4"/>
    <w:rsid w:val="00255EC5"/>
    <w:rsid w:val="00255F84"/>
    <w:rsid w:val="00255FBA"/>
    <w:rsid w:val="002560BB"/>
    <w:rsid w:val="00256124"/>
    <w:rsid w:val="00256132"/>
    <w:rsid w:val="00256412"/>
    <w:rsid w:val="0025648B"/>
    <w:rsid w:val="002568F1"/>
    <w:rsid w:val="0025692B"/>
    <w:rsid w:val="00256A0C"/>
    <w:rsid w:val="00256A6A"/>
    <w:rsid w:val="00256B8E"/>
    <w:rsid w:val="00256DE0"/>
    <w:rsid w:val="00256FDC"/>
    <w:rsid w:val="00257029"/>
    <w:rsid w:val="00257048"/>
    <w:rsid w:val="002570E5"/>
    <w:rsid w:val="00257158"/>
    <w:rsid w:val="002572E4"/>
    <w:rsid w:val="0025731E"/>
    <w:rsid w:val="00257649"/>
    <w:rsid w:val="00257665"/>
    <w:rsid w:val="002579BD"/>
    <w:rsid w:val="002579C2"/>
    <w:rsid w:val="00257A00"/>
    <w:rsid w:val="00257A23"/>
    <w:rsid w:val="00257B81"/>
    <w:rsid w:val="00257FAB"/>
    <w:rsid w:val="002600ED"/>
    <w:rsid w:val="002603C3"/>
    <w:rsid w:val="00260460"/>
    <w:rsid w:val="002604BF"/>
    <w:rsid w:val="002607D3"/>
    <w:rsid w:val="0026083B"/>
    <w:rsid w:val="002608F0"/>
    <w:rsid w:val="0026092A"/>
    <w:rsid w:val="00260E65"/>
    <w:rsid w:val="00261036"/>
    <w:rsid w:val="00261218"/>
    <w:rsid w:val="00261292"/>
    <w:rsid w:val="002613FB"/>
    <w:rsid w:val="0026141C"/>
    <w:rsid w:val="002616E8"/>
    <w:rsid w:val="0026171E"/>
    <w:rsid w:val="0026183B"/>
    <w:rsid w:val="00261922"/>
    <w:rsid w:val="002619CA"/>
    <w:rsid w:val="00261A66"/>
    <w:rsid w:val="00261BC7"/>
    <w:rsid w:val="00261E7D"/>
    <w:rsid w:val="00262047"/>
    <w:rsid w:val="002621B5"/>
    <w:rsid w:val="002622B1"/>
    <w:rsid w:val="002623FF"/>
    <w:rsid w:val="002628E8"/>
    <w:rsid w:val="00262962"/>
    <w:rsid w:val="00262A04"/>
    <w:rsid w:val="00262A79"/>
    <w:rsid w:val="00262C13"/>
    <w:rsid w:val="00262C80"/>
    <w:rsid w:val="00262E4A"/>
    <w:rsid w:val="0026302A"/>
    <w:rsid w:val="0026304D"/>
    <w:rsid w:val="002630A0"/>
    <w:rsid w:val="00263124"/>
    <w:rsid w:val="00263145"/>
    <w:rsid w:val="002631D7"/>
    <w:rsid w:val="00263428"/>
    <w:rsid w:val="00263556"/>
    <w:rsid w:val="002636F6"/>
    <w:rsid w:val="0026381F"/>
    <w:rsid w:val="002639CF"/>
    <w:rsid w:val="00263B0B"/>
    <w:rsid w:val="00263C76"/>
    <w:rsid w:val="00263D99"/>
    <w:rsid w:val="00263E60"/>
    <w:rsid w:val="00263F63"/>
    <w:rsid w:val="00263F80"/>
    <w:rsid w:val="00263FAB"/>
    <w:rsid w:val="0026404B"/>
    <w:rsid w:val="002640AE"/>
    <w:rsid w:val="00264134"/>
    <w:rsid w:val="00264190"/>
    <w:rsid w:val="002641C6"/>
    <w:rsid w:val="0026456B"/>
    <w:rsid w:val="0026461E"/>
    <w:rsid w:val="00264633"/>
    <w:rsid w:val="00264838"/>
    <w:rsid w:val="002649F6"/>
    <w:rsid w:val="00264ACA"/>
    <w:rsid w:val="00264C1B"/>
    <w:rsid w:val="00264EA3"/>
    <w:rsid w:val="002650D0"/>
    <w:rsid w:val="00265379"/>
    <w:rsid w:val="0026544C"/>
    <w:rsid w:val="00265558"/>
    <w:rsid w:val="00265573"/>
    <w:rsid w:val="002655F7"/>
    <w:rsid w:val="0026564C"/>
    <w:rsid w:val="002656C8"/>
    <w:rsid w:val="002656F4"/>
    <w:rsid w:val="0026576E"/>
    <w:rsid w:val="00265944"/>
    <w:rsid w:val="002659A8"/>
    <w:rsid w:val="00265A2C"/>
    <w:rsid w:val="00265B8D"/>
    <w:rsid w:val="00265C1D"/>
    <w:rsid w:val="00265E8E"/>
    <w:rsid w:val="00266027"/>
    <w:rsid w:val="0026602E"/>
    <w:rsid w:val="002662A5"/>
    <w:rsid w:val="002662D3"/>
    <w:rsid w:val="00266446"/>
    <w:rsid w:val="0026662D"/>
    <w:rsid w:val="00266883"/>
    <w:rsid w:val="002668EC"/>
    <w:rsid w:val="0026695E"/>
    <w:rsid w:val="00266AA3"/>
    <w:rsid w:val="00266AC8"/>
    <w:rsid w:val="00266B0A"/>
    <w:rsid w:val="00266E05"/>
    <w:rsid w:val="00266EB6"/>
    <w:rsid w:val="00267001"/>
    <w:rsid w:val="0026701E"/>
    <w:rsid w:val="002671C1"/>
    <w:rsid w:val="0026720B"/>
    <w:rsid w:val="00267323"/>
    <w:rsid w:val="00267477"/>
    <w:rsid w:val="0026754D"/>
    <w:rsid w:val="00267801"/>
    <w:rsid w:val="002678C4"/>
    <w:rsid w:val="002678F1"/>
    <w:rsid w:val="00267B7D"/>
    <w:rsid w:val="00267B9D"/>
    <w:rsid w:val="00267B9E"/>
    <w:rsid w:val="00267C2B"/>
    <w:rsid w:val="00267CD3"/>
    <w:rsid w:val="00267D52"/>
    <w:rsid w:val="00267E1C"/>
    <w:rsid w:val="00267EF8"/>
    <w:rsid w:val="00267F51"/>
    <w:rsid w:val="00270082"/>
    <w:rsid w:val="0027013D"/>
    <w:rsid w:val="00270302"/>
    <w:rsid w:val="00270368"/>
    <w:rsid w:val="00270776"/>
    <w:rsid w:val="002707A8"/>
    <w:rsid w:val="002708EA"/>
    <w:rsid w:val="00270B61"/>
    <w:rsid w:val="00270B8F"/>
    <w:rsid w:val="00270C4C"/>
    <w:rsid w:val="00270DA3"/>
    <w:rsid w:val="00270EBC"/>
    <w:rsid w:val="00271262"/>
    <w:rsid w:val="002712C8"/>
    <w:rsid w:val="00271351"/>
    <w:rsid w:val="00271665"/>
    <w:rsid w:val="00271876"/>
    <w:rsid w:val="002718DC"/>
    <w:rsid w:val="00271B4B"/>
    <w:rsid w:val="00271F46"/>
    <w:rsid w:val="00271FD5"/>
    <w:rsid w:val="00272192"/>
    <w:rsid w:val="0027219A"/>
    <w:rsid w:val="00272223"/>
    <w:rsid w:val="00272290"/>
    <w:rsid w:val="0027232B"/>
    <w:rsid w:val="0027239C"/>
    <w:rsid w:val="00272471"/>
    <w:rsid w:val="00272503"/>
    <w:rsid w:val="0027277A"/>
    <w:rsid w:val="002727F3"/>
    <w:rsid w:val="00272909"/>
    <w:rsid w:val="00272A87"/>
    <w:rsid w:val="00272EA9"/>
    <w:rsid w:val="00272FDD"/>
    <w:rsid w:val="002731FB"/>
    <w:rsid w:val="0027325B"/>
    <w:rsid w:val="002732BC"/>
    <w:rsid w:val="00273368"/>
    <w:rsid w:val="00273580"/>
    <w:rsid w:val="00273728"/>
    <w:rsid w:val="0027394F"/>
    <w:rsid w:val="002739E9"/>
    <w:rsid w:val="00273C48"/>
    <w:rsid w:val="00273CD8"/>
    <w:rsid w:val="00273E66"/>
    <w:rsid w:val="00274115"/>
    <w:rsid w:val="00274160"/>
    <w:rsid w:val="002742FE"/>
    <w:rsid w:val="002744C0"/>
    <w:rsid w:val="002745D1"/>
    <w:rsid w:val="002745D6"/>
    <w:rsid w:val="0027461B"/>
    <w:rsid w:val="002748AB"/>
    <w:rsid w:val="002748BF"/>
    <w:rsid w:val="00274951"/>
    <w:rsid w:val="00274AE8"/>
    <w:rsid w:val="00274B73"/>
    <w:rsid w:val="00274D55"/>
    <w:rsid w:val="00274D92"/>
    <w:rsid w:val="00274E20"/>
    <w:rsid w:val="00274E38"/>
    <w:rsid w:val="00274EBB"/>
    <w:rsid w:val="00274F56"/>
    <w:rsid w:val="0027508E"/>
    <w:rsid w:val="002751FB"/>
    <w:rsid w:val="0027536C"/>
    <w:rsid w:val="002753EC"/>
    <w:rsid w:val="002754CC"/>
    <w:rsid w:val="002758A3"/>
    <w:rsid w:val="00275BEF"/>
    <w:rsid w:val="00275D4C"/>
    <w:rsid w:val="00275D5D"/>
    <w:rsid w:val="0027609A"/>
    <w:rsid w:val="002762CC"/>
    <w:rsid w:val="0027633D"/>
    <w:rsid w:val="002763C5"/>
    <w:rsid w:val="002763CE"/>
    <w:rsid w:val="00276592"/>
    <w:rsid w:val="0027659D"/>
    <w:rsid w:val="00276A89"/>
    <w:rsid w:val="00276D7C"/>
    <w:rsid w:val="00276E12"/>
    <w:rsid w:val="00276E53"/>
    <w:rsid w:val="00276EFF"/>
    <w:rsid w:val="00276F42"/>
    <w:rsid w:val="00277008"/>
    <w:rsid w:val="0027705A"/>
    <w:rsid w:val="00277345"/>
    <w:rsid w:val="0027749F"/>
    <w:rsid w:val="002774DD"/>
    <w:rsid w:val="00277724"/>
    <w:rsid w:val="00277788"/>
    <w:rsid w:val="00277833"/>
    <w:rsid w:val="00277B2A"/>
    <w:rsid w:val="00277F56"/>
    <w:rsid w:val="0028004D"/>
    <w:rsid w:val="0028007A"/>
    <w:rsid w:val="00280156"/>
    <w:rsid w:val="00280215"/>
    <w:rsid w:val="00280367"/>
    <w:rsid w:val="00280379"/>
    <w:rsid w:val="002805E8"/>
    <w:rsid w:val="002806E6"/>
    <w:rsid w:val="00280750"/>
    <w:rsid w:val="002807CC"/>
    <w:rsid w:val="00280846"/>
    <w:rsid w:val="00280B7D"/>
    <w:rsid w:val="00280C83"/>
    <w:rsid w:val="00280D67"/>
    <w:rsid w:val="00280E6C"/>
    <w:rsid w:val="00280F7F"/>
    <w:rsid w:val="0028115B"/>
    <w:rsid w:val="00281164"/>
    <w:rsid w:val="00281440"/>
    <w:rsid w:val="002814ED"/>
    <w:rsid w:val="00281784"/>
    <w:rsid w:val="0028182A"/>
    <w:rsid w:val="00281A66"/>
    <w:rsid w:val="00281C46"/>
    <w:rsid w:val="00281D18"/>
    <w:rsid w:val="00281F0C"/>
    <w:rsid w:val="00281F0D"/>
    <w:rsid w:val="00281FCA"/>
    <w:rsid w:val="00282044"/>
    <w:rsid w:val="0028208A"/>
    <w:rsid w:val="0028215F"/>
    <w:rsid w:val="002821BE"/>
    <w:rsid w:val="002823FD"/>
    <w:rsid w:val="002824FB"/>
    <w:rsid w:val="00282651"/>
    <w:rsid w:val="002826F2"/>
    <w:rsid w:val="00282798"/>
    <w:rsid w:val="002828DF"/>
    <w:rsid w:val="002828E4"/>
    <w:rsid w:val="00282CD5"/>
    <w:rsid w:val="00282D74"/>
    <w:rsid w:val="00282E2D"/>
    <w:rsid w:val="00282EB0"/>
    <w:rsid w:val="00283213"/>
    <w:rsid w:val="002832BA"/>
    <w:rsid w:val="00283373"/>
    <w:rsid w:val="002836B8"/>
    <w:rsid w:val="002836C0"/>
    <w:rsid w:val="0028371C"/>
    <w:rsid w:val="002837AA"/>
    <w:rsid w:val="00283847"/>
    <w:rsid w:val="002838BB"/>
    <w:rsid w:val="002839A7"/>
    <w:rsid w:val="00283A25"/>
    <w:rsid w:val="00283B0C"/>
    <w:rsid w:val="00283B89"/>
    <w:rsid w:val="00283C8F"/>
    <w:rsid w:val="00283E57"/>
    <w:rsid w:val="00283F10"/>
    <w:rsid w:val="002840C2"/>
    <w:rsid w:val="00284240"/>
    <w:rsid w:val="002843A7"/>
    <w:rsid w:val="0028483B"/>
    <w:rsid w:val="00284847"/>
    <w:rsid w:val="0028495C"/>
    <w:rsid w:val="00284AB4"/>
    <w:rsid w:val="00284AB5"/>
    <w:rsid w:val="00284BE7"/>
    <w:rsid w:val="00284C11"/>
    <w:rsid w:val="00284E18"/>
    <w:rsid w:val="00284F61"/>
    <w:rsid w:val="00284FFD"/>
    <w:rsid w:val="00285040"/>
    <w:rsid w:val="00285118"/>
    <w:rsid w:val="002851E8"/>
    <w:rsid w:val="00285B05"/>
    <w:rsid w:val="00285B5F"/>
    <w:rsid w:val="00285C9B"/>
    <w:rsid w:val="00285F60"/>
    <w:rsid w:val="00285FB9"/>
    <w:rsid w:val="00285FE7"/>
    <w:rsid w:val="002860A1"/>
    <w:rsid w:val="00286290"/>
    <w:rsid w:val="002863A4"/>
    <w:rsid w:val="00286413"/>
    <w:rsid w:val="00286477"/>
    <w:rsid w:val="002864AC"/>
    <w:rsid w:val="002866FD"/>
    <w:rsid w:val="0028676A"/>
    <w:rsid w:val="002868CE"/>
    <w:rsid w:val="00286986"/>
    <w:rsid w:val="002869B1"/>
    <w:rsid w:val="002869C2"/>
    <w:rsid w:val="00286A7D"/>
    <w:rsid w:val="00286AB4"/>
    <w:rsid w:val="00286AE8"/>
    <w:rsid w:val="00286D59"/>
    <w:rsid w:val="00286FB6"/>
    <w:rsid w:val="002871C1"/>
    <w:rsid w:val="002873CF"/>
    <w:rsid w:val="00287411"/>
    <w:rsid w:val="00287491"/>
    <w:rsid w:val="00287540"/>
    <w:rsid w:val="00287569"/>
    <w:rsid w:val="00287595"/>
    <w:rsid w:val="002875EE"/>
    <w:rsid w:val="00287637"/>
    <w:rsid w:val="002878DD"/>
    <w:rsid w:val="002879AC"/>
    <w:rsid w:val="00287A14"/>
    <w:rsid w:val="00287BDB"/>
    <w:rsid w:val="00287D78"/>
    <w:rsid w:val="00287E49"/>
    <w:rsid w:val="00290066"/>
    <w:rsid w:val="00290191"/>
    <w:rsid w:val="00290264"/>
    <w:rsid w:val="0029042B"/>
    <w:rsid w:val="002904C8"/>
    <w:rsid w:val="00290572"/>
    <w:rsid w:val="00290768"/>
    <w:rsid w:val="002909E7"/>
    <w:rsid w:val="00290A13"/>
    <w:rsid w:val="00290A43"/>
    <w:rsid w:val="00290B19"/>
    <w:rsid w:val="00290FD6"/>
    <w:rsid w:val="00291113"/>
    <w:rsid w:val="00291403"/>
    <w:rsid w:val="0029146C"/>
    <w:rsid w:val="0029173B"/>
    <w:rsid w:val="002918A6"/>
    <w:rsid w:val="002918C3"/>
    <w:rsid w:val="00291A66"/>
    <w:rsid w:val="00291AE5"/>
    <w:rsid w:val="00291B7C"/>
    <w:rsid w:val="00291BF1"/>
    <w:rsid w:val="00291CDF"/>
    <w:rsid w:val="00291D36"/>
    <w:rsid w:val="00291F5B"/>
    <w:rsid w:val="00291F88"/>
    <w:rsid w:val="00291FED"/>
    <w:rsid w:val="00292087"/>
    <w:rsid w:val="00292170"/>
    <w:rsid w:val="0029225A"/>
    <w:rsid w:val="00292483"/>
    <w:rsid w:val="002924D7"/>
    <w:rsid w:val="00292521"/>
    <w:rsid w:val="00292604"/>
    <w:rsid w:val="00292753"/>
    <w:rsid w:val="00292C32"/>
    <w:rsid w:val="00292CA7"/>
    <w:rsid w:val="00292CB4"/>
    <w:rsid w:val="00292E36"/>
    <w:rsid w:val="00292E6B"/>
    <w:rsid w:val="00292E6C"/>
    <w:rsid w:val="00292EAC"/>
    <w:rsid w:val="00292ED1"/>
    <w:rsid w:val="00292F7F"/>
    <w:rsid w:val="002930C9"/>
    <w:rsid w:val="00293173"/>
    <w:rsid w:val="0029318A"/>
    <w:rsid w:val="002931E8"/>
    <w:rsid w:val="002931FD"/>
    <w:rsid w:val="002932D7"/>
    <w:rsid w:val="00293307"/>
    <w:rsid w:val="00293644"/>
    <w:rsid w:val="002937B7"/>
    <w:rsid w:val="002938D8"/>
    <w:rsid w:val="002938F3"/>
    <w:rsid w:val="00293BD0"/>
    <w:rsid w:val="00293C1F"/>
    <w:rsid w:val="00293C68"/>
    <w:rsid w:val="00293CB2"/>
    <w:rsid w:val="00293D41"/>
    <w:rsid w:val="00293D58"/>
    <w:rsid w:val="00293D69"/>
    <w:rsid w:val="00293D8A"/>
    <w:rsid w:val="00293DDA"/>
    <w:rsid w:val="00293E18"/>
    <w:rsid w:val="00294257"/>
    <w:rsid w:val="0029443D"/>
    <w:rsid w:val="002945C8"/>
    <w:rsid w:val="0029461E"/>
    <w:rsid w:val="0029465A"/>
    <w:rsid w:val="002946AB"/>
    <w:rsid w:val="00294892"/>
    <w:rsid w:val="00294936"/>
    <w:rsid w:val="00294977"/>
    <w:rsid w:val="00294989"/>
    <w:rsid w:val="00294A84"/>
    <w:rsid w:val="00294C0F"/>
    <w:rsid w:val="00294C36"/>
    <w:rsid w:val="00294C87"/>
    <w:rsid w:val="00294DCB"/>
    <w:rsid w:val="00294DFF"/>
    <w:rsid w:val="00294E68"/>
    <w:rsid w:val="00294F81"/>
    <w:rsid w:val="00294F90"/>
    <w:rsid w:val="0029544D"/>
    <w:rsid w:val="00295583"/>
    <w:rsid w:val="00295714"/>
    <w:rsid w:val="00295743"/>
    <w:rsid w:val="0029579A"/>
    <w:rsid w:val="00295879"/>
    <w:rsid w:val="0029596D"/>
    <w:rsid w:val="00295B00"/>
    <w:rsid w:val="00295BC5"/>
    <w:rsid w:val="00295C1F"/>
    <w:rsid w:val="00295FE9"/>
    <w:rsid w:val="0029607A"/>
    <w:rsid w:val="00296087"/>
    <w:rsid w:val="00296193"/>
    <w:rsid w:val="00296396"/>
    <w:rsid w:val="002963BB"/>
    <w:rsid w:val="00296410"/>
    <w:rsid w:val="002964AD"/>
    <w:rsid w:val="00296704"/>
    <w:rsid w:val="0029675C"/>
    <w:rsid w:val="002968A7"/>
    <w:rsid w:val="0029692B"/>
    <w:rsid w:val="00296995"/>
    <w:rsid w:val="00296A72"/>
    <w:rsid w:val="00296AA2"/>
    <w:rsid w:val="00296ACB"/>
    <w:rsid w:val="00296B46"/>
    <w:rsid w:val="00296CBB"/>
    <w:rsid w:val="00296F50"/>
    <w:rsid w:val="00297001"/>
    <w:rsid w:val="002970F9"/>
    <w:rsid w:val="0029718A"/>
    <w:rsid w:val="002973CF"/>
    <w:rsid w:val="002975B0"/>
    <w:rsid w:val="002975BE"/>
    <w:rsid w:val="0029784C"/>
    <w:rsid w:val="0029785F"/>
    <w:rsid w:val="002979D1"/>
    <w:rsid w:val="00297A89"/>
    <w:rsid w:val="00297AB9"/>
    <w:rsid w:val="00297BF1"/>
    <w:rsid w:val="00297CE2"/>
    <w:rsid w:val="00297E4C"/>
    <w:rsid w:val="002A006D"/>
    <w:rsid w:val="002A00B0"/>
    <w:rsid w:val="002A00E3"/>
    <w:rsid w:val="002A01DA"/>
    <w:rsid w:val="002A0233"/>
    <w:rsid w:val="002A0350"/>
    <w:rsid w:val="002A063B"/>
    <w:rsid w:val="002A06E7"/>
    <w:rsid w:val="002A0832"/>
    <w:rsid w:val="002A08C5"/>
    <w:rsid w:val="002A0C48"/>
    <w:rsid w:val="002A0C7E"/>
    <w:rsid w:val="002A0CB3"/>
    <w:rsid w:val="002A0D2C"/>
    <w:rsid w:val="002A0F2F"/>
    <w:rsid w:val="002A0F40"/>
    <w:rsid w:val="002A11E8"/>
    <w:rsid w:val="002A122F"/>
    <w:rsid w:val="002A145C"/>
    <w:rsid w:val="002A157A"/>
    <w:rsid w:val="002A15A0"/>
    <w:rsid w:val="002A16A2"/>
    <w:rsid w:val="002A17C6"/>
    <w:rsid w:val="002A17F3"/>
    <w:rsid w:val="002A1A30"/>
    <w:rsid w:val="002A1B6F"/>
    <w:rsid w:val="002A1B7D"/>
    <w:rsid w:val="002A2134"/>
    <w:rsid w:val="002A21D5"/>
    <w:rsid w:val="002A25A3"/>
    <w:rsid w:val="002A2694"/>
    <w:rsid w:val="002A27B5"/>
    <w:rsid w:val="002A2875"/>
    <w:rsid w:val="002A2911"/>
    <w:rsid w:val="002A291F"/>
    <w:rsid w:val="002A2951"/>
    <w:rsid w:val="002A2A7B"/>
    <w:rsid w:val="002A2B18"/>
    <w:rsid w:val="002A2B44"/>
    <w:rsid w:val="002A2BA9"/>
    <w:rsid w:val="002A2BB8"/>
    <w:rsid w:val="002A2CD4"/>
    <w:rsid w:val="002A2F10"/>
    <w:rsid w:val="002A2FFA"/>
    <w:rsid w:val="002A3001"/>
    <w:rsid w:val="002A310A"/>
    <w:rsid w:val="002A311A"/>
    <w:rsid w:val="002A3130"/>
    <w:rsid w:val="002A3170"/>
    <w:rsid w:val="002A3371"/>
    <w:rsid w:val="002A3437"/>
    <w:rsid w:val="002A347C"/>
    <w:rsid w:val="002A356C"/>
    <w:rsid w:val="002A366D"/>
    <w:rsid w:val="002A378F"/>
    <w:rsid w:val="002A37C2"/>
    <w:rsid w:val="002A3AF5"/>
    <w:rsid w:val="002A3D00"/>
    <w:rsid w:val="002A3DE9"/>
    <w:rsid w:val="002A3E07"/>
    <w:rsid w:val="002A4454"/>
    <w:rsid w:val="002A4534"/>
    <w:rsid w:val="002A45A2"/>
    <w:rsid w:val="002A47E3"/>
    <w:rsid w:val="002A4BDC"/>
    <w:rsid w:val="002A4E0B"/>
    <w:rsid w:val="002A4E1D"/>
    <w:rsid w:val="002A5069"/>
    <w:rsid w:val="002A51C5"/>
    <w:rsid w:val="002A51F9"/>
    <w:rsid w:val="002A52AD"/>
    <w:rsid w:val="002A5321"/>
    <w:rsid w:val="002A5352"/>
    <w:rsid w:val="002A53B7"/>
    <w:rsid w:val="002A53EF"/>
    <w:rsid w:val="002A5504"/>
    <w:rsid w:val="002A5677"/>
    <w:rsid w:val="002A5E0D"/>
    <w:rsid w:val="002A5F63"/>
    <w:rsid w:val="002A5F92"/>
    <w:rsid w:val="002A5FA1"/>
    <w:rsid w:val="002A5FE6"/>
    <w:rsid w:val="002A608C"/>
    <w:rsid w:val="002A614B"/>
    <w:rsid w:val="002A620E"/>
    <w:rsid w:val="002A6421"/>
    <w:rsid w:val="002A650F"/>
    <w:rsid w:val="002A67F2"/>
    <w:rsid w:val="002A689D"/>
    <w:rsid w:val="002A68D3"/>
    <w:rsid w:val="002A6902"/>
    <w:rsid w:val="002A692A"/>
    <w:rsid w:val="002A6B30"/>
    <w:rsid w:val="002A6CAA"/>
    <w:rsid w:val="002A6D43"/>
    <w:rsid w:val="002A6DCE"/>
    <w:rsid w:val="002A6DD9"/>
    <w:rsid w:val="002A6E23"/>
    <w:rsid w:val="002A6F33"/>
    <w:rsid w:val="002A70AF"/>
    <w:rsid w:val="002A712A"/>
    <w:rsid w:val="002A716C"/>
    <w:rsid w:val="002A7210"/>
    <w:rsid w:val="002A742D"/>
    <w:rsid w:val="002A74FF"/>
    <w:rsid w:val="002A7554"/>
    <w:rsid w:val="002A778C"/>
    <w:rsid w:val="002A7881"/>
    <w:rsid w:val="002A790C"/>
    <w:rsid w:val="002A7A43"/>
    <w:rsid w:val="002A7AB7"/>
    <w:rsid w:val="002A7F22"/>
    <w:rsid w:val="002A7F2E"/>
    <w:rsid w:val="002A7FFA"/>
    <w:rsid w:val="002B034E"/>
    <w:rsid w:val="002B05FF"/>
    <w:rsid w:val="002B0607"/>
    <w:rsid w:val="002B0680"/>
    <w:rsid w:val="002B06FF"/>
    <w:rsid w:val="002B077D"/>
    <w:rsid w:val="002B0790"/>
    <w:rsid w:val="002B0943"/>
    <w:rsid w:val="002B0A94"/>
    <w:rsid w:val="002B0BFC"/>
    <w:rsid w:val="002B0CB2"/>
    <w:rsid w:val="002B0D20"/>
    <w:rsid w:val="002B0F6A"/>
    <w:rsid w:val="002B1086"/>
    <w:rsid w:val="002B10DE"/>
    <w:rsid w:val="002B1110"/>
    <w:rsid w:val="002B1119"/>
    <w:rsid w:val="002B12CE"/>
    <w:rsid w:val="002B13A3"/>
    <w:rsid w:val="002B15DB"/>
    <w:rsid w:val="002B1705"/>
    <w:rsid w:val="002B173D"/>
    <w:rsid w:val="002B18AB"/>
    <w:rsid w:val="002B1950"/>
    <w:rsid w:val="002B1AF4"/>
    <w:rsid w:val="002B1C66"/>
    <w:rsid w:val="002B1C8A"/>
    <w:rsid w:val="002B1EB6"/>
    <w:rsid w:val="002B1EEC"/>
    <w:rsid w:val="002B1EF4"/>
    <w:rsid w:val="002B212C"/>
    <w:rsid w:val="002B2283"/>
    <w:rsid w:val="002B2302"/>
    <w:rsid w:val="002B247F"/>
    <w:rsid w:val="002B24DE"/>
    <w:rsid w:val="002B2528"/>
    <w:rsid w:val="002B25A6"/>
    <w:rsid w:val="002B26C6"/>
    <w:rsid w:val="002B273C"/>
    <w:rsid w:val="002B2BE7"/>
    <w:rsid w:val="002B2C1C"/>
    <w:rsid w:val="002B2C8C"/>
    <w:rsid w:val="002B2D64"/>
    <w:rsid w:val="002B2D88"/>
    <w:rsid w:val="002B2EC1"/>
    <w:rsid w:val="002B2EDC"/>
    <w:rsid w:val="002B2F01"/>
    <w:rsid w:val="002B2F51"/>
    <w:rsid w:val="002B30A2"/>
    <w:rsid w:val="002B30DB"/>
    <w:rsid w:val="002B3317"/>
    <w:rsid w:val="002B33C2"/>
    <w:rsid w:val="002B39C0"/>
    <w:rsid w:val="002B39FA"/>
    <w:rsid w:val="002B3B0A"/>
    <w:rsid w:val="002B3C89"/>
    <w:rsid w:val="002B400E"/>
    <w:rsid w:val="002B4097"/>
    <w:rsid w:val="002B412C"/>
    <w:rsid w:val="002B41BF"/>
    <w:rsid w:val="002B4219"/>
    <w:rsid w:val="002B45D2"/>
    <w:rsid w:val="002B473B"/>
    <w:rsid w:val="002B4B67"/>
    <w:rsid w:val="002B4BD3"/>
    <w:rsid w:val="002B4C15"/>
    <w:rsid w:val="002B4FD9"/>
    <w:rsid w:val="002B5375"/>
    <w:rsid w:val="002B54B1"/>
    <w:rsid w:val="002B5530"/>
    <w:rsid w:val="002B5626"/>
    <w:rsid w:val="002B5745"/>
    <w:rsid w:val="002B57CE"/>
    <w:rsid w:val="002B599D"/>
    <w:rsid w:val="002B59DC"/>
    <w:rsid w:val="002B5A59"/>
    <w:rsid w:val="002B5B0B"/>
    <w:rsid w:val="002B5C9E"/>
    <w:rsid w:val="002B5DC8"/>
    <w:rsid w:val="002B5F9F"/>
    <w:rsid w:val="002B6043"/>
    <w:rsid w:val="002B60D4"/>
    <w:rsid w:val="002B613F"/>
    <w:rsid w:val="002B6265"/>
    <w:rsid w:val="002B626E"/>
    <w:rsid w:val="002B6295"/>
    <w:rsid w:val="002B631C"/>
    <w:rsid w:val="002B63F7"/>
    <w:rsid w:val="002B64B5"/>
    <w:rsid w:val="002B6644"/>
    <w:rsid w:val="002B6764"/>
    <w:rsid w:val="002B6937"/>
    <w:rsid w:val="002B6974"/>
    <w:rsid w:val="002B6A6E"/>
    <w:rsid w:val="002B7011"/>
    <w:rsid w:val="002B7116"/>
    <w:rsid w:val="002B7248"/>
    <w:rsid w:val="002B7270"/>
    <w:rsid w:val="002B72A7"/>
    <w:rsid w:val="002B7313"/>
    <w:rsid w:val="002B7342"/>
    <w:rsid w:val="002B769E"/>
    <w:rsid w:val="002B78A8"/>
    <w:rsid w:val="002B7935"/>
    <w:rsid w:val="002B7A3C"/>
    <w:rsid w:val="002B7AB8"/>
    <w:rsid w:val="002B7F67"/>
    <w:rsid w:val="002B7F99"/>
    <w:rsid w:val="002C0172"/>
    <w:rsid w:val="002C025B"/>
    <w:rsid w:val="002C02BB"/>
    <w:rsid w:val="002C047E"/>
    <w:rsid w:val="002C049A"/>
    <w:rsid w:val="002C04BB"/>
    <w:rsid w:val="002C061E"/>
    <w:rsid w:val="002C065C"/>
    <w:rsid w:val="002C0763"/>
    <w:rsid w:val="002C0788"/>
    <w:rsid w:val="002C0848"/>
    <w:rsid w:val="002C088D"/>
    <w:rsid w:val="002C0963"/>
    <w:rsid w:val="002C096E"/>
    <w:rsid w:val="002C09DC"/>
    <w:rsid w:val="002C0B44"/>
    <w:rsid w:val="002C0D04"/>
    <w:rsid w:val="002C0DEA"/>
    <w:rsid w:val="002C0E69"/>
    <w:rsid w:val="002C0EB8"/>
    <w:rsid w:val="002C0EBD"/>
    <w:rsid w:val="002C0F26"/>
    <w:rsid w:val="002C0F7A"/>
    <w:rsid w:val="002C0FE9"/>
    <w:rsid w:val="002C100C"/>
    <w:rsid w:val="002C1033"/>
    <w:rsid w:val="002C14D2"/>
    <w:rsid w:val="002C15CD"/>
    <w:rsid w:val="002C15EE"/>
    <w:rsid w:val="002C1660"/>
    <w:rsid w:val="002C167D"/>
    <w:rsid w:val="002C16DE"/>
    <w:rsid w:val="002C1779"/>
    <w:rsid w:val="002C1797"/>
    <w:rsid w:val="002C1AA9"/>
    <w:rsid w:val="002C1E4A"/>
    <w:rsid w:val="002C2073"/>
    <w:rsid w:val="002C2098"/>
    <w:rsid w:val="002C214C"/>
    <w:rsid w:val="002C2224"/>
    <w:rsid w:val="002C227E"/>
    <w:rsid w:val="002C22BE"/>
    <w:rsid w:val="002C23E3"/>
    <w:rsid w:val="002C23E4"/>
    <w:rsid w:val="002C240A"/>
    <w:rsid w:val="002C2439"/>
    <w:rsid w:val="002C25DA"/>
    <w:rsid w:val="002C262F"/>
    <w:rsid w:val="002C26B8"/>
    <w:rsid w:val="002C27E8"/>
    <w:rsid w:val="002C2816"/>
    <w:rsid w:val="002C2928"/>
    <w:rsid w:val="002C2A26"/>
    <w:rsid w:val="002C2B01"/>
    <w:rsid w:val="002C2B6A"/>
    <w:rsid w:val="002C2BBF"/>
    <w:rsid w:val="002C2C40"/>
    <w:rsid w:val="002C2CBA"/>
    <w:rsid w:val="002C2DB4"/>
    <w:rsid w:val="002C2F23"/>
    <w:rsid w:val="002C30DA"/>
    <w:rsid w:val="002C30F7"/>
    <w:rsid w:val="002C319C"/>
    <w:rsid w:val="002C3398"/>
    <w:rsid w:val="002C33F2"/>
    <w:rsid w:val="002C35CF"/>
    <w:rsid w:val="002C3689"/>
    <w:rsid w:val="002C36E3"/>
    <w:rsid w:val="002C39B0"/>
    <w:rsid w:val="002C3A35"/>
    <w:rsid w:val="002C3E21"/>
    <w:rsid w:val="002C3EFC"/>
    <w:rsid w:val="002C3FEE"/>
    <w:rsid w:val="002C4059"/>
    <w:rsid w:val="002C4095"/>
    <w:rsid w:val="002C4120"/>
    <w:rsid w:val="002C4174"/>
    <w:rsid w:val="002C44A9"/>
    <w:rsid w:val="002C4533"/>
    <w:rsid w:val="002C45C6"/>
    <w:rsid w:val="002C470D"/>
    <w:rsid w:val="002C47AC"/>
    <w:rsid w:val="002C486D"/>
    <w:rsid w:val="002C4877"/>
    <w:rsid w:val="002C491E"/>
    <w:rsid w:val="002C4930"/>
    <w:rsid w:val="002C4A6F"/>
    <w:rsid w:val="002C4BB3"/>
    <w:rsid w:val="002C4D85"/>
    <w:rsid w:val="002C4F66"/>
    <w:rsid w:val="002C4FB6"/>
    <w:rsid w:val="002C5012"/>
    <w:rsid w:val="002C5103"/>
    <w:rsid w:val="002C5323"/>
    <w:rsid w:val="002C5399"/>
    <w:rsid w:val="002C53AD"/>
    <w:rsid w:val="002C5419"/>
    <w:rsid w:val="002C5660"/>
    <w:rsid w:val="002C571A"/>
    <w:rsid w:val="002C5935"/>
    <w:rsid w:val="002C5956"/>
    <w:rsid w:val="002C5959"/>
    <w:rsid w:val="002C5C26"/>
    <w:rsid w:val="002C5D75"/>
    <w:rsid w:val="002C5D7C"/>
    <w:rsid w:val="002C5D95"/>
    <w:rsid w:val="002C5E24"/>
    <w:rsid w:val="002C5EA4"/>
    <w:rsid w:val="002C5FA0"/>
    <w:rsid w:val="002C600E"/>
    <w:rsid w:val="002C6022"/>
    <w:rsid w:val="002C60A8"/>
    <w:rsid w:val="002C6124"/>
    <w:rsid w:val="002C6141"/>
    <w:rsid w:val="002C6237"/>
    <w:rsid w:val="002C6275"/>
    <w:rsid w:val="002C6505"/>
    <w:rsid w:val="002C657D"/>
    <w:rsid w:val="002C661B"/>
    <w:rsid w:val="002C6627"/>
    <w:rsid w:val="002C667A"/>
    <w:rsid w:val="002C696C"/>
    <w:rsid w:val="002C6A6A"/>
    <w:rsid w:val="002C6AF1"/>
    <w:rsid w:val="002C6B36"/>
    <w:rsid w:val="002C6BD2"/>
    <w:rsid w:val="002C6CEA"/>
    <w:rsid w:val="002C6FFE"/>
    <w:rsid w:val="002C7055"/>
    <w:rsid w:val="002C71AF"/>
    <w:rsid w:val="002C7219"/>
    <w:rsid w:val="002C72E6"/>
    <w:rsid w:val="002C72F4"/>
    <w:rsid w:val="002C7448"/>
    <w:rsid w:val="002C74C3"/>
    <w:rsid w:val="002C7669"/>
    <w:rsid w:val="002C7B3D"/>
    <w:rsid w:val="002C7CBE"/>
    <w:rsid w:val="002C7E40"/>
    <w:rsid w:val="002C7F80"/>
    <w:rsid w:val="002C7FE8"/>
    <w:rsid w:val="002D00A8"/>
    <w:rsid w:val="002D0112"/>
    <w:rsid w:val="002D01CA"/>
    <w:rsid w:val="002D02EA"/>
    <w:rsid w:val="002D0465"/>
    <w:rsid w:val="002D048F"/>
    <w:rsid w:val="002D04E9"/>
    <w:rsid w:val="002D0665"/>
    <w:rsid w:val="002D07FB"/>
    <w:rsid w:val="002D08F7"/>
    <w:rsid w:val="002D0958"/>
    <w:rsid w:val="002D0B12"/>
    <w:rsid w:val="002D0C79"/>
    <w:rsid w:val="002D0D7A"/>
    <w:rsid w:val="002D1335"/>
    <w:rsid w:val="002D1385"/>
    <w:rsid w:val="002D15B5"/>
    <w:rsid w:val="002D18A3"/>
    <w:rsid w:val="002D1935"/>
    <w:rsid w:val="002D1966"/>
    <w:rsid w:val="002D1A36"/>
    <w:rsid w:val="002D1D14"/>
    <w:rsid w:val="002D1DD4"/>
    <w:rsid w:val="002D1F42"/>
    <w:rsid w:val="002D2051"/>
    <w:rsid w:val="002D20EA"/>
    <w:rsid w:val="002D233F"/>
    <w:rsid w:val="002D2388"/>
    <w:rsid w:val="002D2493"/>
    <w:rsid w:val="002D24BA"/>
    <w:rsid w:val="002D26B8"/>
    <w:rsid w:val="002D26BC"/>
    <w:rsid w:val="002D26C5"/>
    <w:rsid w:val="002D26E8"/>
    <w:rsid w:val="002D2C1A"/>
    <w:rsid w:val="002D2D23"/>
    <w:rsid w:val="002D2D41"/>
    <w:rsid w:val="002D2D8F"/>
    <w:rsid w:val="002D2FE0"/>
    <w:rsid w:val="002D31D9"/>
    <w:rsid w:val="002D3309"/>
    <w:rsid w:val="002D33EA"/>
    <w:rsid w:val="002D34BC"/>
    <w:rsid w:val="002D36BF"/>
    <w:rsid w:val="002D38B6"/>
    <w:rsid w:val="002D39BE"/>
    <w:rsid w:val="002D39C2"/>
    <w:rsid w:val="002D39C5"/>
    <w:rsid w:val="002D3C95"/>
    <w:rsid w:val="002D3DB4"/>
    <w:rsid w:val="002D3F0A"/>
    <w:rsid w:val="002D4121"/>
    <w:rsid w:val="002D41EB"/>
    <w:rsid w:val="002D43B3"/>
    <w:rsid w:val="002D43C8"/>
    <w:rsid w:val="002D43D6"/>
    <w:rsid w:val="002D45BF"/>
    <w:rsid w:val="002D47BF"/>
    <w:rsid w:val="002D47C3"/>
    <w:rsid w:val="002D47D6"/>
    <w:rsid w:val="002D4A40"/>
    <w:rsid w:val="002D4B52"/>
    <w:rsid w:val="002D4B73"/>
    <w:rsid w:val="002D4C0A"/>
    <w:rsid w:val="002D4C5F"/>
    <w:rsid w:val="002D4D65"/>
    <w:rsid w:val="002D4E5B"/>
    <w:rsid w:val="002D5024"/>
    <w:rsid w:val="002D53CD"/>
    <w:rsid w:val="002D54A6"/>
    <w:rsid w:val="002D5526"/>
    <w:rsid w:val="002D574B"/>
    <w:rsid w:val="002D59DA"/>
    <w:rsid w:val="002D5BC7"/>
    <w:rsid w:val="002D5C3D"/>
    <w:rsid w:val="002D5C42"/>
    <w:rsid w:val="002D5C62"/>
    <w:rsid w:val="002D5E8E"/>
    <w:rsid w:val="002D6031"/>
    <w:rsid w:val="002D65B6"/>
    <w:rsid w:val="002D65C1"/>
    <w:rsid w:val="002D6778"/>
    <w:rsid w:val="002D68E3"/>
    <w:rsid w:val="002D6A15"/>
    <w:rsid w:val="002D6AA8"/>
    <w:rsid w:val="002D6C12"/>
    <w:rsid w:val="002D6D41"/>
    <w:rsid w:val="002D6D42"/>
    <w:rsid w:val="002D6E4C"/>
    <w:rsid w:val="002D6F57"/>
    <w:rsid w:val="002D6F61"/>
    <w:rsid w:val="002D715D"/>
    <w:rsid w:val="002D71DD"/>
    <w:rsid w:val="002D75EB"/>
    <w:rsid w:val="002D7683"/>
    <w:rsid w:val="002D77F8"/>
    <w:rsid w:val="002D78D2"/>
    <w:rsid w:val="002D79B0"/>
    <w:rsid w:val="002D7C75"/>
    <w:rsid w:val="002D7CB1"/>
    <w:rsid w:val="002D7F0E"/>
    <w:rsid w:val="002E00A5"/>
    <w:rsid w:val="002E02A6"/>
    <w:rsid w:val="002E02B4"/>
    <w:rsid w:val="002E03DA"/>
    <w:rsid w:val="002E04A9"/>
    <w:rsid w:val="002E09F7"/>
    <w:rsid w:val="002E0A4B"/>
    <w:rsid w:val="002E0A9C"/>
    <w:rsid w:val="002E0BCF"/>
    <w:rsid w:val="002E0C4D"/>
    <w:rsid w:val="002E0F1A"/>
    <w:rsid w:val="002E1050"/>
    <w:rsid w:val="002E1091"/>
    <w:rsid w:val="002E1102"/>
    <w:rsid w:val="002E1103"/>
    <w:rsid w:val="002E12D9"/>
    <w:rsid w:val="002E12FD"/>
    <w:rsid w:val="002E13BD"/>
    <w:rsid w:val="002E13DC"/>
    <w:rsid w:val="002E14A0"/>
    <w:rsid w:val="002E1607"/>
    <w:rsid w:val="002E1634"/>
    <w:rsid w:val="002E17B6"/>
    <w:rsid w:val="002E1893"/>
    <w:rsid w:val="002E199A"/>
    <w:rsid w:val="002E19C8"/>
    <w:rsid w:val="002E1D67"/>
    <w:rsid w:val="002E216A"/>
    <w:rsid w:val="002E225A"/>
    <w:rsid w:val="002E24D5"/>
    <w:rsid w:val="002E256C"/>
    <w:rsid w:val="002E275B"/>
    <w:rsid w:val="002E2B30"/>
    <w:rsid w:val="002E2B9E"/>
    <w:rsid w:val="002E2DD4"/>
    <w:rsid w:val="002E2F56"/>
    <w:rsid w:val="002E2F60"/>
    <w:rsid w:val="002E3421"/>
    <w:rsid w:val="002E356C"/>
    <w:rsid w:val="002E3611"/>
    <w:rsid w:val="002E389E"/>
    <w:rsid w:val="002E38D5"/>
    <w:rsid w:val="002E3908"/>
    <w:rsid w:val="002E3C2A"/>
    <w:rsid w:val="002E4247"/>
    <w:rsid w:val="002E4475"/>
    <w:rsid w:val="002E447C"/>
    <w:rsid w:val="002E46C1"/>
    <w:rsid w:val="002E4A6C"/>
    <w:rsid w:val="002E4AB0"/>
    <w:rsid w:val="002E4B57"/>
    <w:rsid w:val="002E4BB4"/>
    <w:rsid w:val="002E4C6C"/>
    <w:rsid w:val="002E4CE7"/>
    <w:rsid w:val="002E4F45"/>
    <w:rsid w:val="002E5001"/>
    <w:rsid w:val="002E500D"/>
    <w:rsid w:val="002E54BF"/>
    <w:rsid w:val="002E562A"/>
    <w:rsid w:val="002E5798"/>
    <w:rsid w:val="002E5B26"/>
    <w:rsid w:val="002E5C62"/>
    <w:rsid w:val="002E5E08"/>
    <w:rsid w:val="002E5E1C"/>
    <w:rsid w:val="002E5EF9"/>
    <w:rsid w:val="002E6070"/>
    <w:rsid w:val="002E607A"/>
    <w:rsid w:val="002E607D"/>
    <w:rsid w:val="002E6196"/>
    <w:rsid w:val="002E65E9"/>
    <w:rsid w:val="002E6601"/>
    <w:rsid w:val="002E6745"/>
    <w:rsid w:val="002E6B33"/>
    <w:rsid w:val="002E6BE6"/>
    <w:rsid w:val="002E6F6D"/>
    <w:rsid w:val="002E7320"/>
    <w:rsid w:val="002E740A"/>
    <w:rsid w:val="002E7689"/>
    <w:rsid w:val="002E7820"/>
    <w:rsid w:val="002E79F9"/>
    <w:rsid w:val="002E7C06"/>
    <w:rsid w:val="002E7D1B"/>
    <w:rsid w:val="002E7EDA"/>
    <w:rsid w:val="002E7F09"/>
    <w:rsid w:val="002E7F4D"/>
    <w:rsid w:val="002F0017"/>
    <w:rsid w:val="002F0394"/>
    <w:rsid w:val="002F03B0"/>
    <w:rsid w:val="002F04A3"/>
    <w:rsid w:val="002F0556"/>
    <w:rsid w:val="002F0697"/>
    <w:rsid w:val="002F0767"/>
    <w:rsid w:val="002F0846"/>
    <w:rsid w:val="002F087B"/>
    <w:rsid w:val="002F08C2"/>
    <w:rsid w:val="002F0984"/>
    <w:rsid w:val="002F0B9C"/>
    <w:rsid w:val="002F0C3F"/>
    <w:rsid w:val="002F0C5B"/>
    <w:rsid w:val="002F1039"/>
    <w:rsid w:val="002F1239"/>
    <w:rsid w:val="002F149E"/>
    <w:rsid w:val="002F1578"/>
    <w:rsid w:val="002F1600"/>
    <w:rsid w:val="002F1654"/>
    <w:rsid w:val="002F1715"/>
    <w:rsid w:val="002F1757"/>
    <w:rsid w:val="002F18CD"/>
    <w:rsid w:val="002F1968"/>
    <w:rsid w:val="002F1A63"/>
    <w:rsid w:val="002F1BA6"/>
    <w:rsid w:val="002F1CAF"/>
    <w:rsid w:val="002F1D15"/>
    <w:rsid w:val="002F1DFF"/>
    <w:rsid w:val="002F20E4"/>
    <w:rsid w:val="002F230D"/>
    <w:rsid w:val="002F23F8"/>
    <w:rsid w:val="002F2542"/>
    <w:rsid w:val="002F2556"/>
    <w:rsid w:val="002F25CA"/>
    <w:rsid w:val="002F2717"/>
    <w:rsid w:val="002F2782"/>
    <w:rsid w:val="002F287C"/>
    <w:rsid w:val="002F28D8"/>
    <w:rsid w:val="002F2921"/>
    <w:rsid w:val="002F2960"/>
    <w:rsid w:val="002F2A9F"/>
    <w:rsid w:val="002F2C4F"/>
    <w:rsid w:val="002F3121"/>
    <w:rsid w:val="002F3300"/>
    <w:rsid w:val="002F34EB"/>
    <w:rsid w:val="002F36AC"/>
    <w:rsid w:val="002F370B"/>
    <w:rsid w:val="002F38C5"/>
    <w:rsid w:val="002F390F"/>
    <w:rsid w:val="002F39DC"/>
    <w:rsid w:val="002F3B30"/>
    <w:rsid w:val="002F3DD9"/>
    <w:rsid w:val="002F3DF9"/>
    <w:rsid w:val="002F3E40"/>
    <w:rsid w:val="002F3E46"/>
    <w:rsid w:val="002F3F1A"/>
    <w:rsid w:val="002F4064"/>
    <w:rsid w:val="002F41C6"/>
    <w:rsid w:val="002F4327"/>
    <w:rsid w:val="002F432B"/>
    <w:rsid w:val="002F4465"/>
    <w:rsid w:val="002F45BB"/>
    <w:rsid w:val="002F4710"/>
    <w:rsid w:val="002F489C"/>
    <w:rsid w:val="002F4948"/>
    <w:rsid w:val="002F4A59"/>
    <w:rsid w:val="002F4A91"/>
    <w:rsid w:val="002F4AC8"/>
    <w:rsid w:val="002F4B40"/>
    <w:rsid w:val="002F4BA6"/>
    <w:rsid w:val="002F4DFB"/>
    <w:rsid w:val="002F53CB"/>
    <w:rsid w:val="002F5433"/>
    <w:rsid w:val="002F55F4"/>
    <w:rsid w:val="002F5636"/>
    <w:rsid w:val="002F5765"/>
    <w:rsid w:val="002F5833"/>
    <w:rsid w:val="002F5A20"/>
    <w:rsid w:val="002F5C90"/>
    <w:rsid w:val="002F5E2F"/>
    <w:rsid w:val="002F6114"/>
    <w:rsid w:val="002F6175"/>
    <w:rsid w:val="002F61A6"/>
    <w:rsid w:val="002F6233"/>
    <w:rsid w:val="002F627A"/>
    <w:rsid w:val="002F628E"/>
    <w:rsid w:val="002F6446"/>
    <w:rsid w:val="002F64D6"/>
    <w:rsid w:val="002F656B"/>
    <w:rsid w:val="002F6671"/>
    <w:rsid w:val="002F6A7F"/>
    <w:rsid w:val="002F6AC8"/>
    <w:rsid w:val="002F6AF6"/>
    <w:rsid w:val="002F6EA5"/>
    <w:rsid w:val="002F6FED"/>
    <w:rsid w:val="002F7134"/>
    <w:rsid w:val="002F7305"/>
    <w:rsid w:val="002F7391"/>
    <w:rsid w:val="002F73C2"/>
    <w:rsid w:val="002F73FC"/>
    <w:rsid w:val="002F74E4"/>
    <w:rsid w:val="002F7568"/>
    <w:rsid w:val="002F7642"/>
    <w:rsid w:val="002F771C"/>
    <w:rsid w:val="002F793B"/>
    <w:rsid w:val="002F7976"/>
    <w:rsid w:val="002F7C51"/>
    <w:rsid w:val="002F7CFD"/>
    <w:rsid w:val="002F7DFA"/>
    <w:rsid w:val="002F7FD9"/>
    <w:rsid w:val="00300319"/>
    <w:rsid w:val="0030054B"/>
    <w:rsid w:val="0030055B"/>
    <w:rsid w:val="0030057B"/>
    <w:rsid w:val="003005A3"/>
    <w:rsid w:val="003006FD"/>
    <w:rsid w:val="0030071E"/>
    <w:rsid w:val="00300823"/>
    <w:rsid w:val="0030089F"/>
    <w:rsid w:val="003009DD"/>
    <w:rsid w:val="00300AEE"/>
    <w:rsid w:val="00300B33"/>
    <w:rsid w:val="00300D2A"/>
    <w:rsid w:val="00300D35"/>
    <w:rsid w:val="00300F24"/>
    <w:rsid w:val="003010A9"/>
    <w:rsid w:val="0030118B"/>
    <w:rsid w:val="00301265"/>
    <w:rsid w:val="003012EA"/>
    <w:rsid w:val="0030132B"/>
    <w:rsid w:val="00301337"/>
    <w:rsid w:val="00301421"/>
    <w:rsid w:val="0030166D"/>
    <w:rsid w:val="003016A2"/>
    <w:rsid w:val="003018FA"/>
    <w:rsid w:val="00301AF1"/>
    <w:rsid w:val="00301B2F"/>
    <w:rsid w:val="00301C5F"/>
    <w:rsid w:val="00301E24"/>
    <w:rsid w:val="00301EEF"/>
    <w:rsid w:val="00301F7A"/>
    <w:rsid w:val="003020A1"/>
    <w:rsid w:val="00302373"/>
    <w:rsid w:val="0030249D"/>
    <w:rsid w:val="003024FC"/>
    <w:rsid w:val="00302561"/>
    <w:rsid w:val="00302659"/>
    <w:rsid w:val="00302701"/>
    <w:rsid w:val="003027B8"/>
    <w:rsid w:val="003028A8"/>
    <w:rsid w:val="00302AD2"/>
    <w:rsid w:val="00302BB0"/>
    <w:rsid w:val="00302CA0"/>
    <w:rsid w:val="00302CD0"/>
    <w:rsid w:val="00302E55"/>
    <w:rsid w:val="00302E96"/>
    <w:rsid w:val="003030AF"/>
    <w:rsid w:val="003030B1"/>
    <w:rsid w:val="003030CD"/>
    <w:rsid w:val="003030FF"/>
    <w:rsid w:val="0030335E"/>
    <w:rsid w:val="003033FA"/>
    <w:rsid w:val="00303549"/>
    <w:rsid w:val="003035B2"/>
    <w:rsid w:val="0030365C"/>
    <w:rsid w:val="00303781"/>
    <w:rsid w:val="003037BD"/>
    <w:rsid w:val="0030384A"/>
    <w:rsid w:val="00303982"/>
    <w:rsid w:val="00303B33"/>
    <w:rsid w:val="00303DED"/>
    <w:rsid w:val="00303E59"/>
    <w:rsid w:val="00303ECB"/>
    <w:rsid w:val="0030415A"/>
    <w:rsid w:val="00304202"/>
    <w:rsid w:val="00304306"/>
    <w:rsid w:val="00304652"/>
    <w:rsid w:val="003046EE"/>
    <w:rsid w:val="00304913"/>
    <w:rsid w:val="00304A84"/>
    <w:rsid w:val="00304BCC"/>
    <w:rsid w:val="00304BDA"/>
    <w:rsid w:val="00304C24"/>
    <w:rsid w:val="003050F1"/>
    <w:rsid w:val="003051E8"/>
    <w:rsid w:val="00305357"/>
    <w:rsid w:val="003053C2"/>
    <w:rsid w:val="00305502"/>
    <w:rsid w:val="0030551A"/>
    <w:rsid w:val="003055F3"/>
    <w:rsid w:val="00305637"/>
    <w:rsid w:val="0030581E"/>
    <w:rsid w:val="00305936"/>
    <w:rsid w:val="003059BB"/>
    <w:rsid w:val="00305B06"/>
    <w:rsid w:val="00305C39"/>
    <w:rsid w:val="00305FF4"/>
    <w:rsid w:val="003060B2"/>
    <w:rsid w:val="003060DF"/>
    <w:rsid w:val="00306317"/>
    <w:rsid w:val="0030633D"/>
    <w:rsid w:val="0030638F"/>
    <w:rsid w:val="0030655E"/>
    <w:rsid w:val="00306982"/>
    <w:rsid w:val="003069F0"/>
    <w:rsid w:val="00306B91"/>
    <w:rsid w:val="00306BF6"/>
    <w:rsid w:val="00306E10"/>
    <w:rsid w:val="00306E8E"/>
    <w:rsid w:val="00306FBB"/>
    <w:rsid w:val="003074F4"/>
    <w:rsid w:val="0030751A"/>
    <w:rsid w:val="003075E5"/>
    <w:rsid w:val="0030763B"/>
    <w:rsid w:val="003077A9"/>
    <w:rsid w:val="003078A4"/>
    <w:rsid w:val="00307C69"/>
    <w:rsid w:val="00307D7A"/>
    <w:rsid w:val="00307D9A"/>
    <w:rsid w:val="0031015F"/>
    <w:rsid w:val="0031038F"/>
    <w:rsid w:val="003103E5"/>
    <w:rsid w:val="00310479"/>
    <w:rsid w:val="0031050A"/>
    <w:rsid w:val="00310645"/>
    <w:rsid w:val="00310827"/>
    <w:rsid w:val="00310A9B"/>
    <w:rsid w:val="00310AAF"/>
    <w:rsid w:val="00310AB1"/>
    <w:rsid w:val="00310C48"/>
    <w:rsid w:val="00310ED8"/>
    <w:rsid w:val="00311276"/>
    <w:rsid w:val="003112BE"/>
    <w:rsid w:val="003113BB"/>
    <w:rsid w:val="00311437"/>
    <w:rsid w:val="00311520"/>
    <w:rsid w:val="003115C8"/>
    <w:rsid w:val="00311672"/>
    <w:rsid w:val="00311776"/>
    <w:rsid w:val="003118D8"/>
    <w:rsid w:val="0031193F"/>
    <w:rsid w:val="00311CDC"/>
    <w:rsid w:val="00311E9F"/>
    <w:rsid w:val="00312040"/>
    <w:rsid w:val="0031217F"/>
    <w:rsid w:val="00312190"/>
    <w:rsid w:val="003121D6"/>
    <w:rsid w:val="0031220D"/>
    <w:rsid w:val="00312385"/>
    <w:rsid w:val="0031238E"/>
    <w:rsid w:val="0031239D"/>
    <w:rsid w:val="00312761"/>
    <w:rsid w:val="00312788"/>
    <w:rsid w:val="00313137"/>
    <w:rsid w:val="0031324D"/>
    <w:rsid w:val="00313379"/>
    <w:rsid w:val="003133B3"/>
    <w:rsid w:val="0031340D"/>
    <w:rsid w:val="00313454"/>
    <w:rsid w:val="003136FC"/>
    <w:rsid w:val="00313863"/>
    <w:rsid w:val="00313F2D"/>
    <w:rsid w:val="0031406B"/>
    <w:rsid w:val="003143B1"/>
    <w:rsid w:val="00314431"/>
    <w:rsid w:val="0031444B"/>
    <w:rsid w:val="00314598"/>
    <w:rsid w:val="0031466E"/>
    <w:rsid w:val="00314704"/>
    <w:rsid w:val="00314783"/>
    <w:rsid w:val="003147F5"/>
    <w:rsid w:val="00314A3B"/>
    <w:rsid w:val="00314A69"/>
    <w:rsid w:val="00314BC2"/>
    <w:rsid w:val="00314CC0"/>
    <w:rsid w:val="00314DFF"/>
    <w:rsid w:val="003150F1"/>
    <w:rsid w:val="0031541B"/>
    <w:rsid w:val="00315527"/>
    <w:rsid w:val="003156BF"/>
    <w:rsid w:val="00315811"/>
    <w:rsid w:val="00315948"/>
    <w:rsid w:val="003159C5"/>
    <w:rsid w:val="003159F2"/>
    <w:rsid w:val="00315A3B"/>
    <w:rsid w:val="00315BBA"/>
    <w:rsid w:val="00315C0B"/>
    <w:rsid w:val="00315C7C"/>
    <w:rsid w:val="00315C7E"/>
    <w:rsid w:val="00315CF5"/>
    <w:rsid w:val="00315D1C"/>
    <w:rsid w:val="00315E12"/>
    <w:rsid w:val="00315EB0"/>
    <w:rsid w:val="00315FDA"/>
    <w:rsid w:val="00315FF1"/>
    <w:rsid w:val="00316012"/>
    <w:rsid w:val="0031638B"/>
    <w:rsid w:val="00316879"/>
    <w:rsid w:val="00316B03"/>
    <w:rsid w:val="00316B6A"/>
    <w:rsid w:val="00316DC5"/>
    <w:rsid w:val="00316E26"/>
    <w:rsid w:val="00316E49"/>
    <w:rsid w:val="00316FC3"/>
    <w:rsid w:val="00317051"/>
    <w:rsid w:val="003170AD"/>
    <w:rsid w:val="003171FB"/>
    <w:rsid w:val="00317251"/>
    <w:rsid w:val="0031727F"/>
    <w:rsid w:val="0031748E"/>
    <w:rsid w:val="003174CC"/>
    <w:rsid w:val="0031752B"/>
    <w:rsid w:val="00317538"/>
    <w:rsid w:val="00317658"/>
    <w:rsid w:val="003176F1"/>
    <w:rsid w:val="003177EB"/>
    <w:rsid w:val="003178FB"/>
    <w:rsid w:val="0031794F"/>
    <w:rsid w:val="00317B6D"/>
    <w:rsid w:val="00317C75"/>
    <w:rsid w:val="00317C86"/>
    <w:rsid w:val="00317FC0"/>
    <w:rsid w:val="00317FDF"/>
    <w:rsid w:val="0032003B"/>
    <w:rsid w:val="003200AF"/>
    <w:rsid w:val="00320220"/>
    <w:rsid w:val="00320231"/>
    <w:rsid w:val="00320312"/>
    <w:rsid w:val="0032039D"/>
    <w:rsid w:val="0032046B"/>
    <w:rsid w:val="003205F0"/>
    <w:rsid w:val="0032062F"/>
    <w:rsid w:val="00320665"/>
    <w:rsid w:val="00320668"/>
    <w:rsid w:val="003207FE"/>
    <w:rsid w:val="003208C5"/>
    <w:rsid w:val="00320A83"/>
    <w:rsid w:val="00320C00"/>
    <w:rsid w:val="00320D89"/>
    <w:rsid w:val="00320F72"/>
    <w:rsid w:val="00321091"/>
    <w:rsid w:val="0032118C"/>
    <w:rsid w:val="00321237"/>
    <w:rsid w:val="003213CF"/>
    <w:rsid w:val="0032142C"/>
    <w:rsid w:val="0032193B"/>
    <w:rsid w:val="00321982"/>
    <w:rsid w:val="00321A93"/>
    <w:rsid w:val="00321B95"/>
    <w:rsid w:val="00321BD8"/>
    <w:rsid w:val="00321D0A"/>
    <w:rsid w:val="00321D72"/>
    <w:rsid w:val="00321DF7"/>
    <w:rsid w:val="00321E9D"/>
    <w:rsid w:val="00321EC3"/>
    <w:rsid w:val="00321F69"/>
    <w:rsid w:val="0032203B"/>
    <w:rsid w:val="00322046"/>
    <w:rsid w:val="003221B3"/>
    <w:rsid w:val="0032228A"/>
    <w:rsid w:val="00322360"/>
    <w:rsid w:val="00322852"/>
    <w:rsid w:val="00322984"/>
    <w:rsid w:val="00322B90"/>
    <w:rsid w:val="00322FDF"/>
    <w:rsid w:val="0032312C"/>
    <w:rsid w:val="00323488"/>
    <w:rsid w:val="00323550"/>
    <w:rsid w:val="003235C7"/>
    <w:rsid w:val="003235E5"/>
    <w:rsid w:val="003237BA"/>
    <w:rsid w:val="00323884"/>
    <w:rsid w:val="003239A5"/>
    <w:rsid w:val="003239E9"/>
    <w:rsid w:val="00323AB1"/>
    <w:rsid w:val="00323B0C"/>
    <w:rsid w:val="00323BB0"/>
    <w:rsid w:val="00323BF7"/>
    <w:rsid w:val="00323D62"/>
    <w:rsid w:val="00323F83"/>
    <w:rsid w:val="0032417C"/>
    <w:rsid w:val="00324196"/>
    <w:rsid w:val="00324211"/>
    <w:rsid w:val="00324293"/>
    <w:rsid w:val="003242BD"/>
    <w:rsid w:val="00324392"/>
    <w:rsid w:val="00324431"/>
    <w:rsid w:val="003244C4"/>
    <w:rsid w:val="00324753"/>
    <w:rsid w:val="003247FD"/>
    <w:rsid w:val="00324862"/>
    <w:rsid w:val="00324AA2"/>
    <w:rsid w:val="00324AAF"/>
    <w:rsid w:val="00324BCE"/>
    <w:rsid w:val="00324D0F"/>
    <w:rsid w:val="00324D4E"/>
    <w:rsid w:val="00324E82"/>
    <w:rsid w:val="00324FE1"/>
    <w:rsid w:val="00325339"/>
    <w:rsid w:val="003254FB"/>
    <w:rsid w:val="0032553C"/>
    <w:rsid w:val="0032561C"/>
    <w:rsid w:val="00325631"/>
    <w:rsid w:val="00325856"/>
    <w:rsid w:val="00325923"/>
    <w:rsid w:val="00325A66"/>
    <w:rsid w:val="00325BDF"/>
    <w:rsid w:val="00325DD2"/>
    <w:rsid w:val="00326103"/>
    <w:rsid w:val="00326483"/>
    <w:rsid w:val="00326644"/>
    <w:rsid w:val="003266BD"/>
    <w:rsid w:val="0032676E"/>
    <w:rsid w:val="003267AE"/>
    <w:rsid w:val="003269E4"/>
    <w:rsid w:val="003269FB"/>
    <w:rsid w:val="00326B6B"/>
    <w:rsid w:val="00326BE0"/>
    <w:rsid w:val="00326C97"/>
    <w:rsid w:val="00326DE5"/>
    <w:rsid w:val="00326E41"/>
    <w:rsid w:val="00326EE9"/>
    <w:rsid w:val="00326EF8"/>
    <w:rsid w:val="00326F2C"/>
    <w:rsid w:val="003270F6"/>
    <w:rsid w:val="00327102"/>
    <w:rsid w:val="0032712E"/>
    <w:rsid w:val="0032717F"/>
    <w:rsid w:val="003273E0"/>
    <w:rsid w:val="003275DF"/>
    <w:rsid w:val="003276B5"/>
    <w:rsid w:val="0032775A"/>
    <w:rsid w:val="003277EE"/>
    <w:rsid w:val="00327887"/>
    <w:rsid w:val="003278B9"/>
    <w:rsid w:val="00327963"/>
    <w:rsid w:val="00327A1C"/>
    <w:rsid w:val="00327D1C"/>
    <w:rsid w:val="00327D5B"/>
    <w:rsid w:val="00327DA8"/>
    <w:rsid w:val="00327E57"/>
    <w:rsid w:val="00327EAC"/>
    <w:rsid w:val="00327F8C"/>
    <w:rsid w:val="00330009"/>
    <w:rsid w:val="0033007B"/>
    <w:rsid w:val="003302BE"/>
    <w:rsid w:val="003303FF"/>
    <w:rsid w:val="003305A2"/>
    <w:rsid w:val="00330678"/>
    <w:rsid w:val="003307D3"/>
    <w:rsid w:val="00330936"/>
    <w:rsid w:val="0033095F"/>
    <w:rsid w:val="00330A9C"/>
    <w:rsid w:val="00330F95"/>
    <w:rsid w:val="00330FAA"/>
    <w:rsid w:val="003310AF"/>
    <w:rsid w:val="00331121"/>
    <w:rsid w:val="0033117F"/>
    <w:rsid w:val="00331247"/>
    <w:rsid w:val="00331456"/>
    <w:rsid w:val="00331477"/>
    <w:rsid w:val="003314CA"/>
    <w:rsid w:val="00331583"/>
    <w:rsid w:val="00331791"/>
    <w:rsid w:val="003317D9"/>
    <w:rsid w:val="003317DD"/>
    <w:rsid w:val="0033190B"/>
    <w:rsid w:val="00331941"/>
    <w:rsid w:val="00331983"/>
    <w:rsid w:val="003319B5"/>
    <w:rsid w:val="00331A5F"/>
    <w:rsid w:val="00331B31"/>
    <w:rsid w:val="00331B70"/>
    <w:rsid w:val="00331C73"/>
    <w:rsid w:val="00331CBF"/>
    <w:rsid w:val="00331D09"/>
    <w:rsid w:val="00331D70"/>
    <w:rsid w:val="0033234A"/>
    <w:rsid w:val="003323C0"/>
    <w:rsid w:val="00332404"/>
    <w:rsid w:val="0033247E"/>
    <w:rsid w:val="00332561"/>
    <w:rsid w:val="0033259A"/>
    <w:rsid w:val="00332626"/>
    <w:rsid w:val="003326F7"/>
    <w:rsid w:val="003327E5"/>
    <w:rsid w:val="00332810"/>
    <w:rsid w:val="00332B66"/>
    <w:rsid w:val="00332ED3"/>
    <w:rsid w:val="003331A2"/>
    <w:rsid w:val="0033328A"/>
    <w:rsid w:val="0033347D"/>
    <w:rsid w:val="003335FF"/>
    <w:rsid w:val="00333651"/>
    <w:rsid w:val="00333716"/>
    <w:rsid w:val="00333720"/>
    <w:rsid w:val="0033388D"/>
    <w:rsid w:val="003338BC"/>
    <w:rsid w:val="00333C16"/>
    <w:rsid w:val="00333CF2"/>
    <w:rsid w:val="00334324"/>
    <w:rsid w:val="00334349"/>
    <w:rsid w:val="00334394"/>
    <w:rsid w:val="00334414"/>
    <w:rsid w:val="003345AB"/>
    <w:rsid w:val="00334740"/>
    <w:rsid w:val="003349EB"/>
    <w:rsid w:val="00334B9B"/>
    <w:rsid w:val="00334E03"/>
    <w:rsid w:val="00334E2C"/>
    <w:rsid w:val="00334FAA"/>
    <w:rsid w:val="0033500F"/>
    <w:rsid w:val="00335051"/>
    <w:rsid w:val="003350CB"/>
    <w:rsid w:val="003351AC"/>
    <w:rsid w:val="003351B9"/>
    <w:rsid w:val="00335296"/>
    <w:rsid w:val="003353BF"/>
    <w:rsid w:val="00335446"/>
    <w:rsid w:val="003354BE"/>
    <w:rsid w:val="00335548"/>
    <w:rsid w:val="003355F6"/>
    <w:rsid w:val="0033564C"/>
    <w:rsid w:val="0033578A"/>
    <w:rsid w:val="00335809"/>
    <w:rsid w:val="00335AAC"/>
    <w:rsid w:val="00335B47"/>
    <w:rsid w:val="00335DBF"/>
    <w:rsid w:val="00335FA5"/>
    <w:rsid w:val="00335FE9"/>
    <w:rsid w:val="00336048"/>
    <w:rsid w:val="0033610E"/>
    <w:rsid w:val="00336235"/>
    <w:rsid w:val="003362F7"/>
    <w:rsid w:val="003364A6"/>
    <w:rsid w:val="003364EB"/>
    <w:rsid w:val="00336539"/>
    <w:rsid w:val="00336565"/>
    <w:rsid w:val="003368D1"/>
    <w:rsid w:val="003368F5"/>
    <w:rsid w:val="00336CBE"/>
    <w:rsid w:val="00336DF6"/>
    <w:rsid w:val="00336F96"/>
    <w:rsid w:val="00336FA8"/>
    <w:rsid w:val="0033735D"/>
    <w:rsid w:val="00337398"/>
    <w:rsid w:val="00337700"/>
    <w:rsid w:val="00337953"/>
    <w:rsid w:val="00337ADB"/>
    <w:rsid w:val="00337B07"/>
    <w:rsid w:val="00337B8F"/>
    <w:rsid w:val="00337CBA"/>
    <w:rsid w:val="00337D2D"/>
    <w:rsid w:val="00337F45"/>
    <w:rsid w:val="00340275"/>
    <w:rsid w:val="00340292"/>
    <w:rsid w:val="003402B2"/>
    <w:rsid w:val="00340448"/>
    <w:rsid w:val="00340688"/>
    <w:rsid w:val="003406C4"/>
    <w:rsid w:val="003406D9"/>
    <w:rsid w:val="003409BA"/>
    <w:rsid w:val="00340A79"/>
    <w:rsid w:val="00340B82"/>
    <w:rsid w:val="00340BB9"/>
    <w:rsid w:val="00340E26"/>
    <w:rsid w:val="00340F9F"/>
    <w:rsid w:val="00341124"/>
    <w:rsid w:val="0034113C"/>
    <w:rsid w:val="00341420"/>
    <w:rsid w:val="00341435"/>
    <w:rsid w:val="0034146E"/>
    <w:rsid w:val="00341860"/>
    <w:rsid w:val="00341A08"/>
    <w:rsid w:val="00341A52"/>
    <w:rsid w:val="00341B56"/>
    <w:rsid w:val="00341B93"/>
    <w:rsid w:val="00341C33"/>
    <w:rsid w:val="00341F57"/>
    <w:rsid w:val="00341FEE"/>
    <w:rsid w:val="003421A5"/>
    <w:rsid w:val="00342217"/>
    <w:rsid w:val="003424CA"/>
    <w:rsid w:val="003424D4"/>
    <w:rsid w:val="003427A5"/>
    <w:rsid w:val="003427C7"/>
    <w:rsid w:val="00342858"/>
    <w:rsid w:val="00342A0A"/>
    <w:rsid w:val="00342A56"/>
    <w:rsid w:val="00342A6A"/>
    <w:rsid w:val="00342B42"/>
    <w:rsid w:val="00342BB4"/>
    <w:rsid w:val="00342D41"/>
    <w:rsid w:val="00342DE4"/>
    <w:rsid w:val="00342E37"/>
    <w:rsid w:val="003430E2"/>
    <w:rsid w:val="003430F5"/>
    <w:rsid w:val="00343189"/>
    <w:rsid w:val="003431F1"/>
    <w:rsid w:val="0034368A"/>
    <w:rsid w:val="003438EE"/>
    <w:rsid w:val="00343AA4"/>
    <w:rsid w:val="00343BCE"/>
    <w:rsid w:val="00344094"/>
    <w:rsid w:val="0034425E"/>
    <w:rsid w:val="0034428D"/>
    <w:rsid w:val="003442C6"/>
    <w:rsid w:val="00344514"/>
    <w:rsid w:val="00344774"/>
    <w:rsid w:val="003448B4"/>
    <w:rsid w:val="003448E9"/>
    <w:rsid w:val="00344BD2"/>
    <w:rsid w:val="00344D83"/>
    <w:rsid w:val="0034515C"/>
    <w:rsid w:val="0034526C"/>
    <w:rsid w:val="003452D1"/>
    <w:rsid w:val="003452EE"/>
    <w:rsid w:val="00345641"/>
    <w:rsid w:val="00345805"/>
    <w:rsid w:val="003458FC"/>
    <w:rsid w:val="00345C4D"/>
    <w:rsid w:val="00345CC5"/>
    <w:rsid w:val="00345E06"/>
    <w:rsid w:val="00345EDB"/>
    <w:rsid w:val="00345F7C"/>
    <w:rsid w:val="00345FB3"/>
    <w:rsid w:val="00346002"/>
    <w:rsid w:val="003460D3"/>
    <w:rsid w:val="0034622C"/>
    <w:rsid w:val="00346344"/>
    <w:rsid w:val="003464B5"/>
    <w:rsid w:val="00346A44"/>
    <w:rsid w:val="00346B87"/>
    <w:rsid w:val="00346C9C"/>
    <w:rsid w:val="00346DAE"/>
    <w:rsid w:val="00346FAB"/>
    <w:rsid w:val="0034703B"/>
    <w:rsid w:val="0034708A"/>
    <w:rsid w:val="00347481"/>
    <w:rsid w:val="003474C0"/>
    <w:rsid w:val="003474EE"/>
    <w:rsid w:val="0034755C"/>
    <w:rsid w:val="00347565"/>
    <w:rsid w:val="00347734"/>
    <w:rsid w:val="00347805"/>
    <w:rsid w:val="00347919"/>
    <w:rsid w:val="00347966"/>
    <w:rsid w:val="00347AAA"/>
    <w:rsid w:val="00347D80"/>
    <w:rsid w:val="00347FE8"/>
    <w:rsid w:val="00350011"/>
    <w:rsid w:val="00350046"/>
    <w:rsid w:val="00350075"/>
    <w:rsid w:val="003500E4"/>
    <w:rsid w:val="0035026E"/>
    <w:rsid w:val="003502BC"/>
    <w:rsid w:val="00350459"/>
    <w:rsid w:val="003506D0"/>
    <w:rsid w:val="003506E5"/>
    <w:rsid w:val="003507CD"/>
    <w:rsid w:val="0035082C"/>
    <w:rsid w:val="00350A7F"/>
    <w:rsid w:val="00350AA8"/>
    <w:rsid w:val="00350ABA"/>
    <w:rsid w:val="00350CC5"/>
    <w:rsid w:val="00350CE3"/>
    <w:rsid w:val="00350D69"/>
    <w:rsid w:val="00350D7A"/>
    <w:rsid w:val="00350EA3"/>
    <w:rsid w:val="00350F59"/>
    <w:rsid w:val="00351226"/>
    <w:rsid w:val="00351236"/>
    <w:rsid w:val="00351283"/>
    <w:rsid w:val="00351382"/>
    <w:rsid w:val="003516AB"/>
    <w:rsid w:val="0035177B"/>
    <w:rsid w:val="003517D3"/>
    <w:rsid w:val="0035189B"/>
    <w:rsid w:val="00351C26"/>
    <w:rsid w:val="00351D03"/>
    <w:rsid w:val="00351D98"/>
    <w:rsid w:val="00351D9F"/>
    <w:rsid w:val="00351E09"/>
    <w:rsid w:val="00351E78"/>
    <w:rsid w:val="00351F82"/>
    <w:rsid w:val="00351FDE"/>
    <w:rsid w:val="0035225E"/>
    <w:rsid w:val="00352528"/>
    <w:rsid w:val="0035257A"/>
    <w:rsid w:val="003528CB"/>
    <w:rsid w:val="003528ED"/>
    <w:rsid w:val="003529C0"/>
    <w:rsid w:val="00352A0F"/>
    <w:rsid w:val="00352AF5"/>
    <w:rsid w:val="00352D48"/>
    <w:rsid w:val="00352E00"/>
    <w:rsid w:val="00352EF0"/>
    <w:rsid w:val="00353031"/>
    <w:rsid w:val="003530CF"/>
    <w:rsid w:val="00353186"/>
    <w:rsid w:val="003531D8"/>
    <w:rsid w:val="00353392"/>
    <w:rsid w:val="0035382A"/>
    <w:rsid w:val="0035382F"/>
    <w:rsid w:val="00353836"/>
    <w:rsid w:val="003539CB"/>
    <w:rsid w:val="00353C1A"/>
    <w:rsid w:val="00353C7B"/>
    <w:rsid w:val="00353D7A"/>
    <w:rsid w:val="00353D87"/>
    <w:rsid w:val="00353DEB"/>
    <w:rsid w:val="00353DFF"/>
    <w:rsid w:val="00353E9D"/>
    <w:rsid w:val="00353F8C"/>
    <w:rsid w:val="00354063"/>
    <w:rsid w:val="0035427B"/>
    <w:rsid w:val="0035432F"/>
    <w:rsid w:val="0035449D"/>
    <w:rsid w:val="003545A9"/>
    <w:rsid w:val="003546AA"/>
    <w:rsid w:val="00354721"/>
    <w:rsid w:val="00354752"/>
    <w:rsid w:val="00354A06"/>
    <w:rsid w:val="00354FF0"/>
    <w:rsid w:val="0035510A"/>
    <w:rsid w:val="00355666"/>
    <w:rsid w:val="00355818"/>
    <w:rsid w:val="0035590C"/>
    <w:rsid w:val="00355921"/>
    <w:rsid w:val="00355A66"/>
    <w:rsid w:val="00355BAE"/>
    <w:rsid w:val="00355E84"/>
    <w:rsid w:val="003560D2"/>
    <w:rsid w:val="003560F7"/>
    <w:rsid w:val="00356193"/>
    <w:rsid w:val="0035624A"/>
    <w:rsid w:val="0035666E"/>
    <w:rsid w:val="0035671C"/>
    <w:rsid w:val="00356828"/>
    <w:rsid w:val="00356A75"/>
    <w:rsid w:val="00356CD2"/>
    <w:rsid w:val="00356CD4"/>
    <w:rsid w:val="00356D18"/>
    <w:rsid w:val="00356EBC"/>
    <w:rsid w:val="00356F5D"/>
    <w:rsid w:val="0035719F"/>
    <w:rsid w:val="00357357"/>
    <w:rsid w:val="00357366"/>
    <w:rsid w:val="003575F2"/>
    <w:rsid w:val="003578F3"/>
    <w:rsid w:val="0035792C"/>
    <w:rsid w:val="0035796F"/>
    <w:rsid w:val="00357979"/>
    <w:rsid w:val="00357A9F"/>
    <w:rsid w:val="00360001"/>
    <w:rsid w:val="0036001A"/>
    <w:rsid w:val="00360066"/>
    <w:rsid w:val="00360217"/>
    <w:rsid w:val="00360301"/>
    <w:rsid w:val="00360547"/>
    <w:rsid w:val="003605AA"/>
    <w:rsid w:val="003605D1"/>
    <w:rsid w:val="003606D3"/>
    <w:rsid w:val="003607A3"/>
    <w:rsid w:val="00360915"/>
    <w:rsid w:val="00360BEE"/>
    <w:rsid w:val="00360DAA"/>
    <w:rsid w:val="003612C7"/>
    <w:rsid w:val="00361571"/>
    <w:rsid w:val="003617F5"/>
    <w:rsid w:val="003618F5"/>
    <w:rsid w:val="00361951"/>
    <w:rsid w:val="003619A9"/>
    <w:rsid w:val="00361A5F"/>
    <w:rsid w:val="00361C37"/>
    <w:rsid w:val="00361CB7"/>
    <w:rsid w:val="00361DCB"/>
    <w:rsid w:val="00362083"/>
    <w:rsid w:val="003621B9"/>
    <w:rsid w:val="003622A2"/>
    <w:rsid w:val="003622CD"/>
    <w:rsid w:val="00362601"/>
    <w:rsid w:val="003628BB"/>
    <w:rsid w:val="003628CA"/>
    <w:rsid w:val="00362B8B"/>
    <w:rsid w:val="00362C55"/>
    <w:rsid w:val="00362DF6"/>
    <w:rsid w:val="00362E59"/>
    <w:rsid w:val="00362F0A"/>
    <w:rsid w:val="0036310D"/>
    <w:rsid w:val="00363215"/>
    <w:rsid w:val="003632A7"/>
    <w:rsid w:val="0036334C"/>
    <w:rsid w:val="00363423"/>
    <w:rsid w:val="003635BD"/>
    <w:rsid w:val="003635E9"/>
    <w:rsid w:val="003635F8"/>
    <w:rsid w:val="00363721"/>
    <w:rsid w:val="0036374B"/>
    <w:rsid w:val="00363835"/>
    <w:rsid w:val="003639F5"/>
    <w:rsid w:val="00363B3D"/>
    <w:rsid w:val="00363D04"/>
    <w:rsid w:val="00363D47"/>
    <w:rsid w:val="00363E65"/>
    <w:rsid w:val="00363FE3"/>
    <w:rsid w:val="003640E5"/>
    <w:rsid w:val="003642D3"/>
    <w:rsid w:val="003646E8"/>
    <w:rsid w:val="0036479B"/>
    <w:rsid w:val="0036480B"/>
    <w:rsid w:val="00364886"/>
    <w:rsid w:val="00364AAE"/>
    <w:rsid w:val="00364BA7"/>
    <w:rsid w:val="00364BC9"/>
    <w:rsid w:val="00364C4C"/>
    <w:rsid w:val="003652E0"/>
    <w:rsid w:val="003655AA"/>
    <w:rsid w:val="003657EC"/>
    <w:rsid w:val="003658B6"/>
    <w:rsid w:val="003658E5"/>
    <w:rsid w:val="00365909"/>
    <w:rsid w:val="00365927"/>
    <w:rsid w:val="00365CBC"/>
    <w:rsid w:val="00365E06"/>
    <w:rsid w:val="00365E4C"/>
    <w:rsid w:val="00365F4F"/>
    <w:rsid w:val="00365FAD"/>
    <w:rsid w:val="00366217"/>
    <w:rsid w:val="0036625C"/>
    <w:rsid w:val="00366365"/>
    <w:rsid w:val="003663AA"/>
    <w:rsid w:val="003663B9"/>
    <w:rsid w:val="00366615"/>
    <w:rsid w:val="0036661F"/>
    <w:rsid w:val="00366659"/>
    <w:rsid w:val="003666DA"/>
    <w:rsid w:val="00366845"/>
    <w:rsid w:val="0036689F"/>
    <w:rsid w:val="00366A3E"/>
    <w:rsid w:val="00366A66"/>
    <w:rsid w:val="00366EAA"/>
    <w:rsid w:val="00366FE1"/>
    <w:rsid w:val="003674E8"/>
    <w:rsid w:val="003676C5"/>
    <w:rsid w:val="0036787A"/>
    <w:rsid w:val="003678B1"/>
    <w:rsid w:val="00367BD7"/>
    <w:rsid w:val="00367F44"/>
    <w:rsid w:val="003702EF"/>
    <w:rsid w:val="00370319"/>
    <w:rsid w:val="00370354"/>
    <w:rsid w:val="003705B7"/>
    <w:rsid w:val="003706A6"/>
    <w:rsid w:val="0037073F"/>
    <w:rsid w:val="003707B3"/>
    <w:rsid w:val="003707DE"/>
    <w:rsid w:val="003708B9"/>
    <w:rsid w:val="003709A8"/>
    <w:rsid w:val="00370A64"/>
    <w:rsid w:val="00370CF0"/>
    <w:rsid w:val="00370D9E"/>
    <w:rsid w:val="00370E80"/>
    <w:rsid w:val="00370FED"/>
    <w:rsid w:val="00371336"/>
    <w:rsid w:val="0037142B"/>
    <w:rsid w:val="00371644"/>
    <w:rsid w:val="0037189D"/>
    <w:rsid w:val="003719EE"/>
    <w:rsid w:val="00371B16"/>
    <w:rsid w:val="00371BFE"/>
    <w:rsid w:val="00371EEB"/>
    <w:rsid w:val="00371F07"/>
    <w:rsid w:val="00371F27"/>
    <w:rsid w:val="00371F4C"/>
    <w:rsid w:val="00372285"/>
    <w:rsid w:val="003723BE"/>
    <w:rsid w:val="003724A3"/>
    <w:rsid w:val="00372855"/>
    <w:rsid w:val="003728C8"/>
    <w:rsid w:val="00372900"/>
    <w:rsid w:val="0037295A"/>
    <w:rsid w:val="003729F9"/>
    <w:rsid w:val="00372A8E"/>
    <w:rsid w:val="00372C46"/>
    <w:rsid w:val="00372DAE"/>
    <w:rsid w:val="00372DFF"/>
    <w:rsid w:val="00372F84"/>
    <w:rsid w:val="0037318C"/>
    <w:rsid w:val="00373379"/>
    <w:rsid w:val="0037342B"/>
    <w:rsid w:val="00373472"/>
    <w:rsid w:val="003734D0"/>
    <w:rsid w:val="0037355B"/>
    <w:rsid w:val="0037364E"/>
    <w:rsid w:val="003736A5"/>
    <w:rsid w:val="00373714"/>
    <w:rsid w:val="003739DC"/>
    <w:rsid w:val="00373A2F"/>
    <w:rsid w:val="00373BCB"/>
    <w:rsid w:val="00373C79"/>
    <w:rsid w:val="00373CD6"/>
    <w:rsid w:val="00373D28"/>
    <w:rsid w:val="00373D52"/>
    <w:rsid w:val="00373E96"/>
    <w:rsid w:val="003742F9"/>
    <w:rsid w:val="0037457C"/>
    <w:rsid w:val="00374A2B"/>
    <w:rsid w:val="00374C17"/>
    <w:rsid w:val="00374DB9"/>
    <w:rsid w:val="0037544A"/>
    <w:rsid w:val="00375900"/>
    <w:rsid w:val="00375AC2"/>
    <w:rsid w:val="00375B51"/>
    <w:rsid w:val="00375DC6"/>
    <w:rsid w:val="00375ECB"/>
    <w:rsid w:val="0037602A"/>
    <w:rsid w:val="003760A5"/>
    <w:rsid w:val="00376440"/>
    <w:rsid w:val="00376568"/>
    <w:rsid w:val="003766EA"/>
    <w:rsid w:val="00376756"/>
    <w:rsid w:val="00376836"/>
    <w:rsid w:val="0037696C"/>
    <w:rsid w:val="00376AF1"/>
    <w:rsid w:val="00376B63"/>
    <w:rsid w:val="00376BDA"/>
    <w:rsid w:val="00376CA6"/>
    <w:rsid w:val="00376FF0"/>
    <w:rsid w:val="0037716F"/>
    <w:rsid w:val="00377237"/>
    <w:rsid w:val="00377243"/>
    <w:rsid w:val="00377369"/>
    <w:rsid w:val="003773EB"/>
    <w:rsid w:val="00377440"/>
    <w:rsid w:val="0037763D"/>
    <w:rsid w:val="00377837"/>
    <w:rsid w:val="00377842"/>
    <w:rsid w:val="00377881"/>
    <w:rsid w:val="003778A5"/>
    <w:rsid w:val="00377927"/>
    <w:rsid w:val="00377B32"/>
    <w:rsid w:val="00377C09"/>
    <w:rsid w:val="00377E9E"/>
    <w:rsid w:val="00380108"/>
    <w:rsid w:val="003801FB"/>
    <w:rsid w:val="003802E3"/>
    <w:rsid w:val="00380408"/>
    <w:rsid w:val="003804B7"/>
    <w:rsid w:val="0038081B"/>
    <w:rsid w:val="00380AAA"/>
    <w:rsid w:val="00380AF0"/>
    <w:rsid w:val="00380DA4"/>
    <w:rsid w:val="003810D6"/>
    <w:rsid w:val="00381135"/>
    <w:rsid w:val="0038120C"/>
    <w:rsid w:val="00381221"/>
    <w:rsid w:val="00381394"/>
    <w:rsid w:val="00381449"/>
    <w:rsid w:val="003814CE"/>
    <w:rsid w:val="00381598"/>
    <w:rsid w:val="00381654"/>
    <w:rsid w:val="00381737"/>
    <w:rsid w:val="003817E9"/>
    <w:rsid w:val="00381A1F"/>
    <w:rsid w:val="00381A8B"/>
    <w:rsid w:val="00381AC1"/>
    <w:rsid w:val="00381B55"/>
    <w:rsid w:val="00381B80"/>
    <w:rsid w:val="00381BB6"/>
    <w:rsid w:val="00381FAF"/>
    <w:rsid w:val="0038222D"/>
    <w:rsid w:val="0038224E"/>
    <w:rsid w:val="003822AF"/>
    <w:rsid w:val="003822D2"/>
    <w:rsid w:val="00382422"/>
    <w:rsid w:val="0038260F"/>
    <w:rsid w:val="00382632"/>
    <w:rsid w:val="003826A8"/>
    <w:rsid w:val="003828B2"/>
    <w:rsid w:val="00382996"/>
    <w:rsid w:val="00382BF2"/>
    <w:rsid w:val="00382CB0"/>
    <w:rsid w:val="00382DB1"/>
    <w:rsid w:val="00382DC4"/>
    <w:rsid w:val="00382E3C"/>
    <w:rsid w:val="00383146"/>
    <w:rsid w:val="003836C7"/>
    <w:rsid w:val="00383898"/>
    <w:rsid w:val="00383A22"/>
    <w:rsid w:val="00383A40"/>
    <w:rsid w:val="00383BBE"/>
    <w:rsid w:val="00383C4C"/>
    <w:rsid w:val="00383D64"/>
    <w:rsid w:val="00383DD0"/>
    <w:rsid w:val="00383DDE"/>
    <w:rsid w:val="00383EBD"/>
    <w:rsid w:val="0038420F"/>
    <w:rsid w:val="00384356"/>
    <w:rsid w:val="003843E7"/>
    <w:rsid w:val="0038443A"/>
    <w:rsid w:val="0038457F"/>
    <w:rsid w:val="00384840"/>
    <w:rsid w:val="00384851"/>
    <w:rsid w:val="00384878"/>
    <w:rsid w:val="00384A7D"/>
    <w:rsid w:val="00384B39"/>
    <w:rsid w:val="00384D86"/>
    <w:rsid w:val="00384E24"/>
    <w:rsid w:val="00384E39"/>
    <w:rsid w:val="00384F4B"/>
    <w:rsid w:val="00385053"/>
    <w:rsid w:val="003851C3"/>
    <w:rsid w:val="00385349"/>
    <w:rsid w:val="00385538"/>
    <w:rsid w:val="003855F1"/>
    <w:rsid w:val="003856B7"/>
    <w:rsid w:val="0038571C"/>
    <w:rsid w:val="00385772"/>
    <w:rsid w:val="003857FF"/>
    <w:rsid w:val="0038596D"/>
    <w:rsid w:val="003859B1"/>
    <w:rsid w:val="00385A6A"/>
    <w:rsid w:val="00385BA0"/>
    <w:rsid w:val="00385DC2"/>
    <w:rsid w:val="00386013"/>
    <w:rsid w:val="00386307"/>
    <w:rsid w:val="00386479"/>
    <w:rsid w:val="0038653E"/>
    <w:rsid w:val="00386643"/>
    <w:rsid w:val="0038679C"/>
    <w:rsid w:val="00386853"/>
    <w:rsid w:val="00386A0C"/>
    <w:rsid w:val="00386ACE"/>
    <w:rsid w:val="00386B8F"/>
    <w:rsid w:val="00386D08"/>
    <w:rsid w:val="00386D9A"/>
    <w:rsid w:val="00387068"/>
    <w:rsid w:val="00387077"/>
    <w:rsid w:val="0038722B"/>
    <w:rsid w:val="00387495"/>
    <w:rsid w:val="003874B0"/>
    <w:rsid w:val="00387967"/>
    <w:rsid w:val="00387CB4"/>
    <w:rsid w:val="00387E7C"/>
    <w:rsid w:val="00387F4A"/>
    <w:rsid w:val="00387FDD"/>
    <w:rsid w:val="00390201"/>
    <w:rsid w:val="003902D0"/>
    <w:rsid w:val="00390345"/>
    <w:rsid w:val="003903AF"/>
    <w:rsid w:val="0039054E"/>
    <w:rsid w:val="0039074E"/>
    <w:rsid w:val="003908D6"/>
    <w:rsid w:val="003908FE"/>
    <w:rsid w:val="00390A13"/>
    <w:rsid w:val="00390A5D"/>
    <w:rsid w:val="00390BAC"/>
    <w:rsid w:val="00390D8F"/>
    <w:rsid w:val="00390FFC"/>
    <w:rsid w:val="003912BA"/>
    <w:rsid w:val="00391370"/>
    <w:rsid w:val="00391429"/>
    <w:rsid w:val="00391550"/>
    <w:rsid w:val="003916FE"/>
    <w:rsid w:val="003917E7"/>
    <w:rsid w:val="00391AE5"/>
    <w:rsid w:val="00391BED"/>
    <w:rsid w:val="00391C46"/>
    <w:rsid w:val="00391CFB"/>
    <w:rsid w:val="00391E2E"/>
    <w:rsid w:val="00392218"/>
    <w:rsid w:val="003923F3"/>
    <w:rsid w:val="003923FF"/>
    <w:rsid w:val="00392479"/>
    <w:rsid w:val="00392526"/>
    <w:rsid w:val="0039273A"/>
    <w:rsid w:val="00392847"/>
    <w:rsid w:val="003928CE"/>
    <w:rsid w:val="00392948"/>
    <w:rsid w:val="003929F1"/>
    <w:rsid w:val="00392D66"/>
    <w:rsid w:val="00392FE1"/>
    <w:rsid w:val="0039327E"/>
    <w:rsid w:val="00393395"/>
    <w:rsid w:val="003935EC"/>
    <w:rsid w:val="00393B31"/>
    <w:rsid w:val="00393C45"/>
    <w:rsid w:val="00393C8A"/>
    <w:rsid w:val="00393CFD"/>
    <w:rsid w:val="00393E08"/>
    <w:rsid w:val="00393E1C"/>
    <w:rsid w:val="00393F63"/>
    <w:rsid w:val="00393F8E"/>
    <w:rsid w:val="003942BB"/>
    <w:rsid w:val="00394310"/>
    <w:rsid w:val="0039455D"/>
    <w:rsid w:val="003945F0"/>
    <w:rsid w:val="00394852"/>
    <w:rsid w:val="00394893"/>
    <w:rsid w:val="003948EA"/>
    <w:rsid w:val="0039491A"/>
    <w:rsid w:val="003949B8"/>
    <w:rsid w:val="00394ADF"/>
    <w:rsid w:val="00394B85"/>
    <w:rsid w:val="00394DC1"/>
    <w:rsid w:val="003951FE"/>
    <w:rsid w:val="00395269"/>
    <w:rsid w:val="00395271"/>
    <w:rsid w:val="0039528C"/>
    <w:rsid w:val="00395474"/>
    <w:rsid w:val="003955CD"/>
    <w:rsid w:val="00395674"/>
    <w:rsid w:val="003959E3"/>
    <w:rsid w:val="00395AC6"/>
    <w:rsid w:val="00395C03"/>
    <w:rsid w:val="00395C5B"/>
    <w:rsid w:val="00395C91"/>
    <w:rsid w:val="00395E52"/>
    <w:rsid w:val="00395F77"/>
    <w:rsid w:val="00395FD9"/>
    <w:rsid w:val="0039614E"/>
    <w:rsid w:val="00396268"/>
    <w:rsid w:val="0039656E"/>
    <w:rsid w:val="00396667"/>
    <w:rsid w:val="00396995"/>
    <w:rsid w:val="00396A23"/>
    <w:rsid w:val="00396A3C"/>
    <w:rsid w:val="00396D9C"/>
    <w:rsid w:val="00396DA3"/>
    <w:rsid w:val="00396EFA"/>
    <w:rsid w:val="00396F1B"/>
    <w:rsid w:val="0039700B"/>
    <w:rsid w:val="00397060"/>
    <w:rsid w:val="00397180"/>
    <w:rsid w:val="00397234"/>
    <w:rsid w:val="003972A9"/>
    <w:rsid w:val="00397789"/>
    <w:rsid w:val="003978AE"/>
    <w:rsid w:val="00397A52"/>
    <w:rsid w:val="00397D09"/>
    <w:rsid w:val="00397DE6"/>
    <w:rsid w:val="00397DE9"/>
    <w:rsid w:val="003A0087"/>
    <w:rsid w:val="003A012B"/>
    <w:rsid w:val="003A0161"/>
    <w:rsid w:val="003A028C"/>
    <w:rsid w:val="003A02F7"/>
    <w:rsid w:val="003A03FB"/>
    <w:rsid w:val="003A0689"/>
    <w:rsid w:val="003A07CE"/>
    <w:rsid w:val="003A0802"/>
    <w:rsid w:val="003A08F1"/>
    <w:rsid w:val="003A0936"/>
    <w:rsid w:val="003A0A18"/>
    <w:rsid w:val="003A100D"/>
    <w:rsid w:val="003A1192"/>
    <w:rsid w:val="003A122F"/>
    <w:rsid w:val="003A1403"/>
    <w:rsid w:val="003A142A"/>
    <w:rsid w:val="003A1442"/>
    <w:rsid w:val="003A1510"/>
    <w:rsid w:val="003A17FA"/>
    <w:rsid w:val="003A1808"/>
    <w:rsid w:val="003A1910"/>
    <w:rsid w:val="003A1983"/>
    <w:rsid w:val="003A1AE9"/>
    <w:rsid w:val="003A1CEA"/>
    <w:rsid w:val="003A1F7E"/>
    <w:rsid w:val="003A20BA"/>
    <w:rsid w:val="003A2180"/>
    <w:rsid w:val="003A219A"/>
    <w:rsid w:val="003A2307"/>
    <w:rsid w:val="003A2732"/>
    <w:rsid w:val="003A27BC"/>
    <w:rsid w:val="003A2876"/>
    <w:rsid w:val="003A29ED"/>
    <w:rsid w:val="003A2A34"/>
    <w:rsid w:val="003A2AE1"/>
    <w:rsid w:val="003A2C49"/>
    <w:rsid w:val="003A2C6E"/>
    <w:rsid w:val="003A2D45"/>
    <w:rsid w:val="003A2E40"/>
    <w:rsid w:val="003A2F1E"/>
    <w:rsid w:val="003A3258"/>
    <w:rsid w:val="003A34A5"/>
    <w:rsid w:val="003A374C"/>
    <w:rsid w:val="003A3783"/>
    <w:rsid w:val="003A38F1"/>
    <w:rsid w:val="003A3FD2"/>
    <w:rsid w:val="003A40BE"/>
    <w:rsid w:val="003A42F0"/>
    <w:rsid w:val="003A4348"/>
    <w:rsid w:val="003A4755"/>
    <w:rsid w:val="003A486E"/>
    <w:rsid w:val="003A498D"/>
    <w:rsid w:val="003A49FC"/>
    <w:rsid w:val="003A4A21"/>
    <w:rsid w:val="003A4AB5"/>
    <w:rsid w:val="003A4D07"/>
    <w:rsid w:val="003A4F12"/>
    <w:rsid w:val="003A4F28"/>
    <w:rsid w:val="003A5017"/>
    <w:rsid w:val="003A5101"/>
    <w:rsid w:val="003A52EC"/>
    <w:rsid w:val="003A54E4"/>
    <w:rsid w:val="003A5516"/>
    <w:rsid w:val="003A5586"/>
    <w:rsid w:val="003A56DA"/>
    <w:rsid w:val="003A5795"/>
    <w:rsid w:val="003A588F"/>
    <w:rsid w:val="003A58C3"/>
    <w:rsid w:val="003A5944"/>
    <w:rsid w:val="003A5B1E"/>
    <w:rsid w:val="003A5C48"/>
    <w:rsid w:val="003A5D45"/>
    <w:rsid w:val="003A5DBF"/>
    <w:rsid w:val="003A6070"/>
    <w:rsid w:val="003A61C1"/>
    <w:rsid w:val="003A6245"/>
    <w:rsid w:val="003A65B0"/>
    <w:rsid w:val="003A6649"/>
    <w:rsid w:val="003A669E"/>
    <w:rsid w:val="003A66B8"/>
    <w:rsid w:val="003A680F"/>
    <w:rsid w:val="003A688F"/>
    <w:rsid w:val="003A68F7"/>
    <w:rsid w:val="003A6A4E"/>
    <w:rsid w:val="003A6AAA"/>
    <w:rsid w:val="003A6D30"/>
    <w:rsid w:val="003A6DDB"/>
    <w:rsid w:val="003A6FC7"/>
    <w:rsid w:val="003A723F"/>
    <w:rsid w:val="003A73EA"/>
    <w:rsid w:val="003A74DA"/>
    <w:rsid w:val="003A7654"/>
    <w:rsid w:val="003A7A2F"/>
    <w:rsid w:val="003A7AE2"/>
    <w:rsid w:val="003A7C21"/>
    <w:rsid w:val="003A7CC1"/>
    <w:rsid w:val="003A7D5D"/>
    <w:rsid w:val="003A7E86"/>
    <w:rsid w:val="003B0196"/>
    <w:rsid w:val="003B01F8"/>
    <w:rsid w:val="003B0416"/>
    <w:rsid w:val="003B0485"/>
    <w:rsid w:val="003B04B6"/>
    <w:rsid w:val="003B04BA"/>
    <w:rsid w:val="003B0752"/>
    <w:rsid w:val="003B075C"/>
    <w:rsid w:val="003B0A3F"/>
    <w:rsid w:val="003B0A6B"/>
    <w:rsid w:val="003B0B21"/>
    <w:rsid w:val="003B0D32"/>
    <w:rsid w:val="003B0DB9"/>
    <w:rsid w:val="003B0FBB"/>
    <w:rsid w:val="003B0FE7"/>
    <w:rsid w:val="003B11DD"/>
    <w:rsid w:val="003B125B"/>
    <w:rsid w:val="003B12EC"/>
    <w:rsid w:val="003B1303"/>
    <w:rsid w:val="003B1490"/>
    <w:rsid w:val="003B1527"/>
    <w:rsid w:val="003B1553"/>
    <w:rsid w:val="003B16AF"/>
    <w:rsid w:val="003B17F9"/>
    <w:rsid w:val="003B1881"/>
    <w:rsid w:val="003B1916"/>
    <w:rsid w:val="003B196C"/>
    <w:rsid w:val="003B1BD9"/>
    <w:rsid w:val="003B1CC0"/>
    <w:rsid w:val="003B1D13"/>
    <w:rsid w:val="003B1DF1"/>
    <w:rsid w:val="003B219F"/>
    <w:rsid w:val="003B22E0"/>
    <w:rsid w:val="003B237C"/>
    <w:rsid w:val="003B24D2"/>
    <w:rsid w:val="003B2AB2"/>
    <w:rsid w:val="003B2B0B"/>
    <w:rsid w:val="003B2B41"/>
    <w:rsid w:val="003B2CC5"/>
    <w:rsid w:val="003B2D21"/>
    <w:rsid w:val="003B2DCA"/>
    <w:rsid w:val="003B3250"/>
    <w:rsid w:val="003B326B"/>
    <w:rsid w:val="003B32BC"/>
    <w:rsid w:val="003B32E0"/>
    <w:rsid w:val="003B3361"/>
    <w:rsid w:val="003B3399"/>
    <w:rsid w:val="003B34C7"/>
    <w:rsid w:val="003B356E"/>
    <w:rsid w:val="003B36B2"/>
    <w:rsid w:val="003B36C0"/>
    <w:rsid w:val="003B3970"/>
    <w:rsid w:val="003B3A7B"/>
    <w:rsid w:val="003B3E8D"/>
    <w:rsid w:val="003B4177"/>
    <w:rsid w:val="003B4273"/>
    <w:rsid w:val="003B4455"/>
    <w:rsid w:val="003B4656"/>
    <w:rsid w:val="003B4695"/>
    <w:rsid w:val="003B4795"/>
    <w:rsid w:val="003B4DC1"/>
    <w:rsid w:val="003B4F5B"/>
    <w:rsid w:val="003B5023"/>
    <w:rsid w:val="003B516F"/>
    <w:rsid w:val="003B5425"/>
    <w:rsid w:val="003B542A"/>
    <w:rsid w:val="003B555B"/>
    <w:rsid w:val="003B576B"/>
    <w:rsid w:val="003B576C"/>
    <w:rsid w:val="003B5A99"/>
    <w:rsid w:val="003B5D04"/>
    <w:rsid w:val="003B5D36"/>
    <w:rsid w:val="003B5D3E"/>
    <w:rsid w:val="003B5DC7"/>
    <w:rsid w:val="003B5E24"/>
    <w:rsid w:val="003B5ED8"/>
    <w:rsid w:val="003B5EEE"/>
    <w:rsid w:val="003B5FFD"/>
    <w:rsid w:val="003B6051"/>
    <w:rsid w:val="003B63B7"/>
    <w:rsid w:val="003B6487"/>
    <w:rsid w:val="003B6629"/>
    <w:rsid w:val="003B66A0"/>
    <w:rsid w:val="003B6768"/>
    <w:rsid w:val="003B68AC"/>
    <w:rsid w:val="003B6B89"/>
    <w:rsid w:val="003B6B93"/>
    <w:rsid w:val="003B6E90"/>
    <w:rsid w:val="003B6F41"/>
    <w:rsid w:val="003B7176"/>
    <w:rsid w:val="003B71E2"/>
    <w:rsid w:val="003B7212"/>
    <w:rsid w:val="003B739D"/>
    <w:rsid w:val="003B786A"/>
    <w:rsid w:val="003B7A58"/>
    <w:rsid w:val="003B7AC2"/>
    <w:rsid w:val="003B7C10"/>
    <w:rsid w:val="003B7CCE"/>
    <w:rsid w:val="003B7E07"/>
    <w:rsid w:val="003B7EF9"/>
    <w:rsid w:val="003C0241"/>
    <w:rsid w:val="003C04C5"/>
    <w:rsid w:val="003C0618"/>
    <w:rsid w:val="003C06AD"/>
    <w:rsid w:val="003C0758"/>
    <w:rsid w:val="003C081E"/>
    <w:rsid w:val="003C0B16"/>
    <w:rsid w:val="003C0B84"/>
    <w:rsid w:val="003C0BBF"/>
    <w:rsid w:val="003C0C91"/>
    <w:rsid w:val="003C1280"/>
    <w:rsid w:val="003C1352"/>
    <w:rsid w:val="003C1390"/>
    <w:rsid w:val="003C152D"/>
    <w:rsid w:val="003C16A8"/>
    <w:rsid w:val="003C16DE"/>
    <w:rsid w:val="003C177E"/>
    <w:rsid w:val="003C1834"/>
    <w:rsid w:val="003C1852"/>
    <w:rsid w:val="003C1A7E"/>
    <w:rsid w:val="003C1A9A"/>
    <w:rsid w:val="003C1B31"/>
    <w:rsid w:val="003C1D07"/>
    <w:rsid w:val="003C1DB7"/>
    <w:rsid w:val="003C1E93"/>
    <w:rsid w:val="003C1FDE"/>
    <w:rsid w:val="003C2127"/>
    <w:rsid w:val="003C2334"/>
    <w:rsid w:val="003C2484"/>
    <w:rsid w:val="003C25FD"/>
    <w:rsid w:val="003C2641"/>
    <w:rsid w:val="003C29EC"/>
    <w:rsid w:val="003C2A75"/>
    <w:rsid w:val="003C2B34"/>
    <w:rsid w:val="003C2C5B"/>
    <w:rsid w:val="003C2D5B"/>
    <w:rsid w:val="003C2DF3"/>
    <w:rsid w:val="003C2DF8"/>
    <w:rsid w:val="003C3004"/>
    <w:rsid w:val="003C3175"/>
    <w:rsid w:val="003C321B"/>
    <w:rsid w:val="003C3228"/>
    <w:rsid w:val="003C33A2"/>
    <w:rsid w:val="003C3554"/>
    <w:rsid w:val="003C3708"/>
    <w:rsid w:val="003C374A"/>
    <w:rsid w:val="003C37CA"/>
    <w:rsid w:val="003C37F3"/>
    <w:rsid w:val="003C393D"/>
    <w:rsid w:val="003C39B8"/>
    <w:rsid w:val="003C3A1E"/>
    <w:rsid w:val="003C3C79"/>
    <w:rsid w:val="003C3CD2"/>
    <w:rsid w:val="003C3DC5"/>
    <w:rsid w:val="003C3EAD"/>
    <w:rsid w:val="003C3F90"/>
    <w:rsid w:val="003C40C6"/>
    <w:rsid w:val="003C42C9"/>
    <w:rsid w:val="003C4429"/>
    <w:rsid w:val="003C4464"/>
    <w:rsid w:val="003C46B1"/>
    <w:rsid w:val="003C46E6"/>
    <w:rsid w:val="003C483E"/>
    <w:rsid w:val="003C4876"/>
    <w:rsid w:val="003C4908"/>
    <w:rsid w:val="003C4D0A"/>
    <w:rsid w:val="003C4D99"/>
    <w:rsid w:val="003C5504"/>
    <w:rsid w:val="003C5523"/>
    <w:rsid w:val="003C58A8"/>
    <w:rsid w:val="003C5A29"/>
    <w:rsid w:val="003C5C30"/>
    <w:rsid w:val="003C5F30"/>
    <w:rsid w:val="003C5F46"/>
    <w:rsid w:val="003C5FDD"/>
    <w:rsid w:val="003C630B"/>
    <w:rsid w:val="003C64FC"/>
    <w:rsid w:val="003C680D"/>
    <w:rsid w:val="003C69A1"/>
    <w:rsid w:val="003C69A2"/>
    <w:rsid w:val="003C69EE"/>
    <w:rsid w:val="003C6ACF"/>
    <w:rsid w:val="003C6BBD"/>
    <w:rsid w:val="003C6F97"/>
    <w:rsid w:val="003C6FC7"/>
    <w:rsid w:val="003C7083"/>
    <w:rsid w:val="003C7278"/>
    <w:rsid w:val="003C74F2"/>
    <w:rsid w:val="003C751F"/>
    <w:rsid w:val="003C75FE"/>
    <w:rsid w:val="003C7617"/>
    <w:rsid w:val="003C7856"/>
    <w:rsid w:val="003C786E"/>
    <w:rsid w:val="003C78C4"/>
    <w:rsid w:val="003C7AF5"/>
    <w:rsid w:val="003C7BAC"/>
    <w:rsid w:val="003C7D1C"/>
    <w:rsid w:val="003C7DC7"/>
    <w:rsid w:val="003C7E76"/>
    <w:rsid w:val="003C7FC9"/>
    <w:rsid w:val="003C7FFB"/>
    <w:rsid w:val="003D02CE"/>
    <w:rsid w:val="003D075F"/>
    <w:rsid w:val="003D09B8"/>
    <w:rsid w:val="003D0A11"/>
    <w:rsid w:val="003D0C2D"/>
    <w:rsid w:val="003D1068"/>
    <w:rsid w:val="003D1090"/>
    <w:rsid w:val="003D145F"/>
    <w:rsid w:val="003D1524"/>
    <w:rsid w:val="003D1751"/>
    <w:rsid w:val="003D17C2"/>
    <w:rsid w:val="003D1A23"/>
    <w:rsid w:val="003D1AE2"/>
    <w:rsid w:val="003D1AFA"/>
    <w:rsid w:val="003D1B5E"/>
    <w:rsid w:val="003D1CD7"/>
    <w:rsid w:val="003D1D44"/>
    <w:rsid w:val="003D1E1E"/>
    <w:rsid w:val="003D1E8C"/>
    <w:rsid w:val="003D1F35"/>
    <w:rsid w:val="003D1F78"/>
    <w:rsid w:val="003D2117"/>
    <w:rsid w:val="003D2188"/>
    <w:rsid w:val="003D24C9"/>
    <w:rsid w:val="003D24EE"/>
    <w:rsid w:val="003D25CE"/>
    <w:rsid w:val="003D2C7B"/>
    <w:rsid w:val="003D2CD7"/>
    <w:rsid w:val="003D2DCE"/>
    <w:rsid w:val="003D2F66"/>
    <w:rsid w:val="003D3147"/>
    <w:rsid w:val="003D3208"/>
    <w:rsid w:val="003D32F8"/>
    <w:rsid w:val="003D3444"/>
    <w:rsid w:val="003D3456"/>
    <w:rsid w:val="003D34B4"/>
    <w:rsid w:val="003D38C0"/>
    <w:rsid w:val="003D3934"/>
    <w:rsid w:val="003D3976"/>
    <w:rsid w:val="003D3A39"/>
    <w:rsid w:val="003D3C05"/>
    <w:rsid w:val="003D3CC7"/>
    <w:rsid w:val="003D3CD7"/>
    <w:rsid w:val="003D3E1E"/>
    <w:rsid w:val="003D3F42"/>
    <w:rsid w:val="003D418E"/>
    <w:rsid w:val="003D426C"/>
    <w:rsid w:val="003D45B4"/>
    <w:rsid w:val="003D45B6"/>
    <w:rsid w:val="003D45CC"/>
    <w:rsid w:val="003D476C"/>
    <w:rsid w:val="003D48B1"/>
    <w:rsid w:val="003D4A09"/>
    <w:rsid w:val="003D4B2C"/>
    <w:rsid w:val="003D4DB2"/>
    <w:rsid w:val="003D4DE8"/>
    <w:rsid w:val="003D4E24"/>
    <w:rsid w:val="003D503F"/>
    <w:rsid w:val="003D5059"/>
    <w:rsid w:val="003D5066"/>
    <w:rsid w:val="003D541E"/>
    <w:rsid w:val="003D54C4"/>
    <w:rsid w:val="003D575B"/>
    <w:rsid w:val="003D5879"/>
    <w:rsid w:val="003D58CF"/>
    <w:rsid w:val="003D59FC"/>
    <w:rsid w:val="003D5BBF"/>
    <w:rsid w:val="003D5BF4"/>
    <w:rsid w:val="003D5C33"/>
    <w:rsid w:val="003D5D61"/>
    <w:rsid w:val="003D5E80"/>
    <w:rsid w:val="003D5EC9"/>
    <w:rsid w:val="003D6076"/>
    <w:rsid w:val="003D60D7"/>
    <w:rsid w:val="003D623D"/>
    <w:rsid w:val="003D62A8"/>
    <w:rsid w:val="003D62AE"/>
    <w:rsid w:val="003D6410"/>
    <w:rsid w:val="003D6455"/>
    <w:rsid w:val="003D6512"/>
    <w:rsid w:val="003D69BE"/>
    <w:rsid w:val="003D6B01"/>
    <w:rsid w:val="003D6B6F"/>
    <w:rsid w:val="003D6CBE"/>
    <w:rsid w:val="003D6DC4"/>
    <w:rsid w:val="003D6F4F"/>
    <w:rsid w:val="003D7193"/>
    <w:rsid w:val="003D72A4"/>
    <w:rsid w:val="003D7711"/>
    <w:rsid w:val="003D7720"/>
    <w:rsid w:val="003D7930"/>
    <w:rsid w:val="003D7A51"/>
    <w:rsid w:val="003D7BE7"/>
    <w:rsid w:val="003D7C18"/>
    <w:rsid w:val="003D7C5C"/>
    <w:rsid w:val="003D7C5D"/>
    <w:rsid w:val="003D7C8E"/>
    <w:rsid w:val="003D7F83"/>
    <w:rsid w:val="003E009C"/>
    <w:rsid w:val="003E01A6"/>
    <w:rsid w:val="003E01E7"/>
    <w:rsid w:val="003E02B3"/>
    <w:rsid w:val="003E03C0"/>
    <w:rsid w:val="003E0462"/>
    <w:rsid w:val="003E0522"/>
    <w:rsid w:val="003E056B"/>
    <w:rsid w:val="003E05F8"/>
    <w:rsid w:val="003E0691"/>
    <w:rsid w:val="003E0A0B"/>
    <w:rsid w:val="003E0B0D"/>
    <w:rsid w:val="003E0D70"/>
    <w:rsid w:val="003E0E4E"/>
    <w:rsid w:val="003E0FEB"/>
    <w:rsid w:val="003E1035"/>
    <w:rsid w:val="003E120D"/>
    <w:rsid w:val="003E15B8"/>
    <w:rsid w:val="003E15E4"/>
    <w:rsid w:val="003E15E5"/>
    <w:rsid w:val="003E16C8"/>
    <w:rsid w:val="003E17DB"/>
    <w:rsid w:val="003E1801"/>
    <w:rsid w:val="003E184A"/>
    <w:rsid w:val="003E18BD"/>
    <w:rsid w:val="003E19FA"/>
    <w:rsid w:val="003E1CC8"/>
    <w:rsid w:val="003E1DC6"/>
    <w:rsid w:val="003E1EB4"/>
    <w:rsid w:val="003E1F23"/>
    <w:rsid w:val="003E1F65"/>
    <w:rsid w:val="003E1FA5"/>
    <w:rsid w:val="003E2049"/>
    <w:rsid w:val="003E206F"/>
    <w:rsid w:val="003E2113"/>
    <w:rsid w:val="003E2199"/>
    <w:rsid w:val="003E226A"/>
    <w:rsid w:val="003E2547"/>
    <w:rsid w:val="003E254F"/>
    <w:rsid w:val="003E271C"/>
    <w:rsid w:val="003E27E0"/>
    <w:rsid w:val="003E2AFE"/>
    <w:rsid w:val="003E2BC9"/>
    <w:rsid w:val="003E2CC9"/>
    <w:rsid w:val="003E2E49"/>
    <w:rsid w:val="003E2EA9"/>
    <w:rsid w:val="003E2EBB"/>
    <w:rsid w:val="003E2F29"/>
    <w:rsid w:val="003E30BD"/>
    <w:rsid w:val="003E30C7"/>
    <w:rsid w:val="003E3233"/>
    <w:rsid w:val="003E32D2"/>
    <w:rsid w:val="003E3677"/>
    <w:rsid w:val="003E3717"/>
    <w:rsid w:val="003E37F0"/>
    <w:rsid w:val="003E3856"/>
    <w:rsid w:val="003E3926"/>
    <w:rsid w:val="003E3A70"/>
    <w:rsid w:val="003E3B3C"/>
    <w:rsid w:val="003E3B67"/>
    <w:rsid w:val="003E3B97"/>
    <w:rsid w:val="003E3B9C"/>
    <w:rsid w:val="003E3CFD"/>
    <w:rsid w:val="003E3D41"/>
    <w:rsid w:val="003E3E24"/>
    <w:rsid w:val="003E3E62"/>
    <w:rsid w:val="003E3F42"/>
    <w:rsid w:val="003E3F5F"/>
    <w:rsid w:val="003E4143"/>
    <w:rsid w:val="003E42D9"/>
    <w:rsid w:val="003E44D7"/>
    <w:rsid w:val="003E4610"/>
    <w:rsid w:val="003E478C"/>
    <w:rsid w:val="003E4869"/>
    <w:rsid w:val="003E4B6B"/>
    <w:rsid w:val="003E4D00"/>
    <w:rsid w:val="003E4D6C"/>
    <w:rsid w:val="003E4DDD"/>
    <w:rsid w:val="003E4E08"/>
    <w:rsid w:val="003E4E9E"/>
    <w:rsid w:val="003E5036"/>
    <w:rsid w:val="003E50B2"/>
    <w:rsid w:val="003E5251"/>
    <w:rsid w:val="003E52C0"/>
    <w:rsid w:val="003E532C"/>
    <w:rsid w:val="003E538C"/>
    <w:rsid w:val="003E53D4"/>
    <w:rsid w:val="003E5472"/>
    <w:rsid w:val="003E54C8"/>
    <w:rsid w:val="003E5502"/>
    <w:rsid w:val="003E555D"/>
    <w:rsid w:val="003E5962"/>
    <w:rsid w:val="003E5AC7"/>
    <w:rsid w:val="003E5B97"/>
    <w:rsid w:val="003E5C2E"/>
    <w:rsid w:val="003E5DF0"/>
    <w:rsid w:val="003E5DF6"/>
    <w:rsid w:val="003E5F06"/>
    <w:rsid w:val="003E5F0F"/>
    <w:rsid w:val="003E61E0"/>
    <w:rsid w:val="003E621F"/>
    <w:rsid w:val="003E6449"/>
    <w:rsid w:val="003E6497"/>
    <w:rsid w:val="003E64D5"/>
    <w:rsid w:val="003E6533"/>
    <w:rsid w:val="003E6560"/>
    <w:rsid w:val="003E65F2"/>
    <w:rsid w:val="003E6660"/>
    <w:rsid w:val="003E66FA"/>
    <w:rsid w:val="003E685A"/>
    <w:rsid w:val="003E69D0"/>
    <w:rsid w:val="003E6BCB"/>
    <w:rsid w:val="003E6BD9"/>
    <w:rsid w:val="003E6CB8"/>
    <w:rsid w:val="003E6DB2"/>
    <w:rsid w:val="003E6DDB"/>
    <w:rsid w:val="003E6F51"/>
    <w:rsid w:val="003E6F90"/>
    <w:rsid w:val="003E6FAA"/>
    <w:rsid w:val="003E7070"/>
    <w:rsid w:val="003E719A"/>
    <w:rsid w:val="003E7270"/>
    <w:rsid w:val="003E733E"/>
    <w:rsid w:val="003E7494"/>
    <w:rsid w:val="003E74AC"/>
    <w:rsid w:val="003E7536"/>
    <w:rsid w:val="003E753A"/>
    <w:rsid w:val="003E7727"/>
    <w:rsid w:val="003E7AA3"/>
    <w:rsid w:val="003E7B95"/>
    <w:rsid w:val="003E7CED"/>
    <w:rsid w:val="003E7D1F"/>
    <w:rsid w:val="003E7DDE"/>
    <w:rsid w:val="003E7E1D"/>
    <w:rsid w:val="003F02BD"/>
    <w:rsid w:val="003F0410"/>
    <w:rsid w:val="003F0448"/>
    <w:rsid w:val="003F07DF"/>
    <w:rsid w:val="003F0AFF"/>
    <w:rsid w:val="003F0EDA"/>
    <w:rsid w:val="003F0F95"/>
    <w:rsid w:val="003F0F97"/>
    <w:rsid w:val="003F0FB2"/>
    <w:rsid w:val="003F1125"/>
    <w:rsid w:val="003F113E"/>
    <w:rsid w:val="003F12A0"/>
    <w:rsid w:val="003F12C1"/>
    <w:rsid w:val="003F12E7"/>
    <w:rsid w:val="003F13A4"/>
    <w:rsid w:val="003F140D"/>
    <w:rsid w:val="003F14AE"/>
    <w:rsid w:val="003F157C"/>
    <w:rsid w:val="003F16B8"/>
    <w:rsid w:val="003F16EC"/>
    <w:rsid w:val="003F175E"/>
    <w:rsid w:val="003F1856"/>
    <w:rsid w:val="003F1971"/>
    <w:rsid w:val="003F1978"/>
    <w:rsid w:val="003F1979"/>
    <w:rsid w:val="003F1A30"/>
    <w:rsid w:val="003F1B3B"/>
    <w:rsid w:val="003F1C15"/>
    <w:rsid w:val="003F1C3D"/>
    <w:rsid w:val="003F1C54"/>
    <w:rsid w:val="003F1C88"/>
    <w:rsid w:val="003F1CCE"/>
    <w:rsid w:val="003F1D0C"/>
    <w:rsid w:val="003F1D8D"/>
    <w:rsid w:val="003F1D9F"/>
    <w:rsid w:val="003F1EEB"/>
    <w:rsid w:val="003F1F62"/>
    <w:rsid w:val="003F1FCE"/>
    <w:rsid w:val="003F209A"/>
    <w:rsid w:val="003F22EA"/>
    <w:rsid w:val="003F26FA"/>
    <w:rsid w:val="003F2742"/>
    <w:rsid w:val="003F2794"/>
    <w:rsid w:val="003F28EE"/>
    <w:rsid w:val="003F2A41"/>
    <w:rsid w:val="003F2BC8"/>
    <w:rsid w:val="003F2D57"/>
    <w:rsid w:val="003F2EE5"/>
    <w:rsid w:val="003F2F5C"/>
    <w:rsid w:val="003F30EC"/>
    <w:rsid w:val="003F340B"/>
    <w:rsid w:val="003F3423"/>
    <w:rsid w:val="003F3448"/>
    <w:rsid w:val="003F34BC"/>
    <w:rsid w:val="003F3550"/>
    <w:rsid w:val="003F3566"/>
    <w:rsid w:val="003F36A3"/>
    <w:rsid w:val="003F370C"/>
    <w:rsid w:val="003F3716"/>
    <w:rsid w:val="003F38EF"/>
    <w:rsid w:val="003F3986"/>
    <w:rsid w:val="003F3AF2"/>
    <w:rsid w:val="003F3B10"/>
    <w:rsid w:val="003F3C42"/>
    <w:rsid w:val="003F3DC8"/>
    <w:rsid w:val="003F4088"/>
    <w:rsid w:val="003F4189"/>
    <w:rsid w:val="003F420E"/>
    <w:rsid w:val="003F434D"/>
    <w:rsid w:val="003F4445"/>
    <w:rsid w:val="003F4521"/>
    <w:rsid w:val="003F45FC"/>
    <w:rsid w:val="003F48AF"/>
    <w:rsid w:val="003F4BC0"/>
    <w:rsid w:val="003F4D7E"/>
    <w:rsid w:val="003F4F2C"/>
    <w:rsid w:val="003F4FD4"/>
    <w:rsid w:val="003F53FD"/>
    <w:rsid w:val="003F553E"/>
    <w:rsid w:val="003F5A73"/>
    <w:rsid w:val="003F5B08"/>
    <w:rsid w:val="003F5BDF"/>
    <w:rsid w:val="003F5BFD"/>
    <w:rsid w:val="003F5C82"/>
    <w:rsid w:val="003F5E2F"/>
    <w:rsid w:val="003F5F2B"/>
    <w:rsid w:val="003F5F94"/>
    <w:rsid w:val="003F5FFC"/>
    <w:rsid w:val="003F6181"/>
    <w:rsid w:val="003F6312"/>
    <w:rsid w:val="003F6345"/>
    <w:rsid w:val="003F653B"/>
    <w:rsid w:val="003F65AD"/>
    <w:rsid w:val="003F6BD3"/>
    <w:rsid w:val="003F6C8E"/>
    <w:rsid w:val="003F6D65"/>
    <w:rsid w:val="003F6E7D"/>
    <w:rsid w:val="003F6F95"/>
    <w:rsid w:val="003F701D"/>
    <w:rsid w:val="003F73AE"/>
    <w:rsid w:val="003F7506"/>
    <w:rsid w:val="003F7521"/>
    <w:rsid w:val="003F7607"/>
    <w:rsid w:val="003F7662"/>
    <w:rsid w:val="003F76BC"/>
    <w:rsid w:val="003F76D7"/>
    <w:rsid w:val="003F771C"/>
    <w:rsid w:val="003F7761"/>
    <w:rsid w:val="003F7B43"/>
    <w:rsid w:val="003F7B5F"/>
    <w:rsid w:val="003F7E42"/>
    <w:rsid w:val="004000A3"/>
    <w:rsid w:val="0040031A"/>
    <w:rsid w:val="0040033E"/>
    <w:rsid w:val="0040039E"/>
    <w:rsid w:val="00400432"/>
    <w:rsid w:val="004004F4"/>
    <w:rsid w:val="004006A8"/>
    <w:rsid w:val="0040075F"/>
    <w:rsid w:val="004008A3"/>
    <w:rsid w:val="004008C6"/>
    <w:rsid w:val="00400AE0"/>
    <w:rsid w:val="00400B45"/>
    <w:rsid w:val="00400D0C"/>
    <w:rsid w:val="00400E42"/>
    <w:rsid w:val="00400E8E"/>
    <w:rsid w:val="00400FFC"/>
    <w:rsid w:val="004010A0"/>
    <w:rsid w:val="004015FC"/>
    <w:rsid w:val="00401781"/>
    <w:rsid w:val="00401A22"/>
    <w:rsid w:val="00401B9C"/>
    <w:rsid w:val="00401C2A"/>
    <w:rsid w:val="00401F0F"/>
    <w:rsid w:val="00401FEB"/>
    <w:rsid w:val="004021BB"/>
    <w:rsid w:val="0040235B"/>
    <w:rsid w:val="00402491"/>
    <w:rsid w:val="004024A1"/>
    <w:rsid w:val="004026F6"/>
    <w:rsid w:val="004027E3"/>
    <w:rsid w:val="0040289F"/>
    <w:rsid w:val="00402AF4"/>
    <w:rsid w:val="00402D00"/>
    <w:rsid w:val="00402E1D"/>
    <w:rsid w:val="00402EDE"/>
    <w:rsid w:val="004031B2"/>
    <w:rsid w:val="004033C8"/>
    <w:rsid w:val="00403660"/>
    <w:rsid w:val="004037A5"/>
    <w:rsid w:val="0040383D"/>
    <w:rsid w:val="0040389A"/>
    <w:rsid w:val="004038BA"/>
    <w:rsid w:val="00403A39"/>
    <w:rsid w:val="00403C17"/>
    <w:rsid w:val="00403D29"/>
    <w:rsid w:val="00403DAE"/>
    <w:rsid w:val="00403E69"/>
    <w:rsid w:val="0040405B"/>
    <w:rsid w:val="004040EA"/>
    <w:rsid w:val="0040411C"/>
    <w:rsid w:val="00404128"/>
    <w:rsid w:val="0040413F"/>
    <w:rsid w:val="00404211"/>
    <w:rsid w:val="00404329"/>
    <w:rsid w:val="004046FD"/>
    <w:rsid w:val="0040472E"/>
    <w:rsid w:val="004047F9"/>
    <w:rsid w:val="00404811"/>
    <w:rsid w:val="00404985"/>
    <w:rsid w:val="004049C8"/>
    <w:rsid w:val="00404EA1"/>
    <w:rsid w:val="00404EC1"/>
    <w:rsid w:val="00404EC5"/>
    <w:rsid w:val="00404FE1"/>
    <w:rsid w:val="00405001"/>
    <w:rsid w:val="004050EC"/>
    <w:rsid w:val="0040517C"/>
    <w:rsid w:val="004051D1"/>
    <w:rsid w:val="00405433"/>
    <w:rsid w:val="0040565C"/>
    <w:rsid w:val="004056D2"/>
    <w:rsid w:val="004058AF"/>
    <w:rsid w:val="00405A10"/>
    <w:rsid w:val="00405A3B"/>
    <w:rsid w:val="00405A4E"/>
    <w:rsid w:val="00405AA7"/>
    <w:rsid w:val="00405BC5"/>
    <w:rsid w:val="00405BE2"/>
    <w:rsid w:val="00405CF3"/>
    <w:rsid w:val="00405FE6"/>
    <w:rsid w:val="004061AD"/>
    <w:rsid w:val="00406219"/>
    <w:rsid w:val="0040633D"/>
    <w:rsid w:val="004064E5"/>
    <w:rsid w:val="0040682B"/>
    <w:rsid w:val="004069C5"/>
    <w:rsid w:val="00406A5D"/>
    <w:rsid w:val="00406A98"/>
    <w:rsid w:val="00406B6B"/>
    <w:rsid w:val="00406C18"/>
    <w:rsid w:val="00406CAA"/>
    <w:rsid w:val="00406D0F"/>
    <w:rsid w:val="00406D1F"/>
    <w:rsid w:val="00406DD4"/>
    <w:rsid w:val="00406E7A"/>
    <w:rsid w:val="00406EBF"/>
    <w:rsid w:val="00406FB8"/>
    <w:rsid w:val="00407161"/>
    <w:rsid w:val="00407506"/>
    <w:rsid w:val="00407516"/>
    <w:rsid w:val="004078B5"/>
    <w:rsid w:val="00407F8F"/>
    <w:rsid w:val="00407FE5"/>
    <w:rsid w:val="00410044"/>
    <w:rsid w:val="004100F0"/>
    <w:rsid w:val="004101A6"/>
    <w:rsid w:val="00410292"/>
    <w:rsid w:val="00410378"/>
    <w:rsid w:val="00410680"/>
    <w:rsid w:val="0041072F"/>
    <w:rsid w:val="004109FE"/>
    <w:rsid w:val="00410A0C"/>
    <w:rsid w:val="00410BA3"/>
    <w:rsid w:val="00410C90"/>
    <w:rsid w:val="00410D79"/>
    <w:rsid w:val="00410D8E"/>
    <w:rsid w:val="00410DBE"/>
    <w:rsid w:val="00410FAC"/>
    <w:rsid w:val="00410FD3"/>
    <w:rsid w:val="00411092"/>
    <w:rsid w:val="004115A8"/>
    <w:rsid w:val="0041163C"/>
    <w:rsid w:val="00411654"/>
    <w:rsid w:val="00411658"/>
    <w:rsid w:val="004116DC"/>
    <w:rsid w:val="0041185D"/>
    <w:rsid w:val="0041189B"/>
    <w:rsid w:val="00411B50"/>
    <w:rsid w:val="00411C0F"/>
    <w:rsid w:val="00411CA1"/>
    <w:rsid w:val="004120D4"/>
    <w:rsid w:val="004120F7"/>
    <w:rsid w:val="004121DE"/>
    <w:rsid w:val="004121ED"/>
    <w:rsid w:val="004122E0"/>
    <w:rsid w:val="0041233F"/>
    <w:rsid w:val="004123F5"/>
    <w:rsid w:val="004128C2"/>
    <w:rsid w:val="004129AA"/>
    <w:rsid w:val="00412A1C"/>
    <w:rsid w:val="00412E1F"/>
    <w:rsid w:val="0041311B"/>
    <w:rsid w:val="0041311E"/>
    <w:rsid w:val="0041331E"/>
    <w:rsid w:val="004133E2"/>
    <w:rsid w:val="00413479"/>
    <w:rsid w:val="004135E3"/>
    <w:rsid w:val="00413708"/>
    <w:rsid w:val="0041376C"/>
    <w:rsid w:val="00413933"/>
    <w:rsid w:val="00413A6F"/>
    <w:rsid w:val="00413A73"/>
    <w:rsid w:val="00413AE7"/>
    <w:rsid w:val="00413B2D"/>
    <w:rsid w:val="00413B95"/>
    <w:rsid w:val="00413CE2"/>
    <w:rsid w:val="00413E9B"/>
    <w:rsid w:val="00413F2F"/>
    <w:rsid w:val="00413F47"/>
    <w:rsid w:val="0041407D"/>
    <w:rsid w:val="00414139"/>
    <w:rsid w:val="00414218"/>
    <w:rsid w:val="0041467F"/>
    <w:rsid w:val="0041472D"/>
    <w:rsid w:val="0041472E"/>
    <w:rsid w:val="00414765"/>
    <w:rsid w:val="00414A33"/>
    <w:rsid w:val="00414B45"/>
    <w:rsid w:val="00414BB1"/>
    <w:rsid w:val="00414CC1"/>
    <w:rsid w:val="00414DBF"/>
    <w:rsid w:val="00414F7F"/>
    <w:rsid w:val="00414FE3"/>
    <w:rsid w:val="00415057"/>
    <w:rsid w:val="004150EB"/>
    <w:rsid w:val="00415266"/>
    <w:rsid w:val="00415406"/>
    <w:rsid w:val="0041553B"/>
    <w:rsid w:val="00415560"/>
    <w:rsid w:val="004155F9"/>
    <w:rsid w:val="0041571B"/>
    <w:rsid w:val="004159B4"/>
    <w:rsid w:val="00415DA7"/>
    <w:rsid w:val="00415EF2"/>
    <w:rsid w:val="00416321"/>
    <w:rsid w:val="00416455"/>
    <w:rsid w:val="00416570"/>
    <w:rsid w:val="00416622"/>
    <w:rsid w:val="0041669F"/>
    <w:rsid w:val="00416736"/>
    <w:rsid w:val="00416789"/>
    <w:rsid w:val="00416791"/>
    <w:rsid w:val="0041684F"/>
    <w:rsid w:val="00416B2D"/>
    <w:rsid w:val="00416B2E"/>
    <w:rsid w:val="00416BE8"/>
    <w:rsid w:val="00416C60"/>
    <w:rsid w:val="00416CD2"/>
    <w:rsid w:val="00416F83"/>
    <w:rsid w:val="004170DA"/>
    <w:rsid w:val="004170F4"/>
    <w:rsid w:val="004171C1"/>
    <w:rsid w:val="004173F7"/>
    <w:rsid w:val="00417498"/>
    <w:rsid w:val="004174F6"/>
    <w:rsid w:val="004177DB"/>
    <w:rsid w:val="004178C2"/>
    <w:rsid w:val="004179BD"/>
    <w:rsid w:val="00417C10"/>
    <w:rsid w:val="00417DCA"/>
    <w:rsid w:val="00417EDF"/>
    <w:rsid w:val="00420084"/>
    <w:rsid w:val="00420377"/>
    <w:rsid w:val="004203F6"/>
    <w:rsid w:val="00420469"/>
    <w:rsid w:val="00420992"/>
    <w:rsid w:val="00420A1F"/>
    <w:rsid w:val="00420A59"/>
    <w:rsid w:val="00420CAC"/>
    <w:rsid w:val="00420F8D"/>
    <w:rsid w:val="00421051"/>
    <w:rsid w:val="00421104"/>
    <w:rsid w:val="0042117B"/>
    <w:rsid w:val="004212FB"/>
    <w:rsid w:val="0042132C"/>
    <w:rsid w:val="0042139D"/>
    <w:rsid w:val="004214A0"/>
    <w:rsid w:val="0042152F"/>
    <w:rsid w:val="004216C7"/>
    <w:rsid w:val="00421805"/>
    <w:rsid w:val="00421990"/>
    <w:rsid w:val="004219B9"/>
    <w:rsid w:val="004219BB"/>
    <w:rsid w:val="00421A9B"/>
    <w:rsid w:val="00421F86"/>
    <w:rsid w:val="004222CC"/>
    <w:rsid w:val="00422408"/>
    <w:rsid w:val="00422474"/>
    <w:rsid w:val="00422508"/>
    <w:rsid w:val="00422586"/>
    <w:rsid w:val="004227A6"/>
    <w:rsid w:val="0042293E"/>
    <w:rsid w:val="0042295B"/>
    <w:rsid w:val="00422BE9"/>
    <w:rsid w:val="00422DD4"/>
    <w:rsid w:val="00422F66"/>
    <w:rsid w:val="00423235"/>
    <w:rsid w:val="004232C6"/>
    <w:rsid w:val="00423524"/>
    <w:rsid w:val="00423663"/>
    <w:rsid w:val="004238A7"/>
    <w:rsid w:val="004239E0"/>
    <w:rsid w:val="0042403A"/>
    <w:rsid w:val="00424192"/>
    <w:rsid w:val="0042419E"/>
    <w:rsid w:val="004244D3"/>
    <w:rsid w:val="004246BE"/>
    <w:rsid w:val="00424987"/>
    <w:rsid w:val="00424BAB"/>
    <w:rsid w:val="00424C05"/>
    <w:rsid w:val="00424DF2"/>
    <w:rsid w:val="00424DF9"/>
    <w:rsid w:val="00425081"/>
    <w:rsid w:val="00425378"/>
    <w:rsid w:val="004253C8"/>
    <w:rsid w:val="00425669"/>
    <w:rsid w:val="0042584C"/>
    <w:rsid w:val="00425D4B"/>
    <w:rsid w:val="0042600B"/>
    <w:rsid w:val="00426029"/>
    <w:rsid w:val="00426225"/>
    <w:rsid w:val="004264BF"/>
    <w:rsid w:val="0042654E"/>
    <w:rsid w:val="0042680C"/>
    <w:rsid w:val="00426905"/>
    <w:rsid w:val="00426A5D"/>
    <w:rsid w:val="00426D20"/>
    <w:rsid w:val="00426D24"/>
    <w:rsid w:val="00426D83"/>
    <w:rsid w:val="00426DA8"/>
    <w:rsid w:val="00426F13"/>
    <w:rsid w:val="00427030"/>
    <w:rsid w:val="0042703B"/>
    <w:rsid w:val="004271A8"/>
    <w:rsid w:val="0042727F"/>
    <w:rsid w:val="004272A0"/>
    <w:rsid w:val="004272C5"/>
    <w:rsid w:val="0042734C"/>
    <w:rsid w:val="004273C2"/>
    <w:rsid w:val="0042749A"/>
    <w:rsid w:val="004274DD"/>
    <w:rsid w:val="00427513"/>
    <w:rsid w:val="00427592"/>
    <w:rsid w:val="00427643"/>
    <w:rsid w:val="004278F5"/>
    <w:rsid w:val="00427DC6"/>
    <w:rsid w:val="00427E22"/>
    <w:rsid w:val="00427E54"/>
    <w:rsid w:val="00427EC1"/>
    <w:rsid w:val="00427F89"/>
    <w:rsid w:val="00427F9E"/>
    <w:rsid w:val="00427FA8"/>
    <w:rsid w:val="004304FE"/>
    <w:rsid w:val="00430557"/>
    <w:rsid w:val="004306A2"/>
    <w:rsid w:val="0043078C"/>
    <w:rsid w:val="00430F8A"/>
    <w:rsid w:val="0043106A"/>
    <w:rsid w:val="004311F1"/>
    <w:rsid w:val="00431201"/>
    <w:rsid w:val="00431270"/>
    <w:rsid w:val="00431506"/>
    <w:rsid w:val="0043161F"/>
    <w:rsid w:val="004318E7"/>
    <w:rsid w:val="0043193E"/>
    <w:rsid w:val="00431B0B"/>
    <w:rsid w:val="00431C08"/>
    <w:rsid w:val="00431C72"/>
    <w:rsid w:val="00431C9A"/>
    <w:rsid w:val="004320D2"/>
    <w:rsid w:val="004321D1"/>
    <w:rsid w:val="004322B1"/>
    <w:rsid w:val="00432580"/>
    <w:rsid w:val="004328B1"/>
    <w:rsid w:val="004328D3"/>
    <w:rsid w:val="00432AA3"/>
    <w:rsid w:val="00432D18"/>
    <w:rsid w:val="00432DCD"/>
    <w:rsid w:val="00432E9C"/>
    <w:rsid w:val="00432ECB"/>
    <w:rsid w:val="004330F0"/>
    <w:rsid w:val="00433172"/>
    <w:rsid w:val="004331A8"/>
    <w:rsid w:val="004331EA"/>
    <w:rsid w:val="0043345C"/>
    <w:rsid w:val="0043351B"/>
    <w:rsid w:val="00433767"/>
    <w:rsid w:val="004339BA"/>
    <w:rsid w:val="00433D60"/>
    <w:rsid w:val="00433E6F"/>
    <w:rsid w:val="0043404C"/>
    <w:rsid w:val="00434336"/>
    <w:rsid w:val="004343C1"/>
    <w:rsid w:val="0043448D"/>
    <w:rsid w:val="0043474E"/>
    <w:rsid w:val="0043492C"/>
    <w:rsid w:val="00434AFF"/>
    <w:rsid w:val="00434D7A"/>
    <w:rsid w:val="00434E3D"/>
    <w:rsid w:val="00434EA3"/>
    <w:rsid w:val="00435031"/>
    <w:rsid w:val="00435272"/>
    <w:rsid w:val="0043535B"/>
    <w:rsid w:val="00435371"/>
    <w:rsid w:val="004354C4"/>
    <w:rsid w:val="004354EC"/>
    <w:rsid w:val="0043552A"/>
    <w:rsid w:val="004357BC"/>
    <w:rsid w:val="004358DD"/>
    <w:rsid w:val="00435B92"/>
    <w:rsid w:val="00435DA4"/>
    <w:rsid w:val="00435E2E"/>
    <w:rsid w:val="00436100"/>
    <w:rsid w:val="004361DF"/>
    <w:rsid w:val="0043636E"/>
    <w:rsid w:val="0043647D"/>
    <w:rsid w:val="00436703"/>
    <w:rsid w:val="0043681F"/>
    <w:rsid w:val="00436AFC"/>
    <w:rsid w:val="00436B4B"/>
    <w:rsid w:val="00436D67"/>
    <w:rsid w:val="00436EE9"/>
    <w:rsid w:val="00436F7A"/>
    <w:rsid w:val="00437002"/>
    <w:rsid w:val="00437060"/>
    <w:rsid w:val="0043709A"/>
    <w:rsid w:val="004370EA"/>
    <w:rsid w:val="00437279"/>
    <w:rsid w:val="0043728C"/>
    <w:rsid w:val="004372BE"/>
    <w:rsid w:val="004375A4"/>
    <w:rsid w:val="00437C33"/>
    <w:rsid w:val="00437C95"/>
    <w:rsid w:val="00437CAE"/>
    <w:rsid w:val="00437CCE"/>
    <w:rsid w:val="00437CDE"/>
    <w:rsid w:val="00437CFE"/>
    <w:rsid w:val="00437D0C"/>
    <w:rsid w:val="00437D1A"/>
    <w:rsid w:val="004403B1"/>
    <w:rsid w:val="004404AE"/>
    <w:rsid w:val="00440518"/>
    <w:rsid w:val="004407BD"/>
    <w:rsid w:val="004408A3"/>
    <w:rsid w:val="00440956"/>
    <w:rsid w:val="00440A08"/>
    <w:rsid w:val="00440B27"/>
    <w:rsid w:val="00440C0D"/>
    <w:rsid w:val="00440E7B"/>
    <w:rsid w:val="00440E97"/>
    <w:rsid w:val="00440EBC"/>
    <w:rsid w:val="00440F46"/>
    <w:rsid w:val="00441182"/>
    <w:rsid w:val="00441196"/>
    <w:rsid w:val="0044127F"/>
    <w:rsid w:val="00441345"/>
    <w:rsid w:val="004415C0"/>
    <w:rsid w:val="00441670"/>
    <w:rsid w:val="0044171C"/>
    <w:rsid w:val="00441761"/>
    <w:rsid w:val="00441887"/>
    <w:rsid w:val="00441A32"/>
    <w:rsid w:val="00441AA3"/>
    <w:rsid w:val="00441B0E"/>
    <w:rsid w:val="00441B78"/>
    <w:rsid w:val="00441ECA"/>
    <w:rsid w:val="00442254"/>
    <w:rsid w:val="00442437"/>
    <w:rsid w:val="00442485"/>
    <w:rsid w:val="00442565"/>
    <w:rsid w:val="00442874"/>
    <w:rsid w:val="00442CCA"/>
    <w:rsid w:val="00442E0C"/>
    <w:rsid w:val="00442F72"/>
    <w:rsid w:val="00443028"/>
    <w:rsid w:val="004430E7"/>
    <w:rsid w:val="0044311E"/>
    <w:rsid w:val="0044322C"/>
    <w:rsid w:val="004435E3"/>
    <w:rsid w:val="004437C6"/>
    <w:rsid w:val="00443877"/>
    <w:rsid w:val="00443907"/>
    <w:rsid w:val="00443B41"/>
    <w:rsid w:val="00443B63"/>
    <w:rsid w:val="00443BDD"/>
    <w:rsid w:val="00443E03"/>
    <w:rsid w:val="00443E3F"/>
    <w:rsid w:val="00443E80"/>
    <w:rsid w:val="00444122"/>
    <w:rsid w:val="00444179"/>
    <w:rsid w:val="00444196"/>
    <w:rsid w:val="004442B0"/>
    <w:rsid w:val="004442C2"/>
    <w:rsid w:val="004443D8"/>
    <w:rsid w:val="0044455F"/>
    <w:rsid w:val="004445F1"/>
    <w:rsid w:val="00444902"/>
    <w:rsid w:val="00444A8E"/>
    <w:rsid w:val="00444AF5"/>
    <w:rsid w:val="00444B41"/>
    <w:rsid w:val="00444B85"/>
    <w:rsid w:val="00444D96"/>
    <w:rsid w:val="00444DAB"/>
    <w:rsid w:val="00444DF6"/>
    <w:rsid w:val="00444E53"/>
    <w:rsid w:val="0044521A"/>
    <w:rsid w:val="004456C6"/>
    <w:rsid w:val="0044589F"/>
    <w:rsid w:val="00445ACC"/>
    <w:rsid w:val="00445BC7"/>
    <w:rsid w:val="00445E57"/>
    <w:rsid w:val="00445E7A"/>
    <w:rsid w:val="004460C5"/>
    <w:rsid w:val="00446367"/>
    <w:rsid w:val="004463ED"/>
    <w:rsid w:val="004464A4"/>
    <w:rsid w:val="00446558"/>
    <w:rsid w:val="004466C6"/>
    <w:rsid w:val="0044678D"/>
    <w:rsid w:val="004467A3"/>
    <w:rsid w:val="004467FB"/>
    <w:rsid w:val="00446825"/>
    <w:rsid w:val="00446854"/>
    <w:rsid w:val="00446A57"/>
    <w:rsid w:val="00446B3F"/>
    <w:rsid w:val="0044702E"/>
    <w:rsid w:val="00447229"/>
    <w:rsid w:val="004472E6"/>
    <w:rsid w:val="004477B7"/>
    <w:rsid w:val="004477E8"/>
    <w:rsid w:val="00447B02"/>
    <w:rsid w:val="00447BF1"/>
    <w:rsid w:val="00447DAE"/>
    <w:rsid w:val="00447DB5"/>
    <w:rsid w:val="00447FAA"/>
    <w:rsid w:val="00450167"/>
    <w:rsid w:val="00450291"/>
    <w:rsid w:val="004502D5"/>
    <w:rsid w:val="0045036C"/>
    <w:rsid w:val="00450464"/>
    <w:rsid w:val="004506DA"/>
    <w:rsid w:val="004509B6"/>
    <w:rsid w:val="004509EA"/>
    <w:rsid w:val="00450B6E"/>
    <w:rsid w:val="00450DEF"/>
    <w:rsid w:val="00451081"/>
    <w:rsid w:val="004510C6"/>
    <w:rsid w:val="004511FD"/>
    <w:rsid w:val="00451220"/>
    <w:rsid w:val="00451501"/>
    <w:rsid w:val="0045167E"/>
    <w:rsid w:val="00451784"/>
    <w:rsid w:val="00451797"/>
    <w:rsid w:val="00451AA1"/>
    <w:rsid w:val="00451AD2"/>
    <w:rsid w:val="00451CD6"/>
    <w:rsid w:val="00451E4F"/>
    <w:rsid w:val="00451E81"/>
    <w:rsid w:val="004520F8"/>
    <w:rsid w:val="004524AE"/>
    <w:rsid w:val="00452519"/>
    <w:rsid w:val="00452853"/>
    <w:rsid w:val="004528DB"/>
    <w:rsid w:val="004529BC"/>
    <w:rsid w:val="00452A06"/>
    <w:rsid w:val="00452A2D"/>
    <w:rsid w:val="00452A35"/>
    <w:rsid w:val="00452D32"/>
    <w:rsid w:val="00453075"/>
    <w:rsid w:val="0045309B"/>
    <w:rsid w:val="00453175"/>
    <w:rsid w:val="00453182"/>
    <w:rsid w:val="0045329E"/>
    <w:rsid w:val="004532F0"/>
    <w:rsid w:val="0045366F"/>
    <w:rsid w:val="004538EC"/>
    <w:rsid w:val="00453AAA"/>
    <w:rsid w:val="00453DEE"/>
    <w:rsid w:val="00454510"/>
    <w:rsid w:val="00454649"/>
    <w:rsid w:val="004546FC"/>
    <w:rsid w:val="00454883"/>
    <w:rsid w:val="004548DE"/>
    <w:rsid w:val="00454A73"/>
    <w:rsid w:val="00454B8B"/>
    <w:rsid w:val="00455057"/>
    <w:rsid w:val="00455059"/>
    <w:rsid w:val="0045542B"/>
    <w:rsid w:val="00455468"/>
    <w:rsid w:val="004554D9"/>
    <w:rsid w:val="004555F8"/>
    <w:rsid w:val="004556EE"/>
    <w:rsid w:val="00455785"/>
    <w:rsid w:val="00455AF8"/>
    <w:rsid w:val="00455BAC"/>
    <w:rsid w:val="00455C20"/>
    <w:rsid w:val="004562BB"/>
    <w:rsid w:val="00456483"/>
    <w:rsid w:val="0045649D"/>
    <w:rsid w:val="00456623"/>
    <w:rsid w:val="0045671D"/>
    <w:rsid w:val="004567F8"/>
    <w:rsid w:val="00456A67"/>
    <w:rsid w:val="00456AE2"/>
    <w:rsid w:val="00456B48"/>
    <w:rsid w:val="00456B65"/>
    <w:rsid w:val="00456D15"/>
    <w:rsid w:val="00456E79"/>
    <w:rsid w:val="00456E8A"/>
    <w:rsid w:val="00456F24"/>
    <w:rsid w:val="004574C9"/>
    <w:rsid w:val="004575C0"/>
    <w:rsid w:val="0045763D"/>
    <w:rsid w:val="0045769F"/>
    <w:rsid w:val="004577EB"/>
    <w:rsid w:val="00457B91"/>
    <w:rsid w:val="00457DE1"/>
    <w:rsid w:val="0046045A"/>
    <w:rsid w:val="00460725"/>
    <w:rsid w:val="004607DD"/>
    <w:rsid w:val="004608D3"/>
    <w:rsid w:val="00460AE6"/>
    <w:rsid w:val="00460E99"/>
    <w:rsid w:val="00460F07"/>
    <w:rsid w:val="00460F74"/>
    <w:rsid w:val="00461165"/>
    <w:rsid w:val="004613A4"/>
    <w:rsid w:val="004615A7"/>
    <w:rsid w:val="0046161D"/>
    <w:rsid w:val="00461646"/>
    <w:rsid w:val="00461904"/>
    <w:rsid w:val="0046196B"/>
    <w:rsid w:val="00461A18"/>
    <w:rsid w:val="00461AEC"/>
    <w:rsid w:val="00461BE1"/>
    <w:rsid w:val="00461C15"/>
    <w:rsid w:val="00461CEE"/>
    <w:rsid w:val="00461DC5"/>
    <w:rsid w:val="00461E65"/>
    <w:rsid w:val="00461E8B"/>
    <w:rsid w:val="00461F4B"/>
    <w:rsid w:val="00461F51"/>
    <w:rsid w:val="00461FDA"/>
    <w:rsid w:val="004623D4"/>
    <w:rsid w:val="0046241A"/>
    <w:rsid w:val="0046241B"/>
    <w:rsid w:val="0046246C"/>
    <w:rsid w:val="004625F6"/>
    <w:rsid w:val="004627EC"/>
    <w:rsid w:val="00462804"/>
    <w:rsid w:val="00462866"/>
    <w:rsid w:val="00462ECC"/>
    <w:rsid w:val="00462F55"/>
    <w:rsid w:val="00462FBC"/>
    <w:rsid w:val="00463095"/>
    <w:rsid w:val="004630BB"/>
    <w:rsid w:val="00463147"/>
    <w:rsid w:val="0046318D"/>
    <w:rsid w:val="00463435"/>
    <w:rsid w:val="004634D7"/>
    <w:rsid w:val="00463714"/>
    <w:rsid w:val="004637E9"/>
    <w:rsid w:val="004638AC"/>
    <w:rsid w:val="004639F9"/>
    <w:rsid w:val="00463C72"/>
    <w:rsid w:val="00464008"/>
    <w:rsid w:val="00464115"/>
    <w:rsid w:val="0046415A"/>
    <w:rsid w:val="0046442D"/>
    <w:rsid w:val="00464838"/>
    <w:rsid w:val="004648E8"/>
    <w:rsid w:val="00464C78"/>
    <w:rsid w:val="00464DEE"/>
    <w:rsid w:val="00464E62"/>
    <w:rsid w:val="00465189"/>
    <w:rsid w:val="00465434"/>
    <w:rsid w:val="0046547F"/>
    <w:rsid w:val="004654D3"/>
    <w:rsid w:val="0046555E"/>
    <w:rsid w:val="00465B0E"/>
    <w:rsid w:val="00465CAA"/>
    <w:rsid w:val="00465D03"/>
    <w:rsid w:val="00465FEB"/>
    <w:rsid w:val="004661CA"/>
    <w:rsid w:val="00466262"/>
    <w:rsid w:val="00466359"/>
    <w:rsid w:val="004663BE"/>
    <w:rsid w:val="004663FC"/>
    <w:rsid w:val="00466468"/>
    <w:rsid w:val="00466507"/>
    <w:rsid w:val="00466532"/>
    <w:rsid w:val="0046671E"/>
    <w:rsid w:val="004667B6"/>
    <w:rsid w:val="00466C20"/>
    <w:rsid w:val="00466D3D"/>
    <w:rsid w:val="00467096"/>
    <w:rsid w:val="004670DC"/>
    <w:rsid w:val="00467275"/>
    <w:rsid w:val="00467298"/>
    <w:rsid w:val="0046739C"/>
    <w:rsid w:val="00467596"/>
    <w:rsid w:val="00467616"/>
    <w:rsid w:val="00467629"/>
    <w:rsid w:val="0046768F"/>
    <w:rsid w:val="00467964"/>
    <w:rsid w:val="00467A6C"/>
    <w:rsid w:val="00467BA5"/>
    <w:rsid w:val="00467D90"/>
    <w:rsid w:val="00470090"/>
    <w:rsid w:val="00470102"/>
    <w:rsid w:val="0047023A"/>
    <w:rsid w:val="004702C8"/>
    <w:rsid w:val="0047043B"/>
    <w:rsid w:val="0047043D"/>
    <w:rsid w:val="004704FF"/>
    <w:rsid w:val="00470514"/>
    <w:rsid w:val="00470578"/>
    <w:rsid w:val="004705CC"/>
    <w:rsid w:val="004705FE"/>
    <w:rsid w:val="004708AE"/>
    <w:rsid w:val="00470D14"/>
    <w:rsid w:val="00470D27"/>
    <w:rsid w:val="0047101D"/>
    <w:rsid w:val="004710F3"/>
    <w:rsid w:val="004713FA"/>
    <w:rsid w:val="004715A1"/>
    <w:rsid w:val="004715B4"/>
    <w:rsid w:val="004715DA"/>
    <w:rsid w:val="00471899"/>
    <w:rsid w:val="004718C3"/>
    <w:rsid w:val="004719F8"/>
    <w:rsid w:val="00471C31"/>
    <w:rsid w:val="00471CF8"/>
    <w:rsid w:val="00471DA5"/>
    <w:rsid w:val="00471FF0"/>
    <w:rsid w:val="00472068"/>
    <w:rsid w:val="0047207F"/>
    <w:rsid w:val="004720AF"/>
    <w:rsid w:val="004720CB"/>
    <w:rsid w:val="0047231D"/>
    <w:rsid w:val="00472550"/>
    <w:rsid w:val="004728C9"/>
    <w:rsid w:val="004728D5"/>
    <w:rsid w:val="00472A49"/>
    <w:rsid w:val="00472B57"/>
    <w:rsid w:val="00472D5F"/>
    <w:rsid w:val="00472EAA"/>
    <w:rsid w:val="004730F3"/>
    <w:rsid w:val="00473114"/>
    <w:rsid w:val="004733FE"/>
    <w:rsid w:val="0047347A"/>
    <w:rsid w:val="004734A2"/>
    <w:rsid w:val="0047364E"/>
    <w:rsid w:val="0047390E"/>
    <w:rsid w:val="004739D0"/>
    <w:rsid w:val="00473A32"/>
    <w:rsid w:val="00473AFB"/>
    <w:rsid w:val="00473BB2"/>
    <w:rsid w:val="00473CFF"/>
    <w:rsid w:val="00473E46"/>
    <w:rsid w:val="00473F4A"/>
    <w:rsid w:val="00474053"/>
    <w:rsid w:val="0047415A"/>
    <w:rsid w:val="00474184"/>
    <w:rsid w:val="00474425"/>
    <w:rsid w:val="004744D6"/>
    <w:rsid w:val="004744FA"/>
    <w:rsid w:val="0047461E"/>
    <w:rsid w:val="00474653"/>
    <w:rsid w:val="00474773"/>
    <w:rsid w:val="004748EB"/>
    <w:rsid w:val="00474AA6"/>
    <w:rsid w:val="00474B05"/>
    <w:rsid w:val="00474E44"/>
    <w:rsid w:val="00475047"/>
    <w:rsid w:val="00475132"/>
    <w:rsid w:val="0047530F"/>
    <w:rsid w:val="004753B4"/>
    <w:rsid w:val="0047549B"/>
    <w:rsid w:val="004755CF"/>
    <w:rsid w:val="004755E3"/>
    <w:rsid w:val="004757C9"/>
    <w:rsid w:val="004759A5"/>
    <w:rsid w:val="00475A83"/>
    <w:rsid w:val="00475C9C"/>
    <w:rsid w:val="004762DC"/>
    <w:rsid w:val="00476580"/>
    <w:rsid w:val="00476766"/>
    <w:rsid w:val="00476AF2"/>
    <w:rsid w:val="00476BEC"/>
    <w:rsid w:val="00476C75"/>
    <w:rsid w:val="00476E2A"/>
    <w:rsid w:val="0047707A"/>
    <w:rsid w:val="00477501"/>
    <w:rsid w:val="00477744"/>
    <w:rsid w:val="004777B4"/>
    <w:rsid w:val="004777F2"/>
    <w:rsid w:val="00477930"/>
    <w:rsid w:val="00477A78"/>
    <w:rsid w:val="00477B7C"/>
    <w:rsid w:val="00477DEF"/>
    <w:rsid w:val="00477E81"/>
    <w:rsid w:val="00477EBF"/>
    <w:rsid w:val="0048003E"/>
    <w:rsid w:val="004800AA"/>
    <w:rsid w:val="004801EE"/>
    <w:rsid w:val="00480215"/>
    <w:rsid w:val="00480245"/>
    <w:rsid w:val="0048037E"/>
    <w:rsid w:val="004804A8"/>
    <w:rsid w:val="00480A0C"/>
    <w:rsid w:val="00480A9B"/>
    <w:rsid w:val="00480B9A"/>
    <w:rsid w:val="00480C4C"/>
    <w:rsid w:val="00480C6A"/>
    <w:rsid w:val="00480DDA"/>
    <w:rsid w:val="0048109E"/>
    <w:rsid w:val="004810BE"/>
    <w:rsid w:val="004810EA"/>
    <w:rsid w:val="00481162"/>
    <w:rsid w:val="004811B5"/>
    <w:rsid w:val="004811EB"/>
    <w:rsid w:val="004812D4"/>
    <w:rsid w:val="004814BA"/>
    <w:rsid w:val="00481623"/>
    <w:rsid w:val="0048182E"/>
    <w:rsid w:val="00481862"/>
    <w:rsid w:val="004818A8"/>
    <w:rsid w:val="00481A2A"/>
    <w:rsid w:val="00481B54"/>
    <w:rsid w:val="00481DEB"/>
    <w:rsid w:val="00481E04"/>
    <w:rsid w:val="00481EAF"/>
    <w:rsid w:val="00482133"/>
    <w:rsid w:val="0048244C"/>
    <w:rsid w:val="004824AB"/>
    <w:rsid w:val="00482537"/>
    <w:rsid w:val="004825BF"/>
    <w:rsid w:val="004825CB"/>
    <w:rsid w:val="004826AF"/>
    <w:rsid w:val="004829C1"/>
    <w:rsid w:val="00482AE8"/>
    <w:rsid w:val="00482B1F"/>
    <w:rsid w:val="00482E2C"/>
    <w:rsid w:val="00482F9B"/>
    <w:rsid w:val="004830A1"/>
    <w:rsid w:val="004834C2"/>
    <w:rsid w:val="004834ED"/>
    <w:rsid w:val="004835C0"/>
    <w:rsid w:val="00483796"/>
    <w:rsid w:val="0048381D"/>
    <w:rsid w:val="00483861"/>
    <w:rsid w:val="0048389F"/>
    <w:rsid w:val="00483918"/>
    <w:rsid w:val="00483A52"/>
    <w:rsid w:val="00483B71"/>
    <w:rsid w:val="00483C60"/>
    <w:rsid w:val="00483DD7"/>
    <w:rsid w:val="00483E49"/>
    <w:rsid w:val="00483FD7"/>
    <w:rsid w:val="004841E1"/>
    <w:rsid w:val="00484382"/>
    <w:rsid w:val="004844DC"/>
    <w:rsid w:val="00484752"/>
    <w:rsid w:val="00484777"/>
    <w:rsid w:val="004848D5"/>
    <w:rsid w:val="004849D4"/>
    <w:rsid w:val="00484A47"/>
    <w:rsid w:val="00484A76"/>
    <w:rsid w:val="00484B11"/>
    <w:rsid w:val="00484B41"/>
    <w:rsid w:val="00484B67"/>
    <w:rsid w:val="00484BCA"/>
    <w:rsid w:val="00484C27"/>
    <w:rsid w:val="00484D6F"/>
    <w:rsid w:val="00484DEC"/>
    <w:rsid w:val="00484FB0"/>
    <w:rsid w:val="00485038"/>
    <w:rsid w:val="0048505A"/>
    <w:rsid w:val="00485359"/>
    <w:rsid w:val="0048557F"/>
    <w:rsid w:val="00485796"/>
    <w:rsid w:val="00485799"/>
    <w:rsid w:val="0048583F"/>
    <w:rsid w:val="00485863"/>
    <w:rsid w:val="00485868"/>
    <w:rsid w:val="0048591D"/>
    <w:rsid w:val="0048594C"/>
    <w:rsid w:val="0048595D"/>
    <w:rsid w:val="0048598E"/>
    <w:rsid w:val="00485B58"/>
    <w:rsid w:val="00485B78"/>
    <w:rsid w:val="00485D48"/>
    <w:rsid w:val="00485D64"/>
    <w:rsid w:val="00485ED6"/>
    <w:rsid w:val="00485FC6"/>
    <w:rsid w:val="0048602A"/>
    <w:rsid w:val="00486097"/>
    <w:rsid w:val="0048623E"/>
    <w:rsid w:val="00486434"/>
    <w:rsid w:val="0048675B"/>
    <w:rsid w:val="00486844"/>
    <w:rsid w:val="0048697A"/>
    <w:rsid w:val="00486B72"/>
    <w:rsid w:val="00486D8B"/>
    <w:rsid w:val="00486EDD"/>
    <w:rsid w:val="00486F4D"/>
    <w:rsid w:val="00486F9A"/>
    <w:rsid w:val="004870BE"/>
    <w:rsid w:val="00487152"/>
    <w:rsid w:val="004874D4"/>
    <w:rsid w:val="00487638"/>
    <w:rsid w:val="004876DB"/>
    <w:rsid w:val="00487845"/>
    <w:rsid w:val="0048792B"/>
    <w:rsid w:val="00487965"/>
    <w:rsid w:val="00487983"/>
    <w:rsid w:val="00487AA7"/>
    <w:rsid w:val="00487AB3"/>
    <w:rsid w:val="00487DB7"/>
    <w:rsid w:val="00490005"/>
    <w:rsid w:val="00490051"/>
    <w:rsid w:val="00490304"/>
    <w:rsid w:val="004904D7"/>
    <w:rsid w:val="004904DE"/>
    <w:rsid w:val="004904F1"/>
    <w:rsid w:val="0049070E"/>
    <w:rsid w:val="004907C6"/>
    <w:rsid w:val="0049089E"/>
    <w:rsid w:val="004908D5"/>
    <w:rsid w:val="00490AF5"/>
    <w:rsid w:val="00490BBC"/>
    <w:rsid w:val="00490BD2"/>
    <w:rsid w:val="00490F72"/>
    <w:rsid w:val="00490F9F"/>
    <w:rsid w:val="0049109F"/>
    <w:rsid w:val="004912E7"/>
    <w:rsid w:val="0049147C"/>
    <w:rsid w:val="004914F6"/>
    <w:rsid w:val="0049150D"/>
    <w:rsid w:val="00491733"/>
    <w:rsid w:val="00491740"/>
    <w:rsid w:val="0049177C"/>
    <w:rsid w:val="00491A3B"/>
    <w:rsid w:val="00491B60"/>
    <w:rsid w:val="00491BA7"/>
    <w:rsid w:val="00491BBD"/>
    <w:rsid w:val="00492067"/>
    <w:rsid w:val="004929B6"/>
    <w:rsid w:val="004929E0"/>
    <w:rsid w:val="00492C13"/>
    <w:rsid w:val="00492DBB"/>
    <w:rsid w:val="00492DEA"/>
    <w:rsid w:val="00492E17"/>
    <w:rsid w:val="00492E5E"/>
    <w:rsid w:val="00493112"/>
    <w:rsid w:val="00493148"/>
    <w:rsid w:val="00493594"/>
    <w:rsid w:val="0049398E"/>
    <w:rsid w:val="00493B7E"/>
    <w:rsid w:val="00493C18"/>
    <w:rsid w:val="00493CA3"/>
    <w:rsid w:val="00493E1D"/>
    <w:rsid w:val="00493E50"/>
    <w:rsid w:val="00494013"/>
    <w:rsid w:val="0049425D"/>
    <w:rsid w:val="004943C6"/>
    <w:rsid w:val="004944E4"/>
    <w:rsid w:val="0049452A"/>
    <w:rsid w:val="004945A8"/>
    <w:rsid w:val="00494644"/>
    <w:rsid w:val="004946B3"/>
    <w:rsid w:val="00494D65"/>
    <w:rsid w:val="00494D75"/>
    <w:rsid w:val="00494E37"/>
    <w:rsid w:val="00494F97"/>
    <w:rsid w:val="00494FB5"/>
    <w:rsid w:val="004951DF"/>
    <w:rsid w:val="004951FB"/>
    <w:rsid w:val="00495323"/>
    <w:rsid w:val="00495510"/>
    <w:rsid w:val="0049560D"/>
    <w:rsid w:val="004956CE"/>
    <w:rsid w:val="00495A66"/>
    <w:rsid w:val="00495C52"/>
    <w:rsid w:val="00495D55"/>
    <w:rsid w:val="00495E27"/>
    <w:rsid w:val="00496075"/>
    <w:rsid w:val="004960F9"/>
    <w:rsid w:val="0049619B"/>
    <w:rsid w:val="0049625B"/>
    <w:rsid w:val="00496303"/>
    <w:rsid w:val="004963A7"/>
    <w:rsid w:val="004964CA"/>
    <w:rsid w:val="00496553"/>
    <w:rsid w:val="004965F6"/>
    <w:rsid w:val="00496692"/>
    <w:rsid w:val="004967EC"/>
    <w:rsid w:val="00496863"/>
    <w:rsid w:val="004968BA"/>
    <w:rsid w:val="004969E1"/>
    <w:rsid w:val="00496ACB"/>
    <w:rsid w:val="00496B77"/>
    <w:rsid w:val="00496BE2"/>
    <w:rsid w:val="00496DA1"/>
    <w:rsid w:val="00496DD2"/>
    <w:rsid w:val="00496F6A"/>
    <w:rsid w:val="00496F95"/>
    <w:rsid w:val="00497174"/>
    <w:rsid w:val="0049717E"/>
    <w:rsid w:val="0049733E"/>
    <w:rsid w:val="0049735F"/>
    <w:rsid w:val="00497676"/>
    <w:rsid w:val="004976DD"/>
    <w:rsid w:val="004977EB"/>
    <w:rsid w:val="004979AB"/>
    <w:rsid w:val="00497CFC"/>
    <w:rsid w:val="00497FEF"/>
    <w:rsid w:val="004A0095"/>
    <w:rsid w:val="004A024A"/>
    <w:rsid w:val="004A0282"/>
    <w:rsid w:val="004A0349"/>
    <w:rsid w:val="004A034E"/>
    <w:rsid w:val="004A03FF"/>
    <w:rsid w:val="004A0509"/>
    <w:rsid w:val="004A079B"/>
    <w:rsid w:val="004A0868"/>
    <w:rsid w:val="004A08A3"/>
    <w:rsid w:val="004A0C44"/>
    <w:rsid w:val="004A0D0A"/>
    <w:rsid w:val="004A0D84"/>
    <w:rsid w:val="004A0D9E"/>
    <w:rsid w:val="004A0F84"/>
    <w:rsid w:val="004A0FAC"/>
    <w:rsid w:val="004A0FD3"/>
    <w:rsid w:val="004A0FFB"/>
    <w:rsid w:val="004A1172"/>
    <w:rsid w:val="004A12B2"/>
    <w:rsid w:val="004A12B4"/>
    <w:rsid w:val="004A137A"/>
    <w:rsid w:val="004A159A"/>
    <w:rsid w:val="004A1638"/>
    <w:rsid w:val="004A16F3"/>
    <w:rsid w:val="004A1A04"/>
    <w:rsid w:val="004A1BF4"/>
    <w:rsid w:val="004A1CD3"/>
    <w:rsid w:val="004A1E4B"/>
    <w:rsid w:val="004A1EE3"/>
    <w:rsid w:val="004A1FB6"/>
    <w:rsid w:val="004A208A"/>
    <w:rsid w:val="004A22BC"/>
    <w:rsid w:val="004A23CD"/>
    <w:rsid w:val="004A2576"/>
    <w:rsid w:val="004A2C67"/>
    <w:rsid w:val="004A2CC0"/>
    <w:rsid w:val="004A2F5B"/>
    <w:rsid w:val="004A2FF0"/>
    <w:rsid w:val="004A3051"/>
    <w:rsid w:val="004A33F5"/>
    <w:rsid w:val="004A340C"/>
    <w:rsid w:val="004A34D7"/>
    <w:rsid w:val="004A3530"/>
    <w:rsid w:val="004A36F8"/>
    <w:rsid w:val="004A37B3"/>
    <w:rsid w:val="004A3855"/>
    <w:rsid w:val="004A3B02"/>
    <w:rsid w:val="004A3B05"/>
    <w:rsid w:val="004A3BFE"/>
    <w:rsid w:val="004A3C1B"/>
    <w:rsid w:val="004A3C8F"/>
    <w:rsid w:val="004A3CFF"/>
    <w:rsid w:val="004A3D29"/>
    <w:rsid w:val="004A3EC5"/>
    <w:rsid w:val="004A3F10"/>
    <w:rsid w:val="004A4036"/>
    <w:rsid w:val="004A406E"/>
    <w:rsid w:val="004A40C0"/>
    <w:rsid w:val="004A41CA"/>
    <w:rsid w:val="004A46A5"/>
    <w:rsid w:val="004A46E5"/>
    <w:rsid w:val="004A4BEE"/>
    <w:rsid w:val="004A4CE7"/>
    <w:rsid w:val="004A4DC9"/>
    <w:rsid w:val="004A4E37"/>
    <w:rsid w:val="004A5093"/>
    <w:rsid w:val="004A515A"/>
    <w:rsid w:val="004A52B2"/>
    <w:rsid w:val="004A52FD"/>
    <w:rsid w:val="004A5308"/>
    <w:rsid w:val="004A55B6"/>
    <w:rsid w:val="004A58B2"/>
    <w:rsid w:val="004A5935"/>
    <w:rsid w:val="004A5970"/>
    <w:rsid w:val="004A59B1"/>
    <w:rsid w:val="004A5A52"/>
    <w:rsid w:val="004A5A77"/>
    <w:rsid w:val="004A5A8E"/>
    <w:rsid w:val="004A5B63"/>
    <w:rsid w:val="004A6495"/>
    <w:rsid w:val="004A64F6"/>
    <w:rsid w:val="004A6893"/>
    <w:rsid w:val="004A689F"/>
    <w:rsid w:val="004A6952"/>
    <w:rsid w:val="004A6999"/>
    <w:rsid w:val="004A6AB5"/>
    <w:rsid w:val="004A6CBD"/>
    <w:rsid w:val="004A6D31"/>
    <w:rsid w:val="004A6EBE"/>
    <w:rsid w:val="004A6F97"/>
    <w:rsid w:val="004A702A"/>
    <w:rsid w:val="004A7051"/>
    <w:rsid w:val="004A70EC"/>
    <w:rsid w:val="004A7511"/>
    <w:rsid w:val="004A7560"/>
    <w:rsid w:val="004A76B8"/>
    <w:rsid w:val="004A7896"/>
    <w:rsid w:val="004A7F10"/>
    <w:rsid w:val="004A7F22"/>
    <w:rsid w:val="004B0088"/>
    <w:rsid w:val="004B0184"/>
    <w:rsid w:val="004B03F4"/>
    <w:rsid w:val="004B06B8"/>
    <w:rsid w:val="004B072D"/>
    <w:rsid w:val="004B095C"/>
    <w:rsid w:val="004B097F"/>
    <w:rsid w:val="004B0A26"/>
    <w:rsid w:val="004B0C46"/>
    <w:rsid w:val="004B0C5F"/>
    <w:rsid w:val="004B0C63"/>
    <w:rsid w:val="004B0E0A"/>
    <w:rsid w:val="004B0F26"/>
    <w:rsid w:val="004B1048"/>
    <w:rsid w:val="004B112F"/>
    <w:rsid w:val="004B1219"/>
    <w:rsid w:val="004B13CA"/>
    <w:rsid w:val="004B16B9"/>
    <w:rsid w:val="004B175A"/>
    <w:rsid w:val="004B18A2"/>
    <w:rsid w:val="004B1BC5"/>
    <w:rsid w:val="004B1D3C"/>
    <w:rsid w:val="004B1E28"/>
    <w:rsid w:val="004B1ECF"/>
    <w:rsid w:val="004B204D"/>
    <w:rsid w:val="004B2141"/>
    <w:rsid w:val="004B23BA"/>
    <w:rsid w:val="004B23CB"/>
    <w:rsid w:val="004B23EA"/>
    <w:rsid w:val="004B272D"/>
    <w:rsid w:val="004B2835"/>
    <w:rsid w:val="004B28AD"/>
    <w:rsid w:val="004B28B7"/>
    <w:rsid w:val="004B28D4"/>
    <w:rsid w:val="004B28FA"/>
    <w:rsid w:val="004B2909"/>
    <w:rsid w:val="004B2A40"/>
    <w:rsid w:val="004B2B47"/>
    <w:rsid w:val="004B2C15"/>
    <w:rsid w:val="004B2D5B"/>
    <w:rsid w:val="004B2D67"/>
    <w:rsid w:val="004B2EEA"/>
    <w:rsid w:val="004B2EFC"/>
    <w:rsid w:val="004B2FC5"/>
    <w:rsid w:val="004B31C7"/>
    <w:rsid w:val="004B3243"/>
    <w:rsid w:val="004B330B"/>
    <w:rsid w:val="004B3313"/>
    <w:rsid w:val="004B3680"/>
    <w:rsid w:val="004B3748"/>
    <w:rsid w:val="004B379A"/>
    <w:rsid w:val="004B3819"/>
    <w:rsid w:val="004B3862"/>
    <w:rsid w:val="004B3890"/>
    <w:rsid w:val="004B389D"/>
    <w:rsid w:val="004B3960"/>
    <w:rsid w:val="004B3A46"/>
    <w:rsid w:val="004B3AEF"/>
    <w:rsid w:val="004B3C84"/>
    <w:rsid w:val="004B3CC0"/>
    <w:rsid w:val="004B3D4C"/>
    <w:rsid w:val="004B3E19"/>
    <w:rsid w:val="004B3EDD"/>
    <w:rsid w:val="004B3F13"/>
    <w:rsid w:val="004B3F41"/>
    <w:rsid w:val="004B3FBD"/>
    <w:rsid w:val="004B42F6"/>
    <w:rsid w:val="004B4349"/>
    <w:rsid w:val="004B43CC"/>
    <w:rsid w:val="004B43F3"/>
    <w:rsid w:val="004B441F"/>
    <w:rsid w:val="004B4564"/>
    <w:rsid w:val="004B493E"/>
    <w:rsid w:val="004B4A30"/>
    <w:rsid w:val="004B4D4F"/>
    <w:rsid w:val="004B5140"/>
    <w:rsid w:val="004B514A"/>
    <w:rsid w:val="004B52E4"/>
    <w:rsid w:val="004B54EA"/>
    <w:rsid w:val="004B5759"/>
    <w:rsid w:val="004B581D"/>
    <w:rsid w:val="004B597E"/>
    <w:rsid w:val="004B5D23"/>
    <w:rsid w:val="004B5E8F"/>
    <w:rsid w:val="004B5F7F"/>
    <w:rsid w:val="004B5FD5"/>
    <w:rsid w:val="004B5FE9"/>
    <w:rsid w:val="004B5FF0"/>
    <w:rsid w:val="004B62E1"/>
    <w:rsid w:val="004B63B8"/>
    <w:rsid w:val="004B63BD"/>
    <w:rsid w:val="004B65DF"/>
    <w:rsid w:val="004B667E"/>
    <w:rsid w:val="004B6925"/>
    <w:rsid w:val="004B6986"/>
    <w:rsid w:val="004B6A61"/>
    <w:rsid w:val="004B6AC3"/>
    <w:rsid w:val="004B6B5F"/>
    <w:rsid w:val="004B6BB8"/>
    <w:rsid w:val="004B6C27"/>
    <w:rsid w:val="004B6D74"/>
    <w:rsid w:val="004B6F8E"/>
    <w:rsid w:val="004B6FC3"/>
    <w:rsid w:val="004B6FFA"/>
    <w:rsid w:val="004B70F1"/>
    <w:rsid w:val="004B722F"/>
    <w:rsid w:val="004B7263"/>
    <w:rsid w:val="004B735B"/>
    <w:rsid w:val="004B78C2"/>
    <w:rsid w:val="004B793B"/>
    <w:rsid w:val="004B7977"/>
    <w:rsid w:val="004B7A79"/>
    <w:rsid w:val="004B7BD7"/>
    <w:rsid w:val="004B7C1D"/>
    <w:rsid w:val="004B7D17"/>
    <w:rsid w:val="004B7EF3"/>
    <w:rsid w:val="004C0020"/>
    <w:rsid w:val="004C01AA"/>
    <w:rsid w:val="004C0325"/>
    <w:rsid w:val="004C03FB"/>
    <w:rsid w:val="004C06B9"/>
    <w:rsid w:val="004C0826"/>
    <w:rsid w:val="004C0892"/>
    <w:rsid w:val="004C08C0"/>
    <w:rsid w:val="004C0B50"/>
    <w:rsid w:val="004C0DB9"/>
    <w:rsid w:val="004C0DCE"/>
    <w:rsid w:val="004C0EDC"/>
    <w:rsid w:val="004C0F82"/>
    <w:rsid w:val="004C101C"/>
    <w:rsid w:val="004C1213"/>
    <w:rsid w:val="004C1615"/>
    <w:rsid w:val="004C167B"/>
    <w:rsid w:val="004C1758"/>
    <w:rsid w:val="004C1AA7"/>
    <w:rsid w:val="004C1AB5"/>
    <w:rsid w:val="004C2190"/>
    <w:rsid w:val="004C26E7"/>
    <w:rsid w:val="004C2838"/>
    <w:rsid w:val="004C29EA"/>
    <w:rsid w:val="004C2C29"/>
    <w:rsid w:val="004C2DE4"/>
    <w:rsid w:val="004C2DF1"/>
    <w:rsid w:val="004C2E29"/>
    <w:rsid w:val="004C30D3"/>
    <w:rsid w:val="004C3226"/>
    <w:rsid w:val="004C33A8"/>
    <w:rsid w:val="004C3444"/>
    <w:rsid w:val="004C35EC"/>
    <w:rsid w:val="004C372E"/>
    <w:rsid w:val="004C37D8"/>
    <w:rsid w:val="004C3896"/>
    <w:rsid w:val="004C3908"/>
    <w:rsid w:val="004C3B4F"/>
    <w:rsid w:val="004C3BCF"/>
    <w:rsid w:val="004C3EBD"/>
    <w:rsid w:val="004C403E"/>
    <w:rsid w:val="004C4065"/>
    <w:rsid w:val="004C4243"/>
    <w:rsid w:val="004C4244"/>
    <w:rsid w:val="004C4275"/>
    <w:rsid w:val="004C42FA"/>
    <w:rsid w:val="004C431E"/>
    <w:rsid w:val="004C4370"/>
    <w:rsid w:val="004C442F"/>
    <w:rsid w:val="004C45BA"/>
    <w:rsid w:val="004C47C8"/>
    <w:rsid w:val="004C4963"/>
    <w:rsid w:val="004C4CB3"/>
    <w:rsid w:val="004C4D03"/>
    <w:rsid w:val="004C525B"/>
    <w:rsid w:val="004C533F"/>
    <w:rsid w:val="004C53F0"/>
    <w:rsid w:val="004C5436"/>
    <w:rsid w:val="004C5472"/>
    <w:rsid w:val="004C5477"/>
    <w:rsid w:val="004C5496"/>
    <w:rsid w:val="004C55D1"/>
    <w:rsid w:val="004C565D"/>
    <w:rsid w:val="004C57C2"/>
    <w:rsid w:val="004C587E"/>
    <w:rsid w:val="004C58DD"/>
    <w:rsid w:val="004C5C77"/>
    <w:rsid w:val="004C5D97"/>
    <w:rsid w:val="004C5DDB"/>
    <w:rsid w:val="004C5F08"/>
    <w:rsid w:val="004C610D"/>
    <w:rsid w:val="004C6410"/>
    <w:rsid w:val="004C650F"/>
    <w:rsid w:val="004C6767"/>
    <w:rsid w:val="004C67B3"/>
    <w:rsid w:val="004C6995"/>
    <w:rsid w:val="004C6ACD"/>
    <w:rsid w:val="004C6FCB"/>
    <w:rsid w:val="004C7366"/>
    <w:rsid w:val="004C7403"/>
    <w:rsid w:val="004C7586"/>
    <w:rsid w:val="004C76A9"/>
    <w:rsid w:val="004C770F"/>
    <w:rsid w:val="004C77DB"/>
    <w:rsid w:val="004C7841"/>
    <w:rsid w:val="004C7A5E"/>
    <w:rsid w:val="004C7A70"/>
    <w:rsid w:val="004C7B76"/>
    <w:rsid w:val="004C7C49"/>
    <w:rsid w:val="004C7F8E"/>
    <w:rsid w:val="004D0002"/>
    <w:rsid w:val="004D0163"/>
    <w:rsid w:val="004D02F3"/>
    <w:rsid w:val="004D0331"/>
    <w:rsid w:val="004D060B"/>
    <w:rsid w:val="004D0764"/>
    <w:rsid w:val="004D0804"/>
    <w:rsid w:val="004D0AF0"/>
    <w:rsid w:val="004D0C23"/>
    <w:rsid w:val="004D0C5D"/>
    <w:rsid w:val="004D0C7C"/>
    <w:rsid w:val="004D0D70"/>
    <w:rsid w:val="004D0EE5"/>
    <w:rsid w:val="004D0F81"/>
    <w:rsid w:val="004D1055"/>
    <w:rsid w:val="004D107B"/>
    <w:rsid w:val="004D108B"/>
    <w:rsid w:val="004D11E1"/>
    <w:rsid w:val="004D136E"/>
    <w:rsid w:val="004D140A"/>
    <w:rsid w:val="004D16E0"/>
    <w:rsid w:val="004D180E"/>
    <w:rsid w:val="004D1820"/>
    <w:rsid w:val="004D193E"/>
    <w:rsid w:val="004D1941"/>
    <w:rsid w:val="004D1AD2"/>
    <w:rsid w:val="004D1C05"/>
    <w:rsid w:val="004D1C56"/>
    <w:rsid w:val="004D1E45"/>
    <w:rsid w:val="004D1F2F"/>
    <w:rsid w:val="004D1F4E"/>
    <w:rsid w:val="004D1F7F"/>
    <w:rsid w:val="004D2026"/>
    <w:rsid w:val="004D20BD"/>
    <w:rsid w:val="004D2296"/>
    <w:rsid w:val="004D230E"/>
    <w:rsid w:val="004D238A"/>
    <w:rsid w:val="004D23A5"/>
    <w:rsid w:val="004D23D5"/>
    <w:rsid w:val="004D25A1"/>
    <w:rsid w:val="004D25AE"/>
    <w:rsid w:val="004D2745"/>
    <w:rsid w:val="004D2AB8"/>
    <w:rsid w:val="004D2B84"/>
    <w:rsid w:val="004D2D6B"/>
    <w:rsid w:val="004D301D"/>
    <w:rsid w:val="004D3043"/>
    <w:rsid w:val="004D314A"/>
    <w:rsid w:val="004D31D0"/>
    <w:rsid w:val="004D3316"/>
    <w:rsid w:val="004D3377"/>
    <w:rsid w:val="004D3873"/>
    <w:rsid w:val="004D3CF6"/>
    <w:rsid w:val="004D3D5D"/>
    <w:rsid w:val="004D3F49"/>
    <w:rsid w:val="004D3F72"/>
    <w:rsid w:val="004D4207"/>
    <w:rsid w:val="004D4557"/>
    <w:rsid w:val="004D4CA0"/>
    <w:rsid w:val="004D4DBD"/>
    <w:rsid w:val="004D4FB5"/>
    <w:rsid w:val="004D50FA"/>
    <w:rsid w:val="004D5154"/>
    <w:rsid w:val="004D537D"/>
    <w:rsid w:val="004D54B5"/>
    <w:rsid w:val="004D54EF"/>
    <w:rsid w:val="004D54F9"/>
    <w:rsid w:val="004D55CE"/>
    <w:rsid w:val="004D5646"/>
    <w:rsid w:val="004D5695"/>
    <w:rsid w:val="004D58DC"/>
    <w:rsid w:val="004D5CD4"/>
    <w:rsid w:val="004D5E7B"/>
    <w:rsid w:val="004D5E9C"/>
    <w:rsid w:val="004D607A"/>
    <w:rsid w:val="004D60A7"/>
    <w:rsid w:val="004D60DD"/>
    <w:rsid w:val="004D61DF"/>
    <w:rsid w:val="004D62E7"/>
    <w:rsid w:val="004D65B1"/>
    <w:rsid w:val="004D663D"/>
    <w:rsid w:val="004D6769"/>
    <w:rsid w:val="004D680B"/>
    <w:rsid w:val="004D68A3"/>
    <w:rsid w:val="004D6AC0"/>
    <w:rsid w:val="004D6CDE"/>
    <w:rsid w:val="004D6EC2"/>
    <w:rsid w:val="004D6F8A"/>
    <w:rsid w:val="004D716D"/>
    <w:rsid w:val="004D722B"/>
    <w:rsid w:val="004D7311"/>
    <w:rsid w:val="004D7409"/>
    <w:rsid w:val="004D7418"/>
    <w:rsid w:val="004D741D"/>
    <w:rsid w:val="004D7614"/>
    <w:rsid w:val="004D774E"/>
    <w:rsid w:val="004D780D"/>
    <w:rsid w:val="004D7A0B"/>
    <w:rsid w:val="004D7A0D"/>
    <w:rsid w:val="004D7CCB"/>
    <w:rsid w:val="004D7EB5"/>
    <w:rsid w:val="004D7FC4"/>
    <w:rsid w:val="004E002A"/>
    <w:rsid w:val="004E036E"/>
    <w:rsid w:val="004E0495"/>
    <w:rsid w:val="004E054B"/>
    <w:rsid w:val="004E064C"/>
    <w:rsid w:val="004E09AD"/>
    <w:rsid w:val="004E0A76"/>
    <w:rsid w:val="004E0B76"/>
    <w:rsid w:val="004E0DA5"/>
    <w:rsid w:val="004E0F0A"/>
    <w:rsid w:val="004E0F10"/>
    <w:rsid w:val="004E1062"/>
    <w:rsid w:val="004E1245"/>
    <w:rsid w:val="004E1283"/>
    <w:rsid w:val="004E13C1"/>
    <w:rsid w:val="004E156D"/>
    <w:rsid w:val="004E163A"/>
    <w:rsid w:val="004E1A22"/>
    <w:rsid w:val="004E1A82"/>
    <w:rsid w:val="004E1C7D"/>
    <w:rsid w:val="004E1CB4"/>
    <w:rsid w:val="004E1CB6"/>
    <w:rsid w:val="004E25C1"/>
    <w:rsid w:val="004E271E"/>
    <w:rsid w:val="004E2E9E"/>
    <w:rsid w:val="004E2EE6"/>
    <w:rsid w:val="004E2EFB"/>
    <w:rsid w:val="004E304B"/>
    <w:rsid w:val="004E3095"/>
    <w:rsid w:val="004E3115"/>
    <w:rsid w:val="004E320C"/>
    <w:rsid w:val="004E3235"/>
    <w:rsid w:val="004E3513"/>
    <w:rsid w:val="004E36E7"/>
    <w:rsid w:val="004E372E"/>
    <w:rsid w:val="004E3772"/>
    <w:rsid w:val="004E3947"/>
    <w:rsid w:val="004E3A19"/>
    <w:rsid w:val="004E3A38"/>
    <w:rsid w:val="004E3B12"/>
    <w:rsid w:val="004E3B23"/>
    <w:rsid w:val="004E3BA3"/>
    <w:rsid w:val="004E3C1E"/>
    <w:rsid w:val="004E3CBF"/>
    <w:rsid w:val="004E3D89"/>
    <w:rsid w:val="004E3EF7"/>
    <w:rsid w:val="004E3FB7"/>
    <w:rsid w:val="004E4053"/>
    <w:rsid w:val="004E40A9"/>
    <w:rsid w:val="004E4233"/>
    <w:rsid w:val="004E4292"/>
    <w:rsid w:val="004E429F"/>
    <w:rsid w:val="004E4427"/>
    <w:rsid w:val="004E44D2"/>
    <w:rsid w:val="004E4565"/>
    <w:rsid w:val="004E4596"/>
    <w:rsid w:val="004E4671"/>
    <w:rsid w:val="004E4C3B"/>
    <w:rsid w:val="004E4CFB"/>
    <w:rsid w:val="004E4D06"/>
    <w:rsid w:val="004E4E27"/>
    <w:rsid w:val="004E4E2B"/>
    <w:rsid w:val="004E4EFA"/>
    <w:rsid w:val="004E5168"/>
    <w:rsid w:val="004E52A1"/>
    <w:rsid w:val="004E5340"/>
    <w:rsid w:val="004E53E3"/>
    <w:rsid w:val="004E53FD"/>
    <w:rsid w:val="004E59A4"/>
    <w:rsid w:val="004E59CB"/>
    <w:rsid w:val="004E5AB3"/>
    <w:rsid w:val="004E5D60"/>
    <w:rsid w:val="004E5DEE"/>
    <w:rsid w:val="004E5DF9"/>
    <w:rsid w:val="004E5F33"/>
    <w:rsid w:val="004E5F8C"/>
    <w:rsid w:val="004E60BA"/>
    <w:rsid w:val="004E60CC"/>
    <w:rsid w:val="004E6632"/>
    <w:rsid w:val="004E66FA"/>
    <w:rsid w:val="004E68B8"/>
    <w:rsid w:val="004E6924"/>
    <w:rsid w:val="004E69D6"/>
    <w:rsid w:val="004E6A20"/>
    <w:rsid w:val="004E6AC1"/>
    <w:rsid w:val="004E723C"/>
    <w:rsid w:val="004E7288"/>
    <w:rsid w:val="004E7342"/>
    <w:rsid w:val="004E7469"/>
    <w:rsid w:val="004E74BE"/>
    <w:rsid w:val="004E7732"/>
    <w:rsid w:val="004E775C"/>
    <w:rsid w:val="004E78C3"/>
    <w:rsid w:val="004E7A72"/>
    <w:rsid w:val="004E7A8F"/>
    <w:rsid w:val="004E7C06"/>
    <w:rsid w:val="004E7DA2"/>
    <w:rsid w:val="004E7DE9"/>
    <w:rsid w:val="004F0094"/>
    <w:rsid w:val="004F02EF"/>
    <w:rsid w:val="004F0413"/>
    <w:rsid w:val="004F04E2"/>
    <w:rsid w:val="004F0583"/>
    <w:rsid w:val="004F0774"/>
    <w:rsid w:val="004F07F6"/>
    <w:rsid w:val="004F07FE"/>
    <w:rsid w:val="004F09B1"/>
    <w:rsid w:val="004F0AEE"/>
    <w:rsid w:val="004F0CBF"/>
    <w:rsid w:val="004F0D0D"/>
    <w:rsid w:val="004F0DFA"/>
    <w:rsid w:val="004F0E1F"/>
    <w:rsid w:val="004F0EDD"/>
    <w:rsid w:val="004F0EF4"/>
    <w:rsid w:val="004F110A"/>
    <w:rsid w:val="004F1198"/>
    <w:rsid w:val="004F126B"/>
    <w:rsid w:val="004F13A7"/>
    <w:rsid w:val="004F1401"/>
    <w:rsid w:val="004F162C"/>
    <w:rsid w:val="004F16E7"/>
    <w:rsid w:val="004F17DA"/>
    <w:rsid w:val="004F180D"/>
    <w:rsid w:val="004F190B"/>
    <w:rsid w:val="004F1B1E"/>
    <w:rsid w:val="004F21B7"/>
    <w:rsid w:val="004F226C"/>
    <w:rsid w:val="004F23C0"/>
    <w:rsid w:val="004F257B"/>
    <w:rsid w:val="004F257F"/>
    <w:rsid w:val="004F262F"/>
    <w:rsid w:val="004F271F"/>
    <w:rsid w:val="004F2994"/>
    <w:rsid w:val="004F29BC"/>
    <w:rsid w:val="004F2A2B"/>
    <w:rsid w:val="004F2BF2"/>
    <w:rsid w:val="004F2CB8"/>
    <w:rsid w:val="004F2E41"/>
    <w:rsid w:val="004F2E72"/>
    <w:rsid w:val="004F2FB6"/>
    <w:rsid w:val="004F3016"/>
    <w:rsid w:val="004F302B"/>
    <w:rsid w:val="004F311B"/>
    <w:rsid w:val="004F3347"/>
    <w:rsid w:val="004F336E"/>
    <w:rsid w:val="004F3488"/>
    <w:rsid w:val="004F34FA"/>
    <w:rsid w:val="004F3543"/>
    <w:rsid w:val="004F3A3A"/>
    <w:rsid w:val="004F3B0F"/>
    <w:rsid w:val="004F3B33"/>
    <w:rsid w:val="004F3B6A"/>
    <w:rsid w:val="004F3F44"/>
    <w:rsid w:val="004F3F5B"/>
    <w:rsid w:val="004F4472"/>
    <w:rsid w:val="004F4597"/>
    <w:rsid w:val="004F47AA"/>
    <w:rsid w:val="004F4875"/>
    <w:rsid w:val="004F4A6F"/>
    <w:rsid w:val="004F4B69"/>
    <w:rsid w:val="004F4B84"/>
    <w:rsid w:val="004F4B95"/>
    <w:rsid w:val="004F4D5A"/>
    <w:rsid w:val="004F4E39"/>
    <w:rsid w:val="004F50D6"/>
    <w:rsid w:val="004F55B6"/>
    <w:rsid w:val="004F567E"/>
    <w:rsid w:val="004F58D2"/>
    <w:rsid w:val="004F597D"/>
    <w:rsid w:val="004F59F2"/>
    <w:rsid w:val="004F5B35"/>
    <w:rsid w:val="004F5B40"/>
    <w:rsid w:val="004F5B84"/>
    <w:rsid w:val="004F5C26"/>
    <w:rsid w:val="004F5D2A"/>
    <w:rsid w:val="004F5E9A"/>
    <w:rsid w:val="004F6148"/>
    <w:rsid w:val="004F61AD"/>
    <w:rsid w:val="004F6488"/>
    <w:rsid w:val="004F671A"/>
    <w:rsid w:val="004F687C"/>
    <w:rsid w:val="004F6886"/>
    <w:rsid w:val="004F690B"/>
    <w:rsid w:val="004F6A0A"/>
    <w:rsid w:val="004F6B08"/>
    <w:rsid w:val="004F6B6A"/>
    <w:rsid w:val="004F6BBF"/>
    <w:rsid w:val="004F6C28"/>
    <w:rsid w:val="004F6D03"/>
    <w:rsid w:val="004F6FC9"/>
    <w:rsid w:val="004F7066"/>
    <w:rsid w:val="004F7101"/>
    <w:rsid w:val="004F7129"/>
    <w:rsid w:val="004F73B2"/>
    <w:rsid w:val="004F741F"/>
    <w:rsid w:val="004F745A"/>
    <w:rsid w:val="004F7651"/>
    <w:rsid w:val="004F7849"/>
    <w:rsid w:val="004F7B87"/>
    <w:rsid w:val="004F7BDC"/>
    <w:rsid w:val="004F7D7A"/>
    <w:rsid w:val="00500264"/>
    <w:rsid w:val="005002E4"/>
    <w:rsid w:val="00500446"/>
    <w:rsid w:val="00500545"/>
    <w:rsid w:val="0050057F"/>
    <w:rsid w:val="005005AF"/>
    <w:rsid w:val="0050067C"/>
    <w:rsid w:val="00500E51"/>
    <w:rsid w:val="00500ECB"/>
    <w:rsid w:val="00500F48"/>
    <w:rsid w:val="0050101B"/>
    <w:rsid w:val="00501174"/>
    <w:rsid w:val="00501301"/>
    <w:rsid w:val="005013A4"/>
    <w:rsid w:val="00501430"/>
    <w:rsid w:val="0050183A"/>
    <w:rsid w:val="0050183C"/>
    <w:rsid w:val="005018F5"/>
    <w:rsid w:val="00501932"/>
    <w:rsid w:val="00501A5E"/>
    <w:rsid w:val="00501B7C"/>
    <w:rsid w:val="00501DF2"/>
    <w:rsid w:val="00501E35"/>
    <w:rsid w:val="00501FD3"/>
    <w:rsid w:val="0050205B"/>
    <w:rsid w:val="005020B7"/>
    <w:rsid w:val="00502116"/>
    <w:rsid w:val="0050218C"/>
    <w:rsid w:val="005024B9"/>
    <w:rsid w:val="0050261B"/>
    <w:rsid w:val="00502753"/>
    <w:rsid w:val="005027D0"/>
    <w:rsid w:val="0050285A"/>
    <w:rsid w:val="00502C1A"/>
    <w:rsid w:val="00502C2A"/>
    <w:rsid w:val="00502DA5"/>
    <w:rsid w:val="00502DF1"/>
    <w:rsid w:val="00502E35"/>
    <w:rsid w:val="00502F39"/>
    <w:rsid w:val="0050307A"/>
    <w:rsid w:val="0050315E"/>
    <w:rsid w:val="00503196"/>
    <w:rsid w:val="00503451"/>
    <w:rsid w:val="005034C9"/>
    <w:rsid w:val="005036F8"/>
    <w:rsid w:val="00503821"/>
    <w:rsid w:val="00503AF7"/>
    <w:rsid w:val="00503EA6"/>
    <w:rsid w:val="005044BE"/>
    <w:rsid w:val="00504552"/>
    <w:rsid w:val="00504633"/>
    <w:rsid w:val="00504984"/>
    <w:rsid w:val="00504997"/>
    <w:rsid w:val="00504EA5"/>
    <w:rsid w:val="00504EDC"/>
    <w:rsid w:val="00504EF6"/>
    <w:rsid w:val="00505098"/>
    <w:rsid w:val="005050D8"/>
    <w:rsid w:val="0050522B"/>
    <w:rsid w:val="00505243"/>
    <w:rsid w:val="0050539A"/>
    <w:rsid w:val="005053C0"/>
    <w:rsid w:val="005053D0"/>
    <w:rsid w:val="00505432"/>
    <w:rsid w:val="0050544A"/>
    <w:rsid w:val="00505473"/>
    <w:rsid w:val="005054A4"/>
    <w:rsid w:val="005054B6"/>
    <w:rsid w:val="00505784"/>
    <w:rsid w:val="005058AC"/>
    <w:rsid w:val="00505915"/>
    <w:rsid w:val="00505949"/>
    <w:rsid w:val="005059AA"/>
    <w:rsid w:val="00505BC0"/>
    <w:rsid w:val="00505F54"/>
    <w:rsid w:val="005060C2"/>
    <w:rsid w:val="00506142"/>
    <w:rsid w:val="00506261"/>
    <w:rsid w:val="00506288"/>
    <w:rsid w:val="005062FA"/>
    <w:rsid w:val="0050638B"/>
    <w:rsid w:val="005066B1"/>
    <w:rsid w:val="005067B7"/>
    <w:rsid w:val="0050692D"/>
    <w:rsid w:val="0050697D"/>
    <w:rsid w:val="00506E27"/>
    <w:rsid w:val="00506E32"/>
    <w:rsid w:val="00506ECA"/>
    <w:rsid w:val="00507004"/>
    <w:rsid w:val="0050701B"/>
    <w:rsid w:val="005070B5"/>
    <w:rsid w:val="00507139"/>
    <w:rsid w:val="005071DA"/>
    <w:rsid w:val="00507449"/>
    <w:rsid w:val="00507695"/>
    <w:rsid w:val="00507822"/>
    <w:rsid w:val="00507899"/>
    <w:rsid w:val="00507A43"/>
    <w:rsid w:val="00507B7C"/>
    <w:rsid w:val="00507D3E"/>
    <w:rsid w:val="00507E0B"/>
    <w:rsid w:val="00510210"/>
    <w:rsid w:val="00510438"/>
    <w:rsid w:val="00510801"/>
    <w:rsid w:val="00510A16"/>
    <w:rsid w:val="00510B08"/>
    <w:rsid w:val="00510BD7"/>
    <w:rsid w:val="00510BF7"/>
    <w:rsid w:val="00510D07"/>
    <w:rsid w:val="005110AD"/>
    <w:rsid w:val="0051114D"/>
    <w:rsid w:val="00511280"/>
    <w:rsid w:val="0051131B"/>
    <w:rsid w:val="00511509"/>
    <w:rsid w:val="00511764"/>
    <w:rsid w:val="005117CA"/>
    <w:rsid w:val="00511A0C"/>
    <w:rsid w:val="00511AC6"/>
    <w:rsid w:val="00511B7A"/>
    <w:rsid w:val="00511C55"/>
    <w:rsid w:val="00511DEA"/>
    <w:rsid w:val="0051207D"/>
    <w:rsid w:val="005121EE"/>
    <w:rsid w:val="0051224D"/>
    <w:rsid w:val="005123D3"/>
    <w:rsid w:val="0051240C"/>
    <w:rsid w:val="00512561"/>
    <w:rsid w:val="005126ED"/>
    <w:rsid w:val="005127CE"/>
    <w:rsid w:val="0051298C"/>
    <w:rsid w:val="00512B89"/>
    <w:rsid w:val="00512CA8"/>
    <w:rsid w:val="00512D38"/>
    <w:rsid w:val="00513527"/>
    <w:rsid w:val="005135AA"/>
    <w:rsid w:val="0051363E"/>
    <w:rsid w:val="005136B5"/>
    <w:rsid w:val="005137EA"/>
    <w:rsid w:val="005137F2"/>
    <w:rsid w:val="0051383E"/>
    <w:rsid w:val="005138D6"/>
    <w:rsid w:val="0051394D"/>
    <w:rsid w:val="00513A4E"/>
    <w:rsid w:val="00513AC7"/>
    <w:rsid w:val="00513C1D"/>
    <w:rsid w:val="00513C95"/>
    <w:rsid w:val="00513CD2"/>
    <w:rsid w:val="00513E18"/>
    <w:rsid w:val="00513ED1"/>
    <w:rsid w:val="00513FB2"/>
    <w:rsid w:val="00514053"/>
    <w:rsid w:val="005140AE"/>
    <w:rsid w:val="005140FD"/>
    <w:rsid w:val="00514135"/>
    <w:rsid w:val="0051418D"/>
    <w:rsid w:val="0051437F"/>
    <w:rsid w:val="00514396"/>
    <w:rsid w:val="0051441D"/>
    <w:rsid w:val="005144EC"/>
    <w:rsid w:val="00514622"/>
    <w:rsid w:val="00514770"/>
    <w:rsid w:val="005147F3"/>
    <w:rsid w:val="005147FB"/>
    <w:rsid w:val="0051483C"/>
    <w:rsid w:val="00514B5F"/>
    <w:rsid w:val="00514C39"/>
    <w:rsid w:val="00514DCB"/>
    <w:rsid w:val="00514DCF"/>
    <w:rsid w:val="00514F1A"/>
    <w:rsid w:val="00514F84"/>
    <w:rsid w:val="00514F99"/>
    <w:rsid w:val="00515005"/>
    <w:rsid w:val="0051501E"/>
    <w:rsid w:val="005150A2"/>
    <w:rsid w:val="00515115"/>
    <w:rsid w:val="00515189"/>
    <w:rsid w:val="00515237"/>
    <w:rsid w:val="00515274"/>
    <w:rsid w:val="005152BD"/>
    <w:rsid w:val="00515324"/>
    <w:rsid w:val="00515393"/>
    <w:rsid w:val="00515432"/>
    <w:rsid w:val="00515450"/>
    <w:rsid w:val="00515460"/>
    <w:rsid w:val="005154F5"/>
    <w:rsid w:val="00515546"/>
    <w:rsid w:val="0051554F"/>
    <w:rsid w:val="005155F0"/>
    <w:rsid w:val="005156A6"/>
    <w:rsid w:val="005158D6"/>
    <w:rsid w:val="00515A1A"/>
    <w:rsid w:val="00515E75"/>
    <w:rsid w:val="00516133"/>
    <w:rsid w:val="00516280"/>
    <w:rsid w:val="00516399"/>
    <w:rsid w:val="00516473"/>
    <w:rsid w:val="0051657A"/>
    <w:rsid w:val="005165AA"/>
    <w:rsid w:val="00516790"/>
    <w:rsid w:val="00516882"/>
    <w:rsid w:val="00516BAB"/>
    <w:rsid w:val="00516C32"/>
    <w:rsid w:val="00516C4C"/>
    <w:rsid w:val="00516C98"/>
    <w:rsid w:val="00516D2E"/>
    <w:rsid w:val="00516D80"/>
    <w:rsid w:val="00516D91"/>
    <w:rsid w:val="00516DD1"/>
    <w:rsid w:val="00516DD2"/>
    <w:rsid w:val="00516EA9"/>
    <w:rsid w:val="00516EB4"/>
    <w:rsid w:val="00516F2D"/>
    <w:rsid w:val="00517002"/>
    <w:rsid w:val="005171A5"/>
    <w:rsid w:val="00517300"/>
    <w:rsid w:val="00517483"/>
    <w:rsid w:val="00517510"/>
    <w:rsid w:val="00517772"/>
    <w:rsid w:val="005177AC"/>
    <w:rsid w:val="00517988"/>
    <w:rsid w:val="0051798C"/>
    <w:rsid w:val="005179EF"/>
    <w:rsid w:val="00517B59"/>
    <w:rsid w:val="00517B97"/>
    <w:rsid w:val="00517D09"/>
    <w:rsid w:val="00517E97"/>
    <w:rsid w:val="00517EC1"/>
    <w:rsid w:val="00517F19"/>
    <w:rsid w:val="00520024"/>
    <w:rsid w:val="00520272"/>
    <w:rsid w:val="005203B1"/>
    <w:rsid w:val="0052044C"/>
    <w:rsid w:val="005205CD"/>
    <w:rsid w:val="0052063D"/>
    <w:rsid w:val="00520654"/>
    <w:rsid w:val="005207EC"/>
    <w:rsid w:val="00520826"/>
    <w:rsid w:val="005209D5"/>
    <w:rsid w:val="005209EA"/>
    <w:rsid w:val="00520A56"/>
    <w:rsid w:val="00520B7A"/>
    <w:rsid w:val="00520DB9"/>
    <w:rsid w:val="00520F2A"/>
    <w:rsid w:val="00520F98"/>
    <w:rsid w:val="0052101C"/>
    <w:rsid w:val="00521115"/>
    <w:rsid w:val="0052182C"/>
    <w:rsid w:val="00521858"/>
    <w:rsid w:val="00521D9A"/>
    <w:rsid w:val="00521F3D"/>
    <w:rsid w:val="00521F95"/>
    <w:rsid w:val="00522009"/>
    <w:rsid w:val="005220FC"/>
    <w:rsid w:val="00522250"/>
    <w:rsid w:val="005222BD"/>
    <w:rsid w:val="005222E4"/>
    <w:rsid w:val="005226C6"/>
    <w:rsid w:val="00522773"/>
    <w:rsid w:val="0052284E"/>
    <w:rsid w:val="00522852"/>
    <w:rsid w:val="0052287F"/>
    <w:rsid w:val="00522A37"/>
    <w:rsid w:val="00522B00"/>
    <w:rsid w:val="00522C83"/>
    <w:rsid w:val="00522DD6"/>
    <w:rsid w:val="00522E82"/>
    <w:rsid w:val="00522EAC"/>
    <w:rsid w:val="00522EB6"/>
    <w:rsid w:val="0052342E"/>
    <w:rsid w:val="005234AE"/>
    <w:rsid w:val="005234FB"/>
    <w:rsid w:val="005236DB"/>
    <w:rsid w:val="005237A4"/>
    <w:rsid w:val="005239D9"/>
    <w:rsid w:val="00523A74"/>
    <w:rsid w:val="00523AAF"/>
    <w:rsid w:val="00523BBB"/>
    <w:rsid w:val="00523D0A"/>
    <w:rsid w:val="00523E81"/>
    <w:rsid w:val="005240EC"/>
    <w:rsid w:val="00524107"/>
    <w:rsid w:val="005241D9"/>
    <w:rsid w:val="005242EE"/>
    <w:rsid w:val="00524599"/>
    <w:rsid w:val="005247B5"/>
    <w:rsid w:val="00524A1E"/>
    <w:rsid w:val="00524ABD"/>
    <w:rsid w:val="00524AFD"/>
    <w:rsid w:val="00524B05"/>
    <w:rsid w:val="00524C95"/>
    <w:rsid w:val="00524D19"/>
    <w:rsid w:val="00524E32"/>
    <w:rsid w:val="00524E34"/>
    <w:rsid w:val="005251E5"/>
    <w:rsid w:val="005251F0"/>
    <w:rsid w:val="00525403"/>
    <w:rsid w:val="005254B3"/>
    <w:rsid w:val="005255D9"/>
    <w:rsid w:val="00525749"/>
    <w:rsid w:val="005257BE"/>
    <w:rsid w:val="00525947"/>
    <w:rsid w:val="00525A4F"/>
    <w:rsid w:val="00525A56"/>
    <w:rsid w:val="00525AD2"/>
    <w:rsid w:val="00525B4E"/>
    <w:rsid w:val="00525D50"/>
    <w:rsid w:val="00525EF7"/>
    <w:rsid w:val="00525FED"/>
    <w:rsid w:val="00526120"/>
    <w:rsid w:val="0052626A"/>
    <w:rsid w:val="0052643F"/>
    <w:rsid w:val="0052646E"/>
    <w:rsid w:val="00526605"/>
    <w:rsid w:val="005267D6"/>
    <w:rsid w:val="0052686D"/>
    <w:rsid w:val="00526B98"/>
    <w:rsid w:val="00526D96"/>
    <w:rsid w:val="005272FC"/>
    <w:rsid w:val="00527429"/>
    <w:rsid w:val="0052745D"/>
    <w:rsid w:val="00527649"/>
    <w:rsid w:val="00527668"/>
    <w:rsid w:val="0052777C"/>
    <w:rsid w:val="005277AD"/>
    <w:rsid w:val="00527A55"/>
    <w:rsid w:val="00527B82"/>
    <w:rsid w:val="00527F9D"/>
    <w:rsid w:val="00530053"/>
    <w:rsid w:val="005301D4"/>
    <w:rsid w:val="0053022F"/>
    <w:rsid w:val="005303B2"/>
    <w:rsid w:val="00530442"/>
    <w:rsid w:val="00530504"/>
    <w:rsid w:val="0053058C"/>
    <w:rsid w:val="00530631"/>
    <w:rsid w:val="00530642"/>
    <w:rsid w:val="005306DA"/>
    <w:rsid w:val="00530971"/>
    <w:rsid w:val="00530A1D"/>
    <w:rsid w:val="00530B43"/>
    <w:rsid w:val="00530FC8"/>
    <w:rsid w:val="00531089"/>
    <w:rsid w:val="00531446"/>
    <w:rsid w:val="00531757"/>
    <w:rsid w:val="00531808"/>
    <w:rsid w:val="00531B03"/>
    <w:rsid w:val="00531D15"/>
    <w:rsid w:val="00531D36"/>
    <w:rsid w:val="00532047"/>
    <w:rsid w:val="005320A9"/>
    <w:rsid w:val="005321BA"/>
    <w:rsid w:val="005321FC"/>
    <w:rsid w:val="005322BD"/>
    <w:rsid w:val="005323DE"/>
    <w:rsid w:val="00532425"/>
    <w:rsid w:val="00532624"/>
    <w:rsid w:val="00532A1E"/>
    <w:rsid w:val="00532B6B"/>
    <w:rsid w:val="00532F44"/>
    <w:rsid w:val="00532F73"/>
    <w:rsid w:val="00533009"/>
    <w:rsid w:val="0053339F"/>
    <w:rsid w:val="005335D6"/>
    <w:rsid w:val="005336DF"/>
    <w:rsid w:val="00533715"/>
    <w:rsid w:val="005337B4"/>
    <w:rsid w:val="005337C7"/>
    <w:rsid w:val="00533848"/>
    <w:rsid w:val="00533A14"/>
    <w:rsid w:val="00533A78"/>
    <w:rsid w:val="00533B1C"/>
    <w:rsid w:val="00533BD6"/>
    <w:rsid w:val="00533C04"/>
    <w:rsid w:val="00533C4F"/>
    <w:rsid w:val="00533CA8"/>
    <w:rsid w:val="00533D26"/>
    <w:rsid w:val="00533D3C"/>
    <w:rsid w:val="00533EE1"/>
    <w:rsid w:val="005340AD"/>
    <w:rsid w:val="0053474A"/>
    <w:rsid w:val="00534A22"/>
    <w:rsid w:val="00534B46"/>
    <w:rsid w:val="00534B5F"/>
    <w:rsid w:val="00534BF1"/>
    <w:rsid w:val="00534CB9"/>
    <w:rsid w:val="00534F93"/>
    <w:rsid w:val="00534FF4"/>
    <w:rsid w:val="005352B8"/>
    <w:rsid w:val="00535332"/>
    <w:rsid w:val="005353BC"/>
    <w:rsid w:val="0053556A"/>
    <w:rsid w:val="00535696"/>
    <w:rsid w:val="0053579E"/>
    <w:rsid w:val="005358AB"/>
    <w:rsid w:val="00535A9C"/>
    <w:rsid w:val="00535AE7"/>
    <w:rsid w:val="00535E74"/>
    <w:rsid w:val="00535E85"/>
    <w:rsid w:val="00535F7A"/>
    <w:rsid w:val="00535F8F"/>
    <w:rsid w:val="00535F99"/>
    <w:rsid w:val="00536280"/>
    <w:rsid w:val="005362D5"/>
    <w:rsid w:val="005362DC"/>
    <w:rsid w:val="00536585"/>
    <w:rsid w:val="00536644"/>
    <w:rsid w:val="00536765"/>
    <w:rsid w:val="005368BA"/>
    <w:rsid w:val="00536ECC"/>
    <w:rsid w:val="0053714E"/>
    <w:rsid w:val="00537348"/>
    <w:rsid w:val="005375B4"/>
    <w:rsid w:val="00537624"/>
    <w:rsid w:val="005376D9"/>
    <w:rsid w:val="005376E0"/>
    <w:rsid w:val="005376E5"/>
    <w:rsid w:val="00537922"/>
    <w:rsid w:val="005379E4"/>
    <w:rsid w:val="00537CB6"/>
    <w:rsid w:val="00537CD7"/>
    <w:rsid w:val="00537E2A"/>
    <w:rsid w:val="00537E7F"/>
    <w:rsid w:val="00537E8D"/>
    <w:rsid w:val="00537F50"/>
    <w:rsid w:val="005400D4"/>
    <w:rsid w:val="005402DF"/>
    <w:rsid w:val="005403DE"/>
    <w:rsid w:val="00540515"/>
    <w:rsid w:val="00540732"/>
    <w:rsid w:val="00540760"/>
    <w:rsid w:val="005408EA"/>
    <w:rsid w:val="00540ADB"/>
    <w:rsid w:val="00540B57"/>
    <w:rsid w:val="00540C82"/>
    <w:rsid w:val="00540D4A"/>
    <w:rsid w:val="00540E85"/>
    <w:rsid w:val="00540FFC"/>
    <w:rsid w:val="005413A2"/>
    <w:rsid w:val="005413AE"/>
    <w:rsid w:val="005413CB"/>
    <w:rsid w:val="00541785"/>
    <w:rsid w:val="00541946"/>
    <w:rsid w:val="00541950"/>
    <w:rsid w:val="00541E5F"/>
    <w:rsid w:val="00541FB6"/>
    <w:rsid w:val="0054203D"/>
    <w:rsid w:val="00542170"/>
    <w:rsid w:val="00542196"/>
    <w:rsid w:val="005422F2"/>
    <w:rsid w:val="0054239F"/>
    <w:rsid w:val="00542408"/>
    <w:rsid w:val="0054242E"/>
    <w:rsid w:val="00542569"/>
    <w:rsid w:val="00542747"/>
    <w:rsid w:val="005429E6"/>
    <w:rsid w:val="005430A1"/>
    <w:rsid w:val="0054339E"/>
    <w:rsid w:val="0054345A"/>
    <w:rsid w:val="005434AD"/>
    <w:rsid w:val="0054375E"/>
    <w:rsid w:val="00543770"/>
    <w:rsid w:val="005437F9"/>
    <w:rsid w:val="00543A5F"/>
    <w:rsid w:val="00543C03"/>
    <w:rsid w:val="00543D0A"/>
    <w:rsid w:val="005440A6"/>
    <w:rsid w:val="00544289"/>
    <w:rsid w:val="0054433F"/>
    <w:rsid w:val="005443E8"/>
    <w:rsid w:val="005446E0"/>
    <w:rsid w:val="00544722"/>
    <w:rsid w:val="00544781"/>
    <w:rsid w:val="00544828"/>
    <w:rsid w:val="00544838"/>
    <w:rsid w:val="00544A2C"/>
    <w:rsid w:val="00544A44"/>
    <w:rsid w:val="00544A45"/>
    <w:rsid w:val="00544CC5"/>
    <w:rsid w:val="00544D9D"/>
    <w:rsid w:val="005450AD"/>
    <w:rsid w:val="00545113"/>
    <w:rsid w:val="00545132"/>
    <w:rsid w:val="0054523B"/>
    <w:rsid w:val="005452BF"/>
    <w:rsid w:val="005452EE"/>
    <w:rsid w:val="00545391"/>
    <w:rsid w:val="00545454"/>
    <w:rsid w:val="00545569"/>
    <w:rsid w:val="005455A8"/>
    <w:rsid w:val="005456FD"/>
    <w:rsid w:val="005457DD"/>
    <w:rsid w:val="00545859"/>
    <w:rsid w:val="0054599A"/>
    <w:rsid w:val="00545B55"/>
    <w:rsid w:val="00545C8C"/>
    <w:rsid w:val="00545D56"/>
    <w:rsid w:val="00545D9D"/>
    <w:rsid w:val="00545E8B"/>
    <w:rsid w:val="00545F23"/>
    <w:rsid w:val="00545FE7"/>
    <w:rsid w:val="005460E0"/>
    <w:rsid w:val="00546203"/>
    <w:rsid w:val="005462BB"/>
    <w:rsid w:val="005462D6"/>
    <w:rsid w:val="0054636B"/>
    <w:rsid w:val="0054639F"/>
    <w:rsid w:val="00546460"/>
    <w:rsid w:val="005466D8"/>
    <w:rsid w:val="00546CD7"/>
    <w:rsid w:val="00546E2C"/>
    <w:rsid w:val="00546F58"/>
    <w:rsid w:val="00546F75"/>
    <w:rsid w:val="00546F95"/>
    <w:rsid w:val="005472D8"/>
    <w:rsid w:val="005478F0"/>
    <w:rsid w:val="00547985"/>
    <w:rsid w:val="00547AD8"/>
    <w:rsid w:val="00547C07"/>
    <w:rsid w:val="00547D47"/>
    <w:rsid w:val="00547EAD"/>
    <w:rsid w:val="00550118"/>
    <w:rsid w:val="00550428"/>
    <w:rsid w:val="00550521"/>
    <w:rsid w:val="00550B53"/>
    <w:rsid w:val="00550C4D"/>
    <w:rsid w:val="00551032"/>
    <w:rsid w:val="00551063"/>
    <w:rsid w:val="005510DD"/>
    <w:rsid w:val="00551230"/>
    <w:rsid w:val="00551308"/>
    <w:rsid w:val="0055136F"/>
    <w:rsid w:val="00551490"/>
    <w:rsid w:val="0055153F"/>
    <w:rsid w:val="0055155A"/>
    <w:rsid w:val="005515BF"/>
    <w:rsid w:val="0055162F"/>
    <w:rsid w:val="005517C0"/>
    <w:rsid w:val="00551A21"/>
    <w:rsid w:val="00551A46"/>
    <w:rsid w:val="00551B19"/>
    <w:rsid w:val="00551C84"/>
    <w:rsid w:val="00551F1D"/>
    <w:rsid w:val="00551FBA"/>
    <w:rsid w:val="00551FF2"/>
    <w:rsid w:val="0055200E"/>
    <w:rsid w:val="00552087"/>
    <w:rsid w:val="005524F2"/>
    <w:rsid w:val="005529DB"/>
    <w:rsid w:val="00552C52"/>
    <w:rsid w:val="00552F95"/>
    <w:rsid w:val="00552FE8"/>
    <w:rsid w:val="00552FF3"/>
    <w:rsid w:val="0055303D"/>
    <w:rsid w:val="005531B1"/>
    <w:rsid w:val="00553246"/>
    <w:rsid w:val="00553344"/>
    <w:rsid w:val="005534A6"/>
    <w:rsid w:val="005534DF"/>
    <w:rsid w:val="00553728"/>
    <w:rsid w:val="005537F3"/>
    <w:rsid w:val="005539CC"/>
    <w:rsid w:val="00553B39"/>
    <w:rsid w:val="00553B7F"/>
    <w:rsid w:val="00553FA7"/>
    <w:rsid w:val="0055407F"/>
    <w:rsid w:val="00554275"/>
    <w:rsid w:val="00554352"/>
    <w:rsid w:val="00554455"/>
    <w:rsid w:val="005545E5"/>
    <w:rsid w:val="005547DE"/>
    <w:rsid w:val="005548B9"/>
    <w:rsid w:val="005548C4"/>
    <w:rsid w:val="00554B55"/>
    <w:rsid w:val="00554B86"/>
    <w:rsid w:val="00554C47"/>
    <w:rsid w:val="00554C92"/>
    <w:rsid w:val="00554CCE"/>
    <w:rsid w:val="00554D83"/>
    <w:rsid w:val="00554D91"/>
    <w:rsid w:val="00554EB7"/>
    <w:rsid w:val="00554F4A"/>
    <w:rsid w:val="00554FCC"/>
    <w:rsid w:val="00555004"/>
    <w:rsid w:val="005550D0"/>
    <w:rsid w:val="00555185"/>
    <w:rsid w:val="0055535C"/>
    <w:rsid w:val="005554FE"/>
    <w:rsid w:val="005555A7"/>
    <w:rsid w:val="00555662"/>
    <w:rsid w:val="005557F3"/>
    <w:rsid w:val="0055580D"/>
    <w:rsid w:val="00555892"/>
    <w:rsid w:val="00555916"/>
    <w:rsid w:val="00555A8C"/>
    <w:rsid w:val="00555BC0"/>
    <w:rsid w:val="00555BCE"/>
    <w:rsid w:val="00555FEA"/>
    <w:rsid w:val="005560CA"/>
    <w:rsid w:val="00556179"/>
    <w:rsid w:val="00556306"/>
    <w:rsid w:val="00556368"/>
    <w:rsid w:val="0055638A"/>
    <w:rsid w:val="0055650B"/>
    <w:rsid w:val="00556534"/>
    <w:rsid w:val="00556633"/>
    <w:rsid w:val="005566BA"/>
    <w:rsid w:val="005567CB"/>
    <w:rsid w:val="00556D3C"/>
    <w:rsid w:val="00556F05"/>
    <w:rsid w:val="00556F89"/>
    <w:rsid w:val="005571EA"/>
    <w:rsid w:val="0055726E"/>
    <w:rsid w:val="0055745A"/>
    <w:rsid w:val="0055750C"/>
    <w:rsid w:val="00557543"/>
    <w:rsid w:val="005575E5"/>
    <w:rsid w:val="00557914"/>
    <w:rsid w:val="005579A1"/>
    <w:rsid w:val="00557A1A"/>
    <w:rsid w:val="00557A28"/>
    <w:rsid w:val="00557BFF"/>
    <w:rsid w:val="00557D78"/>
    <w:rsid w:val="00557E10"/>
    <w:rsid w:val="00557F41"/>
    <w:rsid w:val="00557F48"/>
    <w:rsid w:val="00557F84"/>
    <w:rsid w:val="00557FBB"/>
    <w:rsid w:val="00560098"/>
    <w:rsid w:val="005602B5"/>
    <w:rsid w:val="005603F8"/>
    <w:rsid w:val="0056052D"/>
    <w:rsid w:val="005605B5"/>
    <w:rsid w:val="005605B6"/>
    <w:rsid w:val="0056068C"/>
    <w:rsid w:val="0056096E"/>
    <w:rsid w:val="005609A1"/>
    <w:rsid w:val="00560A19"/>
    <w:rsid w:val="00560B1F"/>
    <w:rsid w:val="00560BCB"/>
    <w:rsid w:val="00560C19"/>
    <w:rsid w:val="00560DFD"/>
    <w:rsid w:val="00560EB6"/>
    <w:rsid w:val="00561287"/>
    <w:rsid w:val="005612B1"/>
    <w:rsid w:val="00561400"/>
    <w:rsid w:val="00561417"/>
    <w:rsid w:val="0056153D"/>
    <w:rsid w:val="00561BA5"/>
    <w:rsid w:val="00561BB4"/>
    <w:rsid w:val="00561D02"/>
    <w:rsid w:val="005620EC"/>
    <w:rsid w:val="00562193"/>
    <w:rsid w:val="00562354"/>
    <w:rsid w:val="0056247B"/>
    <w:rsid w:val="0056259F"/>
    <w:rsid w:val="005626EF"/>
    <w:rsid w:val="00562867"/>
    <w:rsid w:val="005629DE"/>
    <w:rsid w:val="00562A93"/>
    <w:rsid w:val="00562AB2"/>
    <w:rsid w:val="00562B78"/>
    <w:rsid w:val="00562BE8"/>
    <w:rsid w:val="00562D68"/>
    <w:rsid w:val="00562E33"/>
    <w:rsid w:val="00562ED3"/>
    <w:rsid w:val="00562F27"/>
    <w:rsid w:val="00562F31"/>
    <w:rsid w:val="005630AF"/>
    <w:rsid w:val="00563111"/>
    <w:rsid w:val="00563223"/>
    <w:rsid w:val="0056328B"/>
    <w:rsid w:val="0056330F"/>
    <w:rsid w:val="005633EE"/>
    <w:rsid w:val="0056359A"/>
    <w:rsid w:val="00563638"/>
    <w:rsid w:val="005636BD"/>
    <w:rsid w:val="0056376B"/>
    <w:rsid w:val="00563813"/>
    <w:rsid w:val="0056390A"/>
    <w:rsid w:val="00563A7D"/>
    <w:rsid w:val="00563A9C"/>
    <w:rsid w:val="00563B2F"/>
    <w:rsid w:val="00563B82"/>
    <w:rsid w:val="00563C35"/>
    <w:rsid w:val="00563CFB"/>
    <w:rsid w:val="00563D9D"/>
    <w:rsid w:val="00563DEB"/>
    <w:rsid w:val="00563F9F"/>
    <w:rsid w:val="005644F0"/>
    <w:rsid w:val="00564571"/>
    <w:rsid w:val="00564615"/>
    <w:rsid w:val="005647E4"/>
    <w:rsid w:val="005648CF"/>
    <w:rsid w:val="00564A4B"/>
    <w:rsid w:val="00564B61"/>
    <w:rsid w:val="00564C60"/>
    <w:rsid w:val="00564DEC"/>
    <w:rsid w:val="00564E9E"/>
    <w:rsid w:val="00564E9F"/>
    <w:rsid w:val="00564F93"/>
    <w:rsid w:val="00564FB1"/>
    <w:rsid w:val="005650B2"/>
    <w:rsid w:val="005650FC"/>
    <w:rsid w:val="00565232"/>
    <w:rsid w:val="00565295"/>
    <w:rsid w:val="00565302"/>
    <w:rsid w:val="00565415"/>
    <w:rsid w:val="00565697"/>
    <w:rsid w:val="005656E0"/>
    <w:rsid w:val="005657D2"/>
    <w:rsid w:val="00565963"/>
    <w:rsid w:val="005659E2"/>
    <w:rsid w:val="00565A93"/>
    <w:rsid w:val="00565AFC"/>
    <w:rsid w:val="00565C92"/>
    <w:rsid w:val="00565E0E"/>
    <w:rsid w:val="00565E12"/>
    <w:rsid w:val="00565EFC"/>
    <w:rsid w:val="00565FC3"/>
    <w:rsid w:val="00566104"/>
    <w:rsid w:val="00566241"/>
    <w:rsid w:val="005662A5"/>
    <w:rsid w:val="00566468"/>
    <w:rsid w:val="00566495"/>
    <w:rsid w:val="0056661E"/>
    <w:rsid w:val="005666A7"/>
    <w:rsid w:val="00566792"/>
    <w:rsid w:val="0056689B"/>
    <w:rsid w:val="005669FC"/>
    <w:rsid w:val="00566A8D"/>
    <w:rsid w:val="00567073"/>
    <w:rsid w:val="0056709C"/>
    <w:rsid w:val="00567317"/>
    <w:rsid w:val="0056737B"/>
    <w:rsid w:val="005674AD"/>
    <w:rsid w:val="0056764D"/>
    <w:rsid w:val="0056768C"/>
    <w:rsid w:val="00567988"/>
    <w:rsid w:val="00567A62"/>
    <w:rsid w:val="00567B68"/>
    <w:rsid w:val="00567BCF"/>
    <w:rsid w:val="00567BD8"/>
    <w:rsid w:val="00567C2A"/>
    <w:rsid w:val="00567EF8"/>
    <w:rsid w:val="00567FE1"/>
    <w:rsid w:val="00570117"/>
    <w:rsid w:val="0057014C"/>
    <w:rsid w:val="005704A0"/>
    <w:rsid w:val="00570573"/>
    <w:rsid w:val="005705FA"/>
    <w:rsid w:val="005707A6"/>
    <w:rsid w:val="005707EF"/>
    <w:rsid w:val="00570A62"/>
    <w:rsid w:val="00570DA5"/>
    <w:rsid w:val="00571291"/>
    <w:rsid w:val="0057130A"/>
    <w:rsid w:val="00571507"/>
    <w:rsid w:val="00571565"/>
    <w:rsid w:val="0057169F"/>
    <w:rsid w:val="005719CF"/>
    <w:rsid w:val="005719D3"/>
    <w:rsid w:val="00571A5E"/>
    <w:rsid w:val="00571C27"/>
    <w:rsid w:val="00571EF1"/>
    <w:rsid w:val="00571F39"/>
    <w:rsid w:val="00572150"/>
    <w:rsid w:val="0057221C"/>
    <w:rsid w:val="00572277"/>
    <w:rsid w:val="0057233A"/>
    <w:rsid w:val="005723BE"/>
    <w:rsid w:val="005727EA"/>
    <w:rsid w:val="00572833"/>
    <w:rsid w:val="00572957"/>
    <w:rsid w:val="005729F1"/>
    <w:rsid w:val="00572E7A"/>
    <w:rsid w:val="00572EF8"/>
    <w:rsid w:val="00573004"/>
    <w:rsid w:val="00573085"/>
    <w:rsid w:val="005730DD"/>
    <w:rsid w:val="005736E0"/>
    <w:rsid w:val="005737FC"/>
    <w:rsid w:val="00573898"/>
    <w:rsid w:val="00573AF3"/>
    <w:rsid w:val="00573C95"/>
    <w:rsid w:val="00573CB0"/>
    <w:rsid w:val="00573CBE"/>
    <w:rsid w:val="00573D80"/>
    <w:rsid w:val="00573FFC"/>
    <w:rsid w:val="00574100"/>
    <w:rsid w:val="005741A5"/>
    <w:rsid w:val="005742B2"/>
    <w:rsid w:val="005742C0"/>
    <w:rsid w:val="00574320"/>
    <w:rsid w:val="0057467D"/>
    <w:rsid w:val="005746C3"/>
    <w:rsid w:val="0057472B"/>
    <w:rsid w:val="00574833"/>
    <w:rsid w:val="005748F2"/>
    <w:rsid w:val="00574974"/>
    <w:rsid w:val="005749C5"/>
    <w:rsid w:val="005749F5"/>
    <w:rsid w:val="00574A48"/>
    <w:rsid w:val="00574C8C"/>
    <w:rsid w:val="00574D64"/>
    <w:rsid w:val="00574E5A"/>
    <w:rsid w:val="00574F21"/>
    <w:rsid w:val="0057505B"/>
    <w:rsid w:val="005751BA"/>
    <w:rsid w:val="005751DE"/>
    <w:rsid w:val="005752B9"/>
    <w:rsid w:val="0057535E"/>
    <w:rsid w:val="005753D6"/>
    <w:rsid w:val="00575831"/>
    <w:rsid w:val="005758F8"/>
    <w:rsid w:val="005759EF"/>
    <w:rsid w:val="00575BC6"/>
    <w:rsid w:val="00575BD3"/>
    <w:rsid w:val="00576214"/>
    <w:rsid w:val="00576596"/>
    <w:rsid w:val="005766C8"/>
    <w:rsid w:val="00576827"/>
    <w:rsid w:val="0057691F"/>
    <w:rsid w:val="005769F0"/>
    <w:rsid w:val="00576A64"/>
    <w:rsid w:val="00576B8E"/>
    <w:rsid w:val="00576BC2"/>
    <w:rsid w:val="005771E6"/>
    <w:rsid w:val="00577405"/>
    <w:rsid w:val="0057751D"/>
    <w:rsid w:val="005778CE"/>
    <w:rsid w:val="005779EE"/>
    <w:rsid w:val="00577B5B"/>
    <w:rsid w:val="00577BB1"/>
    <w:rsid w:val="00577E05"/>
    <w:rsid w:val="00577E9E"/>
    <w:rsid w:val="00580069"/>
    <w:rsid w:val="0058026C"/>
    <w:rsid w:val="00580285"/>
    <w:rsid w:val="00580367"/>
    <w:rsid w:val="0058053C"/>
    <w:rsid w:val="005806A4"/>
    <w:rsid w:val="0058075E"/>
    <w:rsid w:val="0058077F"/>
    <w:rsid w:val="00580871"/>
    <w:rsid w:val="005808AD"/>
    <w:rsid w:val="005808ED"/>
    <w:rsid w:val="005809CC"/>
    <w:rsid w:val="00580AF4"/>
    <w:rsid w:val="00580BA1"/>
    <w:rsid w:val="00580CD8"/>
    <w:rsid w:val="00580DEC"/>
    <w:rsid w:val="00580E49"/>
    <w:rsid w:val="00580FF4"/>
    <w:rsid w:val="005811B1"/>
    <w:rsid w:val="005811F3"/>
    <w:rsid w:val="00581278"/>
    <w:rsid w:val="00581376"/>
    <w:rsid w:val="005813D0"/>
    <w:rsid w:val="005815DF"/>
    <w:rsid w:val="00581A0C"/>
    <w:rsid w:val="00581A7F"/>
    <w:rsid w:val="00581ABF"/>
    <w:rsid w:val="00581D1B"/>
    <w:rsid w:val="00581E5A"/>
    <w:rsid w:val="00581F03"/>
    <w:rsid w:val="00581F6B"/>
    <w:rsid w:val="005821A9"/>
    <w:rsid w:val="005822AC"/>
    <w:rsid w:val="005822E9"/>
    <w:rsid w:val="005824BC"/>
    <w:rsid w:val="0058253A"/>
    <w:rsid w:val="00582615"/>
    <w:rsid w:val="0058261F"/>
    <w:rsid w:val="00582797"/>
    <w:rsid w:val="00582909"/>
    <w:rsid w:val="00582B12"/>
    <w:rsid w:val="00582C52"/>
    <w:rsid w:val="00582DC7"/>
    <w:rsid w:val="00582DCE"/>
    <w:rsid w:val="00582FC8"/>
    <w:rsid w:val="00582FD9"/>
    <w:rsid w:val="0058349A"/>
    <w:rsid w:val="00583A14"/>
    <w:rsid w:val="00583A19"/>
    <w:rsid w:val="00583A61"/>
    <w:rsid w:val="00583B88"/>
    <w:rsid w:val="00583CD3"/>
    <w:rsid w:val="00583FDD"/>
    <w:rsid w:val="0058404A"/>
    <w:rsid w:val="00584076"/>
    <w:rsid w:val="0058407C"/>
    <w:rsid w:val="005840DE"/>
    <w:rsid w:val="0058411D"/>
    <w:rsid w:val="00584169"/>
    <w:rsid w:val="0058416D"/>
    <w:rsid w:val="00584174"/>
    <w:rsid w:val="005841B3"/>
    <w:rsid w:val="005841CC"/>
    <w:rsid w:val="005842C4"/>
    <w:rsid w:val="0058447B"/>
    <w:rsid w:val="0058457F"/>
    <w:rsid w:val="0058463E"/>
    <w:rsid w:val="0058470B"/>
    <w:rsid w:val="005847AE"/>
    <w:rsid w:val="005849C3"/>
    <w:rsid w:val="00584B65"/>
    <w:rsid w:val="00584BD0"/>
    <w:rsid w:val="00584CAA"/>
    <w:rsid w:val="00584D84"/>
    <w:rsid w:val="00584FB3"/>
    <w:rsid w:val="005850A4"/>
    <w:rsid w:val="005850D6"/>
    <w:rsid w:val="005856E7"/>
    <w:rsid w:val="005857FB"/>
    <w:rsid w:val="00585833"/>
    <w:rsid w:val="00585AF0"/>
    <w:rsid w:val="00585B5C"/>
    <w:rsid w:val="00585B61"/>
    <w:rsid w:val="00585B9E"/>
    <w:rsid w:val="00585E1F"/>
    <w:rsid w:val="00585F14"/>
    <w:rsid w:val="00585F95"/>
    <w:rsid w:val="00585FE0"/>
    <w:rsid w:val="00585FFD"/>
    <w:rsid w:val="005860DB"/>
    <w:rsid w:val="005863EA"/>
    <w:rsid w:val="005864E6"/>
    <w:rsid w:val="00586666"/>
    <w:rsid w:val="00586711"/>
    <w:rsid w:val="00586758"/>
    <w:rsid w:val="00586760"/>
    <w:rsid w:val="00586899"/>
    <w:rsid w:val="005869D4"/>
    <w:rsid w:val="00586AE4"/>
    <w:rsid w:val="00586AEE"/>
    <w:rsid w:val="00586C99"/>
    <w:rsid w:val="00586DD3"/>
    <w:rsid w:val="00586E44"/>
    <w:rsid w:val="00586F1D"/>
    <w:rsid w:val="00586F88"/>
    <w:rsid w:val="0058702B"/>
    <w:rsid w:val="0058705E"/>
    <w:rsid w:val="005870B4"/>
    <w:rsid w:val="00587213"/>
    <w:rsid w:val="005872F7"/>
    <w:rsid w:val="00587345"/>
    <w:rsid w:val="005874C9"/>
    <w:rsid w:val="00587848"/>
    <w:rsid w:val="00587885"/>
    <w:rsid w:val="00587920"/>
    <w:rsid w:val="0058793F"/>
    <w:rsid w:val="005879A2"/>
    <w:rsid w:val="005879F3"/>
    <w:rsid w:val="00587BC6"/>
    <w:rsid w:val="00587C53"/>
    <w:rsid w:val="00587C5D"/>
    <w:rsid w:val="00587CCE"/>
    <w:rsid w:val="00587D61"/>
    <w:rsid w:val="00587D78"/>
    <w:rsid w:val="00587DCA"/>
    <w:rsid w:val="00590268"/>
    <w:rsid w:val="0059036D"/>
    <w:rsid w:val="005906CB"/>
    <w:rsid w:val="005906FD"/>
    <w:rsid w:val="00590854"/>
    <w:rsid w:val="005908DE"/>
    <w:rsid w:val="00590957"/>
    <w:rsid w:val="00590A9F"/>
    <w:rsid w:val="00590AF3"/>
    <w:rsid w:val="00590E14"/>
    <w:rsid w:val="00590E93"/>
    <w:rsid w:val="00590E98"/>
    <w:rsid w:val="00591051"/>
    <w:rsid w:val="00591057"/>
    <w:rsid w:val="005910E0"/>
    <w:rsid w:val="00591196"/>
    <w:rsid w:val="00591687"/>
    <w:rsid w:val="005917D9"/>
    <w:rsid w:val="00591922"/>
    <w:rsid w:val="005919FF"/>
    <w:rsid w:val="00591A8C"/>
    <w:rsid w:val="00591C8A"/>
    <w:rsid w:val="00591D17"/>
    <w:rsid w:val="00591D88"/>
    <w:rsid w:val="00591DF5"/>
    <w:rsid w:val="00591FB8"/>
    <w:rsid w:val="0059256F"/>
    <w:rsid w:val="00592848"/>
    <w:rsid w:val="005928A0"/>
    <w:rsid w:val="00592942"/>
    <w:rsid w:val="00592A56"/>
    <w:rsid w:val="00592D3B"/>
    <w:rsid w:val="00592D92"/>
    <w:rsid w:val="00592DA6"/>
    <w:rsid w:val="00592DC7"/>
    <w:rsid w:val="00592E3A"/>
    <w:rsid w:val="00592E9C"/>
    <w:rsid w:val="00592EBC"/>
    <w:rsid w:val="0059315C"/>
    <w:rsid w:val="005932D1"/>
    <w:rsid w:val="005933B9"/>
    <w:rsid w:val="005933EE"/>
    <w:rsid w:val="00593450"/>
    <w:rsid w:val="005936EF"/>
    <w:rsid w:val="00593BE7"/>
    <w:rsid w:val="00593E12"/>
    <w:rsid w:val="00593FF6"/>
    <w:rsid w:val="00594093"/>
    <w:rsid w:val="005940AC"/>
    <w:rsid w:val="00594251"/>
    <w:rsid w:val="005942E6"/>
    <w:rsid w:val="005942FA"/>
    <w:rsid w:val="00594370"/>
    <w:rsid w:val="005943D1"/>
    <w:rsid w:val="00594764"/>
    <w:rsid w:val="00594863"/>
    <w:rsid w:val="005948D4"/>
    <w:rsid w:val="00594BF9"/>
    <w:rsid w:val="00594D26"/>
    <w:rsid w:val="00594E15"/>
    <w:rsid w:val="00594F58"/>
    <w:rsid w:val="00594F75"/>
    <w:rsid w:val="00594F77"/>
    <w:rsid w:val="00594FCC"/>
    <w:rsid w:val="00595010"/>
    <w:rsid w:val="005950C4"/>
    <w:rsid w:val="00595270"/>
    <w:rsid w:val="005952F8"/>
    <w:rsid w:val="00595722"/>
    <w:rsid w:val="00595798"/>
    <w:rsid w:val="005957E9"/>
    <w:rsid w:val="005957F3"/>
    <w:rsid w:val="00595D90"/>
    <w:rsid w:val="00595E29"/>
    <w:rsid w:val="00595E3C"/>
    <w:rsid w:val="00595FEE"/>
    <w:rsid w:val="00596281"/>
    <w:rsid w:val="00596398"/>
    <w:rsid w:val="005963B3"/>
    <w:rsid w:val="005963F0"/>
    <w:rsid w:val="0059653B"/>
    <w:rsid w:val="0059661B"/>
    <w:rsid w:val="005966E6"/>
    <w:rsid w:val="0059683E"/>
    <w:rsid w:val="0059685C"/>
    <w:rsid w:val="005969F5"/>
    <w:rsid w:val="00596B22"/>
    <w:rsid w:val="00596B51"/>
    <w:rsid w:val="00596C6B"/>
    <w:rsid w:val="00596D23"/>
    <w:rsid w:val="00596EB6"/>
    <w:rsid w:val="00596EEF"/>
    <w:rsid w:val="00596F18"/>
    <w:rsid w:val="005973DC"/>
    <w:rsid w:val="005974CE"/>
    <w:rsid w:val="00597561"/>
    <w:rsid w:val="0059758C"/>
    <w:rsid w:val="005976E5"/>
    <w:rsid w:val="00597722"/>
    <w:rsid w:val="00597768"/>
    <w:rsid w:val="00597A3D"/>
    <w:rsid w:val="00597A61"/>
    <w:rsid w:val="00597D7E"/>
    <w:rsid w:val="005A0002"/>
    <w:rsid w:val="005A00B5"/>
    <w:rsid w:val="005A00BD"/>
    <w:rsid w:val="005A00BE"/>
    <w:rsid w:val="005A0105"/>
    <w:rsid w:val="005A01D0"/>
    <w:rsid w:val="005A02BF"/>
    <w:rsid w:val="005A0445"/>
    <w:rsid w:val="005A0587"/>
    <w:rsid w:val="005A0590"/>
    <w:rsid w:val="005A0613"/>
    <w:rsid w:val="005A079E"/>
    <w:rsid w:val="005A09BC"/>
    <w:rsid w:val="005A09E2"/>
    <w:rsid w:val="005A0BC6"/>
    <w:rsid w:val="005A0C13"/>
    <w:rsid w:val="005A0E08"/>
    <w:rsid w:val="005A0E12"/>
    <w:rsid w:val="005A0EAD"/>
    <w:rsid w:val="005A0FC9"/>
    <w:rsid w:val="005A1048"/>
    <w:rsid w:val="005A13A2"/>
    <w:rsid w:val="005A15AC"/>
    <w:rsid w:val="005A1623"/>
    <w:rsid w:val="005A1684"/>
    <w:rsid w:val="005A1833"/>
    <w:rsid w:val="005A192C"/>
    <w:rsid w:val="005A1986"/>
    <w:rsid w:val="005A19D0"/>
    <w:rsid w:val="005A1C8A"/>
    <w:rsid w:val="005A1D6F"/>
    <w:rsid w:val="005A1DE2"/>
    <w:rsid w:val="005A1E2B"/>
    <w:rsid w:val="005A1E96"/>
    <w:rsid w:val="005A1FE1"/>
    <w:rsid w:val="005A20A5"/>
    <w:rsid w:val="005A20C1"/>
    <w:rsid w:val="005A22E8"/>
    <w:rsid w:val="005A2343"/>
    <w:rsid w:val="005A2380"/>
    <w:rsid w:val="005A2381"/>
    <w:rsid w:val="005A246C"/>
    <w:rsid w:val="005A25FA"/>
    <w:rsid w:val="005A2645"/>
    <w:rsid w:val="005A2880"/>
    <w:rsid w:val="005A2BFF"/>
    <w:rsid w:val="005A2C85"/>
    <w:rsid w:val="005A2D72"/>
    <w:rsid w:val="005A2DB3"/>
    <w:rsid w:val="005A2F20"/>
    <w:rsid w:val="005A2F94"/>
    <w:rsid w:val="005A3153"/>
    <w:rsid w:val="005A33CF"/>
    <w:rsid w:val="005A3405"/>
    <w:rsid w:val="005A3427"/>
    <w:rsid w:val="005A357D"/>
    <w:rsid w:val="005A37F4"/>
    <w:rsid w:val="005A38B3"/>
    <w:rsid w:val="005A38C0"/>
    <w:rsid w:val="005A38CD"/>
    <w:rsid w:val="005A39A7"/>
    <w:rsid w:val="005A3A45"/>
    <w:rsid w:val="005A3C17"/>
    <w:rsid w:val="005A3CF2"/>
    <w:rsid w:val="005A3D44"/>
    <w:rsid w:val="005A3FD7"/>
    <w:rsid w:val="005A401D"/>
    <w:rsid w:val="005A4027"/>
    <w:rsid w:val="005A4244"/>
    <w:rsid w:val="005A449C"/>
    <w:rsid w:val="005A44CF"/>
    <w:rsid w:val="005A4514"/>
    <w:rsid w:val="005A4606"/>
    <w:rsid w:val="005A467D"/>
    <w:rsid w:val="005A4689"/>
    <w:rsid w:val="005A4855"/>
    <w:rsid w:val="005A49A4"/>
    <w:rsid w:val="005A4A68"/>
    <w:rsid w:val="005A4EFB"/>
    <w:rsid w:val="005A4EFC"/>
    <w:rsid w:val="005A5014"/>
    <w:rsid w:val="005A5151"/>
    <w:rsid w:val="005A5190"/>
    <w:rsid w:val="005A521E"/>
    <w:rsid w:val="005A5264"/>
    <w:rsid w:val="005A5276"/>
    <w:rsid w:val="005A5294"/>
    <w:rsid w:val="005A5425"/>
    <w:rsid w:val="005A5518"/>
    <w:rsid w:val="005A561B"/>
    <w:rsid w:val="005A56DD"/>
    <w:rsid w:val="005A56F8"/>
    <w:rsid w:val="005A585B"/>
    <w:rsid w:val="005A588F"/>
    <w:rsid w:val="005A5923"/>
    <w:rsid w:val="005A5A61"/>
    <w:rsid w:val="005A5C19"/>
    <w:rsid w:val="005A5D15"/>
    <w:rsid w:val="005A61A9"/>
    <w:rsid w:val="005A61F4"/>
    <w:rsid w:val="005A62DC"/>
    <w:rsid w:val="005A62DF"/>
    <w:rsid w:val="005A64AB"/>
    <w:rsid w:val="005A65DD"/>
    <w:rsid w:val="005A66D0"/>
    <w:rsid w:val="005A688F"/>
    <w:rsid w:val="005A6914"/>
    <w:rsid w:val="005A6B97"/>
    <w:rsid w:val="005A6CE3"/>
    <w:rsid w:val="005A6FD0"/>
    <w:rsid w:val="005A71BE"/>
    <w:rsid w:val="005A7356"/>
    <w:rsid w:val="005A7446"/>
    <w:rsid w:val="005A747B"/>
    <w:rsid w:val="005A7558"/>
    <w:rsid w:val="005A75D3"/>
    <w:rsid w:val="005A7692"/>
    <w:rsid w:val="005A7853"/>
    <w:rsid w:val="005A7A08"/>
    <w:rsid w:val="005A7B47"/>
    <w:rsid w:val="005A7C88"/>
    <w:rsid w:val="005A7ECE"/>
    <w:rsid w:val="005A7F43"/>
    <w:rsid w:val="005B01BF"/>
    <w:rsid w:val="005B0348"/>
    <w:rsid w:val="005B03D4"/>
    <w:rsid w:val="005B05DB"/>
    <w:rsid w:val="005B061B"/>
    <w:rsid w:val="005B0974"/>
    <w:rsid w:val="005B0B5E"/>
    <w:rsid w:val="005B0E71"/>
    <w:rsid w:val="005B1033"/>
    <w:rsid w:val="005B119F"/>
    <w:rsid w:val="005B14E9"/>
    <w:rsid w:val="005B151D"/>
    <w:rsid w:val="005B16D1"/>
    <w:rsid w:val="005B1982"/>
    <w:rsid w:val="005B1D13"/>
    <w:rsid w:val="005B1E12"/>
    <w:rsid w:val="005B23F2"/>
    <w:rsid w:val="005B2431"/>
    <w:rsid w:val="005B2473"/>
    <w:rsid w:val="005B2556"/>
    <w:rsid w:val="005B266C"/>
    <w:rsid w:val="005B27DB"/>
    <w:rsid w:val="005B2B15"/>
    <w:rsid w:val="005B2C65"/>
    <w:rsid w:val="005B2D9D"/>
    <w:rsid w:val="005B2E50"/>
    <w:rsid w:val="005B3005"/>
    <w:rsid w:val="005B30E5"/>
    <w:rsid w:val="005B315E"/>
    <w:rsid w:val="005B347D"/>
    <w:rsid w:val="005B3526"/>
    <w:rsid w:val="005B353F"/>
    <w:rsid w:val="005B35B4"/>
    <w:rsid w:val="005B3648"/>
    <w:rsid w:val="005B3728"/>
    <w:rsid w:val="005B3888"/>
    <w:rsid w:val="005B3B4A"/>
    <w:rsid w:val="005B3B5A"/>
    <w:rsid w:val="005B3B7A"/>
    <w:rsid w:val="005B3BCC"/>
    <w:rsid w:val="005B3CEF"/>
    <w:rsid w:val="005B3FF8"/>
    <w:rsid w:val="005B429B"/>
    <w:rsid w:val="005B454A"/>
    <w:rsid w:val="005B4880"/>
    <w:rsid w:val="005B4ABF"/>
    <w:rsid w:val="005B4B0A"/>
    <w:rsid w:val="005B4BDD"/>
    <w:rsid w:val="005B4F9A"/>
    <w:rsid w:val="005B513A"/>
    <w:rsid w:val="005B53E5"/>
    <w:rsid w:val="005B5504"/>
    <w:rsid w:val="005B551C"/>
    <w:rsid w:val="005B55C2"/>
    <w:rsid w:val="005B55DF"/>
    <w:rsid w:val="005B5987"/>
    <w:rsid w:val="005B5A5D"/>
    <w:rsid w:val="005B5AA7"/>
    <w:rsid w:val="005B5CBF"/>
    <w:rsid w:val="005B5EFB"/>
    <w:rsid w:val="005B5F4D"/>
    <w:rsid w:val="005B6078"/>
    <w:rsid w:val="005B60AC"/>
    <w:rsid w:val="005B62ED"/>
    <w:rsid w:val="005B655B"/>
    <w:rsid w:val="005B678E"/>
    <w:rsid w:val="005B67A1"/>
    <w:rsid w:val="005B6A91"/>
    <w:rsid w:val="005B6C4D"/>
    <w:rsid w:val="005B6EE2"/>
    <w:rsid w:val="005B7131"/>
    <w:rsid w:val="005B71CB"/>
    <w:rsid w:val="005B7485"/>
    <w:rsid w:val="005B756E"/>
    <w:rsid w:val="005B763B"/>
    <w:rsid w:val="005B78CF"/>
    <w:rsid w:val="005B78D4"/>
    <w:rsid w:val="005B7942"/>
    <w:rsid w:val="005B79BA"/>
    <w:rsid w:val="005B7A80"/>
    <w:rsid w:val="005B7A93"/>
    <w:rsid w:val="005B7ACC"/>
    <w:rsid w:val="005B7C03"/>
    <w:rsid w:val="005C01AF"/>
    <w:rsid w:val="005C020C"/>
    <w:rsid w:val="005C0404"/>
    <w:rsid w:val="005C040A"/>
    <w:rsid w:val="005C04E3"/>
    <w:rsid w:val="005C06FE"/>
    <w:rsid w:val="005C091A"/>
    <w:rsid w:val="005C09ED"/>
    <w:rsid w:val="005C0BBC"/>
    <w:rsid w:val="005C0F64"/>
    <w:rsid w:val="005C1026"/>
    <w:rsid w:val="005C123B"/>
    <w:rsid w:val="005C1306"/>
    <w:rsid w:val="005C13A2"/>
    <w:rsid w:val="005C13BB"/>
    <w:rsid w:val="005C146A"/>
    <w:rsid w:val="005C1651"/>
    <w:rsid w:val="005C165F"/>
    <w:rsid w:val="005C1952"/>
    <w:rsid w:val="005C19E0"/>
    <w:rsid w:val="005C1A56"/>
    <w:rsid w:val="005C1C29"/>
    <w:rsid w:val="005C1CAF"/>
    <w:rsid w:val="005C1F79"/>
    <w:rsid w:val="005C206C"/>
    <w:rsid w:val="005C21C9"/>
    <w:rsid w:val="005C22D7"/>
    <w:rsid w:val="005C2420"/>
    <w:rsid w:val="005C24C5"/>
    <w:rsid w:val="005C256A"/>
    <w:rsid w:val="005C26A9"/>
    <w:rsid w:val="005C2757"/>
    <w:rsid w:val="005C2876"/>
    <w:rsid w:val="005C291D"/>
    <w:rsid w:val="005C2C58"/>
    <w:rsid w:val="005C2C8F"/>
    <w:rsid w:val="005C2E65"/>
    <w:rsid w:val="005C2EA4"/>
    <w:rsid w:val="005C32FD"/>
    <w:rsid w:val="005C3549"/>
    <w:rsid w:val="005C36B3"/>
    <w:rsid w:val="005C3964"/>
    <w:rsid w:val="005C3A27"/>
    <w:rsid w:val="005C3A64"/>
    <w:rsid w:val="005C3B8C"/>
    <w:rsid w:val="005C3F39"/>
    <w:rsid w:val="005C40F5"/>
    <w:rsid w:val="005C4197"/>
    <w:rsid w:val="005C4204"/>
    <w:rsid w:val="005C4211"/>
    <w:rsid w:val="005C42D5"/>
    <w:rsid w:val="005C4639"/>
    <w:rsid w:val="005C492A"/>
    <w:rsid w:val="005C49C7"/>
    <w:rsid w:val="005C4B2F"/>
    <w:rsid w:val="005C4DFC"/>
    <w:rsid w:val="005C50BA"/>
    <w:rsid w:val="005C51A9"/>
    <w:rsid w:val="005C51F3"/>
    <w:rsid w:val="005C5208"/>
    <w:rsid w:val="005C5302"/>
    <w:rsid w:val="005C554B"/>
    <w:rsid w:val="005C57D2"/>
    <w:rsid w:val="005C58CE"/>
    <w:rsid w:val="005C5A1F"/>
    <w:rsid w:val="005C5AEF"/>
    <w:rsid w:val="005C5ED5"/>
    <w:rsid w:val="005C6131"/>
    <w:rsid w:val="005C6559"/>
    <w:rsid w:val="005C65FC"/>
    <w:rsid w:val="005C675B"/>
    <w:rsid w:val="005C6963"/>
    <w:rsid w:val="005C6A37"/>
    <w:rsid w:val="005C6A4A"/>
    <w:rsid w:val="005C6A5C"/>
    <w:rsid w:val="005C6B2D"/>
    <w:rsid w:val="005C6BAD"/>
    <w:rsid w:val="005C6C1A"/>
    <w:rsid w:val="005C6DFD"/>
    <w:rsid w:val="005C6E65"/>
    <w:rsid w:val="005C709B"/>
    <w:rsid w:val="005C71FD"/>
    <w:rsid w:val="005C730C"/>
    <w:rsid w:val="005C742F"/>
    <w:rsid w:val="005C743F"/>
    <w:rsid w:val="005C76CD"/>
    <w:rsid w:val="005C7863"/>
    <w:rsid w:val="005C7940"/>
    <w:rsid w:val="005C795E"/>
    <w:rsid w:val="005C7A16"/>
    <w:rsid w:val="005C7A64"/>
    <w:rsid w:val="005C7BB5"/>
    <w:rsid w:val="005C7BE8"/>
    <w:rsid w:val="005C7D01"/>
    <w:rsid w:val="005C7D90"/>
    <w:rsid w:val="005C7DE3"/>
    <w:rsid w:val="005C7F4D"/>
    <w:rsid w:val="005C7FBF"/>
    <w:rsid w:val="005D0043"/>
    <w:rsid w:val="005D0051"/>
    <w:rsid w:val="005D008E"/>
    <w:rsid w:val="005D0155"/>
    <w:rsid w:val="005D017F"/>
    <w:rsid w:val="005D05DD"/>
    <w:rsid w:val="005D0695"/>
    <w:rsid w:val="005D071F"/>
    <w:rsid w:val="005D073A"/>
    <w:rsid w:val="005D0903"/>
    <w:rsid w:val="005D0A5B"/>
    <w:rsid w:val="005D0F01"/>
    <w:rsid w:val="005D10A4"/>
    <w:rsid w:val="005D114B"/>
    <w:rsid w:val="005D1336"/>
    <w:rsid w:val="005D170B"/>
    <w:rsid w:val="005D18DD"/>
    <w:rsid w:val="005D1B08"/>
    <w:rsid w:val="005D1BBC"/>
    <w:rsid w:val="005D1C11"/>
    <w:rsid w:val="005D1CE2"/>
    <w:rsid w:val="005D1DE9"/>
    <w:rsid w:val="005D1E48"/>
    <w:rsid w:val="005D1F10"/>
    <w:rsid w:val="005D1FB4"/>
    <w:rsid w:val="005D21D2"/>
    <w:rsid w:val="005D230C"/>
    <w:rsid w:val="005D26DB"/>
    <w:rsid w:val="005D2858"/>
    <w:rsid w:val="005D287A"/>
    <w:rsid w:val="005D2926"/>
    <w:rsid w:val="005D2B36"/>
    <w:rsid w:val="005D2DAE"/>
    <w:rsid w:val="005D2E43"/>
    <w:rsid w:val="005D2EA1"/>
    <w:rsid w:val="005D2FAA"/>
    <w:rsid w:val="005D30CA"/>
    <w:rsid w:val="005D319C"/>
    <w:rsid w:val="005D321B"/>
    <w:rsid w:val="005D32F7"/>
    <w:rsid w:val="005D3319"/>
    <w:rsid w:val="005D33BF"/>
    <w:rsid w:val="005D33CB"/>
    <w:rsid w:val="005D34EF"/>
    <w:rsid w:val="005D3568"/>
    <w:rsid w:val="005D367F"/>
    <w:rsid w:val="005D3807"/>
    <w:rsid w:val="005D387C"/>
    <w:rsid w:val="005D3A0F"/>
    <w:rsid w:val="005D3CD9"/>
    <w:rsid w:val="005D3E1C"/>
    <w:rsid w:val="005D3FA4"/>
    <w:rsid w:val="005D4259"/>
    <w:rsid w:val="005D4350"/>
    <w:rsid w:val="005D43FE"/>
    <w:rsid w:val="005D441F"/>
    <w:rsid w:val="005D48A8"/>
    <w:rsid w:val="005D48B3"/>
    <w:rsid w:val="005D497F"/>
    <w:rsid w:val="005D499E"/>
    <w:rsid w:val="005D49A4"/>
    <w:rsid w:val="005D49BE"/>
    <w:rsid w:val="005D4F81"/>
    <w:rsid w:val="005D50AF"/>
    <w:rsid w:val="005D5337"/>
    <w:rsid w:val="005D57A1"/>
    <w:rsid w:val="005D57B0"/>
    <w:rsid w:val="005D57F0"/>
    <w:rsid w:val="005D5885"/>
    <w:rsid w:val="005D58C6"/>
    <w:rsid w:val="005D5B1D"/>
    <w:rsid w:val="005D5BE7"/>
    <w:rsid w:val="005D5C76"/>
    <w:rsid w:val="005D5C7C"/>
    <w:rsid w:val="005D5C86"/>
    <w:rsid w:val="005D5CDD"/>
    <w:rsid w:val="005D5F91"/>
    <w:rsid w:val="005D5F98"/>
    <w:rsid w:val="005D61B7"/>
    <w:rsid w:val="005D621B"/>
    <w:rsid w:val="005D64FE"/>
    <w:rsid w:val="005D67F5"/>
    <w:rsid w:val="005D68A6"/>
    <w:rsid w:val="005D6A1F"/>
    <w:rsid w:val="005D6A91"/>
    <w:rsid w:val="005D6BBE"/>
    <w:rsid w:val="005D6D82"/>
    <w:rsid w:val="005D7050"/>
    <w:rsid w:val="005D710D"/>
    <w:rsid w:val="005D721B"/>
    <w:rsid w:val="005D721F"/>
    <w:rsid w:val="005D7278"/>
    <w:rsid w:val="005D74D4"/>
    <w:rsid w:val="005D74FC"/>
    <w:rsid w:val="005D7566"/>
    <w:rsid w:val="005D77E7"/>
    <w:rsid w:val="005D787E"/>
    <w:rsid w:val="005D79B2"/>
    <w:rsid w:val="005D7AF3"/>
    <w:rsid w:val="005D7B74"/>
    <w:rsid w:val="005D7BB5"/>
    <w:rsid w:val="005D7BBD"/>
    <w:rsid w:val="005D7DBD"/>
    <w:rsid w:val="005E009A"/>
    <w:rsid w:val="005E00CE"/>
    <w:rsid w:val="005E00FB"/>
    <w:rsid w:val="005E0124"/>
    <w:rsid w:val="005E0319"/>
    <w:rsid w:val="005E03F4"/>
    <w:rsid w:val="005E0510"/>
    <w:rsid w:val="005E055B"/>
    <w:rsid w:val="005E05B8"/>
    <w:rsid w:val="005E0602"/>
    <w:rsid w:val="005E07B9"/>
    <w:rsid w:val="005E0897"/>
    <w:rsid w:val="005E08AD"/>
    <w:rsid w:val="005E0B34"/>
    <w:rsid w:val="005E0B7B"/>
    <w:rsid w:val="005E0C74"/>
    <w:rsid w:val="005E0D4E"/>
    <w:rsid w:val="005E0E3E"/>
    <w:rsid w:val="005E0E5D"/>
    <w:rsid w:val="005E0F6F"/>
    <w:rsid w:val="005E0FB5"/>
    <w:rsid w:val="005E12D9"/>
    <w:rsid w:val="005E145C"/>
    <w:rsid w:val="005E158D"/>
    <w:rsid w:val="005E1641"/>
    <w:rsid w:val="005E1657"/>
    <w:rsid w:val="005E177A"/>
    <w:rsid w:val="005E17DE"/>
    <w:rsid w:val="005E1A90"/>
    <w:rsid w:val="005E1B66"/>
    <w:rsid w:val="005E1E1A"/>
    <w:rsid w:val="005E1FF0"/>
    <w:rsid w:val="005E2051"/>
    <w:rsid w:val="005E207D"/>
    <w:rsid w:val="005E2406"/>
    <w:rsid w:val="005E24CF"/>
    <w:rsid w:val="005E2579"/>
    <w:rsid w:val="005E2582"/>
    <w:rsid w:val="005E264F"/>
    <w:rsid w:val="005E2AF4"/>
    <w:rsid w:val="005E2BEB"/>
    <w:rsid w:val="005E2D19"/>
    <w:rsid w:val="005E2F34"/>
    <w:rsid w:val="005E2FC9"/>
    <w:rsid w:val="005E300C"/>
    <w:rsid w:val="005E3060"/>
    <w:rsid w:val="005E30BB"/>
    <w:rsid w:val="005E35E7"/>
    <w:rsid w:val="005E3688"/>
    <w:rsid w:val="005E3728"/>
    <w:rsid w:val="005E3937"/>
    <w:rsid w:val="005E3967"/>
    <w:rsid w:val="005E3A39"/>
    <w:rsid w:val="005E3BE4"/>
    <w:rsid w:val="005E402E"/>
    <w:rsid w:val="005E405D"/>
    <w:rsid w:val="005E40E6"/>
    <w:rsid w:val="005E4181"/>
    <w:rsid w:val="005E43D4"/>
    <w:rsid w:val="005E444C"/>
    <w:rsid w:val="005E4522"/>
    <w:rsid w:val="005E4538"/>
    <w:rsid w:val="005E4550"/>
    <w:rsid w:val="005E470D"/>
    <w:rsid w:val="005E48F9"/>
    <w:rsid w:val="005E49E1"/>
    <w:rsid w:val="005E4C1D"/>
    <w:rsid w:val="005E4CA6"/>
    <w:rsid w:val="005E4CC1"/>
    <w:rsid w:val="005E4D8C"/>
    <w:rsid w:val="005E4E4F"/>
    <w:rsid w:val="005E4E8E"/>
    <w:rsid w:val="005E4F14"/>
    <w:rsid w:val="005E4FAE"/>
    <w:rsid w:val="005E5199"/>
    <w:rsid w:val="005E5202"/>
    <w:rsid w:val="005E535A"/>
    <w:rsid w:val="005E5481"/>
    <w:rsid w:val="005E58B5"/>
    <w:rsid w:val="005E5996"/>
    <w:rsid w:val="005E5E22"/>
    <w:rsid w:val="005E5F25"/>
    <w:rsid w:val="005E60B4"/>
    <w:rsid w:val="005E62BD"/>
    <w:rsid w:val="005E64C5"/>
    <w:rsid w:val="005E674C"/>
    <w:rsid w:val="005E6D96"/>
    <w:rsid w:val="005E6EC6"/>
    <w:rsid w:val="005E6EFC"/>
    <w:rsid w:val="005E6FC1"/>
    <w:rsid w:val="005E7110"/>
    <w:rsid w:val="005E7371"/>
    <w:rsid w:val="005E7481"/>
    <w:rsid w:val="005E7489"/>
    <w:rsid w:val="005E7765"/>
    <w:rsid w:val="005E78C5"/>
    <w:rsid w:val="005E78C9"/>
    <w:rsid w:val="005E792B"/>
    <w:rsid w:val="005E79BF"/>
    <w:rsid w:val="005E7AB4"/>
    <w:rsid w:val="005E7ADE"/>
    <w:rsid w:val="005E7AF7"/>
    <w:rsid w:val="005E7B5B"/>
    <w:rsid w:val="005E7BED"/>
    <w:rsid w:val="005F00BE"/>
    <w:rsid w:val="005F00D5"/>
    <w:rsid w:val="005F0106"/>
    <w:rsid w:val="005F0615"/>
    <w:rsid w:val="005F0878"/>
    <w:rsid w:val="005F087C"/>
    <w:rsid w:val="005F0B76"/>
    <w:rsid w:val="005F0BFE"/>
    <w:rsid w:val="005F0DCA"/>
    <w:rsid w:val="005F12F5"/>
    <w:rsid w:val="005F135E"/>
    <w:rsid w:val="005F13A9"/>
    <w:rsid w:val="005F1548"/>
    <w:rsid w:val="005F1592"/>
    <w:rsid w:val="005F1611"/>
    <w:rsid w:val="005F1781"/>
    <w:rsid w:val="005F1BA6"/>
    <w:rsid w:val="005F1C32"/>
    <w:rsid w:val="005F1CA3"/>
    <w:rsid w:val="005F1DC5"/>
    <w:rsid w:val="005F1F3D"/>
    <w:rsid w:val="005F209E"/>
    <w:rsid w:val="005F2206"/>
    <w:rsid w:val="005F22A5"/>
    <w:rsid w:val="005F233D"/>
    <w:rsid w:val="005F2359"/>
    <w:rsid w:val="005F23C0"/>
    <w:rsid w:val="005F24E5"/>
    <w:rsid w:val="005F256B"/>
    <w:rsid w:val="005F275D"/>
    <w:rsid w:val="005F2ADB"/>
    <w:rsid w:val="005F2D16"/>
    <w:rsid w:val="005F2E11"/>
    <w:rsid w:val="005F2E2F"/>
    <w:rsid w:val="005F2F03"/>
    <w:rsid w:val="005F2F97"/>
    <w:rsid w:val="005F31C9"/>
    <w:rsid w:val="005F34B9"/>
    <w:rsid w:val="005F3685"/>
    <w:rsid w:val="005F37DC"/>
    <w:rsid w:val="005F3818"/>
    <w:rsid w:val="005F384F"/>
    <w:rsid w:val="005F3D7D"/>
    <w:rsid w:val="005F3E96"/>
    <w:rsid w:val="005F3EE8"/>
    <w:rsid w:val="005F4060"/>
    <w:rsid w:val="005F4097"/>
    <w:rsid w:val="005F4126"/>
    <w:rsid w:val="005F43B8"/>
    <w:rsid w:val="005F44D4"/>
    <w:rsid w:val="005F475C"/>
    <w:rsid w:val="005F4989"/>
    <w:rsid w:val="005F49C5"/>
    <w:rsid w:val="005F4B26"/>
    <w:rsid w:val="005F4B72"/>
    <w:rsid w:val="005F5175"/>
    <w:rsid w:val="005F5257"/>
    <w:rsid w:val="005F54E2"/>
    <w:rsid w:val="005F54FB"/>
    <w:rsid w:val="005F5503"/>
    <w:rsid w:val="005F55DE"/>
    <w:rsid w:val="005F5615"/>
    <w:rsid w:val="005F5666"/>
    <w:rsid w:val="005F5761"/>
    <w:rsid w:val="005F57D6"/>
    <w:rsid w:val="005F58FA"/>
    <w:rsid w:val="005F5B6D"/>
    <w:rsid w:val="005F5B9F"/>
    <w:rsid w:val="005F5D78"/>
    <w:rsid w:val="005F5E70"/>
    <w:rsid w:val="005F6082"/>
    <w:rsid w:val="005F627B"/>
    <w:rsid w:val="005F62BC"/>
    <w:rsid w:val="005F631F"/>
    <w:rsid w:val="005F63A0"/>
    <w:rsid w:val="005F6436"/>
    <w:rsid w:val="005F646B"/>
    <w:rsid w:val="005F64AB"/>
    <w:rsid w:val="005F66BB"/>
    <w:rsid w:val="005F67B8"/>
    <w:rsid w:val="005F67EB"/>
    <w:rsid w:val="005F698D"/>
    <w:rsid w:val="005F6BB9"/>
    <w:rsid w:val="005F6C3E"/>
    <w:rsid w:val="005F6CC3"/>
    <w:rsid w:val="005F6E9B"/>
    <w:rsid w:val="005F703D"/>
    <w:rsid w:val="005F72C0"/>
    <w:rsid w:val="005F7463"/>
    <w:rsid w:val="005F748D"/>
    <w:rsid w:val="005F74C9"/>
    <w:rsid w:val="005F756C"/>
    <w:rsid w:val="005F761D"/>
    <w:rsid w:val="005F7688"/>
    <w:rsid w:val="005F76B6"/>
    <w:rsid w:val="005F76EF"/>
    <w:rsid w:val="005F7719"/>
    <w:rsid w:val="005F7892"/>
    <w:rsid w:val="005F7A17"/>
    <w:rsid w:val="005F7B92"/>
    <w:rsid w:val="005F7C0C"/>
    <w:rsid w:val="0060005F"/>
    <w:rsid w:val="00600103"/>
    <w:rsid w:val="00600167"/>
    <w:rsid w:val="006001C5"/>
    <w:rsid w:val="006001FC"/>
    <w:rsid w:val="006004FA"/>
    <w:rsid w:val="0060070D"/>
    <w:rsid w:val="0060086E"/>
    <w:rsid w:val="00600878"/>
    <w:rsid w:val="006008E8"/>
    <w:rsid w:val="00600F32"/>
    <w:rsid w:val="00600F88"/>
    <w:rsid w:val="006010F3"/>
    <w:rsid w:val="0060110A"/>
    <w:rsid w:val="006013B2"/>
    <w:rsid w:val="006013F2"/>
    <w:rsid w:val="006017A7"/>
    <w:rsid w:val="00601836"/>
    <w:rsid w:val="006018A2"/>
    <w:rsid w:val="006019D2"/>
    <w:rsid w:val="00601A75"/>
    <w:rsid w:val="00601C1F"/>
    <w:rsid w:val="00601CA7"/>
    <w:rsid w:val="00601D73"/>
    <w:rsid w:val="00601DD0"/>
    <w:rsid w:val="00601DD2"/>
    <w:rsid w:val="00602061"/>
    <w:rsid w:val="0060265E"/>
    <w:rsid w:val="006028D4"/>
    <w:rsid w:val="00602921"/>
    <w:rsid w:val="00602966"/>
    <w:rsid w:val="00602B4B"/>
    <w:rsid w:val="00602C75"/>
    <w:rsid w:val="00602CDB"/>
    <w:rsid w:val="00602DDE"/>
    <w:rsid w:val="00602F30"/>
    <w:rsid w:val="0060308A"/>
    <w:rsid w:val="0060313A"/>
    <w:rsid w:val="0060332E"/>
    <w:rsid w:val="0060360D"/>
    <w:rsid w:val="00603688"/>
    <w:rsid w:val="006036FB"/>
    <w:rsid w:val="00603888"/>
    <w:rsid w:val="00603BB6"/>
    <w:rsid w:val="00603C7B"/>
    <w:rsid w:val="00603D2E"/>
    <w:rsid w:val="00603E75"/>
    <w:rsid w:val="00603F43"/>
    <w:rsid w:val="0060482D"/>
    <w:rsid w:val="00604979"/>
    <w:rsid w:val="00604C8A"/>
    <w:rsid w:val="00604CD0"/>
    <w:rsid w:val="00604FC2"/>
    <w:rsid w:val="00605099"/>
    <w:rsid w:val="0060517A"/>
    <w:rsid w:val="006051C9"/>
    <w:rsid w:val="006055A1"/>
    <w:rsid w:val="006055C9"/>
    <w:rsid w:val="006055D4"/>
    <w:rsid w:val="006055F3"/>
    <w:rsid w:val="00605645"/>
    <w:rsid w:val="00605759"/>
    <w:rsid w:val="0060578B"/>
    <w:rsid w:val="00605C37"/>
    <w:rsid w:val="00605EAB"/>
    <w:rsid w:val="00605FD1"/>
    <w:rsid w:val="006062AC"/>
    <w:rsid w:val="00606320"/>
    <w:rsid w:val="006063DA"/>
    <w:rsid w:val="006065DE"/>
    <w:rsid w:val="006066EB"/>
    <w:rsid w:val="00606718"/>
    <w:rsid w:val="00606877"/>
    <w:rsid w:val="006069B7"/>
    <w:rsid w:val="00606AFA"/>
    <w:rsid w:val="00606B4B"/>
    <w:rsid w:val="00606BA0"/>
    <w:rsid w:val="006071F2"/>
    <w:rsid w:val="00607237"/>
    <w:rsid w:val="006072D9"/>
    <w:rsid w:val="00607571"/>
    <w:rsid w:val="00607664"/>
    <w:rsid w:val="006076F7"/>
    <w:rsid w:val="0060778B"/>
    <w:rsid w:val="0060799F"/>
    <w:rsid w:val="00607A8F"/>
    <w:rsid w:val="00607AF4"/>
    <w:rsid w:val="00607BBC"/>
    <w:rsid w:val="00607BFF"/>
    <w:rsid w:val="00607CBA"/>
    <w:rsid w:val="00607CFF"/>
    <w:rsid w:val="00607F87"/>
    <w:rsid w:val="00607FD9"/>
    <w:rsid w:val="0061020E"/>
    <w:rsid w:val="00610260"/>
    <w:rsid w:val="006104F7"/>
    <w:rsid w:val="00610536"/>
    <w:rsid w:val="006105DC"/>
    <w:rsid w:val="00610747"/>
    <w:rsid w:val="00610D14"/>
    <w:rsid w:val="00610E7D"/>
    <w:rsid w:val="0061110D"/>
    <w:rsid w:val="00611169"/>
    <w:rsid w:val="006113FE"/>
    <w:rsid w:val="00611515"/>
    <w:rsid w:val="006116CC"/>
    <w:rsid w:val="00611730"/>
    <w:rsid w:val="00611900"/>
    <w:rsid w:val="00611A1B"/>
    <w:rsid w:val="00612053"/>
    <w:rsid w:val="0061206B"/>
    <w:rsid w:val="006121F8"/>
    <w:rsid w:val="0061233A"/>
    <w:rsid w:val="006126FF"/>
    <w:rsid w:val="0061276A"/>
    <w:rsid w:val="00612BC3"/>
    <w:rsid w:val="00612C0F"/>
    <w:rsid w:val="00612CD7"/>
    <w:rsid w:val="00612D15"/>
    <w:rsid w:val="0061309B"/>
    <w:rsid w:val="00613151"/>
    <w:rsid w:val="0061362A"/>
    <w:rsid w:val="00613650"/>
    <w:rsid w:val="006137F2"/>
    <w:rsid w:val="006138E9"/>
    <w:rsid w:val="00613E23"/>
    <w:rsid w:val="00613E7F"/>
    <w:rsid w:val="00613EF9"/>
    <w:rsid w:val="00613FC4"/>
    <w:rsid w:val="006141CD"/>
    <w:rsid w:val="00614259"/>
    <w:rsid w:val="00614283"/>
    <w:rsid w:val="0061433B"/>
    <w:rsid w:val="0061444B"/>
    <w:rsid w:val="00614499"/>
    <w:rsid w:val="00614558"/>
    <w:rsid w:val="00614A05"/>
    <w:rsid w:val="00614D06"/>
    <w:rsid w:val="00614DB0"/>
    <w:rsid w:val="00614F8C"/>
    <w:rsid w:val="00615009"/>
    <w:rsid w:val="0061538C"/>
    <w:rsid w:val="006153C1"/>
    <w:rsid w:val="00615A9A"/>
    <w:rsid w:val="00615F28"/>
    <w:rsid w:val="00615FBB"/>
    <w:rsid w:val="00615FCC"/>
    <w:rsid w:val="0061601D"/>
    <w:rsid w:val="006165E6"/>
    <w:rsid w:val="0061684A"/>
    <w:rsid w:val="00616949"/>
    <w:rsid w:val="00616A3C"/>
    <w:rsid w:val="00616BAD"/>
    <w:rsid w:val="00616CAB"/>
    <w:rsid w:val="00616EED"/>
    <w:rsid w:val="006170C4"/>
    <w:rsid w:val="0061714F"/>
    <w:rsid w:val="00617282"/>
    <w:rsid w:val="00617292"/>
    <w:rsid w:val="006172FB"/>
    <w:rsid w:val="00617561"/>
    <w:rsid w:val="00617705"/>
    <w:rsid w:val="0061780A"/>
    <w:rsid w:val="006179F2"/>
    <w:rsid w:val="006179F9"/>
    <w:rsid w:val="00617BDA"/>
    <w:rsid w:val="00617CDB"/>
    <w:rsid w:val="00617CEA"/>
    <w:rsid w:val="00617D30"/>
    <w:rsid w:val="00617E5E"/>
    <w:rsid w:val="0062004A"/>
    <w:rsid w:val="00620174"/>
    <w:rsid w:val="006202A0"/>
    <w:rsid w:val="00620337"/>
    <w:rsid w:val="00620495"/>
    <w:rsid w:val="00620560"/>
    <w:rsid w:val="006207EF"/>
    <w:rsid w:val="00620931"/>
    <w:rsid w:val="0062095F"/>
    <w:rsid w:val="00620960"/>
    <w:rsid w:val="00620976"/>
    <w:rsid w:val="00620C58"/>
    <w:rsid w:val="00620D22"/>
    <w:rsid w:val="00620D67"/>
    <w:rsid w:val="00620E8F"/>
    <w:rsid w:val="00620EC1"/>
    <w:rsid w:val="00620F32"/>
    <w:rsid w:val="00620FBE"/>
    <w:rsid w:val="0062102D"/>
    <w:rsid w:val="00621076"/>
    <w:rsid w:val="006210D2"/>
    <w:rsid w:val="00621129"/>
    <w:rsid w:val="006211B6"/>
    <w:rsid w:val="00621388"/>
    <w:rsid w:val="006213F0"/>
    <w:rsid w:val="006214BD"/>
    <w:rsid w:val="006216A7"/>
    <w:rsid w:val="00621945"/>
    <w:rsid w:val="00621AFF"/>
    <w:rsid w:val="00621BDE"/>
    <w:rsid w:val="00621CDB"/>
    <w:rsid w:val="00621DD2"/>
    <w:rsid w:val="00621EB4"/>
    <w:rsid w:val="00621FB3"/>
    <w:rsid w:val="00621FBD"/>
    <w:rsid w:val="00622191"/>
    <w:rsid w:val="006221A1"/>
    <w:rsid w:val="006221CB"/>
    <w:rsid w:val="0062220C"/>
    <w:rsid w:val="00622310"/>
    <w:rsid w:val="006223D7"/>
    <w:rsid w:val="006224E5"/>
    <w:rsid w:val="00622ACF"/>
    <w:rsid w:val="00622B31"/>
    <w:rsid w:val="00622C94"/>
    <w:rsid w:val="00622DFF"/>
    <w:rsid w:val="00622E03"/>
    <w:rsid w:val="00623007"/>
    <w:rsid w:val="00623261"/>
    <w:rsid w:val="00623308"/>
    <w:rsid w:val="00623357"/>
    <w:rsid w:val="00623A01"/>
    <w:rsid w:val="00623B03"/>
    <w:rsid w:val="00623C45"/>
    <w:rsid w:val="00623CA2"/>
    <w:rsid w:val="00623CD4"/>
    <w:rsid w:val="00623E09"/>
    <w:rsid w:val="00623FCC"/>
    <w:rsid w:val="00624015"/>
    <w:rsid w:val="00624266"/>
    <w:rsid w:val="0062429E"/>
    <w:rsid w:val="006243A4"/>
    <w:rsid w:val="006244DB"/>
    <w:rsid w:val="0062458E"/>
    <w:rsid w:val="006246E0"/>
    <w:rsid w:val="006246E2"/>
    <w:rsid w:val="00624705"/>
    <w:rsid w:val="0062495D"/>
    <w:rsid w:val="00624CB0"/>
    <w:rsid w:val="00624D8D"/>
    <w:rsid w:val="00624F65"/>
    <w:rsid w:val="00624FB2"/>
    <w:rsid w:val="00625027"/>
    <w:rsid w:val="006253FF"/>
    <w:rsid w:val="00625623"/>
    <w:rsid w:val="0062563C"/>
    <w:rsid w:val="006256DE"/>
    <w:rsid w:val="006258FC"/>
    <w:rsid w:val="006259AB"/>
    <w:rsid w:val="00625AF1"/>
    <w:rsid w:val="00625CDA"/>
    <w:rsid w:val="00625D24"/>
    <w:rsid w:val="00625DC1"/>
    <w:rsid w:val="00625E3A"/>
    <w:rsid w:val="0062612D"/>
    <w:rsid w:val="006261DC"/>
    <w:rsid w:val="006261EF"/>
    <w:rsid w:val="00626376"/>
    <w:rsid w:val="00626427"/>
    <w:rsid w:val="00626489"/>
    <w:rsid w:val="006264B4"/>
    <w:rsid w:val="006266D8"/>
    <w:rsid w:val="006267D5"/>
    <w:rsid w:val="0062690E"/>
    <w:rsid w:val="0062696A"/>
    <w:rsid w:val="00626A7F"/>
    <w:rsid w:val="00626AFD"/>
    <w:rsid w:val="00626BDC"/>
    <w:rsid w:val="00626C1E"/>
    <w:rsid w:val="00626DBD"/>
    <w:rsid w:val="00626E95"/>
    <w:rsid w:val="00627122"/>
    <w:rsid w:val="0062742C"/>
    <w:rsid w:val="0062755E"/>
    <w:rsid w:val="00627629"/>
    <w:rsid w:val="006277F5"/>
    <w:rsid w:val="006278E1"/>
    <w:rsid w:val="00627982"/>
    <w:rsid w:val="00627A93"/>
    <w:rsid w:val="00627ACB"/>
    <w:rsid w:val="00627B30"/>
    <w:rsid w:val="00627E7B"/>
    <w:rsid w:val="0063000A"/>
    <w:rsid w:val="0063008E"/>
    <w:rsid w:val="006301D9"/>
    <w:rsid w:val="0063032C"/>
    <w:rsid w:val="00630618"/>
    <w:rsid w:val="0063061C"/>
    <w:rsid w:val="00630745"/>
    <w:rsid w:val="00630759"/>
    <w:rsid w:val="00630856"/>
    <w:rsid w:val="00630A8B"/>
    <w:rsid w:val="00630AB3"/>
    <w:rsid w:val="00630B7C"/>
    <w:rsid w:val="00630C20"/>
    <w:rsid w:val="0063133A"/>
    <w:rsid w:val="006315B4"/>
    <w:rsid w:val="006315D1"/>
    <w:rsid w:val="006316C2"/>
    <w:rsid w:val="006318A2"/>
    <w:rsid w:val="006318E1"/>
    <w:rsid w:val="00631BFE"/>
    <w:rsid w:val="00631CF3"/>
    <w:rsid w:val="00631CFF"/>
    <w:rsid w:val="00631D1C"/>
    <w:rsid w:val="00631E0F"/>
    <w:rsid w:val="00631E51"/>
    <w:rsid w:val="00632033"/>
    <w:rsid w:val="0063219C"/>
    <w:rsid w:val="0063241A"/>
    <w:rsid w:val="0063268F"/>
    <w:rsid w:val="0063281D"/>
    <w:rsid w:val="00632AFC"/>
    <w:rsid w:val="00632B17"/>
    <w:rsid w:val="00632BD8"/>
    <w:rsid w:val="00632F18"/>
    <w:rsid w:val="006331AD"/>
    <w:rsid w:val="006332E9"/>
    <w:rsid w:val="006335E7"/>
    <w:rsid w:val="006339DD"/>
    <w:rsid w:val="00633CCB"/>
    <w:rsid w:val="00633DD8"/>
    <w:rsid w:val="00634297"/>
    <w:rsid w:val="00634309"/>
    <w:rsid w:val="006343F1"/>
    <w:rsid w:val="006344DD"/>
    <w:rsid w:val="00634672"/>
    <w:rsid w:val="0063470F"/>
    <w:rsid w:val="00634736"/>
    <w:rsid w:val="006347B7"/>
    <w:rsid w:val="00634806"/>
    <w:rsid w:val="00634898"/>
    <w:rsid w:val="00634A0C"/>
    <w:rsid w:val="00634BBD"/>
    <w:rsid w:val="00634C21"/>
    <w:rsid w:val="00634CC3"/>
    <w:rsid w:val="00634E2F"/>
    <w:rsid w:val="00634F2F"/>
    <w:rsid w:val="00634F4B"/>
    <w:rsid w:val="0063509A"/>
    <w:rsid w:val="006350C6"/>
    <w:rsid w:val="0063510C"/>
    <w:rsid w:val="00635131"/>
    <w:rsid w:val="00635205"/>
    <w:rsid w:val="0063520C"/>
    <w:rsid w:val="0063527E"/>
    <w:rsid w:val="00635495"/>
    <w:rsid w:val="006357C6"/>
    <w:rsid w:val="006357D9"/>
    <w:rsid w:val="00635A37"/>
    <w:rsid w:val="00635D00"/>
    <w:rsid w:val="00635F06"/>
    <w:rsid w:val="00636312"/>
    <w:rsid w:val="00636440"/>
    <w:rsid w:val="00636470"/>
    <w:rsid w:val="006364DB"/>
    <w:rsid w:val="006365B6"/>
    <w:rsid w:val="006369B2"/>
    <w:rsid w:val="00636BFC"/>
    <w:rsid w:val="00636C05"/>
    <w:rsid w:val="00637038"/>
    <w:rsid w:val="0063715E"/>
    <w:rsid w:val="00637179"/>
    <w:rsid w:val="006371F4"/>
    <w:rsid w:val="00637251"/>
    <w:rsid w:val="00637412"/>
    <w:rsid w:val="0063746C"/>
    <w:rsid w:val="006375DC"/>
    <w:rsid w:val="0063763B"/>
    <w:rsid w:val="006377A6"/>
    <w:rsid w:val="00637870"/>
    <w:rsid w:val="00637931"/>
    <w:rsid w:val="0063796E"/>
    <w:rsid w:val="00637BBB"/>
    <w:rsid w:val="00637C87"/>
    <w:rsid w:val="00637CE9"/>
    <w:rsid w:val="00637D17"/>
    <w:rsid w:val="00637EC3"/>
    <w:rsid w:val="00637FAD"/>
    <w:rsid w:val="00637FF4"/>
    <w:rsid w:val="006400A9"/>
    <w:rsid w:val="006401BE"/>
    <w:rsid w:val="0064047C"/>
    <w:rsid w:val="006404BA"/>
    <w:rsid w:val="006404DB"/>
    <w:rsid w:val="006405EE"/>
    <w:rsid w:val="00640654"/>
    <w:rsid w:val="00640727"/>
    <w:rsid w:val="006407A5"/>
    <w:rsid w:val="00640805"/>
    <w:rsid w:val="00640946"/>
    <w:rsid w:val="00640B0B"/>
    <w:rsid w:val="00640C94"/>
    <w:rsid w:val="00640DBE"/>
    <w:rsid w:val="00640DCD"/>
    <w:rsid w:val="00640F3B"/>
    <w:rsid w:val="0064113E"/>
    <w:rsid w:val="00641313"/>
    <w:rsid w:val="00641334"/>
    <w:rsid w:val="006413B4"/>
    <w:rsid w:val="00641424"/>
    <w:rsid w:val="0064144A"/>
    <w:rsid w:val="0064151C"/>
    <w:rsid w:val="00641622"/>
    <w:rsid w:val="006417DB"/>
    <w:rsid w:val="00641879"/>
    <w:rsid w:val="0064191E"/>
    <w:rsid w:val="0064193B"/>
    <w:rsid w:val="00641A2D"/>
    <w:rsid w:val="00641A93"/>
    <w:rsid w:val="00642166"/>
    <w:rsid w:val="006421EE"/>
    <w:rsid w:val="006421FB"/>
    <w:rsid w:val="006422DB"/>
    <w:rsid w:val="006423D3"/>
    <w:rsid w:val="0064246A"/>
    <w:rsid w:val="006425AC"/>
    <w:rsid w:val="00642636"/>
    <w:rsid w:val="006428A4"/>
    <w:rsid w:val="00642904"/>
    <w:rsid w:val="00642A10"/>
    <w:rsid w:val="00642A19"/>
    <w:rsid w:val="00642B5B"/>
    <w:rsid w:val="00642C3D"/>
    <w:rsid w:val="00642F10"/>
    <w:rsid w:val="00642FD8"/>
    <w:rsid w:val="00642FE2"/>
    <w:rsid w:val="006431E9"/>
    <w:rsid w:val="0064320F"/>
    <w:rsid w:val="00643421"/>
    <w:rsid w:val="00643723"/>
    <w:rsid w:val="00643799"/>
    <w:rsid w:val="006437BB"/>
    <w:rsid w:val="006438E1"/>
    <w:rsid w:val="006439D5"/>
    <w:rsid w:val="006439FC"/>
    <w:rsid w:val="00643A5B"/>
    <w:rsid w:val="00643A62"/>
    <w:rsid w:val="00643CF4"/>
    <w:rsid w:val="00643D42"/>
    <w:rsid w:val="00643D5E"/>
    <w:rsid w:val="00643D93"/>
    <w:rsid w:val="00643DC7"/>
    <w:rsid w:val="006440B9"/>
    <w:rsid w:val="006441D6"/>
    <w:rsid w:val="006441DF"/>
    <w:rsid w:val="006442F2"/>
    <w:rsid w:val="00644410"/>
    <w:rsid w:val="0064448D"/>
    <w:rsid w:val="006446D8"/>
    <w:rsid w:val="00644795"/>
    <w:rsid w:val="0064485D"/>
    <w:rsid w:val="00644CAB"/>
    <w:rsid w:val="00644CC3"/>
    <w:rsid w:val="00644DCE"/>
    <w:rsid w:val="00644E67"/>
    <w:rsid w:val="00644FE5"/>
    <w:rsid w:val="00645040"/>
    <w:rsid w:val="0064504F"/>
    <w:rsid w:val="006450D1"/>
    <w:rsid w:val="006452B5"/>
    <w:rsid w:val="006453B4"/>
    <w:rsid w:val="006455F5"/>
    <w:rsid w:val="0064571B"/>
    <w:rsid w:val="00645C54"/>
    <w:rsid w:val="00645EE5"/>
    <w:rsid w:val="00645F0E"/>
    <w:rsid w:val="00646055"/>
    <w:rsid w:val="006461BB"/>
    <w:rsid w:val="0064622C"/>
    <w:rsid w:val="00646990"/>
    <w:rsid w:val="006469DE"/>
    <w:rsid w:val="00646AFF"/>
    <w:rsid w:val="00646B4B"/>
    <w:rsid w:val="00646BDA"/>
    <w:rsid w:val="00646C13"/>
    <w:rsid w:val="00646C59"/>
    <w:rsid w:val="00646D13"/>
    <w:rsid w:val="00646D21"/>
    <w:rsid w:val="00646D8D"/>
    <w:rsid w:val="00646F54"/>
    <w:rsid w:val="00647081"/>
    <w:rsid w:val="00647193"/>
    <w:rsid w:val="006471A3"/>
    <w:rsid w:val="006474AF"/>
    <w:rsid w:val="0064759C"/>
    <w:rsid w:val="006475A1"/>
    <w:rsid w:val="00647723"/>
    <w:rsid w:val="0064776E"/>
    <w:rsid w:val="00647892"/>
    <w:rsid w:val="006478E8"/>
    <w:rsid w:val="00647933"/>
    <w:rsid w:val="00647999"/>
    <w:rsid w:val="006479A1"/>
    <w:rsid w:val="00647A1A"/>
    <w:rsid w:val="00647A64"/>
    <w:rsid w:val="00647EB1"/>
    <w:rsid w:val="00647F11"/>
    <w:rsid w:val="00647F91"/>
    <w:rsid w:val="00647F9B"/>
    <w:rsid w:val="00650061"/>
    <w:rsid w:val="006501BC"/>
    <w:rsid w:val="006501F4"/>
    <w:rsid w:val="00650604"/>
    <w:rsid w:val="006506B8"/>
    <w:rsid w:val="006507A2"/>
    <w:rsid w:val="00650829"/>
    <w:rsid w:val="00650C46"/>
    <w:rsid w:val="00650DD7"/>
    <w:rsid w:val="00650E3B"/>
    <w:rsid w:val="006510A6"/>
    <w:rsid w:val="00651177"/>
    <w:rsid w:val="00651301"/>
    <w:rsid w:val="00651377"/>
    <w:rsid w:val="0065139F"/>
    <w:rsid w:val="00651442"/>
    <w:rsid w:val="006516B5"/>
    <w:rsid w:val="0065170F"/>
    <w:rsid w:val="006517DD"/>
    <w:rsid w:val="00651A9F"/>
    <w:rsid w:val="00651C24"/>
    <w:rsid w:val="00651D9B"/>
    <w:rsid w:val="00651F59"/>
    <w:rsid w:val="00652183"/>
    <w:rsid w:val="00652191"/>
    <w:rsid w:val="00652213"/>
    <w:rsid w:val="00652468"/>
    <w:rsid w:val="006524DA"/>
    <w:rsid w:val="0065270A"/>
    <w:rsid w:val="006527AC"/>
    <w:rsid w:val="006527AE"/>
    <w:rsid w:val="006527B1"/>
    <w:rsid w:val="006528B4"/>
    <w:rsid w:val="00652A82"/>
    <w:rsid w:val="00652AF2"/>
    <w:rsid w:val="00652C5D"/>
    <w:rsid w:val="00652D27"/>
    <w:rsid w:val="00652F4A"/>
    <w:rsid w:val="00652F80"/>
    <w:rsid w:val="00652FD7"/>
    <w:rsid w:val="0065302B"/>
    <w:rsid w:val="006530F3"/>
    <w:rsid w:val="00653184"/>
    <w:rsid w:val="006532F0"/>
    <w:rsid w:val="00653314"/>
    <w:rsid w:val="0065331D"/>
    <w:rsid w:val="006535E8"/>
    <w:rsid w:val="006537C7"/>
    <w:rsid w:val="00653A9C"/>
    <w:rsid w:val="00653D73"/>
    <w:rsid w:val="00654139"/>
    <w:rsid w:val="006541AE"/>
    <w:rsid w:val="00654538"/>
    <w:rsid w:val="006545F1"/>
    <w:rsid w:val="00654640"/>
    <w:rsid w:val="006546F5"/>
    <w:rsid w:val="00654778"/>
    <w:rsid w:val="0065488E"/>
    <w:rsid w:val="00654944"/>
    <w:rsid w:val="00654A5A"/>
    <w:rsid w:val="00654AFF"/>
    <w:rsid w:val="00654B5C"/>
    <w:rsid w:val="00654C08"/>
    <w:rsid w:val="00654D5E"/>
    <w:rsid w:val="00654DF0"/>
    <w:rsid w:val="00654FC6"/>
    <w:rsid w:val="00655088"/>
    <w:rsid w:val="00655182"/>
    <w:rsid w:val="0065518E"/>
    <w:rsid w:val="006553E3"/>
    <w:rsid w:val="00655405"/>
    <w:rsid w:val="00655A2F"/>
    <w:rsid w:val="00655A6E"/>
    <w:rsid w:val="00655E62"/>
    <w:rsid w:val="00655E98"/>
    <w:rsid w:val="00655FCD"/>
    <w:rsid w:val="00656374"/>
    <w:rsid w:val="00656478"/>
    <w:rsid w:val="006565B8"/>
    <w:rsid w:val="006566C0"/>
    <w:rsid w:val="006568B2"/>
    <w:rsid w:val="006568C1"/>
    <w:rsid w:val="00656B25"/>
    <w:rsid w:val="00656B64"/>
    <w:rsid w:val="00656CC6"/>
    <w:rsid w:val="00656E56"/>
    <w:rsid w:val="00656EC5"/>
    <w:rsid w:val="00657021"/>
    <w:rsid w:val="006571DB"/>
    <w:rsid w:val="0065733C"/>
    <w:rsid w:val="00657404"/>
    <w:rsid w:val="00657482"/>
    <w:rsid w:val="0065767C"/>
    <w:rsid w:val="00657690"/>
    <w:rsid w:val="006577FE"/>
    <w:rsid w:val="006579F9"/>
    <w:rsid w:val="00657A99"/>
    <w:rsid w:val="00657DDE"/>
    <w:rsid w:val="00657E49"/>
    <w:rsid w:val="00657EA7"/>
    <w:rsid w:val="00657F3A"/>
    <w:rsid w:val="00657FA4"/>
    <w:rsid w:val="0066050B"/>
    <w:rsid w:val="006605B8"/>
    <w:rsid w:val="006607CD"/>
    <w:rsid w:val="00660881"/>
    <w:rsid w:val="00660932"/>
    <w:rsid w:val="00660BBD"/>
    <w:rsid w:val="00660F98"/>
    <w:rsid w:val="00661013"/>
    <w:rsid w:val="0066107B"/>
    <w:rsid w:val="006611DA"/>
    <w:rsid w:val="00661241"/>
    <w:rsid w:val="0066130D"/>
    <w:rsid w:val="00661469"/>
    <w:rsid w:val="0066154D"/>
    <w:rsid w:val="006615BC"/>
    <w:rsid w:val="006616F0"/>
    <w:rsid w:val="0066172E"/>
    <w:rsid w:val="006617AD"/>
    <w:rsid w:val="00661809"/>
    <w:rsid w:val="006618E4"/>
    <w:rsid w:val="006619C4"/>
    <w:rsid w:val="00661B85"/>
    <w:rsid w:val="00661EF0"/>
    <w:rsid w:val="00662013"/>
    <w:rsid w:val="006620C5"/>
    <w:rsid w:val="00662222"/>
    <w:rsid w:val="006624C8"/>
    <w:rsid w:val="00662673"/>
    <w:rsid w:val="0066281C"/>
    <w:rsid w:val="00662957"/>
    <w:rsid w:val="0066295F"/>
    <w:rsid w:val="00662A21"/>
    <w:rsid w:val="00662B35"/>
    <w:rsid w:val="00662CAA"/>
    <w:rsid w:val="00662CEF"/>
    <w:rsid w:val="00662EB1"/>
    <w:rsid w:val="00663172"/>
    <w:rsid w:val="00663337"/>
    <w:rsid w:val="006635B4"/>
    <w:rsid w:val="006635EC"/>
    <w:rsid w:val="00663628"/>
    <w:rsid w:val="00663673"/>
    <w:rsid w:val="0066380A"/>
    <w:rsid w:val="006639DE"/>
    <w:rsid w:val="00663B03"/>
    <w:rsid w:val="00663B0A"/>
    <w:rsid w:val="00663B7D"/>
    <w:rsid w:val="00663BC6"/>
    <w:rsid w:val="00663E5D"/>
    <w:rsid w:val="00664159"/>
    <w:rsid w:val="00664219"/>
    <w:rsid w:val="00664232"/>
    <w:rsid w:val="00664332"/>
    <w:rsid w:val="006645F6"/>
    <w:rsid w:val="006649C2"/>
    <w:rsid w:val="00664C68"/>
    <w:rsid w:val="00664EC1"/>
    <w:rsid w:val="0066507F"/>
    <w:rsid w:val="00665355"/>
    <w:rsid w:val="00665452"/>
    <w:rsid w:val="0066551F"/>
    <w:rsid w:val="0066554A"/>
    <w:rsid w:val="006655B2"/>
    <w:rsid w:val="006658B8"/>
    <w:rsid w:val="006659B4"/>
    <w:rsid w:val="00665AE0"/>
    <w:rsid w:val="00665C75"/>
    <w:rsid w:val="00665CA1"/>
    <w:rsid w:val="00665CE4"/>
    <w:rsid w:val="00665F26"/>
    <w:rsid w:val="006661DF"/>
    <w:rsid w:val="00666273"/>
    <w:rsid w:val="00666368"/>
    <w:rsid w:val="006666D4"/>
    <w:rsid w:val="00666B67"/>
    <w:rsid w:val="00666C7C"/>
    <w:rsid w:val="00666D45"/>
    <w:rsid w:val="00666DF3"/>
    <w:rsid w:val="00666EFE"/>
    <w:rsid w:val="0066711F"/>
    <w:rsid w:val="006671F5"/>
    <w:rsid w:val="006672F9"/>
    <w:rsid w:val="0066745A"/>
    <w:rsid w:val="00667471"/>
    <w:rsid w:val="0066767E"/>
    <w:rsid w:val="006679BF"/>
    <w:rsid w:val="00667C9A"/>
    <w:rsid w:val="00667ED2"/>
    <w:rsid w:val="006700EF"/>
    <w:rsid w:val="006702B1"/>
    <w:rsid w:val="00670378"/>
    <w:rsid w:val="006706F8"/>
    <w:rsid w:val="0067076E"/>
    <w:rsid w:val="00670B00"/>
    <w:rsid w:val="00670B5E"/>
    <w:rsid w:val="00670BE8"/>
    <w:rsid w:val="00670CB5"/>
    <w:rsid w:val="00670D35"/>
    <w:rsid w:val="00670E6A"/>
    <w:rsid w:val="00670E9B"/>
    <w:rsid w:val="00670ED5"/>
    <w:rsid w:val="00670F09"/>
    <w:rsid w:val="0067103D"/>
    <w:rsid w:val="00671200"/>
    <w:rsid w:val="00671351"/>
    <w:rsid w:val="00671471"/>
    <w:rsid w:val="006714A1"/>
    <w:rsid w:val="0067156A"/>
    <w:rsid w:val="006715B8"/>
    <w:rsid w:val="006717C6"/>
    <w:rsid w:val="00671972"/>
    <w:rsid w:val="00671A07"/>
    <w:rsid w:val="00671A45"/>
    <w:rsid w:val="00671ABA"/>
    <w:rsid w:val="00671D1E"/>
    <w:rsid w:val="00671DE0"/>
    <w:rsid w:val="00671F32"/>
    <w:rsid w:val="00672215"/>
    <w:rsid w:val="0067278C"/>
    <w:rsid w:val="00672829"/>
    <w:rsid w:val="00672A09"/>
    <w:rsid w:val="00672E3D"/>
    <w:rsid w:val="006730AB"/>
    <w:rsid w:val="0067340F"/>
    <w:rsid w:val="006734D1"/>
    <w:rsid w:val="006734E4"/>
    <w:rsid w:val="00673540"/>
    <w:rsid w:val="0067354B"/>
    <w:rsid w:val="006735E0"/>
    <w:rsid w:val="006737CB"/>
    <w:rsid w:val="0067384B"/>
    <w:rsid w:val="00673934"/>
    <w:rsid w:val="00673966"/>
    <w:rsid w:val="006739CC"/>
    <w:rsid w:val="00673A7B"/>
    <w:rsid w:val="00673BD0"/>
    <w:rsid w:val="00673C81"/>
    <w:rsid w:val="00673EC3"/>
    <w:rsid w:val="00673F75"/>
    <w:rsid w:val="006740F3"/>
    <w:rsid w:val="00674154"/>
    <w:rsid w:val="00674445"/>
    <w:rsid w:val="00674537"/>
    <w:rsid w:val="0067489C"/>
    <w:rsid w:val="00674A9E"/>
    <w:rsid w:val="00674C66"/>
    <w:rsid w:val="00674C9A"/>
    <w:rsid w:val="00674D2B"/>
    <w:rsid w:val="00674D2E"/>
    <w:rsid w:val="00674EF1"/>
    <w:rsid w:val="00675108"/>
    <w:rsid w:val="006752E7"/>
    <w:rsid w:val="00675457"/>
    <w:rsid w:val="006754BE"/>
    <w:rsid w:val="006755BF"/>
    <w:rsid w:val="00675636"/>
    <w:rsid w:val="00675798"/>
    <w:rsid w:val="0067593D"/>
    <w:rsid w:val="00675A0C"/>
    <w:rsid w:val="00675AAE"/>
    <w:rsid w:val="00675FD0"/>
    <w:rsid w:val="00676081"/>
    <w:rsid w:val="00676273"/>
    <w:rsid w:val="006763E9"/>
    <w:rsid w:val="00676452"/>
    <w:rsid w:val="006765D8"/>
    <w:rsid w:val="006768BD"/>
    <w:rsid w:val="00676B87"/>
    <w:rsid w:val="00676D47"/>
    <w:rsid w:val="00676E56"/>
    <w:rsid w:val="00676F4D"/>
    <w:rsid w:val="00677366"/>
    <w:rsid w:val="00677397"/>
    <w:rsid w:val="006774CB"/>
    <w:rsid w:val="0067793A"/>
    <w:rsid w:val="00677968"/>
    <w:rsid w:val="00677C39"/>
    <w:rsid w:val="00677C6D"/>
    <w:rsid w:val="00677DA5"/>
    <w:rsid w:val="00677FBC"/>
    <w:rsid w:val="0068022A"/>
    <w:rsid w:val="006802EB"/>
    <w:rsid w:val="0068032F"/>
    <w:rsid w:val="00680395"/>
    <w:rsid w:val="00680505"/>
    <w:rsid w:val="00680709"/>
    <w:rsid w:val="00680776"/>
    <w:rsid w:val="00680797"/>
    <w:rsid w:val="006807C4"/>
    <w:rsid w:val="00680983"/>
    <w:rsid w:val="00680BC3"/>
    <w:rsid w:val="00680C14"/>
    <w:rsid w:val="00680CC7"/>
    <w:rsid w:val="00680E05"/>
    <w:rsid w:val="00680E74"/>
    <w:rsid w:val="00680F74"/>
    <w:rsid w:val="00681080"/>
    <w:rsid w:val="00681178"/>
    <w:rsid w:val="00681680"/>
    <w:rsid w:val="00681789"/>
    <w:rsid w:val="00681A96"/>
    <w:rsid w:val="00681AD4"/>
    <w:rsid w:val="00681B12"/>
    <w:rsid w:val="00681B56"/>
    <w:rsid w:val="00681B71"/>
    <w:rsid w:val="00681C0C"/>
    <w:rsid w:val="00681E17"/>
    <w:rsid w:val="00681F42"/>
    <w:rsid w:val="00681F71"/>
    <w:rsid w:val="00681FFF"/>
    <w:rsid w:val="00682097"/>
    <w:rsid w:val="00682129"/>
    <w:rsid w:val="0068219D"/>
    <w:rsid w:val="006822CF"/>
    <w:rsid w:val="00682341"/>
    <w:rsid w:val="006827E4"/>
    <w:rsid w:val="0068282D"/>
    <w:rsid w:val="00682A4C"/>
    <w:rsid w:val="00682A91"/>
    <w:rsid w:val="00682BAB"/>
    <w:rsid w:val="00682BE6"/>
    <w:rsid w:val="006832FF"/>
    <w:rsid w:val="0068338D"/>
    <w:rsid w:val="00683391"/>
    <w:rsid w:val="00683459"/>
    <w:rsid w:val="00683544"/>
    <w:rsid w:val="00683574"/>
    <w:rsid w:val="006837DF"/>
    <w:rsid w:val="006837E1"/>
    <w:rsid w:val="00683849"/>
    <w:rsid w:val="006839AF"/>
    <w:rsid w:val="00683C9B"/>
    <w:rsid w:val="00683D0F"/>
    <w:rsid w:val="00683D23"/>
    <w:rsid w:val="00683D2C"/>
    <w:rsid w:val="0068404D"/>
    <w:rsid w:val="00684131"/>
    <w:rsid w:val="0068413A"/>
    <w:rsid w:val="006841D8"/>
    <w:rsid w:val="006842D9"/>
    <w:rsid w:val="006846C2"/>
    <w:rsid w:val="00684765"/>
    <w:rsid w:val="006847FD"/>
    <w:rsid w:val="006848B5"/>
    <w:rsid w:val="006849DE"/>
    <w:rsid w:val="00684AC6"/>
    <w:rsid w:val="00684B47"/>
    <w:rsid w:val="00684D98"/>
    <w:rsid w:val="00685280"/>
    <w:rsid w:val="006853B3"/>
    <w:rsid w:val="00685401"/>
    <w:rsid w:val="006856FA"/>
    <w:rsid w:val="0068574B"/>
    <w:rsid w:val="006858AB"/>
    <w:rsid w:val="006858F9"/>
    <w:rsid w:val="006859D0"/>
    <w:rsid w:val="00685A52"/>
    <w:rsid w:val="00685ABA"/>
    <w:rsid w:val="00685BD4"/>
    <w:rsid w:val="00685CFB"/>
    <w:rsid w:val="00685E54"/>
    <w:rsid w:val="006861A5"/>
    <w:rsid w:val="00686230"/>
    <w:rsid w:val="006862E7"/>
    <w:rsid w:val="006863AB"/>
    <w:rsid w:val="006864B5"/>
    <w:rsid w:val="006864B9"/>
    <w:rsid w:val="00686504"/>
    <w:rsid w:val="006866EE"/>
    <w:rsid w:val="00686890"/>
    <w:rsid w:val="006869C8"/>
    <w:rsid w:val="00686A81"/>
    <w:rsid w:val="00686C24"/>
    <w:rsid w:val="00686EE5"/>
    <w:rsid w:val="00686EEE"/>
    <w:rsid w:val="00686FCE"/>
    <w:rsid w:val="00687087"/>
    <w:rsid w:val="0068720C"/>
    <w:rsid w:val="00687440"/>
    <w:rsid w:val="006875B0"/>
    <w:rsid w:val="0068772B"/>
    <w:rsid w:val="00687866"/>
    <w:rsid w:val="00687A83"/>
    <w:rsid w:val="00687C74"/>
    <w:rsid w:val="00687D78"/>
    <w:rsid w:val="00687D9E"/>
    <w:rsid w:val="00687E48"/>
    <w:rsid w:val="006900C3"/>
    <w:rsid w:val="006902AB"/>
    <w:rsid w:val="006903F3"/>
    <w:rsid w:val="00690965"/>
    <w:rsid w:val="00690B9E"/>
    <w:rsid w:val="00690CB9"/>
    <w:rsid w:val="00690EF7"/>
    <w:rsid w:val="00691245"/>
    <w:rsid w:val="006912D0"/>
    <w:rsid w:val="00691519"/>
    <w:rsid w:val="00691548"/>
    <w:rsid w:val="00691635"/>
    <w:rsid w:val="0069171B"/>
    <w:rsid w:val="00691805"/>
    <w:rsid w:val="0069196F"/>
    <w:rsid w:val="006919C2"/>
    <w:rsid w:val="00691A33"/>
    <w:rsid w:val="00691A57"/>
    <w:rsid w:val="00691C28"/>
    <w:rsid w:val="00691C30"/>
    <w:rsid w:val="00691D8E"/>
    <w:rsid w:val="00691DCF"/>
    <w:rsid w:val="00692327"/>
    <w:rsid w:val="00692670"/>
    <w:rsid w:val="0069269E"/>
    <w:rsid w:val="006926FB"/>
    <w:rsid w:val="00692AC5"/>
    <w:rsid w:val="00692C43"/>
    <w:rsid w:val="00692CC4"/>
    <w:rsid w:val="00692EA0"/>
    <w:rsid w:val="00692EA6"/>
    <w:rsid w:val="00693322"/>
    <w:rsid w:val="00693571"/>
    <w:rsid w:val="006936C8"/>
    <w:rsid w:val="00693762"/>
    <w:rsid w:val="00693917"/>
    <w:rsid w:val="006939D3"/>
    <w:rsid w:val="00693A3F"/>
    <w:rsid w:val="00693BBC"/>
    <w:rsid w:val="00693D68"/>
    <w:rsid w:val="0069407F"/>
    <w:rsid w:val="006940DD"/>
    <w:rsid w:val="006940FE"/>
    <w:rsid w:val="0069413F"/>
    <w:rsid w:val="0069425A"/>
    <w:rsid w:val="0069467D"/>
    <w:rsid w:val="006946BD"/>
    <w:rsid w:val="00694A51"/>
    <w:rsid w:val="00694A66"/>
    <w:rsid w:val="00694ABD"/>
    <w:rsid w:val="00694D53"/>
    <w:rsid w:val="00694DA7"/>
    <w:rsid w:val="00694E21"/>
    <w:rsid w:val="00695405"/>
    <w:rsid w:val="0069553D"/>
    <w:rsid w:val="00695609"/>
    <w:rsid w:val="00695901"/>
    <w:rsid w:val="0069596C"/>
    <w:rsid w:val="00695B49"/>
    <w:rsid w:val="00695B6C"/>
    <w:rsid w:val="00695CB5"/>
    <w:rsid w:val="00695CFB"/>
    <w:rsid w:val="00695FB3"/>
    <w:rsid w:val="00695FDE"/>
    <w:rsid w:val="00695FEF"/>
    <w:rsid w:val="0069603C"/>
    <w:rsid w:val="006960A8"/>
    <w:rsid w:val="0069667F"/>
    <w:rsid w:val="006966B6"/>
    <w:rsid w:val="00696898"/>
    <w:rsid w:val="0069696B"/>
    <w:rsid w:val="00696A28"/>
    <w:rsid w:val="00696F29"/>
    <w:rsid w:val="00696FC3"/>
    <w:rsid w:val="00697125"/>
    <w:rsid w:val="00697187"/>
    <w:rsid w:val="006972AB"/>
    <w:rsid w:val="006972C3"/>
    <w:rsid w:val="006974E3"/>
    <w:rsid w:val="006979B7"/>
    <w:rsid w:val="006979F6"/>
    <w:rsid w:val="00697A03"/>
    <w:rsid w:val="00697B98"/>
    <w:rsid w:val="00697D79"/>
    <w:rsid w:val="00697E86"/>
    <w:rsid w:val="006A011C"/>
    <w:rsid w:val="006A02DD"/>
    <w:rsid w:val="006A05C5"/>
    <w:rsid w:val="006A078B"/>
    <w:rsid w:val="006A0886"/>
    <w:rsid w:val="006A0957"/>
    <w:rsid w:val="006A09B6"/>
    <w:rsid w:val="006A0B5A"/>
    <w:rsid w:val="006A0C19"/>
    <w:rsid w:val="006A0C63"/>
    <w:rsid w:val="006A0CC2"/>
    <w:rsid w:val="006A0E63"/>
    <w:rsid w:val="006A1117"/>
    <w:rsid w:val="006A1136"/>
    <w:rsid w:val="006A113C"/>
    <w:rsid w:val="006A1333"/>
    <w:rsid w:val="006A1418"/>
    <w:rsid w:val="006A1452"/>
    <w:rsid w:val="006A1469"/>
    <w:rsid w:val="006A1519"/>
    <w:rsid w:val="006A1524"/>
    <w:rsid w:val="006A164F"/>
    <w:rsid w:val="006A16F1"/>
    <w:rsid w:val="006A196E"/>
    <w:rsid w:val="006A1B1D"/>
    <w:rsid w:val="006A1C32"/>
    <w:rsid w:val="006A1C34"/>
    <w:rsid w:val="006A1C60"/>
    <w:rsid w:val="006A1C88"/>
    <w:rsid w:val="006A1D3C"/>
    <w:rsid w:val="006A1E9C"/>
    <w:rsid w:val="006A1FAC"/>
    <w:rsid w:val="006A2042"/>
    <w:rsid w:val="006A2051"/>
    <w:rsid w:val="006A22AA"/>
    <w:rsid w:val="006A23AC"/>
    <w:rsid w:val="006A247C"/>
    <w:rsid w:val="006A2654"/>
    <w:rsid w:val="006A2781"/>
    <w:rsid w:val="006A27C6"/>
    <w:rsid w:val="006A29AA"/>
    <w:rsid w:val="006A29B3"/>
    <w:rsid w:val="006A2AE2"/>
    <w:rsid w:val="006A2B5B"/>
    <w:rsid w:val="006A2B8D"/>
    <w:rsid w:val="006A2C3E"/>
    <w:rsid w:val="006A2DE2"/>
    <w:rsid w:val="006A2E5A"/>
    <w:rsid w:val="006A2F5C"/>
    <w:rsid w:val="006A3096"/>
    <w:rsid w:val="006A33E9"/>
    <w:rsid w:val="006A33FF"/>
    <w:rsid w:val="006A34F7"/>
    <w:rsid w:val="006A353D"/>
    <w:rsid w:val="006A35BC"/>
    <w:rsid w:val="006A3672"/>
    <w:rsid w:val="006A36A3"/>
    <w:rsid w:val="006A371E"/>
    <w:rsid w:val="006A38E4"/>
    <w:rsid w:val="006A39C2"/>
    <w:rsid w:val="006A3B4C"/>
    <w:rsid w:val="006A3BD3"/>
    <w:rsid w:val="006A3C9C"/>
    <w:rsid w:val="006A3EF5"/>
    <w:rsid w:val="006A4073"/>
    <w:rsid w:val="006A40B8"/>
    <w:rsid w:val="006A42C4"/>
    <w:rsid w:val="006A4428"/>
    <w:rsid w:val="006A4466"/>
    <w:rsid w:val="006A4486"/>
    <w:rsid w:val="006A464A"/>
    <w:rsid w:val="006A4816"/>
    <w:rsid w:val="006A4A65"/>
    <w:rsid w:val="006A4BB6"/>
    <w:rsid w:val="006A4D23"/>
    <w:rsid w:val="006A4DE9"/>
    <w:rsid w:val="006A4EA4"/>
    <w:rsid w:val="006A4F7E"/>
    <w:rsid w:val="006A4F9D"/>
    <w:rsid w:val="006A502A"/>
    <w:rsid w:val="006A5115"/>
    <w:rsid w:val="006A51AB"/>
    <w:rsid w:val="006A5337"/>
    <w:rsid w:val="006A5341"/>
    <w:rsid w:val="006A5349"/>
    <w:rsid w:val="006A537E"/>
    <w:rsid w:val="006A54EB"/>
    <w:rsid w:val="006A5570"/>
    <w:rsid w:val="006A56BD"/>
    <w:rsid w:val="006A56C1"/>
    <w:rsid w:val="006A572C"/>
    <w:rsid w:val="006A574D"/>
    <w:rsid w:val="006A581F"/>
    <w:rsid w:val="006A5B92"/>
    <w:rsid w:val="006A5D27"/>
    <w:rsid w:val="006A5D6C"/>
    <w:rsid w:val="006A5F94"/>
    <w:rsid w:val="006A601C"/>
    <w:rsid w:val="006A602C"/>
    <w:rsid w:val="006A6283"/>
    <w:rsid w:val="006A62BC"/>
    <w:rsid w:val="006A63C7"/>
    <w:rsid w:val="006A65AD"/>
    <w:rsid w:val="006A66E2"/>
    <w:rsid w:val="006A6A1B"/>
    <w:rsid w:val="006A6A67"/>
    <w:rsid w:val="006A6DF9"/>
    <w:rsid w:val="006A6EB8"/>
    <w:rsid w:val="006A6FFE"/>
    <w:rsid w:val="006A709C"/>
    <w:rsid w:val="006A72B7"/>
    <w:rsid w:val="006A7307"/>
    <w:rsid w:val="006A735D"/>
    <w:rsid w:val="006A780B"/>
    <w:rsid w:val="006A791A"/>
    <w:rsid w:val="006B00BD"/>
    <w:rsid w:val="006B0160"/>
    <w:rsid w:val="006B023D"/>
    <w:rsid w:val="006B0243"/>
    <w:rsid w:val="006B0479"/>
    <w:rsid w:val="006B069C"/>
    <w:rsid w:val="006B070C"/>
    <w:rsid w:val="006B0753"/>
    <w:rsid w:val="006B07AA"/>
    <w:rsid w:val="006B0818"/>
    <w:rsid w:val="006B090B"/>
    <w:rsid w:val="006B09F0"/>
    <w:rsid w:val="006B0A02"/>
    <w:rsid w:val="006B0BE2"/>
    <w:rsid w:val="006B0BE9"/>
    <w:rsid w:val="006B0BFF"/>
    <w:rsid w:val="006B0D3B"/>
    <w:rsid w:val="006B0D73"/>
    <w:rsid w:val="006B0E31"/>
    <w:rsid w:val="006B0EBC"/>
    <w:rsid w:val="006B139D"/>
    <w:rsid w:val="006B13D0"/>
    <w:rsid w:val="006B13DA"/>
    <w:rsid w:val="006B16FB"/>
    <w:rsid w:val="006B19F3"/>
    <w:rsid w:val="006B1A9F"/>
    <w:rsid w:val="006B1BBD"/>
    <w:rsid w:val="006B1BD3"/>
    <w:rsid w:val="006B1C69"/>
    <w:rsid w:val="006B1F91"/>
    <w:rsid w:val="006B218E"/>
    <w:rsid w:val="006B2245"/>
    <w:rsid w:val="006B2379"/>
    <w:rsid w:val="006B23FF"/>
    <w:rsid w:val="006B2419"/>
    <w:rsid w:val="006B24A2"/>
    <w:rsid w:val="006B2620"/>
    <w:rsid w:val="006B27D0"/>
    <w:rsid w:val="006B2A10"/>
    <w:rsid w:val="006B2B10"/>
    <w:rsid w:val="006B2B16"/>
    <w:rsid w:val="006B2B35"/>
    <w:rsid w:val="006B2EF8"/>
    <w:rsid w:val="006B3027"/>
    <w:rsid w:val="006B3071"/>
    <w:rsid w:val="006B315D"/>
    <w:rsid w:val="006B3162"/>
    <w:rsid w:val="006B31E6"/>
    <w:rsid w:val="006B3344"/>
    <w:rsid w:val="006B3643"/>
    <w:rsid w:val="006B379D"/>
    <w:rsid w:val="006B37E1"/>
    <w:rsid w:val="006B3CC0"/>
    <w:rsid w:val="006B3E2C"/>
    <w:rsid w:val="006B3F02"/>
    <w:rsid w:val="006B3F48"/>
    <w:rsid w:val="006B3FD1"/>
    <w:rsid w:val="006B41AE"/>
    <w:rsid w:val="006B4556"/>
    <w:rsid w:val="006B4673"/>
    <w:rsid w:val="006B4759"/>
    <w:rsid w:val="006B4BC5"/>
    <w:rsid w:val="006B4CD1"/>
    <w:rsid w:val="006B4DD5"/>
    <w:rsid w:val="006B4E15"/>
    <w:rsid w:val="006B4FB8"/>
    <w:rsid w:val="006B4FEC"/>
    <w:rsid w:val="006B51E1"/>
    <w:rsid w:val="006B51FF"/>
    <w:rsid w:val="006B5285"/>
    <w:rsid w:val="006B5447"/>
    <w:rsid w:val="006B57B9"/>
    <w:rsid w:val="006B6017"/>
    <w:rsid w:val="006B604F"/>
    <w:rsid w:val="006B620F"/>
    <w:rsid w:val="006B626D"/>
    <w:rsid w:val="006B6273"/>
    <w:rsid w:val="006B63C2"/>
    <w:rsid w:val="006B63D6"/>
    <w:rsid w:val="006B64BC"/>
    <w:rsid w:val="006B6581"/>
    <w:rsid w:val="006B65C9"/>
    <w:rsid w:val="006B6628"/>
    <w:rsid w:val="006B6665"/>
    <w:rsid w:val="006B666D"/>
    <w:rsid w:val="006B68F7"/>
    <w:rsid w:val="006B6BD0"/>
    <w:rsid w:val="006B6D24"/>
    <w:rsid w:val="006B6D27"/>
    <w:rsid w:val="006B6E11"/>
    <w:rsid w:val="006B706A"/>
    <w:rsid w:val="006B7098"/>
    <w:rsid w:val="006B71B5"/>
    <w:rsid w:val="006B7235"/>
    <w:rsid w:val="006B730B"/>
    <w:rsid w:val="006B7C95"/>
    <w:rsid w:val="006B7D2A"/>
    <w:rsid w:val="006B7DFA"/>
    <w:rsid w:val="006B7E62"/>
    <w:rsid w:val="006B7F9F"/>
    <w:rsid w:val="006C0065"/>
    <w:rsid w:val="006C0175"/>
    <w:rsid w:val="006C0267"/>
    <w:rsid w:val="006C02E4"/>
    <w:rsid w:val="006C0537"/>
    <w:rsid w:val="006C0892"/>
    <w:rsid w:val="006C0897"/>
    <w:rsid w:val="006C08D4"/>
    <w:rsid w:val="006C09E8"/>
    <w:rsid w:val="006C0ADD"/>
    <w:rsid w:val="006C0B93"/>
    <w:rsid w:val="006C0C08"/>
    <w:rsid w:val="006C0C60"/>
    <w:rsid w:val="006C0C70"/>
    <w:rsid w:val="006C0C85"/>
    <w:rsid w:val="006C0F02"/>
    <w:rsid w:val="006C1033"/>
    <w:rsid w:val="006C1523"/>
    <w:rsid w:val="006C175B"/>
    <w:rsid w:val="006C1822"/>
    <w:rsid w:val="006C19D8"/>
    <w:rsid w:val="006C1A1D"/>
    <w:rsid w:val="006C1B39"/>
    <w:rsid w:val="006C1B5A"/>
    <w:rsid w:val="006C1B6F"/>
    <w:rsid w:val="006C1D11"/>
    <w:rsid w:val="006C1D14"/>
    <w:rsid w:val="006C1D37"/>
    <w:rsid w:val="006C1E1D"/>
    <w:rsid w:val="006C1F17"/>
    <w:rsid w:val="006C22E0"/>
    <w:rsid w:val="006C23EF"/>
    <w:rsid w:val="006C2497"/>
    <w:rsid w:val="006C2528"/>
    <w:rsid w:val="006C28B9"/>
    <w:rsid w:val="006C28E0"/>
    <w:rsid w:val="006C2AB6"/>
    <w:rsid w:val="006C2C7C"/>
    <w:rsid w:val="006C2D1A"/>
    <w:rsid w:val="006C2D4C"/>
    <w:rsid w:val="006C2DE7"/>
    <w:rsid w:val="006C30F1"/>
    <w:rsid w:val="006C31AE"/>
    <w:rsid w:val="006C3456"/>
    <w:rsid w:val="006C35E1"/>
    <w:rsid w:val="006C37D4"/>
    <w:rsid w:val="006C3869"/>
    <w:rsid w:val="006C38BA"/>
    <w:rsid w:val="006C392D"/>
    <w:rsid w:val="006C398D"/>
    <w:rsid w:val="006C39C8"/>
    <w:rsid w:val="006C3A3D"/>
    <w:rsid w:val="006C3A58"/>
    <w:rsid w:val="006C3CE5"/>
    <w:rsid w:val="006C3D40"/>
    <w:rsid w:val="006C3F07"/>
    <w:rsid w:val="006C3F2E"/>
    <w:rsid w:val="006C3FF3"/>
    <w:rsid w:val="006C4083"/>
    <w:rsid w:val="006C413A"/>
    <w:rsid w:val="006C417A"/>
    <w:rsid w:val="006C41E5"/>
    <w:rsid w:val="006C4299"/>
    <w:rsid w:val="006C42DD"/>
    <w:rsid w:val="006C4324"/>
    <w:rsid w:val="006C451B"/>
    <w:rsid w:val="006C461B"/>
    <w:rsid w:val="006C4765"/>
    <w:rsid w:val="006C4831"/>
    <w:rsid w:val="006C495F"/>
    <w:rsid w:val="006C49AF"/>
    <w:rsid w:val="006C49B2"/>
    <w:rsid w:val="006C4A1E"/>
    <w:rsid w:val="006C4B6C"/>
    <w:rsid w:val="006C4B7A"/>
    <w:rsid w:val="006C4B85"/>
    <w:rsid w:val="006C4E2A"/>
    <w:rsid w:val="006C4F10"/>
    <w:rsid w:val="006C4F3A"/>
    <w:rsid w:val="006C4F9F"/>
    <w:rsid w:val="006C4FBC"/>
    <w:rsid w:val="006C50AC"/>
    <w:rsid w:val="006C515C"/>
    <w:rsid w:val="006C51ED"/>
    <w:rsid w:val="006C520C"/>
    <w:rsid w:val="006C5297"/>
    <w:rsid w:val="006C53D9"/>
    <w:rsid w:val="006C564C"/>
    <w:rsid w:val="006C5836"/>
    <w:rsid w:val="006C5851"/>
    <w:rsid w:val="006C58E5"/>
    <w:rsid w:val="006C5BF0"/>
    <w:rsid w:val="006C5D10"/>
    <w:rsid w:val="006C5D62"/>
    <w:rsid w:val="006C5DF1"/>
    <w:rsid w:val="006C5EAD"/>
    <w:rsid w:val="006C5FA5"/>
    <w:rsid w:val="006C5FD5"/>
    <w:rsid w:val="006C626A"/>
    <w:rsid w:val="006C64BC"/>
    <w:rsid w:val="006C64DF"/>
    <w:rsid w:val="006C652B"/>
    <w:rsid w:val="006C659F"/>
    <w:rsid w:val="006C6812"/>
    <w:rsid w:val="006C6AF1"/>
    <w:rsid w:val="006C6AFA"/>
    <w:rsid w:val="006C6B39"/>
    <w:rsid w:val="006C6F17"/>
    <w:rsid w:val="006C706A"/>
    <w:rsid w:val="006C712F"/>
    <w:rsid w:val="006C74AA"/>
    <w:rsid w:val="006C763F"/>
    <w:rsid w:val="006C7701"/>
    <w:rsid w:val="006C7728"/>
    <w:rsid w:val="006C777F"/>
    <w:rsid w:val="006C7959"/>
    <w:rsid w:val="006C7AB1"/>
    <w:rsid w:val="006C7B87"/>
    <w:rsid w:val="006C7C46"/>
    <w:rsid w:val="006C7CBC"/>
    <w:rsid w:val="006C7DD0"/>
    <w:rsid w:val="006C7E7E"/>
    <w:rsid w:val="006C7F4C"/>
    <w:rsid w:val="006D0217"/>
    <w:rsid w:val="006D0537"/>
    <w:rsid w:val="006D0583"/>
    <w:rsid w:val="006D0588"/>
    <w:rsid w:val="006D0A6B"/>
    <w:rsid w:val="006D0B04"/>
    <w:rsid w:val="006D0B97"/>
    <w:rsid w:val="006D0C58"/>
    <w:rsid w:val="006D0F2E"/>
    <w:rsid w:val="006D0F33"/>
    <w:rsid w:val="006D0F58"/>
    <w:rsid w:val="006D10D9"/>
    <w:rsid w:val="006D1222"/>
    <w:rsid w:val="006D12B7"/>
    <w:rsid w:val="006D130C"/>
    <w:rsid w:val="006D136D"/>
    <w:rsid w:val="006D15EF"/>
    <w:rsid w:val="006D1C43"/>
    <w:rsid w:val="006D1C7D"/>
    <w:rsid w:val="006D1ED9"/>
    <w:rsid w:val="006D2005"/>
    <w:rsid w:val="006D2013"/>
    <w:rsid w:val="006D213A"/>
    <w:rsid w:val="006D25EA"/>
    <w:rsid w:val="006D2622"/>
    <w:rsid w:val="006D26F3"/>
    <w:rsid w:val="006D26F8"/>
    <w:rsid w:val="006D27A5"/>
    <w:rsid w:val="006D27EA"/>
    <w:rsid w:val="006D2884"/>
    <w:rsid w:val="006D288A"/>
    <w:rsid w:val="006D2A4E"/>
    <w:rsid w:val="006D2D1B"/>
    <w:rsid w:val="006D2DB3"/>
    <w:rsid w:val="006D2DC5"/>
    <w:rsid w:val="006D2FFE"/>
    <w:rsid w:val="006D3202"/>
    <w:rsid w:val="006D3331"/>
    <w:rsid w:val="006D3337"/>
    <w:rsid w:val="006D3352"/>
    <w:rsid w:val="006D3359"/>
    <w:rsid w:val="006D3366"/>
    <w:rsid w:val="006D33C7"/>
    <w:rsid w:val="006D33D6"/>
    <w:rsid w:val="006D356B"/>
    <w:rsid w:val="006D3769"/>
    <w:rsid w:val="006D3855"/>
    <w:rsid w:val="006D3883"/>
    <w:rsid w:val="006D38B0"/>
    <w:rsid w:val="006D38F8"/>
    <w:rsid w:val="006D3A16"/>
    <w:rsid w:val="006D3A58"/>
    <w:rsid w:val="006D3ABB"/>
    <w:rsid w:val="006D3BE5"/>
    <w:rsid w:val="006D3DED"/>
    <w:rsid w:val="006D3EBC"/>
    <w:rsid w:val="006D401B"/>
    <w:rsid w:val="006D4081"/>
    <w:rsid w:val="006D40A8"/>
    <w:rsid w:val="006D40C2"/>
    <w:rsid w:val="006D4214"/>
    <w:rsid w:val="006D4225"/>
    <w:rsid w:val="006D42E3"/>
    <w:rsid w:val="006D43AE"/>
    <w:rsid w:val="006D488E"/>
    <w:rsid w:val="006D49A3"/>
    <w:rsid w:val="006D49AC"/>
    <w:rsid w:val="006D49B9"/>
    <w:rsid w:val="006D4B66"/>
    <w:rsid w:val="006D4E34"/>
    <w:rsid w:val="006D4F3D"/>
    <w:rsid w:val="006D5075"/>
    <w:rsid w:val="006D509B"/>
    <w:rsid w:val="006D5213"/>
    <w:rsid w:val="006D5440"/>
    <w:rsid w:val="006D54BE"/>
    <w:rsid w:val="006D5506"/>
    <w:rsid w:val="006D5617"/>
    <w:rsid w:val="006D56A4"/>
    <w:rsid w:val="006D573E"/>
    <w:rsid w:val="006D5A18"/>
    <w:rsid w:val="006D5C22"/>
    <w:rsid w:val="006D5D21"/>
    <w:rsid w:val="006D5D9D"/>
    <w:rsid w:val="006D5DE5"/>
    <w:rsid w:val="006D5E6C"/>
    <w:rsid w:val="006D5ECC"/>
    <w:rsid w:val="006D5F26"/>
    <w:rsid w:val="006D5F52"/>
    <w:rsid w:val="006D6169"/>
    <w:rsid w:val="006D628E"/>
    <w:rsid w:val="006D62C9"/>
    <w:rsid w:val="006D634E"/>
    <w:rsid w:val="006D63AF"/>
    <w:rsid w:val="006D645C"/>
    <w:rsid w:val="006D68D7"/>
    <w:rsid w:val="006D6984"/>
    <w:rsid w:val="006D6AE8"/>
    <w:rsid w:val="006D6C42"/>
    <w:rsid w:val="006D6DE6"/>
    <w:rsid w:val="006D72A2"/>
    <w:rsid w:val="006D72C9"/>
    <w:rsid w:val="006D7329"/>
    <w:rsid w:val="006D73ED"/>
    <w:rsid w:val="006D7782"/>
    <w:rsid w:val="006D7A5B"/>
    <w:rsid w:val="006D7ACF"/>
    <w:rsid w:val="006D7F6C"/>
    <w:rsid w:val="006E00EE"/>
    <w:rsid w:val="006E020A"/>
    <w:rsid w:val="006E041E"/>
    <w:rsid w:val="006E047B"/>
    <w:rsid w:val="006E062F"/>
    <w:rsid w:val="006E0652"/>
    <w:rsid w:val="006E0860"/>
    <w:rsid w:val="006E09F4"/>
    <w:rsid w:val="006E0E7B"/>
    <w:rsid w:val="006E1079"/>
    <w:rsid w:val="006E1116"/>
    <w:rsid w:val="006E1230"/>
    <w:rsid w:val="006E13F6"/>
    <w:rsid w:val="006E1581"/>
    <w:rsid w:val="006E15E1"/>
    <w:rsid w:val="006E1ADC"/>
    <w:rsid w:val="006E1BAB"/>
    <w:rsid w:val="006E1C8E"/>
    <w:rsid w:val="006E1CD4"/>
    <w:rsid w:val="006E201D"/>
    <w:rsid w:val="006E2030"/>
    <w:rsid w:val="006E206D"/>
    <w:rsid w:val="006E20B1"/>
    <w:rsid w:val="006E20F4"/>
    <w:rsid w:val="006E2258"/>
    <w:rsid w:val="006E2295"/>
    <w:rsid w:val="006E23D6"/>
    <w:rsid w:val="006E2499"/>
    <w:rsid w:val="006E2E1F"/>
    <w:rsid w:val="006E2E4D"/>
    <w:rsid w:val="006E2E70"/>
    <w:rsid w:val="006E2E8E"/>
    <w:rsid w:val="006E31FA"/>
    <w:rsid w:val="006E32D1"/>
    <w:rsid w:val="006E33A1"/>
    <w:rsid w:val="006E33F4"/>
    <w:rsid w:val="006E3409"/>
    <w:rsid w:val="006E3489"/>
    <w:rsid w:val="006E36C0"/>
    <w:rsid w:val="006E3BD7"/>
    <w:rsid w:val="006E3C73"/>
    <w:rsid w:val="006E3E3D"/>
    <w:rsid w:val="006E3FFF"/>
    <w:rsid w:val="006E40C2"/>
    <w:rsid w:val="006E41CD"/>
    <w:rsid w:val="006E42E2"/>
    <w:rsid w:val="006E450B"/>
    <w:rsid w:val="006E4AAA"/>
    <w:rsid w:val="006E4B1A"/>
    <w:rsid w:val="006E4B94"/>
    <w:rsid w:val="006E4EE1"/>
    <w:rsid w:val="006E500B"/>
    <w:rsid w:val="006E52D0"/>
    <w:rsid w:val="006E5530"/>
    <w:rsid w:val="006E57DA"/>
    <w:rsid w:val="006E5802"/>
    <w:rsid w:val="006E5A41"/>
    <w:rsid w:val="006E5AEC"/>
    <w:rsid w:val="006E5C24"/>
    <w:rsid w:val="006E5EB6"/>
    <w:rsid w:val="006E5EE4"/>
    <w:rsid w:val="006E5F08"/>
    <w:rsid w:val="006E63D2"/>
    <w:rsid w:val="006E641A"/>
    <w:rsid w:val="006E6458"/>
    <w:rsid w:val="006E6597"/>
    <w:rsid w:val="006E6611"/>
    <w:rsid w:val="006E6870"/>
    <w:rsid w:val="006E6894"/>
    <w:rsid w:val="006E6987"/>
    <w:rsid w:val="006E6A62"/>
    <w:rsid w:val="006E6C6C"/>
    <w:rsid w:val="006E6DC2"/>
    <w:rsid w:val="006E6DD6"/>
    <w:rsid w:val="006E6E82"/>
    <w:rsid w:val="006E6FAB"/>
    <w:rsid w:val="006E7065"/>
    <w:rsid w:val="006E70A3"/>
    <w:rsid w:val="006E7116"/>
    <w:rsid w:val="006E7414"/>
    <w:rsid w:val="006E74C4"/>
    <w:rsid w:val="006E75F9"/>
    <w:rsid w:val="006E7666"/>
    <w:rsid w:val="006E7936"/>
    <w:rsid w:val="006E793A"/>
    <w:rsid w:val="006E79DA"/>
    <w:rsid w:val="006E7A1A"/>
    <w:rsid w:val="006E7B73"/>
    <w:rsid w:val="006E7D4F"/>
    <w:rsid w:val="006E7DDA"/>
    <w:rsid w:val="006E7F05"/>
    <w:rsid w:val="006F0034"/>
    <w:rsid w:val="006F0454"/>
    <w:rsid w:val="006F046D"/>
    <w:rsid w:val="006F04D4"/>
    <w:rsid w:val="006F0562"/>
    <w:rsid w:val="006F0676"/>
    <w:rsid w:val="006F06A2"/>
    <w:rsid w:val="006F06BA"/>
    <w:rsid w:val="006F0755"/>
    <w:rsid w:val="006F0858"/>
    <w:rsid w:val="006F08CB"/>
    <w:rsid w:val="006F0990"/>
    <w:rsid w:val="006F09A4"/>
    <w:rsid w:val="006F0DDA"/>
    <w:rsid w:val="006F107A"/>
    <w:rsid w:val="006F111F"/>
    <w:rsid w:val="006F1363"/>
    <w:rsid w:val="006F1659"/>
    <w:rsid w:val="006F1736"/>
    <w:rsid w:val="006F1852"/>
    <w:rsid w:val="006F1BE0"/>
    <w:rsid w:val="006F1C2F"/>
    <w:rsid w:val="006F1D23"/>
    <w:rsid w:val="006F1DF6"/>
    <w:rsid w:val="006F1F37"/>
    <w:rsid w:val="006F2040"/>
    <w:rsid w:val="006F2091"/>
    <w:rsid w:val="006F2263"/>
    <w:rsid w:val="006F2582"/>
    <w:rsid w:val="006F25AA"/>
    <w:rsid w:val="006F25DD"/>
    <w:rsid w:val="006F25F2"/>
    <w:rsid w:val="006F2697"/>
    <w:rsid w:val="006F27C0"/>
    <w:rsid w:val="006F2932"/>
    <w:rsid w:val="006F2ACD"/>
    <w:rsid w:val="006F2B54"/>
    <w:rsid w:val="006F2B7C"/>
    <w:rsid w:val="006F2C81"/>
    <w:rsid w:val="006F2C9E"/>
    <w:rsid w:val="006F2D4D"/>
    <w:rsid w:val="006F2E4B"/>
    <w:rsid w:val="006F2F79"/>
    <w:rsid w:val="006F32F8"/>
    <w:rsid w:val="006F3313"/>
    <w:rsid w:val="006F3329"/>
    <w:rsid w:val="006F3355"/>
    <w:rsid w:val="006F364D"/>
    <w:rsid w:val="006F36E6"/>
    <w:rsid w:val="006F3716"/>
    <w:rsid w:val="006F3729"/>
    <w:rsid w:val="006F378A"/>
    <w:rsid w:val="006F37F9"/>
    <w:rsid w:val="006F38E0"/>
    <w:rsid w:val="006F392C"/>
    <w:rsid w:val="006F3B12"/>
    <w:rsid w:val="006F3C8F"/>
    <w:rsid w:val="006F3CC5"/>
    <w:rsid w:val="006F3F19"/>
    <w:rsid w:val="006F42F9"/>
    <w:rsid w:val="006F4352"/>
    <w:rsid w:val="006F43EE"/>
    <w:rsid w:val="006F44AD"/>
    <w:rsid w:val="006F453B"/>
    <w:rsid w:val="006F4542"/>
    <w:rsid w:val="006F4582"/>
    <w:rsid w:val="006F45DC"/>
    <w:rsid w:val="006F4703"/>
    <w:rsid w:val="006F4D85"/>
    <w:rsid w:val="006F4E26"/>
    <w:rsid w:val="006F4E63"/>
    <w:rsid w:val="006F4EEA"/>
    <w:rsid w:val="006F4FD5"/>
    <w:rsid w:val="006F50C4"/>
    <w:rsid w:val="006F5488"/>
    <w:rsid w:val="006F54D2"/>
    <w:rsid w:val="006F54DE"/>
    <w:rsid w:val="006F5570"/>
    <w:rsid w:val="006F5866"/>
    <w:rsid w:val="006F5867"/>
    <w:rsid w:val="006F5AB0"/>
    <w:rsid w:val="006F5C5F"/>
    <w:rsid w:val="006F5DA1"/>
    <w:rsid w:val="006F5E8E"/>
    <w:rsid w:val="006F5F7D"/>
    <w:rsid w:val="006F6060"/>
    <w:rsid w:val="006F6073"/>
    <w:rsid w:val="006F61B7"/>
    <w:rsid w:val="006F644E"/>
    <w:rsid w:val="006F64A4"/>
    <w:rsid w:val="006F657C"/>
    <w:rsid w:val="006F6610"/>
    <w:rsid w:val="006F6844"/>
    <w:rsid w:val="006F68ED"/>
    <w:rsid w:val="006F694F"/>
    <w:rsid w:val="006F6CD5"/>
    <w:rsid w:val="006F6D3F"/>
    <w:rsid w:val="006F6ECC"/>
    <w:rsid w:val="006F6F92"/>
    <w:rsid w:val="006F6FD3"/>
    <w:rsid w:val="006F7020"/>
    <w:rsid w:val="006F70CA"/>
    <w:rsid w:val="006F714F"/>
    <w:rsid w:val="006F720B"/>
    <w:rsid w:val="006F72AB"/>
    <w:rsid w:val="006F7393"/>
    <w:rsid w:val="006F742E"/>
    <w:rsid w:val="006F76C2"/>
    <w:rsid w:val="006F772B"/>
    <w:rsid w:val="006F7748"/>
    <w:rsid w:val="006F774F"/>
    <w:rsid w:val="006F7889"/>
    <w:rsid w:val="006F78A2"/>
    <w:rsid w:val="006F7961"/>
    <w:rsid w:val="006F7A88"/>
    <w:rsid w:val="006F7AF1"/>
    <w:rsid w:val="006F7B74"/>
    <w:rsid w:val="006F7DC7"/>
    <w:rsid w:val="006F7DD0"/>
    <w:rsid w:val="006F7E26"/>
    <w:rsid w:val="00700135"/>
    <w:rsid w:val="007001BC"/>
    <w:rsid w:val="007001DE"/>
    <w:rsid w:val="00700217"/>
    <w:rsid w:val="007007A5"/>
    <w:rsid w:val="00700A42"/>
    <w:rsid w:val="00700C37"/>
    <w:rsid w:val="00700C38"/>
    <w:rsid w:val="00700C64"/>
    <w:rsid w:val="00700CAA"/>
    <w:rsid w:val="00700CAB"/>
    <w:rsid w:val="00700D77"/>
    <w:rsid w:val="00700E1C"/>
    <w:rsid w:val="00701020"/>
    <w:rsid w:val="0070106C"/>
    <w:rsid w:val="007010B7"/>
    <w:rsid w:val="0070119B"/>
    <w:rsid w:val="00701292"/>
    <w:rsid w:val="00701409"/>
    <w:rsid w:val="007014B1"/>
    <w:rsid w:val="007014BE"/>
    <w:rsid w:val="0070157A"/>
    <w:rsid w:val="007018B7"/>
    <w:rsid w:val="007018E3"/>
    <w:rsid w:val="0070198E"/>
    <w:rsid w:val="007019A6"/>
    <w:rsid w:val="00701A32"/>
    <w:rsid w:val="00701AAD"/>
    <w:rsid w:val="00701D40"/>
    <w:rsid w:val="00701E29"/>
    <w:rsid w:val="00701E9B"/>
    <w:rsid w:val="00701EE8"/>
    <w:rsid w:val="00701FD8"/>
    <w:rsid w:val="007021F3"/>
    <w:rsid w:val="007026C5"/>
    <w:rsid w:val="00702725"/>
    <w:rsid w:val="00702772"/>
    <w:rsid w:val="0070290A"/>
    <w:rsid w:val="00702BD6"/>
    <w:rsid w:val="00702C9F"/>
    <w:rsid w:val="00702D4F"/>
    <w:rsid w:val="00702F71"/>
    <w:rsid w:val="00702F9E"/>
    <w:rsid w:val="00703053"/>
    <w:rsid w:val="00703274"/>
    <w:rsid w:val="00703306"/>
    <w:rsid w:val="0070341A"/>
    <w:rsid w:val="00703584"/>
    <w:rsid w:val="00703C82"/>
    <w:rsid w:val="00703CB4"/>
    <w:rsid w:val="00703D12"/>
    <w:rsid w:val="00703D6C"/>
    <w:rsid w:val="00703FD3"/>
    <w:rsid w:val="00704054"/>
    <w:rsid w:val="007042EF"/>
    <w:rsid w:val="00704356"/>
    <w:rsid w:val="007043C4"/>
    <w:rsid w:val="00704506"/>
    <w:rsid w:val="007049B9"/>
    <w:rsid w:val="007049CF"/>
    <w:rsid w:val="00704B75"/>
    <w:rsid w:val="00704B7F"/>
    <w:rsid w:val="00704D95"/>
    <w:rsid w:val="00704DD9"/>
    <w:rsid w:val="00704E52"/>
    <w:rsid w:val="00705093"/>
    <w:rsid w:val="007050FB"/>
    <w:rsid w:val="007050FF"/>
    <w:rsid w:val="00705140"/>
    <w:rsid w:val="007051A5"/>
    <w:rsid w:val="007054BA"/>
    <w:rsid w:val="007056A6"/>
    <w:rsid w:val="00705723"/>
    <w:rsid w:val="00705795"/>
    <w:rsid w:val="007057D3"/>
    <w:rsid w:val="0070580D"/>
    <w:rsid w:val="007058BB"/>
    <w:rsid w:val="00705903"/>
    <w:rsid w:val="0070592E"/>
    <w:rsid w:val="00705A4A"/>
    <w:rsid w:val="00705A8F"/>
    <w:rsid w:val="00705C16"/>
    <w:rsid w:val="00705C82"/>
    <w:rsid w:val="00705F11"/>
    <w:rsid w:val="00705F88"/>
    <w:rsid w:val="00705F99"/>
    <w:rsid w:val="00705FB7"/>
    <w:rsid w:val="00706025"/>
    <w:rsid w:val="00706097"/>
    <w:rsid w:val="007061CE"/>
    <w:rsid w:val="007064D8"/>
    <w:rsid w:val="00706594"/>
    <w:rsid w:val="0070664B"/>
    <w:rsid w:val="0070669F"/>
    <w:rsid w:val="0070671A"/>
    <w:rsid w:val="007067C2"/>
    <w:rsid w:val="007068A6"/>
    <w:rsid w:val="00706AC7"/>
    <w:rsid w:val="00706CA1"/>
    <w:rsid w:val="00706D71"/>
    <w:rsid w:val="00706DA9"/>
    <w:rsid w:val="00706FFC"/>
    <w:rsid w:val="0070709D"/>
    <w:rsid w:val="00707258"/>
    <w:rsid w:val="007073D0"/>
    <w:rsid w:val="00707406"/>
    <w:rsid w:val="0070741E"/>
    <w:rsid w:val="00707442"/>
    <w:rsid w:val="0070748C"/>
    <w:rsid w:val="00707576"/>
    <w:rsid w:val="007076B9"/>
    <w:rsid w:val="00707897"/>
    <w:rsid w:val="007078BC"/>
    <w:rsid w:val="00707DCC"/>
    <w:rsid w:val="00707DD2"/>
    <w:rsid w:val="00707EC6"/>
    <w:rsid w:val="00707F3A"/>
    <w:rsid w:val="00707F45"/>
    <w:rsid w:val="00710212"/>
    <w:rsid w:val="00710235"/>
    <w:rsid w:val="0071024A"/>
    <w:rsid w:val="00710284"/>
    <w:rsid w:val="00710336"/>
    <w:rsid w:val="007103AA"/>
    <w:rsid w:val="0071051D"/>
    <w:rsid w:val="00710582"/>
    <w:rsid w:val="00710663"/>
    <w:rsid w:val="007106E1"/>
    <w:rsid w:val="00710810"/>
    <w:rsid w:val="00710813"/>
    <w:rsid w:val="007108EE"/>
    <w:rsid w:val="00710957"/>
    <w:rsid w:val="00710B0A"/>
    <w:rsid w:val="00710B22"/>
    <w:rsid w:val="00710E74"/>
    <w:rsid w:val="00710E76"/>
    <w:rsid w:val="007111E3"/>
    <w:rsid w:val="007111F3"/>
    <w:rsid w:val="00711366"/>
    <w:rsid w:val="0071137D"/>
    <w:rsid w:val="00711455"/>
    <w:rsid w:val="007117A5"/>
    <w:rsid w:val="007118DF"/>
    <w:rsid w:val="00711C8D"/>
    <w:rsid w:val="00711E0A"/>
    <w:rsid w:val="007120BD"/>
    <w:rsid w:val="0071211B"/>
    <w:rsid w:val="00712128"/>
    <w:rsid w:val="00712145"/>
    <w:rsid w:val="0071219C"/>
    <w:rsid w:val="0071229F"/>
    <w:rsid w:val="007122EB"/>
    <w:rsid w:val="00712314"/>
    <w:rsid w:val="007124CC"/>
    <w:rsid w:val="00712724"/>
    <w:rsid w:val="0071279F"/>
    <w:rsid w:val="007127F4"/>
    <w:rsid w:val="007128B9"/>
    <w:rsid w:val="00712958"/>
    <w:rsid w:val="007129D3"/>
    <w:rsid w:val="00712AA1"/>
    <w:rsid w:val="00712BFC"/>
    <w:rsid w:val="00712D4C"/>
    <w:rsid w:val="00712FA1"/>
    <w:rsid w:val="00712FB2"/>
    <w:rsid w:val="007130C4"/>
    <w:rsid w:val="007131B2"/>
    <w:rsid w:val="007135D1"/>
    <w:rsid w:val="0071389E"/>
    <w:rsid w:val="00713A4F"/>
    <w:rsid w:val="00713A5E"/>
    <w:rsid w:val="00713D12"/>
    <w:rsid w:val="00713E5A"/>
    <w:rsid w:val="00713F31"/>
    <w:rsid w:val="00714188"/>
    <w:rsid w:val="0071420B"/>
    <w:rsid w:val="00714296"/>
    <w:rsid w:val="007142E2"/>
    <w:rsid w:val="007143E0"/>
    <w:rsid w:val="00714427"/>
    <w:rsid w:val="007144CF"/>
    <w:rsid w:val="007145BE"/>
    <w:rsid w:val="007145F6"/>
    <w:rsid w:val="0071477F"/>
    <w:rsid w:val="007147C1"/>
    <w:rsid w:val="0071480B"/>
    <w:rsid w:val="0071491F"/>
    <w:rsid w:val="00714B20"/>
    <w:rsid w:val="00714BDB"/>
    <w:rsid w:val="00714CDB"/>
    <w:rsid w:val="00714CF2"/>
    <w:rsid w:val="00714D39"/>
    <w:rsid w:val="00714F10"/>
    <w:rsid w:val="00714F32"/>
    <w:rsid w:val="007150F2"/>
    <w:rsid w:val="00715262"/>
    <w:rsid w:val="007152D1"/>
    <w:rsid w:val="0071536C"/>
    <w:rsid w:val="00715538"/>
    <w:rsid w:val="0071558D"/>
    <w:rsid w:val="007156DE"/>
    <w:rsid w:val="00715744"/>
    <w:rsid w:val="00715AA3"/>
    <w:rsid w:val="00715AA8"/>
    <w:rsid w:val="00715DE8"/>
    <w:rsid w:val="00715E2D"/>
    <w:rsid w:val="00715EF5"/>
    <w:rsid w:val="00715FA9"/>
    <w:rsid w:val="00715FAD"/>
    <w:rsid w:val="00716074"/>
    <w:rsid w:val="00716239"/>
    <w:rsid w:val="007162CD"/>
    <w:rsid w:val="007163E1"/>
    <w:rsid w:val="0071642B"/>
    <w:rsid w:val="00716546"/>
    <w:rsid w:val="0071658C"/>
    <w:rsid w:val="00716650"/>
    <w:rsid w:val="007166CD"/>
    <w:rsid w:val="00716730"/>
    <w:rsid w:val="00716854"/>
    <w:rsid w:val="00716D22"/>
    <w:rsid w:val="00716DB8"/>
    <w:rsid w:val="00717162"/>
    <w:rsid w:val="00717227"/>
    <w:rsid w:val="0071736F"/>
    <w:rsid w:val="007175F9"/>
    <w:rsid w:val="00717662"/>
    <w:rsid w:val="00717685"/>
    <w:rsid w:val="00717789"/>
    <w:rsid w:val="007178F1"/>
    <w:rsid w:val="00717928"/>
    <w:rsid w:val="00717A4C"/>
    <w:rsid w:val="00717ACD"/>
    <w:rsid w:val="00717BC7"/>
    <w:rsid w:val="00717CEE"/>
    <w:rsid w:val="00717D37"/>
    <w:rsid w:val="00717EFE"/>
    <w:rsid w:val="007201D1"/>
    <w:rsid w:val="00720776"/>
    <w:rsid w:val="007207BD"/>
    <w:rsid w:val="007208C9"/>
    <w:rsid w:val="00720BD4"/>
    <w:rsid w:val="00720D27"/>
    <w:rsid w:val="00720F96"/>
    <w:rsid w:val="00720FE1"/>
    <w:rsid w:val="00720FF2"/>
    <w:rsid w:val="00721102"/>
    <w:rsid w:val="00721225"/>
    <w:rsid w:val="0072139A"/>
    <w:rsid w:val="00721595"/>
    <w:rsid w:val="0072169B"/>
    <w:rsid w:val="007217CF"/>
    <w:rsid w:val="007217D9"/>
    <w:rsid w:val="0072196A"/>
    <w:rsid w:val="00721CBE"/>
    <w:rsid w:val="00721E8C"/>
    <w:rsid w:val="00721EAA"/>
    <w:rsid w:val="00721F0D"/>
    <w:rsid w:val="00721F42"/>
    <w:rsid w:val="00721FD5"/>
    <w:rsid w:val="00722010"/>
    <w:rsid w:val="00722053"/>
    <w:rsid w:val="00722086"/>
    <w:rsid w:val="00722167"/>
    <w:rsid w:val="0072216A"/>
    <w:rsid w:val="0072222A"/>
    <w:rsid w:val="00722467"/>
    <w:rsid w:val="00722477"/>
    <w:rsid w:val="007224DC"/>
    <w:rsid w:val="007225ED"/>
    <w:rsid w:val="0072276B"/>
    <w:rsid w:val="0072276F"/>
    <w:rsid w:val="0072278C"/>
    <w:rsid w:val="00722A7D"/>
    <w:rsid w:val="00722CEB"/>
    <w:rsid w:val="00722D5B"/>
    <w:rsid w:val="00722DE7"/>
    <w:rsid w:val="007230BC"/>
    <w:rsid w:val="0072325F"/>
    <w:rsid w:val="007233C2"/>
    <w:rsid w:val="0072345B"/>
    <w:rsid w:val="007234BE"/>
    <w:rsid w:val="00723627"/>
    <w:rsid w:val="00723ABE"/>
    <w:rsid w:val="00723FB5"/>
    <w:rsid w:val="00723FD4"/>
    <w:rsid w:val="0072403F"/>
    <w:rsid w:val="00724225"/>
    <w:rsid w:val="00724275"/>
    <w:rsid w:val="007242C1"/>
    <w:rsid w:val="007243C4"/>
    <w:rsid w:val="007244CE"/>
    <w:rsid w:val="007248E2"/>
    <w:rsid w:val="00724EDE"/>
    <w:rsid w:val="00724F69"/>
    <w:rsid w:val="007250D1"/>
    <w:rsid w:val="00725159"/>
    <w:rsid w:val="0072517E"/>
    <w:rsid w:val="00725218"/>
    <w:rsid w:val="007252F6"/>
    <w:rsid w:val="007253D7"/>
    <w:rsid w:val="007255DF"/>
    <w:rsid w:val="00725705"/>
    <w:rsid w:val="00725908"/>
    <w:rsid w:val="00725919"/>
    <w:rsid w:val="00725A9B"/>
    <w:rsid w:val="00725D0D"/>
    <w:rsid w:val="00725DD7"/>
    <w:rsid w:val="00725E72"/>
    <w:rsid w:val="00725FA8"/>
    <w:rsid w:val="00726048"/>
    <w:rsid w:val="007260AC"/>
    <w:rsid w:val="00726172"/>
    <w:rsid w:val="007263A8"/>
    <w:rsid w:val="007264A4"/>
    <w:rsid w:val="0072657B"/>
    <w:rsid w:val="00726636"/>
    <w:rsid w:val="0072677F"/>
    <w:rsid w:val="00726936"/>
    <w:rsid w:val="00726DAA"/>
    <w:rsid w:val="00727053"/>
    <w:rsid w:val="0072706E"/>
    <w:rsid w:val="0072722E"/>
    <w:rsid w:val="00727232"/>
    <w:rsid w:val="00727294"/>
    <w:rsid w:val="007272DC"/>
    <w:rsid w:val="00727404"/>
    <w:rsid w:val="007275CD"/>
    <w:rsid w:val="007276A6"/>
    <w:rsid w:val="007276AC"/>
    <w:rsid w:val="007279AA"/>
    <w:rsid w:val="007279DC"/>
    <w:rsid w:val="007279E5"/>
    <w:rsid w:val="00727B8B"/>
    <w:rsid w:val="00727BD9"/>
    <w:rsid w:val="00727DC9"/>
    <w:rsid w:val="00727E0F"/>
    <w:rsid w:val="00727ED8"/>
    <w:rsid w:val="007304B6"/>
    <w:rsid w:val="007305A6"/>
    <w:rsid w:val="0073075C"/>
    <w:rsid w:val="0073080A"/>
    <w:rsid w:val="00730860"/>
    <w:rsid w:val="00730959"/>
    <w:rsid w:val="00730A25"/>
    <w:rsid w:val="00730AEE"/>
    <w:rsid w:val="00730BD7"/>
    <w:rsid w:val="0073106B"/>
    <w:rsid w:val="007310C3"/>
    <w:rsid w:val="00731105"/>
    <w:rsid w:val="00731328"/>
    <w:rsid w:val="00731336"/>
    <w:rsid w:val="0073151A"/>
    <w:rsid w:val="0073167C"/>
    <w:rsid w:val="00731806"/>
    <w:rsid w:val="007318A7"/>
    <w:rsid w:val="0073192A"/>
    <w:rsid w:val="00731B24"/>
    <w:rsid w:val="00731DCB"/>
    <w:rsid w:val="00731E5C"/>
    <w:rsid w:val="00731FB2"/>
    <w:rsid w:val="007320B8"/>
    <w:rsid w:val="00732141"/>
    <w:rsid w:val="0073226D"/>
    <w:rsid w:val="0073243C"/>
    <w:rsid w:val="0073253B"/>
    <w:rsid w:val="007325D3"/>
    <w:rsid w:val="007326E5"/>
    <w:rsid w:val="00732729"/>
    <w:rsid w:val="0073276B"/>
    <w:rsid w:val="007327AE"/>
    <w:rsid w:val="007327DB"/>
    <w:rsid w:val="00732839"/>
    <w:rsid w:val="0073285D"/>
    <w:rsid w:val="00732A0F"/>
    <w:rsid w:val="00732B41"/>
    <w:rsid w:val="00732C92"/>
    <w:rsid w:val="00732CB9"/>
    <w:rsid w:val="00732D6D"/>
    <w:rsid w:val="00732DA1"/>
    <w:rsid w:val="00732E96"/>
    <w:rsid w:val="00732F6A"/>
    <w:rsid w:val="00732F9C"/>
    <w:rsid w:val="00732FB7"/>
    <w:rsid w:val="00732FE3"/>
    <w:rsid w:val="0073311D"/>
    <w:rsid w:val="007331CF"/>
    <w:rsid w:val="007335AD"/>
    <w:rsid w:val="007335E3"/>
    <w:rsid w:val="00733615"/>
    <w:rsid w:val="00733731"/>
    <w:rsid w:val="00733794"/>
    <w:rsid w:val="00733801"/>
    <w:rsid w:val="0073382E"/>
    <w:rsid w:val="00733899"/>
    <w:rsid w:val="00733A98"/>
    <w:rsid w:val="00733AFC"/>
    <w:rsid w:val="00733B2B"/>
    <w:rsid w:val="00733D38"/>
    <w:rsid w:val="00733DB0"/>
    <w:rsid w:val="00733E21"/>
    <w:rsid w:val="00733E5D"/>
    <w:rsid w:val="00733EA4"/>
    <w:rsid w:val="00733F7A"/>
    <w:rsid w:val="007341EA"/>
    <w:rsid w:val="007344EB"/>
    <w:rsid w:val="00734642"/>
    <w:rsid w:val="0073484F"/>
    <w:rsid w:val="0073485F"/>
    <w:rsid w:val="007348CE"/>
    <w:rsid w:val="0073499F"/>
    <w:rsid w:val="00734A62"/>
    <w:rsid w:val="00734DDB"/>
    <w:rsid w:val="00734E33"/>
    <w:rsid w:val="00734FC2"/>
    <w:rsid w:val="007353C0"/>
    <w:rsid w:val="007355D9"/>
    <w:rsid w:val="0073563B"/>
    <w:rsid w:val="0073570A"/>
    <w:rsid w:val="00735785"/>
    <w:rsid w:val="00735998"/>
    <w:rsid w:val="00735A9E"/>
    <w:rsid w:val="00735AD3"/>
    <w:rsid w:val="00735B69"/>
    <w:rsid w:val="00735BB0"/>
    <w:rsid w:val="00735BB9"/>
    <w:rsid w:val="00735C78"/>
    <w:rsid w:val="00735E6F"/>
    <w:rsid w:val="00735EA8"/>
    <w:rsid w:val="00735F34"/>
    <w:rsid w:val="007361A6"/>
    <w:rsid w:val="007362E2"/>
    <w:rsid w:val="007362F7"/>
    <w:rsid w:val="007363E3"/>
    <w:rsid w:val="00736590"/>
    <w:rsid w:val="00736839"/>
    <w:rsid w:val="0073699E"/>
    <w:rsid w:val="00736A5A"/>
    <w:rsid w:val="00736A5D"/>
    <w:rsid w:val="00736AD3"/>
    <w:rsid w:val="00736D1A"/>
    <w:rsid w:val="00736D42"/>
    <w:rsid w:val="00736E6F"/>
    <w:rsid w:val="00736E92"/>
    <w:rsid w:val="00736F7D"/>
    <w:rsid w:val="00736FAF"/>
    <w:rsid w:val="007371C5"/>
    <w:rsid w:val="007373EA"/>
    <w:rsid w:val="007374F8"/>
    <w:rsid w:val="0073768A"/>
    <w:rsid w:val="0073768D"/>
    <w:rsid w:val="00737920"/>
    <w:rsid w:val="00737941"/>
    <w:rsid w:val="00737B66"/>
    <w:rsid w:val="00737BBE"/>
    <w:rsid w:val="00737D8D"/>
    <w:rsid w:val="00737ED6"/>
    <w:rsid w:val="0074010A"/>
    <w:rsid w:val="007402E0"/>
    <w:rsid w:val="00740416"/>
    <w:rsid w:val="0074041B"/>
    <w:rsid w:val="00740475"/>
    <w:rsid w:val="00740486"/>
    <w:rsid w:val="007405A2"/>
    <w:rsid w:val="00740613"/>
    <w:rsid w:val="0074082B"/>
    <w:rsid w:val="00740BA9"/>
    <w:rsid w:val="00740CB1"/>
    <w:rsid w:val="0074106A"/>
    <w:rsid w:val="007410EC"/>
    <w:rsid w:val="007411C7"/>
    <w:rsid w:val="0074125B"/>
    <w:rsid w:val="00741573"/>
    <w:rsid w:val="0074164C"/>
    <w:rsid w:val="0074167B"/>
    <w:rsid w:val="00741695"/>
    <w:rsid w:val="007417C7"/>
    <w:rsid w:val="00741893"/>
    <w:rsid w:val="00741AA8"/>
    <w:rsid w:val="00741BFB"/>
    <w:rsid w:val="00741C28"/>
    <w:rsid w:val="00741CB1"/>
    <w:rsid w:val="00741CDC"/>
    <w:rsid w:val="00741D61"/>
    <w:rsid w:val="00741D65"/>
    <w:rsid w:val="00741DEA"/>
    <w:rsid w:val="00742457"/>
    <w:rsid w:val="007426D5"/>
    <w:rsid w:val="007426DE"/>
    <w:rsid w:val="007429DF"/>
    <w:rsid w:val="00742C0D"/>
    <w:rsid w:val="00742C68"/>
    <w:rsid w:val="00742C7B"/>
    <w:rsid w:val="00742D1D"/>
    <w:rsid w:val="00742E74"/>
    <w:rsid w:val="00743030"/>
    <w:rsid w:val="007431E0"/>
    <w:rsid w:val="007435EA"/>
    <w:rsid w:val="00743672"/>
    <w:rsid w:val="007436B9"/>
    <w:rsid w:val="007436EA"/>
    <w:rsid w:val="00743767"/>
    <w:rsid w:val="00743807"/>
    <w:rsid w:val="00743A40"/>
    <w:rsid w:val="00743B10"/>
    <w:rsid w:val="00743C55"/>
    <w:rsid w:val="00743E19"/>
    <w:rsid w:val="00743E5D"/>
    <w:rsid w:val="00743E84"/>
    <w:rsid w:val="00743EDF"/>
    <w:rsid w:val="0074414E"/>
    <w:rsid w:val="0074414F"/>
    <w:rsid w:val="00744321"/>
    <w:rsid w:val="00744714"/>
    <w:rsid w:val="00744731"/>
    <w:rsid w:val="007447AE"/>
    <w:rsid w:val="00744A15"/>
    <w:rsid w:val="00744A71"/>
    <w:rsid w:val="00744A7E"/>
    <w:rsid w:val="00744AB5"/>
    <w:rsid w:val="00744AD4"/>
    <w:rsid w:val="00744AD6"/>
    <w:rsid w:val="00744C15"/>
    <w:rsid w:val="00744CD2"/>
    <w:rsid w:val="00744EB6"/>
    <w:rsid w:val="00744F9F"/>
    <w:rsid w:val="00744FAE"/>
    <w:rsid w:val="00745029"/>
    <w:rsid w:val="007450C9"/>
    <w:rsid w:val="0074517F"/>
    <w:rsid w:val="007452F0"/>
    <w:rsid w:val="00745585"/>
    <w:rsid w:val="00745668"/>
    <w:rsid w:val="0074583D"/>
    <w:rsid w:val="00745C6F"/>
    <w:rsid w:val="00745CF1"/>
    <w:rsid w:val="00745E56"/>
    <w:rsid w:val="00745F49"/>
    <w:rsid w:val="007460E9"/>
    <w:rsid w:val="00746123"/>
    <w:rsid w:val="00746183"/>
    <w:rsid w:val="00746370"/>
    <w:rsid w:val="0074643B"/>
    <w:rsid w:val="00746599"/>
    <w:rsid w:val="007469CB"/>
    <w:rsid w:val="00746A01"/>
    <w:rsid w:val="00746A24"/>
    <w:rsid w:val="00746BD7"/>
    <w:rsid w:val="00746DE9"/>
    <w:rsid w:val="00746FAF"/>
    <w:rsid w:val="00746FB2"/>
    <w:rsid w:val="00747046"/>
    <w:rsid w:val="0074721F"/>
    <w:rsid w:val="007472D5"/>
    <w:rsid w:val="007474C3"/>
    <w:rsid w:val="00747760"/>
    <w:rsid w:val="00747815"/>
    <w:rsid w:val="0074791C"/>
    <w:rsid w:val="00747AFA"/>
    <w:rsid w:val="00747D7C"/>
    <w:rsid w:val="00747DC5"/>
    <w:rsid w:val="00747E30"/>
    <w:rsid w:val="00747EC8"/>
    <w:rsid w:val="00747ED1"/>
    <w:rsid w:val="0075010A"/>
    <w:rsid w:val="00750308"/>
    <w:rsid w:val="00750374"/>
    <w:rsid w:val="00750408"/>
    <w:rsid w:val="00750479"/>
    <w:rsid w:val="0075067B"/>
    <w:rsid w:val="00750696"/>
    <w:rsid w:val="0075073C"/>
    <w:rsid w:val="007508E5"/>
    <w:rsid w:val="0075090B"/>
    <w:rsid w:val="0075097B"/>
    <w:rsid w:val="00750A50"/>
    <w:rsid w:val="00750A67"/>
    <w:rsid w:val="00750C3B"/>
    <w:rsid w:val="00750C69"/>
    <w:rsid w:val="00750C90"/>
    <w:rsid w:val="00750D2B"/>
    <w:rsid w:val="00750D75"/>
    <w:rsid w:val="00750DEA"/>
    <w:rsid w:val="00750E68"/>
    <w:rsid w:val="00750E71"/>
    <w:rsid w:val="0075117C"/>
    <w:rsid w:val="007511A6"/>
    <w:rsid w:val="0075142C"/>
    <w:rsid w:val="00751438"/>
    <w:rsid w:val="00751599"/>
    <w:rsid w:val="007518EF"/>
    <w:rsid w:val="00751AEF"/>
    <w:rsid w:val="00751C8D"/>
    <w:rsid w:val="00751DA6"/>
    <w:rsid w:val="0075203F"/>
    <w:rsid w:val="007522CE"/>
    <w:rsid w:val="007523DC"/>
    <w:rsid w:val="007524C5"/>
    <w:rsid w:val="00752613"/>
    <w:rsid w:val="0075280E"/>
    <w:rsid w:val="00752916"/>
    <w:rsid w:val="00752B60"/>
    <w:rsid w:val="00752CD9"/>
    <w:rsid w:val="00752DC6"/>
    <w:rsid w:val="00752DD6"/>
    <w:rsid w:val="00752F22"/>
    <w:rsid w:val="007530F8"/>
    <w:rsid w:val="00753121"/>
    <w:rsid w:val="0075338A"/>
    <w:rsid w:val="007533D7"/>
    <w:rsid w:val="00753551"/>
    <w:rsid w:val="007536A5"/>
    <w:rsid w:val="007538F9"/>
    <w:rsid w:val="007539DD"/>
    <w:rsid w:val="00753AB3"/>
    <w:rsid w:val="00753ACA"/>
    <w:rsid w:val="00753BCC"/>
    <w:rsid w:val="00753CDE"/>
    <w:rsid w:val="00753D0E"/>
    <w:rsid w:val="00753E63"/>
    <w:rsid w:val="00753FCC"/>
    <w:rsid w:val="0075404F"/>
    <w:rsid w:val="0075406F"/>
    <w:rsid w:val="00754084"/>
    <w:rsid w:val="00754298"/>
    <w:rsid w:val="007542EE"/>
    <w:rsid w:val="007543E4"/>
    <w:rsid w:val="00754446"/>
    <w:rsid w:val="0075445B"/>
    <w:rsid w:val="007546DA"/>
    <w:rsid w:val="00754719"/>
    <w:rsid w:val="00754929"/>
    <w:rsid w:val="0075495C"/>
    <w:rsid w:val="00754C90"/>
    <w:rsid w:val="00755066"/>
    <w:rsid w:val="007552F7"/>
    <w:rsid w:val="007554CB"/>
    <w:rsid w:val="007554D3"/>
    <w:rsid w:val="007557C9"/>
    <w:rsid w:val="00755831"/>
    <w:rsid w:val="0075596B"/>
    <w:rsid w:val="00755BF9"/>
    <w:rsid w:val="00755F36"/>
    <w:rsid w:val="00755F92"/>
    <w:rsid w:val="007560BC"/>
    <w:rsid w:val="0075626B"/>
    <w:rsid w:val="007565A3"/>
    <w:rsid w:val="0075670F"/>
    <w:rsid w:val="007567DE"/>
    <w:rsid w:val="00756873"/>
    <w:rsid w:val="0075695E"/>
    <w:rsid w:val="00756960"/>
    <w:rsid w:val="00756BAC"/>
    <w:rsid w:val="00756BB9"/>
    <w:rsid w:val="00756E76"/>
    <w:rsid w:val="00756ED0"/>
    <w:rsid w:val="00756F02"/>
    <w:rsid w:val="00756FB3"/>
    <w:rsid w:val="007570F3"/>
    <w:rsid w:val="00757126"/>
    <w:rsid w:val="0075713C"/>
    <w:rsid w:val="00757281"/>
    <w:rsid w:val="007573E4"/>
    <w:rsid w:val="0075743A"/>
    <w:rsid w:val="00757684"/>
    <w:rsid w:val="007576B8"/>
    <w:rsid w:val="0075782C"/>
    <w:rsid w:val="00757C2F"/>
    <w:rsid w:val="00757C8C"/>
    <w:rsid w:val="00757E18"/>
    <w:rsid w:val="00757E3C"/>
    <w:rsid w:val="00757F05"/>
    <w:rsid w:val="00757FF9"/>
    <w:rsid w:val="0076018A"/>
    <w:rsid w:val="007602BC"/>
    <w:rsid w:val="00760404"/>
    <w:rsid w:val="00760558"/>
    <w:rsid w:val="007607A2"/>
    <w:rsid w:val="007607FC"/>
    <w:rsid w:val="0076084E"/>
    <w:rsid w:val="00760994"/>
    <w:rsid w:val="00760B32"/>
    <w:rsid w:val="00760DA2"/>
    <w:rsid w:val="00760E12"/>
    <w:rsid w:val="00760E44"/>
    <w:rsid w:val="00760E85"/>
    <w:rsid w:val="00760F32"/>
    <w:rsid w:val="00760FCC"/>
    <w:rsid w:val="007611FF"/>
    <w:rsid w:val="007615A6"/>
    <w:rsid w:val="007616F9"/>
    <w:rsid w:val="00761925"/>
    <w:rsid w:val="00761C1D"/>
    <w:rsid w:val="00761D14"/>
    <w:rsid w:val="00761F1E"/>
    <w:rsid w:val="00761FFE"/>
    <w:rsid w:val="007620B3"/>
    <w:rsid w:val="00762369"/>
    <w:rsid w:val="007624C9"/>
    <w:rsid w:val="007628CE"/>
    <w:rsid w:val="0076291D"/>
    <w:rsid w:val="00762A11"/>
    <w:rsid w:val="00762C1B"/>
    <w:rsid w:val="00762CDC"/>
    <w:rsid w:val="00762D2E"/>
    <w:rsid w:val="00762D47"/>
    <w:rsid w:val="00762E92"/>
    <w:rsid w:val="0076304B"/>
    <w:rsid w:val="00763176"/>
    <w:rsid w:val="00763217"/>
    <w:rsid w:val="0076329D"/>
    <w:rsid w:val="00763302"/>
    <w:rsid w:val="0076335D"/>
    <w:rsid w:val="00763551"/>
    <w:rsid w:val="007636BD"/>
    <w:rsid w:val="007639CF"/>
    <w:rsid w:val="007639F2"/>
    <w:rsid w:val="007639FD"/>
    <w:rsid w:val="00763A92"/>
    <w:rsid w:val="00763CA2"/>
    <w:rsid w:val="00763DB6"/>
    <w:rsid w:val="00763E76"/>
    <w:rsid w:val="00763FA9"/>
    <w:rsid w:val="0076400C"/>
    <w:rsid w:val="00764140"/>
    <w:rsid w:val="00764188"/>
    <w:rsid w:val="007642A2"/>
    <w:rsid w:val="007643D1"/>
    <w:rsid w:val="0076440D"/>
    <w:rsid w:val="0076444A"/>
    <w:rsid w:val="0076445F"/>
    <w:rsid w:val="007645BC"/>
    <w:rsid w:val="00764603"/>
    <w:rsid w:val="007648B0"/>
    <w:rsid w:val="007649B0"/>
    <w:rsid w:val="00764A08"/>
    <w:rsid w:val="00764D46"/>
    <w:rsid w:val="00764D68"/>
    <w:rsid w:val="00764D98"/>
    <w:rsid w:val="00764DEF"/>
    <w:rsid w:val="00764FF5"/>
    <w:rsid w:val="00765201"/>
    <w:rsid w:val="007653BA"/>
    <w:rsid w:val="00765479"/>
    <w:rsid w:val="007655B0"/>
    <w:rsid w:val="00765636"/>
    <w:rsid w:val="007659B0"/>
    <w:rsid w:val="00765A4E"/>
    <w:rsid w:val="00765B7F"/>
    <w:rsid w:val="00765CE1"/>
    <w:rsid w:val="00765CEF"/>
    <w:rsid w:val="00765E49"/>
    <w:rsid w:val="00765FE5"/>
    <w:rsid w:val="007665D3"/>
    <w:rsid w:val="007666A3"/>
    <w:rsid w:val="007669B5"/>
    <w:rsid w:val="00766A48"/>
    <w:rsid w:val="00766B9B"/>
    <w:rsid w:val="00766C2C"/>
    <w:rsid w:val="00766CE2"/>
    <w:rsid w:val="00766D02"/>
    <w:rsid w:val="00766D3A"/>
    <w:rsid w:val="00766D88"/>
    <w:rsid w:val="00766E25"/>
    <w:rsid w:val="00766E30"/>
    <w:rsid w:val="00766F65"/>
    <w:rsid w:val="007671AE"/>
    <w:rsid w:val="00767260"/>
    <w:rsid w:val="007672B7"/>
    <w:rsid w:val="007672FF"/>
    <w:rsid w:val="007673C2"/>
    <w:rsid w:val="00767762"/>
    <w:rsid w:val="007677C4"/>
    <w:rsid w:val="0076785C"/>
    <w:rsid w:val="00767A38"/>
    <w:rsid w:val="00767A42"/>
    <w:rsid w:val="00767C4A"/>
    <w:rsid w:val="00767D6D"/>
    <w:rsid w:val="00767DAF"/>
    <w:rsid w:val="00767DE5"/>
    <w:rsid w:val="00767E08"/>
    <w:rsid w:val="00767E68"/>
    <w:rsid w:val="00767F9B"/>
    <w:rsid w:val="00770157"/>
    <w:rsid w:val="0077019D"/>
    <w:rsid w:val="0077023D"/>
    <w:rsid w:val="007702AA"/>
    <w:rsid w:val="00770608"/>
    <w:rsid w:val="0077061A"/>
    <w:rsid w:val="00770667"/>
    <w:rsid w:val="00770676"/>
    <w:rsid w:val="0077074A"/>
    <w:rsid w:val="007708B3"/>
    <w:rsid w:val="00770B40"/>
    <w:rsid w:val="00770B86"/>
    <w:rsid w:val="00770C9C"/>
    <w:rsid w:val="00770E65"/>
    <w:rsid w:val="00770EF1"/>
    <w:rsid w:val="00771080"/>
    <w:rsid w:val="007711D8"/>
    <w:rsid w:val="00771365"/>
    <w:rsid w:val="0077159F"/>
    <w:rsid w:val="0077169B"/>
    <w:rsid w:val="007716FC"/>
    <w:rsid w:val="00771A91"/>
    <w:rsid w:val="00771A94"/>
    <w:rsid w:val="00771B82"/>
    <w:rsid w:val="00771CA6"/>
    <w:rsid w:val="00771CE2"/>
    <w:rsid w:val="00771EFF"/>
    <w:rsid w:val="00771F8A"/>
    <w:rsid w:val="0077203D"/>
    <w:rsid w:val="007721E4"/>
    <w:rsid w:val="007722A7"/>
    <w:rsid w:val="007724CD"/>
    <w:rsid w:val="007724DD"/>
    <w:rsid w:val="00772552"/>
    <w:rsid w:val="00772879"/>
    <w:rsid w:val="0077293F"/>
    <w:rsid w:val="00772A3D"/>
    <w:rsid w:val="00772B2D"/>
    <w:rsid w:val="00772C1E"/>
    <w:rsid w:val="00772CCF"/>
    <w:rsid w:val="00772D3B"/>
    <w:rsid w:val="00772E03"/>
    <w:rsid w:val="00772EB9"/>
    <w:rsid w:val="00772F25"/>
    <w:rsid w:val="00773071"/>
    <w:rsid w:val="0077310E"/>
    <w:rsid w:val="00773154"/>
    <w:rsid w:val="00773418"/>
    <w:rsid w:val="007738C9"/>
    <w:rsid w:val="00773CE7"/>
    <w:rsid w:val="00773FE5"/>
    <w:rsid w:val="00774054"/>
    <w:rsid w:val="007741BA"/>
    <w:rsid w:val="00774460"/>
    <w:rsid w:val="0077448E"/>
    <w:rsid w:val="007744A2"/>
    <w:rsid w:val="007745C5"/>
    <w:rsid w:val="007749DC"/>
    <w:rsid w:val="00774B0F"/>
    <w:rsid w:val="00774C6E"/>
    <w:rsid w:val="00775060"/>
    <w:rsid w:val="00775078"/>
    <w:rsid w:val="007751C9"/>
    <w:rsid w:val="00775289"/>
    <w:rsid w:val="0077551A"/>
    <w:rsid w:val="00775607"/>
    <w:rsid w:val="00775617"/>
    <w:rsid w:val="00775679"/>
    <w:rsid w:val="00775865"/>
    <w:rsid w:val="00775AE6"/>
    <w:rsid w:val="00775B26"/>
    <w:rsid w:val="00775D56"/>
    <w:rsid w:val="00775E38"/>
    <w:rsid w:val="0077616D"/>
    <w:rsid w:val="007761F6"/>
    <w:rsid w:val="007764B7"/>
    <w:rsid w:val="00776554"/>
    <w:rsid w:val="0077660A"/>
    <w:rsid w:val="0077662B"/>
    <w:rsid w:val="0077665C"/>
    <w:rsid w:val="00776859"/>
    <w:rsid w:val="007769BA"/>
    <w:rsid w:val="00776AE0"/>
    <w:rsid w:val="00776C26"/>
    <w:rsid w:val="00776C4D"/>
    <w:rsid w:val="00776C56"/>
    <w:rsid w:val="00776CDD"/>
    <w:rsid w:val="00776D6B"/>
    <w:rsid w:val="00776D88"/>
    <w:rsid w:val="0077715E"/>
    <w:rsid w:val="00777172"/>
    <w:rsid w:val="007772B1"/>
    <w:rsid w:val="007774AC"/>
    <w:rsid w:val="007774BC"/>
    <w:rsid w:val="0077751F"/>
    <w:rsid w:val="00777561"/>
    <w:rsid w:val="00777596"/>
    <w:rsid w:val="0077778B"/>
    <w:rsid w:val="0077778F"/>
    <w:rsid w:val="007777D5"/>
    <w:rsid w:val="00777B10"/>
    <w:rsid w:val="00777BE0"/>
    <w:rsid w:val="00777D1D"/>
    <w:rsid w:val="00777D37"/>
    <w:rsid w:val="00777D53"/>
    <w:rsid w:val="00777FAA"/>
    <w:rsid w:val="00780144"/>
    <w:rsid w:val="007803F7"/>
    <w:rsid w:val="00780428"/>
    <w:rsid w:val="0078044B"/>
    <w:rsid w:val="00780505"/>
    <w:rsid w:val="00780646"/>
    <w:rsid w:val="00780667"/>
    <w:rsid w:val="0078067B"/>
    <w:rsid w:val="007806DC"/>
    <w:rsid w:val="007807D0"/>
    <w:rsid w:val="00780879"/>
    <w:rsid w:val="00780CF0"/>
    <w:rsid w:val="00780DF9"/>
    <w:rsid w:val="00780E6C"/>
    <w:rsid w:val="00781044"/>
    <w:rsid w:val="00781077"/>
    <w:rsid w:val="0078107F"/>
    <w:rsid w:val="00781086"/>
    <w:rsid w:val="007810BD"/>
    <w:rsid w:val="0078111D"/>
    <w:rsid w:val="00781155"/>
    <w:rsid w:val="00781196"/>
    <w:rsid w:val="007812E5"/>
    <w:rsid w:val="0078142C"/>
    <w:rsid w:val="007814D4"/>
    <w:rsid w:val="00781609"/>
    <w:rsid w:val="00781675"/>
    <w:rsid w:val="00781815"/>
    <w:rsid w:val="00781C09"/>
    <w:rsid w:val="00781C44"/>
    <w:rsid w:val="00781C46"/>
    <w:rsid w:val="00782246"/>
    <w:rsid w:val="007822B7"/>
    <w:rsid w:val="007823BD"/>
    <w:rsid w:val="00782540"/>
    <w:rsid w:val="00782552"/>
    <w:rsid w:val="00782707"/>
    <w:rsid w:val="00782818"/>
    <w:rsid w:val="00782C84"/>
    <w:rsid w:val="00782C93"/>
    <w:rsid w:val="00782E6B"/>
    <w:rsid w:val="00782E8C"/>
    <w:rsid w:val="0078302A"/>
    <w:rsid w:val="0078304B"/>
    <w:rsid w:val="00783132"/>
    <w:rsid w:val="00783308"/>
    <w:rsid w:val="00783341"/>
    <w:rsid w:val="00783412"/>
    <w:rsid w:val="0078366A"/>
    <w:rsid w:val="0078369D"/>
    <w:rsid w:val="007837BE"/>
    <w:rsid w:val="00783990"/>
    <w:rsid w:val="00783D07"/>
    <w:rsid w:val="00783D79"/>
    <w:rsid w:val="00783F48"/>
    <w:rsid w:val="00783F7B"/>
    <w:rsid w:val="00784043"/>
    <w:rsid w:val="007840AF"/>
    <w:rsid w:val="007843E1"/>
    <w:rsid w:val="00784407"/>
    <w:rsid w:val="00784421"/>
    <w:rsid w:val="00784563"/>
    <w:rsid w:val="00784954"/>
    <w:rsid w:val="00784AEC"/>
    <w:rsid w:val="00784B10"/>
    <w:rsid w:val="00784B83"/>
    <w:rsid w:val="00784BCE"/>
    <w:rsid w:val="00784C27"/>
    <w:rsid w:val="00784CB5"/>
    <w:rsid w:val="00784E1E"/>
    <w:rsid w:val="00784E2D"/>
    <w:rsid w:val="00784E9A"/>
    <w:rsid w:val="00784EBC"/>
    <w:rsid w:val="00784ED9"/>
    <w:rsid w:val="00784F8D"/>
    <w:rsid w:val="0078508E"/>
    <w:rsid w:val="00785387"/>
    <w:rsid w:val="00785409"/>
    <w:rsid w:val="007855F0"/>
    <w:rsid w:val="00785AAE"/>
    <w:rsid w:val="00785B2C"/>
    <w:rsid w:val="00785B7C"/>
    <w:rsid w:val="00785D5F"/>
    <w:rsid w:val="00785FC2"/>
    <w:rsid w:val="00785FEC"/>
    <w:rsid w:val="00786173"/>
    <w:rsid w:val="007862E2"/>
    <w:rsid w:val="00786404"/>
    <w:rsid w:val="0078643A"/>
    <w:rsid w:val="007865AF"/>
    <w:rsid w:val="007865BF"/>
    <w:rsid w:val="007865E8"/>
    <w:rsid w:val="007866FC"/>
    <w:rsid w:val="0078685D"/>
    <w:rsid w:val="00786864"/>
    <w:rsid w:val="0078698F"/>
    <w:rsid w:val="007869E7"/>
    <w:rsid w:val="00786A27"/>
    <w:rsid w:val="00786A87"/>
    <w:rsid w:val="00786B5D"/>
    <w:rsid w:val="00786E97"/>
    <w:rsid w:val="00787024"/>
    <w:rsid w:val="007870E3"/>
    <w:rsid w:val="0078727D"/>
    <w:rsid w:val="00787342"/>
    <w:rsid w:val="00787779"/>
    <w:rsid w:val="007877DE"/>
    <w:rsid w:val="007878D9"/>
    <w:rsid w:val="00787B04"/>
    <w:rsid w:val="00787DFD"/>
    <w:rsid w:val="00787E20"/>
    <w:rsid w:val="00787E33"/>
    <w:rsid w:val="00787F1D"/>
    <w:rsid w:val="00787F89"/>
    <w:rsid w:val="00790182"/>
    <w:rsid w:val="00790202"/>
    <w:rsid w:val="00790237"/>
    <w:rsid w:val="0079035E"/>
    <w:rsid w:val="0079044B"/>
    <w:rsid w:val="0079071A"/>
    <w:rsid w:val="0079072A"/>
    <w:rsid w:val="00790732"/>
    <w:rsid w:val="007907CD"/>
    <w:rsid w:val="007907D7"/>
    <w:rsid w:val="00790AA0"/>
    <w:rsid w:val="00790DAC"/>
    <w:rsid w:val="00790DBA"/>
    <w:rsid w:val="00790FEE"/>
    <w:rsid w:val="007911FD"/>
    <w:rsid w:val="00791357"/>
    <w:rsid w:val="00791455"/>
    <w:rsid w:val="0079152E"/>
    <w:rsid w:val="0079159E"/>
    <w:rsid w:val="007915B2"/>
    <w:rsid w:val="00791639"/>
    <w:rsid w:val="00791780"/>
    <w:rsid w:val="00791889"/>
    <w:rsid w:val="00791A6A"/>
    <w:rsid w:val="00791BF6"/>
    <w:rsid w:val="00791D1C"/>
    <w:rsid w:val="00791D46"/>
    <w:rsid w:val="00791E24"/>
    <w:rsid w:val="00791FDE"/>
    <w:rsid w:val="0079206F"/>
    <w:rsid w:val="007920EA"/>
    <w:rsid w:val="0079214A"/>
    <w:rsid w:val="00792293"/>
    <w:rsid w:val="007923AC"/>
    <w:rsid w:val="007923CF"/>
    <w:rsid w:val="00792414"/>
    <w:rsid w:val="007924A1"/>
    <w:rsid w:val="007925AB"/>
    <w:rsid w:val="007926F1"/>
    <w:rsid w:val="00792BF8"/>
    <w:rsid w:val="00792EFD"/>
    <w:rsid w:val="00792F10"/>
    <w:rsid w:val="00792F20"/>
    <w:rsid w:val="00792FB2"/>
    <w:rsid w:val="007931C1"/>
    <w:rsid w:val="0079335E"/>
    <w:rsid w:val="0079353A"/>
    <w:rsid w:val="007936C7"/>
    <w:rsid w:val="00793736"/>
    <w:rsid w:val="00793B1F"/>
    <w:rsid w:val="00793EEC"/>
    <w:rsid w:val="007940A0"/>
    <w:rsid w:val="007940CE"/>
    <w:rsid w:val="0079423C"/>
    <w:rsid w:val="007943D3"/>
    <w:rsid w:val="00794474"/>
    <w:rsid w:val="00794594"/>
    <w:rsid w:val="007945F3"/>
    <w:rsid w:val="00794630"/>
    <w:rsid w:val="007946BA"/>
    <w:rsid w:val="007947B2"/>
    <w:rsid w:val="00794CB0"/>
    <w:rsid w:val="00794D03"/>
    <w:rsid w:val="00794F7B"/>
    <w:rsid w:val="0079501D"/>
    <w:rsid w:val="007950DA"/>
    <w:rsid w:val="00795209"/>
    <w:rsid w:val="0079532A"/>
    <w:rsid w:val="0079538A"/>
    <w:rsid w:val="00795504"/>
    <w:rsid w:val="007957F2"/>
    <w:rsid w:val="00795863"/>
    <w:rsid w:val="007958CB"/>
    <w:rsid w:val="00795A44"/>
    <w:rsid w:val="00795AB8"/>
    <w:rsid w:val="00795BB7"/>
    <w:rsid w:val="00795D07"/>
    <w:rsid w:val="007960D3"/>
    <w:rsid w:val="007962D4"/>
    <w:rsid w:val="0079632A"/>
    <w:rsid w:val="00796335"/>
    <w:rsid w:val="007965A8"/>
    <w:rsid w:val="007965E3"/>
    <w:rsid w:val="00796717"/>
    <w:rsid w:val="0079671E"/>
    <w:rsid w:val="00796B64"/>
    <w:rsid w:val="00796BA5"/>
    <w:rsid w:val="00796CBD"/>
    <w:rsid w:val="00796CD4"/>
    <w:rsid w:val="0079700D"/>
    <w:rsid w:val="007972FF"/>
    <w:rsid w:val="00797398"/>
    <w:rsid w:val="007973B7"/>
    <w:rsid w:val="007974EE"/>
    <w:rsid w:val="0079753C"/>
    <w:rsid w:val="00797570"/>
    <w:rsid w:val="0079785B"/>
    <w:rsid w:val="0079789A"/>
    <w:rsid w:val="00797A21"/>
    <w:rsid w:val="00797A6B"/>
    <w:rsid w:val="00797A8B"/>
    <w:rsid w:val="00797AF9"/>
    <w:rsid w:val="00797B87"/>
    <w:rsid w:val="00797EC1"/>
    <w:rsid w:val="007A01AD"/>
    <w:rsid w:val="007A027F"/>
    <w:rsid w:val="007A02D0"/>
    <w:rsid w:val="007A0313"/>
    <w:rsid w:val="007A049D"/>
    <w:rsid w:val="007A04C6"/>
    <w:rsid w:val="007A053D"/>
    <w:rsid w:val="007A072E"/>
    <w:rsid w:val="007A073D"/>
    <w:rsid w:val="007A0A81"/>
    <w:rsid w:val="007A0B4E"/>
    <w:rsid w:val="007A0EFD"/>
    <w:rsid w:val="007A1183"/>
    <w:rsid w:val="007A11A6"/>
    <w:rsid w:val="007A1262"/>
    <w:rsid w:val="007A12D5"/>
    <w:rsid w:val="007A12DF"/>
    <w:rsid w:val="007A131F"/>
    <w:rsid w:val="007A1337"/>
    <w:rsid w:val="007A13F5"/>
    <w:rsid w:val="007A1428"/>
    <w:rsid w:val="007A1488"/>
    <w:rsid w:val="007A185E"/>
    <w:rsid w:val="007A1A5F"/>
    <w:rsid w:val="007A1B9D"/>
    <w:rsid w:val="007A1D7F"/>
    <w:rsid w:val="007A1DF5"/>
    <w:rsid w:val="007A206E"/>
    <w:rsid w:val="007A213C"/>
    <w:rsid w:val="007A2235"/>
    <w:rsid w:val="007A2267"/>
    <w:rsid w:val="007A2456"/>
    <w:rsid w:val="007A24E6"/>
    <w:rsid w:val="007A2566"/>
    <w:rsid w:val="007A2989"/>
    <w:rsid w:val="007A2997"/>
    <w:rsid w:val="007A2D82"/>
    <w:rsid w:val="007A2D9F"/>
    <w:rsid w:val="007A2E3A"/>
    <w:rsid w:val="007A2E8D"/>
    <w:rsid w:val="007A2F8D"/>
    <w:rsid w:val="007A300D"/>
    <w:rsid w:val="007A3173"/>
    <w:rsid w:val="007A335E"/>
    <w:rsid w:val="007A34A5"/>
    <w:rsid w:val="007A3535"/>
    <w:rsid w:val="007A354A"/>
    <w:rsid w:val="007A35A7"/>
    <w:rsid w:val="007A3B04"/>
    <w:rsid w:val="007A3D3E"/>
    <w:rsid w:val="007A3D6D"/>
    <w:rsid w:val="007A3FAF"/>
    <w:rsid w:val="007A40A8"/>
    <w:rsid w:val="007A4364"/>
    <w:rsid w:val="007A4377"/>
    <w:rsid w:val="007A45EC"/>
    <w:rsid w:val="007A45FE"/>
    <w:rsid w:val="007A474D"/>
    <w:rsid w:val="007A4911"/>
    <w:rsid w:val="007A49D3"/>
    <w:rsid w:val="007A4A84"/>
    <w:rsid w:val="007A4ADF"/>
    <w:rsid w:val="007A4E23"/>
    <w:rsid w:val="007A4E80"/>
    <w:rsid w:val="007A5296"/>
    <w:rsid w:val="007A5BAF"/>
    <w:rsid w:val="007A5C48"/>
    <w:rsid w:val="007A5C49"/>
    <w:rsid w:val="007A5DF4"/>
    <w:rsid w:val="007A5F95"/>
    <w:rsid w:val="007A60F6"/>
    <w:rsid w:val="007A6202"/>
    <w:rsid w:val="007A635B"/>
    <w:rsid w:val="007A64D6"/>
    <w:rsid w:val="007A652B"/>
    <w:rsid w:val="007A67A4"/>
    <w:rsid w:val="007A67AE"/>
    <w:rsid w:val="007A67DB"/>
    <w:rsid w:val="007A6A22"/>
    <w:rsid w:val="007A6A98"/>
    <w:rsid w:val="007A6C0A"/>
    <w:rsid w:val="007A6C27"/>
    <w:rsid w:val="007A6D35"/>
    <w:rsid w:val="007A6DE1"/>
    <w:rsid w:val="007A6E12"/>
    <w:rsid w:val="007A6E6F"/>
    <w:rsid w:val="007A6F00"/>
    <w:rsid w:val="007A6F17"/>
    <w:rsid w:val="007A7030"/>
    <w:rsid w:val="007A7073"/>
    <w:rsid w:val="007A70F7"/>
    <w:rsid w:val="007A725A"/>
    <w:rsid w:val="007A72DB"/>
    <w:rsid w:val="007A739B"/>
    <w:rsid w:val="007A7991"/>
    <w:rsid w:val="007A7D04"/>
    <w:rsid w:val="007A7F42"/>
    <w:rsid w:val="007B0099"/>
    <w:rsid w:val="007B00D6"/>
    <w:rsid w:val="007B03A6"/>
    <w:rsid w:val="007B03DD"/>
    <w:rsid w:val="007B046F"/>
    <w:rsid w:val="007B0940"/>
    <w:rsid w:val="007B0CA8"/>
    <w:rsid w:val="007B0E35"/>
    <w:rsid w:val="007B0ECF"/>
    <w:rsid w:val="007B10EC"/>
    <w:rsid w:val="007B1108"/>
    <w:rsid w:val="007B129F"/>
    <w:rsid w:val="007B12E9"/>
    <w:rsid w:val="007B135F"/>
    <w:rsid w:val="007B15BC"/>
    <w:rsid w:val="007B165F"/>
    <w:rsid w:val="007B1A17"/>
    <w:rsid w:val="007B1B51"/>
    <w:rsid w:val="007B1CA3"/>
    <w:rsid w:val="007B1D1F"/>
    <w:rsid w:val="007B2084"/>
    <w:rsid w:val="007B25F3"/>
    <w:rsid w:val="007B298F"/>
    <w:rsid w:val="007B2CAB"/>
    <w:rsid w:val="007B2CC6"/>
    <w:rsid w:val="007B2CDF"/>
    <w:rsid w:val="007B2DFF"/>
    <w:rsid w:val="007B2E4C"/>
    <w:rsid w:val="007B2E7B"/>
    <w:rsid w:val="007B2F2E"/>
    <w:rsid w:val="007B2F66"/>
    <w:rsid w:val="007B2FFF"/>
    <w:rsid w:val="007B321B"/>
    <w:rsid w:val="007B3266"/>
    <w:rsid w:val="007B343F"/>
    <w:rsid w:val="007B372A"/>
    <w:rsid w:val="007B393B"/>
    <w:rsid w:val="007B3BFB"/>
    <w:rsid w:val="007B3C52"/>
    <w:rsid w:val="007B3D13"/>
    <w:rsid w:val="007B3D91"/>
    <w:rsid w:val="007B407C"/>
    <w:rsid w:val="007B412F"/>
    <w:rsid w:val="007B41C3"/>
    <w:rsid w:val="007B41C9"/>
    <w:rsid w:val="007B41DF"/>
    <w:rsid w:val="007B431C"/>
    <w:rsid w:val="007B4439"/>
    <w:rsid w:val="007B44D4"/>
    <w:rsid w:val="007B4780"/>
    <w:rsid w:val="007B4D0F"/>
    <w:rsid w:val="007B524F"/>
    <w:rsid w:val="007B535D"/>
    <w:rsid w:val="007B5381"/>
    <w:rsid w:val="007B541B"/>
    <w:rsid w:val="007B559B"/>
    <w:rsid w:val="007B566A"/>
    <w:rsid w:val="007B5730"/>
    <w:rsid w:val="007B58E4"/>
    <w:rsid w:val="007B5AB2"/>
    <w:rsid w:val="007B5ABF"/>
    <w:rsid w:val="007B5DE6"/>
    <w:rsid w:val="007B5EE3"/>
    <w:rsid w:val="007B60E8"/>
    <w:rsid w:val="007B6237"/>
    <w:rsid w:val="007B671C"/>
    <w:rsid w:val="007B67C3"/>
    <w:rsid w:val="007B681E"/>
    <w:rsid w:val="007B6886"/>
    <w:rsid w:val="007B6AEF"/>
    <w:rsid w:val="007B6B82"/>
    <w:rsid w:val="007B6CBE"/>
    <w:rsid w:val="007B6E22"/>
    <w:rsid w:val="007B6E37"/>
    <w:rsid w:val="007B700D"/>
    <w:rsid w:val="007B7040"/>
    <w:rsid w:val="007B70D7"/>
    <w:rsid w:val="007B715A"/>
    <w:rsid w:val="007B7170"/>
    <w:rsid w:val="007B726F"/>
    <w:rsid w:val="007B7310"/>
    <w:rsid w:val="007B73AB"/>
    <w:rsid w:val="007B7459"/>
    <w:rsid w:val="007B74F5"/>
    <w:rsid w:val="007B7512"/>
    <w:rsid w:val="007B75FE"/>
    <w:rsid w:val="007B76AA"/>
    <w:rsid w:val="007B79CE"/>
    <w:rsid w:val="007B7B50"/>
    <w:rsid w:val="007B7EBC"/>
    <w:rsid w:val="007B7ED2"/>
    <w:rsid w:val="007C002D"/>
    <w:rsid w:val="007C0256"/>
    <w:rsid w:val="007C05BC"/>
    <w:rsid w:val="007C061C"/>
    <w:rsid w:val="007C06D8"/>
    <w:rsid w:val="007C0817"/>
    <w:rsid w:val="007C0848"/>
    <w:rsid w:val="007C08F5"/>
    <w:rsid w:val="007C0964"/>
    <w:rsid w:val="007C09ED"/>
    <w:rsid w:val="007C0DF3"/>
    <w:rsid w:val="007C0F22"/>
    <w:rsid w:val="007C0F3C"/>
    <w:rsid w:val="007C1223"/>
    <w:rsid w:val="007C137F"/>
    <w:rsid w:val="007C13A3"/>
    <w:rsid w:val="007C1409"/>
    <w:rsid w:val="007C1466"/>
    <w:rsid w:val="007C1527"/>
    <w:rsid w:val="007C1995"/>
    <w:rsid w:val="007C1A7F"/>
    <w:rsid w:val="007C1B1A"/>
    <w:rsid w:val="007C1BF8"/>
    <w:rsid w:val="007C1D3A"/>
    <w:rsid w:val="007C1E20"/>
    <w:rsid w:val="007C1E8E"/>
    <w:rsid w:val="007C1EC0"/>
    <w:rsid w:val="007C1FD5"/>
    <w:rsid w:val="007C1FEF"/>
    <w:rsid w:val="007C2190"/>
    <w:rsid w:val="007C2652"/>
    <w:rsid w:val="007C29B7"/>
    <w:rsid w:val="007C2A01"/>
    <w:rsid w:val="007C2A3B"/>
    <w:rsid w:val="007C2B11"/>
    <w:rsid w:val="007C2C18"/>
    <w:rsid w:val="007C2CD9"/>
    <w:rsid w:val="007C2DA2"/>
    <w:rsid w:val="007C2E4B"/>
    <w:rsid w:val="007C2EBA"/>
    <w:rsid w:val="007C3038"/>
    <w:rsid w:val="007C3335"/>
    <w:rsid w:val="007C33B5"/>
    <w:rsid w:val="007C3416"/>
    <w:rsid w:val="007C352C"/>
    <w:rsid w:val="007C3615"/>
    <w:rsid w:val="007C3637"/>
    <w:rsid w:val="007C369C"/>
    <w:rsid w:val="007C36D7"/>
    <w:rsid w:val="007C3AC6"/>
    <w:rsid w:val="007C3D2E"/>
    <w:rsid w:val="007C3D44"/>
    <w:rsid w:val="007C3D64"/>
    <w:rsid w:val="007C40A6"/>
    <w:rsid w:val="007C40EE"/>
    <w:rsid w:val="007C4142"/>
    <w:rsid w:val="007C4400"/>
    <w:rsid w:val="007C44F4"/>
    <w:rsid w:val="007C44F5"/>
    <w:rsid w:val="007C46D9"/>
    <w:rsid w:val="007C47EA"/>
    <w:rsid w:val="007C4911"/>
    <w:rsid w:val="007C49D0"/>
    <w:rsid w:val="007C4A77"/>
    <w:rsid w:val="007C4BF8"/>
    <w:rsid w:val="007C4ECE"/>
    <w:rsid w:val="007C4EFE"/>
    <w:rsid w:val="007C518A"/>
    <w:rsid w:val="007C51CE"/>
    <w:rsid w:val="007C521E"/>
    <w:rsid w:val="007C545A"/>
    <w:rsid w:val="007C57A3"/>
    <w:rsid w:val="007C58B1"/>
    <w:rsid w:val="007C59C6"/>
    <w:rsid w:val="007C5BA3"/>
    <w:rsid w:val="007C5D10"/>
    <w:rsid w:val="007C5DF8"/>
    <w:rsid w:val="007C5F23"/>
    <w:rsid w:val="007C61A5"/>
    <w:rsid w:val="007C62A0"/>
    <w:rsid w:val="007C62C6"/>
    <w:rsid w:val="007C62E2"/>
    <w:rsid w:val="007C65FE"/>
    <w:rsid w:val="007C6702"/>
    <w:rsid w:val="007C674D"/>
    <w:rsid w:val="007C69C9"/>
    <w:rsid w:val="007C6B7C"/>
    <w:rsid w:val="007C6B85"/>
    <w:rsid w:val="007C6E08"/>
    <w:rsid w:val="007C749A"/>
    <w:rsid w:val="007C74A5"/>
    <w:rsid w:val="007C75AD"/>
    <w:rsid w:val="007C75F4"/>
    <w:rsid w:val="007C764F"/>
    <w:rsid w:val="007C771C"/>
    <w:rsid w:val="007C7774"/>
    <w:rsid w:val="007C783F"/>
    <w:rsid w:val="007C7A09"/>
    <w:rsid w:val="007C7A1A"/>
    <w:rsid w:val="007C7AE7"/>
    <w:rsid w:val="007C7EAA"/>
    <w:rsid w:val="007C7F86"/>
    <w:rsid w:val="007D0352"/>
    <w:rsid w:val="007D0550"/>
    <w:rsid w:val="007D060E"/>
    <w:rsid w:val="007D0611"/>
    <w:rsid w:val="007D0714"/>
    <w:rsid w:val="007D0836"/>
    <w:rsid w:val="007D09C9"/>
    <w:rsid w:val="007D0B25"/>
    <w:rsid w:val="007D0B90"/>
    <w:rsid w:val="007D0D12"/>
    <w:rsid w:val="007D0F2C"/>
    <w:rsid w:val="007D116A"/>
    <w:rsid w:val="007D1271"/>
    <w:rsid w:val="007D12D0"/>
    <w:rsid w:val="007D1388"/>
    <w:rsid w:val="007D13B9"/>
    <w:rsid w:val="007D142B"/>
    <w:rsid w:val="007D15CF"/>
    <w:rsid w:val="007D1620"/>
    <w:rsid w:val="007D187F"/>
    <w:rsid w:val="007D18FD"/>
    <w:rsid w:val="007D19CF"/>
    <w:rsid w:val="007D19E8"/>
    <w:rsid w:val="007D1DA6"/>
    <w:rsid w:val="007D1EA3"/>
    <w:rsid w:val="007D20E3"/>
    <w:rsid w:val="007D2271"/>
    <w:rsid w:val="007D2372"/>
    <w:rsid w:val="007D286F"/>
    <w:rsid w:val="007D28EE"/>
    <w:rsid w:val="007D2920"/>
    <w:rsid w:val="007D2A74"/>
    <w:rsid w:val="007D2A8D"/>
    <w:rsid w:val="007D2A99"/>
    <w:rsid w:val="007D2C58"/>
    <w:rsid w:val="007D2D85"/>
    <w:rsid w:val="007D2E4F"/>
    <w:rsid w:val="007D2F98"/>
    <w:rsid w:val="007D30EE"/>
    <w:rsid w:val="007D31EB"/>
    <w:rsid w:val="007D320F"/>
    <w:rsid w:val="007D338F"/>
    <w:rsid w:val="007D3583"/>
    <w:rsid w:val="007D3729"/>
    <w:rsid w:val="007D3823"/>
    <w:rsid w:val="007D385F"/>
    <w:rsid w:val="007D3B31"/>
    <w:rsid w:val="007D3B53"/>
    <w:rsid w:val="007D3BC1"/>
    <w:rsid w:val="007D3D22"/>
    <w:rsid w:val="007D3F1E"/>
    <w:rsid w:val="007D42EF"/>
    <w:rsid w:val="007D4538"/>
    <w:rsid w:val="007D456B"/>
    <w:rsid w:val="007D4758"/>
    <w:rsid w:val="007D49D7"/>
    <w:rsid w:val="007D4AD7"/>
    <w:rsid w:val="007D4C04"/>
    <w:rsid w:val="007D4D82"/>
    <w:rsid w:val="007D4DA8"/>
    <w:rsid w:val="007D4DEE"/>
    <w:rsid w:val="007D4F66"/>
    <w:rsid w:val="007D4F6B"/>
    <w:rsid w:val="007D4FD6"/>
    <w:rsid w:val="007D5056"/>
    <w:rsid w:val="007D506B"/>
    <w:rsid w:val="007D5111"/>
    <w:rsid w:val="007D51E5"/>
    <w:rsid w:val="007D5639"/>
    <w:rsid w:val="007D59A1"/>
    <w:rsid w:val="007D5AD3"/>
    <w:rsid w:val="007D5BB5"/>
    <w:rsid w:val="007D5E48"/>
    <w:rsid w:val="007D5E63"/>
    <w:rsid w:val="007D5F10"/>
    <w:rsid w:val="007D5F79"/>
    <w:rsid w:val="007D5FAD"/>
    <w:rsid w:val="007D6109"/>
    <w:rsid w:val="007D610B"/>
    <w:rsid w:val="007D62A6"/>
    <w:rsid w:val="007D635D"/>
    <w:rsid w:val="007D636F"/>
    <w:rsid w:val="007D645E"/>
    <w:rsid w:val="007D6553"/>
    <w:rsid w:val="007D655D"/>
    <w:rsid w:val="007D6573"/>
    <w:rsid w:val="007D6804"/>
    <w:rsid w:val="007D6AF0"/>
    <w:rsid w:val="007D6DA9"/>
    <w:rsid w:val="007D7133"/>
    <w:rsid w:val="007D72FE"/>
    <w:rsid w:val="007D75B4"/>
    <w:rsid w:val="007D7857"/>
    <w:rsid w:val="007D7858"/>
    <w:rsid w:val="007D7937"/>
    <w:rsid w:val="007D7B44"/>
    <w:rsid w:val="007D7D45"/>
    <w:rsid w:val="007D7DE6"/>
    <w:rsid w:val="007D7EF4"/>
    <w:rsid w:val="007E0046"/>
    <w:rsid w:val="007E0163"/>
    <w:rsid w:val="007E02F4"/>
    <w:rsid w:val="007E038C"/>
    <w:rsid w:val="007E071D"/>
    <w:rsid w:val="007E07CE"/>
    <w:rsid w:val="007E09DC"/>
    <w:rsid w:val="007E0B9A"/>
    <w:rsid w:val="007E0DAA"/>
    <w:rsid w:val="007E0F19"/>
    <w:rsid w:val="007E0F54"/>
    <w:rsid w:val="007E0FF0"/>
    <w:rsid w:val="007E11EF"/>
    <w:rsid w:val="007E1314"/>
    <w:rsid w:val="007E13DF"/>
    <w:rsid w:val="007E146F"/>
    <w:rsid w:val="007E157F"/>
    <w:rsid w:val="007E1628"/>
    <w:rsid w:val="007E1B71"/>
    <w:rsid w:val="007E1BB6"/>
    <w:rsid w:val="007E1BB9"/>
    <w:rsid w:val="007E1D1D"/>
    <w:rsid w:val="007E1D49"/>
    <w:rsid w:val="007E1D63"/>
    <w:rsid w:val="007E1D80"/>
    <w:rsid w:val="007E1DAC"/>
    <w:rsid w:val="007E1E1B"/>
    <w:rsid w:val="007E1FA6"/>
    <w:rsid w:val="007E1FFF"/>
    <w:rsid w:val="007E20AB"/>
    <w:rsid w:val="007E20CC"/>
    <w:rsid w:val="007E2222"/>
    <w:rsid w:val="007E2322"/>
    <w:rsid w:val="007E23EB"/>
    <w:rsid w:val="007E2456"/>
    <w:rsid w:val="007E28B5"/>
    <w:rsid w:val="007E28BC"/>
    <w:rsid w:val="007E2D2A"/>
    <w:rsid w:val="007E2D63"/>
    <w:rsid w:val="007E2E0E"/>
    <w:rsid w:val="007E3003"/>
    <w:rsid w:val="007E3006"/>
    <w:rsid w:val="007E305A"/>
    <w:rsid w:val="007E33CA"/>
    <w:rsid w:val="007E3435"/>
    <w:rsid w:val="007E351D"/>
    <w:rsid w:val="007E3713"/>
    <w:rsid w:val="007E3885"/>
    <w:rsid w:val="007E3974"/>
    <w:rsid w:val="007E3B61"/>
    <w:rsid w:val="007E3E0B"/>
    <w:rsid w:val="007E3FCF"/>
    <w:rsid w:val="007E4325"/>
    <w:rsid w:val="007E46C0"/>
    <w:rsid w:val="007E4846"/>
    <w:rsid w:val="007E4A63"/>
    <w:rsid w:val="007E508E"/>
    <w:rsid w:val="007E50A8"/>
    <w:rsid w:val="007E513E"/>
    <w:rsid w:val="007E5151"/>
    <w:rsid w:val="007E517A"/>
    <w:rsid w:val="007E5265"/>
    <w:rsid w:val="007E52FA"/>
    <w:rsid w:val="007E533A"/>
    <w:rsid w:val="007E55E6"/>
    <w:rsid w:val="007E56AF"/>
    <w:rsid w:val="007E5751"/>
    <w:rsid w:val="007E577B"/>
    <w:rsid w:val="007E57EA"/>
    <w:rsid w:val="007E581E"/>
    <w:rsid w:val="007E5920"/>
    <w:rsid w:val="007E599B"/>
    <w:rsid w:val="007E5A09"/>
    <w:rsid w:val="007E5AF2"/>
    <w:rsid w:val="007E5B47"/>
    <w:rsid w:val="007E5CCC"/>
    <w:rsid w:val="007E5F2E"/>
    <w:rsid w:val="007E61DB"/>
    <w:rsid w:val="007E623B"/>
    <w:rsid w:val="007E6484"/>
    <w:rsid w:val="007E64A4"/>
    <w:rsid w:val="007E6587"/>
    <w:rsid w:val="007E6687"/>
    <w:rsid w:val="007E6816"/>
    <w:rsid w:val="007E69A0"/>
    <w:rsid w:val="007E6A7A"/>
    <w:rsid w:val="007E6AB3"/>
    <w:rsid w:val="007E6AD2"/>
    <w:rsid w:val="007E6AFD"/>
    <w:rsid w:val="007E6CC0"/>
    <w:rsid w:val="007E6D25"/>
    <w:rsid w:val="007E6FCB"/>
    <w:rsid w:val="007E70B4"/>
    <w:rsid w:val="007E70F6"/>
    <w:rsid w:val="007E7176"/>
    <w:rsid w:val="007E718A"/>
    <w:rsid w:val="007E71A2"/>
    <w:rsid w:val="007E71EA"/>
    <w:rsid w:val="007E7252"/>
    <w:rsid w:val="007E756E"/>
    <w:rsid w:val="007E76D5"/>
    <w:rsid w:val="007E79AD"/>
    <w:rsid w:val="007E7A3F"/>
    <w:rsid w:val="007E7AC3"/>
    <w:rsid w:val="007E7CF2"/>
    <w:rsid w:val="007E7F7B"/>
    <w:rsid w:val="007F00C4"/>
    <w:rsid w:val="007F0324"/>
    <w:rsid w:val="007F04C6"/>
    <w:rsid w:val="007F06A8"/>
    <w:rsid w:val="007F086A"/>
    <w:rsid w:val="007F0B10"/>
    <w:rsid w:val="007F0C49"/>
    <w:rsid w:val="007F0C4A"/>
    <w:rsid w:val="007F0E56"/>
    <w:rsid w:val="007F0EC4"/>
    <w:rsid w:val="007F0ED5"/>
    <w:rsid w:val="007F0F5B"/>
    <w:rsid w:val="007F12C1"/>
    <w:rsid w:val="007F1846"/>
    <w:rsid w:val="007F19C0"/>
    <w:rsid w:val="007F1A8D"/>
    <w:rsid w:val="007F1BE1"/>
    <w:rsid w:val="007F1C11"/>
    <w:rsid w:val="007F1D25"/>
    <w:rsid w:val="007F1D62"/>
    <w:rsid w:val="007F1D7B"/>
    <w:rsid w:val="007F2007"/>
    <w:rsid w:val="007F23C5"/>
    <w:rsid w:val="007F23FB"/>
    <w:rsid w:val="007F24E0"/>
    <w:rsid w:val="007F2544"/>
    <w:rsid w:val="007F25A6"/>
    <w:rsid w:val="007F25AB"/>
    <w:rsid w:val="007F278C"/>
    <w:rsid w:val="007F2804"/>
    <w:rsid w:val="007F287A"/>
    <w:rsid w:val="007F2A52"/>
    <w:rsid w:val="007F2B42"/>
    <w:rsid w:val="007F2B64"/>
    <w:rsid w:val="007F2CF9"/>
    <w:rsid w:val="007F2D8A"/>
    <w:rsid w:val="007F33B4"/>
    <w:rsid w:val="007F340B"/>
    <w:rsid w:val="007F35F2"/>
    <w:rsid w:val="007F36C5"/>
    <w:rsid w:val="007F39CA"/>
    <w:rsid w:val="007F39D0"/>
    <w:rsid w:val="007F3AE6"/>
    <w:rsid w:val="007F3B8D"/>
    <w:rsid w:val="007F3C5A"/>
    <w:rsid w:val="007F3D57"/>
    <w:rsid w:val="007F3F3F"/>
    <w:rsid w:val="007F404B"/>
    <w:rsid w:val="007F40D3"/>
    <w:rsid w:val="007F432A"/>
    <w:rsid w:val="007F439D"/>
    <w:rsid w:val="007F43CE"/>
    <w:rsid w:val="007F458D"/>
    <w:rsid w:val="007F45E6"/>
    <w:rsid w:val="007F467D"/>
    <w:rsid w:val="007F46C2"/>
    <w:rsid w:val="007F46FD"/>
    <w:rsid w:val="007F474C"/>
    <w:rsid w:val="007F4862"/>
    <w:rsid w:val="007F4AE9"/>
    <w:rsid w:val="007F4B45"/>
    <w:rsid w:val="007F4BBD"/>
    <w:rsid w:val="007F4C99"/>
    <w:rsid w:val="007F4FC5"/>
    <w:rsid w:val="007F5196"/>
    <w:rsid w:val="007F52CF"/>
    <w:rsid w:val="007F587C"/>
    <w:rsid w:val="007F58A6"/>
    <w:rsid w:val="007F5EC6"/>
    <w:rsid w:val="007F600A"/>
    <w:rsid w:val="007F6266"/>
    <w:rsid w:val="007F6394"/>
    <w:rsid w:val="007F6407"/>
    <w:rsid w:val="007F65B5"/>
    <w:rsid w:val="007F65E0"/>
    <w:rsid w:val="007F68A6"/>
    <w:rsid w:val="007F69C0"/>
    <w:rsid w:val="007F6A12"/>
    <w:rsid w:val="007F6DCA"/>
    <w:rsid w:val="007F6E02"/>
    <w:rsid w:val="007F7018"/>
    <w:rsid w:val="007F70DA"/>
    <w:rsid w:val="007F7307"/>
    <w:rsid w:val="007F7595"/>
    <w:rsid w:val="007F75C6"/>
    <w:rsid w:val="007F75F4"/>
    <w:rsid w:val="007F76F2"/>
    <w:rsid w:val="007F7728"/>
    <w:rsid w:val="007F7829"/>
    <w:rsid w:val="007F78BD"/>
    <w:rsid w:val="007F78C5"/>
    <w:rsid w:val="007F78D0"/>
    <w:rsid w:val="007F79C7"/>
    <w:rsid w:val="007F7A96"/>
    <w:rsid w:val="007F7BDE"/>
    <w:rsid w:val="007F7D7D"/>
    <w:rsid w:val="007F7DFE"/>
    <w:rsid w:val="007F7FED"/>
    <w:rsid w:val="00800169"/>
    <w:rsid w:val="0080019C"/>
    <w:rsid w:val="0080021D"/>
    <w:rsid w:val="00800281"/>
    <w:rsid w:val="008002FF"/>
    <w:rsid w:val="0080040B"/>
    <w:rsid w:val="0080045A"/>
    <w:rsid w:val="00800929"/>
    <w:rsid w:val="00800957"/>
    <w:rsid w:val="00800974"/>
    <w:rsid w:val="00800A05"/>
    <w:rsid w:val="00800FE3"/>
    <w:rsid w:val="00800FE8"/>
    <w:rsid w:val="008010AC"/>
    <w:rsid w:val="008014DB"/>
    <w:rsid w:val="00801676"/>
    <w:rsid w:val="00801727"/>
    <w:rsid w:val="00801B65"/>
    <w:rsid w:val="00801ED1"/>
    <w:rsid w:val="00801F31"/>
    <w:rsid w:val="00801F86"/>
    <w:rsid w:val="008020CA"/>
    <w:rsid w:val="0080218F"/>
    <w:rsid w:val="008021FA"/>
    <w:rsid w:val="008021FB"/>
    <w:rsid w:val="0080226F"/>
    <w:rsid w:val="008022D6"/>
    <w:rsid w:val="00802308"/>
    <w:rsid w:val="00802460"/>
    <w:rsid w:val="00802480"/>
    <w:rsid w:val="00802521"/>
    <w:rsid w:val="008025B2"/>
    <w:rsid w:val="008025BE"/>
    <w:rsid w:val="00802637"/>
    <w:rsid w:val="0080284E"/>
    <w:rsid w:val="00802B2D"/>
    <w:rsid w:val="00802CAF"/>
    <w:rsid w:val="00802D5A"/>
    <w:rsid w:val="00802D68"/>
    <w:rsid w:val="00802E99"/>
    <w:rsid w:val="00803476"/>
    <w:rsid w:val="008034A4"/>
    <w:rsid w:val="008034C4"/>
    <w:rsid w:val="0080351F"/>
    <w:rsid w:val="0080355B"/>
    <w:rsid w:val="008035C5"/>
    <w:rsid w:val="008035EE"/>
    <w:rsid w:val="00803784"/>
    <w:rsid w:val="008039BA"/>
    <w:rsid w:val="00803BBC"/>
    <w:rsid w:val="00803C05"/>
    <w:rsid w:val="00803D34"/>
    <w:rsid w:val="00803DFA"/>
    <w:rsid w:val="00803E89"/>
    <w:rsid w:val="00804010"/>
    <w:rsid w:val="00804129"/>
    <w:rsid w:val="00804155"/>
    <w:rsid w:val="00804189"/>
    <w:rsid w:val="0080428D"/>
    <w:rsid w:val="008042BF"/>
    <w:rsid w:val="00804509"/>
    <w:rsid w:val="008045D5"/>
    <w:rsid w:val="00804616"/>
    <w:rsid w:val="00804944"/>
    <w:rsid w:val="008049F6"/>
    <w:rsid w:val="00804A1D"/>
    <w:rsid w:val="00804A3E"/>
    <w:rsid w:val="00804B0F"/>
    <w:rsid w:val="00804C8F"/>
    <w:rsid w:val="00804C91"/>
    <w:rsid w:val="00805090"/>
    <w:rsid w:val="00805308"/>
    <w:rsid w:val="008053FC"/>
    <w:rsid w:val="008057F9"/>
    <w:rsid w:val="0080599D"/>
    <w:rsid w:val="00805A31"/>
    <w:rsid w:val="00805BA2"/>
    <w:rsid w:val="00805CC7"/>
    <w:rsid w:val="00805D1D"/>
    <w:rsid w:val="00805D24"/>
    <w:rsid w:val="00805DAC"/>
    <w:rsid w:val="00806182"/>
    <w:rsid w:val="00806257"/>
    <w:rsid w:val="0080632D"/>
    <w:rsid w:val="00806359"/>
    <w:rsid w:val="008067FE"/>
    <w:rsid w:val="0080690D"/>
    <w:rsid w:val="00806D24"/>
    <w:rsid w:val="00806F49"/>
    <w:rsid w:val="00806F53"/>
    <w:rsid w:val="0080703D"/>
    <w:rsid w:val="00807112"/>
    <w:rsid w:val="00807130"/>
    <w:rsid w:val="008071CB"/>
    <w:rsid w:val="0080725B"/>
    <w:rsid w:val="008072D6"/>
    <w:rsid w:val="00807A67"/>
    <w:rsid w:val="00807AA6"/>
    <w:rsid w:val="00807BBF"/>
    <w:rsid w:val="00807C46"/>
    <w:rsid w:val="00807F02"/>
    <w:rsid w:val="008100A3"/>
    <w:rsid w:val="00810118"/>
    <w:rsid w:val="008101AB"/>
    <w:rsid w:val="008104BA"/>
    <w:rsid w:val="00810513"/>
    <w:rsid w:val="0081052B"/>
    <w:rsid w:val="008105A4"/>
    <w:rsid w:val="00810637"/>
    <w:rsid w:val="00810A9C"/>
    <w:rsid w:val="00810AA0"/>
    <w:rsid w:val="00810ADB"/>
    <w:rsid w:val="00810AEE"/>
    <w:rsid w:val="00810BF7"/>
    <w:rsid w:val="00810EDB"/>
    <w:rsid w:val="00810FA8"/>
    <w:rsid w:val="00811103"/>
    <w:rsid w:val="00811285"/>
    <w:rsid w:val="0081129B"/>
    <w:rsid w:val="00811303"/>
    <w:rsid w:val="0081145B"/>
    <w:rsid w:val="00811720"/>
    <w:rsid w:val="008119ED"/>
    <w:rsid w:val="00811A1F"/>
    <w:rsid w:val="00811D53"/>
    <w:rsid w:val="00811E73"/>
    <w:rsid w:val="00811E9C"/>
    <w:rsid w:val="00811FB7"/>
    <w:rsid w:val="00812006"/>
    <w:rsid w:val="00812009"/>
    <w:rsid w:val="00812072"/>
    <w:rsid w:val="008120B0"/>
    <w:rsid w:val="008121A0"/>
    <w:rsid w:val="008121A9"/>
    <w:rsid w:val="008121FF"/>
    <w:rsid w:val="00812236"/>
    <w:rsid w:val="0081232C"/>
    <w:rsid w:val="008124A0"/>
    <w:rsid w:val="008125A9"/>
    <w:rsid w:val="00812683"/>
    <w:rsid w:val="0081276D"/>
    <w:rsid w:val="0081289E"/>
    <w:rsid w:val="00812B29"/>
    <w:rsid w:val="00812C53"/>
    <w:rsid w:val="00812D27"/>
    <w:rsid w:val="00812EEE"/>
    <w:rsid w:val="00812F9E"/>
    <w:rsid w:val="008130E3"/>
    <w:rsid w:val="008130EB"/>
    <w:rsid w:val="00813159"/>
    <w:rsid w:val="008133D3"/>
    <w:rsid w:val="008136E4"/>
    <w:rsid w:val="008138D4"/>
    <w:rsid w:val="00813B24"/>
    <w:rsid w:val="00813B5F"/>
    <w:rsid w:val="00813CC1"/>
    <w:rsid w:val="00813D0B"/>
    <w:rsid w:val="00813EE9"/>
    <w:rsid w:val="00814068"/>
    <w:rsid w:val="00814203"/>
    <w:rsid w:val="00814309"/>
    <w:rsid w:val="0081442E"/>
    <w:rsid w:val="008144DD"/>
    <w:rsid w:val="00814831"/>
    <w:rsid w:val="008149D9"/>
    <w:rsid w:val="00814D95"/>
    <w:rsid w:val="00815074"/>
    <w:rsid w:val="008156DE"/>
    <w:rsid w:val="0081595D"/>
    <w:rsid w:val="00815BEB"/>
    <w:rsid w:val="00815D65"/>
    <w:rsid w:val="00815DFB"/>
    <w:rsid w:val="008161B1"/>
    <w:rsid w:val="008161B8"/>
    <w:rsid w:val="008162D4"/>
    <w:rsid w:val="0081631F"/>
    <w:rsid w:val="0081657B"/>
    <w:rsid w:val="0081659D"/>
    <w:rsid w:val="0081684D"/>
    <w:rsid w:val="00816D3E"/>
    <w:rsid w:val="00816F35"/>
    <w:rsid w:val="00817570"/>
    <w:rsid w:val="00817655"/>
    <w:rsid w:val="00817816"/>
    <w:rsid w:val="00817BE3"/>
    <w:rsid w:val="00817C78"/>
    <w:rsid w:val="008200BF"/>
    <w:rsid w:val="00820121"/>
    <w:rsid w:val="008201D6"/>
    <w:rsid w:val="00820271"/>
    <w:rsid w:val="008202B2"/>
    <w:rsid w:val="0082048A"/>
    <w:rsid w:val="008204B9"/>
    <w:rsid w:val="00820605"/>
    <w:rsid w:val="0082063A"/>
    <w:rsid w:val="00820738"/>
    <w:rsid w:val="00820852"/>
    <w:rsid w:val="00820884"/>
    <w:rsid w:val="008208A5"/>
    <w:rsid w:val="00820B59"/>
    <w:rsid w:val="00820B80"/>
    <w:rsid w:val="00820DC5"/>
    <w:rsid w:val="00820E7A"/>
    <w:rsid w:val="00820F36"/>
    <w:rsid w:val="00820F86"/>
    <w:rsid w:val="0082111A"/>
    <w:rsid w:val="00821193"/>
    <w:rsid w:val="008211A8"/>
    <w:rsid w:val="00821231"/>
    <w:rsid w:val="0082126F"/>
    <w:rsid w:val="0082135D"/>
    <w:rsid w:val="008214D2"/>
    <w:rsid w:val="0082153C"/>
    <w:rsid w:val="00821564"/>
    <w:rsid w:val="008216DE"/>
    <w:rsid w:val="00821884"/>
    <w:rsid w:val="00821981"/>
    <w:rsid w:val="008219E7"/>
    <w:rsid w:val="00821A04"/>
    <w:rsid w:val="00821A0D"/>
    <w:rsid w:val="00821AC1"/>
    <w:rsid w:val="00821ADA"/>
    <w:rsid w:val="00821BF5"/>
    <w:rsid w:val="00821C27"/>
    <w:rsid w:val="00821EE2"/>
    <w:rsid w:val="0082207C"/>
    <w:rsid w:val="00822275"/>
    <w:rsid w:val="008223C3"/>
    <w:rsid w:val="008223F9"/>
    <w:rsid w:val="00822583"/>
    <w:rsid w:val="0082299E"/>
    <w:rsid w:val="00822CAA"/>
    <w:rsid w:val="00823113"/>
    <w:rsid w:val="008233C9"/>
    <w:rsid w:val="008233DF"/>
    <w:rsid w:val="00823470"/>
    <w:rsid w:val="008234AB"/>
    <w:rsid w:val="008234CE"/>
    <w:rsid w:val="00823740"/>
    <w:rsid w:val="00823836"/>
    <w:rsid w:val="00823894"/>
    <w:rsid w:val="00823A16"/>
    <w:rsid w:val="00823A1D"/>
    <w:rsid w:val="00823A73"/>
    <w:rsid w:val="00823A91"/>
    <w:rsid w:val="00823AFD"/>
    <w:rsid w:val="00823BEB"/>
    <w:rsid w:val="00823CED"/>
    <w:rsid w:val="00824054"/>
    <w:rsid w:val="008241E0"/>
    <w:rsid w:val="0082421F"/>
    <w:rsid w:val="0082427E"/>
    <w:rsid w:val="0082427F"/>
    <w:rsid w:val="00824B94"/>
    <w:rsid w:val="00824CA2"/>
    <w:rsid w:val="00824CCE"/>
    <w:rsid w:val="00824CD8"/>
    <w:rsid w:val="00824EB4"/>
    <w:rsid w:val="0082500D"/>
    <w:rsid w:val="00825032"/>
    <w:rsid w:val="0082511A"/>
    <w:rsid w:val="0082513E"/>
    <w:rsid w:val="00825298"/>
    <w:rsid w:val="008254B2"/>
    <w:rsid w:val="008254C6"/>
    <w:rsid w:val="00825619"/>
    <w:rsid w:val="00825677"/>
    <w:rsid w:val="0082571D"/>
    <w:rsid w:val="00825805"/>
    <w:rsid w:val="008258C7"/>
    <w:rsid w:val="00825A44"/>
    <w:rsid w:val="00825AF6"/>
    <w:rsid w:val="00825AFA"/>
    <w:rsid w:val="00825C93"/>
    <w:rsid w:val="00825D5B"/>
    <w:rsid w:val="00825FE6"/>
    <w:rsid w:val="00826278"/>
    <w:rsid w:val="008262A4"/>
    <w:rsid w:val="0082658D"/>
    <w:rsid w:val="00826848"/>
    <w:rsid w:val="008268A2"/>
    <w:rsid w:val="008268DC"/>
    <w:rsid w:val="00826B01"/>
    <w:rsid w:val="00826BBC"/>
    <w:rsid w:val="00826BC9"/>
    <w:rsid w:val="00826D76"/>
    <w:rsid w:val="00826D95"/>
    <w:rsid w:val="00826E55"/>
    <w:rsid w:val="00826E9B"/>
    <w:rsid w:val="00826EA8"/>
    <w:rsid w:val="00826FDE"/>
    <w:rsid w:val="0082713F"/>
    <w:rsid w:val="008271EA"/>
    <w:rsid w:val="008273F2"/>
    <w:rsid w:val="008273FC"/>
    <w:rsid w:val="00827461"/>
    <w:rsid w:val="00827469"/>
    <w:rsid w:val="008274D1"/>
    <w:rsid w:val="00827690"/>
    <w:rsid w:val="0082794A"/>
    <w:rsid w:val="00827A40"/>
    <w:rsid w:val="00827A9E"/>
    <w:rsid w:val="00827BCC"/>
    <w:rsid w:val="00827D0C"/>
    <w:rsid w:val="00827EE0"/>
    <w:rsid w:val="00827F35"/>
    <w:rsid w:val="008301A9"/>
    <w:rsid w:val="008302E3"/>
    <w:rsid w:val="0083058A"/>
    <w:rsid w:val="008306AD"/>
    <w:rsid w:val="008307B8"/>
    <w:rsid w:val="00830839"/>
    <w:rsid w:val="00830853"/>
    <w:rsid w:val="008308CD"/>
    <w:rsid w:val="008308D5"/>
    <w:rsid w:val="00830C73"/>
    <w:rsid w:val="00830CFB"/>
    <w:rsid w:val="00830F3E"/>
    <w:rsid w:val="00830FB1"/>
    <w:rsid w:val="00831003"/>
    <w:rsid w:val="00831127"/>
    <w:rsid w:val="0083116C"/>
    <w:rsid w:val="00831172"/>
    <w:rsid w:val="008314EB"/>
    <w:rsid w:val="0083157C"/>
    <w:rsid w:val="00831588"/>
    <w:rsid w:val="0083159B"/>
    <w:rsid w:val="00831648"/>
    <w:rsid w:val="00831BC5"/>
    <w:rsid w:val="00831C79"/>
    <w:rsid w:val="00831E4A"/>
    <w:rsid w:val="00831EDE"/>
    <w:rsid w:val="00831F8F"/>
    <w:rsid w:val="00832091"/>
    <w:rsid w:val="00832225"/>
    <w:rsid w:val="00832447"/>
    <w:rsid w:val="00832811"/>
    <w:rsid w:val="0083286B"/>
    <w:rsid w:val="00832B6D"/>
    <w:rsid w:val="00832DB5"/>
    <w:rsid w:val="00832DCA"/>
    <w:rsid w:val="0083306F"/>
    <w:rsid w:val="008334B3"/>
    <w:rsid w:val="008335B5"/>
    <w:rsid w:val="0083366E"/>
    <w:rsid w:val="008336AC"/>
    <w:rsid w:val="0083386C"/>
    <w:rsid w:val="00833A87"/>
    <w:rsid w:val="00833AE5"/>
    <w:rsid w:val="00833C02"/>
    <w:rsid w:val="00833CA3"/>
    <w:rsid w:val="00833D05"/>
    <w:rsid w:val="00833DF5"/>
    <w:rsid w:val="008343B6"/>
    <w:rsid w:val="00834467"/>
    <w:rsid w:val="0083449D"/>
    <w:rsid w:val="008345ED"/>
    <w:rsid w:val="00834623"/>
    <w:rsid w:val="00834A02"/>
    <w:rsid w:val="00834A9C"/>
    <w:rsid w:val="00834ADE"/>
    <w:rsid w:val="00835130"/>
    <w:rsid w:val="0083520A"/>
    <w:rsid w:val="0083531B"/>
    <w:rsid w:val="008353EE"/>
    <w:rsid w:val="008354B7"/>
    <w:rsid w:val="00835645"/>
    <w:rsid w:val="008356C0"/>
    <w:rsid w:val="0083571A"/>
    <w:rsid w:val="00835752"/>
    <w:rsid w:val="0083578A"/>
    <w:rsid w:val="008357F2"/>
    <w:rsid w:val="00835885"/>
    <w:rsid w:val="0083590E"/>
    <w:rsid w:val="00835C63"/>
    <w:rsid w:val="00835CD3"/>
    <w:rsid w:val="00835D2E"/>
    <w:rsid w:val="00835DA3"/>
    <w:rsid w:val="00835E10"/>
    <w:rsid w:val="00835FBE"/>
    <w:rsid w:val="0083604D"/>
    <w:rsid w:val="00836148"/>
    <w:rsid w:val="00836477"/>
    <w:rsid w:val="00836482"/>
    <w:rsid w:val="0083658E"/>
    <w:rsid w:val="008366FA"/>
    <w:rsid w:val="008367F7"/>
    <w:rsid w:val="00836962"/>
    <w:rsid w:val="00836A94"/>
    <w:rsid w:val="00836B2D"/>
    <w:rsid w:val="00836BB0"/>
    <w:rsid w:val="00836C6D"/>
    <w:rsid w:val="00836C9A"/>
    <w:rsid w:val="00837097"/>
    <w:rsid w:val="00837118"/>
    <w:rsid w:val="00837173"/>
    <w:rsid w:val="0083729A"/>
    <w:rsid w:val="008372C6"/>
    <w:rsid w:val="008374A9"/>
    <w:rsid w:val="0083757B"/>
    <w:rsid w:val="00837852"/>
    <w:rsid w:val="00837AC5"/>
    <w:rsid w:val="00837BCA"/>
    <w:rsid w:val="00837C79"/>
    <w:rsid w:val="00837C8B"/>
    <w:rsid w:val="00837FD0"/>
    <w:rsid w:val="00840129"/>
    <w:rsid w:val="008401B5"/>
    <w:rsid w:val="00840271"/>
    <w:rsid w:val="00840317"/>
    <w:rsid w:val="00840770"/>
    <w:rsid w:val="008408D7"/>
    <w:rsid w:val="00840916"/>
    <w:rsid w:val="00840BDD"/>
    <w:rsid w:val="00840C07"/>
    <w:rsid w:val="00840D46"/>
    <w:rsid w:val="008411BA"/>
    <w:rsid w:val="008413A2"/>
    <w:rsid w:val="008413C8"/>
    <w:rsid w:val="00841471"/>
    <w:rsid w:val="00841556"/>
    <w:rsid w:val="008417F7"/>
    <w:rsid w:val="008418BF"/>
    <w:rsid w:val="008419C8"/>
    <w:rsid w:val="00841C55"/>
    <w:rsid w:val="00841C99"/>
    <w:rsid w:val="008424A0"/>
    <w:rsid w:val="0084251D"/>
    <w:rsid w:val="008427A3"/>
    <w:rsid w:val="008427C9"/>
    <w:rsid w:val="00842897"/>
    <w:rsid w:val="0084296E"/>
    <w:rsid w:val="00842AC4"/>
    <w:rsid w:val="00842AF8"/>
    <w:rsid w:val="00842B2A"/>
    <w:rsid w:val="00842B9C"/>
    <w:rsid w:val="00842C1A"/>
    <w:rsid w:val="00842EDE"/>
    <w:rsid w:val="00842F2C"/>
    <w:rsid w:val="00842F65"/>
    <w:rsid w:val="00842FFB"/>
    <w:rsid w:val="00843137"/>
    <w:rsid w:val="008433B6"/>
    <w:rsid w:val="00843527"/>
    <w:rsid w:val="008438D6"/>
    <w:rsid w:val="008438DB"/>
    <w:rsid w:val="00843B10"/>
    <w:rsid w:val="00843D64"/>
    <w:rsid w:val="00844151"/>
    <w:rsid w:val="008441D8"/>
    <w:rsid w:val="0084420A"/>
    <w:rsid w:val="00844287"/>
    <w:rsid w:val="008443CB"/>
    <w:rsid w:val="008443F8"/>
    <w:rsid w:val="008444CA"/>
    <w:rsid w:val="00844525"/>
    <w:rsid w:val="0084453F"/>
    <w:rsid w:val="00844549"/>
    <w:rsid w:val="00844753"/>
    <w:rsid w:val="00844E9C"/>
    <w:rsid w:val="00844EB2"/>
    <w:rsid w:val="00844FBC"/>
    <w:rsid w:val="00845253"/>
    <w:rsid w:val="00845292"/>
    <w:rsid w:val="008452E4"/>
    <w:rsid w:val="0084535A"/>
    <w:rsid w:val="00845519"/>
    <w:rsid w:val="00845617"/>
    <w:rsid w:val="008456A0"/>
    <w:rsid w:val="008457D2"/>
    <w:rsid w:val="008459B0"/>
    <w:rsid w:val="008459DD"/>
    <w:rsid w:val="00845A8E"/>
    <w:rsid w:val="00845A9E"/>
    <w:rsid w:val="00845B9D"/>
    <w:rsid w:val="00845BBD"/>
    <w:rsid w:val="00845BBE"/>
    <w:rsid w:val="00845C41"/>
    <w:rsid w:val="00845D01"/>
    <w:rsid w:val="00845DC6"/>
    <w:rsid w:val="00845FEF"/>
    <w:rsid w:val="00846198"/>
    <w:rsid w:val="008461E3"/>
    <w:rsid w:val="00846379"/>
    <w:rsid w:val="0084640F"/>
    <w:rsid w:val="008464BD"/>
    <w:rsid w:val="008465C0"/>
    <w:rsid w:val="0084685F"/>
    <w:rsid w:val="008468CD"/>
    <w:rsid w:val="00846977"/>
    <w:rsid w:val="00846D2F"/>
    <w:rsid w:val="00846DAE"/>
    <w:rsid w:val="00846E1B"/>
    <w:rsid w:val="00846F03"/>
    <w:rsid w:val="0084717B"/>
    <w:rsid w:val="008471EB"/>
    <w:rsid w:val="00847277"/>
    <w:rsid w:val="008472C8"/>
    <w:rsid w:val="008473B8"/>
    <w:rsid w:val="008474B1"/>
    <w:rsid w:val="0084754C"/>
    <w:rsid w:val="0084774D"/>
    <w:rsid w:val="00847787"/>
    <w:rsid w:val="00847A3F"/>
    <w:rsid w:val="00847BA0"/>
    <w:rsid w:val="00847D96"/>
    <w:rsid w:val="00847E64"/>
    <w:rsid w:val="00850012"/>
    <w:rsid w:val="00850283"/>
    <w:rsid w:val="0085032A"/>
    <w:rsid w:val="00850529"/>
    <w:rsid w:val="00850846"/>
    <w:rsid w:val="008508E1"/>
    <w:rsid w:val="00850913"/>
    <w:rsid w:val="008509B3"/>
    <w:rsid w:val="00850C43"/>
    <w:rsid w:val="00850C7F"/>
    <w:rsid w:val="00850E47"/>
    <w:rsid w:val="00850EFE"/>
    <w:rsid w:val="00850F90"/>
    <w:rsid w:val="00851259"/>
    <w:rsid w:val="008512EC"/>
    <w:rsid w:val="00851434"/>
    <w:rsid w:val="008514A3"/>
    <w:rsid w:val="008515E9"/>
    <w:rsid w:val="00851772"/>
    <w:rsid w:val="00851787"/>
    <w:rsid w:val="00851888"/>
    <w:rsid w:val="00851A2C"/>
    <w:rsid w:val="00851B0D"/>
    <w:rsid w:val="00851B3B"/>
    <w:rsid w:val="00851B82"/>
    <w:rsid w:val="00851BB6"/>
    <w:rsid w:val="00851F29"/>
    <w:rsid w:val="00851FC6"/>
    <w:rsid w:val="00851FCF"/>
    <w:rsid w:val="008520AA"/>
    <w:rsid w:val="008524EA"/>
    <w:rsid w:val="008525EE"/>
    <w:rsid w:val="00852696"/>
    <w:rsid w:val="008527D9"/>
    <w:rsid w:val="008527E6"/>
    <w:rsid w:val="0085297C"/>
    <w:rsid w:val="008529FA"/>
    <w:rsid w:val="00852A9A"/>
    <w:rsid w:val="00852B00"/>
    <w:rsid w:val="00852C1A"/>
    <w:rsid w:val="00852D15"/>
    <w:rsid w:val="00852D36"/>
    <w:rsid w:val="00852D8F"/>
    <w:rsid w:val="00852DCD"/>
    <w:rsid w:val="00852E7F"/>
    <w:rsid w:val="00852E86"/>
    <w:rsid w:val="00852E9C"/>
    <w:rsid w:val="00852F25"/>
    <w:rsid w:val="008534D9"/>
    <w:rsid w:val="00853546"/>
    <w:rsid w:val="00853812"/>
    <w:rsid w:val="00853973"/>
    <w:rsid w:val="008539C5"/>
    <w:rsid w:val="008539FC"/>
    <w:rsid w:val="00853B78"/>
    <w:rsid w:val="00853B79"/>
    <w:rsid w:val="00853C2F"/>
    <w:rsid w:val="00853C4F"/>
    <w:rsid w:val="00853D23"/>
    <w:rsid w:val="00853D2C"/>
    <w:rsid w:val="00853E3C"/>
    <w:rsid w:val="00853FA2"/>
    <w:rsid w:val="00853FC2"/>
    <w:rsid w:val="00854026"/>
    <w:rsid w:val="00854034"/>
    <w:rsid w:val="008543AF"/>
    <w:rsid w:val="0085443E"/>
    <w:rsid w:val="0085449A"/>
    <w:rsid w:val="008544E0"/>
    <w:rsid w:val="00854505"/>
    <w:rsid w:val="00854564"/>
    <w:rsid w:val="008545CB"/>
    <w:rsid w:val="008548C1"/>
    <w:rsid w:val="00854A30"/>
    <w:rsid w:val="00854B8F"/>
    <w:rsid w:val="00854BBF"/>
    <w:rsid w:val="00854C1F"/>
    <w:rsid w:val="00854C22"/>
    <w:rsid w:val="00854F3F"/>
    <w:rsid w:val="00854FBD"/>
    <w:rsid w:val="00854FDA"/>
    <w:rsid w:val="0085529A"/>
    <w:rsid w:val="00855386"/>
    <w:rsid w:val="00855416"/>
    <w:rsid w:val="0085559D"/>
    <w:rsid w:val="00855616"/>
    <w:rsid w:val="008556BF"/>
    <w:rsid w:val="008556E4"/>
    <w:rsid w:val="008557B7"/>
    <w:rsid w:val="00855833"/>
    <w:rsid w:val="00855A39"/>
    <w:rsid w:val="00855BDB"/>
    <w:rsid w:val="00855BF3"/>
    <w:rsid w:val="00855CA5"/>
    <w:rsid w:val="00855D36"/>
    <w:rsid w:val="00855DC0"/>
    <w:rsid w:val="00855DE1"/>
    <w:rsid w:val="00855EB5"/>
    <w:rsid w:val="00855F4F"/>
    <w:rsid w:val="00855FD6"/>
    <w:rsid w:val="008560E3"/>
    <w:rsid w:val="00856192"/>
    <w:rsid w:val="0085637E"/>
    <w:rsid w:val="0085688B"/>
    <w:rsid w:val="00856DF2"/>
    <w:rsid w:val="00857048"/>
    <w:rsid w:val="00857199"/>
    <w:rsid w:val="0085727F"/>
    <w:rsid w:val="008573D9"/>
    <w:rsid w:val="008573EE"/>
    <w:rsid w:val="00857512"/>
    <w:rsid w:val="0085778C"/>
    <w:rsid w:val="00857850"/>
    <w:rsid w:val="008578E1"/>
    <w:rsid w:val="00857976"/>
    <w:rsid w:val="00857BDC"/>
    <w:rsid w:val="00857D1F"/>
    <w:rsid w:val="00857F34"/>
    <w:rsid w:val="0086027A"/>
    <w:rsid w:val="0086032F"/>
    <w:rsid w:val="008604A9"/>
    <w:rsid w:val="00860562"/>
    <w:rsid w:val="008606F6"/>
    <w:rsid w:val="00860B16"/>
    <w:rsid w:val="00860EBD"/>
    <w:rsid w:val="00861031"/>
    <w:rsid w:val="00861064"/>
    <w:rsid w:val="008610F7"/>
    <w:rsid w:val="008611DE"/>
    <w:rsid w:val="008612F8"/>
    <w:rsid w:val="00861396"/>
    <w:rsid w:val="0086146E"/>
    <w:rsid w:val="008615B8"/>
    <w:rsid w:val="00861615"/>
    <w:rsid w:val="00861718"/>
    <w:rsid w:val="0086173A"/>
    <w:rsid w:val="008617A8"/>
    <w:rsid w:val="008617B8"/>
    <w:rsid w:val="0086191A"/>
    <w:rsid w:val="00861A4E"/>
    <w:rsid w:val="00861B72"/>
    <w:rsid w:val="00861C42"/>
    <w:rsid w:val="00861C50"/>
    <w:rsid w:val="00861E1F"/>
    <w:rsid w:val="00861E42"/>
    <w:rsid w:val="00861EAB"/>
    <w:rsid w:val="00861F87"/>
    <w:rsid w:val="00861FD7"/>
    <w:rsid w:val="008621D9"/>
    <w:rsid w:val="008621DA"/>
    <w:rsid w:val="008621E0"/>
    <w:rsid w:val="008622B0"/>
    <w:rsid w:val="00862402"/>
    <w:rsid w:val="008624E0"/>
    <w:rsid w:val="008627A5"/>
    <w:rsid w:val="008628B8"/>
    <w:rsid w:val="00862ADF"/>
    <w:rsid w:val="00862B80"/>
    <w:rsid w:val="00862B84"/>
    <w:rsid w:val="00862C73"/>
    <w:rsid w:val="00862D86"/>
    <w:rsid w:val="00862F4E"/>
    <w:rsid w:val="00862FC0"/>
    <w:rsid w:val="00863098"/>
    <w:rsid w:val="00863154"/>
    <w:rsid w:val="008633BA"/>
    <w:rsid w:val="00863603"/>
    <w:rsid w:val="00863630"/>
    <w:rsid w:val="008636AA"/>
    <w:rsid w:val="00863708"/>
    <w:rsid w:val="0086375B"/>
    <w:rsid w:val="00863832"/>
    <w:rsid w:val="00863CD2"/>
    <w:rsid w:val="00863DFF"/>
    <w:rsid w:val="008640E6"/>
    <w:rsid w:val="00864143"/>
    <w:rsid w:val="0086437C"/>
    <w:rsid w:val="008647C5"/>
    <w:rsid w:val="008649FE"/>
    <w:rsid w:val="00864A56"/>
    <w:rsid w:val="00864D0C"/>
    <w:rsid w:val="00864E03"/>
    <w:rsid w:val="00864FF2"/>
    <w:rsid w:val="00865017"/>
    <w:rsid w:val="0086508B"/>
    <w:rsid w:val="008650FE"/>
    <w:rsid w:val="0086544A"/>
    <w:rsid w:val="00865636"/>
    <w:rsid w:val="0086574F"/>
    <w:rsid w:val="008659F9"/>
    <w:rsid w:val="00865C01"/>
    <w:rsid w:val="00865C40"/>
    <w:rsid w:val="00865C89"/>
    <w:rsid w:val="00865D59"/>
    <w:rsid w:val="00865E4A"/>
    <w:rsid w:val="00866186"/>
    <w:rsid w:val="0086628F"/>
    <w:rsid w:val="0086638B"/>
    <w:rsid w:val="008664C5"/>
    <w:rsid w:val="0086676B"/>
    <w:rsid w:val="008668F4"/>
    <w:rsid w:val="00866C0D"/>
    <w:rsid w:val="00866C41"/>
    <w:rsid w:val="00866D25"/>
    <w:rsid w:val="00866F25"/>
    <w:rsid w:val="00867037"/>
    <w:rsid w:val="00867093"/>
    <w:rsid w:val="008670AD"/>
    <w:rsid w:val="00867174"/>
    <w:rsid w:val="00867342"/>
    <w:rsid w:val="008673B7"/>
    <w:rsid w:val="008673E6"/>
    <w:rsid w:val="008673EA"/>
    <w:rsid w:val="008674FC"/>
    <w:rsid w:val="0086750F"/>
    <w:rsid w:val="0086759C"/>
    <w:rsid w:val="0086777F"/>
    <w:rsid w:val="00867946"/>
    <w:rsid w:val="00867984"/>
    <w:rsid w:val="008679AC"/>
    <w:rsid w:val="008679D7"/>
    <w:rsid w:val="00867DB8"/>
    <w:rsid w:val="00867DF7"/>
    <w:rsid w:val="00867E27"/>
    <w:rsid w:val="00867E63"/>
    <w:rsid w:val="00867E71"/>
    <w:rsid w:val="008704B9"/>
    <w:rsid w:val="008707E7"/>
    <w:rsid w:val="00870856"/>
    <w:rsid w:val="008708C0"/>
    <w:rsid w:val="00870B7E"/>
    <w:rsid w:val="00870DF6"/>
    <w:rsid w:val="00870EFB"/>
    <w:rsid w:val="008711C0"/>
    <w:rsid w:val="00871292"/>
    <w:rsid w:val="008712E2"/>
    <w:rsid w:val="00871346"/>
    <w:rsid w:val="008714D8"/>
    <w:rsid w:val="008717E9"/>
    <w:rsid w:val="008719CE"/>
    <w:rsid w:val="008723A1"/>
    <w:rsid w:val="00872400"/>
    <w:rsid w:val="0087263A"/>
    <w:rsid w:val="0087288D"/>
    <w:rsid w:val="008729A0"/>
    <w:rsid w:val="00872B89"/>
    <w:rsid w:val="00872CAA"/>
    <w:rsid w:val="00872D0F"/>
    <w:rsid w:val="00872FA5"/>
    <w:rsid w:val="008730A3"/>
    <w:rsid w:val="00873350"/>
    <w:rsid w:val="0087338F"/>
    <w:rsid w:val="00873676"/>
    <w:rsid w:val="00873985"/>
    <w:rsid w:val="00873ADE"/>
    <w:rsid w:val="00873BD1"/>
    <w:rsid w:val="00873D81"/>
    <w:rsid w:val="00873D9B"/>
    <w:rsid w:val="00874145"/>
    <w:rsid w:val="0087429E"/>
    <w:rsid w:val="00874300"/>
    <w:rsid w:val="008743C1"/>
    <w:rsid w:val="0087479D"/>
    <w:rsid w:val="008747BE"/>
    <w:rsid w:val="0087480F"/>
    <w:rsid w:val="00874BDF"/>
    <w:rsid w:val="00874CBD"/>
    <w:rsid w:val="00874DEE"/>
    <w:rsid w:val="00874E3E"/>
    <w:rsid w:val="00874E84"/>
    <w:rsid w:val="00874F17"/>
    <w:rsid w:val="00875194"/>
    <w:rsid w:val="008751B0"/>
    <w:rsid w:val="0087523F"/>
    <w:rsid w:val="0087532A"/>
    <w:rsid w:val="008754E5"/>
    <w:rsid w:val="00875680"/>
    <w:rsid w:val="0087597D"/>
    <w:rsid w:val="008759C4"/>
    <w:rsid w:val="008759D7"/>
    <w:rsid w:val="00875A6D"/>
    <w:rsid w:val="00875AFA"/>
    <w:rsid w:val="00875B4D"/>
    <w:rsid w:val="00875BBB"/>
    <w:rsid w:val="00875CB3"/>
    <w:rsid w:val="00875DD0"/>
    <w:rsid w:val="00875DFC"/>
    <w:rsid w:val="00875E26"/>
    <w:rsid w:val="00875E46"/>
    <w:rsid w:val="008760AB"/>
    <w:rsid w:val="008762BB"/>
    <w:rsid w:val="00876301"/>
    <w:rsid w:val="00876494"/>
    <w:rsid w:val="008766F5"/>
    <w:rsid w:val="00876724"/>
    <w:rsid w:val="00876A60"/>
    <w:rsid w:val="00876E8E"/>
    <w:rsid w:val="00876F19"/>
    <w:rsid w:val="00876FA3"/>
    <w:rsid w:val="0087711A"/>
    <w:rsid w:val="00877126"/>
    <w:rsid w:val="0087727E"/>
    <w:rsid w:val="0087786B"/>
    <w:rsid w:val="00877BB1"/>
    <w:rsid w:val="00877CA3"/>
    <w:rsid w:val="00877F64"/>
    <w:rsid w:val="00877FF3"/>
    <w:rsid w:val="00880075"/>
    <w:rsid w:val="00880302"/>
    <w:rsid w:val="00880311"/>
    <w:rsid w:val="008807C6"/>
    <w:rsid w:val="00880804"/>
    <w:rsid w:val="00880829"/>
    <w:rsid w:val="008808D8"/>
    <w:rsid w:val="008809A2"/>
    <w:rsid w:val="00880AA6"/>
    <w:rsid w:val="00880D93"/>
    <w:rsid w:val="00880DDE"/>
    <w:rsid w:val="00880F17"/>
    <w:rsid w:val="00880F8B"/>
    <w:rsid w:val="0088116B"/>
    <w:rsid w:val="00881194"/>
    <w:rsid w:val="008812A7"/>
    <w:rsid w:val="008812A8"/>
    <w:rsid w:val="008813BF"/>
    <w:rsid w:val="008814EB"/>
    <w:rsid w:val="0088157F"/>
    <w:rsid w:val="00881603"/>
    <w:rsid w:val="00881739"/>
    <w:rsid w:val="008817CE"/>
    <w:rsid w:val="008817DA"/>
    <w:rsid w:val="008819AC"/>
    <w:rsid w:val="00881ACD"/>
    <w:rsid w:val="00881BAB"/>
    <w:rsid w:val="00881C35"/>
    <w:rsid w:val="00881C5C"/>
    <w:rsid w:val="00881CCC"/>
    <w:rsid w:val="00881E53"/>
    <w:rsid w:val="00881ECE"/>
    <w:rsid w:val="0088232E"/>
    <w:rsid w:val="0088250A"/>
    <w:rsid w:val="00882569"/>
    <w:rsid w:val="008829BF"/>
    <w:rsid w:val="00882A44"/>
    <w:rsid w:val="00882A59"/>
    <w:rsid w:val="00882C6F"/>
    <w:rsid w:val="00882D99"/>
    <w:rsid w:val="00882F75"/>
    <w:rsid w:val="00883067"/>
    <w:rsid w:val="0088306E"/>
    <w:rsid w:val="00883285"/>
    <w:rsid w:val="0088335B"/>
    <w:rsid w:val="00883417"/>
    <w:rsid w:val="008834C7"/>
    <w:rsid w:val="00883528"/>
    <w:rsid w:val="00883823"/>
    <w:rsid w:val="00883868"/>
    <w:rsid w:val="008838BA"/>
    <w:rsid w:val="008838F0"/>
    <w:rsid w:val="008839B4"/>
    <w:rsid w:val="00883B8C"/>
    <w:rsid w:val="00883BCA"/>
    <w:rsid w:val="00883CFB"/>
    <w:rsid w:val="00883D5F"/>
    <w:rsid w:val="00883D65"/>
    <w:rsid w:val="00883F2E"/>
    <w:rsid w:val="00884376"/>
    <w:rsid w:val="00884761"/>
    <w:rsid w:val="008849C3"/>
    <w:rsid w:val="00884C48"/>
    <w:rsid w:val="00884DC3"/>
    <w:rsid w:val="00884DE0"/>
    <w:rsid w:val="00884E34"/>
    <w:rsid w:val="00884F36"/>
    <w:rsid w:val="0088508B"/>
    <w:rsid w:val="0088541C"/>
    <w:rsid w:val="00885503"/>
    <w:rsid w:val="008856F2"/>
    <w:rsid w:val="00885B63"/>
    <w:rsid w:val="00885BD1"/>
    <w:rsid w:val="00885BF4"/>
    <w:rsid w:val="00885E4F"/>
    <w:rsid w:val="00885F4C"/>
    <w:rsid w:val="0088631C"/>
    <w:rsid w:val="0088670B"/>
    <w:rsid w:val="008868CF"/>
    <w:rsid w:val="00886AD3"/>
    <w:rsid w:val="00886C33"/>
    <w:rsid w:val="00886CF7"/>
    <w:rsid w:val="00886E55"/>
    <w:rsid w:val="00886E8A"/>
    <w:rsid w:val="00887275"/>
    <w:rsid w:val="00887321"/>
    <w:rsid w:val="008873F8"/>
    <w:rsid w:val="00887464"/>
    <w:rsid w:val="0088746A"/>
    <w:rsid w:val="00887690"/>
    <w:rsid w:val="00887A6D"/>
    <w:rsid w:val="00887AB3"/>
    <w:rsid w:val="00887B3D"/>
    <w:rsid w:val="00887D39"/>
    <w:rsid w:val="00887D83"/>
    <w:rsid w:val="00887E9C"/>
    <w:rsid w:val="00890196"/>
    <w:rsid w:val="0089058A"/>
    <w:rsid w:val="0089080B"/>
    <w:rsid w:val="00890B01"/>
    <w:rsid w:val="00890B34"/>
    <w:rsid w:val="00890B4D"/>
    <w:rsid w:val="00890CED"/>
    <w:rsid w:val="00890D0D"/>
    <w:rsid w:val="00890F57"/>
    <w:rsid w:val="00891018"/>
    <w:rsid w:val="00891290"/>
    <w:rsid w:val="00891345"/>
    <w:rsid w:val="0089134E"/>
    <w:rsid w:val="008913E6"/>
    <w:rsid w:val="008914A0"/>
    <w:rsid w:val="008915AB"/>
    <w:rsid w:val="0089167A"/>
    <w:rsid w:val="00891740"/>
    <w:rsid w:val="00891755"/>
    <w:rsid w:val="00891833"/>
    <w:rsid w:val="00891B0B"/>
    <w:rsid w:val="00891C34"/>
    <w:rsid w:val="00891E63"/>
    <w:rsid w:val="00891EF2"/>
    <w:rsid w:val="00892044"/>
    <w:rsid w:val="0089217E"/>
    <w:rsid w:val="0089218F"/>
    <w:rsid w:val="00892280"/>
    <w:rsid w:val="008922D9"/>
    <w:rsid w:val="0089230A"/>
    <w:rsid w:val="00892387"/>
    <w:rsid w:val="00892719"/>
    <w:rsid w:val="00892758"/>
    <w:rsid w:val="008927E2"/>
    <w:rsid w:val="00892847"/>
    <w:rsid w:val="0089285B"/>
    <w:rsid w:val="0089289E"/>
    <w:rsid w:val="00892B86"/>
    <w:rsid w:val="00892E40"/>
    <w:rsid w:val="00892F5C"/>
    <w:rsid w:val="0089303E"/>
    <w:rsid w:val="00893098"/>
    <w:rsid w:val="008932F8"/>
    <w:rsid w:val="00893332"/>
    <w:rsid w:val="008933AC"/>
    <w:rsid w:val="0089340C"/>
    <w:rsid w:val="0089349D"/>
    <w:rsid w:val="00893581"/>
    <w:rsid w:val="008935AC"/>
    <w:rsid w:val="0089361D"/>
    <w:rsid w:val="008938EF"/>
    <w:rsid w:val="00893996"/>
    <w:rsid w:val="00893A2F"/>
    <w:rsid w:val="00893A76"/>
    <w:rsid w:val="00893B94"/>
    <w:rsid w:val="00893BFF"/>
    <w:rsid w:val="00893C0D"/>
    <w:rsid w:val="00893DFD"/>
    <w:rsid w:val="00893ECB"/>
    <w:rsid w:val="00893FE8"/>
    <w:rsid w:val="00893FF7"/>
    <w:rsid w:val="008940F4"/>
    <w:rsid w:val="00894182"/>
    <w:rsid w:val="00894337"/>
    <w:rsid w:val="00894359"/>
    <w:rsid w:val="00894380"/>
    <w:rsid w:val="00894435"/>
    <w:rsid w:val="0089458D"/>
    <w:rsid w:val="008945A8"/>
    <w:rsid w:val="008946F6"/>
    <w:rsid w:val="00894810"/>
    <w:rsid w:val="0089489A"/>
    <w:rsid w:val="008948E6"/>
    <w:rsid w:val="00894993"/>
    <w:rsid w:val="008949FE"/>
    <w:rsid w:val="00894AB7"/>
    <w:rsid w:val="00894DD5"/>
    <w:rsid w:val="00894F2A"/>
    <w:rsid w:val="00895037"/>
    <w:rsid w:val="00895492"/>
    <w:rsid w:val="00895568"/>
    <w:rsid w:val="008956B7"/>
    <w:rsid w:val="00895717"/>
    <w:rsid w:val="00895763"/>
    <w:rsid w:val="00895878"/>
    <w:rsid w:val="008959E7"/>
    <w:rsid w:val="00895B40"/>
    <w:rsid w:val="00895C57"/>
    <w:rsid w:val="00895D3F"/>
    <w:rsid w:val="00895DC9"/>
    <w:rsid w:val="00895E7F"/>
    <w:rsid w:val="0089657F"/>
    <w:rsid w:val="00896651"/>
    <w:rsid w:val="00896916"/>
    <w:rsid w:val="00896D31"/>
    <w:rsid w:val="00896EF4"/>
    <w:rsid w:val="0089720D"/>
    <w:rsid w:val="00897269"/>
    <w:rsid w:val="0089769F"/>
    <w:rsid w:val="008977B8"/>
    <w:rsid w:val="0089797A"/>
    <w:rsid w:val="00897AB7"/>
    <w:rsid w:val="00897AD9"/>
    <w:rsid w:val="00897B8E"/>
    <w:rsid w:val="00897C52"/>
    <w:rsid w:val="00897C7F"/>
    <w:rsid w:val="00897E96"/>
    <w:rsid w:val="008A016D"/>
    <w:rsid w:val="008A020E"/>
    <w:rsid w:val="008A0345"/>
    <w:rsid w:val="008A0419"/>
    <w:rsid w:val="008A0614"/>
    <w:rsid w:val="008A070A"/>
    <w:rsid w:val="008A070F"/>
    <w:rsid w:val="008A07B5"/>
    <w:rsid w:val="008A0959"/>
    <w:rsid w:val="008A0A29"/>
    <w:rsid w:val="008A0B85"/>
    <w:rsid w:val="008A0B8C"/>
    <w:rsid w:val="008A0C83"/>
    <w:rsid w:val="008A0D60"/>
    <w:rsid w:val="008A0E48"/>
    <w:rsid w:val="008A0E61"/>
    <w:rsid w:val="008A1083"/>
    <w:rsid w:val="008A111B"/>
    <w:rsid w:val="008A1159"/>
    <w:rsid w:val="008A11B6"/>
    <w:rsid w:val="008A11B8"/>
    <w:rsid w:val="008A12B2"/>
    <w:rsid w:val="008A13E1"/>
    <w:rsid w:val="008A1456"/>
    <w:rsid w:val="008A16BF"/>
    <w:rsid w:val="008A1766"/>
    <w:rsid w:val="008A190C"/>
    <w:rsid w:val="008A19E4"/>
    <w:rsid w:val="008A1A15"/>
    <w:rsid w:val="008A1A86"/>
    <w:rsid w:val="008A1B27"/>
    <w:rsid w:val="008A1BE2"/>
    <w:rsid w:val="008A1E38"/>
    <w:rsid w:val="008A206B"/>
    <w:rsid w:val="008A2086"/>
    <w:rsid w:val="008A20AF"/>
    <w:rsid w:val="008A21C2"/>
    <w:rsid w:val="008A224A"/>
    <w:rsid w:val="008A22A6"/>
    <w:rsid w:val="008A22D5"/>
    <w:rsid w:val="008A2457"/>
    <w:rsid w:val="008A257F"/>
    <w:rsid w:val="008A25C6"/>
    <w:rsid w:val="008A2682"/>
    <w:rsid w:val="008A2701"/>
    <w:rsid w:val="008A2865"/>
    <w:rsid w:val="008A2978"/>
    <w:rsid w:val="008A2A8F"/>
    <w:rsid w:val="008A2B46"/>
    <w:rsid w:val="008A2C4A"/>
    <w:rsid w:val="008A2C6C"/>
    <w:rsid w:val="008A2CBA"/>
    <w:rsid w:val="008A2D39"/>
    <w:rsid w:val="008A2D5E"/>
    <w:rsid w:val="008A2D6C"/>
    <w:rsid w:val="008A2D98"/>
    <w:rsid w:val="008A2E6C"/>
    <w:rsid w:val="008A2FA3"/>
    <w:rsid w:val="008A2FEC"/>
    <w:rsid w:val="008A31C2"/>
    <w:rsid w:val="008A3352"/>
    <w:rsid w:val="008A35BE"/>
    <w:rsid w:val="008A3683"/>
    <w:rsid w:val="008A36B6"/>
    <w:rsid w:val="008A391B"/>
    <w:rsid w:val="008A3A26"/>
    <w:rsid w:val="008A3A9A"/>
    <w:rsid w:val="008A3AB5"/>
    <w:rsid w:val="008A3B54"/>
    <w:rsid w:val="008A3B5D"/>
    <w:rsid w:val="008A3D15"/>
    <w:rsid w:val="008A3F21"/>
    <w:rsid w:val="008A3FE2"/>
    <w:rsid w:val="008A4223"/>
    <w:rsid w:val="008A4468"/>
    <w:rsid w:val="008A4492"/>
    <w:rsid w:val="008A46DE"/>
    <w:rsid w:val="008A4734"/>
    <w:rsid w:val="008A4A34"/>
    <w:rsid w:val="008A4AE8"/>
    <w:rsid w:val="008A4CDD"/>
    <w:rsid w:val="008A502C"/>
    <w:rsid w:val="008A51C1"/>
    <w:rsid w:val="008A5479"/>
    <w:rsid w:val="008A54B6"/>
    <w:rsid w:val="008A58BD"/>
    <w:rsid w:val="008A58CC"/>
    <w:rsid w:val="008A591E"/>
    <w:rsid w:val="008A5A13"/>
    <w:rsid w:val="008A5AAF"/>
    <w:rsid w:val="008A5ADC"/>
    <w:rsid w:val="008A5B10"/>
    <w:rsid w:val="008A5BE6"/>
    <w:rsid w:val="008A5DD1"/>
    <w:rsid w:val="008A5E89"/>
    <w:rsid w:val="008A61C5"/>
    <w:rsid w:val="008A64C7"/>
    <w:rsid w:val="008A67AD"/>
    <w:rsid w:val="008A687B"/>
    <w:rsid w:val="008A6B03"/>
    <w:rsid w:val="008A6B65"/>
    <w:rsid w:val="008A6C38"/>
    <w:rsid w:val="008A6C3E"/>
    <w:rsid w:val="008A6DF0"/>
    <w:rsid w:val="008A6EF7"/>
    <w:rsid w:val="008A70F9"/>
    <w:rsid w:val="008A748A"/>
    <w:rsid w:val="008A74F3"/>
    <w:rsid w:val="008A777C"/>
    <w:rsid w:val="008A77C5"/>
    <w:rsid w:val="008A787F"/>
    <w:rsid w:val="008A79F7"/>
    <w:rsid w:val="008A7B2E"/>
    <w:rsid w:val="008A7CB1"/>
    <w:rsid w:val="008A7CB5"/>
    <w:rsid w:val="008A7D81"/>
    <w:rsid w:val="008A7DD6"/>
    <w:rsid w:val="008A7ED0"/>
    <w:rsid w:val="008B0135"/>
    <w:rsid w:val="008B0208"/>
    <w:rsid w:val="008B0270"/>
    <w:rsid w:val="008B0536"/>
    <w:rsid w:val="008B05D0"/>
    <w:rsid w:val="008B0622"/>
    <w:rsid w:val="008B066E"/>
    <w:rsid w:val="008B068B"/>
    <w:rsid w:val="008B07D6"/>
    <w:rsid w:val="008B09BC"/>
    <w:rsid w:val="008B0B7B"/>
    <w:rsid w:val="008B1213"/>
    <w:rsid w:val="008B123D"/>
    <w:rsid w:val="008B14B2"/>
    <w:rsid w:val="008B1557"/>
    <w:rsid w:val="008B16CE"/>
    <w:rsid w:val="008B187B"/>
    <w:rsid w:val="008B1964"/>
    <w:rsid w:val="008B199C"/>
    <w:rsid w:val="008B1A26"/>
    <w:rsid w:val="008B1A9C"/>
    <w:rsid w:val="008B1C67"/>
    <w:rsid w:val="008B1CE1"/>
    <w:rsid w:val="008B1E8B"/>
    <w:rsid w:val="008B207D"/>
    <w:rsid w:val="008B21C1"/>
    <w:rsid w:val="008B243A"/>
    <w:rsid w:val="008B2445"/>
    <w:rsid w:val="008B24C9"/>
    <w:rsid w:val="008B24DB"/>
    <w:rsid w:val="008B252F"/>
    <w:rsid w:val="008B25FC"/>
    <w:rsid w:val="008B26CE"/>
    <w:rsid w:val="008B2711"/>
    <w:rsid w:val="008B27D6"/>
    <w:rsid w:val="008B2949"/>
    <w:rsid w:val="008B2A7C"/>
    <w:rsid w:val="008B2DB1"/>
    <w:rsid w:val="008B3041"/>
    <w:rsid w:val="008B307D"/>
    <w:rsid w:val="008B30EA"/>
    <w:rsid w:val="008B30F2"/>
    <w:rsid w:val="008B3285"/>
    <w:rsid w:val="008B32CC"/>
    <w:rsid w:val="008B3540"/>
    <w:rsid w:val="008B3550"/>
    <w:rsid w:val="008B3912"/>
    <w:rsid w:val="008B3A2E"/>
    <w:rsid w:val="008B3B9E"/>
    <w:rsid w:val="008B3CCD"/>
    <w:rsid w:val="008B3CDD"/>
    <w:rsid w:val="008B3ED1"/>
    <w:rsid w:val="008B3F89"/>
    <w:rsid w:val="008B4107"/>
    <w:rsid w:val="008B426D"/>
    <w:rsid w:val="008B4776"/>
    <w:rsid w:val="008B4A2F"/>
    <w:rsid w:val="008B4A84"/>
    <w:rsid w:val="008B4BF8"/>
    <w:rsid w:val="008B4C2D"/>
    <w:rsid w:val="008B4ED6"/>
    <w:rsid w:val="008B4F16"/>
    <w:rsid w:val="008B4F77"/>
    <w:rsid w:val="008B4FB2"/>
    <w:rsid w:val="008B500F"/>
    <w:rsid w:val="008B5408"/>
    <w:rsid w:val="008B5526"/>
    <w:rsid w:val="008B55D3"/>
    <w:rsid w:val="008B562B"/>
    <w:rsid w:val="008B56DB"/>
    <w:rsid w:val="008B56E4"/>
    <w:rsid w:val="008B5832"/>
    <w:rsid w:val="008B5CB9"/>
    <w:rsid w:val="008B5D3B"/>
    <w:rsid w:val="008B5DA3"/>
    <w:rsid w:val="008B5DAC"/>
    <w:rsid w:val="008B5F31"/>
    <w:rsid w:val="008B60A7"/>
    <w:rsid w:val="008B61C7"/>
    <w:rsid w:val="008B6433"/>
    <w:rsid w:val="008B6827"/>
    <w:rsid w:val="008B6F80"/>
    <w:rsid w:val="008B73D2"/>
    <w:rsid w:val="008B7413"/>
    <w:rsid w:val="008B74FC"/>
    <w:rsid w:val="008B7595"/>
    <w:rsid w:val="008B772D"/>
    <w:rsid w:val="008B797B"/>
    <w:rsid w:val="008B7A19"/>
    <w:rsid w:val="008B7D86"/>
    <w:rsid w:val="008B7E27"/>
    <w:rsid w:val="008B7E34"/>
    <w:rsid w:val="008C010C"/>
    <w:rsid w:val="008C0147"/>
    <w:rsid w:val="008C0255"/>
    <w:rsid w:val="008C045A"/>
    <w:rsid w:val="008C0AC1"/>
    <w:rsid w:val="008C0B4F"/>
    <w:rsid w:val="008C0EE4"/>
    <w:rsid w:val="008C0F7D"/>
    <w:rsid w:val="008C12D3"/>
    <w:rsid w:val="008C149D"/>
    <w:rsid w:val="008C14A9"/>
    <w:rsid w:val="008C1533"/>
    <w:rsid w:val="008C1724"/>
    <w:rsid w:val="008C17C5"/>
    <w:rsid w:val="008C188F"/>
    <w:rsid w:val="008C1BDD"/>
    <w:rsid w:val="008C1EA3"/>
    <w:rsid w:val="008C20E4"/>
    <w:rsid w:val="008C212F"/>
    <w:rsid w:val="008C21C7"/>
    <w:rsid w:val="008C21D6"/>
    <w:rsid w:val="008C2205"/>
    <w:rsid w:val="008C2300"/>
    <w:rsid w:val="008C2467"/>
    <w:rsid w:val="008C2500"/>
    <w:rsid w:val="008C2595"/>
    <w:rsid w:val="008C2769"/>
    <w:rsid w:val="008C2779"/>
    <w:rsid w:val="008C27E2"/>
    <w:rsid w:val="008C2A69"/>
    <w:rsid w:val="008C2AC4"/>
    <w:rsid w:val="008C2B19"/>
    <w:rsid w:val="008C2BF2"/>
    <w:rsid w:val="008C2C4D"/>
    <w:rsid w:val="008C2CA4"/>
    <w:rsid w:val="008C2E2E"/>
    <w:rsid w:val="008C2E83"/>
    <w:rsid w:val="008C2EBA"/>
    <w:rsid w:val="008C2F5F"/>
    <w:rsid w:val="008C2FBF"/>
    <w:rsid w:val="008C30B7"/>
    <w:rsid w:val="008C32A6"/>
    <w:rsid w:val="008C3360"/>
    <w:rsid w:val="008C383C"/>
    <w:rsid w:val="008C3B77"/>
    <w:rsid w:val="008C3DB4"/>
    <w:rsid w:val="008C3E24"/>
    <w:rsid w:val="008C3E4F"/>
    <w:rsid w:val="008C408E"/>
    <w:rsid w:val="008C40BB"/>
    <w:rsid w:val="008C442C"/>
    <w:rsid w:val="008C443B"/>
    <w:rsid w:val="008C45E8"/>
    <w:rsid w:val="008C462A"/>
    <w:rsid w:val="008C46B5"/>
    <w:rsid w:val="008C46BD"/>
    <w:rsid w:val="008C4757"/>
    <w:rsid w:val="008C47C9"/>
    <w:rsid w:val="008C4853"/>
    <w:rsid w:val="008C4A6B"/>
    <w:rsid w:val="008C4B59"/>
    <w:rsid w:val="008C4BDE"/>
    <w:rsid w:val="008C50E1"/>
    <w:rsid w:val="008C50F4"/>
    <w:rsid w:val="008C543E"/>
    <w:rsid w:val="008C5656"/>
    <w:rsid w:val="008C58CD"/>
    <w:rsid w:val="008C5A00"/>
    <w:rsid w:val="008C5C8A"/>
    <w:rsid w:val="008C5CD0"/>
    <w:rsid w:val="008C5D8F"/>
    <w:rsid w:val="008C5E20"/>
    <w:rsid w:val="008C5ED6"/>
    <w:rsid w:val="008C60E1"/>
    <w:rsid w:val="008C6224"/>
    <w:rsid w:val="008C62B1"/>
    <w:rsid w:val="008C65A5"/>
    <w:rsid w:val="008C6612"/>
    <w:rsid w:val="008C6806"/>
    <w:rsid w:val="008C68D7"/>
    <w:rsid w:val="008C6907"/>
    <w:rsid w:val="008C690F"/>
    <w:rsid w:val="008C6E5D"/>
    <w:rsid w:val="008C6EC4"/>
    <w:rsid w:val="008C71CE"/>
    <w:rsid w:val="008C71F2"/>
    <w:rsid w:val="008C7374"/>
    <w:rsid w:val="008C7491"/>
    <w:rsid w:val="008C74B4"/>
    <w:rsid w:val="008C753B"/>
    <w:rsid w:val="008C767E"/>
    <w:rsid w:val="008C77D8"/>
    <w:rsid w:val="008C7949"/>
    <w:rsid w:val="008C7B38"/>
    <w:rsid w:val="008C7D16"/>
    <w:rsid w:val="008C7D2E"/>
    <w:rsid w:val="008C7DDF"/>
    <w:rsid w:val="008C7E20"/>
    <w:rsid w:val="008C7E6C"/>
    <w:rsid w:val="008C7FDC"/>
    <w:rsid w:val="008D014B"/>
    <w:rsid w:val="008D034A"/>
    <w:rsid w:val="008D0628"/>
    <w:rsid w:val="008D0CDE"/>
    <w:rsid w:val="008D0F9D"/>
    <w:rsid w:val="008D109C"/>
    <w:rsid w:val="008D1350"/>
    <w:rsid w:val="008D14AA"/>
    <w:rsid w:val="008D15A1"/>
    <w:rsid w:val="008D1752"/>
    <w:rsid w:val="008D177E"/>
    <w:rsid w:val="008D1966"/>
    <w:rsid w:val="008D19AE"/>
    <w:rsid w:val="008D19EF"/>
    <w:rsid w:val="008D1A33"/>
    <w:rsid w:val="008D1B73"/>
    <w:rsid w:val="008D1C21"/>
    <w:rsid w:val="008D1D89"/>
    <w:rsid w:val="008D1E5B"/>
    <w:rsid w:val="008D1F6B"/>
    <w:rsid w:val="008D202D"/>
    <w:rsid w:val="008D202E"/>
    <w:rsid w:val="008D2295"/>
    <w:rsid w:val="008D22F7"/>
    <w:rsid w:val="008D2324"/>
    <w:rsid w:val="008D2422"/>
    <w:rsid w:val="008D2738"/>
    <w:rsid w:val="008D27E8"/>
    <w:rsid w:val="008D2876"/>
    <w:rsid w:val="008D28F5"/>
    <w:rsid w:val="008D291F"/>
    <w:rsid w:val="008D2933"/>
    <w:rsid w:val="008D29F0"/>
    <w:rsid w:val="008D2A28"/>
    <w:rsid w:val="008D2A90"/>
    <w:rsid w:val="008D2C15"/>
    <w:rsid w:val="008D2E0B"/>
    <w:rsid w:val="008D2FA4"/>
    <w:rsid w:val="008D32C3"/>
    <w:rsid w:val="008D3331"/>
    <w:rsid w:val="008D3449"/>
    <w:rsid w:val="008D34CB"/>
    <w:rsid w:val="008D358F"/>
    <w:rsid w:val="008D3997"/>
    <w:rsid w:val="008D3AE0"/>
    <w:rsid w:val="008D3E21"/>
    <w:rsid w:val="008D3E2C"/>
    <w:rsid w:val="008D3E94"/>
    <w:rsid w:val="008D405E"/>
    <w:rsid w:val="008D42B4"/>
    <w:rsid w:val="008D4359"/>
    <w:rsid w:val="008D45A0"/>
    <w:rsid w:val="008D4707"/>
    <w:rsid w:val="008D4811"/>
    <w:rsid w:val="008D4853"/>
    <w:rsid w:val="008D48CD"/>
    <w:rsid w:val="008D4948"/>
    <w:rsid w:val="008D49B9"/>
    <w:rsid w:val="008D4A29"/>
    <w:rsid w:val="008D4A33"/>
    <w:rsid w:val="008D4D3E"/>
    <w:rsid w:val="008D4ECA"/>
    <w:rsid w:val="008D4FAE"/>
    <w:rsid w:val="008D51C4"/>
    <w:rsid w:val="008D5210"/>
    <w:rsid w:val="008D5220"/>
    <w:rsid w:val="008D52A4"/>
    <w:rsid w:val="008D5348"/>
    <w:rsid w:val="008D53BC"/>
    <w:rsid w:val="008D54B1"/>
    <w:rsid w:val="008D54C0"/>
    <w:rsid w:val="008D5658"/>
    <w:rsid w:val="008D579E"/>
    <w:rsid w:val="008D5849"/>
    <w:rsid w:val="008D59D4"/>
    <w:rsid w:val="008D5A53"/>
    <w:rsid w:val="008D60AB"/>
    <w:rsid w:val="008D60AE"/>
    <w:rsid w:val="008D6545"/>
    <w:rsid w:val="008D6555"/>
    <w:rsid w:val="008D661D"/>
    <w:rsid w:val="008D689F"/>
    <w:rsid w:val="008D6BB8"/>
    <w:rsid w:val="008D6CD3"/>
    <w:rsid w:val="008D6D08"/>
    <w:rsid w:val="008D6D4C"/>
    <w:rsid w:val="008D6F16"/>
    <w:rsid w:val="008D6F45"/>
    <w:rsid w:val="008D70A5"/>
    <w:rsid w:val="008D7119"/>
    <w:rsid w:val="008D713F"/>
    <w:rsid w:val="008D7196"/>
    <w:rsid w:val="008D7206"/>
    <w:rsid w:val="008D720B"/>
    <w:rsid w:val="008D7351"/>
    <w:rsid w:val="008D73A7"/>
    <w:rsid w:val="008D769D"/>
    <w:rsid w:val="008D774A"/>
    <w:rsid w:val="008D7C54"/>
    <w:rsid w:val="008D7D1E"/>
    <w:rsid w:val="008D7E5C"/>
    <w:rsid w:val="008D7F62"/>
    <w:rsid w:val="008E016B"/>
    <w:rsid w:val="008E028B"/>
    <w:rsid w:val="008E02D2"/>
    <w:rsid w:val="008E0686"/>
    <w:rsid w:val="008E06F2"/>
    <w:rsid w:val="008E0911"/>
    <w:rsid w:val="008E0922"/>
    <w:rsid w:val="008E0A19"/>
    <w:rsid w:val="008E0CFD"/>
    <w:rsid w:val="008E1265"/>
    <w:rsid w:val="008E12BA"/>
    <w:rsid w:val="008E139F"/>
    <w:rsid w:val="008E13FB"/>
    <w:rsid w:val="008E1547"/>
    <w:rsid w:val="008E1644"/>
    <w:rsid w:val="008E172E"/>
    <w:rsid w:val="008E1917"/>
    <w:rsid w:val="008E1CF8"/>
    <w:rsid w:val="008E1D1E"/>
    <w:rsid w:val="008E1D93"/>
    <w:rsid w:val="008E1E20"/>
    <w:rsid w:val="008E1F12"/>
    <w:rsid w:val="008E1F99"/>
    <w:rsid w:val="008E20BD"/>
    <w:rsid w:val="008E2137"/>
    <w:rsid w:val="008E23B7"/>
    <w:rsid w:val="008E24F6"/>
    <w:rsid w:val="008E2545"/>
    <w:rsid w:val="008E26BF"/>
    <w:rsid w:val="008E271A"/>
    <w:rsid w:val="008E2767"/>
    <w:rsid w:val="008E2840"/>
    <w:rsid w:val="008E2BD0"/>
    <w:rsid w:val="008E2CAE"/>
    <w:rsid w:val="008E2DE5"/>
    <w:rsid w:val="008E2E58"/>
    <w:rsid w:val="008E3184"/>
    <w:rsid w:val="008E31BA"/>
    <w:rsid w:val="008E3211"/>
    <w:rsid w:val="008E3352"/>
    <w:rsid w:val="008E3401"/>
    <w:rsid w:val="008E3483"/>
    <w:rsid w:val="008E34FA"/>
    <w:rsid w:val="008E35C9"/>
    <w:rsid w:val="008E365B"/>
    <w:rsid w:val="008E3714"/>
    <w:rsid w:val="008E3B54"/>
    <w:rsid w:val="008E3C19"/>
    <w:rsid w:val="008E3DBC"/>
    <w:rsid w:val="008E3F9B"/>
    <w:rsid w:val="008E41D4"/>
    <w:rsid w:val="008E42AA"/>
    <w:rsid w:val="008E46AB"/>
    <w:rsid w:val="008E4802"/>
    <w:rsid w:val="008E49AE"/>
    <w:rsid w:val="008E4BC7"/>
    <w:rsid w:val="008E4BCB"/>
    <w:rsid w:val="008E4C96"/>
    <w:rsid w:val="008E4CE7"/>
    <w:rsid w:val="008E4DF1"/>
    <w:rsid w:val="008E4EC1"/>
    <w:rsid w:val="008E50E6"/>
    <w:rsid w:val="008E5265"/>
    <w:rsid w:val="008E547F"/>
    <w:rsid w:val="008E5666"/>
    <w:rsid w:val="008E5686"/>
    <w:rsid w:val="008E56FD"/>
    <w:rsid w:val="008E575E"/>
    <w:rsid w:val="008E582C"/>
    <w:rsid w:val="008E5B7B"/>
    <w:rsid w:val="008E5F30"/>
    <w:rsid w:val="008E610C"/>
    <w:rsid w:val="008E61A4"/>
    <w:rsid w:val="008E623F"/>
    <w:rsid w:val="008E624A"/>
    <w:rsid w:val="008E630B"/>
    <w:rsid w:val="008E6317"/>
    <w:rsid w:val="008E6489"/>
    <w:rsid w:val="008E64D5"/>
    <w:rsid w:val="008E66A5"/>
    <w:rsid w:val="008E6837"/>
    <w:rsid w:val="008E699F"/>
    <w:rsid w:val="008E69BC"/>
    <w:rsid w:val="008E6CB9"/>
    <w:rsid w:val="008E6EC6"/>
    <w:rsid w:val="008E6EC8"/>
    <w:rsid w:val="008E7010"/>
    <w:rsid w:val="008E7023"/>
    <w:rsid w:val="008E70FF"/>
    <w:rsid w:val="008E7179"/>
    <w:rsid w:val="008E741D"/>
    <w:rsid w:val="008E7664"/>
    <w:rsid w:val="008E7A19"/>
    <w:rsid w:val="008E7AC0"/>
    <w:rsid w:val="008E7B08"/>
    <w:rsid w:val="008E7B6B"/>
    <w:rsid w:val="008E7C4C"/>
    <w:rsid w:val="008E7D72"/>
    <w:rsid w:val="008E7F18"/>
    <w:rsid w:val="008F0010"/>
    <w:rsid w:val="008F01D1"/>
    <w:rsid w:val="008F0589"/>
    <w:rsid w:val="008F05D4"/>
    <w:rsid w:val="008F073A"/>
    <w:rsid w:val="008F07C4"/>
    <w:rsid w:val="008F07D1"/>
    <w:rsid w:val="008F093B"/>
    <w:rsid w:val="008F0BA3"/>
    <w:rsid w:val="008F0C0E"/>
    <w:rsid w:val="008F0CED"/>
    <w:rsid w:val="008F0F8E"/>
    <w:rsid w:val="008F104B"/>
    <w:rsid w:val="008F10BB"/>
    <w:rsid w:val="008F1235"/>
    <w:rsid w:val="008F1274"/>
    <w:rsid w:val="008F12DD"/>
    <w:rsid w:val="008F138A"/>
    <w:rsid w:val="008F1421"/>
    <w:rsid w:val="008F142C"/>
    <w:rsid w:val="008F144F"/>
    <w:rsid w:val="008F14F1"/>
    <w:rsid w:val="008F1554"/>
    <w:rsid w:val="008F1588"/>
    <w:rsid w:val="008F165D"/>
    <w:rsid w:val="008F1844"/>
    <w:rsid w:val="008F18DC"/>
    <w:rsid w:val="008F1931"/>
    <w:rsid w:val="008F19EB"/>
    <w:rsid w:val="008F1AA2"/>
    <w:rsid w:val="008F1AAA"/>
    <w:rsid w:val="008F1AE2"/>
    <w:rsid w:val="008F1B21"/>
    <w:rsid w:val="008F1E27"/>
    <w:rsid w:val="008F1E69"/>
    <w:rsid w:val="008F1F4F"/>
    <w:rsid w:val="008F23BB"/>
    <w:rsid w:val="008F24D2"/>
    <w:rsid w:val="008F266D"/>
    <w:rsid w:val="008F26B5"/>
    <w:rsid w:val="008F26F5"/>
    <w:rsid w:val="008F2763"/>
    <w:rsid w:val="008F27A0"/>
    <w:rsid w:val="008F29C1"/>
    <w:rsid w:val="008F2A04"/>
    <w:rsid w:val="008F2A3A"/>
    <w:rsid w:val="008F2A83"/>
    <w:rsid w:val="008F2CA7"/>
    <w:rsid w:val="008F2D03"/>
    <w:rsid w:val="008F2D38"/>
    <w:rsid w:val="008F2F63"/>
    <w:rsid w:val="008F30C2"/>
    <w:rsid w:val="008F32A4"/>
    <w:rsid w:val="008F335F"/>
    <w:rsid w:val="008F3385"/>
    <w:rsid w:val="008F358A"/>
    <w:rsid w:val="008F36C2"/>
    <w:rsid w:val="008F3720"/>
    <w:rsid w:val="008F3C58"/>
    <w:rsid w:val="008F413F"/>
    <w:rsid w:val="008F414F"/>
    <w:rsid w:val="008F41C8"/>
    <w:rsid w:val="008F462F"/>
    <w:rsid w:val="008F4630"/>
    <w:rsid w:val="008F4784"/>
    <w:rsid w:val="008F4933"/>
    <w:rsid w:val="008F4BDA"/>
    <w:rsid w:val="008F4E77"/>
    <w:rsid w:val="008F4E8C"/>
    <w:rsid w:val="008F5001"/>
    <w:rsid w:val="008F536F"/>
    <w:rsid w:val="008F542D"/>
    <w:rsid w:val="008F5466"/>
    <w:rsid w:val="008F548E"/>
    <w:rsid w:val="008F54EA"/>
    <w:rsid w:val="008F5666"/>
    <w:rsid w:val="008F56F5"/>
    <w:rsid w:val="008F59D5"/>
    <w:rsid w:val="008F59F7"/>
    <w:rsid w:val="008F5AD1"/>
    <w:rsid w:val="008F5BF6"/>
    <w:rsid w:val="008F5D42"/>
    <w:rsid w:val="008F5E16"/>
    <w:rsid w:val="008F5EAB"/>
    <w:rsid w:val="008F5FC0"/>
    <w:rsid w:val="008F5FDA"/>
    <w:rsid w:val="008F60BB"/>
    <w:rsid w:val="008F6272"/>
    <w:rsid w:val="008F6449"/>
    <w:rsid w:val="008F65A0"/>
    <w:rsid w:val="008F65BC"/>
    <w:rsid w:val="008F6608"/>
    <w:rsid w:val="008F6698"/>
    <w:rsid w:val="008F6B58"/>
    <w:rsid w:val="008F6C69"/>
    <w:rsid w:val="008F6E9A"/>
    <w:rsid w:val="008F6EA6"/>
    <w:rsid w:val="008F7191"/>
    <w:rsid w:val="008F72BC"/>
    <w:rsid w:val="008F75F1"/>
    <w:rsid w:val="008F79A1"/>
    <w:rsid w:val="008F79CE"/>
    <w:rsid w:val="008F7AD2"/>
    <w:rsid w:val="008F7CA9"/>
    <w:rsid w:val="008F7D07"/>
    <w:rsid w:val="008F7F46"/>
    <w:rsid w:val="0090011C"/>
    <w:rsid w:val="00900171"/>
    <w:rsid w:val="0090017A"/>
    <w:rsid w:val="0090024F"/>
    <w:rsid w:val="0090040E"/>
    <w:rsid w:val="00900443"/>
    <w:rsid w:val="009006F3"/>
    <w:rsid w:val="00900711"/>
    <w:rsid w:val="0090085A"/>
    <w:rsid w:val="009009A1"/>
    <w:rsid w:val="009009B7"/>
    <w:rsid w:val="00900B07"/>
    <w:rsid w:val="00900B23"/>
    <w:rsid w:val="00900E08"/>
    <w:rsid w:val="00900E9A"/>
    <w:rsid w:val="00900EDB"/>
    <w:rsid w:val="00901093"/>
    <w:rsid w:val="00901135"/>
    <w:rsid w:val="00901557"/>
    <w:rsid w:val="00901558"/>
    <w:rsid w:val="009017E0"/>
    <w:rsid w:val="00901823"/>
    <w:rsid w:val="009018C6"/>
    <w:rsid w:val="0090190B"/>
    <w:rsid w:val="0090196F"/>
    <w:rsid w:val="009019A6"/>
    <w:rsid w:val="00901AD3"/>
    <w:rsid w:val="00901C52"/>
    <w:rsid w:val="00901E6C"/>
    <w:rsid w:val="00901F43"/>
    <w:rsid w:val="00901FA5"/>
    <w:rsid w:val="00902000"/>
    <w:rsid w:val="0090204C"/>
    <w:rsid w:val="009021B7"/>
    <w:rsid w:val="0090223C"/>
    <w:rsid w:val="009023D5"/>
    <w:rsid w:val="0090258E"/>
    <w:rsid w:val="00902657"/>
    <w:rsid w:val="00902746"/>
    <w:rsid w:val="009027F9"/>
    <w:rsid w:val="00902803"/>
    <w:rsid w:val="00902BFD"/>
    <w:rsid w:val="00902E2C"/>
    <w:rsid w:val="00902EB4"/>
    <w:rsid w:val="00902FA9"/>
    <w:rsid w:val="00903013"/>
    <w:rsid w:val="00903119"/>
    <w:rsid w:val="0090323A"/>
    <w:rsid w:val="0090324C"/>
    <w:rsid w:val="0090326F"/>
    <w:rsid w:val="00903515"/>
    <w:rsid w:val="0090355C"/>
    <w:rsid w:val="009035D1"/>
    <w:rsid w:val="009037BA"/>
    <w:rsid w:val="00903955"/>
    <w:rsid w:val="00903BD4"/>
    <w:rsid w:val="00903DD9"/>
    <w:rsid w:val="00903DE3"/>
    <w:rsid w:val="00903DF3"/>
    <w:rsid w:val="0090408A"/>
    <w:rsid w:val="009042CD"/>
    <w:rsid w:val="009043FB"/>
    <w:rsid w:val="009044AA"/>
    <w:rsid w:val="009044D4"/>
    <w:rsid w:val="0090472D"/>
    <w:rsid w:val="009048D8"/>
    <w:rsid w:val="00904918"/>
    <w:rsid w:val="0090498B"/>
    <w:rsid w:val="009049F1"/>
    <w:rsid w:val="00904B2B"/>
    <w:rsid w:val="00904CC6"/>
    <w:rsid w:val="00904CD6"/>
    <w:rsid w:val="00904E0C"/>
    <w:rsid w:val="00904E45"/>
    <w:rsid w:val="00904EA6"/>
    <w:rsid w:val="00904F49"/>
    <w:rsid w:val="00904F74"/>
    <w:rsid w:val="009050B0"/>
    <w:rsid w:val="00905166"/>
    <w:rsid w:val="00905177"/>
    <w:rsid w:val="009051E6"/>
    <w:rsid w:val="009052BF"/>
    <w:rsid w:val="009052CA"/>
    <w:rsid w:val="0090531E"/>
    <w:rsid w:val="0090539D"/>
    <w:rsid w:val="00905469"/>
    <w:rsid w:val="00905503"/>
    <w:rsid w:val="00905768"/>
    <w:rsid w:val="009057BA"/>
    <w:rsid w:val="00905A56"/>
    <w:rsid w:val="00905C04"/>
    <w:rsid w:val="00905D09"/>
    <w:rsid w:val="00905F11"/>
    <w:rsid w:val="00905F2D"/>
    <w:rsid w:val="009060B8"/>
    <w:rsid w:val="009060CA"/>
    <w:rsid w:val="0090613B"/>
    <w:rsid w:val="0090625D"/>
    <w:rsid w:val="00906288"/>
    <w:rsid w:val="00906304"/>
    <w:rsid w:val="0090643C"/>
    <w:rsid w:val="009066F7"/>
    <w:rsid w:val="009067A8"/>
    <w:rsid w:val="009069A3"/>
    <w:rsid w:val="00906A90"/>
    <w:rsid w:val="00906AB3"/>
    <w:rsid w:val="00906AF5"/>
    <w:rsid w:val="00906B74"/>
    <w:rsid w:val="00906C60"/>
    <w:rsid w:val="00906D33"/>
    <w:rsid w:val="00906DDA"/>
    <w:rsid w:val="00906E0E"/>
    <w:rsid w:val="00906E77"/>
    <w:rsid w:val="00907025"/>
    <w:rsid w:val="0090708E"/>
    <w:rsid w:val="00907286"/>
    <w:rsid w:val="009072E4"/>
    <w:rsid w:val="0090736B"/>
    <w:rsid w:val="00907391"/>
    <w:rsid w:val="0090740A"/>
    <w:rsid w:val="00907650"/>
    <w:rsid w:val="00907658"/>
    <w:rsid w:val="00907848"/>
    <w:rsid w:val="009079A9"/>
    <w:rsid w:val="00907A70"/>
    <w:rsid w:val="00907AD1"/>
    <w:rsid w:val="00907C33"/>
    <w:rsid w:val="00907CAB"/>
    <w:rsid w:val="00907D4F"/>
    <w:rsid w:val="00907D82"/>
    <w:rsid w:val="00910441"/>
    <w:rsid w:val="00910480"/>
    <w:rsid w:val="00910745"/>
    <w:rsid w:val="009107AC"/>
    <w:rsid w:val="00910810"/>
    <w:rsid w:val="00910855"/>
    <w:rsid w:val="00910921"/>
    <w:rsid w:val="00910B14"/>
    <w:rsid w:val="00910D3C"/>
    <w:rsid w:val="00910DC1"/>
    <w:rsid w:val="00910DE4"/>
    <w:rsid w:val="00910EA4"/>
    <w:rsid w:val="00910F48"/>
    <w:rsid w:val="0091104D"/>
    <w:rsid w:val="009110E6"/>
    <w:rsid w:val="0091111F"/>
    <w:rsid w:val="00911404"/>
    <w:rsid w:val="00911417"/>
    <w:rsid w:val="00911435"/>
    <w:rsid w:val="009114E9"/>
    <w:rsid w:val="00911538"/>
    <w:rsid w:val="009118B2"/>
    <w:rsid w:val="009118F2"/>
    <w:rsid w:val="009119B0"/>
    <w:rsid w:val="00911D18"/>
    <w:rsid w:val="00911DBC"/>
    <w:rsid w:val="00912635"/>
    <w:rsid w:val="00912672"/>
    <w:rsid w:val="009126E0"/>
    <w:rsid w:val="009127BF"/>
    <w:rsid w:val="00912843"/>
    <w:rsid w:val="00912937"/>
    <w:rsid w:val="009129F7"/>
    <w:rsid w:val="00912AC3"/>
    <w:rsid w:val="00912C7A"/>
    <w:rsid w:val="00912C83"/>
    <w:rsid w:val="00913049"/>
    <w:rsid w:val="00913066"/>
    <w:rsid w:val="0091306B"/>
    <w:rsid w:val="0091323B"/>
    <w:rsid w:val="00913348"/>
    <w:rsid w:val="009134C1"/>
    <w:rsid w:val="009134E3"/>
    <w:rsid w:val="00913629"/>
    <w:rsid w:val="00913744"/>
    <w:rsid w:val="009137EA"/>
    <w:rsid w:val="0091399A"/>
    <w:rsid w:val="00913A7C"/>
    <w:rsid w:val="00913D8D"/>
    <w:rsid w:val="00913E1D"/>
    <w:rsid w:val="00913F22"/>
    <w:rsid w:val="00913F27"/>
    <w:rsid w:val="00913F97"/>
    <w:rsid w:val="00913FFF"/>
    <w:rsid w:val="0091422B"/>
    <w:rsid w:val="00914389"/>
    <w:rsid w:val="009143C2"/>
    <w:rsid w:val="00914473"/>
    <w:rsid w:val="00914546"/>
    <w:rsid w:val="00914621"/>
    <w:rsid w:val="00914673"/>
    <w:rsid w:val="0091477A"/>
    <w:rsid w:val="009147BF"/>
    <w:rsid w:val="0091481C"/>
    <w:rsid w:val="00914F31"/>
    <w:rsid w:val="009150C4"/>
    <w:rsid w:val="00915273"/>
    <w:rsid w:val="00915358"/>
    <w:rsid w:val="009153C4"/>
    <w:rsid w:val="009153E0"/>
    <w:rsid w:val="0091547B"/>
    <w:rsid w:val="00915542"/>
    <w:rsid w:val="009156F4"/>
    <w:rsid w:val="00915724"/>
    <w:rsid w:val="009157B7"/>
    <w:rsid w:val="009158C8"/>
    <w:rsid w:val="00915A1E"/>
    <w:rsid w:val="00915BAE"/>
    <w:rsid w:val="00915EE5"/>
    <w:rsid w:val="00915FB6"/>
    <w:rsid w:val="00916063"/>
    <w:rsid w:val="00916069"/>
    <w:rsid w:val="009161FA"/>
    <w:rsid w:val="00916247"/>
    <w:rsid w:val="00916307"/>
    <w:rsid w:val="009163F3"/>
    <w:rsid w:val="0091647E"/>
    <w:rsid w:val="00916578"/>
    <w:rsid w:val="00916623"/>
    <w:rsid w:val="00916656"/>
    <w:rsid w:val="009166C2"/>
    <w:rsid w:val="009167F3"/>
    <w:rsid w:val="00916A41"/>
    <w:rsid w:val="00916B5B"/>
    <w:rsid w:val="00916B92"/>
    <w:rsid w:val="00916BB1"/>
    <w:rsid w:val="00916E3D"/>
    <w:rsid w:val="00916F05"/>
    <w:rsid w:val="00916F0A"/>
    <w:rsid w:val="00916F77"/>
    <w:rsid w:val="0091711F"/>
    <w:rsid w:val="00917165"/>
    <w:rsid w:val="009171A3"/>
    <w:rsid w:val="009172F0"/>
    <w:rsid w:val="00917696"/>
    <w:rsid w:val="009176DA"/>
    <w:rsid w:val="00917797"/>
    <w:rsid w:val="009178DC"/>
    <w:rsid w:val="0091796C"/>
    <w:rsid w:val="0091796D"/>
    <w:rsid w:val="00917A32"/>
    <w:rsid w:val="00917A66"/>
    <w:rsid w:val="00917CC2"/>
    <w:rsid w:val="00917D13"/>
    <w:rsid w:val="00917E1B"/>
    <w:rsid w:val="00917F00"/>
    <w:rsid w:val="00917F7C"/>
    <w:rsid w:val="00920155"/>
    <w:rsid w:val="009202A5"/>
    <w:rsid w:val="009203C8"/>
    <w:rsid w:val="00920474"/>
    <w:rsid w:val="00920507"/>
    <w:rsid w:val="0092078F"/>
    <w:rsid w:val="00920A5E"/>
    <w:rsid w:val="00920AA0"/>
    <w:rsid w:val="00920CC9"/>
    <w:rsid w:val="00920D70"/>
    <w:rsid w:val="00920DA3"/>
    <w:rsid w:val="00921015"/>
    <w:rsid w:val="0092114C"/>
    <w:rsid w:val="009212D5"/>
    <w:rsid w:val="00921304"/>
    <w:rsid w:val="009213E6"/>
    <w:rsid w:val="00921482"/>
    <w:rsid w:val="009215F0"/>
    <w:rsid w:val="0092184A"/>
    <w:rsid w:val="0092189C"/>
    <w:rsid w:val="00921B50"/>
    <w:rsid w:val="00921CA3"/>
    <w:rsid w:val="00921DB2"/>
    <w:rsid w:val="00921DF4"/>
    <w:rsid w:val="00922152"/>
    <w:rsid w:val="009221A2"/>
    <w:rsid w:val="009221AD"/>
    <w:rsid w:val="00922270"/>
    <w:rsid w:val="009222C8"/>
    <w:rsid w:val="00922797"/>
    <w:rsid w:val="009228AF"/>
    <w:rsid w:val="00922973"/>
    <w:rsid w:val="00922AA9"/>
    <w:rsid w:val="00922B32"/>
    <w:rsid w:val="00922B6E"/>
    <w:rsid w:val="00922F8F"/>
    <w:rsid w:val="0092366C"/>
    <w:rsid w:val="009236F8"/>
    <w:rsid w:val="0092377F"/>
    <w:rsid w:val="00923827"/>
    <w:rsid w:val="00923CA7"/>
    <w:rsid w:val="00923FBF"/>
    <w:rsid w:val="00924262"/>
    <w:rsid w:val="0092433B"/>
    <w:rsid w:val="00924369"/>
    <w:rsid w:val="009246F5"/>
    <w:rsid w:val="00924789"/>
    <w:rsid w:val="00924B9C"/>
    <w:rsid w:val="00924C5E"/>
    <w:rsid w:val="00924F98"/>
    <w:rsid w:val="009250F5"/>
    <w:rsid w:val="00925110"/>
    <w:rsid w:val="009251BA"/>
    <w:rsid w:val="009253EC"/>
    <w:rsid w:val="00925543"/>
    <w:rsid w:val="009255F4"/>
    <w:rsid w:val="009256B9"/>
    <w:rsid w:val="0092576C"/>
    <w:rsid w:val="0092578E"/>
    <w:rsid w:val="009259B8"/>
    <w:rsid w:val="00925B7C"/>
    <w:rsid w:val="00925E44"/>
    <w:rsid w:val="009260F5"/>
    <w:rsid w:val="0092619C"/>
    <w:rsid w:val="00926391"/>
    <w:rsid w:val="00926401"/>
    <w:rsid w:val="00926955"/>
    <w:rsid w:val="00926A19"/>
    <w:rsid w:val="00926CCD"/>
    <w:rsid w:val="00926DF2"/>
    <w:rsid w:val="00926E93"/>
    <w:rsid w:val="00926EFC"/>
    <w:rsid w:val="00926F68"/>
    <w:rsid w:val="00927312"/>
    <w:rsid w:val="0092739F"/>
    <w:rsid w:val="00927582"/>
    <w:rsid w:val="00927817"/>
    <w:rsid w:val="0092781F"/>
    <w:rsid w:val="00927869"/>
    <w:rsid w:val="00927888"/>
    <w:rsid w:val="009279D2"/>
    <w:rsid w:val="00927B50"/>
    <w:rsid w:val="00927C73"/>
    <w:rsid w:val="00927EE1"/>
    <w:rsid w:val="00927FCC"/>
    <w:rsid w:val="0093007C"/>
    <w:rsid w:val="009300B1"/>
    <w:rsid w:val="009300BB"/>
    <w:rsid w:val="00930157"/>
    <w:rsid w:val="0093016F"/>
    <w:rsid w:val="00930388"/>
    <w:rsid w:val="009303C7"/>
    <w:rsid w:val="009306EB"/>
    <w:rsid w:val="00930C9D"/>
    <w:rsid w:val="00930DF7"/>
    <w:rsid w:val="00931019"/>
    <w:rsid w:val="00931073"/>
    <w:rsid w:val="00931185"/>
    <w:rsid w:val="0093124B"/>
    <w:rsid w:val="00931338"/>
    <w:rsid w:val="0093143A"/>
    <w:rsid w:val="00931635"/>
    <w:rsid w:val="00931659"/>
    <w:rsid w:val="00931933"/>
    <w:rsid w:val="0093193E"/>
    <w:rsid w:val="00931A7D"/>
    <w:rsid w:val="00931BCA"/>
    <w:rsid w:val="00931C72"/>
    <w:rsid w:val="00931D9F"/>
    <w:rsid w:val="00931E28"/>
    <w:rsid w:val="00931FFF"/>
    <w:rsid w:val="00932136"/>
    <w:rsid w:val="00932250"/>
    <w:rsid w:val="0093232B"/>
    <w:rsid w:val="00932360"/>
    <w:rsid w:val="009323D9"/>
    <w:rsid w:val="009323EC"/>
    <w:rsid w:val="00932446"/>
    <w:rsid w:val="00932488"/>
    <w:rsid w:val="0093276C"/>
    <w:rsid w:val="009329C6"/>
    <w:rsid w:val="00932A1B"/>
    <w:rsid w:val="00932BE9"/>
    <w:rsid w:val="00932C1D"/>
    <w:rsid w:val="00932E39"/>
    <w:rsid w:val="00932E47"/>
    <w:rsid w:val="00932E4E"/>
    <w:rsid w:val="00932E63"/>
    <w:rsid w:val="00932EAD"/>
    <w:rsid w:val="009330F9"/>
    <w:rsid w:val="009331B9"/>
    <w:rsid w:val="009331D7"/>
    <w:rsid w:val="00933301"/>
    <w:rsid w:val="0093330A"/>
    <w:rsid w:val="009334C3"/>
    <w:rsid w:val="00933689"/>
    <w:rsid w:val="00933D1A"/>
    <w:rsid w:val="00933D25"/>
    <w:rsid w:val="00933DAB"/>
    <w:rsid w:val="00933EF7"/>
    <w:rsid w:val="00933FC9"/>
    <w:rsid w:val="00934044"/>
    <w:rsid w:val="00934107"/>
    <w:rsid w:val="00934141"/>
    <w:rsid w:val="00934215"/>
    <w:rsid w:val="009342B1"/>
    <w:rsid w:val="00934471"/>
    <w:rsid w:val="009344FE"/>
    <w:rsid w:val="00934660"/>
    <w:rsid w:val="0093470E"/>
    <w:rsid w:val="00934A4E"/>
    <w:rsid w:val="00934AC6"/>
    <w:rsid w:val="00934ADD"/>
    <w:rsid w:val="00934BED"/>
    <w:rsid w:val="00934C66"/>
    <w:rsid w:val="00934DE8"/>
    <w:rsid w:val="00934EA4"/>
    <w:rsid w:val="00934F4B"/>
    <w:rsid w:val="00934FF7"/>
    <w:rsid w:val="00935106"/>
    <w:rsid w:val="00935108"/>
    <w:rsid w:val="00935433"/>
    <w:rsid w:val="009355CB"/>
    <w:rsid w:val="009355F3"/>
    <w:rsid w:val="00935836"/>
    <w:rsid w:val="009359E8"/>
    <w:rsid w:val="00935A33"/>
    <w:rsid w:val="00935AE2"/>
    <w:rsid w:val="00935BDF"/>
    <w:rsid w:val="00935BE6"/>
    <w:rsid w:val="00935C71"/>
    <w:rsid w:val="00935CA3"/>
    <w:rsid w:val="00935D4B"/>
    <w:rsid w:val="00935E74"/>
    <w:rsid w:val="00935F63"/>
    <w:rsid w:val="0093609D"/>
    <w:rsid w:val="00936173"/>
    <w:rsid w:val="0093619A"/>
    <w:rsid w:val="0093619C"/>
    <w:rsid w:val="009361EC"/>
    <w:rsid w:val="00936585"/>
    <w:rsid w:val="00936919"/>
    <w:rsid w:val="00936955"/>
    <w:rsid w:val="00936B69"/>
    <w:rsid w:val="00937091"/>
    <w:rsid w:val="00937221"/>
    <w:rsid w:val="00937803"/>
    <w:rsid w:val="00937B70"/>
    <w:rsid w:val="00937B90"/>
    <w:rsid w:val="00937CA4"/>
    <w:rsid w:val="00937DBF"/>
    <w:rsid w:val="00937DD1"/>
    <w:rsid w:val="00937F0E"/>
    <w:rsid w:val="00940219"/>
    <w:rsid w:val="0094028E"/>
    <w:rsid w:val="00940540"/>
    <w:rsid w:val="009405FC"/>
    <w:rsid w:val="0094069E"/>
    <w:rsid w:val="00940879"/>
    <w:rsid w:val="00940919"/>
    <w:rsid w:val="009409AD"/>
    <w:rsid w:val="00940CB7"/>
    <w:rsid w:val="00940E1B"/>
    <w:rsid w:val="00940EB6"/>
    <w:rsid w:val="00940FA3"/>
    <w:rsid w:val="00940FEE"/>
    <w:rsid w:val="00941267"/>
    <w:rsid w:val="00941312"/>
    <w:rsid w:val="009413D2"/>
    <w:rsid w:val="00941418"/>
    <w:rsid w:val="0094141A"/>
    <w:rsid w:val="0094152F"/>
    <w:rsid w:val="00941799"/>
    <w:rsid w:val="0094192D"/>
    <w:rsid w:val="00941AE7"/>
    <w:rsid w:val="00941B15"/>
    <w:rsid w:val="00941BD5"/>
    <w:rsid w:val="00941DCD"/>
    <w:rsid w:val="00941E0A"/>
    <w:rsid w:val="00941E27"/>
    <w:rsid w:val="00941E43"/>
    <w:rsid w:val="00942112"/>
    <w:rsid w:val="009421C5"/>
    <w:rsid w:val="009421F7"/>
    <w:rsid w:val="00942277"/>
    <w:rsid w:val="009423F1"/>
    <w:rsid w:val="0094243D"/>
    <w:rsid w:val="0094254F"/>
    <w:rsid w:val="009426A2"/>
    <w:rsid w:val="009426F9"/>
    <w:rsid w:val="0094279C"/>
    <w:rsid w:val="00942870"/>
    <w:rsid w:val="00942955"/>
    <w:rsid w:val="00942968"/>
    <w:rsid w:val="00942A9E"/>
    <w:rsid w:val="00942AD3"/>
    <w:rsid w:val="00942B97"/>
    <w:rsid w:val="00942C29"/>
    <w:rsid w:val="00942CB1"/>
    <w:rsid w:val="00942CC5"/>
    <w:rsid w:val="00942D32"/>
    <w:rsid w:val="00942E14"/>
    <w:rsid w:val="00942EAA"/>
    <w:rsid w:val="00942EB1"/>
    <w:rsid w:val="00942FBB"/>
    <w:rsid w:val="00942FC7"/>
    <w:rsid w:val="00943080"/>
    <w:rsid w:val="009430AE"/>
    <w:rsid w:val="00943170"/>
    <w:rsid w:val="0094317C"/>
    <w:rsid w:val="0094326B"/>
    <w:rsid w:val="00943443"/>
    <w:rsid w:val="0094348A"/>
    <w:rsid w:val="00943585"/>
    <w:rsid w:val="009437A3"/>
    <w:rsid w:val="009437FD"/>
    <w:rsid w:val="009438BA"/>
    <w:rsid w:val="009439A2"/>
    <w:rsid w:val="00943BA3"/>
    <w:rsid w:val="00943E04"/>
    <w:rsid w:val="00943E29"/>
    <w:rsid w:val="00943E52"/>
    <w:rsid w:val="00943EB2"/>
    <w:rsid w:val="00943F1D"/>
    <w:rsid w:val="00944024"/>
    <w:rsid w:val="009441A8"/>
    <w:rsid w:val="00944220"/>
    <w:rsid w:val="0094448E"/>
    <w:rsid w:val="00944500"/>
    <w:rsid w:val="00944512"/>
    <w:rsid w:val="00944665"/>
    <w:rsid w:val="00944979"/>
    <w:rsid w:val="00944A7D"/>
    <w:rsid w:val="00944EBB"/>
    <w:rsid w:val="00944FB0"/>
    <w:rsid w:val="00945264"/>
    <w:rsid w:val="009452BF"/>
    <w:rsid w:val="009452D1"/>
    <w:rsid w:val="009452FA"/>
    <w:rsid w:val="009453CB"/>
    <w:rsid w:val="009454D3"/>
    <w:rsid w:val="00945555"/>
    <w:rsid w:val="0094558A"/>
    <w:rsid w:val="0094566B"/>
    <w:rsid w:val="00945742"/>
    <w:rsid w:val="00945861"/>
    <w:rsid w:val="00945957"/>
    <w:rsid w:val="0094599D"/>
    <w:rsid w:val="00945A92"/>
    <w:rsid w:val="00945B14"/>
    <w:rsid w:val="00945C65"/>
    <w:rsid w:val="00945CA4"/>
    <w:rsid w:val="00945E19"/>
    <w:rsid w:val="00945F89"/>
    <w:rsid w:val="009461A1"/>
    <w:rsid w:val="009461DB"/>
    <w:rsid w:val="009462EA"/>
    <w:rsid w:val="0094633D"/>
    <w:rsid w:val="00946633"/>
    <w:rsid w:val="009468D0"/>
    <w:rsid w:val="00946C79"/>
    <w:rsid w:val="00946DE3"/>
    <w:rsid w:val="00946E1F"/>
    <w:rsid w:val="00947187"/>
    <w:rsid w:val="00947211"/>
    <w:rsid w:val="00947652"/>
    <w:rsid w:val="0094769C"/>
    <w:rsid w:val="009476F3"/>
    <w:rsid w:val="009477F5"/>
    <w:rsid w:val="009479FB"/>
    <w:rsid w:val="00947B5D"/>
    <w:rsid w:val="00947D32"/>
    <w:rsid w:val="00947E5E"/>
    <w:rsid w:val="00947EA8"/>
    <w:rsid w:val="009500E4"/>
    <w:rsid w:val="0095026F"/>
    <w:rsid w:val="00950299"/>
    <w:rsid w:val="00950333"/>
    <w:rsid w:val="00950588"/>
    <w:rsid w:val="009505F9"/>
    <w:rsid w:val="009506A9"/>
    <w:rsid w:val="0095073C"/>
    <w:rsid w:val="00950761"/>
    <w:rsid w:val="00950941"/>
    <w:rsid w:val="00950BC9"/>
    <w:rsid w:val="00950BE4"/>
    <w:rsid w:val="00950BF4"/>
    <w:rsid w:val="00950CD2"/>
    <w:rsid w:val="00950E0F"/>
    <w:rsid w:val="00950E13"/>
    <w:rsid w:val="00950F47"/>
    <w:rsid w:val="009511AD"/>
    <w:rsid w:val="009511C8"/>
    <w:rsid w:val="009517C4"/>
    <w:rsid w:val="0095197B"/>
    <w:rsid w:val="00951BF3"/>
    <w:rsid w:val="00951D61"/>
    <w:rsid w:val="00951F15"/>
    <w:rsid w:val="00952208"/>
    <w:rsid w:val="00952298"/>
    <w:rsid w:val="009524E7"/>
    <w:rsid w:val="009525E0"/>
    <w:rsid w:val="0095265C"/>
    <w:rsid w:val="009529B1"/>
    <w:rsid w:val="00952FC3"/>
    <w:rsid w:val="009535A5"/>
    <w:rsid w:val="009538F2"/>
    <w:rsid w:val="0095395D"/>
    <w:rsid w:val="00953A1A"/>
    <w:rsid w:val="00953AE7"/>
    <w:rsid w:val="00953BF8"/>
    <w:rsid w:val="00953D39"/>
    <w:rsid w:val="00953D94"/>
    <w:rsid w:val="009540B0"/>
    <w:rsid w:val="009540DD"/>
    <w:rsid w:val="009540F7"/>
    <w:rsid w:val="009542CD"/>
    <w:rsid w:val="009542D9"/>
    <w:rsid w:val="009543C1"/>
    <w:rsid w:val="0095450E"/>
    <w:rsid w:val="009545CA"/>
    <w:rsid w:val="009546E6"/>
    <w:rsid w:val="0095478D"/>
    <w:rsid w:val="009547BB"/>
    <w:rsid w:val="009549CD"/>
    <w:rsid w:val="00954B8C"/>
    <w:rsid w:val="00954B9C"/>
    <w:rsid w:val="00954CC4"/>
    <w:rsid w:val="00954F05"/>
    <w:rsid w:val="00954FC4"/>
    <w:rsid w:val="00955341"/>
    <w:rsid w:val="00955385"/>
    <w:rsid w:val="00955505"/>
    <w:rsid w:val="0095568A"/>
    <w:rsid w:val="00955853"/>
    <w:rsid w:val="00955C90"/>
    <w:rsid w:val="00955CFE"/>
    <w:rsid w:val="00955F94"/>
    <w:rsid w:val="0095606D"/>
    <w:rsid w:val="00956573"/>
    <w:rsid w:val="00956615"/>
    <w:rsid w:val="0095664D"/>
    <w:rsid w:val="00956718"/>
    <w:rsid w:val="009567C7"/>
    <w:rsid w:val="009569BD"/>
    <w:rsid w:val="009569D2"/>
    <w:rsid w:val="00956AA3"/>
    <w:rsid w:val="00956B8A"/>
    <w:rsid w:val="00956E5F"/>
    <w:rsid w:val="00956EB0"/>
    <w:rsid w:val="00956EEF"/>
    <w:rsid w:val="00956F3E"/>
    <w:rsid w:val="00956FCC"/>
    <w:rsid w:val="009570E6"/>
    <w:rsid w:val="0095723C"/>
    <w:rsid w:val="00957257"/>
    <w:rsid w:val="009572C4"/>
    <w:rsid w:val="00957454"/>
    <w:rsid w:val="009574BE"/>
    <w:rsid w:val="00957574"/>
    <w:rsid w:val="009575AF"/>
    <w:rsid w:val="00957613"/>
    <w:rsid w:val="0095777B"/>
    <w:rsid w:val="009577F7"/>
    <w:rsid w:val="00957870"/>
    <w:rsid w:val="0095790D"/>
    <w:rsid w:val="00957950"/>
    <w:rsid w:val="0095796F"/>
    <w:rsid w:val="00957AB3"/>
    <w:rsid w:val="00957C70"/>
    <w:rsid w:val="00957CF5"/>
    <w:rsid w:val="0096000E"/>
    <w:rsid w:val="00960245"/>
    <w:rsid w:val="009603A8"/>
    <w:rsid w:val="0096045E"/>
    <w:rsid w:val="009605CB"/>
    <w:rsid w:val="00960648"/>
    <w:rsid w:val="00960982"/>
    <w:rsid w:val="009609A7"/>
    <w:rsid w:val="00960E25"/>
    <w:rsid w:val="00960EE8"/>
    <w:rsid w:val="00960F10"/>
    <w:rsid w:val="00960F75"/>
    <w:rsid w:val="00960FBC"/>
    <w:rsid w:val="00960FC6"/>
    <w:rsid w:val="009616AB"/>
    <w:rsid w:val="0096174C"/>
    <w:rsid w:val="009617F8"/>
    <w:rsid w:val="00961A18"/>
    <w:rsid w:val="00961B8F"/>
    <w:rsid w:val="00961C7D"/>
    <w:rsid w:val="00961C87"/>
    <w:rsid w:val="00961D9C"/>
    <w:rsid w:val="00962013"/>
    <w:rsid w:val="009620D8"/>
    <w:rsid w:val="009623BA"/>
    <w:rsid w:val="00962478"/>
    <w:rsid w:val="009624F8"/>
    <w:rsid w:val="0096259D"/>
    <w:rsid w:val="009625A8"/>
    <w:rsid w:val="009625E7"/>
    <w:rsid w:val="00962631"/>
    <w:rsid w:val="00962640"/>
    <w:rsid w:val="009629D7"/>
    <w:rsid w:val="00962A76"/>
    <w:rsid w:val="00962A9E"/>
    <w:rsid w:val="00962ABE"/>
    <w:rsid w:val="00962AFC"/>
    <w:rsid w:val="00962B8A"/>
    <w:rsid w:val="00962C04"/>
    <w:rsid w:val="00962C86"/>
    <w:rsid w:val="00962CD5"/>
    <w:rsid w:val="00962E0D"/>
    <w:rsid w:val="00962E90"/>
    <w:rsid w:val="00962FB7"/>
    <w:rsid w:val="00963250"/>
    <w:rsid w:val="00963307"/>
    <w:rsid w:val="00963461"/>
    <w:rsid w:val="00963529"/>
    <w:rsid w:val="00963716"/>
    <w:rsid w:val="00963769"/>
    <w:rsid w:val="0096382D"/>
    <w:rsid w:val="00963B14"/>
    <w:rsid w:val="00963C1B"/>
    <w:rsid w:val="00963C52"/>
    <w:rsid w:val="00963DA9"/>
    <w:rsid w:val="00963E07"/>
    <w:rsid w:val="00963E84"/>
    <w:rsid w:val="00963FF2"/>
    <w:rsid w:val="0096401E"/>
    <w:rsid w:val="00964097"/>
    <w:rsid w:val="009640E7"/>
    <w:rsid w:val="0096422A"/>
    <w:rsid w:val="0096435C"/>
    <w:rsid w:val="009644A0"/>
    <w:rsid w:val="00964583"/>
    <w:rsid w:val="00964701"/>
    <w:rsid w:val="00964801"/>
    <w:rsid w:val="0096492D"/>
    <w:rsid w:val="009649B0"/>
    <w:rsid w:val="00964BAC"/>
    <w:rsid w:val="00964F59"/>
    <w:rsid w:val="0096521B"/>
    <w:rsid w:val="009656CB"/>
    <w:rsid w:val="00965786"/>
    <w:rsid w:val="0096585C"/>
    <w:rsid w:val="0096588D"/>
    <w:rsid w:val="009659DF"/>
    <w:rsid w:val="00965A9B"/>
    <w:rsid w:val="00965C50"/>
    <w:rsid w:val="00965DB4"/>
    <w:rsid w:val="00965E34"/>
    <w:rsid w:val="00965E93"/>
    <w:rsid w:val="009662D5"/>
    <w:rsid w:val="00966346"/>
    <w:rsid w:val="0096651E"/>
    <w:rsid w:val="0096663E"/>
    <w:rsid w:val="00966913"/>
    <w:rsid w:val="00966944"/>
    <w:rsid w:val="009669B5"/>
    <w:rsid w:val="00966ADA"/>
    <w:rsid w:val="00966B96"/>
    <w:rsid w:val="00966CB3"/>
    <w:rsid w:val="00966D31"/>
    <w:rsid w:val="00966D8D"/>
    <w:rsid w:val="00966E61"/>
    <w:rsid w:val="00966F25"/>
    <w:rsid w:val="00966FE6"/>
    <w:rsid w:val="009671EB"/>
    <w:rsid w:val="00967479"/>
    <w:rsid w:val="009674F2"/>
    <w:rsid w:val="0096782B"/>
    <w:rsid w:val="00967981"/>
    <w:rsid w:val="009679EF"/>
    <w:rsid w:val="00967BB9"/>
    <w:rsid w:val="00967D21"/>
    <w:rsid w:val="00967DA1"/>
    <w:rsid w:val="00967DED"/>
    <w:rsid w:val="00970079"/>
    <w:rsid w:val="009700A3"/>
    <w:rsid w:val="00970166"/>
    <w:rsid w:val="009701C9"/>
    <w:rsid w:val="009701F0"/>
    <w:rsid w:val="009702D7"/>
    <w:rsid w:val="00970409"/>
    <w:rsid w:val="00970456"/>
    <w:rsid w:val="0097048F"/>
    <w:rsid w:val="0097058D"/>
    <w:rsid w:val="00970612"/>
    <w:rsid w:val="0097067E"/>
    <w:rsid w:val="0097098A"/>
    <w:rsid w:val="00970A18"/>
    <w:rsid w:val="00970CF6"/>
    <w:rsid w:val="00970D5F"/>
    <w:rsid w:val="00970D8D"/>
    <w:rsid w:val="00970E0A"/>
    <w:rsid w:val="00970E46"/>
    <w:rsid w:val="00970E75"/>
    <w:rsid w:val="00971030"/>
    <w:rsid w:val="009710F0"/>
    <w:rsid w:val="00971207"/>
    <w:rsid w:val="00971225"/>
    <w:rsid w:val="00971233"/>
    <w:rsid w:val="0097132A"/>
    <w:rsid w:val="009714EA"/>
    <w:rsid w:val="00971632"/>
    <w:rsid w:val="0097171A"/>
    <w:rsid w:val="00971D30"/>
    <w:rsid w:val="00971E15"/>
    <w:rsid w:val="00971E4A"/>
    <w:rsid w:val="00971F3E"/>
    <w:rsid w:val="0097252C"/>
    <w:rsid w:val="009727DE"/>
    <w:rsid w:val="00972812"/>
    <w:rsid w:val="00972826"/>
    <w:rsid w:val="00972A9C"/>
    <w:rsid w:val="00972BA2"/>
    <w:rsid w:val="00972CA3"/>
    <w:rsid w:val="00972CB5"/>
    <w:rsid w:val="00972CB6"/>
    <w:rsid w:val="00972E8E"/>
    <w:rsid w:val="00972F7D"/>
    <w:rsid w:val="00972FC2"/>
    <w:rsid w:val="00973001"/>
    <w:rsid w:val="00973237"/>
    <w:rsid w:val="009732FB"/>
    <w:rsid w:val="00973522"/>
    <w:rsid w:val="0097359B"/>
    <w:rsid w:val="00973649"/>
    <w:rsid w:val="00973676"/>
    <w:rsid w:val="00973692"/>
    <w:rsid w:val="00973784"/>
    <w:rsid w:val="009737A3"/>
    <w:rsid w:val="009739C5"/>
    <w:rsid w:val="00973BA7"/>
    <w:rsid w:val="00973C56"/>
    <w:rsid w:val="00973CDD"/>
    <w:rsid w:val="00973CE5"/>
    <w:rsid w:val="00973D5F"/>
    <w:rsid w:val="00973EBA"/>
    <w:rsid w:val="00973F34"/>
    <w:rsid w:val="00973F60"/>
    <w:rsid w:val="00974116"/>
    <w:rsid w:val="0097412D"/>
    <w:rsid w:val="0097413E"/>
    <w:rsid w:val="0097450F"/>
    <w:rsid w:val="00974667"/>
    <w:rsid w:val="009746D4"/>
    <w:rsid w:val="00974A48"/>
    <w:rsid w:val="00974C16"/>
    <w:rsid w:val="00974C21"/>
    <w:rsid w:val="00974E23"/>
    <w:rsid w:val="00974F7B"/>
    <w:rsid w:val="00974FC8"/>
    <w:rsid w:val="00974FEB"/>
    <w:rsid w:val="00975357"/>
    <w:rsid w:val="0097553D"/>
    <w:rsid w:val="009755B2"/>
    <w:rsid w:val="00975855"/>
    <w:rsid w:val="009758E6"/>
    <w:rsid w:val="00975A2E"/>
    <w:rsid w:val="00975AFA"/>
    <w:rsid w:val="00975DAA"/>
    <w:rsid w:val="00975E5C"/>
    <w:rsid w:val="00976175"/>
    <w:rsid w:val="00976244"/>
    <w:rsid w:val="00976266"/>
    <w:rsid w:val="009768A3"/>
    <w:rsid w:val="00976911"/>
    <w:rsid w:val="00976BB0"/>
    <w:rsid w:val="00976E38"/>
    <w:rsid w:val="00976E87"/>
    <w:rsid w:val="00976E95"/>
    <w:rsid w:val="00977410"/>
    <w:rsid w:val="009774C4"/>
    <w:rsid w:val="009775ED"/>
    <w:rsid w:val="00977775"/>
    <w:rsid w:val="009777B1"/>
    <w:rsid w:val="00977848"/>
    <w:rsid w:val="0097798F"/>
    <w:rsid w:val="009779EE"/>
    <w:rsid w:val="00977A42"/>
    <w:rsid w:val="00977AD6"/>
    <w:rsid w:val="00977BC2"/>
    <w:rsid w:val="00977BED"/>
    <w:rsid w:val="00977C06"/>
    <w:rsid w:val="00977F99"/>
    <w:rsid w:val="009802BB"/>
    <w:rsid w:val="009804B9"/>
    <w:rsid w:val="00980521"/>
    <w:rsid w:val="00980523"/>
    <w:rsid w:val="00980551"/>
    <w:rsid w:val="00980723"/>
    <w:rsid w:val="00980768"/>
    <w:rsid w:val="009807D5"/>
    <w:rsid w:val="00980805"/>
    <w:rsid w:val="00980838"/>
    <w:rsid w:val="009808F2"/>
    <w:rsid w:val="00980B41"/>
    <w:rsid w:val="00980BB9"/>
    <w:rsid w:val="00980CA8"/>
    <w:rsid w:val="00980CF4"/>
    <w:rsid w:val="00980E4B"/>
    <w:rsid w:val="00980E90"/>
    <w:rsid w:val="00980FC1"/>
    <w:rsid w:val="0098102F"/>
    <w:rsid w:val="009810DE"/>
    <w:rsid w:val="00981297"/>
    <w:rsid w:val="009812E9"/>
    <w:rsid w:val="0098143E"/>
    <w:rsid w:val="009815D0"/>
    <w:rsid w:val="00981645"/>
    <w:rsid w:val="00981693"/>
    <w:rsid w:val="009816BA"/>
    <w:rsid w:val="009816DF"/>
    <w:rsid w:val="0098172D"/>
    <w:rsid w:val="009817F2"/>
    <w:rsid w:val="00981A06"/>
    <w:rsid w:val="00981BCF"/>
    <w:rsid w:val="00981C16"/>
    <w:rsid w:val="00981D0B"/>
    <w:rsid w:val="00981E15"/>
    <w:rsid w:val="00981E7C"/>
    <w:rsid w:val="00981FC0"/>
    <w:rsid w:val="00981FD6"/>
    <w:rsid w:val="00982167"/>
    <w:rsid w:val="009821E3"/>
    <w:rsid w:val="00982247"/>
    <w:rsid w:val="00982296"/>
    <w:rsid w:val="009822CF"/>
    <w:rsid w:val="009823E0"/>
    <w:rsid w:val="0098254A"/>
    <w:rsid w:val="00982563"/>
    <w:rsid w:val="00982A3B"/>
    <w:rsid w:val="00982A75"/>
    <w:rsid w:val="00982B28"/>
    <w:rsid w:val="00982D43"/>
    <w:rsid w:val="009833F2"/>
    <w:rsid w:val="00983439"/>
    <w:rsid w:val="00983632"/>
    <w:rsid w:val="009836A1"/>
    <w:rsid w:val="00983842"/>
    <w:rsid w:val="0098391B"/>
    <w:rsid w:val="00983B79"/>
    <w:rsid w:val="00983B81"/>
    <w:rsid w:val="00983D2B"/>
    <w:rsid w:val="00983DBA"/>
    <w:rsid w:val="00984029"/>
    <w:rsid w:val="009842BA"/>
    <w:rsid w:val="009845FD"/>
    <w:rsid w:val="00984A1C"/>
    <w:rsid w:val="00984A22"/>
    <w:rsid w:val="00984B9D"/>
    <w:rsid w:val="00984EAF"/>
    <w:rsid w:val="00984EF3"/>
    <w:rsid w:val="00985080"/>
    <w:rsid w:val="0098544A"/>
    <w:rsid w:val="00985492"/>
    <w:rsid w:val="0098550C"/>
    <w:rsid w:val="00985791"/>
    <w:rsid w:val="009857CA"/>
    <w:rsid w:val="009858F5"/>
    <w:rsid w:val="00985915"/>
    <w:rsid w:val="00985AEA"/>
    <w:rsid w:val="00985D5E"/>
    <w:rsid w:val="00985DBA"/>
    <w:rsid w:val="00985E0A"/>
    <w:rsid w:val="00985EB2"/>
    <w:rsid w:val="00985F06"/>
    <w:rsid w:val="00986064"/>
    <w:rsid w:val="0098628F"/>
    <w:rsid w:val="009864E8"/>
    <w:rsid w:val="009864F4"/>
    <w:rsid w:val="00986519"/>
    <w:rsid w:val="0098662E"/>
    <w:rsid w:val="00986727"/>
    <w:rsid w:val="0098676E"/>
    <w:rsid w:val="00986856"/>
    <w:rsid w:val="009868BE"/>
    <w:rsid w:val="0098696C"/>
    <w:rsid w:val="009869EB"/>
    <w:rsid w:val="00986A3F"/>
    <w:rsid w:val="00986B24"/>
    <w:rsid w:val="00986C69"/>
    <w:rsid w:val="00986E79"/>
    <w:rsid w:val="00986E95"/>
    <w:rsid w:val="00986FF7"/>
    <w:rsid w:val="00987037"/>
    <w:rsid w:val="0098722B"/>
    <w:rsid w:val="00987357"/>
    <w:rsid w:val="009874A4"/>
    <w:rsid w:val="00987500"/>
    <w:rsid w:val="009875C5"/>
    <w:rsid w:val="0098778C"/>
    <w:rsid w:val="009877A6"/>
    <w:rsid w:val="009877B6"/>
    <w:rsid w:val="009877D2"/>
    <w:rsid w:val="009879C3"/>
    <w:rsid w:val="00987A63"/>
    <w:rsid w:val="00987AEE"/>
    <w:rsid w:val="00987D41"/>
    <w:rsid w:val="00987D89"/>
    <w:rsid w:val="00987E72"/>
    <w:rsid w:val="00990033"/>
    <w:rsid w:val="009900A4"/>
    <w:rsid w:val="00990154"/>
    <w:rsid w:val="0099039B"/>
    <w:rsid w:val="009904C6"/>
    <w:rsid w:val="00990545"/>
    <w:rsid w:val="00990659"/>
    <w:rsid w:val="009908EA"/>
    <w:rsid w:val="00990944"/>
    <w:rsid w:val="00990B07"/>
    <w:rsid w:val="00990BCE"/>
    <w:rsid w:val="00990C1A"/>
    <w:rsid w:val="00990CC3"/>
    <w:rsid w:val="00990CE0"/>
    <w:rsid w:val="00990DBB"/>
    <w:rsid w:val="00990E69"/>
    <w:rsid w:val="00990E97"/>
    <w:rsid w:val="00990F5D"/>
    <w:rsid w:val="00991050"/>
    <w:rsid w:val="009910D6"/>
    <w:rsid w:val="00991196"/>
    <w:rsid w:val="0099126B"/>
    <w:rsid w:val="0099128C"/>
    <w:rsid w:val="009913F0"/>
    <w:rsid w:val="00991503"/>
    <w:rsid w:val="0099157F"/>
    <w:rsid w:val="0099160E"/>
    <w:rsid w:val="009918C9"/>
    <w:rsid w:val="009918D8"/>
    <w:rsid w:val="00991A78"/>
    <w:rsid w:val="00991C44"/>
    <w:rsid w:val="00991C87"/>
    <w:rsid w:val="00992039"/>
    <w:rsid w:val="00992335"/>
    <w:rsid w:val="009923F0"/>
    <w:rsid w:val="00992459"/>
    <w:rsid w:val="0099255E"/>
    <w:rsid w:val="00992749"/>
    <w:rsid w:val="00992755"/>
    <w:rsid w:val="00992849"/>
    <w:rsid w:val="00992865"/>
    <w:rsid w:val="00992906"/>
    <w:rsid w:val="0099292B"/>
    <w:rsid w:val="009929F4"/>
    <w:rsid w:val="00992A50"/>
    <w:rsid w:val="00992A5F"/>
    <w:rsid w:val="00992AA0"/>
    <w:rsid w:val="00992AE6"/>
    <w:rsid w:val="00992C55"/>
    <w:rsid w:val="00992CD5"/>
    <w:rsid w:val="00992FE5"/>
    <w:rsid w:val="0099300C"/>
    <w:rsid w:val="0099321A"/>
    <w:rsid w:val="00993249"/>
    <w:rsid w:val="00993576"/>
    <w:rsid w:val="00993874"/>
    <w:rsid w:val="009938B3"/>
    <w:rsid w:val="00993AE8"/>
    <w:rsid w:val="00993D21"/>
    <w:rsid w:val="00993DC5"/>
    <w:rsid w:val="00993DD2"/>
    <w:rsid w:val="00993E62"/>
    <w:rsid w:val="00993EBD"/>
    <w:rsid w:val="0099401B"/>
    <w:rsid w:val="009943B4"/>
    <w:rsid w:val="009947C2"/>
    <w:rsid w:val="00994824"/>
    <w:rsid w:val="00994871"/>
    <w:rsid w:val="00994917"/>
    <w:rsid w:val="00994935"/>
    <w:rsid w:val="00994A5E"/>
    <w:rsid w:val="00994B3D"/>
    <w:rsid w:val="00994B54"/>
    <w:rsid w:val="009951E3"/>
    <w:rsid w:val="009951FD"/>
    <w:rsid w:val="009952B3"/>
    <w:rsid w:val="00995309"/>
    <w:rsid w:val="00995427"/>
    <w:rsid w:val="00995545"/>
    <w:rsid w:val="009955DC"/>
    <w:rsid w:val="00995654"/>
    <w:rsid w:val="00995959"/>
    <w:rsid w:val="009959A4"/>
    <w:rsid w:val="009959DF"/>
    <w:rsid w:val="00995A7E"/>
    <w:rsid w:val="00995B8A"/>
    <w:rsid w:val="00995B8F"/>
    <w:rsid w:val="00995C77"/>
    <w:rsid w:val="00995DF6"/>
    <w:rsid w:val="00995F53"/>
    <w:rsid w:val="009960B8"/>
    <w:rsid w:val="009961F3"/>
    <w:rsid w:val="0099627C"/>
    <w:rsid w:val="0099654D"/>
    <w:rsid w:val="009967F4"/>
    <w:rsid w:val="00996AB3"/>
    <w:rsid w:val="00996C31"/>
    <w:rsid w:val="00996E0A"/>
    <w:rsid w:val="00996ECF"/>
    <w:rsid w:val="00996FB1"/>
    <w:rsid w:val="0099708A"/>
    <w:rsid w:val="00997304"/>
    <w:rsid w:val="009973C9"/>
    <w:rsid w:val="009974D8"/>
    <w:rsid w:val="0099751D"/>
    <w:rsid w:val="00997633"/>
    <w:rsid w:val="00997674"/>
    <w:rsid w:val="00997699"/>
    <w:rsid w:val="009978EA"/>
    <w:rsid w:val="0099792A"/>
    <w:rsid w:val="0099794E"/>
    <w:rsid w:val="00997A6C"/>
    <w:rsid w:val="00997AC8"/>
    <w:rsid w:val="00997BA6"/>
    <w:rsid w:val="00997BD4"/>
    <w:rsid w:val="00997DA8"/>
    <w:rsid w:val="00997E41"/>
    <w:rsid w:val="00997E56"/>
    <w:rsid w:val="009A015B"/>
    <w:rsid w:val="009A0259"/>
    <w:rsid w:val="009A0292"/>
    <w:rsid w:val="009A0515"/>
    <w:rsid w:val="009A0635"/>
    <w:rsid w:val="009A0652"/>
    <w:rsid w:val="009A0653"/>
    <w:rsid w:val="009A09DC"/>
    <w:rsid w:val="009A0B90"/>
    <w:rsid w:val="009A0C72"/>
    <w:rsid w:val="009A0DCF"/>
    <w:rsid w:val="009A1270"/>
    <w:rsid w:val="009A180A"/>
    <w:rsid w:val="009A186E"/>
    <w:rsid w:val="009A18FD"/>
    <w:rsid w:val="009A1981"/>
    <w:rsid w:val="009A19BF"/>
    <w:rsid w:val="009A1B33"/>
    <w:rsid w:val="009A1E20"/>
    <w:rsid w:val="009A1E49"/>
    <w:rsid w:val="009A211D"/>
    <w:rsid w:val="009A2239"/>
    <w:rsid w:val="009A23C6"/>
    <w:rsid w:val="009A24A7"/>
    <w:rsid w:val="009A257B"/>
    <w:rsid w:val="009A27B1"/>
    <w:rsid w:val="009A29C8"/>
    <w:rsid w:val="009A2A21"/>
    <w:rsid w:val="009A2A30"/>
    <w:rsid w:val="009A2AFD"/>
    <w:rsid w:val="009A2C29"/>
    <w:rsid w:val="009A2D6A"/>
    <w:rsid w:val="009A2DE2"/>
    <w:rsid w:val="009A2DE8"/>
    <w:rsid w:val="009A2F37"/>
    <w:rsid w:val="009A2F78"/>
    <w:rsid w:val="009A2FA3"/>
    <w:rsid w:val="009A3062"/>
    <w:rsid w:val="009A323D"/>
    <w:rsid w:val="009A3419"/>
    <w:rsid w:val="009A36FA"/>
    <w:rsid w:val="009A381B"/>
    <w:rsid w:val="009A3A40"/>
    <w:rsid w:val="009A3BAD"/>
    <w:rsid w:val="009A3C31"/>
    <w:rsid w:val="009A3C38"/>
    <w:rsid w:val="009A3D46"/>
    <w:rsid w:val="009A3E37"/>
    <w:rsid w:val="009A3E7B"/>
    <w:rsid w:val="009A4066"/>
    <w:rsid w:val="009A41BE"/>
    <w:rsid w:val="009A41EB"/>
    <w:rsid w:val="009A4243"/>
    <w:rsid w:val="009A42B0"/>
    <w:rsid w:val="009A42D5"/>
    <w:rsid w:val="009A43C4"/>
    <w:rsid w:val="009A44F1"/>
    <w:rsid w:val="009A45E8"/>
    <w:rsid w:val="009A4624"/>
    <w:rsid w:val="009A4870"/>
    <w:rsid w:val="009A48E3"/>
    <w:rsid w:val="009A49FB"/>
    <w:rsid w:val="009A4AAB"/>
    <w:rsid w:val="009A4AF7"/>
    <w:rsid w:val="009A4C59"/>
    <w:rsid w:val="009A4E01"/>
    <w:rsid w:val="009A4ECC"/>
    <w:rsid w:val="009A4F2A"/>
    <w:rsid w:val="009A4F2E"/>
    <w:rsid w:val="009A4F82"/>
    <w:rsid w:val="009A500B"/>
    <w:rsid w:val="009A50D8"/>
    <w:rsid w:val="009A5176"/>
    <w:rsid w:val="009A518E"/>
    <w:rsid w:val="009A5489"/>
    <w:rsid w:val="009A5526"/>
    <w:rsid w:val="009A557F"/>
    <w:rsid w:val="009A55D1"/>
    <w:rsid w:val="009A5630"/>
    <w:rsid w:val="009A56A7"/>
    <w:rsid w:val="009A57C3"/>
    <w:rsid w:val="009A57D0"/>
    <w:rsid w:val="009A598E"/>
    <w:rsid w:val="009A5A94"/>
    <w:rsid w:val="009A5A96"/>
    <w:rsid w:val="009A5B37"/>
    <w:rsid w:val="009A5BA4"/>
    <w:rsid w:val="009A5D36"/>
    <w:rsid w:val="009A5DD1"/>
    <w:rsid w:val="009A5EBB"/>
    <w:rsid w:val="009A6008"/>
    <w:rsid w:val="009A6017"/>
    <w:rsid w:val="009A601A"/>
    <w:rsid w:val="009A601C"/>
    <w:rsid w:val="009A610C"/>
    <w:rsid w:val="009A6542"/>
    <w:rsid w:val="009A6580"/>
    <w:rsid w:val="009A679B"/>
    <w:rsid w:val="009A6B86"/>
    <w:rsid w:val="009A6BDC"/>
    <w:rsid w:val="009A6C1C"/>
    <w:rsid w:val="009A6C9B"/>
    <w:rsid w:val="009A6E38"/>
    <w:rsid w:val="009A6E6F"/>
    <w:rsid w:val="009A6EA5"/>
    <w:rsid w:val="009A6F2A"/>
    <w:rsid w:val="009A70BE"/>
    <w:rsid w:val="009A70DF"/>
    <w:rsid w:val="009A70EB"/>
    <w:rsid w:val="009A70FD"/>
    <w:rsid w:val="009A7142"/>
    <w:rsid w:val="009A7269"/>
    <w:rsid w:val="009A72B8"/>
    <w:rsid w:val="009A74DB"/>
    <w:rsid w:val="009A7670"/>
    <w:rsid w:val="009A7AB3"/>
    <w:rsid w:val="009A7AB5"/>
    <w:rsid w:val="009A7C5F"/>
    <w:rsid w:val="009A7CFC"/>
    <w:rsid w:val="009A7D1E"/>
    <w:rsid w:val="009A7E3E"/>
    <w:rsid w:val="009A7FE9"/>
    <w:rsid w:val="009B023B"/>
    <w:rsid w:val="009B0244"/>
    <w:rsid w:val="009B03B9"/>
    <w:rsid w:val="009B03BC"/>
    <w:rsid w:val="009B0466"/>
    <w:rsid w:val="009B0780"/>
    <w:rsid w:val="009B09FB"/>
    <w:rsid w:val="009B0AA9"/>
    <w:rsid w:val="009B0C29"/>
    <w:rsid w:val="009B0F54"/>
    <w:rsid w:val="009B0F84"/>
    <w:rsid w:val="009B1307"/>
    <w:rsid w:val="009B1373"/>
    <w:rsid w:val="009B13A8"/>
    <w:rsid w:val="009B142E"/>
    <w:rsid w:val="009B153F"/>
    <w:rsid w:val="009B162F"/>
    <w:rsid w:val="009B16B1"/>
    <w:rsid w:val="009B17B4"/>
    <w:rsid w:val="009B1883"/>
    <w:rsid w:val="009B188F"/>
    <w:rsid w:val="009B1C11"/>
    <w:rsid w:val="009B1E8C"/>
    <w:rsid w:val="009B1F6F"/>
    <w:rsid w:val="009B1FB9"/>
    <w:rsid w:val="009B1FDE"/>
    <w:rsid w:val="009B2064"/>
    <w:rsid w:val="009B207B"/>
    <w:rsid w:val="009B20EF"/>
    <w:rsid w:val="009B2106"/>
    <w:rsid w:val="009B21BA"/>
    <w:rsid w:val="009B22B0"/>
    <w:rsid w:val="009B22BF"/>
    <w:rsid w:val="009B249C"/>
    <w:rsid w:val="009B250C"/>
    <w:rsid w:val="009B2592"/>
    <w:rsid w:val="009B28F3"/>
    <w:rsid w:val="009B29FB"/>
    <w:rsid w:val="009B2A07"/>
    <w:rsid w:val="009B2C4E"/>
    <w:rsid w:val="009B2E5E"/>
    <w:rsid w:val="009B310B"/>
    <w:rsid w:val="009B33E5"/>
    <w:rsid w:val="009B3429"/>
    <w:rsid w:val="009B3539"/>
    <w:rsid w:val="009B3592"/>
    <w:rsid w:val="009B36B8"/>
    <w:rsid w:val="009B36F8"/>
    <w:rsid w:val="009B3887"/>
    <w:rsid w:val="009B3968"/>
    <w:rsid w:val="009B39CE"/>
    <w:rsid w:val="009B3ABB"/>
    <w:rsid w:val="009B3D6E"/>
    <w:rsid w:val="009B4183"/>
    <w:rsid w:val="009B43D1"/>
    <w:rsid w:val="009B44B2"/>
    <w:rsid w:val="009B4652"/>
    <w:rsid w:val="009B4716"/>
    <w:rsid w:val="009B472C"/>
    <w:rsid w:val="009B4A1B"/>
    <w:rsid w:val="009B4B7A"/>
    <w:rsid w:val="009B4E40"/>
    <w:rsid w:val="009B50FB"/>
    <w:rsid w:val="009B5165"/>
    <w:rsid w:val="009B5234"/>
    <w:rsid w:val="009B52C3"/>
    <w:rsid w:val="009B5383"/>
    <w:rsid w:val="009B539C"/>
    <w:rsid w:val="009B53AA"/>
    <w:rsid w:val="009B5495"/>
    <w:rsid w:val="009B54E3"/>
    <w:rsid w:val="009B56DB"/>
    <w:rsid w:val="009B5730"/>
    <w:rsid w:val="009B58F1"/>
    <w:rsid w:val="009B5B6F"/>
    <w:rsid w:val="009B5BB4"/>
    <w:rsid w:val="009B5FBB"/>
    <w:rsid w:val="009B6084"/>
    <w:rsid w:val="009B61B8"/>
    <w:rsid w:val="009B61B9"/>
    <w:rsid w:val="009B637D"/>
    <w:rsid w:val="009B6427"/>
    <w:rsid w:val="009B653C"/>
    <w:rsid w:val="009B65D0"/>
    <w:rsid w:val="009B6631"/>
    <w:rsid w:val="009B66ED"/>
    <w:rsid w:val="009B6775"/>
    <w:rsid w:val="009B6C6D"/>
    <w:rsid w:val="009B6E32"/>
    <w:rsid w:val="009B71AF"/>
    <w:rsid w:val="009B71CC"/>
    <w:rsid w:val="009B7201"/>
    <w:rsid w:val="009B73E7"/>
    <w:rsid w:val="009B7436"/>
    <w:rsid w:val="009B74FD"/>
    <w:rsid w:val="009B7648"/>
    <w:rsid w:val="009B77A5"/>
    <w:rsid w:val="009B77D0"/>
    <w:rsid w:val="009B79F4"/>
    <w:rsid w:val="009B79F7"/>
    <w:rsid w:val="009B7D79"/>
    <w:rsid w:val="009B7DF2"/>
    <w:rsid w:val="009C0045"/>
    <w:rsid w:val="009C008A"/>
    <w:rsid w:val="009C00BE"/>
    <w:rsid w:val="009C00E6"/>
    <w:rsid w:val="009C0295"/>
    <w:rsid w:val="009C031C"/>
    <w:rsid w:val="009C0428"/>
    <w:rsid w:val="009C0486"/>
    <w:rsid w:val="009C0530"/>
    <w:rsid w:val="009C0711"/>
    <w:rsid w:val="009C0EF7"/>
    <w:rsid w:val="009C1193"/>
    <w:rsid w:val="009C11A8"/>
    <w:rsid w:val="009C1314"/>
    <w:rsid w:val="009C1326"/>
    <w:rsid w:val="009C1349"/>
    <w:rsid w:val="009C13C7"/>
    <w:rsid w:val="009C13DA"/>
    <w:rsid w:val="009C1417"/>
    <w:rsid w:val="009C1646"/>
    <w:rsid w:val="009C17AB"/>
    <w:rsid w:val="009C18B0"/>
    <w:rsid w:val="009C191B"/>
    <w:rsid w:val="009C1988"/>
    <w:rsid w:val="009C1AD2"/>
    <w:rsid w:val="009C1AFA"/>
    <w:rsid w:val="009C1AFE"/>
    <w:rsid w:val="009C1B41"/>
    <w:rsid w:val="009C1BE3"/>
    <w:rsid w:val="009C1CFF"/>
    <w:rsid w:val="009C1D07"/>
    <w:rsid w:val="009C1EEC"/>
    <w:rsid w:val="009C2087"/>
    <w:rsid w:val="009C20A0"/>
    <w:rsid w:val="009C20E1"/>
    <w:rsid w:val="009C211F"/>
    <w:rsid w:val="009C22E3"/>
    <w:rsid w:val="009C2308"/>
    <w:rsid w:val="009C232C"/>
    <w:rsid w:val="009C25BF"/>
    <w:rsid w:val="009C2630"/>
    <w:rsid w:val="009C273B"/>
    <w:rsid w:val="009C2A61"/>
    <w:rsid w:val="009C2BC6"/>
    <w:rsid w:val="009C2C11"/>
    <w:rsid w:val="009C2C3B"/>
    <w:rsid w:val="009C3167"/>
    <w:rsid w:val="009C32B7"/>
    <w:rsid w:val="009C32E4"/>
    <w:rsid w:val="009C3414"/>
    <w:rsid w:val="009C379A"/>
    <w:rsid w:val="009C37AA"/>
    <w:rsid w:val="009C381B"/>
    <w:rsid w:val="009C391F"/>
    <w:rsid w:val="009C39D6"/>
    <w:rsid w:val="009C3E6F"/>
    <w:rsid w:val="009C3E92"/>
    <w:rsid w:val="009C40BB"/>
    <w:rsid w:val="009C4138"/>
    <w:rsid w:val="009C430E"/>
    <w:rsid w:val="009C4418"/>
    <w:rsid w:val="009C4437"/>
    <w:rsid w:val="009C4500"/>
    <w:rsid w:val="009C453C"/>
    <w:rsid w:val="009C4627"/>
    <w:rsid w:val="009C47EE"/>
    <w:rsid w:val="009C4830"/>
    <w:rsid w:val="009C484D"/>
    <w:rsid w:val="009C4BE9"/>
    <w:rsid w:val="009C4D0E"/>
    <w:rsid w:val="009C4D3E"/>
    <w:rsid w:val="009C4E8F"/>
    <w:rsid w:val="009C4F13"/>
    <w:rsid w:val="009C4FC8"/>
    <w:rsid w:val="009C505E"/>
    <w:rsid w:val="009C5198"/>
    <w:rsid w:val="009C5284"/>
    <w:rsid w:val="009C5359"/>
    <w:rsid w:val="009C5498"/>
    <w:rsid w:val="009C5820"/>
    <w:rsid w:val="009C582B"/>
    <w:rsid w:val="009C5969"/>
    <w:rsid w:val="009C5A65"/>
    <w:rsid w:val="009C5AA2"/>
    <w:rsid w:val="009C5DC6"/>
    <w:rsid w:val="009C5F68"/>
    <w:rsid w:val="009C5F6D"/>
    <w:rsid w:val="009C60B7"/>
    <w:rsid w:val="009C615F"/>
    <w:rsid w:val="009C633C"/>
    <w:rsid w:val="009C639C"/>
    <w:rsid w:val="009C6437"/>
    <w:rsid w:val="009C64C1"/>
    <w:rsid w:val="009C67DD"/>
    <w:rsid w:val="009C68DB"/>
    <w:rsid w:val="009C694F"/>
    <w:rsid w:val="009C6AED"/>
    <w:rsid w:val="009C6B2D"/>
    <w:rsid w:val="009C6F48"/>
    <w:rsid w:val="009C6F75"/>
    <w:rsid w:val="009C6FC0"/>
    <w:rsid w:val="009C705F"/>
    <w:rsid w:val="009C70B0"/>
    <w:rsid w:val="009C7475"/>
    <w:rsid w:val="009C7770"/>
    <w:rsid w:val="009C7B92"/>
    <w:rsid w:val="009C7D10"/>
    <w:rsid w:val="009C7D4E"/>
    <w:rsid w:val="009C7EBB"/>
    <w:rsid w:val="009C7F0A"/>
    <w:rsid w:val="009D0011"/>
    <w:rsid w:val="009D006A"/>
    <w:rsid w:val="009D01F6"/>
    <w:rsid w:val="009D0347"/>
    <w:rsid w:val="009D035D"/>
    <w:rsid w:val="009D0386"/>
    <w:rsid w:val="009D0653"/>
    <w:rsid w:val="009D0663"/>
    <w:rsid w:val="009D06BB"/>
    <w:rsid w:val="009D0A0E"/>
    <w:rsid w:val="009D0ABD"/>
    <w:rsid w:val="009D0BE4"/>
    <w:rsid w:val="009D0D33"/>
    <w:rsid w:val="009D0D8A"/>
    <w:rsid w:val="009D0E12"/>
    <w:rsid w:val="009D0E31"/>
    <w:rsid w:val="009D1289"/>
    <w:rsid w:val="009D1778"/>
    <w:rsid w:val="009D17B9"/>
    <w:rsid w:val="009D18EC"/>
    <w:rsid w:val="009D1981"/>
    <w:rsid w:val="009D19AB"/>
    <w:rsid w:val="009D1A33"/>
    <w:rsid w:val="009D1AC4"/>
    <w:rsid w:val="009D1B99"/>
    <w:rsid w:val="009D1BAC"/>
    <w:rsid w:val="009D1BE2"/>
    <w:rsid w:val="009D1C46"/>
    <w:rsid w:val="009D1D68"/>
    <w:rsid w:val="009D1E49"/>
    <w:rsid w:val="009D2053"/>
    <w:rsid w:val="009D205F"/>
    <w:rsid w:val="009D2457"/>
    <w:rsid w:val="009D2550"/>
    <w:rsid w:val="009D2712"/>
    <w:rsid w:val="009D27AB"/>
    <w:rsid w:val="009D2834"/>
    <w:rsid w:val="009D2906"/>
    <w:rsid w:val="009D2ADE"/>
    <w:rsid w:val="009D2B21"/>
    <w:rsid w:val="009D2B89"/>
    <w:rsid w:val="009D2CE8"/>
    <w:rsid w:val="009D2F58"/>
    <w:rsid w:val="009D30F8"/>
    <w:rsid w:val="009D3243"/>
    <w:rsid w:val="009D35A0"/>
    <w:rsid w:val="009D35BD"/>
    <w:rsid w:val="009D36A5"/>
    <w:rsid w:val="009D3A12"/>
    <w:rsid w:val="009D3A44"/>
    <w:rsid w:val="009D3A78"/>
    <w:rsid w:val="009D3BC6"/>
    <w:rsid w:val="009D3C07"/>
    <w:rsid w:val="009D3D62"/>
    <w:rsid w:val="009D3E29"/>
    <w:rsid w:val="009D3E8A"/>
    <w:rsid w:val="009D4256"/>
    <w:rsid w:val="009D42D4"/>
    <w:rsid w:val="009D43C6"/>
    <w:rsid w:val="009D44B0"/>
    <w:rsid w:val="009D45BC"/>
    <w:rsid w:val="009D4738"/>
    <w:rsid w:val="009D4779"/>
    <w:rsid w:val="009D47BA"/>
    <w:rsid w:val="009D4808"/>
    <w:rsid w:val="009D49BC"/>
    <w:rsid w:val="009D4A46"/>
    <w:rsid w:val="009D4AC9"/>
    <w:rsid w:val="009D4BF6"/>
    <w:rsid w:val="009D4F8A"/>
    <w:rsid w:val="009D50D9"/>
    <w:rsid w:val="009D53A4"/>
    <w:rsid w:val="009D5570"/>
    <w:rsid w:val="009D56B9"/>
    <w:rsid w:val="009D56D8"/>
    <w:rsid w:val="009D5895"/>
    <w:rsid w:val="009D5937"/>
    <w:rsid w:val="009D5C87"/>
    <w:rsid w:val="009D5CB6"/>
    <w:rsid w:val="009D5D79"/>
    <w:rsid w:val="009D5DCB"/>
    <w:rsid w:val="009D5EAE"/>
    <w:rsid w:val="009D5EEC"/>
    <w:rsid w:val="009D617B"/>
    <w:rsid w:val="009D6424"/>
    <w:rsid w:val="009D660E"/>
    <w:rsid w:val="009D663A"/>
    <w:rsid w:val="009D6712"/>
    <w:rsid w:val="009D6893"/>
    <w:rsid w:val="009D6BE4"/>
    <w:rsid w:val="009D6D3F"/>
    <w:rsid w:val="009D6D59"/>
    <w:rsid w:val="009D6F9A"/>
    <w:rsid w:val="009D6FCD"/>
    <w:rsid w:val="009D70DA"/>
    <w:rsid w:val="009D70DB"/>
    <w:rsid w:val="009D718F"/>
    <w:rsid w:val="009D7436"/>
    <w:rsid w:val="009D7787"/>
    <w:rsid w:val="009D7822"/>
    <w:rsid w:val="009D78BF"/>
    <w:rsid w:val="009D7988"/>
    <w:rsid w:val="009D79DA"/>
    <w:rsid w:val="009D7A32"/>
    <w:rsid w:val="009D7BF9"/>
    <w:rsid w:val="009D7C2E"/>
    <w:rsid w:val="009D7D7D"/>
    <w:rsid w:val="009D7F2C"/>
    <w:rsid w:val="009D7F52"/>
    <w:rsid w:val="009E011E"/>
    <w:rsid w:val="009E03B8"/>
    <w:rsid w:val="009E03C3"/>
    <w:rsid w:val="009E0515"/>
    <w:rsid w:val="009E07BC"/>
    <w:rsid w:val="009E07EB"/>
    <w:rsid w:val="009E0A44"/>
    <w:rsid w:val="009E0A63"/>
    <w:rsid w:val="009E0D23"/>
    <w:rsid w:val="009E0D9D"/>
    <w:rsid w:val="009E0DDB"/>
    <w:rsid w:val="009E0E29"/>
    <w:rsid w:val="009E0EB8"/>
    <w:rsid w:val="009E0F07"/>
    <w:rsid w:val="009E10D1"/>
    <w:rsid w:val="009E1291"/>
    <w:rsid w:val="009E1396"/>
    <w:rsid w:val="009E1480"/>
    <w:rsid w:val="009E16E9"/>
    <w:rsid w:val="009E1770"/>
    <w:rsid w:val="009E1781"/>
    <w:rsid w:val="009E1849"/>
    <w:rsid w:val="009E184A"/>
    <w:rsid w:val="009E1990"/>
    <w:rsid w:val="009E1A32"/>
    <w:rsid w:val="009E1A41"/>
    <w:rsid w:val="009E1BB6"/>
    <w:rsid w:val="009E1D86"/>
    <w:rsid w:val="009E1E90"/>
    <w:rsid w:val="009E1F23"/>
    <w:rsid w:val="009E1F6F"/>
    <w:rsid w:val="009E1F9E"/>
    <w:rsid w:val="009E20F2"/>
    <w:rsid w:val="009E2167"/>
    <w:rsid w:val="009E21C0"/>
    <w:rsid w:val="009E224B"/>
    <w:rsid w:val="009E2258"/>
    <w:rsid w:val="009E2383"/>
    <w:rsid w:val="009E25AD"/>
    <w:rsid w:val="009E27C5"/>
    <w:rsid w:val="009E289D"/>
    <w:rsid w:val="009E2972"/>
    <w:rsid w:val="009E2CFF"/>
    <w:rsid w:val="009E2EB6"/>
    <w:rsid w:val="009E31A3"/>
    <w:rsid w:val="009E3376"/>
    <w:rsid w:val="009E33F5"/>
    <w:rsid w:val="009E34E4"/>
    <w:rsid w:val="009E358B"/>
    <w:rsid w:val="009E3953"/>
    <w:rsid w:val="009E39B7"/>
    <w:rsid w:val="009E3AA3"/>
    <w:rsid w:val="009E3BC0"/>
    <w:rsid w:val="009E3F71"/>
    <w:rsid w:val="009E3FC5"/>
    <w:rsid w:val="009E4079"/>
    <w:rsid w:val="009E4133"/>
    <w:rsid w:val="009E416D"/>
    <w:rsid w:val="009E454F"/>
    <w:rsid w:val="009E475A"/>
    <w:rsid w:val="009E480D"/>
    <w:rsid w:val="009E48D7"/>
    <w:rsid w:val="009E494F"/>
    <w:rsid w:val="009E4966"/>
    <w:rsid w:val="009E4B8E"/>
    <w:rsid w:val="009E4C19"/>
    <w:rsid w:val="009E4D22"/>
    <w:rsid w:val="009E4D50"/>
    <w:rsid w:val="009E4F75"/>
    <w:rsid w:val="009E4FEC"/>
    <w:rsid w:val="009E50DA"/>
    <w:rsid w:val="009E519A"/>
    <w:rsid w:val="009E5311"/>
    <w:rsid w:val="009E5318"/>
    <w:rsid w:val="009E5435"/>
    <w:rsid w:val="009E54F7"/>
    <w:rsid w:val="009E5692"/>
    <w:rsid w:val="009E5748"/>
    <w:rsid w:val="009E5837"/>
    <w:rsid w:val="009E602C"/>
    <w:rsid w:val="009E6267"/>
    <w:rsid w:val="009E66E9"/>
    <w:rsid w:val="009E6763"/>
    <w:rsid w:val="009E67E4"/>
    <w:rsid w:val="009E687E"/>
    <w:rsid w:val="009E6B41"/>
    <w:rsid w:val="009E6E33"/>
    <w:rsid w:val="009E6EA1"/>
    <w:rsid w:val="009E7004"/>
    <w:rsid w:val="009E7353"/>
    <w:rsid w:val="009E73D9"/>
    <w:rsid w:val="009E74AE"/>
    <w:rsid w:val="009E773E"/>
    <w:rsid w:val="009E78B2"/>
    <w:rsid w:val="009E78BF"/>
    <w:rsid w:val="009E7AA8"/>
    <w:rsid w:val="009E7ACE"/>
    <w:rsid w:val="009E7ADE"/>
    <w:rsid w:val="009E7BBF"/>
    <w:rsid w:val="009E7D07"/>
    <w:rsid w:val="009F0199"/>
    <w:rsid w:val="009F0200"/>
    <w:rsid w:val="009F0279"/>
    <w:rsid w:val="009F0301"/>
    <w:rsid w:val="009F0313"/>
    <w:rsid w:val="009F03EB"/>
    <w:rsid w:val="009F0439"/>
    <w:rsid w:val="009F04D1"/>
    <w:rsid w:val="009F0503"/>
    <w:rsid w:val="009F0593"/>
    <w:rsid w:val="009F0753"/>
    <w:rsid w:val="009F07B2"/>
    <w:rsid w:val="009F07F6"/>
    <w:rsid w:val="009F0844"/>
    <w:rsid w:val="009F0A64"/>
    <w:rsid w:val="009F0BCF"/>
    <w:rsid w:val="009F0C28"/>
    <w:rsid w:val="009F0D67"/>
    <w:rsid w:val="009F0D97"/>
    <w:rsid w:val="009F112E"/>
    <w:rsid w:val="009F114D"/>
    <w:rsid w:val="009F11DD"/>
    <w:rsid w:val="009F1290"/>
    <w:rsid w:val="009F13D0"/>
    <w:rsid w:val="009F15E7"/>
    <w:rsid w:val="009F1656"/>
    <w:rsid w:val="009F1992"/>
    <w:rsid w:val="009F1B6A"/>
    <w:rsid w:val="009F1DF0"/>
    <w:rsid w:val="009F1F64"/>
    <w:rsid w:val="009F1F72"/>
    <w:rsid w:val="009F22D8"/>
    <w:rsid w:val="009F233E"/>
    <w:rsid w:val="009F237B"/>
    <w:rsid w:val="009F2405"/>
    <w:rsid w:val="009F2430"/>
    <w:rsid w:val="009F253B"/>
    <w:rsid w:val="009F25FB"/>
    <w:rsid w:val="009F2937"/>
    <w:rsid w:val="009F29A5"/>
    <w:rsid w:val="009F2A74"/>
    <w:rsid w:val="009F2AAD"/>
    <w:rsid w:val="009F2D1A"/>
    <w:rsid w:val="009F2D4B"/>
    <w:rsid w:val="009F2D5C"/>
    <w:rsid w:val="009F2E39"/>
    <w:rsid w:val="009F2F10"/>
    <w:rsid w:val="009F2F50"/>
    <w:rsid w:val="009F2FB8"/>
    <w:rsid w:val="009F302D"/>
    <w:rsid w:val="009F31E3"/>
    <w:rsid w:val="009F324B"/>
    <w:rsid w:val="009F32F9"/>
    <w:rsid w:val="009F342C"/>
    <w:rsid w:val="009F355E"/>
    <w:rsid w:val="009F3979"/>
    <w:rsid w:val="009F3995"/>
    <w:rsid w:val="009F3AA4"/>
    <w:rsid w:val="009F3CB1"/>
    <w:rsid w:val="009F3D69"/>
    <w:rsid w:val="009F3E47"/>
    <w:rsid w:val="009F40E6"/>
    <w:rsid w:val="009F4200"/>
    <w:rsid w:val="009F421D"/>
    <w:rsid w:val="009F4244"/>
    <w:rsid w:val="009F42A4"/>
    <w:rsid w:val="009F42CA"/>
    <w:rsid w:val="009F42DA"/>
    <w:rsid w:val="009F433D"/>
    <w:rsid w:val="009F4514"/>
    <w:rsid w:val="009F46BD"/>
    <w:rsid w:val="009F47DB"/>
    <w:rsid w:val="009F499A"/>
    <w:rsid w:val="009F4C20"/>
    <w:rsid w:val="009F52F0"/>
    <w:rsid w:val="009F572F"/>
    <w:rsid w:val="009F57F6"/>
    <w:rsid w:val="009F58FD"/>
    <w:rsid w:val="009F5B85"/>
    <w:rsid w:val="009F5C0D"/>
    <w:rsid w:val="009F5F36"/>
    <w:rsid w:val="009F5FFD"/>
    <w:rsid w:val="009F622C"/>
    <w:rsid w:val="009F628C"/>
    <w:rsid w:val="009F63EC"/>
    <w:rsid w:val="009F63F5"/>
    <w:rsid w:val="009F6662"/>
    <w:rsid w:val="009F6668"/>
    <w:rsid w:val="009F67F2"/>
    <w:rsid w:val="009F6896"/>
    <w:rsid w:val="009F6898"/>
    <w:rsid w:val="009F68C7"/>
    <w:rsid w:val="009F6B3F"/>
    <w:rsid w:val="009F6BC3"/>
    <w:rsid w:val="009F6C11"/>
    <w:rsid w:val="009F6D79"/>
    <w:rsid w:val="009F6DAA"/>
    <w:rsid w:val="009F6F02"/>
    <w:rsid w:val="009F7094"/>
    <w:rsid w:val="009F71D2"/>
    <w:rsid w:val="009F71E6"/>
    <w:rsid w:val="009F72B1"/>
    <w:rsid w:val="009F72B4"/>
    <w:rsid w:val="009F73C3"/>
    <w:rsid w:val="009F7731"/>
    <w:rsid w:val="009F7777"/>
    <w:rsid w:val="009F7834"/>
    <w:rsid w:val="009F794F"/>
    <w:rsid w:val="009F79C1"/>
    <w:rsid w:val="009F7A85"/>
    <w:rsid w:val="009F7AFA"/>
    <w:rsid w:val="009F7C4F"/>
    <w:rsid w:val="00A000D2"/>
    <w:rsid w:val="00A00239"/>
    <w:rsid w:val="00A00253"/>
    <w:rsid w:val="00A004B4"/>
    <w:rsid w:val="00A005AE"/>
    <w:rsid w:val="00A005B4"/>
    <w:rsid w:val="00A0063B"/>
    <w:rsid w:val="00A0065B"/>
    <w:rsid w:val="00A00BC0"/>
    <w:rsid w:val="00A00C08"/>
    <w:rsid w:val="00A00C52"/>
    <w:rsid w:val="00A00E19"/>
    <w:rsid w:val="00A00ECC"/>
    <w:rsid w:val="00A00EDB"/>
    <w:rsid w:val="00A011C6"/>
    <w:rsid w:val="00A012E9"/>
    <w:rsid w:val="00A01363"/>
    <w:rsid w:val="00A013EB"/>
    <w:rsid w:val="00A01592"/>
    <w:rsid w:val="00A01692"/>
    <w:rsid w:val="00A01719"/>
    <w:rsid w:val="00A01741"/>
    <w:rsid w:val="00A01914"/>
    <w:rsid w:val="00A01AA4"/>
    <w:rsid w:val="00A01B73"/>
    <w:rsid w:val="00A01C41"/>
    <w:rsid w:val="00A01F4B"/>
    <w:rsid w:val="00A021C9"/>
    <w:rsid w:val="00A0223C"/>
    <w:rsid w:val="00A02398"/>
    <w:rsid w:val="00A024BB"/>
    <w:rsid w:val="00A02703"/>
    <w:rsid w:val="00A02719"/>
    <w:rsid w:val="00A0272B"/>
    <w:rsid w:val="00A02783"/>
    <w:rsid w:val="00A0290D"/>
    <w:rsid w:val="00A03024"/>
    <w:rsid w:val="00A03061"/>
    <w:rsid w:val="00A0357C"/>
    <w:rsid w:val="00A035A0"/>
    <w:rsid w:val="00A0369F"/>
    <w:rsid w:val="00A0375B"/>
    <w:rsid w:val="00A037E7"/>
    <w:rsid w:val="00A0381F"/>
    <w:rsid w:val="00A03C22"/>
    <w:rsid w:val="00A03CD1"/>
    <w:rsid w:val="00A03EDE"/>
    <w:rsid w:val="00A041DA"/>
    <w:rsid w:val="00A0421F"/>
    <w:rsid w:val="00A042AB"/>
    <w:rsid w:val="00A043CD"/>
    <w:rsid w:val="00A047A8"/>
    <w:rsid w:val="00A049BB"/>
    <w:rsid w:val="00A04B25"/>
    <w:rsid w:val="00A04BF3"/>
    <w:rsid w:val="00A04C03"/>
    <w:rsid w:val="00A04C15"/>
    <w:rsid w:val="00A04D74"/>
    <w:rsid w:val="00A04E31"/>
    <w:rsid w:val="00A04F24"/>
    <w:rsid w:val="00A0505A"/>
    <w:rsid w:val="00A0511D"/>
    <w:rsid w:val="00A05282"/>
    <w:rsid w:val="00A052E8"/>
    <w:rsid w:val="00A053A3"/>
    <w:rsid w:val="00A05529"/>
    <w:rsid w:val="00A059A2"/>
    <w:rsid w:val="00A05B19"/>
    <w:rsid w:val="00A05C2C"/>
    <w:rsid w:val="00A05D39"/>
    <w:rsid w:val="00A05D49"/>
    <w:rsid w:val="00A0602C"/>
    <w:rsid w:val="00A061BD"/>
    <w:rsid w:val="00A06324"/>
    <w:rsid w:val="00A063A0"/>
    <w:rsid w:val="00A063D1"/>
    <w:rsid w:val="00A064F9"/>
    <w:rsid w:val="00A06890"/>
    <w:rsid w:val="00A06938"/>
    <w:rsid w:val="00A06A35"/>
    <w:rsid w:val="00A06B10"/>
    <w:rsid w:val="00A06C46"/>
    <w:rsid w:val="00A06C7F"/>
    <w:rsid w:val="00A06DCC"/>
    <w:rsid w:val="00A06E4A"/>
    <w:rsid w:val="00A07177"/>
    <w:rsid w:val="00A07236"/>
    <w:rsid w:val="00A07372"/>
    <w:rsid w:val="00A07423"/>
    <w:rsid w:val="00A07431"/>
    <w:rsid w:val="00A075C1"/>
    <w:rsid w:val="00A077A0"/>
    <w:rsid w:val="00A077D4"/>
    <w:rsid w:val="00A07AEB"/>
    <w:rsid w:val="00A07B14"/>
    <w:rsid w:val="00A07D45"/>
    <w:rsid w:val="00A07DCD"/>
    <w:rsid w:val="00A07F0D"/>
    <w:rsid w:val="00A10216"/>
    <w:rsid w:val="00A1022F"/>
    <w:rsid w:val="00A102A7"/>
    <w:rsid w:val="00A1038D"/>
    <w:rsid w:val="00A1042E"/>
    <w:rsid w:val="00A10487"/>
    <w:rsid w:val="00A105E1"/>
    <w:rsid w:val="00A10835"/>
    <w:rsid w:val="00A10843"/>
    <w:rsid w:val="00A109C6"/>
    <w:rsid w:val="00A10C40"/>
    <w:rsid w:val="00A10CA6"/>
    <w:rsid w:val="00A10E59"/>
    <w:rsid w:val="00A11037"/>
    <w:rsid w:val="00A11165"/>
    <w:rsid w:val="00A11190"/>
    <w:rsid w:val="00A111C5"/>
    <w:rsid w:val="00A11253"/>
    <w:rsid w:val="00A113A3"/>
    <w:rsid w:val="00A1150D"/>
    <w:rsid w:val="00A11705"/>
    <w:rsid w:val="00A11734"/>
    <w:rsid w:val="00A11A0C"/>
    <w:rsid w:val="00A11BD7"/>
    <w:rsid w:val="00A11C03"/>
    <w:rsid w:val="00A11E3B"/>
    <w:rsid w:val="00A11EDF"/>
    <w:rsid w:val="00A11F4D"/>
    <w:rsid w:val="00A1212C"/>
    <w:rsid w:val="00A12151"/>
    <w:rsid w:val="00A12155"/>
    <w:rsid w:val="00A1218E"/>
    <w:rsid w:val="00A122C2"/>
    <w:rsid w:val="00A125F0"/>
    <w:rsid w:val="00A12639"/>
    <w:rsid w:val="00A126B4"/>
    <w:rsid w:val="00A126F2"/>
    <w:rsid w:val="00A1272C"/>
    <w:rsid w:val="00A127AA"/>
    <w:rsid w:val="00A12D22"/>
    <w:rsid w:val="00A12EFA"/>
    <w:rsid w:val="00A13235"/>
    <w:rsid w:val="00A13274"/>
    <w:rsid w:val="00A132F3"/>
    <w:rsid w:val="00A13385"/>
    <w:rsid w:val="00A13532"/>
    <w:rsid w:val="00A13555"/>
    <w:rsid w:val="00A13624"/>
    <w:rsid w:val="00A1377F"/>
    <w:rsid w:val="00A139EF"/>
    <w:rsid w:val="00A13A48"/>
    <w:rsid w:val="00A13B12"/>
    <w:rsid w:val="00A13C0A"/>
    <w:rsid w:val="00A13DD1"/>
    <w:rsid w:val="00A13DEA"/>
    <w:rsid w:val="00A13F75"/>
    <w:rsid w:val="00A13F7C"/>
    <w:rsid w:val="00A14194"/>
    <w:rsid w:val="00A141FF"/>
    <w:rsid w:val="00A143BB"/>
    <w:rsid w:val="00A144CE"/>
    <w:rsid w:val="00A14777"/>
    <w:rsid w:val="00A14A30"/>
    <w:rsid w:val="00A14A3C"/>
    <w:rsid w:val="00A14A9E"/>
    <w:rsid w:val="00A14AA1"/>
    <w:rsid w:val="00A14D04"/>
    <w:rsid w:val="00A14DAD"/>
    <w:rsid w:val="00A15010"/>
    <w:rsid w:val="00A15042"/>
    <w:rsid w:val="00A15124"/>
    <w:rsid w:val="00A1512E"/>
    <w:rsid w:val="00A15531"/>
    <w:rsid w:val="00A157EF"/>
    <w:rsid w:val="00A15874"/>
    <w:rsid w:val="00A158EE"/>
    <w:rsid w:val="00A159D7"/>
    <w:rsid w:val="00A15A13"/>
    <w:rsid w:val="00A15A56"/>
    <w:rsid w:val="00A15CCB"/>
    <w:rsid w:val="00A15E0C"/>
    <w:rsid w:val="00A15E21"/>
    <w:rsid w:val="00A15E3C"/>
    <w:rsid w:val="00A15EFC"/>
    <w:rsid w:val="00A15FF6"/>
    <w:rsid w:val="00A16200"/>
    <w:rsid w:val="00A162EC"/>
    <w:rsid w:val="00A16371"/>
    <w:rsid w:val="00A1638A"/>
    <w:rsid w:val="00A1640D"/>
    <w:rsid w:val="00A16678"/>
    <w:rsid w:val="00A168B0"/>
    <w:rsid w:val="00A168E0"/>
    <w:rsid w:val="00A16A40"/>
    <w:rsid w:val="00A16A84"/>
    <w:rsid w:val="00A16AAD"/>
    <w:rsid w:val="00A16B2D"/>
    <w:rsid w:val="00A16B65"/>
    <w:rsid w:val="00A16B67"/>
    <w:rsid w:val="00A16B71"/>
    <w:rsid w:val="00A16C58"/>
    <w:rsid w:val="00A16E10"/>
    <w:rsid w:val="00A17051"/>
    <w:rsid w:val="00A1706C"/>
    <w:rsid w:val="00A170D7"/>
    <w:rsid w:val="00A171E4"/>
    <w:rsid w:val="00A172D4"/>
    <w:rsid w:val="00A17357"/>
    <w:rsid w:val="00A174D2"/>
    <w:rsid w:val="00A177D5"/>
    <w:rsid w:val="00A177DB"/>
    <w:rsid w:val="00A1789D"/>
    <w:rsid w:val="00A179A8"/>
    <w:rsid w:val="00A17A8F"/>
    <w:rsid w:val="00A17A9E"/>
    <w:rsid w:val="00A17C09"/>
    <w:rsid w:val="00A17CFC"/>
    <w:rsid w:val="00A17E09"/>
    <w:rsid w:val="00A17E79"/>
    <w:rsid w:val="00A17EAA"/>
    <w:rsid w:val="00A17FC2"/>
    <w:rsid w:val="00A17FD3"/>
    <w:rsid w:val="00A20115"/>
    <w:rsid w:val="00A201A9"/>
    <w:rsid w:val="00A201DB"/>
    <w:rsid w:val="00A201E8"/>
    <w:rsid w:val="00A20255"/>
    <w:rsid w:val="00A202D9"/>
    <w:rsid w:val="00A203BB"/>
    <w:rsid w:val="00A203CC"/>
    <w:rsid w:val="00A203E4"/>
    <w:rsid w:val="00A205B9"/>
    <w:rsid w:val="00A205F9"/>
    <w:rsid w:val="00A206C1"/>
    <w:rsid w:val="00A206D6"/>
    <w:rsid w:val="00A2085D"/>
    <w:rsid w:val="00A208A6"/>
    <w:rsid w:val="00A2099C"/>
    <w:rsid w:val="00A20A85"/>
    <w:rsid w:val="00A20D22"/>
    <w:rsid w:val="00A20D50"/>
    <w:rsid w:val="00A20EF2"/>
    <w:rsid w:val="00A2118A"/>
    <w:rsid w:val="00A2122A"/>
    <w:rsid w:val="00A21375"/>
    <w:rsid w:val="00A213D9"/>
    <w:rsid w:val="00A2142C"/>
    <w:rsid w:val="00A21533"/>
    <w:rsid w:val="00A21577"/>
    <w:rsid w:val="00A217F2"/>
    <w:rsid w:val="00A21876"/>
    <w:rsid w:val="00A218E1"/>
    <w:rsid w:val="00A21973"/>
    <w:rsid w:val="00A21AB6"/>
    <w:rsid w:val="00A21CC2"/>
    <w:rsid w:val="00A21D25"/>
    <w:rsid w:val="00A21D4B"/>
    <w:rsid w:val="00A21E3C"/>
    <w:rsid w:val="00A21FD8"/>
    <w:rsid w:val="00A22064"/>
    <w:rsid w:val="00A22174"/>
    <w:rsid w:val="00A223FC"/>
    <w:rsid w:val="00A2244D"/>
    <w:rsid w:val="00A224DC"/>
    <w:rsid w:val="00A226A2"/>
    <w:rsid w:val="00A22906"/>
    <w:rsid w:val="00A229ED"/>
    <w:rsid w:val="00A22BB4"/>
    <w:rsid w:val="00A22CC6"/>
    <w:rsid w:val="00A22CDA"/>
    <w:rsid w:val="00A22E85"/>
    <w:rsid w:val="00A230A4"/>
    <w:rsid w:val="00A231E0"/>
    <w:rsid w:val="00A235FF"/>
    <w:rsid w:val="00A23630"/>
    <w:rsid w:val="00A23778"/>
    <w:rsid w:val="00A238FA"/>
    <w:rsid w:val="00A2394E"/>
    <w:rsid w:val="00A23A5D"/>
    <w:rsid w:val="00A23AB7"/>
    <w:rsid w:val="00A23CAC"/>
    <w:rsid w:val="00A23FBB"/>
    <w:rsid w:val="00A23FD5"/>
    <w:rsid w:val="00A24075"/>
    <w:rsid w:val="00A240C1"/>
    <w:rsid w:val="00A24162"/>
    <w:rsid w:val="00A24177"/>
    <w:rsid w:val="00A241CE"/>
    <w:rsid w:val="00A24398"/>
    <w:rsid w:val="00A243AB"/>
    <w:rsid w:val="00A2442E"/>
    <w:rsid w:val="00A24445"/>
    <w:rsid w:val="00A24456"/>
    <w:rsid w:val="00A24628"/>
    <w:rsid w:val="00A24700"/>
    <w:rsid w:val="00A247E5"/>
    <w:rsid w:val="00A24838"/>
    <w:rsid w:val="00A2493F"/>
    <w:rsid w:val="00A24AAE"/>
    <w:rsid w:val="00A24CB4"/>
    <w:rsid w:val="00A24CBD"/>
    <w:rsid w:val="00A24E0A"/>
    <w:rsid w:val="00A25078"/>
    <w:rsid w:val="00A25204"/>
    <w:rsid w:val="00A25232"/>
    <w:rsid w:val="00A252E0"/>
    <w:rsid w:val="00A2535A"/>
    <w:rsid w:val="00A2537D"/>
    <w:rsid w:val="00A255DE"/>
    <w:rsid w:val="00A256E2"/>
    <w:rsid w:val="00A258D8"/>
    <w:rsid w:val="00A25942"/>
    <w:rsid w:val="00A25A3A"/>
    <w:rsid w:val="00A25DF3"/>
    <w:rsid w:val="00A261F8"/>
    <w:rsid w:val="00A26217"/>
    <w:rsid w:val="00A26251"/>
    <w:rsid w:val="00A262EA"/>
    <w:rsid w:val="00A26324"/>
    <w:rsid w:val="00A263C2"/>
    <w:rsid w:val="00A266C2"/>
    <w:rsid w:val="00A26768"/>
    <w:rsid w:val="00A2695E"/>
    <w:rsid w:val="00A26C3E"/>
    <w:rsid w:val="00A26C97"/>
    <w:rsid w:val="00A26E6D"/>
    <w:rsid w:val="00A273E4"/>
    <w:rsid w:val="00A27426"/>
    <w:rsid w:val="00A2742B"/>
    <w:rsid w:val="00A27461"/>
    <w:rsid w:val="00A2754E"/>
    <w:rsid w:val="00A27798"/>
    <w:rsid w:val="00A27819"/>
    <w:rsid w:val="00A27996"/>
    <w:rsid w:val="00A27B42"/>
    <w:rsid w:val="00A27D72"/>
    <w:rsid w:val="00A27E2A"/>
    <w:rsid w:val="00A27E36"/>
    <w:rsid w:val="00A27F8A"/>
    <w:rsid w:val="00A30126"/>
    <w:rsid w:val="00A301AA"/>
    <w:rsid w:val="00A301C9"/>
    <w:rsid w:val="00A3020D"/>
    <w:rsid w:val="00A30252"/>
    <w:rsid w:val="00A302F1"/>
    <w:rsid w:val="00A30304"/>
    <w:rsid w:val="00A3048D"/>
    <w:rsid w:val="00A304BF"/>
    <w:rsid w:val="00A30511"/>
    <w:rsid w:val="00A30532"/>
    <w:rsid w:val="00A306DB"/>
    <w:rsid w:val="00A307AF"/>
    <w:rsid w:val="00A307D5"/>
    <w:rsid w:val="00A30961"/>
    <w:rsid w:val="00A30D46"/>
    <w:rsid w:val="00A30DED"/>
    <w:rsid w:val="00A30E08"/>
    <w:rsid w:val="00A311C4"/>
    <w:rsid w:val="00A31283"/>
    <w:rsid w:val="00A312DE"/>
    <w:rsid w:val="00A31544"/>
    <w:rsid w:val="00A3154A"/>
    <w:rsid w:val="00A317D6"/>
    <w:rsid w:val="00A31B31"/>
    <w:rsid w:val="00A31C1F"/>
    <w:rsid w:val="00A31D86"/>
    <w:rsid w:val="00A31DD0"/>
    <w:rsid w:val="00A31E44"/>
    <w:rsid w:val="00A31EA1"/>
    <w:rsid w:val="00A32197"/>
    <w:rsid w:val="00A3224E"/>
    <w:rsid w:val="00A32620"/>
    <w:rsid w:val="00A329A5"/>
    <w:rsid w:val="00A329E8"/>
    <w:rsid w:val="00A32A80"/>
    <w:rsid w:val="00A32A8B"/>
    <w:rsid w:val="00A32AB3"/>
    <w:rsid w:val="00A32D51"/>
    <w:rsid w:val="00A3303F"/>
    <w:rsid w:val="00A3346F"/>
    <w:rsid w:val="00A33593"/>
    <w:rsid w:val="00A335C8"/>
    <w:rsid w:val="00A336FF"/>
    <w:rsid w:val="00A33BEB"/>
    <w:rsid w:val="00A34131"/>
    <w:rsid w:val="00A34212"/>
    <w:rsid w:val="00A3423B"/>
    <w:rsid w:val="00A3424F"/>
    <w:rsid w:val="00A34288"/>
    <w:rsid w:val="00A342AF"/>
    <w:rsid w:val="00A342DE"/>
    <w:rsid w:val="00A343BC"/>
    <w:rsid w:val="00A344C0"/>
    <w:rsid w:val="00A3483B"/>
    <w:rsid w:val="00A3485C"/>
    <w:rsid w:val="00A34863"/>
    <w:rsid w:val="00A34AB7"/>
    <w:rsid w:val="00A34B0D"/>
    <w:rsid w:val="00A34B45"/>
    <w:rsid w:val="00A34BCE"/>
    <w:rsid w:val="00A34BD4"/>
    <w:rsid w:val="00A34C6D"/>
    <w:rsid w:val="00A34E78"/>
    <w:rsid w:val="00A34EC9"/>
    <w:rsid w:val="00A350AC"/>
    <w:rsid w:val="00A351BA"/>
    <w:rsid w:val="00A35204"/>
    <w:rsid w:val="00A35235"/>
    <w:rsid w:val="00A35351"/>
    <w:rsid w:val="00A353A9"/>
    <w:rsid w:val="00A35822"/>
    <w:rsid w:val="00A35881"/>
    <w:rsid w:val="00A358B1"/>
    <w:rsid w:val="00A358D1"/>
    <w:rsid w:val="00A358E8"/>
    <w:rsid w:val="00A35928"/>
    <w:rsid w:val="00A359F6"/>
    <w:rsid w:val="00A35ACD"/>
    <w:rsid w:val="00A35B4C"/>
    <w:rsid w:val="00A35C45"/>
    <w:rsid w:val="00A35E8F"/>
    <w:rsid w:val="00A36029"/>
    <w:rsid w:val="00A36232"/>
    <w:rsid w:val="00A36313"/>
    <w:rsid w:val="00A363A7"/>
    <w:rsid w:val="00A36504"/>
    <w:rsid w:val="00A3681E"/>
    <w:rsid w:val="00A36A52"/>
    <w:rsid w:val="00A36D0B"/>
    <w:rsid w:val="00A37028"/>
    <w:rsid w:val="00A3707B"/>
    <w:rsid w:val="00A37217"/>
    <w:rsid w:val="00A37269"/>
    <w:rsid w:val="00A37380"/>
    <w:rsid w:val="00A37428"/>
    <w:rsid w:val="00A3760D"/>
    <w:rsid w:val="00A378C7"/>
    <w:rsid w:val="00A37A16"/>
    <w:rsid w:val="00A37A20"/>
    <w:rsid w:val="00A37BA0"/>
    <w:rsid w:val="00A37D7D"/>
    <w:rsid w:val="00A37DED"/>
    <w:rsid w:val="00A37E5A"/>
    <w:rsid w:val="00A37F27"/>
    <w:rsid w:val="00A37F92"/>
    <w:rsid w:val="00A37FB2"/>
    <w:rsid w:val="00A40328"/>
    <w:rsid w:val="00A40335"/>
    <w:rsid w:val="00A403B0"/>
    <w:rsid w:val="00A40454"/>
    <w:rsid w:val="00A404BC"/>
    <w:rsid w:val="00A40585"/>
    <w:rsid w:val="00A40591"/>
    <w:rsid w:val="00A406FD"/>
    <w:rsid w:val="00A4095D"/>
    <w:rsid w:val="00A40A15"/>
    <w:rsid w:val="00A40E58"/>
    <w:rsid w:val="00A40E66"/>
    <w:rsid w:val="00A40E8A"/>
    <w:rsid w:val="00A4109E"/>
    <w:rsid w:val="00A41130"/>
    <w:rsid w:val="00A412D0"/>
    <w:rsid w:val="00A412DA"/>
    <w:rsid w:val="00A4141C"/>
    <w:rsid w:val="00A41453"/>
    <w:rsid w:val="00A414AE"/>
    <w:rsid w:val="00A416DE"/>
    <w:rsid w:val="00A41793"/>
    <w:rsid w:val="00A41798"/>
    <w:rsid w:val="00A4193C"/>
    <w:rsid w:val="00A419CB"/>
    <w:rsid w:val="00A419F5"/>
    <w:rsid w:val="00A41AAF"/>
    <w:rsid w:val="00A41CFE"/>
    <w:rsid w:val="00A41F90"/>
    <w:rsid w:val="00A421F3"/>
    <w:rsid w:val="00A423EB"/>
    <w:rsid w:val="00A4244E"/>
    <w:rsid w:val="00A4249D"/>
    <w:rsid w:val="00A424C6"/>
    <w:rsid w:val="00A425BB"/>
    <w:rsid w:val="00A425CF"/>
    <w:rsid w:val="00A4268C"/>
    <w:rsid w:val="00A427D6"/>
    <w:rsid w:val="00A4287F"/>
    <w:rsid w:val="00A429BA"/>
    <w:rsid w:val="00A42A9E"/>
    <w:rsid w:val="00A42BBF"/>
    <w:rsid w:val="00A42CC7"/>
    <w:rsid w:val="00A42E68"/>
    <w:rsid w:val="00A42EC8"/>
    <w:rsid w:val="00A42F3F"/>
    <w:rsid w:val="00A43190"/>
    <w:rsid w:val="00A433E5"/>
    <w:rsid w:val="00A435F8"/>
    <w:rsid w:val="00A4386B"/>
    <w:rsid w:val="00A438A4"/>
    <w:rsid w:val="00A43A51"/>
    <w:rsid w:val="00A43CB0"/>
    <w:rsid w:val="00A43CB6"/>
    <w:rsid w:val="00A43E5F"/>
    <w:rsid w:val="00A43E60"/>
    <w:rsid w:val="00A43EF7"/>
    <w:rsid w:val="00A43F21"/>
    <w:rsid w:val="00A442F9"/>
    <w:rsid w:val="00A443C2"/>
    <w:rsid w:val="00A4457D"/>
    <w:rsid w:val="00A445B8"/>
    <w:rsid w:val="00A44623"/>
    <w:rsid w:val="00A44727"/>
    <w:rsid w:val="00A447FE"/>
    <w:rsid w:val="00A44804"/>
    <w:rsid w:val="00A449D1"/>
    <w:rsid w:val="00A44B8C"/>
    <w:rsid w:val="00A44D06"/>
    <w:rsid w:val="00A44E28"/>
    <w:rsid w:val="00A44E96"/>
    <w:rsid w:val="00A45077"/>
    <w:rsid w:val="00A45135"/>
    <w:rsid w:val="00A453EC"/>
    <w:rsid w:val="00A45437"/>
    <w:rsid w:val="00A4579C"/>
    <w:rsid w:val="00A45A11"/>
    <w:rsid w:val="00A45A92"/>
    <w:rsid w:val="00A45D2A"/>
    <w:rsid w:val="00A45D56"/>
    <w:rsid w:val="00A45F24"/>
    <w:rsid w:val="00A463DB"/>
    <w:rsid w:val="00A463F7"/>
    <w:rsid w:val="00A4646A"/>
    <w:rsid w:val="00A4660F"/>
    <w:rsid w:val="00A46838"/>
    <w:rsid w:val="00A468EF"/>
    <w:rsid w:val="00A46B07"/>
    <w:rsid w:val="00A46B9E"/>
    <w:rsid w:val="00A46C7B"/>
    <w:rsid w:val="00A46E31"/>
    <w:rsid w:val="00A46ED6"/>
    <w:rsid w:val="00A4720A"/>
    <w:rsid w:val="00A47391"/>
    <w:rsid w:val="00A473B1"/>
    <w:rsid w:val="00A4753B"/>
    <w:rsid w:val="00A4756B"/>
    <w:rsid w:val="00A47714"/>
    <w:rsid w:val="00A4779C"/>
    <w:rsid w:val="00A477F1"/>
    <w:rsid w:val="00A478AC"/>
    <w:rsid w:val="00A47996"/>
    <w:rsid w:val="00A47ADD"/>
    <w:rsid w:val="00A47F89"/>
    <w:rsid w:val="00A50033"/>
    <w:rsid w:val="00A50175"/>
    <w:rsid w:val="00A50449"/>
    <w:rsid w:val="00A50452"/>
    <w:rsid w:val="00A504D3"/>
    <w:rsid w:val="00A505B0"/>
    <w:rsid w:val="00A5073C"/>
    <w:rsid w:val="00A50818"/>
    <w:rsid w:val="00A508FB"/>
    <w:rsid w:val="00A50C3B"/>
    <w:rsid w:val="00A50C5A"/>
    <w:rsid w:val="00A50D63"/>
    <w:rsid w:val="00A5119B"/>
    <w:rsid w:val="00A511C5"/>
    <w:rsid w:val="00A511FD"/>
    <w:rsid w:val="00A512B4"/>
    <w:rsid w:val="00A5144B"/>
    <w:rsid w:val="00A51510"/>
    <w:rsid w:val="00A51592"/>
    <w:rsid w:val="00A5160C"/>
    <w:rsid w:val="00A517E8"/>
    <w:rsid w:val="00A5196B"/>
    <w:rsid w:val="00A519CA"/>
    <w:rsid w:val="00A51E2D"/>
    <w:rsid w:val="00A52142"/>
    <w:rsid w:val="00A52177"/>
    <w:rsid w:val="00A521A4"/>
    <w:rsid w:val="00A521E2"/>
    <w:rsid w:val="00A5224A"/>
    <w:rsid w:val="00A5229D"/>
    <w:rsid w:val="00A522F3"/>
    <w:rsid w:val="00A524B2"/>
    <w:rsid w:val="00A526D9"/>
    <w:rsid w:val="00A528CA"/>
    <w:rsid w:val="00A528F1"/>
    <w:rsid w:val="00A52929"/>
    <w:rsid w:val="00A52B8C"/>
    <w:rsid w:val="00A52BC3"/>
    <w:rsid w:val="00A52CE2"/>
    <w:rsid w:val="00A52D5F"/>
    <w:rsid w:val="00A52E03"/>
    <w:rsid w:val="00A52F9E"/>
    <w:rsid w:val="00A52FDC"/>
    <w:rsid w:val="00A530AE"/>
    <w:rsid w:val="00A53303"/>
    <w:rsid w:val="00A534D2"/>
    <w:rsid w:val="00A536E3"/>
    <w:rsid w:val="00A5373C"/>
    <w:rsid w:val="00A53797"/>
    <w:rsid w:val="00A5385F"/>
    <w:rsid w:val="00A5388E"/>
    <w:rsid w:val="00A538D4"/>
    <w:rsid w:val="00A53AAD"/>
    <w:rsid w:val="00A53BC6"/>
    <w:rsid w:val="00A53C27"/>
    <w:rsid w:val="00A53F79"/>
    <w:rsid w:val="00A542F3"/>
    <w:rsid w:val="00A5446C"/>
    <w:rsid w:val="00A54717"/>
    <w:rsid w:val="00A5471F"/>
    <w:rsid w:val="00A54AC2"/>
    <w:rsid w:val="00A54C5E"/>
    <w:rsid w:val="00A54FC1"/>
    <w:rsid w:val="00A55163"/>
    <w:rsid w:val="00A55169"/>
    <w:rsid w:val="00A55213"/>
    <w:rsid w:val="00A553DB"/>
    <w:rsid w:val="00A554B7"/>
    <w:rsid w:val="00A5553A"/>
    <w:rsid w:val="00A5559C"/>
    <w:rsid w:val="00A555CF"/>
    <w:rsid w:val="00A555F6"/>
    <w:rsid w:val="00A556F5"/>
    <w:rsid w:val="00A558CE"/>
    <w:rsid w:val="00A55926"/>
    <w:rsid w:val="00A559C9"/>
    <w:rsid w:val="00A55A4D"/>
    <w:rsid w:val="00A55B6D"/>
    <w:rsid w:val="00A55DAA"/>
    <w:rsid w:val="00A55F01"/>
    <w:rsid w:val="00A56097"/>
    <w:rsid w:val="00A564E0"/>
    <w:rsid w:val="00A5650D"/>
    <w:rsid w:val="00A5652E"/>
    <w:rsid w:val="00A56869"/>
    <w:rsid w:val="00A56939"/>
    <w:rsid w:val="00A569DF"/>
    <w:rsid w:val="00A56B2B"/>
    <w:rsid w:val="00A56E34"/>
    <w:rsid w:val="00A5705A"/>
    <w:rsid w:val="00A57252"/>
    <w:rsid w:val="00A572E7"/>
    <w:rsid w:val="00A573C3"/>
    <w:rsid w:val="00A5748A"/>
    <w:rsid w:val="00A57672"/>
    <w:rsid w:val="00A5780E"/>
    <w:rsid w:val="00A57928"/>
    <w:rsid w:val="00A579F2"/>
    <w:rsid w:val="00A57AD2"/>
    <w:rsid w:val="00A57AF1"/>
    <w:rsid w:val="00A57C03"/>
    <w:rsid w:val="00A57C6D"/>
    <w:rsid w:val="00A57DB3"/>
    <w:rsid w:val="00A57DD2"/>
    <w:rsid w:val="00A57E60"/>
    <w:rsid w:val="00A57F81"/>
    <w:rsid w:val="00A600CF"/>
    <w:rsid w:val="00A600EA"/>
    <w:rsid w:val="00A600F8"/>
    <w:rsid w:val="00A60692"/>
    <w:rsid w:val="00A6071A"/>
    <w:rsid w:val="00A60749"/>
    <w:rsid w:val="00A60770"/>
    <w:rsid w:val="00A60929"/>
    <w:rsid w:val="00A60C30"/>
    <w:rsid w:val="00A60DE4"/>
    <w:rsid w:val="00A60E02"/>
    <w:rsid w:val="00A60E67"/>
    <w:rsid w:val="00A60E73"/>
    <w:rsid w:val="00A61067"/>
    <w:rsid w:val="00A610AB"/>
    <w:rsid w:val="00A61246"/>
    <w:rsid w:val="00A612B6"/>
    <w:rsid w:val="00A61415"/>
    <w:rsid w:val="00A61622"/>
    <w:rsid w:val="00A61655"/>
    <w:rsid w:val="00A617C8"/>
    <w:rsid w:val="00A617D3"/>
    <w:rsid w:val="00A61900"/>
    <w:rsid w:val="00A61A95"/>
    <w:rsid w:val="00A61B0D"/>
    <w:rsid w:val="00A61B7A"/>
    <w:rsid w:val="00A61D50"/>
    <w:rsid w:val="00A61DC2"/>
    <w:rsid w:val="00A61EF8"/>
    <w:rsid w:val="00A61FD1"/>
    <w:rsid w:val="00A62242"/>
    <w:rsid w:val="00A62261"/>
    <w:rsid w:val="00A62466"/>
    <w:rsid w:val="00A6247D"/>
    <w:rsid w:val="00A62703"/>
    <w:rsid w:val="00A627C6"/>
    <w:rsid w:val="00A629AA"/>
    <w:rsid w:val="00A62A13"/>
    <w:rsid w:val="00A6306B"/>
    <w:rsid w:val="00A6308C"/>
    <w:rsid w:val="00A63163"/>
    <w:rsid w:val="00A633F5"/>
    <w:rsid w:val="00A634A0"/>
    <w:rsid w:val="00A63502"/>
    <w:rsid w:val="00A6358A"/>
    <w:rsid w:val="00A63AB8"/>
    <w:rsid w:val="00A63AFC"/>
    <w:rsid w:val="00A63C76"/>
    <w:rsid w:val="00A63CC4"/>
    <w:rsid w:val="00A63D54"/>
    <w:rsid w:val="00A63E44"/>
    <w:rsid w:val="00A63F31"/>
    <w:rsid w:val="00A63FEE"/>
    <w:rsid w:val="00A64137"/>
    <w:rsid w:val="00A64308"/>
    <w:rsid w:val="00A643F6"/>
    <w:rsid w:val="00A64540"/>
    <w:rsid w:val="00A64615"/>
    <w:rsid w:val="00A6482B"/>
    <w:rsid w:val="00A648C7"/>
    <w:rsid w:val="00A64A9E"/>
    <w:rsid w:val="00A64B3D"/>
    <w:rsid w:val="00A64B4F"/>
    <w:rsid w:val="00A64BB7"/>
    <w:rsid w:val="00A64C3B"/>
    <w:rsid w:val="00A64D08"/>
    <w:rsid w:val="00A64DE5"/>
    <w:rsid w:val="00A64E05"/>
    <w:rsid w:val="00A64FA1"/>
    <w:rsid w:val="00A6506B"/>
    <w:rsid w:val="00A65145"/>
    <w:rsid w:val="00A6517D"/>
    <w:rsid w:val="00A6519E"/>
    <w:rsid w:val="00A65347"/>
    <w:rsid w:val="00A65361"/>
    <w:rsid w:val="00A6536E"/>
    <w:rsid w:val="00A654AB"/>
    <w:rsid w:val="00A6552C"/>
    <w:rsid w:val="00A655C6"/>
    <w:rsid w:val="00A656DD"/>
    <w:rsid w:val="00A658F1"/>
    <w:rsid w:val="00A65A14"/>
    <w:rsid w:val="00A65BEB"/>
    <w:rsid w:val="00A65D2A"/>
    <w:rsid w:val="00A663F6"/>
    <w:rsid w:val="00A664B4"/>
    <w:rsid w:val="00A6651F"/>
    <w:rsid w:val="00A665BC"/>
    <w:rsid w:val="00A666B6"/>
    <w:rsid w:val="00A667FD"/>
    <w:rsid w:val="00A66906"/>
    <w:rsid w:val="00A66D3B"/>
    <w:rsid w:val="00A66D70"/>
    <w:rsid w:val="00A66D71"/>
    <w:rsid w:val="00A66DC2"/>
    <w:rsid w:val="00A67077"/>
    <w:rsid w:val="00A67112"/>
    <w:rsid w:val="00A67125"/>
    <w:rsid w:val="00A671AE"/>
    <w:rsid w:val="00A671DA"/>
    <w:rsid w:val="00A67326"/>
    <w:rsid w:val="00A67373"/>
    <w:rsid w:val="00A6752C"/>
    <w:rsid w:val="00A67870"/>
    <w:rsid w:val="00A678E7"/>
    <w:rsid w:val="00A678EC"/>
    <w:rsid w:val="00A679FF"/>
    <w:rsid w:val="00A67A63"/>
    <w:rsid w:val="00A67D8D"/>
    <w:rsid w:val="00A70248"/>
    <w:rsid w:val="00A702E7"/>
    <w:rsid w:val="00A7039A"/>
    <w:rsid w:val="00A7048A"/>
    <w:rsid w:val="00A70502"/>
    <w:rsid w:val="00A7056B"/>
    <w:rsid w:val="00A705C2"/>
    <w:rsid w:val="00A7066B"/>
    <w:rsid w:val="00A7083B"/>
    <w:rsid w:val="00A70879"/>
    <w:rsid w:val="00A70BE1"/>
    <w:rsid w:val="00A70D02"/>
    <w:rsid w:val="00A70E1C"/>
    <w:rsid w:val="00A70E9F"/>
    <w:rsid w:val="00A71058"/>
    <w:rsid w:val="00A7107C"/>
    <w:rsid w:val="00A715C1"/>
    <w:rsid w:val="00A7160B"/>
    <w:rsid w:val="00A71960"/>
    <w:rsid w:val="00A71BE1"/>
    <w:rsid w:val="00A71C8E"/>
    <w:rsid w:val="00A71D01"/>
    <w:rsid w:val="00A71FCA"/>
    <w:rsid w:val="00A721AE"/>
    <w:rsid w:val="00A72300"/>
    <w:rsid w:val="00A72363"/>
    <w:rsid w:val="00A72451"/>
    <w:rsid w:val="00A724C6"/>
    <w:rsid w:val="00A7264C"/>
    <w:rsid w:val="00A72784"/>
    <w:rsid w:val="00A72A3C"/>
    <w:rsid w:val="00A72AFA"/>
    <w:rsid w:val="00A72FB2"/>
    <w:rsid w:val="00A7319D"/>
    <w:rsid w:val="00A73514"/>
    <w:rsid w:val="00A7354D"/>
    <w:rsid w:val="00A7355F"/>
    <w:rsid w:val="00A7364D"/>
    <w:rsid w:val="00A736DB"/>
    <w:rsid w:val="00A7385C"/>
    <w:rsid w:val="00A73974"/>
    <w:rsid w:val="00A739A3"/>
    <w:rsid w:val="00A73A69"/>
    <w:rsid w:val="00A73B48"/>
    <w:rsid w:val="00A73BF9"/>
    <w:rsid w:val="00A73ED6"/>
    <w:rsid w:val="00A73FFD"/>
    <w:rsid w:val="00A7409F"/>
    <w:rsid w:val="00A74160"/>
    <w:rsid w:val="00A741A8"/>
    <w:rsid w:val="00A741D1"/>
    <w:rsid w:val="00A7425A"/>
    <w:rsid w:val="00A742AE"/>
    <w:rsid w:val="00A7445B"/>
    <w:rsid w:val="00A744B9"/>
    <w:rsid w:val="00A745D5"/>
    <w:rsid w:val="00A745EB"/>
    <w:rsid w:val="00A747C3"/>
    <w:rsid w:val="00A749A0"/>
    <w:rsid w:val="00A749B0"/>
    <w:rsid w:val="00A74A01"/>
    <w:rsid w:val="00A74A04"/>
    <w:rsid w:val="00A74A29"/>
    <w:rsid w:val="00A74B96"/>
    <w:rsid w:val="00A74CA1"/>
    <w:rsid w:val="00A74CD5"/>
    <w:rsid w:val="00A74E78"/>
    <w:rsid w:val="00A74FC3"/>
    <w:rsid w:val="00A7509B"/>
    <w:rsid w:val="00A75259"/>
    <w:rsid w:val="00A75267"/>
    <w:rsid w:val="00A7531D"/>
    <w:rsid w:val="00A75349"/>
    <w:rsid w:val="00A754E7"/>
    <w:rsid w:val="00A75639"/>
    <w:rsid w:val="00A75725"/>
    <w:rsid w:val="00A758F2"/>
    <w:rsid w:val="00A75903"/>
    <w:rsid w:val="00A75AA0"/>
    <w:rsid w:val="00A75B87"/>
    <w:rsid w:val="00A75FA2"/>
    <w:rsid w:val="00A76054"/>
    <w:rsid w:val="00A760F6"/>
    <w:rsid w:val="00A76269"/>
    <w:rsid w:val="00A762E5"/>
    <w:rsid w:val="00A767E0"/>
    <w:rsid w:val="00A769F6"/>
    <w:rsid w:val="00A76AF8"/>
    <w:rsid w:val="00A76D2E"/>
    <w:rsid w:val="00A76EF7"/>
    <w:rsid w:val="00A77020"/>
    <w:rsid w:val="00A77098"/>
    <w:rsid w:val="00A77402"/>
    <w:rsid w:val="00A77752"/>
    <w:rsid w:val="00A779E0"/>
    <w:rsid w:val="00A77ACE"/>
    <w:rsid w:val="00A77BAB"/>
    <w:rsid w:val="00A8001E"/>
    <w:rsid w:val="00A8012D"/>
    <w:rsid w:val="00A8018C"/>
    <w:rsid w:val="00A801C3"/>
    <w:rsid w:val="00A8022B"/>
    <w:rsid w:val="00A80334"/>
    <w:rsid w:val="00A803E8"/>
    <w:rsid w:val="00A80425"/>
    <w:rsid w:val="00A80523"/>
    <w:rsid w:val="00A8065C"/>
    <w:rsid w:val="00A808EF"/>
    <w:rsid w:val="00A80928"/>
    <w:rsid w:val="00A80A23"/>
    <w:rsid w:val="00A80C18"/>
    <w:rsid w:val="00A80CF0"/>
    <w:rsid w:val="00A80E68"/>
    <w:rsid w:val="00A80EE6"/>
    <w:rsid w:val="00A80EEC"/>
    <w:rsid w:val="00A80F9C"/>
    <w:rsid w:val="00A8109E"/>
    <w:rsid w:val="00A81205"/>
    <w:rsid w:val="00A81285"/>
    <w:rsid w:val="00A814DF"/>
    <w:rsid w:val="00A81719"/>
    <w:rsid w:val="00A81745"/>
    <w:rsid w:val="00A81AC4"/>
    <w:rsid w:val="00A81B19"/>
    <w:rsid w:val="00A81B83"/>
    <w:rsid w:val="00A81CB9"/>
    <w:rsid w:val="00A81D59"/>
    <w:rsid w:val="00A81E1B"/>
    <w:rsid w:val="00A81E3F"/>
    <w:rsid w:val="00A820F9"/>
    <w:rsid w:val="00A823B9"/>
    <w:rsid w:val="00A825E4"/>
    <w:rsid w:val="00A82697"/>
    <w:rsid w:val="00A826BA"/>
    <w:rsid w:val="00A826BE"/>
    <w:rsid w:val="00A8274E"/>
    <w:rsid w:val="00A8294A"/>
    <w:rsid w:val="00A82979"/>
    <w:rsid w:val="00A82A26"/>
    <w:rsid w:val="00A82A4F"/>
    <w:rsid w:val="00A82AAB"/>
    <w:rsid w:val="00A82D2E"/>
    <w:rsid w:val="00A82D7B"/>
    <w:rsid w:val="00A82D83"/>
    <w:rsid w:val="00A82E6F"/>
    <w:rsid w:val="00A82E73"/>
    <w:rsid w:val="00A82E83"/>
    <w:rsid w:val="00A82F46"/>
    <w:rsid w:val="00A83107"/>
    <w:rsid w:val="00A831FF"/>
    <w:rsid w:val="00A83213"/>
    <w:rsid w:val="00A832EA"/>
    <w:rsid w:val="00A8344E"/>
    <w:rsid w:val="00A8378A"/>
    <w:rsid w:val="00A8386B"/>
    <w:rsid w:val="00A83AA9"/>
    <w:rsid w:val="00A83DC3"/>
    <w:rsid w:val="00A83DE6"/>
    <w:rsid w:val="00A83E09"/>
    <w:rsid w:val="00A84252"/>
    <w:rsid w:val="00A842BE"/>
    <w:rsid w:val="00A843B4"/>
    <w:rsid w:val="00A84512"/>
    <w:rsid w:val="00A84530"/>
    <w:rsid w:val="00A84668"/>
    <w:rsid w:val="00A846FA"/>
    <w:rsid w:val="00A84708"/>
    <w:rsid w:val="00A84770"/>
    <w:rsid w:val="00A84947"/>
    <w:rsid w:val="00A84978"/>
    <w:rsid w:val="00A8499B"/>
    <w:rsid w:val="00A84C4C"/>
    <w:rsid w:val="00A84E0B"/>
    <w:rsid w:val="00A84F9F"/>
    <w:rsid w:val="00A85108"/>
    <w:rsid w:val="00A851B9"/>
    <w:rsid w:val="00A851D2"/>
    <w:rsid w:val="00A854EB"/>
    <w:rsid w:val="00A854FA"/>
    <w:rsid w:val="00A8567A"/>
    <w:rsid w:val="00A8588C"/>
    <w:rsid w:val="00A85AD2"/>
    <w:rsid w:val="00A85AE3"/>
    <w:rsid w:val="00A85CF7"/>
    <w:rsid w:val="00A85E12"/>
    <w:rsid w:val="00A85E1B"/>
    <w:rsid w:val="00A85EB2"/>
    <w:rsid w:val="00A86199"/>
    <w:rsid w:val="00A8628D"/>
    <w:rsid w:val="00A863FD"/>
    <w:rsid w:val="00A864CF"/>
    <w:rsid w:val="00A866B8"/>
    <w:rsid w:val="00A86A86"/>
    <w:rsid w:val="00A86B0E"/>
    <w:rsid w:val="00A86B39"/>
    <w:rsid w:val="00A86BB2"/>
    <w:rsid w:val="00A86BD8"/>
    <w:rsid w:val="00A86C99"/>
    <w:rsid w:val="00A86D34"/>
    <w:rsid w:val="00A86D3C"/>
    <w:rsid w:val="00A8704C"/>
    <w:rsid w:val="00A8706F"/>
    <w:rsid w:val="00A87088"/>
    <w:rsid w:val="00A87108"/>
    <w:rsid w:val="00A8715D"/>
    <w:rsid w:val="00A8735B"/>
    <w:rsid w:val="00A873CA"/>
    <w:rsid w:val="00A8746C"/>
    <w:rsid w:val="00A8767C"/>
    <w:rsid w:val="00A8770F"/>
    <w:rsid w:val="00A87821"/>
    <w:rsid w:val="00A87880"/>
    <w:rsid w:val="00A878FE"/>
    <w:rsid w:val="00A87942"/>
    <w:rsid w:val="00A87A56"/>
    <w:rsid w:val="00A87A6B"/>
    <w:rsid w:val="00A87C5F"/>
    <w:rsid w:val="00A87CAA"/>
    <w:rsid w:val="00A901F0"/>
    <w:rsid w:val="00A9032C"/>
    <w:rsid w:val="00A904FB"/>
    <w:rsid w:val="00A908C6"/>
    <w:rsid w:val="00A908E0"/>
    <w:rsid w:val="00A90A63"/>
    <w:rsid w:val="00A90C3E"/>
    <w:rsid w:val="00A90C44"/>
    <w:rsid w:val="00A90CB4"/>
    <w:rsid w:val="00A90E73"/>
    <w:rsid w:val="00A9108A"/>
    <w:rsid w:val="00A91220"/>
    <w:rsid w:val="00A91375"/>
    <w:rsid w:val="00A914F2"/>
    <w:rsid w:val="00A91650"/>
    <w:rsid w:val="00A9177A"/>
    <w:rsid w:val="00A91804"/>
    <w:rsid w:val="00A918EC"/>
    <w:rsid w:val="00A919B2"/>
    <w:rsid w:val="00A91A5B"/>
    <w:rsid w:val="00A91AF4"/>
    <w:rsid w:val="00A91D7F"/>
    <w:rsid w:val="00A91DD9"/>
    <w:rsid w:val="00A91E6E"/>
    <w:rsid w:val="00A91F6A"/>
    <w:rsid w:val="00A92003"/>
    <w:rsid w:val="00A92122"/>
    <w:rsid w:val="00A922D4"/>
    <w:rsid w:val="00A92429"/>
    <w:rsid w:val="00A9253F"/>
    <w:rsid w:val="00A925EE"/>
    <w:rsid w:val="00A92795"/>
    <w:rsid w:val="00A92835"/>
    <w:rsid w:val="00A9298A"/>
    <w:rsid w:val="00A92A17"/>
    <w:rsid w:val="00A92A4B"/>
    <w:rsid w:val="00A92F4A"/>
    <w:rsid w:val="00A9329D"/>
    <w:rsid w:val="00A93343"/>
    <w:rsid w:val="00A93561"/>
    <w:rsid w:val="00A935D8"/>
    <w:rsid w:val="00A93689"/>
    <w:rsid w:val="00A939EF"/>
    <w:rsid w:val="00A93AD4"/>
    <w:rsid w:val="00A93B37"/>
    <w:rsid w:val="00A93CDC"/>
    <w:rsid w:val="00A93E9B"/>
    <w:rsid w:val="00A9402C"/>
    <w:rsid w:val="00A941CE"/>
    <w:rsid w:val="00A94389"/>
    <w:rsid w:val="00A94996"/>
    <w:rsid w:val="00A94A28"/>
    <w:rsid w:val="00A94B47"/>
    <w:rsid w:val="00A94BB8"/>
    <w:rsid w:val="00A94CC8"/>
    <w:rsid w:val="00A94FD4"/>
    <w:rsid w:val="00A951B6"/>
    <w:rsid w:val="00A9531A"/>
    <w:rsid w:val="00A954D1"/>
    <w:rsid w:val="00A95501"/>
    <w:rsid w:val="00A95543"/>
    <w:rsid w:val="00A955DF"/>
    <w:rsid w:val="00A9572D"/>
    <w:rsid w:val="00A9581A"/>
    <w:rsid w:val="00A95900"/>
    <w:rsid w:val="00A95B6F"/>
    <w:rsid w:val="00A95DBE"/>
    <w:rsid w:val="00A95E3E"/>
    <w:rsid w:val="00A960C7"/>
    <w:rsid w:val="00A96205"/>
    <w:rsid w:val="00A964CC"/>
    <w:rsid w:val="00A9660B"/>
    <w:rsid w:val="00A9662B"/>
    <w:rsid w:val="00A96B7F"/>
    <w:rsid w:val="00A96BE7"/>
    <w:rsid w:val="00A96C9D"/>
    <w:rsid w:val="00A96E54"/>
    <w:rsid w:val="00A97002"/>
    <w:rsid w:val="00A97040"/>
    <w:rsid w:val="00A9709A"/>
    <w:rsid w:val="00A9715F"/>
    <w:rsid w:val="00A972B6"/>
    <w:rsid w:val="00A977DF"/>
    <w:rsid w:val="00A97803"/>
    <w:rsid w:val="00A9790E"/>
    <w:rsid w:val="00A97B10"/>
    <w:rsid w:val="00A97D0B"/>
    <w:rsid w:val="00A97F40"/>
    <w:rsid w:val="00A97F91"/>
    <w:rsid w:val="00AA03CA"/>
    <w:rsid w:val="00AA06B0"/>
    <w:rsid w:val="00AA0B65"/>
    <w:rsid w:val="00AA0BF3"/>
    <w:rsid w:val="00AA0D04"/>
    <w:rsid w:val="00AA0EE1"/>
    <w:rsid w:val="00AA105F"/>
    <w:rsid w:val="00AA11BB"/>
    <w:rsid w:val="00AA134C"/>
    <w:rsid w:val="00AA13C8"/>
    <w:rsid w:val="00AA154D"/>
    <w:rsid w:val="00AA185C"/>
    <w:rsid w:val="00AA191F"/>
    <w:rsid w:val="00AA1981"/>
    <w:rsid w:val="00AA1C95"/>
    <w:rsid w:val="00AA1D47"/>
    <w:rsid w:val="00AA1D5A"/>
    <w:rsid w:val="00AA1F04"/>
    <w:rsid w:val="00AA1FA7"/>
    <w:rsid w:val="00AA2367"/>
    <w:rsid w:val="00AA23F6"/>
    <w:rsid w:val="00AA2460"/>
    <w:rsid w:val="00AA2495"/>
    <w:rsid w:val="00AA24E4"/>
    <w:rsid w:val="00AA261A"/>
    <w:rsid w:val="00AA2681"/>
    <w:rsid w:val="00AA26C2"/>
    <w:rsid w:val="00AA26D3"/>
    <w:rsid w:val="00AA27BA"/>
    <w:rsid w:val="00AA28B8"/>
    <w:rsid w:val="00AA28BE"/>
    <w:rsid w:val="00AA297D"/>
    <w:rsid w:val="00AA2980"/>
    <w:rsid w:val="00AA2AFF"/>
    <w:rsid w:val="00AA2B58"/>
    <w:rsid w:val="00AA2B98"/>
    <w:rsid w:val="00AA2BA7"/>
    <w:rsid w:val="00AA2CCF"/>
    <w:rsid w:val="00AA2E44"/>
    <w:rsid w:val="00AA3030"/>
    <w:rsid w:val="00AA32B0"/>
    <w:rsid w:val="00AA33FB"/>
    <w:rsid w:val="00AA34EC"/>
    <w:rsid w:val="00AA35A1"/>
    <w:rsid w:val="00AA36B5"/>
    <w:rsid w:val="00AA38E2"/>
    <w:rsid w:val="00AA3A01"/>
    <w:rsid w:val="00AA3AAC"/>
    <w:rsid w:val="00AA3AE8"/>
    <w:rsid w:val="00AA3D35"/>
    <w:rsid w:val="00AA3D7D"/>
    <w:rsid w:val="00AA3DFB"/>
    <w:rsid w:val="00AA409A"/>
    <w:rsid w:val="00AA4201"/>
    <w:rsid w:val="00AA423C"/>
    <w:rsid w:val="00AA4524"/>
    <w:rsid w:val="00AA4529"/>
    <w:rsid w:val="00AA4629"/>
    <w:rsid w:val="00AA4658"/>
    <w:rsid w:val="00AA475A"/>
    <w:rsid w:val="00AA4843"/>
    <w:rsid w:val="00AA48DE"/>
    <w:rsid w:val="00AA48F8"/>
    <w:rsid w:val="00AA4911"/>
    <w:rsid w:val="00AA4921"/>
    <w:rsid w:val="00AA4BDD"/>
    <w:rsid w:val="00AA4E89"/>
    <w:rsid w:val="00AA5159"/>
    <w:rsid w:val="00AA52A5"/>
    <w:rsid w:val="00AA542E"/>
    <w:rsid w:val="00AA5494"/>
    <w:rsid w:val="00AA54A3"/>
    <w:rsid w:val="00AA559C"/>
    <w:rsid w:val="00AA5619"/>
    <w:rsid w:val="00AA56AF"/>
    <w:rsid w:val="00AA57E5"/>
    <w:rsid w:val="00AA5817"/>
    <w:rsid w:val="00AA592D"/>
    <w:rsid w:val="00AA5D54"/>
    <w:rsid w:val="00AA5FF8"/>
    <w:rsid w:val="00AA61FA"/>
    <w:rsid w:val="00AA641D"/>
    <w:rsid w:val="00AA6471"/>
    <w:rsid w:val="00AA6618"/>
    <w:rsid w:val="00AA675A"/>
    <w:rsid w:val="00AA68E5"/>
    <w:rsid w:val="00AA6A18"/>
    <w:rsid w:val="00AA6BBD"/>
    <w:rsid w:val="00AA6BC5"/>
    <w:rsid w:val="00AA6C6C"/>
    <w:rsid w:val="00AA6C6F"/>
    <w:rsid w:val="00AA6D50"/>
    <w:rsid w:val="00AA6D8C"/>
    <w:rsid w:val="00AA6DC8"/>
    <w:rsid w:val="00AA6EBB"/>
    <w:rsid w:val="00AA7041"/>
    <w:rsid w:val="00AA726A"/>
    <w:rsid w:val="00AA7315"/>
    <w:rsid w:val="00AA7333"/>
    <w:rsid w:val="00AA73BB"/>
    <w:rsid w:val="00AA7503"/>
    <w:rsid w:val="00AA790E"/>
    <w:rsid w:val="00AA7967"/>
    <w:rsid w:val="00AA7A75"/>
    <w:rsid w:val="00AA7BC9"/>
    <w:rsid w:val="00AA7E71"/>
    <w:rsid w:val="00AA7FC2"/>
    <w:rsid w:val="00AB0080"/>
    <w:rsid w:val="00AB00BC"/>
    <w:rsid w:val="00AB01AB"/>
    <w:rsid w:val="00AB0258"/>
    <w:rsid w:val="00AB040B"/>
    <w:rsid w:val="00AB04B0"/>
    <w:rsid w:val="00AB04E4"/>
    <w:rsid w:val="00AB0764"/>
    <w:rsid w:val="00AB07FE"/>
    <w:rsid w:val="00AB09F1"/>
    <w:rsid w:val="00AB0A0F"/>
    <w:rsid w:val="00AB0A36"/>
    <w:rsid w:val="00AB0C83"/>
    <w:rsid w:val="00AB0DB0"/>
    <w:rsid w:val="00AB0E8D"/>
    <w:rsid w:val="00AB110F"/>
    <w:rsid w:val="00AB118C"/>
    <w:rsid w:val="00AB12F5"/>
    <w:rsid w:val="00AB14CA"/>
    <w:rsid w:val="00AB1664"/>
    <w:rsid w:val="00AB1850"/>
    <w:rsid w:val="00AB1899"/>
    <w:rsid w:val="00AB18DD"/>
    <w:rsid w:val="00AB19EC"/>
    <w:rsid w:val="00AB1B7C"/>
    <w:rsid w:val="00AB1D8B"/>
    <w:rsid w:val="00AB1D91"/>
    <w:rsid w:val="00AB2077"/>
    <w:rsid w:val="00AB20CE"/>
    <w:rsid w:val="00AB20E7"/>
    <w:rsid w:val="00AB2770"/>
    <w:rsid w:val="00AB27B6"/>
    <w:rsid w:val="00AB27F5"/>
    <w:rsid w:val="00AB287D"/>
    <w:rsid w:val="00AB289F"/>
    <w:rsid w:val="00AB29DB"/>
    <w:rsid w:val="00AB2AA7"/>
    <w:rsid w:val="00AB2BB6"/>
    <w:rsid w:val="00AB30F6"/>
    <w:rsid w:val="00AB310B"/>
    <w:rsid w:val="00AB31DC"/>
    <w:rsid w:val="00AB33DA"/>
    <w:rsid w:val="00AB340E"/>
    <w:rsid w:val="00AB3444"/>
    <w:rsid w:val="00AB3494"/>
    <w:rsid w:val="00AB37A4"/>
    <w:rsid w:val="00AB37E4"/>
    <w:rsid w:val="00AB38BD"/>
    <w:rsid w:val="00AB3A6E"/>
    <w:rsid w:val="00AB3B01"/>
    <w:rsid w:val="00AB3B78"/>
    <w:rsid w:val="00AB3C9E"/>
    <w:rsid w:val="00AB3CB0"/>
    <w:rsid w:val="00AB3D52"/>
    <w:rsid w:val="00AB3D87"/>
    <w:rsid w:val="00AB3D95"/>
    <w:rsid w:val="00AB3DE8"/>
    <w:rsid w:val="00AB3FDF"/>
    <w:rsid w:val="00AB4571"/>
    <w:rsid w:val="00AB45C1"/>
    <w:rsid w:val="00AB45CC"/>
    <w:rsid w:val="00AB4835"/>
    <w:rsid w:val="00AB49CC"/>
    <w:rsid w:val="00AB4AEC"/>
    <w:rsid w:val="00AB4C0A"/>
    <w:rsid w:val="00AB4DA8"/>
    <w:rsid w:val="00AB4E8C"/>
    <w:rsid w:val="00AB5034"/>
    <w:rsid w:val="00AB5096"/>
    <w:rsid w:val="00AB5297"/>
    <w:rsid w:val="00AB53B5"/>
    <w:rsid w:val="00AB5695"/>
    <w:rsid w:val="00AB5843"/>
    <w:rsid w:val="00AB588B"/>
    <w:rsid w:val="00AB58C0"/>
    <w:rsid w:val="00AB59EE"/>
    <w:rsid w:val="00AB5AD3"/>
    <w:rsid w:val="00AB5B13"/>
    <w:rsid w:val="00AB5CA9"/>
    <w:rsid w:val="00AB607E"/>
    <w:rsid w:val="00AB624C"/>
    <w:rsid w:val="00AB6290"/>
    <w:rsid w:val="00AB63AD"/>
    <w:rsid w:val="00AB63CD"/>
    <w:rsid w:val="00AB63DB"/>
    <w:rsid w:val="00AB66DB"/>
    <w:rsid w:val="00AB68A5"/>
    <w:rsid w:val="00AB6903"/>
    <w:rsid w:val="00AB692F"/>
    <w:rsid w:val="00AB69BF"/>
    <w:rsid w:val="00AB6CF8"/>
    <w:rsid w:val="00AB6E07"/>
    <w:rsid w:val="00AB6E7D"/>
    <w:rsid w:val="00AB712A"/>
    <w:rsid w:val="00AB715F"/>
    <w:rsid w:val="00AB72C9"/>
    <w:rsid w:val="00AB740F"/>
    <w:rsid w:val="00AB7427"/>
    <w:rsid w:val="00AB74CA"/>
    <w:rsid w:val="00AB7633"/>
    <w:rsid w:val="00AB76B1"/>
    <w:rsid w:val="00AB7743"/>
    <w:rsid w:val="00AB7B33"/>
    <w:rsid w:val="00AB7B53"/>
    <w:rsid w:val="00AB7CF6"/>
    <w:rsid w:val="00AB7D25"/>
    <w:rsid w:val="00AB7DB2"/>
    <w:rsid w:val="00AB7E0A"/>
    <w:rsid w:val="00AB7EA5"/>
    <w:rsid w:val="00AB7F59"/>
    <w:rsid w:val="00AC0012"/>
    <w:rsid w:val="00AC0085"/>
    <w:rsid w:val="00AC01E5"/>
    <w:rsid w:val="00AC0241"/>
    <w:rsid w:val="00AC0471"/>
    <w:rsid w:val="00AC0720"/>
    <w:rsid w:val="00AC07CF"/>
    <w:rsid w:val="00AC09BF"/>
    <w:rsid w:val="00AC0A06"/>
    <w:rsid w:val="00AC0A41"/>
    <w:rsid w:val="00AC0B73"/>
    <w:rsid w:val="00AC0C75"/>
    <w:rsid w:val="00AC0C7E"/>
    <w:rsid w:val="00AC0DEC"/>
    <w:rsid w:val="00AC0E13"/>
    <w:rsid w:val="00AC0E39"/>
    <w:rsid w:val="00AC10A0"/>
    <w:rsid w:val="00AC1264"/>
    <w:rsid w:val="00AC134E"/>
    <w:rsid w:val="00AC14C2"/>
    <w:rsid w:val="00AC14DF"/>
    <w:rsid w:val="00AC1508"/>
    <w:rsid w:val="00AC1531"/>
    <w:rsid w:val="00AC1777"/>
    <w:rsid w:val="00AC17FB"/>
    <w:rsid w:val="00AC198F"/>
    <w:rsid w:val="00AC1A7C"/>
    <w:rsid w:val="00AC1AF1"/>
    <w:rsid w:val="00AC1F58"/>
    <w:rsid w:val="00AC2027"/>
    <w:rsid w:val="00AC211C"/>
    <w:rsid w:val="00AC22DB"/>
    <w:rsid w:val="00AC237E"/>
    <w:rsid w:val="00AC262B"/>
    <w:rsid w:val="00AC2751"/>
    <w:rsid w:val="00AC294E"/>
    <w:rsid w:val="00AC2C32"/>
    <w:rsid w:val="00AC2F56"/>
    <w:rsid w:val="00AC2FD3"/>
    <w:rsid w:val="00AC306E"/>
    <w:rsid w:val="00AC3251"/>
    <w:rsid w:val="00AC3544"/>
    <w:rsid w:val="00AC3547"/>
    <w:rsid w:val="00AC3693"/>
    <w:rsid w:val="00AC37CC"/>
    <w:rsid w:val="00AC3902"/>
    <w:rsid w:val="00AC3905"/>
    <w:rsid w:val="00AC394A"/>
    <w:rsid w:val="00AC3A22"/>
    <w:rsid w:val="00AC3A5F"/>
    <w:rsid w:val="00AC3A66"/>
    <w:rsid w:val="00AC3B6D"/>
    <w:rsid w:val="00AC3DEA"/>
    <w:rsid w:val="00AC3E98"/>
    <w:rsid w:val="00AC3F09"/>
    <w:rsid w:val="00AC4016"/>
    <w:rsid w:val="00AC40A3"/>
    <w:rsid w:val="00AC4202"/>
    <w:rsid w:val="00AC44D1"/>
    <w:rsid w:val="00AC46A0"/>
    <w:rsid w:val="00AC471F"/>
    <w:rsid w:val="00AC48AD"/>
    <w:rsid w:val="00AC48CC"/>
    <w:rsid w:val="00AC4903"/>
    <w:rsid w:val="00AC4A10"/>
    <w:rsid w:val="00AC4A28"/>
    <w:rsid w:val="00AC4A5B"/>
    <w:rsid w:val="00AC4B64"/>
    <w:rsid w:val="00AC4DB9"/>
    <w:rsid w:val="00AC4DEE"/>
    <w:rsid w:val="00AC5052"/>
    <w:rsid w:val="00AC545D"/>
    <w:rsid w:val="00AC54F5"/>
    <w:rsid w:val="00AC55DD"/>
    <w:rsid w:val="00AC568B"/>
    <w:rsid w:val="00AC59A8"/>
    <w:rsid w:val="00AC5A11"/>
    <w:rsid w:val="00AC5DB4"/>
    <w:rsid w:val="00AC5F0C"/>
    <w:rsid w:val="00AC612B"/>
    <w:rsid w:val="00AC62E7"/>
    <w:rsid w:val="00AC63AC"/>
    <w:rsid w:val="00AC644C"/>
    <w:rsid w:val="00AC64F6"/>
    <w:rsid w:val="00AC64FB"/>
    <w:rsid w:val="00AC6562"/>
    <w:rsid w:val="00AC6679"/>
    <w:rsid w:val="00AC674E"/>
    <w:rsid w:val="00AC6856"/>
    <w:rsid w:val="00AC6A15"/>
    <w:rsid w:val="00AC6A70"/>
    <w:rsid w:val="00AC6AD0"/>
    <w:rsid w:val="00AC6B75"/>
    <w:rsid w:val="00AC6C6F"/>
    <w:rsid w:val="00AC6C95"/>
    <w:rsid w:val="00AC6CB5"/>
    <w:rsid w:val="00AC6E2D"/>
    <w:rsid w:val="00AC702D"/>
    <w:rsid w:val="00AC7145"/>
    <w:rsid w:val="00AC716C"/>
    <w:rsid w:val="00AC7341"/>
    <w:rsid w:val="00AC7370"/>
    <w:rsid w:val="00AC7B51"/>
    <w:rsid w:val="00AC7C5F"/>
    <w:rsid w:val="00AC7CF2"/>
    <w:rsid w:val="00AC7D10"/>
    <w:rsid w:val="00AC7DC1"/>
    <w:rsid w:val="00AC7EDC"/>
    <w:rsid w:val="00AC7FF2"/>
    <w:rsid w:val="00AD0022"/>
    <w:rsid w:val="00AD00D2"/>
    <w:rsid w:val="00AD00D6"/>
    <w:rsid w:val="00AD0118"/>
    <w:rsid w:val="00AD02E5"/>
    <w:rsid w:val="00AD02F7"/>
    <w:rsid w:val="00AD046D"/>
    <w:rsid w:val="00AD05BB"/>
    <w:rsid w:val="00AD0664"/>
    <w:rsid w:val="00AD06EF"/>
    <w:rsid w:val="00AD0733"/>
    <w:rsid w:val="00AD08B2"/>
    <w:rsid w:val="00AD09E0"/>
    <w:rsid w:val="00AD0D0F"/>
    <w:rsid w:val="00AD0D9F"/>
    <w:rsid w:val="00AD1032"/>
    <w:rsid w:val="00AD1063"/>
    <w:rsid w:val="00AD1185"/>
    <w:rsid w:val="00AD120B"/>
    <w:rsid w:val="00AD1529"/>
    <w:rsid w:val="00AD166D"/>
    <w:rsid w:val="00AD177F"/>
    <w:rsid w:val="00AD19A5"/>
    <w:rsid w:val="00AD1B8A"/>
    <w:rsid w:val="00AD1CC5"/>
    <w:rsid w:val="00AD2090"/>
    <w:rsid w:val="00AD20C2"/>
    <w:rsid w:val="00AD224F"/>
    <w:rsid w:val="00AD2293"/>
    <w:rsid w:val="00AD23D3"/>
    <w:rsid w:val="00AD241E"/>
    <w:rsid w:val="00AD2562"/>
    <w:rsid w:val="00AD26DF"/>
    <w:rsid w:val="00AD2889"/>
    <w:rsid w:val="00AD29D5"/>
    <w:rsid w:val="00AD2A48"/>
    <w:rsid w:val="00AD2B2D"/>
    <w:rsid w:val="00AD2D4B"/>
    <w:rsid w:val="00AD2F45"/>
    <w:rsid w:val="00AD2F6C"/>
    <w:rsid w:val="00AD35CD"/>
    <w:rsid w:val="00AD3794"/>
    <w:rsid w:val="00AD37A2"/>
    <w:rsid w:val="00AD385D"/>
    <w:rsid w:val="00AD3A67"/>
    <w:rsid w:val="00AD3BFD"/>
    <w:rsid w:val="00AD3C9A"/>
    <w:rsid w:val="00AD3CB9"/>
    <w:rsid w:val="00AD3E33"/>
    <w:rsid w:val="00AD3F20"/>
    <w:rsid w:val="00AD3F61"/>
    <w:rsid w:val="00AD427F"/>
    <w:rsid w:val="00AD4327"/>
    <w:rsid w:val="00AD435C"/>
    <w:rsid w:val="00AD457C"/>
    <w:rsid w:val="00AD47FA"/>
    <w:rsid w:val="00AD493F"/>
    <w:rsid w:val="00AD4A7D"/>
    <w:rsid w:val="00AD4B43"/>
    <w:rsid w:val="00AD4C6E"/>
    <w:rsid w:val="00AD4CED"/>
    <w:rsid w:val="00AD4E13"/>
    <w:rsid w:val="00AD5058"/>
    <w:rsid w:val="00AD512D"/>
    <w:rsid w:val="00AD51B6"/>
    <w:rsid w:val="00AD51D8"/>
    <w:rsid w:val="00AD5415"/>
    <w:rsid w:val="00AD543B"/>
    <w:rsid w:val="00AD554D"/>
    <w:rsid w:val="00AD5B52"/>
    <w:rsid w:val="00AD5B68"/>
    <w:rsid w:val="00AD5CAA"/>
    <w:rsid w:val="00AD5D2B"/>
    <w:rsid w:val="00AD5DD7"/>
    <w:rsid w:val="00AD5E7B"/>
    <w:rsid w:val="00AD5F13"/>
    <w:rsid w:val="00AD5F47"/>
    <w:rsid w:val="00AD5F7A"/>
    <w:rsid w:val="00AD604E"/>
    <w:rsid w:val="00AD6056"/>
    <w:rsid w:val="00AD60A6"/>
    <w:rsid w:val="00AD66B2"/>
    <w:rsid w:val="00AD67FC"/>
    <w:rsid w:val="00AD681D"/>
    <w:rsid w:val="00AD6AC5"/>
    <w:rsid w:val="00AD6DDD"/>
    <w:rsid w:val="00AD7358"/>
    <w:rsid w:val="00AD7375"/>
    <w:rsid w:val="00AD7387"/>
    <w:rsid w:val="00AD7485"/>
    <w:rsid w:val="00AD76A3"/>
    <w:rsid w:val="00AD76EA"/>
    <w:rsid w:val="00AD7701"/>
    <w:rsid w:val="00AD7940"/>
    <w:rsid w:val="00AD79EA"/>
    <w:rsid w:val="00AD7ACE"/>
    <w:rsid w:val="00AD7B22"/>
    <w:rsid w:val="00AD7DAF"/>
    <w:rsid w:val="00AD7ED5"/>
    <w:rsid w:val="00AD7FD3"/>
    <w:rsid w:val="00AE005A"/>
    <w:rsid w:val="00AE01B3"/>
    <w:rsid w:val="00AE0212"/>
    <w:rsid w:val="00AE02A9"/>
    <w:rsid w:val="00AE066B"/>
    <w:rsid w:val="00AE0885"/>
    <w:rsid w:val="00AE0888"/>
    <w:rsid w:val="00AE08FB"/>
    <w:rsid w:val="00AE0A2A"/>
    <w:rsid w:val="00AE0A44"/>
    <w:rsid w:val="00AE0CAB"/>
    <w:rsid w:val="00AE0EAB"/>
    <w:rsid w:val="00AE0F72"/>
    <w:rsid w:val="00AE107C"/>
    <w:rsid w:val="00AE10BF"/>
    <w:rsid w:val="00AE1177"/>
    <w:rsid w:val="00AE119A"/>
    <w:rsid w:val="00AE11C2"/>
    <w:rsid w:val="00AE1266"/>
    <w:rsid w:val="00AE12BD"/>
    <w:rsid w:val="00AE14BC"/>
    <w:rsid w:val="00AE157B"/>
    <w:rsid w:val="00AE15AB"/>
    <w:rsid w:val="00AE17B4"/>
    <w:rsid w:val="00AE18AE"/>
    <w:rsid w:val="00AE18DF"/>
    <w:rsid w:val="00AE1952"/>
    <w:rsid w:val="00AE19D2"/>
    <w:rsid w:val="00AE1A44"/>
    <w:rsid w:val="00AE1BED"/>
    <w:rsid w:val="00AE1D81"/>
    <w:rsid w:val="00AE211C"/>
    <w:rsid w:val="00AE21B1"/>
    <w:rsid w:val="00AE21FA"/>
    <w:rsid w:val="00AE233F"/>
    <w:rsid w:val="00AE237A"/>
    <w:rsid w:val="00AE23FD"/>
    <w:rsid w:val="00AE23FF"/>
    <w:rsid w:val="00AE240C"/>
    <w:rsid w:val="00AE244C"/>
    <w:rsid w:val="00AE24AD"/>
    <w:rsid w:val="00AE2501"/>
    <w:rsid w:val="00AE2816"/>
    <w:rsid w:val="00AE285B"/>
    <w:rsid w:val="00AE29F4"/>
    <w:rsid w:val="00AE2AAD"/>
    <w:rsid w:val="00AE2B2D"/>
    <w:rsid w:val="00AE2D87"/>
    <w:rsid w:val="00AE2EF7"/>
    <w:rsid w:val="00AE30B2"/>
    <w:rsid w:val="00AE32E6"/>
    <w:rsid w:val="00AE3570"/>
    <w:rsid w:val="00AE35AE"/>
    <w:rsid w:val="00AE35B5"/>
    <w:rsid w:val="00AE35B9"/>
    <w:rsid w:val="00AE3663"/>
    <w:rsid w:val="00AE37D5"/>
    <w:rsid w:val="00AE38BB"/>
    <w:rsid w:val="00AE3B83"/>
    <w:rsid w:val="00AE3B94"/>
    <w:rsid w:val="00AE3B99"/>
    <w:rsid w:val="00AE3CCC"/>
    <w:rsid w:val="00AE3D46"/>
    <w:rsid w:val="00AE3E2C"/>
    <w:rsid w:val="00AE429B"/>
    <w:rsid w:val="00AE4524"/>
    <w:rsid w:val="00AE456A"/>
    <w:rsid w:val="00AE45B4"/>
    <w:rsid w:val="00AE4672"/>
    <w:rsid w:val="00AE46B2"/>
    <w:rsid w:val="00AE4828"/>
    <w:rsid w:val="00AE48A1"/>
    <w:rsid w:val="00AE48F8"/>
    <w:rsid w:val="00AE4939"/>
    <w:rsid w:val="00AE4A0D"/>
    <w:rsid w:val="00AE4A14"/>
    <w:rsid w:val="00AE4C40"/>
    <w:rsid w:val="00AE4E55"/>
    <w:rsid w:val="00AE4FB3"/>
    <w:rsid w:val="00AE506D"/>
    <w:rsid w:val="00AE510A"/>
    <w:rsid w:val="00AE5232"/>
    <w:rsid w:val="00AE53F6"/>
    <w:rsid w:val="00AE5783"/>
    <w:rsid w:val="00AE5873"/>
    <w:rsid w:val="00AE58DC"/>
    <w:rsid w:val="00AE593A"/>
    <w:rsid w:val="00AE5A4B"/>
    <w:rsid w:val="00AE5B41"/>
    <w:rsid w:val="00AE5B5A"/>
    <w:rsid w:val="00AE5B82"/>
    <w:rsid w:val="00AE5B8C"/>
    <w:rsid w:val="00AE5EEB"/>
    <w:rsid w:val="00AE617F"/>
    <w:rsid w:val="00AE62A4"/>
    <w:rsid w:val="00AE6340"/>
    <w:rsid w:val="00AE66E7"/>
    <w:rsid w:val="00AE6705"/>
    <w:rsid w:val="00AE672D"/>
    <w:rsid w:val="00AE6990"/>
    <w:rsid w:val="00AE6C0C"/>
    <w:rsid w:val="00AE6C8D"/>
    <w:rsid w:val="00AE70CC"/>
    <w:rsid w:val="00AE7229"/>
    <w:rsid w:val="00AE7454"/>
    <w:rsid w:val="00AE748B"/>
    <w:rsid w:val="00AE7673"/>
    <w:rsid w:val="00AE777A"/>
    <w:rsid w:val="00AE7800"/>
    <w:rsid w:val="00AE79F3"/>
    <w:rsid w:val="00AE7A07"/>
    <w:rsid w:val="00AE7A36"/>
    <w:rsid w:val="00AE7BA1"/>
    <w:rsid w:val="00AE7BE4"/>
    <w:rsid w:val="00AE7E4B"/>
    <w:rsid w:val="00AE7EB5"/>
    <w:rsid w:val="00AE7F27"/>
    <w:rsid w:val="00AF00AC"/>
    <w:rsid w:val="00AF00D4"/>
    <w:rsid w:val="00AF0114"/>
    <w:rsid w:val="00AF0130"/>
    <w:rsid w:val="00AF01C4"/>
    <w:rsid w:val="00AF01E5"/>
    <w:rsid w:val="00AF02B1"/>
    <w:rsid w:val="00AF034D"/>
    <w:rsid w:val="00AF036F"/>
    <w:rsid w:val="00AF0550"/>
    <w:rsid w:val="00AF05C4"/>
    <w:rsid w:val="00AF0772"/>
    <w:rsid w:val="00AF0C2F"/>
    <w:rsid w:val="00AF0C32"/>
    <w:rsid w:val="00AF0F3E"/>
    <w:rsid w:val="00AF0F62"/>
    <w:rsid w:val="00AF0FFF"/>
    <w:rsid w:val="00AF10B7"/>
    <w:rsid w:val="00AF11C3"/>
    <w:rsid w:val="00AF1370"/>
    <w:rsid w:val="00AF1614"/>
    <w:rsid w:val="00AF1681"/>
    <w:rsid w:val="00AF16BF"/>
    <w:rsid w:val="00AF1723"/>
    <w:rsid w:val="00AF1859"/>
    <w:rsid w:val="00AF1905"/>
    <w:rsid w:val="00AF1CF0"/>
    <w:rsid w:val="00AF1D33"/>
    <w:rsid w:val="00AF1DE7"/>
    <w:rsid w:val="00AF1E84"/>
    <w:rsid w:val="00AF1F79"/>
    <w:rsid w:val="00AF2073"/>
    <w:rsid w:val="00AF2164"/>
    <w:rsid w:val="00AF232E"/>
    <w:rsid w:val="00AF2B3D"/>
    <w:rsid w:val="00AF3102"/>
    <w:rsid w:val="00AF3199"/>
    <w:rsid w:val="00AF326A"/>
    <w:rsid w:val="00AF33E0"/>
    <w:rsid w:val="00AF3499"/>
    <w:rsid w:val="00AF367A"/>
    <w:rsid w:val="00AF38CC"/>
    <w:rsid w:val="00AF397E"/>
    <w:rsid w:val="00AF3BED"/>
    <w:rsid w:val="00AF3BF1"/>
    <w:rsid w:val="00AF3BF9"/>
    <w:rsid w:val="00AF3D7C"/>
    <w:rsid w:val="00AF3E3F"/>
    <w:rsid w:val="00AF3FD0"/>
    <w:rsid w:val="00AF40C4"/>
    <w:rsid w:val="00AF4249"/>
    <w:rsid w:val="00AF4455"/>
    <w:rsid w:val="00AF44B4"/>
    <w:rsid w:val="00AF4680"/>
    <w:rsid w:val="00AF4850"/>
    <w:rsid w:val="00AF4951"/>
    <w:rsid w:val="00AF4B69"/>
    <w:rsid w:val="00AF4B75"/>
    <w:rsid w:val="00AF4C37"/>
    <w:rsid w:val="00AF4D48"/>
    <w:rsid w:val="00AF4E92"/>
    <w:rsid w:val="00AF4F24"/>
    <w:rsid w:val="00AF5000"/>
    <w:rsid w:val="00AF5023"/>
    <w:rsid w:val="00AF50F7"/>
    <w:rsid w:val="00AF5122"/>
    <w:rsid w:val="00AF5196"/>
    <w:rsid w:val="00AF5268"/>
    <w:rsid w:val="00AF5353"/>
    <w:rsid w:val="00AF5356"/>
    <w:rsid w:val="00AF5402"/>
    <w:rsid w:val="00AF55B4"/>
    <w:rsid w:val="00AF564D"/>
    <w:rsid w:val="00AF572F"/>
    <w:rsid w:val="00AF57F3"/>
    <w:rsid w:val="00AF5A76"/>
    <w:rsid w:val="00AF5AB3"/>
    <w:rsid w:val="00AF5B81"/>
    <w:rsid w:val="00AF5CA9"/>
    <w:rsid w:val="00AF5EB8"/>
    <w:rsid w:val="00AF5EBD"/>
    <w:rsid w:val="00AF5ED1"/>
    <w:rsid w:val="00AF6012"/>
    <w:rsid w:val="00AF610F"/>
    <w:rsid w:val="00AF61F8"/>
    <w:rsid w:val="00AF6273"/>
    <w:rsid w:val="00AF6552"/>
    <w:rsid w:val="00AF66B0"/>
    <w:rsid w:val="00AF6777"/>
    <w:rsid w:val="00AF6890"/>
    <w:rsid w:val="00AF6914"/>
    <w:rsid w:val="00AF6B45"/>
    <w:rsid w:val="00AF6CA5"/>
    <w:rsid w:val="00AF6D8A"/>
    <w:rsid w:val="00AF709B"/>
    <w:rsid w:val="00AF70CA"/>
    <w:rsid w:val="00AF7127"/>
    <w:rsid w:val="00AF7184"/>
    <w:rsid w:val="00AF7254"/>
    <w:rsid w:val="00AF732F"/>
    <w:rsid w:val="00AF751A"/>
    <w:rsid w:val="00AF773A"/>
    <w:rsid w:val="00AF79F6"/>
    <w:rsid w:val="00AF7DF5"/>
    <w:rsid w:val="00AF7E39"/>
    <w:rsid w:val="00AF7EAA"/>
    <w:rsid w:val="00B00041"/>
    <w:rsid w:val="00B0005E"/>
    <w:rsid w:val="00B00116"/>
    <w:rsid w:val="00B00180"/>
    <w:rsid w:val="00B00196"/>
    <w:rsid w:val="00B001A2"/>
    <w:rsid w:val="00B004C7"/>
    <w:rsid w:val="00B004D6"/>
    <w:rsid w:val="00B00888"/>
    <w:rsid w:val="00B00A9B"/>
    <w:rsid w:val="00B00AAE"/>
    <w:rsid w:val="00B00C86"/>
    <w:rsid w:val="00B00D47"/>
    <w:rsid w:val="00B00DA5"/>
    <w:rsid w:val="00B00E3D"/>
    <w:rsid w:val="00B00F19"/>
    <w:rsid w:val="00B00F51"/>
    <w:rsid w:val="00B01164"/>
    <w:rsid w:val="00B01238"/>
    <w:rsid w:val="00B012A8"/>
    <w:rsid w:val="00B013A7"/>
    <w:rsid w:val="00B0160B"/>
    <w:rsid w:val="00B01845"/>
    <w:rsid w:val="00B01A02"/>
    <w:rsid w:val="00B01B76"/>
    <w:rsid w:val="00B0205D"/>
    <w:rsid w:val="00B020DC"/>
    <w:rsid w:val="00B02162"/>
    <w:rsid w:val="00B02346"/>
    <w:rsid w:val="00B023EC"/>
    <w:rsid w:val="00B0255F"/>
    <w:rsid w:val="00B025A4"/>
    <w:rsid w:val="00B026CF"/>
    <w:rsid w:val="00B02964"/>
    <w:rsid w:val="00B02BFF"/>
    <w:rsid w:val="00B02DEF"/>
    <w:rsid w:val="00B0309E"/>
    <w:rsid w:val="00B031ED"/>
    <w:rsid w:val="00B03232"/>
    <w:rsid w:val="00B032FB"/>
    <w:rsid w:val="00B034E4"/>
    <w:rsid w:val="00B03551"/>
    <w:rsid w:val="00B035FD"/>
    <w:rsid w:val="00B0360B"/>
    <w:rsid w:val="00B036FB"/>
    <w:rsid w:val="00B03978"/>
    <w:rsid w:val="00B03A09"/>
    <w:rsid w:val="00B03AAB"/>
    <w:rsid w:val="00B03CEF"/>
    <w:rsid w:val="00B03ED3"/>
    <w:rsid w:val="00B04010"/>
    <w:rsid w:val="00B04200"/>
    <w:rsid w:val="00B0422B"/>
    <w:rsid w:val="00B0446D"/>
    <w:rsid w:val="00B04537"/>
    <w:rsid w:val="00B04540"/>
    <w:rsid w:val="00B04546"/>
    <w:rsid w:val="00B04588"/>
    <w:rsid w:val="00B045C4"/>
    <w:rsid w:val="00B0463F"/>
    <w:rsid w:val="00B048F5"/>
    <w:rsid w:val="00B049FE"/>
    <w:rsid w:val="00B04D1D"/>
    <w:rsid w:val="00B04E00"/>
    <w:rsid w:val="00B04E5F"/>
    <w:rsid w:val="00B04F24"/>
    <w:rsid w:val="00B051D3"/>
    <w:rsid w:val="00B051D5"/>
    <w:rsid w:val="00B0535A"/>
    <w:rsid w:val="00B0546D"/>
    <w:rsid w:val="00B055EF"/>
    <w:rsid w:val="00B05662"/>
    <w:rsid w:val="00B05A4B"/>
    <w:rsid w:val="00B05BB2"/>
    <w:rsid w:val="00B05BC0"/>
    <w:rsid w:val="00B05D33"/>
    <w:rsid w:val="00B05D40"/>
    <w:rsid w:val="00B05DBE"/>
    <w:rsid w:val="00B060CB"/>
    <w:rsid w:val="00B06354"/>
    <w:rsid w:val="00B0635D"/>
    <w:rsid w:val="00B063AA"/>
    <w:rsid w:val="00B0647D"/>
    <w:rsid w:val="00B06495"/>
    <w:rsid w:val="00B06612"/>
    <w:rsid w:val="00B06856"/>
    <w:rsid w:val="00B06AA7"/>
    <w:rsid w:val="00B06D2A"/>
    <w:rsid w:val="00B06D92"/>
    <w:rsid w:val="00B06EAE"/>
    <w:rsid w:val="00B06EE6"/>
    <w:rsid w:val="00B06F85"/>
    <w:rsid w:val="00B071C2"/>
    <w:rsid w:val="00B072AB"/>
    <w:rsid w:val="00B072BC"/>
    <w:rsid w:val="00B0763D"/>
    <w:rsid w:val="00B0780D"/>
    <w:rsid w:val="00B07818"/>
    <w:rsid w:val="00B0784F"/>
    <w:rsid w:val="00B07870"/>
    <w:rsid w:val="00B07908"/>
    <w:rsid w:val="00B07A4E"/>
    <w:rsid w:val="00B07AE6"/>
    <w:rsid w:val="00B07EDB"/>
    <w:rsid w:val="00B1042A"/>
    <w:rsid w:val="00B10603"/>
    <w:rsid w:val="00B107A2"/>
    <w:rsid w:val="00B107B0"/>
    <w:rsid w:val="00B108AB"/>
    <w:rsid w:val="00B10926"/>
    <w:rsid w:val="00B109D3"/>
    <w:rsid w:val="00B10D19"/>
    <w:rsid w:val="00B10D56"/>
    <w:rsid w:val="00B10E42"/>
    <w:rsid w:val="00B10E9D"/>
    <w:rsid w:val="00B10FA2"/>
    <w:rsid w:val="00B113DB"/>
    <w:rsid w:val="00B11418"/>
    <w:rsid w:val="00B1142F"/>
    <w:rsid w:val="00B114FF"/>
    <w:rsid w:val="00B11548"/>
    <w:rsid w:val="00B1154D"/>
    <w:rsid w:val="00B1175F"/>
    <w:rsid w:val="00B11A2B"/>
    <w:rsid w:val="00B11D0C"/>
    <w:rsid w:val="00B11EA2"/>
    <w:rsid w:val="00B11F9B"/>
    <w:rsid w:val="00B12636"/>
    <w:rsid w:val="00B12640"/>
    <w:rsid w:val="00B127FD"/>
    <w:rsid w:val="00B12887"/>
    <w:rsid w:val="00B12B56"/>
    <w:rsid w:val="00B12EA8"/>
    <w:rsid w:val="00B12F27"/>
    <w:rsid w:val="00B131E8"/>
    <w:rsid w:val="00B1348D"/>
    <w:rsid w:val="00B135C3"/>
    <w:rsid w:val="00B138B0"/>
    <w:rsid w:val="00B13A09"/>
    <w:rsid w:val="00B13B9F"/>
    <w:rsid w:val="00B13D25"/>
    <w:rsid w:val="00B13EAE"/>
    <w:rsid w:val="00B14073"/>
    <w:rsid w:val="00B14082"/>
    <w:rsid w:val="00B141F4"/>
    <w:rsid w:val="00B1426D"/>
    <w:rsid w:val="00B1442F"/>
    <w:rsid w:val="00B1444B"/>
    <w:rsid w:val="00B144B2"/>
    <w:rsid w:val="00B146C2"/>
    <w:rsid w:val="00B147D8"/>
    <w:rsid w:val="00B14886"/>
    <w:rsid w:val="00B149C3"/>
    <w:rsid w:val="00B14B76"/>
    <w:rsid w:val="00B14BA1"/>
    <w:rsid w:val="00B14C30"/>
    <w:rsid w:val="00B14E08"/>
    <w:rsid w:val="00B14ED2"/>
    <w:rsid w:val="00B14F3A"/>
    <w:rsid w:val="00B1518B"/>
    <w:rsid w:val="00B1518E"/>
    <w:rsid w:val="00B15262"/>
    <w:rsid w:val="00B152FA"/>
    <w:rsid w:val="00B1539E"/>
    <w:rsid w:val="00B153EF"/>
    <w:rsid w:val="00B15435"/>
    <w:rsid w:val="00B15602"/>
    <w:rsid w:val="00B1564F"/>
    <w:rsid w:val="00B1566F"/>
    <w:rsid w:val="00B15959"/>
    <w:rsid w:val="00B1598B"/>
    <w:rsid w:val="00B15B7A"/>
    <w:rsid w:val="00B15BC4"/>
    <w:rsid w:val="00B15BF5"/>
    <w:rsid w:val="00B15D02"/>
    <w:rsid w:val="00B15E93"/>
    <w:rsid w:val="00B15FDA"/>
    <w:rsid w:val="00B1615E"/>
    <w:rsid w:val="00B161CD"/>
    <w:rsid w:val="00B1658C"/>
    <w:rsid w:val="00B16615"/>
    <w:rsid w:val="00B1664B"/>
    <w:rsid w:val="00B16705"/>
    <w:rsid w:val="00B1679C"/>
    <w:rsid w:val="00B16B6B"/>
    <w:rsid w:val="00B16C71"/>
    <w:rsid w:val="00B16F8F"/>
    <w:rsid w:val="00B17130"/>
    <w:rsid w:val="00B17191"/>
    <w:rsid w:val="00B173F2"/>
    <w:rsid w:val="00B1745F"/>
    <w:rsid w:val="00B175DD"/>
    <w:rsid w:val="00B17746"/>
    <w:rsid w:val="00B1780F"/>
    <w:rsid w:val="00B17937"/>
    <w:rsid w:val="00B17978"/>
    <w:rsid w:val="00B179C3"/>
    <w:rsid w:val="00B17B19"/>
    <w:rsid w:val="00B17B21"/>
    <w:rsid w:val="00B17C97"/>
    <w:rsid w:val="00B17CB5"/>
    <w:rsid w:val="00B17D33"/>
    <w:rsid w:val="00B17F4C"/>
    <w:rsid w:val="00B2001A"/>
    <w:rsid w:val="00B20572"/>
    <w:rsid w:val="00B20641"/>
    <w:rsid w:val="00B20688"/>
    <w:rsid w:val="00B20839"/>
    <w:rsid w:val="00B2095F"/>
    <w:rsid w:val="00B20A88"/>
    <w:rsid w:val="00B20AFF"/>
    <w:rsid w:val="00B20B84"/>
    <w:rsid w:val="00B20C12"/>
    <w:rsid w:val="00B20F05"/>
    <w:rsid w:val="00B21063"/>
    <w:rsid w:val="00B2113A"/>
    <w:rsid w:val="00B211DD"/>
    <w:rsid w:val="00B211DE"/>
    <w:rsid w:val="00B211FB"/>
    <w:rsid w:val="00B2147F"/>
    <w:rsid w:val="00B21504"/>
    <w:rsid w:val="00B21665"/>
    <w:rsid w:val="00B217F3"/>
    <w:rsid w:val="00B218C0"/>
    <w:rsid w:val="00B21979"/>
    <w:rsid w:val="00B219E8"/>
    <w:rsid w:val="00B21A6B"/>
    <w:rsid w:val="00B21B68"/>
    <w:rsid w:val="00B21C3C"/>
    <w:rsid w:val="00B21EAA"/>
    <w:rsid w:val="00B21F96"/>
    <w:rsid w:val="00B21FE6"/>
    <w:rsid w:val="00B22012"/>
    <w:rsid w:val="00B221DF"/>
    <w:rsid w:val="00B22376"/>
    <w:rsid w:val="00B22479"/>
    <w:rsid w:val="00B2249D"/>
    <w:rsid w:val="00B224D0"/>
    <w:rsid w:val="00B22568"/>
    <w:rsid w:val="00B22A21"/>
    <w:rsid w:val="00B22B32"/>
    <w:rsid w:val="00B22B43"/>
    <w:rsid w:val="00B22BD2"/>
    <w:rsid w:val="00B22C7C"/>
    <w:rsid w:val="00B22CF3"/>
    <w:rsid w:val="00B22D2F"/>
    <w:rsid w:val="00B22F29"/>
    <w:rsid w:val="00B22F8B"/>
    <w:rsid w:val="00B22FE4"/>
    <w:rsid w:val="00B2322B"/>
    <w:rsid w:val="00B23376"/>
    <w:rsid w:val="00B23511"/>
    <w:rsid w:val="00B23938"/>
    <w:rsid w:val="00B239C8"/>
    <w:rsid w:val="00B23A62"/>
    <w:rsid w:val="00B23C51"/>
    <w:rsid w:val="00B23D60"/>
    <w:rsid w:val="00B2401A"/>
    <w:rsid w:val="00B2409E"/>
    <w:rsid w:val="00B24122"/>
    <w:rsid w:val="00B24233"/>
    <w:rsid w:val="00B243AE"/>
    <w:rsid w:val="00B243D0"/>
    <w:rsid w:val="00B24476"/>
    <w:rsid w:val="00B244B5"/>
    <w:rsid w:val="00B245FF"/>
    <w:rsid w:val="00B2472E"/>
    <w:rsid w:val="00B24798"/>
    <w:rsid w:val="00B247E1"/>
    <w:rsid w:val="00B24AEE"/>
    <w:rsid w:val="00B25094"/>
    <w:rsid w:val="00B251B2"/>
    <w:rsid w:val="00B252CE"/>
    <w:rsid w:val="00B25307"/>
    <w:rsid w:val="00B2539D"/>
    <w:rsid w:val="00B2552F"/>
    <w:rsid w:val="00B257DB"/>
    <w:rsid w:val="00B259F6"/>
    <w:rsid w:val="00B25B8B"/>
    <w:rsid w:val="00B25DAA"/>
    <w:rsid w:val="00B25FB9"/>
    <w:rsid w:val="00B25FDD"/>
    <w:rsid w:val="00B2604D"/>
    <w:rsid w:val="00B2606D"/>
    <w:rsid w:val="00B26225"/>
    <w:rsid w:val="00B26366"/>
    <w:rsid w:val="00B2641A"/>
    <w:rsid w:val="00B26578"/>
    <w:rsid w:val="00B2658E"/>
    <w:rsid w:val="00B265B3"/>
    <w:rsid w:val="00B268B4"/>
    <w:rsid w:val="00B26906"/>
    <w:rsid w:val="00B2695A"/>
    <w:rsid w:val="00B269B0"/>
    <w:rsid w:val="00B269DF"/>
    <w:rsid w:val="00B26ACC"/>
    <w:rsid w:val="00B26D11"/>
    <w:rsid w:val="00B26DED"/>
    <w:rsid w:val="00B27133"/>
    <w:rsid w:val="00B271EC"/>
    <w:rsid w:val="00B2728D"/>
    <w:rsid w:val="00B273EF"/>
    <w:rsid w:val="00B27720"/>
    <w:rsid w:val="00B27A80"/>
    <w:rsid w:val="00B27C7E"/>
    <w:rsid w:val="00B27E0B"/>
    <w:rsid w:val="00B27EA4"/>
    <w:rsid w:val="00B3003D"/>
    <w:rsid w:val="00B301E4"/>
    <w:rsid w:val="00B302CC"/>
    <w:rsid w:val="00B302EA"/>
    <w:rsid w:val="00B30394"/>
    <w:rsid w:val="00B303A7"/>
    <w:rsid w:val="00B30468"/>
    <w:rsid w:val="00B30A4E"/>
    <w:rsid w:val="00B30DF2"/>
    <w:rsid w:val="00B30F14"/>
    <w:rsid w:val="00B311A0"/>
    <w:rsid w:val="00B31271"/>
    <w:rsid w:val="00B31544"/>
    <w:rsid w:val="00B3158C"/>
    <w:rsid w:val="00B315AF"/>
    <w:rsid w:val="00B315B1"/>
    <w:rsid w:val="00B317D5"/>
    <w:rsid w:val="00B318BE"/>
    <w:rsid w:val="00B31B00"/>
    <w:rsid w:val="00B31D42"/>
    <w:rsid w:val="00B31E32"/>
    <w:rsid w:val="00B31F9E"/>
    <w:rsid w:val="00B3209F"/>
    <w:rsid w:val="00B320CE"/>
    <w:rsid w:val="00B32442"/>
    <w:rsid w:val="00B32514"/>
    <w:rsid w:val="00B3255E"/>
    <w:rsid w:val="00B325D9"/>
    <w:rsid w:val="00B327ED"/>
    <w:rsid w:val="00B3299C"/>
    <w:rsid w:val="00B32E56"/>
    <w:rsid w:val="00B32EC4"/>
    <w:rsid w:val="00B32FC3"/>
    <w:rsid w:val="00B33100"/>
    <w:rsid w:val="00B3317C"/>
    <w:rsid w:val="00B335D6"/>
    <w:rsid w:val="00B3369B"/>
    <w:rsid w:val="00B336A6"/>
    <w:rsid w:val="00B33725"/>
    <w:rsid w:val="00B338C8"/>
    <w:rsid w:val="00B338D0"/>
    <w:rsid w:val="00B33932"/>
    <w:rsid w:val="00B33FDD"/>
    <w:rsid w:val="00B33FDE"/>
    <w:rsid w:val="00B34140"/>
    <w:rsid w:val="00B341DA"/>
    <w:rsid w:val="00B34208"/>
    <w:rsid w:val="00B343EB"/>
    <w:rsid w:val="00B3443C"/>
    <w:rsid w:val="00B3444D"/>
    <w:rsid w:val="00B344FD"/>
    <w:rsid w:val="00B34586"/>
    <w:rsid w:val="00B3458C"/>
    <w:rsid w:val="00B3462F"/>
    <w:rsid w:val="00B3478F"/>
    <w:rsid w:val="00B34AB8"/>
    <w:rsid w:val="00B34C66"/>
    <w:rsid w:val="00B34D8F"/>
    <w:rsid w:val="00B34D94"/>
    <w:rsid w:val="00B34DAE"/>
    <w:rsid w:val="00B34DB6"/>
    <w:rsid w:val="00B35119"/>
    <w:rsid w:val="00B35155"/>
    <w:rsid w:val="00B3523A"/>
    <w:rsid w:val="00B3550F"/>
    <w:rsid w:val="00B3577E"/>
    <w:rsid w:val="00B357A3"/>
    <w:rsid w:val="00B357E0"/>
    <w:rsid w:val="00B35958"/>
    <w:rsid w:val="00B359B1"/>
    <w:rsid w:val="00B35A66"/>
    <w:rsid w:val="00B35D19"/>
    <w:rsid w:val="00B36083"/>
    <w:rsid w:val="00B361FB"/>
    <w:rsid w:val="00B36413"/>
    <w:rsid w:val="00B36489"/>
    <w:rsid w:val="00B366D4"/>
    <w:rsid w:val="00B36AF4"/>
    <w:rsid w:val="00B36BC0"/>
    <w:rsid w:val="00B36BF5"/>
    <w:rsid w:val="00B36F34"/>
    <w:rsid w:val="00B36F93"/>
    <w:rsid w:val="00B36FB8"/>
    <w:rsid w:val="00B37333"/>
    <w:rsid w:val="00B3764A"/>
    <w:rsid w:val="00B3776E"/>
    <w:rsid w:val="00B3792E"/>
    <w:rsid w:val="00B379F5"/>
    <w:rsid w:val="00B37AD1"/>
    <w:rsid w:val="00B37B03"/>
    <w:rsid w:val="00B37D29"/>
    <w:rsid w:val="00B37EB8"/>
    <w:rsid w:val="00B40031"/>
    <w:rsid w:val="00B40187"/>
    <w:rsid w:val="00B4024A"/>
    <w:rsid w:val="00B40555"/>
    <w:rsid w:val="00B405EB"/>
    <w:rsid w:val="00B40610"/>
    <w:rsid w:val="00B407A9"/>
    <w:rsid w:val="00B40836"/>
    <w:rsid w:val="00B408DB"/>
    <w:rsid w:val="00B408F6"/>
    <w:rsid w:val="00B40AAC"/>
    <w:rsid w:val="00B40CFB"/>
    <w:rsid w:val="00B40D6B"/>
    <w:rsid w:val="00B41065"/>
    <w:rsid w:val="00B410A7"/>
    <w:rsid w:val="00B41103"/>
    <w:rsid w:val="00B41293"/>
    <w:rsid w:val="00B41375"/>
    <w:rsid w:val="00B4164C"/>
    <w:rsid w:val="00B41A98"/>
    <w:rsid w:val="00B41CBA"/>
    <w:rsid w:val="00B41CE3"/>
    <w:rsid w:val="00B41DE5"/>
    <w:rsid w:val="00B42090"/>
    <w:rsid w:val="00B42100"/>
    <w:rsid w:val="00B42233"/>
    <w:rsid w:val="00B4224E"/>
    <w:rsid w:val="00B4225F"/>
    <w:rsid w:val="00B42263"/>
    <w:rsid w:val="00B42274"/>
    <w:rsid w:val="00B42469"/>
    <w:rsid w:val="00B425FA"/>
    <w:rsid w:val="00B42686"/>
    <w:rsid w:val="00B42773"/>
    <w:rsid w:val="00B42871"/>
    <w:rsid w:val="00B4291A"/>
    <w:rsid w:val="00B42948"/>
    <w:rsid w:val="00B42A09"/>
    <w:rsid w:val="00B42B26"/>
    <w:rsid w:val="00B42C38"/>
    <w:rsid w:val="00B42CC2"/>
    <w:rsid w:val="00B42D23"/>
    <w:rsid w:val="00B42E54"/>
    <w:rsid w:val="00B43086"/>
    <w:rsid w:val="00B43130"/>
    <w:rsid w:val="00B4314C"/>
    <w:rsid w:val="00B43203"/>
    <w:rsid w:val="00B4341F"/>
    <w:rsid w:val="00B4344E"/>
    <w:rsid w:val="00B4349D"/>
    <w:rsid w:val="00B434C6"/>
    <w:rsid w:val="00B434E8"/>
    <w:rsid w:val="00B43715"/>
    <w:rsid w:val="00B43818"/>
    <w:rsid w:val="00B43851"/>
    <w:rsid w:val="00B4388A"/>
    <w:rsid w:val="00B43898"/>
    <w:rsid w:val="00B439A4"/>
    <w:rsid w:val="00B43C01"/>
    <w:rsid w:val="00B43D91"/>
    <w:rsid w:val="00B43E43"/>
    <w:rsid w:val="00B43F1F"/>
    <w:rsid w:val="00B43F6D"/>
    <w:rsid w:val="00B440AF"/>
    <w:rsid w:val="00B440BE"/>
    <w:rsid w:val="00B44174"/>
    <w:rsid w:val="00B44378"/>
    <w:rsid w:val="00B4440D"/>
    <w:rsid w:val="00B4441D"/>
    <w:rsid w:val="00B44509"/>
    <w:rsid w:val="00B4456E"/>
    <w:rsid w:val="00B446A2"/>
    <w:rsid w:val="00B44B9E"/>
    <w:rsid w:val="00B44C46"/>
    <w:rsid w:val="00B44D86"/>
    <w:rsid w:val="00B44DB9"/>
    <w:rsid w:val="00B44E4C"/>
    <w:rsid w:val="00B45013"/>
    <w:rsid w:val="00B45047"/>
    <w:rsid w:val="00B45074"/>
    <w:rsid w:val="00B4511E"/>
    <w:rsid w:val="00B45225"/>
    <w:rsid w:val="00B4546D"/>
    <w:rsid w:val="00B4552A"/>
    <w:rsid w:val="00B45612"/>
    <w:rsid w:val="00B457F5"/>
    <w:rsid w:val="00B45B6D"/>
    <w:rsid w:val="00B45D2C"/>
    <w:rsid w:val="00B45FF0"/>
    <w:rsid w:val="00B46040"/>
    <w:rsid w:val="00B46294"/>
    <w:rsid w:val="00B463A7"/>
    <w:rsid w:val="00B46424"/>
    <w:rsid w:val="00B4642C"/>
    <w:rsid w:val="00B4655E"/>
    <w:rsid w:val="00B46573"/>
    <w:rsid w:val="00B46637"/>
    <w:rsid w:val="00B46836"/>
    <w:rsid w:val="00B46BA7"/>
    <w:rsid w:val="00B46BD2"/>
    <w:rsid w:val="00B46C10"/>
    <w:rsid w:val="00B46E2E"/>
    <w:rsid w:val="00B46EB4"/>
    <w:rsid w:val="00B46F52"/>
    <w:rsid w:val="00B470C3"/>
    <w:rsid w:val="00B47132"/>
    <w:rsid w:val="00B471AB"/>
    <w:rsid w:val="00B4790F"/>
    <w:rsid w:val="00B47958"/>
    <w:rsid w:val="00B47A41"/>
    <w:rsid w:val="00B47AB7"/>
    <w:rsid w:val="00B47AE5"/>
    <w:rsid w:val="00B47CB6"/>
    <w:rsid w:val="00B47CD0"/>
    <w:rsid w:val="00B47D82"/>
    <w:rsid w:val="00B501DD"/>
    <w:rsid w:val="00B504BA"/>
    <w:rsid w:val="00B50531"/>
    <w:rsid w:val="00B50562"/>
    <w:rsid w:val="00B5076B"/>
    <w:rsid w:val="00B50A84"/>
    <w:rsid w:val="00B50AA8"/>
    <w:rsid w:val="00B50AD6"/>
    <w:rsid w:val="00B50B9A"/>
    <w:rsid w:val="00B50C8A"/>
    <w:rsid w:val="00B50D41"/>
    <w:rsid w:val="00B50F1B"/>
    <w:rsid w:val="00B50F52"/>
    <w:rsid w:val="00B510D9"/>
    <w:rsid w:val="00B5119B"/>
    <w:rsid w:val="00B51420"/>
    <w:rsid w:val="00B516BD"/>
    <w:rsid w:val="00B517F7"/>
    <w:rsid w:val="00B5190A"/>
    <w:rsid w:val="00B51957"/>
    <w:rsid w:val="00B51AD0"/>
    <w:rsid w:val="00B51C75"/>
    <w:rsid w:val="00B51EFD"/>
    <w:rsid w:val="00B51FC9"/>
    <w:rsid w:val="00B522D6"/>
    <w:rsid w:val="00B52307"/>
    <w:rsid w:val="00B52501"/>
    <w:rsid w:val="00B5258C"/>
    <w:rsid w:val="00B528B2"/>
    <w:rsid w:val="00B528CC"/>
    <w:rsid w:val="00B52973"/>
    <w:rsid w:val="00B52A46"/>
    <w:rsid w:val="00B52A4C"/>
    <w:rsid w:val="00B52E68"/>
    <w:rsid w:val="00B52F39"/>
    <w:rsid w:val="00B53265"/>
    <w:rsid w:val="00B53339"/>
    <w:rsid w:val="00B53351"/>
    <w:rsid w:val="00B53376"/>
    <w:rsid w:val="00B53455"/>
    <w:rsid w:val="00B53706"/>
    <w:rsid w:val="00B5375A"/>
    <w:rsid w:val="00B53AE5"/>
    <w:rsid w:val="00B53B04"/>
    <w:rsid w:val="00B53B26"/>
    <w:rsid w:val="00B53E25"/>
    <w:rsid w:val="00B53F56"/>
    <w:rsid w:val="00B541DE"/>
    <w:rsid w:val="00B542CA"/>
    <w:rsid w:val="00B5439C"/>
    <w:rsid w:val="00B543B6"/>
    <w:rsid w:val="00B545FB"/>
    <w:rsid w:val="00B5483E"/>
    <w:rsid w:val="00B54B09"/>
    <w:rsid w:val="00B54C2D"/>
    <w:rsid w:val="00B54C6F"/>
    <w:rsid w:val="00B54C8D"/>
    <w:rsid w:val="00B54C90"/>
    <w:rsid w:val="00B54CC3"/>
    <w:rsid w:val="00B54DD8"/>
    <w:rsid w:val="00B54EDC"/>
    <w:rsid w:val="00B54F00"/>
    <w:rsid w:val="00B54F79"/>
    <w:rsid w:val="00B55008"/>
    <w:rsid w:val="00B5500C"/>
    <w:rsid w:val="00B551F7"/>
    <w:rsid w:val="00B5528C"/>
    <w:rsid w:val="00B55467"/>
    <w:rsid w:val="00B555A8"/>
    <w:rsid w:val="00B55680"/>
    <w:rsid w:val="00B5586B"/>
    <w:rsid w:val="00B559D8"/>
    <w:rsid w:val="00B55A1B"/>
    <w:rsid w:val="00B55C18"/>
    <w:rsid w:val="00B55C90"/>
    <w:rsid w:val="00B55FDB"/>
    <w:rsid w:val="00B55FF7"/>
    <w:rsid w:val="00B56070"/>
    <w:rsid w:val="00B560EF"/>
    <w:rsid w:val="00B56163"/>
    <w:rsid w:val="00B56360"/>
    <w:rsid w:val="00B5659A"/>
    <w:rsid w:val="00B565C8"/>
    <w:rsid w:val="00B566A4"/>
    <w:rsid w:val="00B56754"/>
    <w:rsid w:val="00B567A5"/>
    <w:rsid w:val="00B56E9F"/>
    <w:rsid w:val="00B56F3B"/>
    <w:rsid w:val="00B56FF4"/>
    <w:rsid w:val="00B572C0"/>
    <w:rsid w:val="00B572E6"/>
    <w:rsid w:val="00B57318"/>
    <w:rsid w:val="00B573A5"/>
    <w:rsid w:val="00B576AF"/>
    <w:rsid w:val="00B57898"/>
    <w:rsid w:val="00B57A85"/>
    <w:rsid w:val="00B57C3D"/>
    <w:rsid w:val="00B57D59"/>
    <w:rsid w:val="00B60223"/>
    <w:rsid w:val="00B6026D"/>
    <w:rsid w:val="00B60432"/>
    <w:rsid w:val="00B60646"/>
    <w:rsid w:val="00B60686"/>
    <w:rsid w:val="00B60E22"/>
    <w:rsid w:val="00B6107C"/>
    <w:rsid w:val="00B610C8"/>
    <w:rsid w:val="00B61372"/>
    <w:rsid w:val="00B614EE"/>
    <w:rsid w:val="00B6168C"/>
    <w:rsid w:val="00B61929"/>
    <w:rsid w:val="00B61934"/>
    <w:rsid w:val="00B61981"/>
    <w:rsid w:val="00B61A6F"/>
    <w:rsid w:val="00B61BE2"/>
    <w:rsid w:val="00B61C61"/>
    <w:rsid w:val="00B61CEF"/>
    <w:rsid w:val="00B61D60"/>
    <w:rsid w:val="00B61D68"/>
    <w:rsid w:val="00B61D9F"/>
    <w:rsid w:val="00B6216E"/>
    <w:rsid w:val="00B622D5"/>
    <w:rsid w:val="00B62345"/>
    <w:rsid w:val="00B62414"/>
    <w:rsid w:val="00B62746"/>
    <w:rsid w:val="00B627CF"/>
    <w:rsid w:val="00B627D6"/>
    <w:rsid w:val="00B6296C"/>
    <w:rsid w:val="00B62A09"/>
    <w:rsid w:val="00B62B71"/>
    <w:rsid w:val="00B62C7B"/>
    <w:rsid w:val="00B62CEC"/>
    <w:rsid w:val="00B62D7C"/>
    <w:rsid w:val="00B62E20"/>
    <w:rsid w:val="00B62E3F"/>
    <w:rsid w:val="00B62E51"/>
    <w:rsid w:val="00B62EBA"/>
    <w:rsid w:val="00B630C2"/>
    <w:rsid w:val="00B631DE"/>
    <w:rsid w:val="00B63496"/>
    <w:rsid w:val="00B634AD"/>
    <w:rsid w:val="00B63572"/>
    <w:rsid w:val="00B635D2"/>
    <w:rsid w:val="00B636A6"/>
    <w:rsid w:val="00B638B4"/>
    <w:rsid w:val="00B63BFA"/>
    <w:rsid w:val="00B63C0A"/>
    <w:rsid w:val="00B63DEA"/>
    <w:rsid w:val="00B63E64"/>
    <w:rsid w:val="00B63F5F"/>
    <w:rsid w:val="00B6437D"/>
    <w:rsid w:val="00B643E2"/>
    <w:rsid w:val="00B646E9"/>
    <w:rsid w:val="00B64781"/>
    <w:rsid w:val="00B64782"/>
    <w:rsid w:val="00B64937"/>
    <w:rsid w:val="00B64AA6"/>
    <w:rsid w:val="00B64B34"/>
    <w:rsid w:val="00B64B88"/>
    <w:rsid w:val="00B64D6B"/>
    <w:rsid w:val="00B64DE9"/>
    <w:rsid w:val="00B64EF5"/>
    <w:rsid w:val="00B64F66"/>
    <w:rsid w:val="00B64FA1"/>
    <w:rsid w:val="00B64FA4"/>
    <w:rsid w:val="00B6503D"/>
    <w:rsid w:val="00B650F4"/>
    <w:rsid w:val="00B65154"/>
    <w:rsid w:val="00B654E6"/>
    <w:rsid w:val="00B65528"/>
    <w:rsid w:val="00B65546"/>
    <w:rsid w:val="00B657B8"/>
    <w:rsid w:val="00B657F2"/>
    <w:rsid w:val="00B659FE"/>
    <w:rsid w:val="00B65B23"/>
    <w:rsid w:val="00B65C51"/>
    <w:rsid w:val="00B65D15"/>
    <w:rsid w:val="00B65D5D"/>
    <w:rsid w:val="00B65E49"/>
    <w:rsid w:val="00B65E99"/>
    <w:rsid w:val="00B65FFF"/>
    <w:rsid w:val="00B66006"/>
    <w:rsid w:val="00B6601A"/>
    <w:rsid w:val="00B66184"/>
    <w:rsid w:val="00B6628A"/>
    <w:rsid w:val="00B663FF"/>
    <w:rsid w:val="00B666AF"/>
    <w:rsid w:val="00B666B9"/>
    <w:rsid w:val="00B66817"/>
    <w:rsid w:val="00B6693E"/>
    <w:rsid w:val="00B66AD6"/>
    <w:rsid w:val="00B66D21"/>
    <w:rsid w:val="00B66DAD"/>
    <w:rsid w:val="00B66DE0"/>
    <w:rsid w:val="00B66E82"/>
    <w:rsid w:val="00B66FE3"/>
    <w:rsid w:val="00B671ED"/>
    <w:rsid w:val="00B6720D"/>
    <w:rsid w:val="00B67270"/>
    <w:rsid w:val="00B674FD"/>
    <w:rsid w:val="00B6760F"/>
    <w:rsid w:val="00B67792"/>
    <w:rsid w:val="00B6785C"/>
    <w:rsid w:val="00B67C3C"/>
    <w:rsid w:val="00B67CA0"/>
    <w:rsid w:val="00B67D6D"/>
    <w:rsid w:val="00B67ED9"/>
    <w:rsid w:val="00B7011B"/>
    <w:rsid w:val="00B7012D"/>
    <w:rsid w:val="00B70276"/>
    <w:rsid w:val="00B70292"/>
    <w:rsid w:val="00B70434"/>
    <w:rsid w:val="00B70485"/>
    <w:rsid w:val="00B704B3"/>
    <w:rsid w:val="00B706F1"/>
    <w:rsid w:val="00B70877"/>
    <w:rsid w:val="00B70A1F"/>
    <w:rsid w:val="00B70A99"/>
    <w:rsid w:val="00B70C75"/>
    <w:rsid w:val="00B70EBE"/>
    <w:rsid w:val="00B70F72"/>
    <w:rsid w:val="00B70FA1"/>
    <w:rsid w:val="00B71164"/>
    <w:rsid w:val="00B7126F"/>
    <w:rsid w:val="00B71645"/>
    <w:rsid w:val="00B71669"/>
    <w:rsid w:val="00B71769"/>
    <w:rsid w:val="00B71798"/>
    <w:rsid w:val="00B717A2"/>
    <w:rsid w:val="00B71833"/>
    <w:rsid w:val="00B71842"/>
    <w:rsid w:val="00B71AD9"/>
    <w:rsid w:val="00B71C92"/>
    <w:rsid w:val="00B71D8E"/>
    <w:rsid w:val="00B71DA6"/>
    <w:rsid w:val="00B71EE0"/>
    <w:rsid w:val="00B7210B"/>
    <w:rsid w:val="00B72194"/>
    <w:rsid w:val="00B7224F"/>
    <w:rsid w:val="00B72373"/>
    <w:rsid w:val="00B72392"/>
    <w:rsid w:val="00B72419"/>
    <w:rsid w:val="00B72455"/>
    <w:rsid w:val="00B72549"/>
    <w:rsid w:val="00B72720"/>
    <w:rsid w:val="00B72776"/>
    <w:rsid w:val="00B728A2"/>
    <w:rsid w:val="00B72AE7"/>
    <w:rsid w:val="00B72C8B"/>
    <w:rsid w:val="00B72CCD"/>
    <w:rsid w:val="00B72CF8"/>
    <w:rsid w:val="00B72FDD"/>
    <w:rsid w:val="00B73059"/>
    <w:rsid w:val="00B7341F"/>
    <w:rsid w:val="00B73476"/>
    <w:rsid w:val="00B73484"/>
    <w:rsid w:val="00B73507"/>
    <w:rsid w:val="00B73555"/>
    <w:rsid w:val="00B73608"/>
    <w:rsid w:val="00B73748"/>
    <w:rsid w:val="00B7377E"/>
    <w:rsid w:val="00B73A2E"/>
    <w:rsid w:val="00B73A37"/>
    <w:rsid w:val="00B73AD4"/>
    <w:rsid w:val="00B73ADF"/>
    <w:rsid w:val="00B73B1D"/>
    <w:rsid w:val="00B73DFD"/>
    <w:rsid w:val="00B73E70"/>
    <w:rsid w:val="00B73E94"/>
    <w:rsid w:val="00B73EF1"/>
    <w:rsid w:val="00B73F7D"/>
    <w:rsid w:val="00B74178"/>
    <w:rsid w:val="00B741AD"/>
    <w:rsid w:val="00B74380"/>
    <w:rsid w:val="00B743F9"/>
    <w:rsid w:val="00B745B8"/>
    <w:rsid w:val="00B745BD"/>
    <w:rsid w:val="00B74675"/>
    <w:rsid w:val="00B746AE"/>
    <w:rsid w:val="00B74722"/>
    <w:rsid w:val="00B74723"/>
    <w:rsid w:val="00B749F2"/>
    <w:rsid w:val="00B74A87"/>
    <w:rsid w:val="00B74B05"/>
    <w:rsid w:val="00B74B79"/>
    <w:rsid w:val="00B74C2F"/>
    <w:rsid w:val="00B74CBE"/>
    <w:rsid w:val="00B74CE1"/>
    <w:rsid w:val="00B74D73"/>
    <w:rsid w:val="00B7506A"/>
    <w:rsid w:val="00B75085"/>
    <w:rsid w:val="00B7509C"/>
    <w:rsid w:val="00B75113"/>
    <w:rsid w:val="00B751E0"/>
    <w:rsid w:val="00B75446"/>
    <w:rsid w:val="00B756C0"/>
    <w:rsid w:val="00B75757"/>
    <w:rsid w:val="00B757C8"/>
    <w:rsid w:val="00B7587B"/>
    <w:rsid w:val="00B7593D"/>
    <w:rsid w:val="00B759E2"/>
    <w:rsid w:val="00B75F7C"/>
    <w:rsid w:val="00B75FF5"/>
    <w:rsid w:val="00B761A6"/>
    <w:rsid w:val="00B764CF"/>
    <w:rsid w:val="00B76664"/>
    <w:rsid w:val="00B76671"/>
    <w:rsid w:val="00B76694"/>
    <w:rsid w:val="00B76813"/>
    <w:rsid w:val="00B7681F"/>
    <w:rsid w:val="00B76887"/>
    <w:rsid w:val="00B76908"/>
    <w:rsid w:val="00B7695E"/>
    <w:rsid w:val="00B76A1C"/>
    <w:rsid w:val="00B76AF2"/>
    <w:rsid w:val="00B76D2B"/>
    <w:rsid w:val="00B76E9C"/>
    <w:rsid w:val="00B77084"/>
    <w:rsid w:val="00B770D4"/>
    <w:rsid w:val="00B771C9"/>
    <w:rsid w:val="00B774B0"/>
    <w:rsid w:val="00B774C7"/>
    <w:rsid w:val="00B774ED"/>
    <w:rsid w:val="00B775C0"/>
    <w:rsid w:val="00B77853"/>
    <w:rsid w:val="00B7785C"/>
    <w:rsid w:val="00B7792D"/>
    <w:rsid w:val="00B77973"/>
    <w:rsid w:val="00B7797A"/>
    <w:rsid w:val="00B77D77"/>
    <w:rsid w:val="00B77DC4"/>
    <w:rsid w:val="00B77E79"/>
    <w:rsid w:val="00B80064"/>
    <w:rsid w:val="00B8007F"/>
    <w:rsid w:val="00B800C2"/>
    <w:rsid w:val="00B800D4"/>
    <w:rsid w:val="00B80185"/>
    <w:rsid w:val="00B80518"/>
    <w:rsid w:val="00B806B3"/>
    <w:rsid w:val="00B80AA3"/>
    <w:rsid w:val="00B80AA4"/>
    <w:rsid w:val="00B80C66"/>
    <w:rsid w:val="00B80CBC"/>
    <w:rsid w:val="00B80E83"/>
    <w:rsid w:val="00B81202"/>
    <w:rsid w:val="00B81425"/>
    <w:rsid w:val="00B8146A"/>
    <w:rsid w:val="00B8155F"/>
    <w:rsid w:val="00B81655"/>
    <w:rsid w:val="00B816C9"/>
    <w:rsid w:val="00B81702"/>
    <w:rsid w:val="00B81746"/>
    <w:rsid w:val="00B817E2"/>
    <w:rsid w:val="00B81B37"/>
    <w:rsid w:val="00B81BBA"/>
    <w:rsid w:val="00B81F08"/>
    <w:rsid w:val="00B81FFC"/>
    <w:rsid w:val="00B82125"/>
    <w:rsid w:val="00B82144"/>
    <w:rsid w:val="00B822C4"/>
    <w:rsid w:val="00B82474"/>
    <w:rsid w:val="00B8248E"/>
    <w:rsid w:val="00B82557"/>
    <w:rsid w:val="00B82790"/>
    <w:rsid w:val="00B82D79"/>
    <w:rsid w:val="00B831AE"/>
    <w:rsid w:val="00B836BE"/>
    <w:rsid w:val="00B83AE6"/>
    <w:rsid w:val="00B83BB3"/>
    <w:rsid w:val="00B83DCF"/>
    <w:rsid w:val="00B83E5D"/>
    <w:rsid w:val="00B83EA6"/>
    <w:rsid w:val="00B83F09"/>
    <w:rsid w:val="00B84037"/>
    <w:rsid w:val="00B8408C"/>
    <w:rsid w:val="00B84106"/>
    <w:rsid w:val="00B842AB"/>
    <w:rsid w:val="00B8436C"/>
    <w:rsid w:val="00B845AA"/>
    <w:rsid w:val="00B8466A"/>
    <w:rsid w:val="00B84791"/>
    <w:rsid w:val="00B84A70"/>
    <w:rsid w:val="00B84D71"/>
    <w:rsid w:val="00B84DA5"/>
    <w:rsid w:val="00B84EE1"/>
    <w:rsid w:val="00B84F20"/>
    <w:rsid w:val="00B85069"/>
    <w:rsid w:val="00B8517D"/>
    <w:rsid w:val="00B851EA"/>
    <w:rsid w:val="00B852D6"/>
    <w:rsid w:val="00B8557A"/>
    <w:rsid w:val="00B856A4"/>
    <w:rsid w:val="00B85A1D"/>
    <w:rsid w:val="00B85A93"/>
    <w:rsid w:val="00B85BBD"/>
    <w:rsid w:val="00B85C0D"/>
    <w:rsid w:val="00B85D1E"/>
    <w:rsid w:val="00B8601D"/>
    <w:rsid w:val="00B86077"/>
    <w:rsid w:val="00B861AE"/>
    <w:rsid w:val="00B864D9"/>
    <w:rsid w:val="00B86507"/>
    <w:rsid w:val="00B86648"/>
    <w:rsid w:val="00B8673A"/>
    <w:rsid w:val="00B86960"/>
    <w:rsid w:val="00B869B8"/>
    <w:rsid w:val="00B869C0"/>
    <w:rsid w:val="00B86ABA"/>
    <w:rsid w:val="00B86AD4"/>
    <w:rsid w:val="00B86AE4"/>
    <w:rsid w:val="00B86B14"/>
    <w:rsid w:val="00B86C71"/>
    <w:rsid w:val="00B86CD3"/>
    <w:rsid w:val="00B86E78"/>
    <w:rsid w:val="00B86E92"/>
    <w:rsid w:val="00B86FCD"/>
    <w:rsid w:val="00B87012"/>
    <w:rsid w:val="00B870CD"/>
    <w:rsid w:val="00B87125"/>
    <w:rsid w:val="00B871BC"/>
    <w:rsid w:val="00B8745B"/>
    <w:rsid w:val="00B878CE"/>
    <w:rsid w:val="00B8791D"/>
    <w:rsid w:val="00B87CA9"/>
    <w:rsid w:val="00B9039B"/>
    <w:rsid w:val="00B90460"/>
    <w:rsid w:val="00B907AB"/>
    <w:rsid w:val="00B90845"/>
    <w:rsid w:val="00B90884"/>
    <w:rsid w:val="00B909BE"/>
    <w:rsid w:val="00B90A10"/>
    <w:rsid w:val="00B90B34"/>
    <w:rsid w:val="00B90BEA"/>
    <w:rsid w:val="00B90D30"/>
    <w:rsid w:val="00B90D4C"/>
    <w:rsid w:val="00B90D77"/>
    <w:rsid w:val="00B91084"/>
    <w:rsid w:val="00B913A8"/>
    <w:rsid w:val="00B91429"/>
    <w:rsid w:val="00B91490"/>
    <w:rsid w:val="00B9160D"/>
    <w:rsid w:val="00B91846"/>
    <w:rsid w:val="00B91A1D"/>
    <w:rsid w:val="00B91A36"/>
    <w:rsid w:val="00B91B9A"/>
    <w:rsid w:val="00B91CC7"/>
    <w:rsid w:val="00B91D4B"/>
    <w:rsid w:val="00B91F51"/>
    <w:rsid w:val="00B91FBC"/>
    <w:rsid w:val="00B92006"/>
    <w:rsid w:val="00B92341"/>
    <w:rsid w:val="00B92484"/>
    <w:rsid w:val="00B925A0"/>
    <w:rsid w:val="00B92726"/>
    <w:rsid w:val="00B927A1"/>
    <w:rsid w:val="00B927A5"/>
    <w:rsid w:val="00B92C52"/>
    <w:rsid w:val="00B930A0"/>
    <w:rsid w:val="00B93184"/>
    <w:rsid w:val="00B93582"/>
    <w:rsid w:val="00B935F3"/>
    <w:rsid w:val="00B93809"/>
    <w:rsid w:val="00B938B3"/>
    <w:rsid w:val="00B939FC"/>
    <w:rsid w:val="00B93A41"/>
    <w:rsid w:val="00B93D00"/>
    <w:rsid w:val="00B93D7E"/>
    <w:rsid w:val="00B93DFE"/>
    <w:rsid w:val="00B93ECF"/>
    <w:rsid w:val="00B93F09"/>
    <w:rsid w:val="00B9416A"/>
    <w:rsid w:val="00B941DA"/>
    <w:rsid w:val="00B944FD"/>
    <w:rsid w:val="00B947A4"/>
    <w:rsid w:val="00B948DF"/>
    <w:rsid w:val="00B94AE6"/>
    <w:rsid w:val="00B94C1A"/>
    <w:rsid w:val="00B94C77"/>
    <w:rsid w:val="00B94D2D"/>
    <w:rsid w:val="00B94D47"/>
    <w:rsid w:val="00B94DBA"/>
    <w:rsid w:val="00B94E08"/>
    <w:rsid w:val="00B9502C"/>
    <w:rsid w:val="00B95078"/>
    <w:rsid w:val="00B951A8"/>
    <w:rsid w:val="00B951C1"/>
    <w:rsid w:val="00B95288"/>
    <w:rsid w:val="00B952AE"/>
    <w:rsid w:val="00B95348"/>
    <w:rsid w:val="00B95629"/>
    <w:rsid w:val="00B956D3"/>
    <w:rsid w:val="00B95767"/>
    <w:rsid w:val="00B958D3"/>
    <w:rsid w:val="00B959DA"/>
    <w:rsid w:val="00B95B24"/>
    <w:rsid w:val="00B95BD4"/>
    <w:rsid w:val="00B95CA0"/>
    <w:rsid w:val="00B95FE1"/>
    <w:rsid w:val="00B96135"/>
    <w:rsid w:val="00B96139"/>
    <w:rsid w:val="00B9616C"/>
    <w:rsid w:val="00B96200"/>
    <w:rsid w:val="00B96374"/>
    <w:rsid w:val="00B963E8"/>
    <w:rsid w:val="00B96445"/>
    <w:rsid w:val="00B9647B"/>
    <w:rsid w:val="00B96510"/>
    <w:rsid w:val="00B96553"/>
    <w:rsid w:val="00B9658D"/>
    <w:rsid w:val="00B9697B"/>
    <w:rsid w:val="00B96A4A"/>
    <w:rsid w:val="00B96AF7"/>
    <w:rsid w:val="00B96BEE"/>
    <w:rsid w:val="00B96CD4"/>
    <w:rsid w:val="00B96D07"/>
    <w:rsid w:val="00B96E26"/>
    <w:rsid w:val="00B96E40"/>
    <w:rsid w:val="00B96EF7"/>
    <w:rsid w:val="00B96FBB"/>
    <w:rsid w:val="00B9712B"/>
    <w:rsid w:val="00B971A0"/>
    <w:rsid w:val="00B971AA"/>
    <w:rsid w:val="00B971AD"/>
    <w:rsid w:val="00B972E4"/>
    <w:rsid w:val="00B97447"/>
    <w:rsid w:val="00B9745F"/>
    <w:rsid w:val="00B97632"/>
    <w:rsid w:val="00B97677"/>
    <w:rsid w:val="00B97819"/>
    <w:rsid w:val="00B978BA"/>
    <w:rsid w:val="00B97F7C"/>
    <w:rsid w:val="00B97F9F"/>
    <w:rsid w:val="00BA006B"/>
    <w:rsid w:val="00BA01A3"/>
    <w:rsid w:val="00BA0470"/>
    <w:rsid w:val="00BA05D0"/>
    <w:rsid w:val="00BA0704"/>
    <w:rsid w:val="00BA0719"/>
    <w:rsid w:val="00BA072F"/>
    <w:rsid w:val="00BA07CB"/>
    <w:rsid w:val="00BA084D"/>
    <w:rsid w:val="00BA08B3"/>
    <w:rsid w:val="00BA0A6E"/>
    <w:rsid w:val="00BA0BEB"/>
    <w:rsid w:val="00BA0C53"/>
    <w:rsid w:val="00BA0D73"/>
    <w:rsid w:val="00BA0DA8"/>
    <w:rsid w:val="00BA0E82"/>
    <w:rsid w:val="00BA11BF"/>
    <w:rsid w:val="00BA12A2"/>
    <w:rsid w:val="00BA142F"/>
    <w:rsid w:val="00BA147C"/>
    <w:rsid w:val="00BA1772"/>
    <w:rsid w:val="00BA1784"/>
    <w:rsid w:val="00BA18F3"/>
    <w:rsid w:val="00BA19D7"/>
    <w:rsid w:val="00BA1BC9"/>
    <w:rsid w:val="00BA1F89"/>
    <w:rsid w:val="00BA20CE"/>
    <w:rsid w:val="00BA2376"/>
    <w:rsid w:val="00BA23E2"/>
    <w:rsid w:val="00BA24BF"/>
    <w:rsid w:val="00BA2594"/>
    <w:rsid w:val="00BA27C5"/>
    <w:rsid w:val="00BA289A"/>
    <w:rsid w:val="00BA2B1E"/>
    <w:rsid w:val="00BA2B78"/>
    <w:rsid w:val="00BA2DF6"/>
    <w:rsid w:val="00BA2F5C"/>
    <w:rsid w:val="00BA30B7"/>
    <w:rsid w:val="00BA3111"/>
    <w:rsid w:val="00BA3148"/>
    <w:rsid w:val="00BA315E"/>
    <w:rsid w:val="00BA335B"/>
    <w:rsid w:val="00BA33B8"/>
    <w:rsid w:val="00BA347A"/>
    <w:rsid w:val="00BA353A"/>
    <w:rsid w:val="00BA370C"/>
    <w:rsid w:val="00BA3759"/>
    <w:rsid w:val="00BA37EC"/>
    <w:rsid w:val="00BA3AEC"/>
    <w:rsid w:val="00BA3D71"/>
    <w:rsid w:val="00BA3D7A"/>
    <w:rsid w:val="00BA3D7B"/>
    <w:rsid w:val="00BA3DE1"/>
    <w:rsid w:val="00BA3E43"/>
    <w:rsid w:val="00BA3E55"/>
    <w:rsid w:val="00BA4248"/>
    <w:rsid w:val="00BA432F"/>
    <w:rsid w:val="00BA4387"/>
    <w:rsid w:val="00BA44BB"/>
    <w:rsid w:val="00BA4664"/>
    <w:rsid w:val="00BA48A3"/>
    <w:rsid w:val="00BA49DA"/>
    <w:rsid w:val="00BA4A46"/>
    <w:rsid w:val="00BA4A86"/>
    <w:rsid w:val="00BA4B2F"/>
    <w:rsid w:val="00BA4C1D"/>
    <w:rsid w:val="00BA4D11"/>
    <w:rsid w:val="00BA4E92"/>
    <w:rsid w:val="00BA5340"/>
    <w:rsid w:val="00BA536D"/>
    <w:rsid w:val="00BA5382"/>
    <w:rsid w:val="00BA53E4"/>
    <w:rsid w:val="00BA53E7"/>
    <w:rsid w:val="00BA5624"/>
    <w:rsid w:val="00BA5772"/>
    <w:rsid w:val="00BA5785"/>
    <w:rsid w:val="00BA5787"/>
    <w:rsid w:val="00BA57B8"/>
    <w:rsid w:val="00BA58CC"/>
    <w:rsid w:val="00BA59D0"/>
    <w:rsid w:val="00BA5ABF"/>
    <w:rsid w:val="00BA5B3D"/>
    <w:rsid w:val="00BA5BA6"/>
    <w:rsid w:val="00BA5BF6"/>
    <w:rsid w:val="00BA5DD4"/>
    <w:rsid w:val="00BA5E18"/>
    <w:rsid w:val="00BA5E53"/>
    <w:rsid w:val="00BA614B"/>
    <w:rsid w:val="00BA6317"/>
    <w:rsid w:val="00BA693C"/>
    <w:rsid w:val="00BA69F1"/>
    <w:rsid w:val="00BA6C50"/>
    <w:rsid w:val="00BA6C5D"/>
    <w:rsid w:val="00BA6DDD"/>
    <w:rsid w:val="00BA6F3D"/>
    <w:rsid w:val="00BA7024"/>
    <w:rsid w:val="00BA7326"/>
    <w:rsid w:val="00BA744A"/>
    <w:rsid w:val="00BA75A1"/>
    <w:rsid w:val="00BA7623"/>
    <w:rsid w:val="00BA76D1"/>
    <w:rsid w:val="00BA76E5"/>
    <w:rsid w:val="00BA7700"/>
    <w:rsid w:val="00BA7A4B"/>
    <w:rsid w:val="00BA7A7F"/>
    <w:rsid w:val="00BA7B57"/>
    <w:rsid w:val="00BA7C8F"/>
    <w:rsid w:val="00BA7D89"/>
    <w:rsid w:val="00BA7F4A"/>
    <w:rsid w:val="00BA7F5B"/>
    <w:rsid w:val="00BA7F79"/>
    <w:rsid w:val="00BB0362"/>
    <w:rsid w:val="00BB036D"/>
    <w:rsid w:val="00BB03AA"/>
    <w:rsid w:val="00BB04FB"/>
    <w:rsid w:val="00BB0508"/>
    <w:rsid w:val="00BB0558"/>
    <w:rsid w:val="00BB057D"/>
    <w:rsid w:val="00BB07E1"/>
    <w:rsid w:val="00BB0CAB"/>
    <w:rsid w:val="00BB0D4E"/>
    <w:rsid w:val="00BB0D5B"/>
    <w:rsid w:val="00BB0D60"/>
    <w:rsid w:val="00BB0DBB"/>
    <w:rsid w:val="00BB0F01"/>
    <w:rsid w:val="00BB0F70"/>
    <w:rsid w:val="00BB1123"/>
    <w:rsid w:val="00BB12DF"/>
    <w:rsid w:val="00BB1317"/>
    <w:rsid w:val="00BB1324"/>
    <w:rsid w:val="00BB1400"/>
    <w:rsid w:val="00BB1505"/>
    <w:rsid w:val="00BB1792"/>
    <w:rsid w:val="00BB182B"/>
    <w:rsid w:val="00BB18C8"/>
    <w:rsid w:val="00BB18D2"/>
    <w:rsid w:val="00BB1901"/>
    <w:rsid w:val="00BB190E"/>
    <w:rsid w:val="00BB1A2B"/>
    <w:rsid w:val="00BB1CE7"/>
    <w:rsid w:val="00BB1D67"/>
    <w:rsid w:val="00BB1E73"/>
    <w:rsid w:val="00BB1EB6"/>
    <w:rsid w:val="00BB1FCB"/>
    <w:rsid w:val="00BB2169"/>
    <w:rsid w:val="00BB21B7"/>
    <w:rsid w:val="00BB22F7"/>
    <w:rsid w:val="00BB232B"/>
    <w:rsid w:val="00BB235F"/>
    <w:rsid w:val="00BB2367"/>
    <w:rsid w:val="00BB245C"/>
    <w:rsid w:val="00BB24EB"/>
    <w:rsid w:val="00BB25F6"/>
    <w:rsid w:val="00BB2655"/>
    <w:rsid w:val="00BB266E"/>
    <w:rsid w:val="00BB2979"/>
    <w:rsid w:val="00BB2BEA"/>
    <w:rsid w:val="00BB2EE0"/>
    <w:rsid w:val="00BB2F76"/>
    <w:rsid w:val="00BB30A7"/>
    <w:rsid w:val="00BB31F5"/>
    <w:rsid w:val="00BB3224"/>
    <w:rsid w:val="00BB323D"/>
    <w:rsid w:val="00BB327D"/>
    <w:rsid w:val="00BB333D"/>
    <w:rsid w:val="00BB3374"/>
    <w:rsid w:val="00BB3477"/>
    <w:rsid w:val="00BB3799"/>
    <w:rsid w:val="00BB393D"/>
    <w:rsid w:val="00BB3AE6"/>
    <w:rsid w:val="00BB3B86"/>
    <w:rsid w:val="00BB3BBF"/>
    <w:rsid w:val="00BB3D5B"/>
    <w:rsid w:val="00BB3DAC"/>
    <w:rsid w:val="00BB3EA2"/>
    <w:rsid w:val="00BB3EAC"/>
    <w:rsid w:val="00BB3EE2"/>
    <w:rsid w:val="00BB3F2D"/>
    <w:rsid w:val="00BB3FA0"/>
    <w:rsid w:val="00BB3FF5"/>
    <w:rsid w:val="00BB42B6"/>
    <w:rsid w:val="00BB444A"/>
    <w:rsid w:val="00BB444D"/>
    <w:rsid w:val="00BB47D5"/>
    <w:rsid w:val="00BB47D7"/>
    <w:rsid w:val="00BB48E9"/>
    <w:rsid w:val="00BB4A45"/>
    <w:rsid w:val="00BB4ACB"/>
    <w:rsid w:val="00BB4B8B"/>
    <w:rsid w:val="00BB4C92"/>
    <w:rsid w:val="00BB4D3B"/>
    <w:rsid w:val="00BB4D75"/>
    <w:rsid w:val="00BB4ED1"/>
    <w:rsid w:val="00BB4F80"/>
    <w:rsid w:val="00BB5156"/>
    <w:rsid w:val="00BB51DB"/>
    <w:rsid w:val="00BB5214"/>
    <w:rsid w:val="00BB52C9"/>
    <w:rsid w:val="00BB55AE"/>
    <w:rsid w:val="00BB56AB"/>
    <w:rsid w:val="00BB5700"/>
    <w:rsid w:val="00BB5A8D"/>
    <w:rsid w:val="00BB5B03"/>
    <w:rsid w:val="00BB5B39"/>
    <w:rsid w:val="00BB5D00"/>
    <w:rsid w:val="00BB6064"/>
    <w:rsid w:val="00BB61C4"/>
    <w:rsid w:val="00BB61E3"/>
    <w:rsid w:val="00BB6276"/>
    <w:rsid w:val="00BB63BD"/>
    <w:rsid w:val="00BB6869"/>
    <w:rsid w:val="00BB698C"/>
    <w:rsid w:val="00BB69DC"/>
    <w:rsid w:val="00BB6A53"/>
    <w:rsid w:val="00BB6AE1"/>
    <w:rsid w:val="00BB6C15"/>
    <w:rsid w:val="00BB6D67"/>
    <w:rsid w:val="00BB6E14"/>
    <w:rsid w:val="00BB7040"/>
    <w:rsid w:val="00BB7155"/>
    <w:rsid w:val="00BB73F8"/>
    <w:rsid w:val="00BB7468"/>
    <w:rsid w:val="00BB7699"/>
    <w:rsid w:val="00BB7913"/>
    <w:rsid w:val="00BB7A9A"/>
    <w:rsid w:val="00BB7AEB"/>
    <w:rsid w:val="00BB7CE7"/>
    <w:rsid w:val="00BB7D17"/>
    <w:rsid w:val="00BB7E2D"/>
    <w:rsid w:val="00BB7E49"/>
    <w:rsid w:val="00BB7EC4"/>
    <w:rsid w:val="00BB7EF6"/>
    <w:rsid w:val="00BB7EFA"/>
    <w:rsid w:val="00BC00BB"/>
    <w:rsid w:val="00BC0186"/>
    <w:rsid w:val="00BC04CA"/>
    <w:rsid w:val="00BC05AE"/>
    <w:rsid w:val="00BC09DB"/>
    <w:rsid w:val="00BC0ACB"/>
    <w:rsid w:val="00BC0B32"/>
    <w:rsid w:val="00BC0BE3"/>
    <w:rsid w:val="00BC0EDA"/>
    <w:rsid w:val="00BC0F45"/>
    <w:rsid w:val="00BC0F91"/>
    <w:rsid w:val="00BC10B1"/>
    <w:rsid w:val="00BC110C"/>
    <w:rsid w:val="00BC11A3"/>
    <w:rsid w:val="00BC1252"/>
    <w:rsid w:val="00BC1274"/>
    <w:rsid w:val="00BC135C"/>
    <w:rsid w:val="00BC1410"/>
    <w:rsid w:val="00BC14AC"/>
    <w:rsid w:val="00BC14B2"/>
    <w:rsid w:val="00BC1563"/>
    <w:rsid w:val="00BC1734"/>
    <w:rsid w:val="00BC174A"/>
    <w:rsid w:val="00BC178B"/>
    <w:rsid w:val="00BC18A4"/>
    <w:rsid w:val="00BC19DA"/>
    <w:rsid w:val="00BC1A4E"/>
    <w:rsid w:val="00BC1AB0"/>
    <w:rsid w:val="00BC1B4B"/>
    <w:rsid w:val="00BC1E8D"/>
    <w:rsid w:val="00BC2002"/>
    <w:rsid w:val="00BC20F5"/>
    <w:rsid w:val="00BC21C7"/>
    <w:rsid w:val="00BC21D7"/>
    <w:rsid w:val="00BC233A"/>
    <w:rsid w:val="00BC2407"/>
    <w:rsid w:val="00BC267E"/>
    <w:rsid w:val="00BC2712"/>
    <w:rsid w:val="00BC27C3"/>
    <w:rsid w:val="00BC29CF"/>
    <w:rsid w:val="00BC2A36"/>
    <w:rsid w:val="00BC2A82"/>
    <w:rsid w:val="00BC2C73"/>
    <w:rsid w:val="00BC2D26"/>
    <w:rsid w:val="00BC2D88"/>
    <w:rsid w:val="00BC2DCC"/>
    <w:rsid w:val="00BC2DFC"/>
    <w:rsid w:val="00BC2E27"/>
    <w:rsid w:val="00BC2FAE"/>
    <w:rsid w:val="00BC30AC"/>
    <w:rsid w:val="00BC31B7"/>
    <w:rsid w:val="00BC326A"/>
    <w:rsid w:val="00BC34A7"/>
    <w:rsid w:val="00BC3583"/>
    <w:rsid w:val="00BC35FB"/>
    <w:rsid w:val="00BC3828"/>
    <w:rsid w:val="00BC387E"/>
    <w:rsid w:val="00BC3918"/>
    <w:rsid w:val="00BC3A49"/>
    <w:rsid w:val="00BC3AD3"/>
    <w:rsid w:val="00BC3B3E"/>
    <w:rsid w:val="00BC3BC8"/>
    <w:rsid w:val="00BC3C85"/>
    <w:rsid w:val="00BC3EBA"/>
    <w:rsid w:val="00BC3F46"/>
    <w:rsid w:val="00BC41E6"/>
    <w:rsid w:val="00BC446E"/>
    <w:rsid w:val="00BC4836"/>
    <w:rsid w:val="00BC48F5"/>
    <w:rsid w:val="00BC49A1"/>
    <w:rsid w:val="00BC49B0"/>
    <w:rsid w:val="00BC4A23"/>
    <w:rsid w:val="00BC4A4F"/>
    <w:rsid w:val="00BC4FC4"/>
    <w:rsid w:val="00BC5162"/>
    <w:rsid w:val="00BC5178"/>
    <w:rsid w:val="00BC51E3"/>
    <w:rsid w:val="00BC53DF"/>
    <w:rsid w:val="00BC540A"/>
    <w:rsid w:val="00BC5525"/>
    <w:rsid w:val="00BC55FF"/>
    <w:rsid w:val="00BC5699"/>
    <w:rsid w:val="00BC5BB5"/>
    <w:rsid w:val="00BC5CD2"/>
    <w:rsid w:val="00BC5CDA"/>
    <w:rsid w:val="00BC5E60"/>
    <w:rsid w:val="00BC6150"/>
    <w:rsid w:val="00BC61B5"/>
    <w:rsid w:val="00BC6260"/>
    <w:rsid w:val="00BC6280"/>
    <w:rsid w:val="00BC6282"/>
    <w:rsid w:val="00BC644A"/>
    <w:rsid w:val="00BC6601"/>
    <w:rsid w:val="00BC66F4"/>
    <w:rsid w:val="00BC6774"/>
    <w:rsid w:val="00BC6A6B"/>
    <w:rsid w:val="00BC6CAF"/>
    <w:rsid w:val="00BC6D70"/>
    <w:rsid w:val="00BC6E7E"/>
    <w:rsid w:val="00BC6E83"/>
    <w:rsid w:val="00BC6EFD"/>
    <w:rsid w:val="00BC6F1C"/>
    <w:rsid w:val="00BC6F6E"/>
    <w:rsid w:val="00BC6F87"/>
    <w:rsid w:val="00BC6F89"/>
    <w:rsid w:val="00BC70E2"/>
    <w:rsid w:val="00BC7162"/>
    <w:rsid w:val="00BC725D"/>
    <w:rsid w:val="00BC7324"/>
    <w:rsid w:val="00BC73EB"/>
    <w:rsid w:val="00BC74B1"/>
    <w:rsid w:val="00BC76D7"/>
    <w:rsid w:val="00BC77F9"/>
    <w:rsid w:val="00BC789A"/>
    <w:rsid w:val="00BC7932"/>
    <w:rsid w:val="00BC7980"/>
    <w:rsid w:val="00BC7A0B"/>
    <w:rsid w:val="00BC7AD0"/>
    <w:rsid w:val="00BC7B05"/>
    <w:rsid w:val="00BC7D17"/>
    <w:rsid w:val="00BC7DE0"/>
    <w:rsid w:val="00BC7EE3"/>
    <w:rsid w:val="00BD0183"/>
    <w:rsid w:val="00BD0186"/>
    <w:rsid w:val="00BD0199"/>
    <w:rsid w:val="00BD023A"/>
    <w:rsid w:val="00BD04CA"/>
    <w:rsid w:val="00BD05A8"/>
    <w:rsid w:val="00BD0839"/>
    <w:rsid w:val="00BD09CE"/>
    <w:rsid w:val="00BD0A7C"/>
    <w:rsid w:val="00BD0C0F"/>
    <w:rsid w:val="00BD0C1C"/>
    <w:rsid w:val="00BD0CDF"/>
    <w:rsid w:val="00BD0CF9"/>
    <w:rsid w:val="00BD0D1A"/>
    <w:rsid w:val="00BD0E0C"/>
    <w:rsid w:val="00BD0F06"/>
    <w:rsid w:val="00BD10B9"/>
    <w:rsid w:val="00BD114A"/>
    <w:rsid w:val="00BD1158"/>
    <w:rsid w:val="00BD11FD"/>
    <w:rsid w:val="00BD1327"/>
    <w:rsid w:val="00BD13C1"/>
    <w:rsid w:val="00BD13DD"/>
    <w:rsid w:val="00BD13EA"/>
    <w:rsid w:val="00BD1458"/>
    <w:rsid w:val="00BD1717"/>
    <w:rsid w:val="00BD179C"/>
    <w:rsid w:val="00BD1951"/>
    <w:rsid w:val="00BD1A29"/>
    <w:rsid w:val="00BD1CC7"/>
    <w:rsid w:val="00BD1F44"/>
    <w:rsid w:val="00BD1F75"/>
    <w:rsid w:val="00BD2399"/>
    <w:rsid w:val="00BD2907"/>
    <w:rsid w:val="00BD2D28"/>
    <w:rsid w:val="00BD2FA6"/>
    <w:rsid w:val="00BD3426"/>
    <w:rsid w:val="00BD3430"/>
    <w:rsid w:val="00BD3523"/>
    <w:rsid w:val="00BD373F"/>
    <w:rsid w:val="00BD37CC"/>
    <w:rsid w:val="00BD3CFE"/>
    <w:rsid w:val="00BD4036"/>
    <w:rsid w:val="00BD418B"/>
    <w:rsid w:val="00BD419D"/>
    <w:rsid w:val="00BD4288"/>
    <w:rsid w:val="00BD435F"/>
    <w:rsid w:val="00BD4422"/>
    <w:rsid w:val="00BD4494"/>
    <w:rsid w:val="00BD44ED"/>
    <w:rsid w:val="00BD45B5"/>
    <w:rsid w:val="00BD45C3"/>
    <w:rsid w:val="00BD4633"/>
    <w:rsid w:val="00BD4792"/>
    <w:rsid w:val="00BD47F1"/>
    <w:rsid w:val="00BD48A1"/>
    <w:rsid w:val="00BD48C9"/>
    <w:rsid w:val="00BD499A"/>
    <w:rsid w:val="00BD4A2A"/>
    <w:rsid w:val="00BD4B05"/>
    <w:rsid w:val="00BD4B45"/>
    <w:rsid w:val="00BD4B69"/>
    <w:rsid w:val="00BD4BEE"/>
    <w:rsid w:val="00BD4C28"/>
    <w:rsid w:val="00BD4E26"/>
    <w:rsid w:val="00BD5030"/>
    <w:rsid w:val="00BD506B"/>
    <w:rsid w:val="00BD51F3"/>
    <w:rsid w:val="00BD534A"/>
    <w:rsid w:val="00BD53D3"/>
    <w:rsid w:val="00BD574D"/>
    <w:rsid w:val="00BD5956"/>
    <w:rsid w:val="00BD5A44"/>
    <w:rsid w:val="00BD5B53"/>
    <w:rsid w:val="00BD5BEB"/>
    <w:rsid w:val="00BD5C98"/>
    <w:rsid w:val="00BD5D59"/>
    <w:rsid w:val="00BD5DA1"/>
    <w:rsid w:val="00BD5FAA"/>
    <w:rsid w:val="00BD6044"/>
    <w:rsid w:val="00BD6110"/>
    <w:rsid w:val="00BD6264"/>
    <w:rsid w:val="00BD62B0"/>
    <w:rsid w:val="00BD62B5"/>
    <w:rsid w:val="00BD63F9"/>
    <w:rsid w:val="00BD67DD"/>
    <w:rsid w:val="00BD6A93"/>
    <w:rsid w:val="00BD6B1F"/>
    <w:rsid w:val="00BD6B72"/>
    <w:rsid w:val="00BD6C98"/>
    <w:rsid w:val="00BD6D9D"/>
    <w:rsid w:val="00BD70DB"/>
    <w:rsid w:val="00BD725E"/>
    <w:rsid w:val="00BD72C6"/>
    <w:rsid w:val="00BD740D"/>
    <w:rsid w:val="00BD7418"/>
    <w:rsid w:val="00BD76C6"/>
    <w:rsid w:val="00BD76EC"/>
    <w:rsid w:val="00BD7738"/>
    <w:rsid w:val="00BD77A8"/>
    <w:rsid w:val="00BD7827"/>
    <w:rsid w:val="00BD78AF"/>
    <w:rsid w:val="00BD7980"/>
    <w:rsid w:val="00BD7A79"/>
    <w:rsid w:val="00BD7A99"/>
    <w:rsid w:val="00BD7AE5"/>
    <w:rsid w:val="00BD7E6E"/>
    <w:rsid w:val="00BD7F48"/>
    <w:rsid w:val="00BE01D8"/>
    <w:rsid w:val="00BE01F8"/>
    <w:rsid w:val="00BE02C1"/>
    <w:rsid w:val="00BE03B1"/>
    <w:rsid w:val="00BE05A9"/>
    <w:rsid w:val="00BE077E"/>
    <w:rsid w:val="00BE07BC"/>
    <w:rsid w:val="00BE07F5"/>
    <w:rsid w:val="00BE09C5"/>
    <w:rsid w:val="00BE0A03"/>
    <w:rsid w:val="00BE0B83"/>
    <w:rsid w:val="00BE0C62"/>
    <w:rsid w:val="00BE0CA7"/>
    <w:rsid w:val="00BE0CEC"/>
    <w:rsid w:val="00BE0EDB"/>
    <w:rsid w:val="00BE10DB"/>
    <w:rsid w:val="00BE10FB"/>
    <w:rsid w:val="00BE1257"/>
    <w:rsid w:val="00BE12FE"/>
    <w:rsid w:val="00BE12FF"/>
    <w:rsid w:val="00BE1338"/>
    <w:rsid w:val="00BE14A1"/>
    <w:rsid w:val="00BE168A"/>
    <w:rsid w:val="00BE17FC"/>
    <w:rsid w:val="00BE1803"/>
    <w:rsid w:val="00BE1B11"/>
    <w:rsid w:val="00BE1B38"/>
    <w:rsid w:val="00BE1C67"/>
    <w:rsid w:val="00BE1EF6"/>
    <w:rsid w:val="00BE1F05"/>
    <w:rsid w:val="00BE1F08"/>
    <w:rsid w:val="00BE20A3"/>
    <w:rsid w:val="00BE22BA"/>
    <w:rsid w:val="00BE247A"/>
    <w:rsid w:val="00BE2634"/>
    <w:rsid w:val="00BE272E"/>
    <w:rsid w:val="00BE274B"/>
    <w:rsid w:val="00BE288C"/>
    <w:rsid w:val="00BE2AEE"/>
    <w:rsid w:val="00BE2C7E"/>
    <w:rsid w:val="00BE2D32"/>
    <w:rsid w:val="00BE2DC0"/>
    <w:rsid w:val="00BE2DF1"/>
    <w:rsid w:val="00BE2F14"/>
    <w:rsid w:val="00BE2F24"/>
    <w:rsid w:val="00BE302B"/>
    <w:rsid w:val="00BE317C"/>
    <w:rsid w:val="00BE3277"/>
    <w:rsid w:val="00BE33B3"/>
    <w:rsid w:val="00BE36A4"/>
    <w:rsid w:val="00BE38D9"/>
    <w:rsid w:val="00BE3902"/>
    <w:rsid w:val="00BE3A80"/>
    <w:rsid w:val="00BE3AB5"/>
    <w:rsid w:val="00BE3BC5"/>
    <w:rsid w:val="00BE3C8F"/>
    <w:rsid w:val="00BE3D1C"/>
    <w:rsid w:val="00BE4078"/>
    <w:rsid w:val="00BE40B4"/>
    <w:rsid w:val="00BE4120"/>
    <w:rsid w:val="00BE414F"/>
    <w:rsid w:val="00BE41E2"/>
    <w:rsid w:val="00BE41EE"/>
    <w:rsid w:val="00BE41FD"/>
    <w:rsid w:val="00BE436D"/>
    <w:rsid w:val="00BE44EC"/>
    <w:rsid w:val="00BE46C8"/>
    <w:rsid w:val="00BE4BBB"/>
    <w:rsid w:val="00BE5013"/>
    <w:rsid w:val="00BE5382"/>
    <w:rsid w:val="00BE5447"/>
    <w:rsid w:val="00BE5611"/>
    <w:rsid w:val="00BE5713"/>
    <w:rsid w:val="00BE5753"/>
    <w:rsid w:val="00BE5A02"/>
    <w:rsid w:val="00BE5B9C"/>
    <w:rsid w:val="00BE5EAE"/>
    <w:rsid w:val="00BE5EFD"/>
    <w:rsid w:val="00BE5F7F"/>
    <w:rsid w:val="00BE5F97"/>
    <w:rsid w:val="00BE60E4"/>
    <w:rsid w:val="00BE62AE"/>
    <w:rsid w:val="00BE6393"/>
    <w:rsid w:val="00BE63A4"/>
    <w:rsid w:val="00BE6697"/>
    <w:rsid w:val="00BE66E6"/>
    <w:rsid w:val="00BE6868"/>
    <w:rsid w:val="00BE6879"/>
    <w:rsid w:val="00BE68E2"/>
    <w:rsid w:val="00BE68F4"/>
    <w:rsid w:val="00BE6B5F"/>
    <w:rsid w:val="00BE6D81"/>
    <w:rsid w:val="00BE6EC3"/>
    <w:rsid w:val="00BE71CB"/>
    <w:rsid w:val="00BE72AB"/>
    <w:rsid w:val="00BE741F"/>
    <w:rsid w:val="00BE7518"/>
    <w:rsid w:val="00BE75BE"/>
    <w:rsid w:val="00BE77B4"/>
    <w:rsid w:val="00BE7838"/>
    <w:rsid w:val="00BE7BBA"/>
    <w:rsid w:val="00BE7D49"/>
    <w:rsid w:val="00BE7F4C"/>
    <w:rsid w:val="00BE7FA7"/>
    <w:rsid w:val="00BF00F3"/>
    <w:rsid w:val="00BF04B5"/>
    <w:rsid w:val="00BF0573"/>
    <w:rsid w:val="00BF0764"/>
    <w:rsid w:val="00BF08D6"/>
    <w:rsid w:val="00BF0912"/>
    <w:rsid w:val="00BF0995"/>
    <w:rsid w:val="00BF09B3"/>
    <w:rsid w:val="00BF0BDC"/>
    <w:rsid w:val="00BF0C65"/>
    <w:rsid w:val="00BF0CDF"/>
    <w:rsid w:val="00BF0E5B"/>
    <w:rsid w:val="00BF1020"/>
    <w:rsid w:val="00BF10B2"/>
    <w:rsid w:val="00BF11F7"/>
    <w:rsid w:val="00BF126B"/>
    <w:rsid w:val="00BF1304"/>
    <w:rsid w:val="00BF167D"/>
    <w:rsid w:val="00BF16B0"/>
    <w:rsid w:val="00BF1734"/>
    <w:rsid w:val="00BF17B9"/>
    <w:rsid w:val="00BF1825"/>
    <w:rsid w:val="00BF1AE3"/>
    <w:rsid w:val="00BF1DD0"/>
    <w:rsid w:val="00BF1ED0"/>
    <w:rsid w:val="00BF21CE"/>
    <w:rsid w:val="00BF2219"/>
    <w:rsid w:val="00BF226C"/>
    <w:rsid w:val="00BF2384"/>
    <w:rsid w:val="00BF23B3"/>
    <w:rsid w:val="00BF252B"/>
    <w:rsid w:val="00BF2547"/>
    <w:rsid w:val="00BF2576"/>
    <w:rsid w:val="00BF25E5"/>
    <w:rsid w:val="00BF2628"/>
    <w:rsid w:val="00BF26BB"/>
    <w:rsid w:val="00BF2707"/>
    <w:rsid w:val="00BF2783"/>
    <w:rsid w:val="00BF280E"/>
    <w:rsid w:val="00BF2900"/>
    <w:rsid w:val="00BF2919"/>
    <w:rsid w:val="00BF2A96"/>
    <w:rsid w:val="00BF2AC2"/>
    <w:rsid w:val="00BF2B41"/>
    <w:rsid w:val="00BF2F44"/>
    <w:rsid w:val="00BF3375"/>
    <w:rsid w:val="00BF34DF"/>
    <w:rsid w:val="00BF3522"/>
    <w:rsid w:val="00BF362C"/>
    <w:rsid w:val="00BF3664"/>
    <w:rsid w:val="00BF36FF"/>
    <w:rsid w:val="00BF3719"/>
    <w:rsid w:val="00BF3726"/>
    <w:rsid w:val="00BF3A2E"/>
    <w:rsid w:val="00BF3AC2"/>
    <w:rsid w:val="00BF3BDC"/>
    <w:rsid w:val="00BF3BE6"/>
    <w:rsid w:val="00BF3C4B"/>
    <w:rsid w:val="00BF3CEB"/>
    <w:rsid w:val="00BF410B"/>
    <w:rsid w:val="00BF4213"/>
    <w:rsid w:val="00BF45CB"/>
    <w:rsid w:val="00BF4776"/>
    <w:rsid w:val="00BF4799"/>
    <w:rsid w:val="00BF48AB"/>
    <w:rsid w:val="00BF4921"/>
    <w:rsid w:val="00BF4CFA"/>
    <w:rsid w:val="00BF4DF0"/>
    <w:rsid w:val="00BF50E8"/>
    <w:rsid w:val="00BF5140"/>
    <w:rsid w:val="00BF521E"/>
    <w:rsid w:val="00BF5463"/>
    <w:rsid w:val="00BF554B"/>
    <w:rsid w:val="00BF59D9"/>
    <w:rsid w:val="00BF5AC8"/>
    <w:rsid w:val="00BF5E2E"/>
    <w:rsid w:val="00BF5E40"/>
    <w:rsid w:val="00BF613D"/>
    <w:rsid w:val="00BF6191"/>
    <w:rsid w:val="00BF6496"/>
    <w:rsid w:val="00BF6614"/>
    <w:rsid w:val="00BF6781"/>
    <w:rsid w:val="00BF67DD"/>
    <w:rsid w:val="00BF6808"/>
    <w:rsid w:val="00BF6809"/>
    <w:rsid w:val="00BF6837"/>
    <w:rsid w:val="00BF6AC8"/>
    <w:rsid w:val="00BF6B1C"/>
    <w:rsid w:val="00BF6C12"/>
    <w:rsid w:val="00BF6D7E"/>
    <w:rsid w:val="00BF6F26"/>
    <w:rsid w:val="00BF6F81"/>
    <w:rsid w:val="00BF7130"/>
    <w:rsid w:val="00BF732B"/>
    <w:rsid w:val="00BF7599"/>
    <w:rsid w:val="00BF75A9"/>
    <w:rsid w:val="00BF75E2"/>
    <w:rsid w:val="00BF7629"/>
    <w:rsid w:val="00BF7793"/>
    <w:rsid w:val="00BF7810"/>
    <w:rsid w:val="00BF7A41"/>
    <w:rsid w:val="00BF7BF9"/>
    <w:rsid w:val="00BF7C69"/>
    <w:rsid w:val="00BF7E1B"/>
    <w:rsid w:val="00BF7EC0"/>
    <w:rsid w:val="00BF7F2E"/>
    <w:rsid w:val="00BF7F46"/>
    <w:rsid w:val="00BF7F95"/>
    <w:rsid w:val="00BF7FAA"/>
    <w:rsid w:val="00C00078"/>
    <w:rsid w:val="00C000CE"/>
    <w:rsid w:val="00C0014C"/>
    <w:rsid w:val="00C0014E"/>
    <w:rsid w:val="00C00264"/>
    <w:rsid w:val="00C0048E"/>
    <w:rsid w:val="00C0053D"/>
    <w:rsid w:val="00C0059C"/>
    <w:rsid w:val="00C00783"/>
    <w:rsid w:val="00C007BF"/>
    <w:rsid w:val="00C00898"/>
    <w:rsid w:val="00C00A3B"/>
    <w:rsid w:val="00C00C4B"/>
    <w:rsid w:val="00C00C8B"/>
    <w:rsid w:val="00C00E17"/>
    <w:rsid w:val="00C00EEC"/>
    <w:rsid w:val="00C011A7"/>
    <w:rsid w:val="00C013E0"/>
    <w:rsid w:val="00C0145E"/>
    <w:rsid w:val="00C014EF"/>
    <w:rsid w:val="00C0152B"/>
    <w:rsid w:val="00C016A1"/>
    <w:rsid w:val="00C01755"/>
    <w:rsid w:val="00C019FF"/>
    <w:rsid w:val="00C01B05"/>
    <w:rsid w:val="00C01C53"/>
    <w:rsid w:val="00C01CF5"/>
    <w:rsid w:val="00C01E16"/>
    <w:rsid w:val="00C01E71"/>
    <w:rsid w:val="00C01F75"/>
    <w:rsid w:val="00C01F9D"/>
    <w:rsid w:val="00C01FCD"/>
    <w:rsid w:val="00C02231"/>
    <w:rsid w:val="00C022BA"/>
    <w:rsid w:val="00C0232A"/>
    <w:rsid w:val="00C02514"/>
    <w:rsid w:val="00C02BE4"/>
    <w:rsid w:val="00C02DB6"/>
    <w:rsid w:val="00C02DBA"/>
    <w:rsid w:val="00C03018"/>
    <w:rsid w:val="00C030A7"/>
    <w:rsid w:val="00C031E0"/>
    <w:rsid w:val="00C03235"/>
    <w:rsid w:val="00C03370"/>
    <w:rsid w:val="00C03635"/>
    <w:rsid w:val="00C036E7"/>
    <w:rsid w:val="00C03859"/>
    <w:rsid w:val="00C03A8E"/>
    <w:rsid w:val="00C03AC1"/>
    <w:rsid w:val="00C03AF0"/>
    <w:rsid w:val="00C03B30"/>
    <w:rsid w:val="00C03B77"/>
    <w:rsid w:val="00C03BEA"/>
    <w:rsid w:val="00C03C6F"/>
    <w:rsid w:val="00C03C8F"/>
    <w:rsid w:val="00C03DB1"/>
    <w:rsid w:val="00C03EC1"/>
    <w:rsid w:val="00C042A0"/>
    <w:rsid w:val="00C04347"/>
    <w:rsid w:val="00C044AE"/>
    <w:rsid w:val="00C04503"/>
    <w:rsid w:val="00C0472A"/>
    <w:rsid w:val="00C049AE"/>
    <w:rsid w:val="00C04BEA"/>
    <w:rsid w:val="00C04BF1"/>
    <w:rsid w:val="00C04CDD"/>
    <w:rsid w:val="00C04D3A"/>
    <w:rsid w:val="00C04DDF"/>
    <w:rsid w:val="00C05556"/>
    <w:rsid w:val="00C0557F"/>
    <w:rsid w:val="00C05756"/>
    <w:rsid w:val="00C05851"/>
    <w:rsid w:val="00C0594D"/>
    <w:rsid w:val="00C05FAF"/>
    <w:rsid w:val="00C06252"/>
    <w:rsid w:val="00C064C1"/>
    <w:rsid w:val="00C06549"/>
    <w:rsid w:val="00C0662E"/>
    <w:rsid w:val="00C06856"/>
    <w:rsid w:val="00C06942"/>
    <w:rsid w:val="00C069F9"/>
    <w:rsid w:val="00C06AB3"/>
    <w:rsid w:val="00C06C9B"/>
    <w:rsid w:val="00C06DB2"/>
    <w:rsid w:val="00C06E83"/>
    <w:rsid w:val="00C06EE4"/>
    <w:rsid w:val="00C07070"/>
    <w:rsid w:val="00C07178"/>
    <w:rsid w:val="00C07440"/>
    <w:rsid w:val="00C07567"/>
    <w:rsid w:val="00C0760E"/>
    <w:rsid w:val="00C078FA"/>
    <w:rsid w:val="00C0792F"/>
    <w:rsid w:val="00C07AA1"/>
    <w:rsid w:val="00C07BFA"/>
    <w:rsid w:val="00C07C19"/>
    <w:rsid w:val="00C07E48"/>
    <w:rsid w:val="00C07E7A"/>
    <w:rsid w:val="00C100A4"/>
    <w:rsid w:val="00C104AD"/>
    <w:rsid w:val="00C1053C"/>
    <w:rsid w:val="00C1058E"/>
    <w:rsid w:val="00C105D2"/>
    <w:rsid w:val="00C105D8"/>
    <w:rsid w:val="00C105E0"/>
    <w:rsid w:val="00C10670"/>
    <w:rsid w:val="00C10688"/>
    <w:rsid w:val="00C10820"/>
    <w:rsid w:val="00C10AD4"/>
    <w:rsid w:val="00C10ED5"/>
    <w:rsid w:val="00C10F7D"/>
    <w:rsid w:val="00C10FD8"/>
    <w:rsid w:val="00C11093"/>
    <w:rsid w:val="00C110F6"/>
    <w:rsid w:val="00C11122"/>
    <w:rsid w:val="00C11147"/>
    <w:rsid w:val="00C111EB"/>
    <w:rsid w:val="00C11302"/>
    <w:rsid w:val="00C113F8"/>
    <w:rsid w:val="00C114F5"/>
    <w:rsid w:val="00C11632"/>
    <w:rsid w:val="00C11688"/>
    <w:rsid w:val="00C116E0"/>
    <w:rsid w:val="00C1170C"/>
    <w:rsid w:val="00C1178F"/>
    <w:rsid w:val="00C11927"/>
    <w:rsid w:val="00C1197C"/>
    <w:rsid w:val="00C1198A"/>
    <w:rsid w:val="00C119C0"/>
    <w:rsid w:val="00C119CF"/>
    <w:rsid w:val="00C11B0A"/>
    <w:rsid w:val="00C11B0E"/>
    <w:rsid w:val="00C11BC5"/>
    <w:rsid w:val="00C11EF6"/>
    <w:rsid w:val="00C11F01"/>
    <w:rsid w:val="00C122DE"/>
    <w:rsid w:val="00C1235C"/>
    <w:rsid w:val="00C1237B"/>
    <w:rsid w:val="00C123EB"/>
    <w:rsid w:val="00C12597"/>
    <w:rsid w:val="00C1267C"/>
    <w:rsid w:val="00C12781"/>
    <w:rsid w:val="00C127EA"/>
    <w:rsid w:val="00C1293B"/>
    <w:rsid w:val="00C12986"/>
    <w:rsid w:val="00C12BF7"/>
    <w:rsid w:val="00C131D8"/>
    <w:rsid w:val="00C13889"/>
    <w:rsid w:val="00C13B56"/>
    <w:rsid w:val="00C13D6D"/>
    <w:rsid w:val="00C13E84"/>
    <w:rsid w:val="00C14168"/>
    <w:rsid w:val="00C14247"/>
    <w:rsid w:val="00C142CF"/>
    <w:rsid w:val="00C14383"/>
    <w:rsid w:val="00C145C4"/>
    <w:rsid w:val="00C14609"/>
    <w:rsid w:val="00C1473E"/>
    <w:rsid w:val="00C15219"/>
    <w:rsid w:val="00C1526E"/>
    <w:rsid w:val="00C152FC"/>
    <w:rsid w:val="00C15467"/>
    <w:rsid w:val="00C15653"/>
    <w:rsid w:val="00C15654"/>
    <w:rsid w:val="00C15889"/>
    <w:rsid w:val="00C15B35"/>
    <w:rsid w:val="00C15BAD"/>
    <w:rsid w:val="00C15F4D"/>
    <w:rsid w:val="00C16081"/>
    <w:rsid w:val="00C1609F"/>
    <w:rsid w:val="00C1610C"/>
    <w:rsid w:val="00C16149"/>
    <w:rsid w:val="00C16ADB"/>
    <w:rsid w:val="00C16AFD"/>
    <w:rsid w:val="00C16B9D"/>
    <w:rsid w:val="00C16C39"/>
    <w:rsid w:val="00C16D5C"/>
    <w:rsid w:val="00C16D75"/>
    <w:rsid w:val="00C16E76"/>
    <w:rsid w:val="00C16ECA"/>
    <w:rsid w:val="00C17016"/>
    <w:rsid w:val="00C17029"/>
    <w:rsid w:val="00C17165"/>
    <w:rsid w:val="00C1719B"/>
    <w:rsid w:val="00C175D1"/>
    <w:rsid w:val="00C1764E"/>
    <w:rsid w:val="00C176FC"/>
    <w:rsid w:val="00C177F3"/>
    <w:rsid w:val="00C17854"/>
    <w:rsid w:val="00C1791A"/>
    <w:rsid w:val="00C17970"/>
    <w:rsid w:val="00C17A00"/>
    <w:rsid w:val="00C17E57"/>
    <w:rsid w:val="00C17E9B"/>
    <w:rsid w:val="00C17FD4"/>
    <w:rsid w:val="00C17FD9"/>
    <w:rsid w:val="00C20180"/>
    <w:rsid w:val="00C203E3"/>
    <w:rsid w:val="00C203EC"/>
    <w:rsid w:val="00C20775"/>
    <w:rsid w:val="00C207DF"/>
    <w:rsid w:val="00C20809"/>
    <w:rsid w:val="00C2088B"/>
    <w:rsid w:val="00C208FE"/>
    <w:rsid w:val="00C20FEC"/>
    <w:rsid w:val="00C21325"/>
    <w:rsid w:val="00C213C4"/>
    <w:rsid w:val="00C213F8"/>
    <w:rsid w:val="00C21903"/>
    <w:rsid w:val="00C219B1"/>
    <w:rsid w:val="00C21AE6"/>
    <w:rsid w:val="00C21B3D"/>
    <w:rsid w:val="00C21BA6"/>
    <w:rsid w:val="00C21D63"/>
    <w:rsid w:val="00C21E69"/>
    <w:rsid w:val="00C21EAA"/>
    <w:rsid w:val="00C222DB"/>
    <w:rsid w:val="00C22483"/>
    <w:rsid w:val="00C225C3"/>
    <w:rsid w:val="00C22876"/>
    <w:rsid w:val="00C2297F"/>
    <w:rsid w:val="00C229C8"/>
    <w:rsid w:val="00C22B5C"/>
    <w:rsid w:val="00C22BB3"/>
    <w:rsid w:val="00C22BF5"/>
    <w:rsid w:val="00C22C80"/>
    <w:rsid w:val="00C22D63"/>
    <w:rsid w:val="00C22DBF"/>
    <w:rsid w:val="00C22EFD"/>
    <w:rsid w:val="00C23023"/>
    <w:rsid w:val="00C2326E"/>
    <w:rsid w:val="00C23357"/>
    <w:rsid w:val="00C23618"/>
    <w:rsid w:val="00C2369F"/>
    <w:rsid w:val="00C23711"/>
    <w:rsid w:val="00C2395F"/>
    <w:rsid w:val="00C23981"/>
    <w:rsid w:val="00C239F7"/>
    <w:rsid w:val="00C23B4E"/>
    <w:rsid w:val="00C23C83"/>
    <w:rsid w:val="00C23E13"/>
    <w:rsid w:val="00C244A2"/>
    <w:rsid w:val="00C24688"/>
    <w:rsid w:val="00C24824"/>
    <w:rsid w:val="00C24946"/>
    <w:rsid w:val="00C24A69"/>
    <w:rsid w:val="00C24A7B"/>
    <w:rsid w:val="00C24AAA"/>
    <w:rsid w:val="00C24AD4"/>
    <w:rsid w:val="00C24BFF"/>
    <w:rsid w:val="00C24C52"/>
    <w:rsid w:val="00C24FA9"/>
    <w:rsid w:val="00C25234"/>
    <w:rsid w:val="00C25285"/>
    <w:rsid w:val="00C252D4"/>
    <w:rsid w:val="00C252DF"/>
    <w:rsid w:val="00C25389"/>
    <w:rsid w:val="00C25398"/>
    <w:rsid w:val="00C25441"/>
    <w:rsid w:val="00C25519"/>
    <w:rsid w:val="00C255BE"/>
    <w:rsid w:val="00C255E8"/>
    <w:rsid w:val="00C25AAD"/>
    <w:rsid w:val="00C25B28"/>
    <w:rsid w:val="00C25C5F"/>
    <w:rsid w:val="00C25C81"/>
    <w:rsid w:val="00C25D88"/>
    <w:rsid w:val="00C25ED5"/>
    <w:rsid w:val="00C25F9B"/>
    <w:rsid w:val="00C26051"/>
    <w:rsid w:val="00C2611D"/>
    <w:rsid w:val="00C2632C"/>
    <w:rsid w:val="00C26404"/>
    <w:rsid w:val="00C26570"/>
    <w:rsid w:val="00C266E1"/>
    <w:rsid w:val="00C26786"/>
    <w:rsid w:val="00C267F6"/>
    <w:rsid w:val="00C2695E"/>
    <w:rsid w:val="00C26A61"/>
    <w:rsid w:val="00C26B59"/>
    <w:rsid w:val="00C26CF1"/>
    <w:rsid w:val="00C270D4"/>
    <w:rsid w:val="00C27314"/>
    <w:rsid w:val="00C273C1"/>
    <w:rsid w:val="00C27535"/>
    <w:rsid w:val="00C275B2"/>
    <w:rsid w:val="00C276CC"/>
    <w:rsid w:val="00C2791A"/>
    <w:rsid w:val="00C2791E"/>
    <w:rsid w:val="00C27A9F"/>
    <w:rsid w:val="00C27D1A"/>
    <w:rsid w:val="00C27D59"/>
    <w:rsid w:val="00C27F95"/>
    <w:rsid w:val="00C30064"/>
    <w:rsid w:val="00C30080"/>
    <w:rsid w:val="00C301CE"/>
    <w:rsid w:val="00C303FE"/>
    <w:rsid w:val="00C30542"/>
    <w:rsid w:val="00C30622"/>
    <w:rsid w:val="00C3073C"/>
    <w:rsid w:val="00C3085F"/>
    <w:rsid w:val="00C309A8"/>
    <w:rsid w:val="00C309D2"/>
    <w:rsid w:val="00C30A90"/>
    <w:rsid w:val="00C30C42"/>
    <w:rsid w:val="00C30DC6"/>
    <w:rsid w:val="00C30F59"/>
    <w:rsid w:val="00C30F82"/>
    <w:rsid w:val="00C30FB6"/>
    <w:rsid w:val="00C3101B"/>
    <w:rsid w:val="00C311B9"/>
    <w:rsid w:val="00C31228"/>
    <w:rsid w:val="00C313C0"/>
    <w:rsid w:val="00C3149A"/>
    <w:rsid w:val="00C3154D"/>
    <w:rsid w:val="00C3154E"/>
    <w:rsid w:val="00C31665"/>
    <w:rsid w:val="00C317EB"/>
    <w:rsid w:val="00C31805"/>
    <w:rsid w:val="00C31902"/>
    <w:rsid w:val="00C3191B"/>
    <w:rsid w:val="00C3196A"/>
    <w:rsid w:val="00C31CCF"/>
    <w:rsid w:val="00C31D47"/>
    <w:rsid w:val="00C31DE8"/>
    <w:rsid w:val="00C31E1F"/>
    <w:rsid w:val="00C31E8A"/>
    <w:rsid w:val="00C31EC0"/>
    <w:rsid w:val="00C31EC7"/>
    <w:rsid w:val="00C3213C"/>
    <w:rsid w:val="00C322FC"/>
    <w:rsid w:val="00C3237C"/>
    <w:rsid w:val="00C32386"/>
    <w:rsid w:val="00C325B0"/>
    <w:rsid w:val="00C326E4"/>
    <w:rsid w:val="00C327FF"/>
    <w:rsid w:val="00C3281E"/>
    <w:rsid w:val="00C3288F"/>
    <w:rsid w:val="00C32990"/>
    <w:rsid w:val="00C329F8"/>
    <w:rsid w:val="00C32BEA"/>
    <w:rsid w:val="00C32D34"/>
    <w:rsid w:val="00C32D40"/>
    <w:rsid w:val="00C32E6F"/>
    <w:rsid w:val="00C32EE7"/>
    <w:rsid w:val="00C330AA"/>
    <w:rsid w:val="00C330C6"/>
    <w:rsid w:val="00C330E6"/>
    <w:rsid w:val="00C33161"/>
    <w:rsid w:val="00C331FC"/>
    <w:rsid w:val="00C332A8"/>
    <w:rsid w:val="00C33A9C"/>
    <w:rsid w:val="00C33E75"/>
    <w:rsid w:val="00C34006"/>
    <w:rsid w:val="00C3418E"/>
    <w:rsid w:val="00C34268"/>
    <w:rsid w:val="00C342A9"/>
    <w:rsid w:val="00C3433A"/>
    <w:rsid w:val="00C345C7"/>
    <w:rsid w:val="00C34642"/>
    <w:rsid w:val="00C34923"/>
    <w:rsid w:val="00C34938"/>
    <w:rsid w:val="00C34A9A"/>
    <w:rsid w:val="00C34B47"/>
    <w:rsid w:val="00C34B82"/>
    <w:rsid w:val="00C34C1F"/>
    <w:rsid w:val="00C34E3E"/>
    <w:rsid w:val="00C34E42"/>
    <w:rsid w:val="00C34EAF"/>
    <w:rsid w:val="00C34FD3"/>
    <w:rsid w:val="00C35003"/>
    <w:rsid w:val="00C350C6"/>
    <w:rsid w:val="00C35137"/>
    <w:rsid w:val="00C351F2"/>
    <w:rsid w:val="00C3528B"/>
    <w:rsid w:val="00C359B7"/>
    <w:rsid w:val="00C35C45"/>
    <w:rsid w:val="00C35D78"/>
    <w:rsid w:val="00C35DCA"/>
    <w:rsid w:val="00C35F32"/>
    <w:rsid w:val="00C36024"/>
    <w:rsid w:val="00C364D0"/>
    <w:rsid w:val="00C368A4"/>
    <w:rsid w:val="00C368DA"/>
    <w:rsid w:val="00C36979"/>
    <w:rsid w:val="00C369D3"/>
    <w:rsid w:val="00C36E1D"/>
    <w:rsid w:val="00C36F5E"/>
    <w:rsid w:val="00C373E8"/>
    <w:rsid w:val="00C3748D"/>
    <w:rsid w:val="00C376F2"/>
    <w:rsid w:val="00C37884"/>
    <w:rsid w:val="00C37885"/>
    <w:rsid w:val="00C3789A"/>
    <w:rsid w:val="00C378AB"/>
    <w:rsid w:val="00C378F5"/>
    <w:rsid w:val="00C37914"/>
    <w:rsid w:val="00C379D3"/>
    <w:rsid w:val="00C37A08"/>
    <w:rsid w:val="00C37BCC"/>
    <w:rsid w:val="00C37D19"/>
    <w:rsid w:val="00C40072"/>
    <w:rsid w:val="00C4015B"/>
    <w:rsid w:val="00C401FE"/>
    <w:rsid w:val="00C403EC"/>
    <w:rsid w:val="00C4074F"/>
    <w:rsid w:val="00C408E7"/>
    <w:rsid w:val="00C40945"/>
    <w:rsid w:val="00C40BB6"/>
    <w:rsid w:val="00C40C60"/>
    <w:rsid w:val="00C40CDF"/>
    <w:rsid w:val="00C40D9E"/>
    <w:rsid w:val="00C40F38"/>
    <w:rsid w:val="00C41081"/>
    <w:rsid w:val="00C4126B"/>
    <w:rsid w:val="00C412A0"/>
    <w:rsid w:val="00C4132E"/>
    <w:rsid w:val="00C413B7"/>
    <w:rsid w:val="00C414F7"/>
    <w:rsid w:val="00C41755"/>
    <w:rsid w:val="00C4189E"/>
    <w:rsid w:val="00C41ACD"/>
    <w:rsid w:val="00C41C2C"/>
    <w:rsid w:val="00C41D00"/>
    <w:rsid w:val="00C41EBA"/>
    <w:rsid w:val="00C41FDD"/>
    <w:rsid w:val="00C420FC"/>
    <w:rsid w:val="00C4227A"/>
    <w:rsid w:val="00C42284"/>
    <w:rsid w:val="00C42AFF"/>
    <w:rsid w:val="00C42CDA"/>
    <w:rsid w:val="00C43081"/>
    <w:rsid w:val="00C4320A"/>
    <w:rsid w:val="00C43385"/>
    <w:rsid w:val="00C4355F"/>
    <w:rsid w:val="00C4358E"/>
    <w:rsid w:val="00C43716"/>
    <w:rsid w:val="00C4374D"/>
    <w:rsid w:val="00C43846"/>
    <w:rsid w:val="00C4396C"/>
    <w:rsid w:val="00C439FE"/>
    <w:rsid w:val="00C43C3E"/>
    <w:rsid w:val="00C43D30"/>
    <w:rsid w:val="00C44091"/>
    <w:rsid w:val="00C440FE"/>
    <w:rsid w:val="00C44312"/>
    <w:rsid w:val="00C44319"/>
    <w:rsid w:val="00C446B8"/>
    <w:rsid w:val="00C44707"/>
    <w:rsid w:val="00C449F4"/>
    <w:rsid w:val="00C44A89"/>
    <w:rsid w:val="00C44C3F"/>
    <w:rsid w:val="00C44D6A"/>
    <w:rsid w:val="00C44F63"/>
    <w:rsid w:val="00C44F8E"/>
    <w:rsid w:val="00C44F9B"/>
    <w:rsid w:val="00C45260"/>
    <w:rsid w:val="00C456C4"/>
    <w:rsid w:val="00C456F7"/>
    <w:rsid w:val="00C456F8"/>
    <w:rsid w:val="00C45865"/>
    <w:rsid w:val="00C4589D"/>
    <w:rsid w:val="00C458F4"/>
    <w:rsid w:val="00C45F22"/>
    <w:rsid w:val="00C45F45"/>
    <w:rsid w:val="00C460A1"/>
    <w:rsid w:val="00C46390"/>
    <w:rsid w:val="00C463E2"/>
    <w:rsid w:val="00C4641B"/>
    <w:rsid w:val="00C4648D"/>
    <w:rsid w:val="00C4660C"/>
    <w:rsid w:val="00C46687"/>
    <w:rsid w:val="00C467A6"/>
    <w:rsid w:val="00C468F2"/>
    <w:rsid w:val="00C46968"/>
    <w:rsid w:val="00C46CAC"/>
    <w:rsid w:val="00C46FBE"/>
    <w:rsid w:val="00C4718E"/>
    <w:rsid w:val="00C472D6"/>
    <w:rsid w:val="00C4747B"/>
    <w:rsid w:val="00C47536"/>
    <w:rsid w:val="00C476E3"/>
    <w:rsid w:val="00C47963"/>
    <w:rsid w:val="00C47A03"/>
    <w:rsid w:val="00C47A8D"/>
    <w:rsid w:val="00C47AD4"/>
    <w:rsid w:val="00C47CED"/>
    <w:rsid w:val="00C47E99"/>
    <w:rsid w:val="00C47F33"/>
    <w:rsid w:val="00C50058"/>
    <w:rsid w:val="00C503F4"/>
    <w:rsid w:val="00C50478"/>
    <w:rsid w:val="00C505D5"/>
    <w:rsid w:val="00C50820"/>
    <w:rsid w:val="00C509F8"/>
    <w:rsid w:val="00C50AB4"/>
    <w:rsid w:val="00C50B25"/>
    <w:rsid w:val="00C50B2C"/>
    <w:rsid w:val="00C50BD7"/>
    <w:rsid w:val="00C50FC3"/>
    <w:rsid w:val="00C51191"/>
    <w:rsid w:val="00C511C0"/>
    <w:rsid w:val="00C511CC"/>
    <w:rsid w:val="00C512A6"/>
    <w:rsid w:val="00C51746"/>
    <w:rsid w:val="00C517C4"/>
    <w:rsid w:val="00C51920"/>
    <w:rsid w:val="00C51975"/>
    <w:rsid w:val="00C51BA7"/>
    <w:rsid w:val="00C51C29"/>
    <w:rsid w:val="00C51C96"/>
    <w:rsid w:val="00C51CDF"/>
    <w:rsid w:val="00C51E19"/>
    <w:rsid w:val="00C51ED7"/>
    <w:rsid w:val="00C51F67"/>
    <w:rsid w:val="00C52048"/>
    <w:rsid w:val="00C5204A"/>
    <w:rsid w:val="00C5206F"/>
    <w:rsid w:val="00C52374"/>
    <w:rsid w:val="00C5251F"/>
    <w:rsid w:val="00C5269D"/>
    <w:rsid w:val="00C5274D"/>
    <w:rsid w:val="00C52799"/>
    <w:rsid w:val="00C52B02"/>
    <w:rsid w:val="00C52B8A"/>
    <w:rsid w:val="00C52CB4"/>
    <w:rsid w:val="00C52D94"/>
    <w:rsid w:val="00C52EA7"/>
    <w:rsid w:val="00C5311F"/>
    <w:rsid w:val="00C53314"/>
    <w:rsid w:val="00C5339A"/>
    <w:rsid w:val="00C5365A"/>
    <w:rsid w:val="00C537C1"/>
    <w:rsid w:val="00C53814"/>
    <w:rsid w:val="00C539A7"/>
    <w:rsid w:val="00C539F9"/>
    <w:rsid w:val="00C53A1A"/>
    <w:rsid w:val="00C53A1F"/>
    <w:rsid w:val="00C53CA6"/>
    <w:rsid w:val="00C54095"/>
    <w:rsid w:val="00C540FD"/>
    <w:rsid w:val="00C54178"/>
    <w:rsid w:val="00C54229"/>
    <w:rsid w:val="00C54481"/>
    <w:rsid w:val="00C5453B"/>
    <w:rsid w:val="00C545DF"/>
    <w:rsid w:val="00C54632"/>
    <w:rsid w:val="00C546CD"/>
    <w:rsid w:val="00C54854"/>
    <w:rsid w:val="00C54AAC"/>
    <w:rsid w:val="00C54ACA"/>
    <w:rsid w:val="00C54B42"/>
    <w:rsid w:val="00C54B55"/>
    <w:rsid w:val="00C54C05"/>
    <w:rsid w:val="00C54C71"/>
    <w:rsid w:val="00C54E0E"/>
    <w:rsid w:val="00C55164"/>
    <w:rsid w:val="00C551FF"/>
    <w:rsid w:val="00C55489"/>
    <w:rsid w:val="00C554D3"/>
    <w:rsid w:val="00C55543"/>
    <w:rsid w:val="00C5565C"/>
    <w:rsid w:val="00C5577F"/>
    <w:rsid w:val="00C5591D"/>
    <w:rsid w:val="00C55B6C"/>
    <w:rsid w:val="00C55BC9"/>
    <w:rsid w:val="00C55BFC"/>
    <w:rsid w:val="00C55CDA"/>
    <w:rsid w:val="00C55E92"/>
    <w:rsid w:val="00C55F84"/>
    <w:rsid w:val="00C56061"/>
    <w:rsid w:val="00C5612D"/>
    <w:rsid w:val="00C5630D"/>
    <w:rsid w:val="00C563AB"/>
    <w:rsid w:val="00C56490"/>
    <w:rsid w:val="00C564FD"/>
    <w:rsid w:val="00C56583"/>
    <w:rsid w:val="00C56BC2"/>
    <w:rsid w:val="00C56BC4"/>
    <w:rsid w:val="00C56C3A"/>
    <w:rsid w:val="00C5702F"/>
    <w:rsid w:val="00C57084"/>
    <w:rsid w:val="00C571A1"/>
    <w:rsid w:val="00C5729A"/>
    <w:rsid w:val="00C57403"/>
    <w:rsid w:val="00C5772B"/>
    <w:rsid w:val="00C578C9"/>
    <w:rsid w:val="00C579A0"/>
    <w:rsid w:val="00C57A3C"/>
    <w:rsid w:val="00C57ADD"/>
    <w:rsid w:val="00C57B7B"/>
    <w:rsid w:val="00C57C2A"/>
    <w:rsid w:val="00C57C8A"/>
    <w:rsid w:val="00C57D6C"/>
    <w:rsid w:val="00C57D8A"/>
    <w:rsid w:val="00C57DC3"/>
    <w:rsid w:val="00C57F8A"/>
    <w:rsid w:val="00C60129"/>
    <w:rsid w:val="00C6012F"/>
    <w:rsid w:val="00C6017F"/>
    <w:rsid w:val="00C6033C"/>
    <w:rsid w:val="00C603F6"/>
    <w:rsid w:val="00C6046A"/>
    <w:rsid w:val="00C60493"/>
    <w:rsid w:val="00C6054E"/>
    <w:rsid w:val="00C605D0"/>
    <w:rsid w:val="00C60727"/>
    <w:rsid w:val="00C60786"/>
    <w:rsid w:val="00C6082F"/>
    <w:rsid w:val="00C60850"/>
    <w:rsid w:val="00C60AC2"/>
    <w:rsid w:val="00C60C13"/>
    <w:rsid w:val="00C60C93"/>
    <w:rsid w:val="00C60CC7"/>
    <w:rsid w:val="00C60DCB"/>
    <w:rsid w:val="00C60F0C"/>
    <w:rsid w:val="00C61045"/>
    <w:rsid w:val="00C61147"/>
    <w:rsid w:val="00C614CC"/>
    <w:rsid w:val="00C614CD"/>
    <w:rsid w:val="00C616FA"/>
    <w:rsid w:val="00C61757"/>
    <w:rsid w:val="00C61830"/>
    <w:rsid w:val="00C61A26"/>
    <w:rsid w:val="00C61BAC"/>
    <w:rsid w:val="00C61C49"/>
    <w:rsid w:val="00C61CA7"/>
    <w:rsid w:val="00C61DAA"/>
    <w:rsid w:val="00C61E92"/>
    <w:rsid w:val="00C61EB7"/>
    <w:rsid w:val="00C61F53"/>
    <w:rsid w:val="00C61FDB"/>
    <w:rsid w:val="00C62014"/>
    <w:rsid w:val="00C620D7"/>
    <w:rsid w:val="00C621AE"/>
    <w:rsid w:val="00C6229C"/>
    <w:rsid w:val="00C62426"/>
    <w:rsid w:val="00C62498"/>
    <w:rsid w:val="00C6261D"/>
    <w:rsid w:val="00C6284F"/>
    <w:rsid w:val="00C628B7"/>
    <w:rsid w:val="00C62AD4"/>
    <w:rsid w:val="00C62BF4"/>
    <w:rsid w:val="00C62C7E"/>
    <w:rsid w:val="00C62EC2"/>
    <w:rsid w:val="00C62EDA"/>
    <w:rsid w:val="00C62FCC"/>
    <w:rsid w:val="00C63110"/>
    <w:rsid w:val="00C6311C"/>
    <w:rsid w:val="00C63128"/>
    <w:rsid w:val="00C63294"/>
    <w:rsid w:val="00C632A4"/>
    <w:rsid w:val="00C63869"/>
    <w:rsid w:val="00C63C27"/>
    <w:rsid w:val="00C63E98"/>
    <w:rsid w:val="00C63F21"/>
    <w:rsid w:val="00C64007"/>
    <w:rsid w:val="00C640D0"/>
    <w:rsid w:val="00C642FF"/>
    <w:rsid w:val="00C64315"/>
    <w:rsid w:val="00C64357"/>
    <w:rsid w:val="00C64891"/>
    <w:rsid w:val="00C648D7"/>
    <w:rsid w:val="00C64C99"/>
    <w:rsid w:val="00C64D11"/>
    <w:rsid w:val="00C64D1D"/>
    <w:rsid w:val="00C64FAF"/>
    <w:rsid w:val="00C64FCD"/>
    <w:rsid w:val="00C6511A"/>
    <w:rsid w:val="00C65361"/>
    <w:rsid w:val="00C65394"/>
    <w:rsid w:val="00C654D5"/>
    <w:rsid w:val="00C656A8"/>
    <w:rsid w:val="00C656D7"/>
    <w:rsid w:val="00C65743"/>
    <w:rsid w:val="00C6591C"/>
    <w:rsid w:val="00C65965"/>
    <w:rsid w:val="00C65A0D"/>
    <w:rsid w:val="00C65E36"/>
    <w:rsid w:val="00C65E5A"/>
    <w:rsid w:val="00C65EAF"/>
    <w:rsid w:val="00C65FD2"/>
    <w:rsid w:val="00C661DB"/>
    <w:rsid w:val="00C6638B"/>
    <w:rsid w:val="00C6656E"/>
    <w:rsid w:val="00C666C7"/>
    <w:rsid w:val="00C668A2"/>
    <w:rsid w:val="00C66A89"/>
    <w:rsid w:val="00C66DFD"/>
    <w:rsid w:val="00C66F93"/>
    <w:rsid w:val="00C6736E"/>
    <w:rsid w:val="00C674B4"/>
    <w:rsid w:val="00C67509"/>
    <w:rsid w:val="00C6787B"/>
    <w:rsid w:val="00C67F08"/>
    <w:rsid w:val="00C70013"/>
    <w:rsid w:val="00C70087"/>
    <w:rsid w:val="00C702B8"/>
    <w:rsid w:val="00C702C5"/>
    <w:rsid w:val="00C7039D"/>
    <w:rsid w:val="00C70597"/>
    <w:rsid w:val="00C706EB"/>
    <w:rsid w:val="00C709A7"/>
    <w:rsid w:val="00C70CBB"/>
    <w:rsid w:val="00C70D9B"/>
    <w:rsid w:val="00C70EC4"/>
    <w:rsid w:val="00C70F07"/>
    <w:rsid w:val="00C70FDD"/>
    <w:rsid w:val="00C710B5"/>
    <w:rsid w:val="00C715C6"/>
    <w:rsid w:val="00C7162A"/>
    <w:rsid w:val="00C7178E"/>
    <w:rsid w:val="00C71A68"/>
    <w:rsid w:val="00C71B58"/>
    <w:rsid w:val="00C71C33"/>
    <w:rsid w:val="00C71D3F"/>
    <w:rsid w:val="00C71FA4"/>
    <w:rsid w:val="00C720C9"/>
    <w:rsid w:val="00C722AB"/>
    <w:rsid w:val="00C723D2"/>
    <w:rsid w:val="00C723F2"/>
    <w:rsid w:val="00C723F4"/>
    <w:rsid w:val="00C7246D"/>
    <w:rsid w:val="00C72491"/>
    <w:rsid w:val="00C724E1"/>
    <w:rsid w:val="00C725EB"/>
    <w:rsid w:val="00C72831"/>
    <w:rsid w:val="00C7283A"/>
    <w:rsid w:val="00C728F2"/>
    <w:rsid w:val="00C72957"/>
    <w:rsid w:val="00C72F41"/>
    <w:rsid w:val="00C72FC9"/>
    <w:rsid w:val="00C73121"/>
    <w:rsid w:val="00C734D3"/>
    <w:rsid w:val="00C73507"/>
    <w:rsid w:val="00C73692"/>
    <w:rsid w:val="00C737B8"/>
    <w:rsid w:val="00C73910"/>
    <w:rsid w:val="00C739AA"/>
    <w:rsid w:val="00C73B12"/>
    <w:rsid w:val="00C73B48"/>
    <w:rsid w:val="00C73D39"/>
    <w:rsid w:val="00C73E17"/>
    <w:rsid w:val="00C73F39"/>
    <w:rsid w:val="00C740E7"/>
    <w:rsid w:val="00C7436B"/>
    <w:rsid w:val="00C743A2"/>
    <w:rsid w:val="00C74441"/>
    <w:rsid w:val="00C74457"/>
    <w:rsid w:val="00C7460B"/>
    <w:rsid w:val="00C746B4"/>
    <w:rsid w:val="00C74A1A"/>
    <w:rsid w:val="00C74A4E"/>
    <w:rsid w:val="00C74ADA"/>
    <w:rsid w:val="00C74AEC"/>
    <w:rsid w:val="00C74B2E"/>
    <w:rsid w:val="00C74C07"/>
    <w:rsid w:val="00C74CD2"/>
    <w:rsid w:val="00C7503B"/>
    <w:rsid w:val="00C7509F"/>
    <w:rsid w:val="00C751C4"/>
    <w:rsid w:val="00C7522A"/>
    <w:rsid w:val="00C75283"/>
    <w:rsid w:val="00C75543"/>
    <w:rsid w:val="00C755F5"/>
    <w:rsid w:val="00C757F6"/>
    <w:rsid w:val="00C7582D"/>
    <w:rsid w:val="00C7591F"/>
    <w:rsid w:val="00C7592E"/>
    <w:rsid w:val="00C759A2"/>
    <w:rsid w:val="00C75ABE"/>
    <w:rsid w:val="00C75C4E"/>
    <w:rsid w:val="00C75E4D"/>
    <w:rsid w:val="00C75E58"/>
    <w:rsid w:val="00C75F5C"/>
    <w:rsid w:val="00C762FF"/>
    <w:rsid w:val="00C76367"/>
    <w:rsid w:val="00C76449"/>
    <w:rsid w:val="00C7646B"/>
    <w:rsid w:val="00C765AA"/>
    <w:rsid w:val="00C7669F"/>
    <w:rsid w:val="00C76824"/>
    <w:rsid w:val="00C768EC"/>
    <w:rsid w:val="00C76A99"/>
    <w:rsid w:val="00C76BA4"/>
    <w:rsid w:val="00C76C67"/>
    <w:rsid w:val="00C76E26"/>
    <w:rsid w:val="00C76FE9"/>
    <w:rsid w:val="00C7702C"/>
    <w:rsid w:val="00C770D9"/>
    <w:rsid w:val="00C77315"/>
    <w:rsid w:val="00C77317"/>
    <w:rsid w:val="00C7755D"/>
    <w:rsid w:val="00C777BD"/>
    <w:rsid w:val="00C77AF1"/>
    <w:rsid w:val="00C77B24"/>
    <w:rsid w:val="00C77D97"/>
    <w:rsid w:val="00C77E77"/>
    <w:rsid w:val="00C8010E"/>
    <w:rsid w:val="00C80342"/>
    <w:rsid w:val="00C80838"/>
    <w:rsid w:val="00C808F8"/>
    <w:rsid w:val="00C809FE"/>
    <w:rsid w:val="00C80ADB"/>
    <w:rsid w:val="00C80B50"/>
    <w:rsid w:val="00C80BA9"/>
    <w:rsid w:val="00C80C89"/>
    <w:rsid w:val="00C80D04"/>
    <w:rsid w:val="00C80DB9"/>
    <w:rsid w:val="00C80E88"/>
    <w:rsid w:val="00C80EED"/>
    <w:rsid w:val="00C80F34"/>
    <w:rsid w:val="00C80F44"/>
    <w:rsid w:val="00C81022"/>
    <w:rsid w:val="00C81073"/>
    <w:rsid w:val="00C810F1"/>
    <w:rsid w:val="00C81272"/>
    <w:rsid w:val="00C8146A"/>
    <w:rsid w:val="00C814E8"/>
    <w:rsid w:val="00C815F8"/>
    <w:rsid w:val="00C81669"/>
    <w:rsid w:val="00C8179A"/>
    <w:rsid w:val="00C81915"/>
    <w:rsid w:val="00C81AFB"/>
    <w:rsid w:val="00C81B34"/>
    <w:rsid w:val="00C81C19"/>
    <w:rsid w:val="00C81E31"/>
    <w:rsid w:val="00C821B6"/>
    <w:rsid w:val="00C82222"/>
    <w:rsid w:val="00C822B9"/>
    <w:rsid w:val="00C822CF"/>
    <w:rsid w:val="00C822FA"/>
    <w:rsid w:val="00C82537"/>
    <w:rsid w:val="00C82540"/>
    <w:rsid w:val="00C82747"/>
    <w:rsid w:val="00C828C0"/>
    <w:rsid w:val="00C82901"/>
    <w:rsid w:val="00C829DA"/>
    <w:rsid w:val="00C829FA"/>
    <w:rsid w:val="00C82A6F"/>
    <w:rsid w:val="00C82C03"/>
    <w:rsid w:val="00C82CE3"/>
    <w:rsid w:val="00C82DCD"/>
    <w:rsid w:val="00C82E53"/>
    <w:rsid w:val="00C82F30"/>
    <w:rsid w:val="00C832E8"/>
    <w:rsid w:val="00C8330A"/>
    <w:rsid w:val="00C83361"/>
    <w:rsid w:val="00C834EC"/>
    <w:rsid w:val="00C83606"/>
    <w:rsid w:val="00C8364F"/>
    <w:rsid w:val="00C836CA"/>
    <w:rsid w:val="00C8378C"/>
    <w:rsid w:val="00C837C0"/>
    <w:rsid w:val="00C837C4"/>
    <w:rsid w:val="00C8394F"/>
    <w:rsid w:val="00C839BF"/>
    <w:rsid w:val="00C839D7"/>
    <w:rsid w:val="00C839E8"/>
    <w:rsid w:val="00C83AD3"/>
    <w:rsid w:val="00C83B3D"/>
    <w:rsid w:val="00C83C9A"/>
    <w:rsid w:val="00C83EB0"/>
    <w:rsid w:val="00C83FF1"/>
    <w:rsid w:val="00C84100"/>
    <w:rsid w:val="00C84193"/>
    <w:rsid w:val="00C84233"/>
    <w:rsid w:val="00C846CF"/>
    <w:rsid w:val="00C84757"/>
    <w:rsid w:val="00C847A3"/>
    <w:rsid w:val="00C848A5"/>
    <w:rsid w:val="00C84959"/>
    <w:rsid w:val="00C84972"/>
    <w:rsid w:val="00C84C8A"/>
    <w:rsid w:val="00C84D33"/>
    <w:rsid w:val="00C84D7B"/>
    <w:rsid w:val="00C84EAE"/>
    <w:rsid w:val="00C85085"/>
    <w:rsid w:val="00C85290"/>
    <w:rsid w:val="00C85414"/>
    <w:rsid w:val="00C8573A"/>
    <w:rsid w:val="00C8583B"/>
    <w:rsid w:val="00C85E3B"/>
    <w:rsid w:val="00C85EE7"/>
    <w:rsid w:val="00C85F66"/>
    <w:rsid w:val="00C86075"/>
    <w:rsid w:val="00C8621E"/>
    <w:rsid w:val="00C863D7"/>
    <w:rsid w:val="00C86417"/>
    <w:rsid w:val="00C865C3"/>
    <w:rsid w:val="00C86890"/>
    <w:rsid w:val="00C868CB"/>
    <w:rsid w:val="00C86A54"/>
    <w:rsid w:val="00C86A6F"/>
    <w:rsid w:val="00C86ACA"/>
    <w:rsid w:val="00C86B70"/>
    <w:rsid w:val="00C86BE7"/>
    <w:rsid w:val="00C86CC6"/>
    <w:rsid w:val="00C86D2F"/>
    <w:rsid w:val="00C8706B"/>
    <w:rsid w:val="00C870EC"/>
    <w:rsid w:val="00C8725D"/>
    <w:rsid w:val="00C87298"/>
    <w:rsid w:val="00C8731F"/>
    <w:rsid w:val="00C87463"/>
    <w:rsid w:val="00C8761D"/>
    <w:rsid w:val="00C87658"/>
    <w:rsid w:val="00C876CC"/>
    <w:rsid w:val="00C87B7A"/>
    <w:rsid w:val="00C87B83"/>
    <w:rsid w:val="00C87D06"/>
    <w:rsid w:val="00C87DCE"/>
    <w:rsid w:val="00C87E08"/>
    <w:rsid w:val="00C87F91"/>
    <w:rsid w:val="00C90011"/>
    <w:rsid w:val="00C90258"/>
    <w:rsid w:val="00C90457"/>
    <w:rsid w:val="00C905CD"/>
    <w:rsid w:val="00C906D2"/>
    <w:rsid w:val="00C909E1"/>
    <w:rsid w:val="00C90BF2"/>
    <w:rsid w:val="00C90D50"/>
    <w:rsid w:val="00C90F67"/>
    <w:rsid w:val="00C91013"/>
    <w:rsid w:val="00C91167"/>
    <w:rsid w:val="00C91331"/>
    <w:rsid w:val="00C9142F"/>
    <w:rsid w:val="00C9145D"/>
    <w:rsid w:val="00C914CB"/>
    <w:rsid w:val="00C916FA"/>
    <w:rsid w:val="00C91741"/>
    <w:rsid w:val="00C917B1"/>
    <w:rsid w:val="00C918A6"/>
    <w:rsid w:val="00C9191A"/>
    <w:rsid w:val="00C91A06"/>
    <w:rsid w:val="00C91A2E"/>
    <w:rsid w:val="00C91A8A"/>
    <w:rsid w:val="00C91ABC"/>
    <w:rsid w:val="00C91C20"/>
    <w:rsid w:val="00C91CB1"/>
    <w:rsid w:val="00C91E3B"/>
    <w:rsid w:val="00C92007"/>
    <w:rsid w:val="00C9214B"/>
    <w:rsid w:val="00C922BB"/>
    <w:rsid w:val="00C9252D"/>
    <w:rsid w:val="00C92552"/>
    <w:rsid w:val="00C92586"/>
    <w:rsid w:val="00C925B5"/>
    <w:rsid w:val="00C926AF"/>
    <w:rsid w:val="00C92835"/>
    <w:rsid w:val="00C92A87"/>
    <w:rsid w:val="00C92B57"/>
    <w:rsid w:val="00C92D13"/>
    <w:rsid w:val="00C92D7E"/>
    <w:rsid w:val="00C92E79"/>
    <w:rsid w:val="00C9312D"/>
    <w:rsid w:val="00C934DC"/>
    <w:rsid w:val="00C93609"/>
    <w:rsid w:val="00C9365B"/>
    <w:rsid w:val="00C9367D"/>
    <w:rsid w:val="00C93722"/>
    <w:rsid w:val="00C9376A"/>
    <w:rsid w:val="00C93848"/>
    <w:rsid w:val="00C939FF"/>
    <w:rsid w:val="00C93BA3"/>
    <w:rsid w:val="00C93E92"/>
    <w:rsid w:val="00C93FDE"/>
    <w:rsid w:val="00C9457C"/>
    <w:rsid w:val="00C94583"/>
    <w:rsid w:val="00C9463E"/>
    <w:rsid w:val="00C9464D"/>
    <w:rsid w:val="00C94756"/>
    <w:rsid w:val="00C9475C"/>
    <w:rsid w:val="00C94820"/>
    <w:rsid w:val="00C9483A"/>
    <w:rsid w:val="00C948AE"/>
    <w:rsid w:val="00C94B2F"/>
    <w:rsid w:val="00C94B7A"/>
    <w:rsid w:val="00C94BDF"/>
    <w:rsid w:val="00C94CA3"/>
    <w:rsid w:val="00C94FE9"/>
    <w:rsid w:val="00C950E2"/>
    <w:rsid w:val="00C95186"/>
    <w:rsid w:val="00C953A1"/>
    <w:rsid w:val="00C9541A"/>
    <w:rsid w:val="00C95435"/>
    <w:rsid w:val="00C9554A"/>
    <w:rsid w:val="00C957A9"/>
    <w:rsid w:val="00C9592F"/>
    <w:rsid w:val="00C9596D"/>
    <w:rsid w:val="00C95BDF"/>
    <w:rsid w:val="00C95C4D"/>
    <w:rsid w:val="00C95F5A"/>
    <w:rsid w:val="00C960E1"/>
    <w:rsid w:val="00C96136"/>
    <w:rsid w:val="00C962E2"/>
    <w:rsid w:val="00C962F2"/>
    <w:rsid w:val="00C966BD"/>
    <w:rsid w:val="00C967F9"/>
    <w:rsid w:val="00C96938"/>
    <w:rsid w:val="00C96CDD"/>
    <w:rsid w:val="00C96D7E"/>
    <w:rsid w:val="00C96DCC"/>
    <w:rsid w:val="00C96E6A"/>
    <w:rsid w:val="00C96F2E"/>
    <w:rsid w:val="00C96F41"/>
    <w:rsid w:val="00C96F58"/>
    <w:rsid w:val="00C96F78"/>
    <w:rsid w:val="00C97065"/>
    <w:rsid w:val="00C971A7"/>
    <w:rsid w:val="00C97250"/>
    <w:rsid w:val="00C974EA"/>
    <w:rsid w:val="00C97747"/>
    <w:rsid w:val="00C97CD7"/>
    <w:rsid w:val="00C97DB4"/>
    <w:rsid w:val="00C97F17"/>
    <w:rsid w:val="00CA0085"/>
    <w:rsid w:val="00CA00E2"/>
    <w:rsid w:val="00CA01BE"/>
    <w:rsid w:val="00CA01D0"/>
    <w:rsid w:val="00CA03A8"/>
    <w:rsid w:val="00CA072A"/>
    <w:rsid w:val="00CA0819"/>
    <w:rsid w:val="00CA09D9"/>
    <w:rsid w:val="00CA0A7B"/>
    <w:rsid w:val="00CA0C5E"/>
    <w:rsid w:val="00CA0C9E"/>
    <w:rsid w:val="00CA0D33"/>
    <w:rsid w:val="00CA0ED0"/>
    <w:rsid w:val="00CA0F15"/>
    <w:rsid w:val="00CA0F98"/>
    <w:rsid w:val="00CA1183"/>
    <w:rsid w:val="00CA11BC"/>
    <w:rsid w:val="00CA11E2"/>
    <w:rsid w:val="00CA1215"/>
    <w:rsid w:val="00CA12C9"/>
    <w:rsid w:val="00CA14A6"/>
    <w:rsid w:val="00CA152D"/>
    <w:rsid w:val="00CA1539"/>
    <w:rsid w:val="00CA1683"/>
    <w:rsid w:val="00CA1715"/>
    <w:rsid w:val="00CA1876"/>
    <w:rsid w:val="00CA1877"/>
    <w:rsid w:val="00CA1A77"/>
    <w:rsid w:val="00CA1A82"/>
    <w:rsid w:val="00CA1AD3"/>
    <w:rsid w:val="00CA1AE1"/>
    <w:rsid w:val="00CA1B27"/>
    <w:rsid w:val="00CA1E33"/>
    <w:rsid w:val="00CA1E93"/>
    <w:rsid w:val="00CA212B"/>
    <w:rsid w:val="00CA2470"/>
    <w:rsid w:val="00CA2479"/>
    <w:rsid w:val="00CA24E9"/>
    <w:rsid w:val="00CA25AB"/>
    <w:rsid w:val="00CA26B6"/>
    <w:rsid w:val="00CA26D2"/>
    <w:rsid w:val="00CA2734"/>
    <w:rsid w:val="00CA28C5"/>
    <w:rsid w:val="00CA2C87"/>
    <w:rsid w:val="00CA2CDC"/>
    <w:rsid w:val="00CA2F32"/>
    <w:rsid w:val="00CA321D"/>
    <w:rsid w:val="00CA3382"/>
    <w:rsid w:val="00CA3409"/>
    <w:rsid w:val="00CA348C"/>
    <w:rsid w:val="00CA34E3"/>
    <w:rsid w:val="00CA3646"/>
    <w:rsid w:val="00CA370B"/>
    <w:rsid w:val="00CA37B7"/>
    <w:rsid w:val="00CA384C"/>
    <w:rsid w:val="00CA388B"/>
    <w:rsid w:val="00CA3897"/>
    <w:rsid w:val="00CA3C19"/>
    <w:rsid w:val="00CA3D95"/>
    <w:rsid w:val="00CA3DFD"/>
    <w:rsid w:val="00CA3E41"/>
    <w:rsid w:val="00CA3F9C"/>
    <w:rsid w:val="00CA4071"/>
    <w:rsid w:val="00CA429B"/>
    <w:rsid w:val="00CA4344"/>
    <w:rsid w:val="00CA435B"/>
    <w:rsid w:val="00CA4740"/>
    <w:rsid w:val="00CA47A4"/>
    <w:rsid w:val="00CA48F5"/>
    <w:rsid w:val="00CA4A87"/>
    <w:rsid w:val="00CA4C57"/>
    <w:rsid w:val="00CA4C94"/>
    <w:rsid w:val="00CA4DDF"/>
    <w:rsid w:val="00CA4EC6"/>
    <w:rsid w:val="00CA4EE1"/>
    <w:rsid w:val="00CA4F7F"/>
    <w:rsid w:val="00CA5103"/>
    <w:rsid w:val="00CA51E0"/>
    <w:rsid w:val="00CA523D"/>
    <w:rsid w:val="00CA55AB"/>
    <w:rsid w:val="00CA56A8"/>
    <w:rsid w:val="00CA5770"/>
    <w:rsid w:val="00CA5937"/>
    <w:rsid w:val="00CA598D"/>
    <w:rsid w:val="00CA5BCF"/>
    <w:rsid w:val="00CA5DDF"/>
    <w:rsid w:val="00CA5E02"/>
    <w:rsid w:val="00CA607C"/>
    <w:rsid w:val="00CA6412"/>
    <w:rsid w:val="00CA64E8"/>
    <w:rsid w:val="00CA656E"/>
    <w:rsid w:val="00CA662A"/>
    <w:rsid w:val="00CA69E9"/>
    <w:rsid w:val="00CA6AB4"/>
    <w:rsid w:val="00CA6BFB"/>
    <w:rsid w:val="00CA6F6B"/>
    <w:rsid w:val="00CA7206"/>
    <w:rsid w:val="00CA7211"/>
    <w:rsid w:val="00CA734F"/>
    <w:rsid w:val="00CA7386"/>
    <w:rsid w:val="00CA74AA"/>
    <w:rsid w:val="00CA74E4"/>
    <w:rsid w:val="00CA7552"/>
    <w:rsid w:val="00CA79C0"/>
    <w:rsid w:val="00CA7B8D"/>
    <w:rsid w:val="00CA7BAA"/>
    <w:rsid w:val="00CA7C6B"/>
    <w:rsid w:val="00CA7ED0"/>
    <w:rsid w:val="00CA7F10"/>
    <w:rsid w:val="00CA7F6C"/>
    <w:rsid w:val="00CA7F9E"/>
    <w:rsid w:val="00CB00BE"/>
    <w:rsid w:val="00CB00EC"/>
    <w:rsid w:val="00CB01F8"/>
    <w:rsid w:val="00CB026C"/>
    <w:rsid w:val="00CB0553"/>
    <w:rsid w:val="00CB0575"/>
    <w:rsid w:val="00CB083B"/>
    <w:rsid w:val="00CB0901"/>
    <w:rsid w:val="00CB096E"/>
    <w:rsid w:val="00CB0BF9"/>
    <w:rsid w:val="00CB0CCF"/>
    <w:rsid w:val="00CB0E00"/>
    <w:rsid w:val="00CB0F0B"/>
    <w:rsid w:val="00CB102B"/>
    <w:rsid w:val="00CB131F"/>
    <w:rsid w:val="00CB1324"/>
    <w:rsid w:val="00CB13CE"/>
    <w:rsid w:val="00CB1450"/>
    <w:rsid w:val="00CB1724"/>
    <w:rsid w:val="00CB1A63"/>
    <w:rsid w:val="00CB1BCF"/>
    <w:rsid w:val="00CB1DBE"/>
    <w:rsid w:val="00CB1E22"/>
    <w:rsid w:val="00CB1ED8"/>
    <w:rsid w:val="00CB206A"/>
    <w:rsid w:val="00CB23F6"/>
    <w:rsid w:val="00CB2441"/>
    <w:rsid w:val="00CB2446"/>
    <w:rsid w:val="00CB2492"/>
    <w:rsid w:val="00CB2499"/>
    <w:rsid w:val="00CB24B3"/>
    <w:rsid w:val="00CB2571"/>
    <w:rsid w:val="00CB2702"/>
    <w:rsid w:val="00CB27E8"/>
    <w:rsid w:val="00CB2829"/>
    <w:rsid w:val="00CB2974"/>
    <w:rsid w:val="00CB2A0D"/>
    <w:rsid w:val="00CB2AC3"/>
    <w:rsid w:val="00CB2B67"/>
    <w:rsid w:val="00CB2C73"/>
    <w:rsid w:val="00CB31E5"/>
    <w:rsid w:val="00CB3212"/>
    <w:rsid w:val="00CB330F"/>
    <w:rsid w:val="00CB336D"/>
    <w:rsid w:val="00CB3434"/>
    <w:rsid w:val="00CB3471"/>
    <w:rsid w:val="00CB34FC"/>
    <w:rsid w:val="00CB354E"/>
    <w:rsid w:val="00CB3601"/>
    <w:rsid w:val="00CB37BB"/>
    <w:rsid w:val="00CB3888"/>
    <w:rsid w:val="00CB38B1"/>
    <w:rsid w:val="00CB3C8A"/>
    <w:rsid w:val="00CB3D65"/>
    <w:rsid w:val="00CB3FB0"/>
    <w:rsid w:val="00CB40D4"/>
    <w:rsid w:val="00CB41C3"/>
    <w:rsid w:val="00CB46D3"/>
    <w:rsid w:val="00CB476E"/>
    <w:rsid w:val="00CB483E"/>
    <w:rsid w:val="00CB49C9"/>
    <w:rsid w:val="00CB4C5C"/>
    <w:rsid w:val="00CB50D9"/>
    <w:rsid w:val="00CB51A6"/>
    <w:rsid w:val="00CB526E"/>
    <w:rsid w:val="00CB5405"/>
    <w:rsid w:val="00CB5519"/>
    <w:rsid w:val="00CB56AB"/>
    <w:rsid w:val="00CB5822"/>
    <w:rsid w:val="00CB59ED"/>
    <w:rsid w:val="00CB5A78"/>
    <w:rsid w:val="00CB5B58"/>
    <w:rsid w:val="00CB5BBF"/>
    <w:rsid w:val="00CB5D6D"/>
    <w:rsid w:val="00CB5E37"/>
    <w:rsid w:val="00CB5EF6"/>
    <w:rsid w:val="00CB5F05"/>
    <w:rsid w:val="00CB5F56"/>
    <w:rsid w:val="00CB5FEE"/>
    <w:rsid w:val="00CB6013"/>
    <w:rsid w:val="00CB6233"/>
    <w:rsid w:val="00CB62A0"/>
    <w:rsid w:val="00CB64F1"/>
    <w:rsid w:val="00CB6911"/>
    <w:rsid w:val="00CB6BB2"/>
    <w:rsid w:val="00CB6F81"/>
    <w:rsid w:val="00CB6FDB"/>
    <w:rsid w:val="00CB702E"/>
    <w:rsid w:val="00CB7072"/>
    <w:rsid w:val="00CB709B"/>
    <w:rsid w:val="00CB70EF"/>
    <w:rsid w:val="00CB727F"/>
    <w:rsid w:val="00CB7368"/>
    <w:rsid w:val="00CB7584"/>
    <w:rsid w:val="00CB759D"/>
    <w:rsid w:val="00CB7A6A"/>
    <w:rsid w:val="00CB7A78"/>
    <w:rsid w:val="00CB7AF5"/>
    <w:rsid w:val="00CB7AFF"/>
    <w:rsid w:val="00CB7C5D"/>
    <w:rsid w:val="00CB7C9B"/>
    <w:rsid w:val="00CB7CB3"/>
    <w:rsid w:val="00CB7DA2"/>
    <w:rsid w:val="00CB7E31"/>
    <w:rsid w:val="00CB7FEB"/>
    <w:rsid w:val="00CB7FEF"/>
    <w:rsid w:val="00CC0136"/>
    <w:rsid w:val="00CC01C6"/>
    <w:rsid w:val="00CC029E"/>
    <w:rsid w:val="00CC0390"/>
    <w:rsid w:val="00CC040D"/>
    <w:rsid w:val="00CC0471"/>
    <w:rsid w:val="00CC0490"/>
    <w:rsid w:val="00CC056D"/>
    <w:rsid w:val="00CC05A1"/>
    <w:rsid w:val="00CC05E7"/>
    <w:rsid w:val="00CC0641"/>
    <w:rsid w:val="00CC068B"/>
    <w:rsid w:val="00CC0796"/>
    <w:rsid w:val="00CC0881"/>
    <w:rsid w:val="00CC08A7"/>
    <w:rsid w:val="00CC08BC"/>
    <w:rsid w:val="00CC093A"/>
    <w:rsid w:val="00CC09AD"/>
    <w:rsid w:val="00CC0D7B"/>
    <w:rsid w:val="00CC0FAB"/>
    <w:rsid w:val="00CC1003"/>
    <w:rsid w:val="00CC129F"/>
    <w:rsid w:val="00CC1354"/>
    <w:rsid w:val="00CC1402"/>
    <w:rsid w:val="00CC16AE"/>
    <w:rsid w:val="00CC176F"/>
    <w:rsid w:val="00CC17CE"/>
    <w:rsid w:val="00CC190A"/>
    <w:rsid w:val="00CC19D7"/>
    <w:rsid w:val="00CC1A17"/>
    <w:rsid w:val="00CC1DB6"/>
    <w:rsid w:val="00CC1DF9"/>
    <w:rsid w:val="00CC1DFF"/>
    <w:rsid w:val="00CC2198"/>
    <w:rsid w:val="00CC23AA"/>
    <w:rsid w:val="00CC2756"/>
    <w:rsid w:val="00CC28CA"/>
    <w:rsid w:val="00CC2901"/>
    <w:rsid w:val="00CC2919"/>
    <w:rsid w:val="00CC2A66"/>
    <w:rsid w:val="00CC2A6E"/>
    <w:rsid w:val="00CC2BE9"/>
    <w:rsid w:val="00CC32B8"/>
    <w:rsid w:val="00CC32CD"/>
    <w:rsid w:val="00CC345C"/>
    <w:rsid w:val="00CC3674"/>
    <w:rsid w:val="00CC39C2"/>
    <w:rsid w:val="00CC3A0C"/>
    <w:rsid w:val="00CC3A89"/>
    <w:rsid w:val="00CC3A96"/>
    <w:rsid w:val="00CC3BBD"/>
    <w:rsid w:val="00CC3CBB"/>
    <w:rsid w:val="00CC3CCB"/>
    <w:rsid w:val="00CC3D2B"/>
    <w:rsid w:val="00CC4122"/>
    <w:rsid w:val="00CC421D"/>
    <w:rsid w:val="00CC4291"/>
    <w:rsid w:val="00CC4464"/>
    <w:rsid w:val="00CC44C5"/>
    <w:rsid w:val="00CC4602"/>
    <w:rsid w:val="00CC46E9"/>
    <w:rsid w:val="00CC4924"/>
    <w:rsid w:val="00CC4BF1"/>
    <w:rsid w:val="00CC4BF6"/>
    <w:rsid w:val="00CC4E65"/>
    <w:rsid w:val="00CC4F00"/>
    <w:rsid w:val="00CC4F6F"/>
    <w:rsid w:val="00CC4F96"/>
    <w:rsid w:val="00CC52F4"/>
    <w:rsid w:val="00CC5585"/>
    <w:rsid w:val="00CC562C"/>
    <w:rsid w:val="00CC568E"/>
    <w:rsid w:val="00CC577B"/>
    <w:rsid w:val="00CC58C5"/>
    <w:rsid w:val="00CC5926"/>
    <w:rsid w:val="00CC5ADE"/>
    <w:rsid w:val="00CC5F30"/>
    <w:rsid w:val="00CC61F4"/>
    <w:rsid w:val="00CC62AA"/>
    <w:rsid w:val="00CC6340"/>
    <w:rsid w:val="00CC64A9"/>
    <w:rsid w:val="00CC64D1"/>
    <w:rsid w:val="00CC6584"/>
    <w:rsid w:val="00CC6587"/>
    <w:rsid w:val="00CC6647"/>
    <w:rsid w:val="00CC670F"/>
    <w:rsid w:val="00CC6782"/>
    <w:rsid w:val="00CC69A6"/>
    <w:rsid w:val="00CC69D7"/>
    <w:rsid w:val="00CC69EC"/>
    <w:rsid w:val="00CC6B8A"/>
    <w:rsid w:val="00CC6CB5"/>
    <w:rsid w:val="00CC7201"/>
    <w:rsid w:val="00CC7223"/>
    <w:rsid w:val="00CC7324"/>
    <w:rsid w:val="00CC737B"/>
    <w:rsid w:val="00CC740C"/>
    <w:rsid w:val="00CC744D"/>
    <w:rsid w:val="00CC7657"/>
    <w:rsid w:val="00CC7819"/>
    <w:rsid w:val="00CC7921"/>
    <w:rsid w:val="00CC792A"/>
    <w:rsid w:val="00CC7C1A"/>
    <w:rsid w:val="00CC7EFF"/>
    <w:rsid w:val="00CC7F8F"/>
    <w:rsid w:val="00CC7FD9"/>
    <w:rsid w:val="00CD004A"/>
    <w:rsid w:val="00CD01B9"/>
    <w:rsid w:val="00CD02F5"/>
    <w:rsid w:val="00CD032A"/>
    <w:rsid w:val="00CD0679"/>
    <w:rsid w:val="00CD067E"/>
    <w:rsid w:val="00CD0845"/>
    <w:rsid w:val="00CD08F7"/>
    <w:rsid w:val="00CD0A20"/>
    <w:rsid w:val="00CD0B24"/>
    <w:rsid w:val="00CD0B3E"/>
    <w:rsid w:val="00CD0B6C"/>
    <w:rsid w:val="00CD0B95"/>
    <w:rsid w:val="00CD0BB9"/>
    <w:rsid w:val="00CD0BDA"/>
    <w:rsid w:val="00CD100E"/>
    <w:rsid w:val="00CD114D"/>
    <w:rsid w:val="00CD11FE"/>
    <w:rsid w:val="00CD1316"/>
    <w:rsid w:val="00CD1319"/>
    <w:rsid w:val="00CD1354"/>
    <w:rsid w:val="00CD1800"/>
    <w:rsid w:val="00CD18DE"/>
    <w:rsid w:val="00CD18FF"/>
    <w:rsid w:val="00CD19EB"/>
    <w:rsid w:val="00CD1A72"/>
    <w:rsid w:val="00CD1C1B"/>
    <w:rsid w:val="00CD1C80"/>
    <w:rsid w:val="00CD1D5B"/>
    <w:rsid w:val="00CD2180"/>
    <w:rsid w:val="00CD2504"/>
    <w:rsid w:val="00CD25BB"/>
    <w:rsid w:val="00CD275D"/>
    <w:rsid w:val="00CD2A87"/>
    <w:rsid w:val="00CD2A8F"/>
    <w:rsid w:val="00CD2B5F"/>
    <w:rsid w:val="00CD2C9F"/>
    <w:rsid w:val="00CD2D79"/>
    <w:rsid w:val="00CD2DBF"/>
    <w:rsid w:val="00CD2E19"/>
    <w:rsid w:val="00CD30D4"/>
    <w:rsid w:val="00CD31F4"/>
    <w:rsid w:val="00CD32E6"/>
    <w:rsid w:val="00CD3319"/>
    <w:rsid w:val="00CD34D7"/>
    <w:rsid w:val="00CD3546"/>
    <w:rsid w:val="00CD36CF"/>
    <w:rsid w:val="00CD39B5"/>
    <w:rsid w:val="00CD3A44"/>
    <w:rsid w:val="00CD3B3D"/>
    <w:rsid w:val="00CD3C8F"/>
    <w:rsid w:val="00CD3CB0"/>
    <w:rsid w:val="00CD3D12"/>
    <w:rsid w:val="00CD3D73"/>
    <w:rsid w:val="00CD3D8F"/>
    <w:rsid w:val="00CD40F3"/>
    <w:rsid w:val="00CD412E"/>
    <w:rsid w:val="00CD42F0"/>
    <w:rsid w:val="00CD4300"/>
    <w:rsid w:val="00CD43C0"/>
    <w:rsid w:val="00CD43FB"/>
    <w:rsid w:val="00CD446A"/>
    <w:rsid w:val="00CD4501"/>
    <w:rsid w:val="00CD45F6"/>
    <w:rsid w:val="00CD4937"/>
    <w:rsid w:val="00CD4A61"/>
    <w:rsid w:val="00CD4CB5"/>
    <w:rsid w:val="00CD4D2C"/>
    <w:rsid w:val="00CD4FE7"/>
    <w:rsid w:val="00CD508D"/>
    <w:rsid w:val="00CD50D0"/>
    <w:rsid w:val="00CD5500"/>
    <w:rsid w:val="00CD5685"/>
    <w:rsid w:val="00CD56D5"/>
    <w:rsid w:val="00CD572C"/>
    <w:rsid w:val="00CD59B0"/>
    <w:rsid w:val="00CD5AB3"/>
    <w:rsid w:val="00CD5B49"/>
    <w:rsid w:val="00CD5B99"/>
    <w:rsid w:val="00CD5F64"/>
    <w:rsid w:val="00CD5F73"/>
    <w:rsid w:val="00CD608C"/>
    <w:rsid w:val="00CD615C"/>
    <w:rsid w:val="00CD624E"/>
    <w:rsid w:val="00CD62E4"/>
    <w:rsid w:val="00CD6378"/>
    <w:rsid w:val="00CD65DA"/>
    <w:rsid w:val="00CD67B2"/>
    <w:rsid w:val="00CD6CED"/>
    <w:rsid w:val="00CD6D05"/>
    <w:rsid w:val="00CD7068"/>
    <w:rsid w:val="00CD7277"/>
    <w:rsid w:val="00CD72E0"/>
    <w:rsid w:val="00CD73A0"/>
    <w:rsid w:val="00CD73BE"/>
    <w:rsid w:val="00CD73FB"/>
    <w:rsid w:val="00CD7421"/>
    <w:rsid w:val="00CD7578"/>
    <w:rsid w:val="00CD762A"/>
    <w:rsid w:val="00CD7AAD"/>
    <w:rsid w:val="00CD7DF0"/>
    <w:rsid w:val="00CD7EDA"/>
    <w:rsid w:val="00CE073D"/>
    <w:rsid w:val="00CE0927"/>
    <w:rsid w:val="00CE0B9D"/>
    <w:rsid w:val="00CE0C18"/>
    <w:rsid w:val="00CE0DF5"/>
    <w:rsid w:val="00CE1085"/>
    <w:rsid w:val="00CE1373"/>
    <w:rsid w:val="00CE1500"/>
    <w:rsid w:val="00CE15E0"/>
    <w:rsid w:val="00CE15FE"/>
    <w:rsid w:val="00CE1B2C"/>
    <w:rsid w:val="00CE1EA8"/>
    <w:rsid w:val="00CE1EB0"/>
    <w:rsid w:val="00CE1F38"/>
    <w:rsid w:val="00CE1FCD"/>
    <w:rsid w:val="00CE2113"/>
    <w:rsid w:val="00CE2151"/>
    <w:rsid w:val="00CE2662"/>
    <w:rsid w:val="00CE2886"/>
    <w:rsid w:val="00CE28AD"/>
    <w:rsid w:val="00CE29A3"/>
    <w:rsid w:val="00CE2BB2"/>
    <w:rsid w:val="00CE2D41"/>
    <w:rsid w:val="00CE2E93"/>
    <w:rsid w:val="00CE2F5F"/>
    <w:rsid w:val="00CE308E"/>
    <w:rsid w:val="00CE3188"/>
    <w:rsid w:val="00CE31E3"/>
    <w:rsid w:val="00CE339C"/>
    <w:rsid w:val="00CE33B3"/>
    <w:rsid w:val="00CE3455"/>
    <w:rsid w:val="00CE347C"/>
    <w:rsid w:val="00CE35E3"/>
    <w:rsid w:val="00CE3822"/>
    <w:rsid w:val="00CE3967"/>
    <w:rsid w:val="00CE39AE"/>
    <w:rsid w:val="00CE39F4"/>
    <w:rsid w:val="00CE3B71"/>
    <w:rsid w:val="00CE3C12"/>
    <w:rsid w:val="00CE3CFF"/>
    <w:rsid w:val="00CE3D31"/>
    <w:rsid w:val="00CE3F87"/>
    <w:rsid w:val="00CE40C9"/>
    <w:rsid w:val="00CE42DB"/>
    <w:rsid w:val="00CE4344"/>
    <w:rsid w:val="00CE43E9"/>
    <w:rsid w:val="00CE450A"/>
    <w:rsid w:val="00CE456A"/>
    <w:rsid w:val="00CE4618"/>
    <w:rsid w:val="00CE46C6"/>
    <w:rsid w:val="00CE4940"/>
    <w:rsid w:val="00CE49FF"/>
    <w:rsid w:val="00CE4D6A"/>
    <w:rsid w:val="00CE4E4D"/>
    <w:rsid w:val="00CE4F04"/>
    <w:rsid w:val="00CE4F95"/>
    <w:rsid w:val="00CE50AC"/>
    <w:rsid w:val="00CE52A0"/>
    <w:rsid w:val="00CE52E8"/>
    <w:rsid w:val="00CE53F3"/>
    <w:rsid w:val="00CE58F2"/>
    <w:rsid w:val="00CE5907"/>
    <w:rsid w:val="00CE5AE4"/>
    <w:rsid w:val="00CE5BF8"/>
    <w:rsid w:val="00CE5D0F"/>
    <w:rsid w:val="00CE5DB1"/>
    <w:rsid w:val="00CE5DCA"/>
    <w:rsid w:val="00CE5E56"/>
    <w:rsid w:val="00CE61D5"/>
    <w:rsid w:val="00CE634D"/>
    <w:rsid w:val="00CE6494"/>
    <w:rsid w:val="00CE682A"/>
    <w:rsid w:val="00CE6AFC"/>
    <w:rsid w:val="00CE6D6D"/>
    <w:rsid w:val="00CE6FFE"/>
    <w:rsid w:val="00CE7027"/>
    <w:rsid w:val="00CE711F"/>
    <w:rsid w:val="00CE7493"/>
    <w:rsid w:val="00CE756A"/>
    <w:rsid w:val="00CE75A6"/>
    <w:rsid w:val="00CE75AF"/>
    <w:rsid w:val="00CE766D"/>
    <w:rsid w:val="00CE7DA1"/>
    <w:rsid w:val="00CE7DE1"/>
    <w:rsid w:val="00CE7DF2"/>
    <w:rsid w:val="00CE7F6A"/>
    <w:rsid w:val="00CF015D"/>
    <w:rsid w:val="00CF0183"/>
    <w:rsid w:val="00CF0235"/>
    <w:rsid w:val="00CF02E3"/>
    <w:rsid w:val="00CF02EC"/>
    <w:rsid w:val="00CF03B9"/>
    <w:rsid w:val="00CF060A"/>
    <w:rsid w:val="00CF072C"/>
    <w:rsid w:val="00CF0A78"/>
    <w:rsid w:val="00CF0B65"/>
    <w:rsid w:val="00CF0C49"/>
    <w:rsid w:val="00CF0CDB"/>
    <w:rsid w:val="00CF0E1C"/>
    <w:rsid w:val="00CF1159"/>
    <w:rsid w:val="00CF1355"/>
    <w:rsid w:val="00CF13D3"/>
    <w:rsid w:val="00CF1417"/>
    <w:rsid w:val="00CF1623"/>
    <w:rsid w:val="00CF166E"/>
    <w:rsid w:val="00CF18E9"/>
    <w:rsid w:val="00CF194A"/>
    <w:rsid w:val="00CF1B78"/>
    <w:rsid w:val="00CF1EFA"/>
    <w:rsid w:val="00CF1F45"/>
    <w:rsid w:val="00CF2100"/>
    <w:rsid w:val="00CF2310"/>
    <w:rsid w:val="00CF235A"/>
    <w:rsid w:val="00CF2439"/>
    <w:rsid w:val="00CF24E4"/>
    <w:rsid w:val="00CF2582"/>
    <w:rsid w:val="00CF2648"/>
    <w:rsid w:val="00CF27A0"/>
    <w:rsid w:val="00CF27BF"/>
    <w:rsid w:val="00CF2AAA"/>
    <w:rsid w:val="00CF2BB8"/>
    <w:rsid w:val="00CF2C99"/>
    <w:rsid w:val="00CF2EBE"/>
    <w:rsid w:val="00CF32EB"/>
    <w:rsid w:val="00CF33C8"/>
    <w:rsid w:val="00CF360F"/>
    <w:rsid w:val="00CF3796"/>
    <w:rsid w:val="00CF3891"/>
    <w:rsid w:val="00CF39AC"/>
    <w:rsid w:val="00CF3A3F"/>
    <w:rsid w:val="00CF3CE7"/>
    <w:rsid w:val="00CF3DDA"/>
    <w:rsid w:val="00CF3E7D"/>
    <w:rsid w:val="00CF40CD"/>
    <w:rsid w:val="00CF44BA"/>
    <w:rsid w:val="00CF45BB"/>
    <w:rsid w:val="00CF45EC"/>
    <w:rsid w:val="00CF4624"/>
    <w:rsid w:val="00CF482B"/>
    <w:rsid w:val="00CF48A3"/>
    <w:rsid w:val="00CF48FB"/>
    <w:rsid w:val="00CF4AA5"/>
    <w:rsid w:val="00CF4C6C"/>
    <w:rsid w:val="00CF4F36"/>
    <w:rsid w:val="00CF5130"/>
    <w:rsid w:val="00CF5206"/>
    <w:rsid w:val="00CF5215"/>
    <w:rsid w:val="00CF522B"/>
    <w:rsid w:val="00CF5375"/>
    <w:rsid w:val="00CF57FD"/>
    <w:rsid w:val="00CF5845"/>
    <w:rsid w:val="00CF584C"/>
    <w:rsid w:val="00CF5B7C"/>
    <w:rsid w:val="00CF5D09"/>
    <w:rsid w:val="00CF5D12"/>
    <w:rsid w:val="00CF5D21"/>
    <w:rsid w:val="00CF5D66"/>
    <w:rsid w:val="00CF5FEC"/>
    <w:rsid w:val="00CF60FF"/>
    <w:rsid w:val="00CF637D"/>
    <w:rsid w:val="00CF63A2"/>
    <w:rsid w:val="00CF63F9"/>
    <w:rsid w:val="00CF64E2"/>
    <w:rsid w:val="00CF6589"/>
    <w:rsid w:val="00CF66C0"/>
    <w:rsid w:val="00CF67F4"/>
    <w:rsid w:val="00CF6A01"/>
    <w:rsid w:val="00CF6AD2"/>
    <w:rsid w:val="00CF6B44"/>
    <w:rsid w:val="00CF6C84"/>
    <w:rsid w:val="00CF6E18"/>
    <w:rsid w:val="00CF6FD5"/>
    <w:rsid w:val="00CF724B"/>
    <w:rsid w:val="00CF727B"/>
    <w:rsid w:val="00CF7313"/>
    <w:rsid w:val="00CF734A"/>
    <w:rsid w:val="00CF73D6"/>
    <w:rsid w:val="00CF752C"/>
    <w:rsid w:val="00CF7621"/>
    <w:rsid w:val="00CF772E"/>
    <w:rsid w:val="00CF7875"/>
    <w:rsid w:val="00CF78D1"/>
    <w:rsid w:val="00CF791E"/>
    <w:rsid w:val="00CF7AF6"/>
    <w:rsid w:val="00CF7B74"/>
    <w:rsid w:val="00CF7BC3"/>
    <w:rsid w:val="00CF7C19"/>
    <w:rsid w:val="00CF7C3B"/>
    <w:rsid w:val="00CF7C44"/>
    <w:rsid w:val="00CF7CA5"/>
    <w:rsid w:val="00CF7E35"/>
    <w:rsid w:val="00CF7FAF"/>
    <w:rsid w:val="00D0004C"/>
    <w:rsid w:val="00D0018B"/>
    <w:rsid w:val="00D001B3"/>
    <w:rsid w:val="00D00247"/>
    <w:rsid w:val="00D002F5"/>
    <w:rsid w:val="00D00393"/>
    <w:rsid w:val="00D00614"/>
    <w:rsid w:val="00D00791"/>
    <w:rsid w:val="00D007D4"/>
    <w:rsid w:val="00D00A41"/>
    <w:rsid w:val="00D00B71"/>
    <w:rsid w:val="00D00DD7"/>
    <w:rsid w:val="00D00E1D"/>
    <w:rsid w:val="00D00ECA"/>
    <w:rsid w:val="00D00EDA"/>
    <w:rsid w:val="00D010D3"/>
    <w:rsid w:val="00D010DC"/>
    <w:rsid w:val="00D011E5"/>
    <w:rsid w:val="00D011EB"/>
    <w:rsid w:val="00D012E4"/>
    <w:rsid w:val="00D014B2"/>
    <w:rsid w:val="00D01660"/>
    <w:rsid w:val="00D019D7"/>
    <w:rsid w:val="00D01B07"/>
    <w:rsid w:val="00D01D0D"/>
    <w:rsid w:val="00D01F9B"/>
    <w:rsid w:val="00D021AB"/>
    <w:rsid w:val="00D0220A"/>
    <w:rsid w:val="00D02245"/>
    <w:rsid w:val="00D02283"/>
    <w:rsid w:val="00D02302"/>
    <w:rsid w:val="00D02338"/>
    <w:rsid w:val="00D023E0"/>
    <w:rsid w:val="00D026B3"/>
    <w:rsid w:val="00D026EF"/>
    <w:rsid w:val="00D026FD"/>
    <w:rsid w:val="00D0273B"/>
    <w:rsid w:val="00D027CA"/>
    <w:rsid w:val="00D02842"/>
    <w:rsid w:val="00D02996"/>
    <w:rsid w:val="00D02A0F"/>
    <w:rsid w:val="00D02C0C"/>
    <w:rsid w:val="00D02C66"/>
    <w:rsid w:val="00D02D81"/>
    <w:rsid w:val="00D03071"/>
    <w:rsid w:val="00D0312D"/>
    <w:rsid w:val="00D03234"/>
    <w:rsid w:val="00D0325D"/>
    <w:rsid w:val="00D032C9"/>
    <w:rsid w:val="00D03363"/>
    <w:rsid w:val="00D03403"/>
    <w:rsid w:val="00D034A0"/>
    <w:rsid w:val="00D03562"/>
    <w:rsid w:val="00D035A0"/>
    <w:rsid w:val="00D036CE"/>
    <w:rsid w:val="00D037B3"/>
    <w:rsid w:val="00D0385F"/>
    <w:rsid w:val="00D03A47"/>
    <w:rsid w:val="00D03A92"/>
    <w:rsid w:val="00D03C46"/>
    <w:rsid w:val="00D03D1B"/>
    <w:rsid w:val="00D0414C"/>
    <w:rsid w:val="00D043A0"/>
    <w:rsid w:val="00D043BF"/>
    <w:rsid w:val="00D043C0"/>
    <w:rsid w:val="00D0447C"/>
    <w:rsid w:val="00D044F5"/>
    <w:rsid w:val="00D0456C"/>
    <w:rsid w:val="00D0465C"/>
    <w:rsid w:val="00D046EF"/>
    <w:rsid w:val="00D04744"/>
    <w:rsid w:val="00D047FE"/>
    <w:rsid w:val="00D048D9"/>
    <w:rsid w:val="00D048F8"/>
    <w:rsid w:val="00D0492F"/>
    <w:rsid w:val="00D049CE"/>
    <w:rsid w:val="00D049E1"/>
    <w:rsid w:val="00D04B29"/>
    <w:rsid w:val="00D04C48"/>
    <w:rsid w:val="00D04DE4"/>
    <w:rsid w:val="00D04DEE"/>
    <w:rsid w:val="00D04EBC"/>
    <w:rsid w:val="00D05176"/>
    <w:rsid w:val="00D05561"/>
    <w:rsid w:val="00D0580E"/>
    <w:rsid w:val="00D05819"/>
    <w:rsid w:val="00D05BC3"/>
    <w:rsid w:val="00D05BD3"/>
    <w:rsid w:val="00D05CD1"/>
    <w:rsid w:val="00D05E91"/>
    <w:rsid w:val="00D05F30"/>
    <w:rsid w:val="00D05F4B"/>
    <w:rsid w:val="00D06327"/>
    <w:rsid w:val="00D0637E"/>
    <w:rsid w:val="00D063FA"/>
    <w:rsid w:val="00D064AC"/>
    <w:rsid w:val="00D0651F"/>
    <w:rsid w:val="00D06672"/>
    <w:rsid w:val="00D06695"/>
    <w:rsid w:val="00D066CB"/>
    <w:rsid w:val="00D0676C"/>
    <w:rsid w:val="00D06815"/>
    <w:rsid w:val="00D06848"/>
    <w:rsid w:val="00D06894"/>
    <w:rsid w:val="00D06AC2"/>
    <w:rsid w:val="00D06C5E"/>
    <w:rsid w:val="00D06D8F"/>
    <w:rsid w:val="00D06DEF"/>
    <w:rsid w:val="00D06F4C"/>
    <w:rsid w:val="00D07176"/>
    <w:rsid w:val="00D071AA"/>
    <w:rsid w:val="00D073AE"/>
    <w:rsid w:val="00D073FE"/>
    <w:rsid w:val="00D0752E"/>
    <w:rsid w:val="00D07640"/>
    <w:rsid w:val="00D07697"/>
    <w:rsid w:val="00D076BB"/>
    <w:rsid w:val="00D07742"/>
    <w:rsid w:val="00D07854"/>
    <w:rsid w:val="00D07B61"/>
    <w:rsid w:val="00D07B6D"/>
    <w:rsid w:val="00D07B79"/>
    <w:rsid w:val="00D07C64"/>
    <w:rsid w:val="00D07E60"/>
    <w:rsid w:val="00D07F86"/>
    <w:rsid w:val="00D10000"/>
    <w:rsid w:val="00D1025B"/>
    <w:rsid w:val="00D10339"/>
    <w:rsid w:val="00D103B6"/>
    <w:rsid w:val="00D103D1"/>
    <w:rsid w:val="00D10489"/>
    <w:rsid w:val="00D1059D"/>
    <w:rsid w:val="00D1061F"/>
    <w:rsid w:val="00D106DD"/>
    <w:rsid w:val="00D10818"/>
    <w:rsid w:val="00D1089B"/>
    <w:rsid w:val="00D108A2"/>
    <w:rsid w:val="00D1096F"/>
    <w:rsid w:val="00D10AE5"/>
    <w:rsid w:val="00D10B50"/>
    <w:rsid w:val="00D10C00"/>
    <w:rsid w:val="00D10D83"/>
    <w:rsid w:val="00D10DFB"/>
    <w:rsid w:val="00D11190"/>
    <w:rsid w:val="00D1138A"/>
    <w:rsid w:val="00D1142E"/>
    <w:rsid w:val="00D115C0"/>
    <w:rsid w:val="00D117F7"/>
    <w:rsid w:val="00D11833"/>
    <w:rsid w:val="00D11BD1"/>
    <w:rsid w:val="00D11BF6"/>
    <w:rsid w:val="00D11C42"/>
    <w:rsid w:val="00D11C6A"/>
    <w:rsid w:val="00D11D38"/>
    <w:rsid w:val="00D12044"/>
    <w:rsid w:val="00D1213C"/>
    <w:rsid w:val="00D124AD"/>
    <w:rsid w:val="00D12507"/>
    <w:rsid w:val="00D125D4"/>
    <w:rsid w:val="00D127AD"/>
    <w:rsid w:val="00D129BC"/>
    <w:rsid w:val="00D12A25"/>
    <w:rsid w:val="00D12C1B"/>
    <w:rsid w:val="00D12DAC"/>
    <w:rsid w:val="00D12F34"/>
    <w:rsid w:val="00D12F3C"/>
    <w:rsid w:val="00D1328E"/>
    <w:rsid w:val="00D133DB"/>
    <w:rsid w:val="00D13499"/>
    <w:rsid w:val="00D13A46"/>
    <w:rsid w:val="00D13A4E"/>
    <w:rsid w:val="00D13B31"/>
    <w:rsid w:val="00D13CF5"/>
    <w:rsid w:val="00D1427E"/>
    <w:rsid w:val="00D142B2"/>
    <w:rsid w:val="00D1437B"/>
    <w:rsid w:val="00D144B1"/>
    <w:rsid w:val="00D14505"/>
    <w:rsid w:val="00D1451B"/>
    <w:rsid w:val="00D14521"/>
    <w:rsid w:val="00D14602"/>
    <w:rsid w:val="00D1461F"/>
    <w:rsid w:val="00D14639"/>
    <w:rsid w:val="00D1470B"/>
    <w:rsid w:val="00D14875"/>
    <w:rsid w:val="00D149AF"/>
    <w:rsid w:val="00D14A21"/>
    <w:rsid w:val="00D14B88"/>
    <w:rsid w:val="00D14D27"/>
    <w:rsid w:val="00D15069"/>
    <w:rsid w:val="00D151C8"/>
    <w:rsid w:val="00D15208"/>
    <w:rsid w:val="00D15249"/>
    <w:rsid w:val="00D1532C"/>
    <w:rsid w:val="00D155A2"/>
    <w:rsid w:val="00D15649"/>
    <w:rsid w:val="00D156F9"/>
    <w:rsid w:val="00D15834"/>
    <w:rsid w:val="00D15844"/>
    <w:rsid w:val="00D1598D"/>
    <w:rsid w:val="00D15CB9"/>
    <w:rsid w:val="00D15E0A"/>
    <w:rsid w:val="00D15F3B"/>
    <w:rsid w:val="00D16062"/>
    <w:rsid w:val="00D16153"/>
    <w:rsid w:val="00D1615F"/>
    <w:rsid w:val="00D1645A"/>
    <w:rsid w:val="00D164A4"/>
    <w:rsid w:val="00D16548"/>
    <w:rsid w:val="00D1661F"/>
    <w:rsid w:val="00D16668"/>
    <w:rsid w:val="00D167E1"/>
    <w:rsid w:val="00D16AF7"/>
    <w:rsid w:val="00D16BA3"/>
    <w:rsid w:val="00D16D2D"/>
    <w:rsid w:val="00D16DA4"/>
    <w:rsid w:val="00D16DBA"/>
    <w:rsid w:val="00D16DFC"/>
    <w:rsid w:val="00D16F87"/>
    <w:rsid w:val="00D17055"/>
    <w:rsid w:val="00D172E6"/>
    <w:rsid w:val="00D173F9"/>
    <w:rsid w:val="00D174DD"/>
    <w:rsid w:val="00D1763A"/>
    <w:rsid w:val="00D17C0E"/>
    <w:rsid w:val="00D17C3E"/>
    <w:rsid w:val="00D17CA4"/>
    <w:rsid w:val="00D17D3C"/>
    <w:rsid w:val="00D17F54"/>
    <w:rsid w:val="00D2029F"/>
    <w:rsid w:val="00D2055A"/>
    <w:rsid w:val="00D2062F"/>
    <w:rsid w:val="00D207A3"/>
    <w:rsid w:val="00D20AC6"/>
    <w:rsid w:val="00D20B5B"/>
    <w:rsid w:val="00D20C27"/>
    <w:rsid w:val="00D20C45"/>
    <w:rsid w:val="00D20C7D"/>
    <w:rsid w:val="00D20E30"/>
    <w:rsid w:val="00D20E68"/>
    <w:rsid w:val="00D2111A"/>
    <w:rsid w:val="00D212CB"/>
    <w:rsid w:val="00D2146F"/>
    <w:rsid w:val="00D2150F"/>
    <w:rsid w:val="00D21543"/>
    <w:rsid w:val="00D215EF"/>
    <w:rsid w:val="00D21615"/>
    <w:rsid w:val="00D216B8"/>
    <w:rsid w:val="00D2170D"/>
    <w:rsid w:val="00D21721"/>
    <w:rsid w:val="00D21725"/>
    <w:rsid w:val="00D2175F"/>
    <w:rsid w:val="00D217C4"/>
    <w:rsid w:val="00D21864"/>
    <w:rsid w:val="00D21A2A"/>
    <w:rsid w:val="00D21D47"/>
    <w:rsid w:val="00D22157"/>
    <w:rsid w:val="00D221E2"/>
    <w:rsid w:val="00D2253D"/>
    <w:rsid w:val="00D2254D"/>
    <w:rsid w:val="00D22752"/>
    <w:rsid w:val="00D22BE5"/>
    <w:rsid w:val="00D22DE5"/>
    <w:rsid w:val="00D2312F"/>
    <w:rsid w:val="00D2335A"/>
    <w:rsid w:val="00D233DA"/>
    <w:rsid w:val="00D235BC"/>
    <w:rsid w:val="00D2366E"/>
    <w:rsid w:val="00D2370B"/>
    <w:rsid w:val="00D23717"/>
    <w:rsid w:val="00D23890"/>
    <w:rsid w:val="00D23A83"/>
    <w:rsid w:val="00D23C6E"/>
    <w:rsid w:val="00D23D6E"/>
    <w:rsid w:val="00D23E99"/>
    <w:rsid w:val="00D24050"/>
    <w:rsid w:val="00D24314"/>
    <w:rsid w:val="00D2442B"/>
    <w:rsid w:val="00D24503"/>
    <w:rsid w:val="00D246C7"/>
    <w:rsid w:val="00D2483A"/>
    <w:rsid w:val="00D2485D"/>
    <w:rsid w:val="00D248A0"/>
    <w:rsid w:val="00D248B8"/>
    <w:rsid w:val="00D248D2"/>
    <w:rsid w:val="00D24999"/>
    <w:rsid w:val="00D24B13"/>
    <w:rsid w:val="00D24C68"/>
    <w:rsid w:val="00D24EF9"/>
    <w:rsid w:val="00D24FC4"/>
    <w:rsid w:val="00D255DF"/>
    <w:rsid w:val="00D255F3"/>
    <w:rsid w:val="00D25715"/>
    <w:rsid w:val="00D257EE"/>
    <w:rsid w:val="00D25990"/>
    <w:rsid w:val="00D25BEE"/>
    <w:rsid w:val="00D25D54"/>
    <w:rsid w:val="00D25E23"/>
    <w:rsid w:val="00D25F78"/>
    <w:rsid w:val="00D260BB"/>
    <w:rsid w:val="00D2646B"/>
    <w:rsid w:val="00D26985"/>
    <w:rsid w:val="00D26BAA"/>
    <w:rsid w:val="00D26C54"/>
    <w:rsid w:val="00D26CF2"/>
    <w:rsid w:val="00D26CFB"/>
    <w:rsid w:val="00D26DE6"/>
    <w:rsid w:val="00D26DE8"/>
    <w:rsid w:val="00D26EC7"/>
    <w:rsid w:val="00D26FC8"/>
    <w:rsid w:val="00D27594"/>
    <w:rsid w:val="00D27704"/>
    <w:rsid w:val="00D2780E"/>
    <w:rsid w:val="00D27A8E"/>
    <w:rsid w:val="00D27B08"/>
    <w:rsid w:val="00D27BF5"/>
    <w:rsid w:val="00D27D9B"/>
    <w:rsid w:val="00D27DA8"/>
    <w:rsid w:val="00D27E14"/>
    <w:rsid w:val="00D27ED6"/>
    <w:rsid w:val="00D27F18"/>
    <w:rsid w:val="00D3006D"/>
    <w:rsid w:val="00D303B1"/>
    <w:rsid w:val="00D303F1"/>
    <w:rsid w:val="00D30455"/>
    <w:rsid w:val="00D308E4"/>
    <w:rsid w:val="00D309F6"/>
    <w:rsid w:val="00D30A81"/>
    <w:rsid w:val="00D30CD3"/>
    <w:rsid w:val="00D30DCC"/>
    <w:rsid w:val="00D30E67"/>
    <w:rsid w:val="00D31027"/>
    <w:rsid w:val="00D3103D"/>
    <w:rsid w:val="00D31090"/>
    <w:rsid w:val="00D310F2"/>
    <w:rsid w:val="00D311A4"/>
    <w:rsid w:val="00D31245"/>
    <w:rsid w:val="00D312F2"/>
    <w:rsid w:val="00D31395"/>
    <w:rsid w:val="00D313D0"/>
    <w:rsid w:val="00D315E3"/>
    <w:rsid w:val="00D3170A"/>
    <w:rsid w:val="00D31731"/>
    <w:rsid w:val="00D31752"/>
    <w:rsid w:val="00D319E4"/>
    <w:rsid w:val="00D31A6C"/>
    <w:rsid w:val="00D31B48"/>
    <w:rsid w:val="00D31BB8"/>
    <w:rsid w:val="00D31C10"/>
    <w:rsid w:val="00D31C9B"/>
    <w:rsid w:val="00D31DEA"/>
    <w:rsid w:val="00D3203A"/>
    <w:rsid w:val="00D320B4"/>
    <w:rsid w:val="00D320F3"/>
    <w:rsid w:val="00D3219F"/>
    <w:rsid w:val="00D321AC"/>
    <w:rsid w:val="00D323EC"/>
    <w:rsid w:val="00D324B0"/>
    <w:rsid w:val="00D32C46"/>
    <w:rsid w:val="00D32DE5"/>
    <w:rsid w:val="00D32E2C"/>
    <w:rsid w:val="00D32ECC"/>
    <w:rsid w:val="00D3340B"/>
    <w:rsid w:val="00D335A8"/>
    <w:rsid w:val="00D336E2"/>
    <w:rsid w:val="00D3380E"/>
    <w:rsid w:val="00D33B28"/>
    <w:rsid w:val="00D33D67"/>
    <w:rsid w:val="00D33DED"/>
    <w:rsid w:val="00D33F64"/>
    <w:rsid w:val="00D34048"/>
    <w:rsid w:val="00D34078"/>
    <w:rsid w:val="00D34140"/>
    <w:rsid w:val="00D34238"/>
    <w:rsid w:val="00D344AA"/>
    <w:rsid w:val="00D34645"/>
    <w:rsid w:val="00D34828"/>
    <w:rsid w:val="00D348CA"/>
    <w:rsid w:val="00D349DA"/>
    <w:rsid w:val="00D34B74"/>
    <w:rsid w:val="00D34BFF"/>
    <w:rsid w:val="00D34C2C"/>
    <w:rsid w:val="00D34EBC"/>
    <w:rsid w:val="00D34EE4"/>
    <w:rsid w:val="00D35059"/>
    <w:rsid w:val="00D35490"/>
    <w:rsid w:val="00D354F1"/>
    <w:rsid w:val="00D3557F"/>
    <w:rsid w:val="00D3568D"/>
    <w:rsid w:val="00D356BF"/>
    <w:rsid w:val="00D356D7"/>
    <w:rsid w:val="00D35830"/>
    <w:rsid w:val="00D35A44"/>
    <w:rsid w:val="00D35A7B"/>
    <w:rsid w:val="00D35B73"/>
    <w:rsid w:val="00D35D4A"/>
    <w:rsid w:val="00D35E37"/>
    <w:rsid w:val="00D35EEB"/>
    <w:rsid w:val="00D35F2D"/>
    <w:rsid w:val="00D36026"/>
    <w:rsid w:val="00D362F2"/>
    <w:rsid w:val="00D3633D"/>
    <w:rsid w:val="00D36456"/>
    <w:rsid w:val="00D36465"/>
    <w:rsid w:val="00D367D9"/>
    <w:rsid w:val="00D369D6"/>
    <w:rsid w:val="00D36AFE"/>
    <w:rsid w:val="00D36B5C"/>
    <w:rsid w:val="00D36C7F"/>
    <w:rsid w:val="00D36D67"/>
    <w:rsid w:val="00D36E00"/>
    <w:rsid w:val="00D36E54"/>
    <w:rsid w:val="00D36F68"/>
    <w:rsid w:val="00D36F9E"/>
    <w:rsid w:val="00D3705F"/>
    <w:rsid w:val="00D370B3"/>
    <w:rsid w:val="00D370C8"/>
    <w:rsid w:val="00D37115"/>
    <w:rsid w:val="00D372FC"/>
    <w:rsid w:val="00D373ED"/>
    <w:rsid w:val="00D37623"/>
    <w:rsid w:val="00D3776E"/>
    <w:rsid w:val="00D377C8"/>
    <w:rsid w:val="00D37A6C"/>
    <w:rsid w:val="00D37B45"/>
    <w:rsid w:val="00D37BC5"/>
    <w:rsid w:val="00D37BED"/>
    <w:rsid w:val="00D37D4F"/>
    <w:rsid w:val="00D37DBE"/>
    <w:rsid w:val="00D37FD9"/>
    <w:rsid w:val="00D400F6"/>
    <w:rsid w:val="00D402C2"/>
    <w:rsid w:val="00D4030A"/>
    <w:rsid w:val="00D4055D"/>
    <w:rsid w:val="00D40582"/>
    <w:rsid w:val="00D4064D"/>
    <w:rsid w:val="00D40654"/>
    <w:rsid w:val="00D409AB"/>
    <w:rsid w:val="00D409AE"/>
    <w:rsid w:val="00D40A09"/>
    <w:rsid w:val="00D40A4D"/>
    <w:rsid w:val="00D40B67"/>
    <w:rsid w:val="00D40CF7"/>
    <w:rsid w:val="00D40DC8"/>
    <w:rsid w:val="00D40EB8"/>
    <w:rsid w:val="00D411C0"/>
    <w:rsid w:val="00D413DF"/>
    <w:rsid w:val="00D41644"/>
    <w:rsid w:val="00D4168F"/>
    <w:rsid w:val="00D418F1"/>
    <w:rsid w:val="00D41915"/>
    <w:rsid w:val="00D41957"/>
    <w:rsid w:val="00D419CD"/>
    <w:rsid w:val="00D41CAA"/>
    <w:rsid w:val="00D41D6C"/>
    <w:rsid w:val="00D41D9E"/>
    <w:rsid w:val="00D41DA8"/>
    <w:rsid w:val="00D41F15"/>
    <w:rsid w:val="00D41FB0"/>
    <w:rsid w:val="00D41FE1"/>
    <w:rsid w:val="00D42019"/>
    <w:rsid w:val="00D42091"/>
    <w:rsid w:val="00D42146"/>
    <w:rsid w:val="00D42457"/>
    <w:rsid w:val="00D4253E"/>
    <w:rsid w:val="00D42544"/>
    <w:rsid w:val="00D426AC"/>
    <w:rsid w:val="00D427DA"/>
    <w:rsid w:val="00D427DE"/>
    <w:rsid w:val="00D42988"/>
    <w:rsid w:val="00D42A14"/>
    <w:rsid w:val="00D42A26"/>
    <w:rsid w:val="00D42D2C"/>
    <w:rsid w:val="00D42D53"/>
    <w:rsid w:val="00D42D9D"/>
    <w:rsid w:val="00D42DF8"/>
    <w:rsid w:val="00D430AA"/>
    <w:rsid w:val="00D4319B"/>
    <w:rsid w:val="00D431E5"/>
    <w:rsid w:val="00D432D7"/>
    <w:rsid w:val="00D4358E"/>
    <w:rsid w:val="00D436A6"/>
    <w:rsid w:val="00D437B3"/>
    <w:rsid w:val="00D438B7"/>
    <w:rsid w:val="00D438E5"/>
    <w:rsid w:val="00D439B7"/>
    <w:rsid w:val="00D43B90"/>
    <w:rsid w:val="00D43BDC"/>
    <w:rsid w:val="00D43D3A"/>
    <w:rsid w:val="00D4406C"/>
    <w:rsid w:val="00D440E2"/>
    <w:rsid w:val="00D440FC"/>
    <w:rsid w:val="00D442CA"/>
    <w:rsid w:val="00D442F3"/>
    <w:rsid w:val="00D4431D"/>
    <w:rsid w:val="00D444B1"/>
    <w:rsid w:val="00D444B5"/>
    <w:rsid w:val="00D445E8"/>
    <w:rsid w:val="00D44805"/>
    <w:rsid w:val="00D44811"/>
    <w:rsid w:val="00D44856"/>
    <w:rsid w:val="00D44892"/>
    <w:rsid w:val="00D448C9"/>
    <w:rsid w:val="00D44998"/>
    <w:rsid w:val="00D44A7F"/>
    <w:rsid w:val="00D44ABD"/>
    <w:rsid w:val="00D44B0B"/>
    <w:rsid w:val="00D44C06"/>
    <w:rsid w:val="00D44D66"/>
    <w:rsid w:val="00D44E15"/>
    <w:rsid w:val="00D44E73"/>
    <w:rsid w:val="00D4507A"/>
    <w:rsid w:val="00D450AA"/>
    <w:rsid w:val="00D45112"/>
    <w:rsid w:val="00D45141"/>
    <w:rsid w:val="00D45239"/>
    <w:rsid w:val="00D45333"/>
    <w:rsid w:val="00D45552"/>
    <w:rsid w:val="00D455A3"/>
    <w:rsid w:val="00D455C7"/>
    <w:rsid w:val="00D455E8"/>
    <w:rsid w:val="00D45619"/>
    <w:rsid w:val="00D45849"/>
    <w:rsid w:val="00D45888"/>
    <w:rsid w:val="00D458F4"/>
    <w:rsid w:val="00D45936"/>
    <w:rsid w:val="00D45AE5"/>
    <w:rsid w:val="00D45C42"/>
    <w:rsid w:val="00D45FFD"/>
    <w:rsid w:val="00D46090"/>
    <w:rsid w:val="00D460BE"/>
    <w:rsid w:val="00D46146"/>
    <w:rsid w:val="00D4616D"/>
    <w:rsid w:val="00D4629B"/>
    <w:rsid w:val="00D466D8"/>
    <w:rsid w:val="00D4690E"/>
    <w:rsid w:val="00D46A7B"/>
    <w:rsid w:val="00D46AC4"/>
    <w:rsid w:val="00D46ACB"/>
    <w:rsid w:val="00D46D85"/>
    <w:rsid w:val="00D47290"/>
    <w:rsid w:val="00D474C4"/>
    <w:rsid w:val="00D4774C"/>
    <w:rsid w:val="00D47935"/>
    <w:rsid w:val="00D47972"/>
    <w:rsid w:val="00D47980"/>
    <w:rsid w:val="00D47BD8"/>
    <w:rsid w:val="00D47CC5"/>
    <w:rsid w:val="00D47E8A"/>
    <w:rsid w:val="00D50128"/>
    <w:rsid w:val="00D50157"/>
    <w:rsid w:val="00D5028A"/>
    <w:rsid w:val="00D505EA"/>
    <w:rsid w:val="00D50652"/>
    <w:rsid w:val="00D506B4"/>
    <w:rsid w:val="00D5089D"/>
    <w:rsid w:val="00D50960"/>
    <w:rsid w:val="00D50ABC"/>
    <w:rsid w:val="00D50DA2"/>
    <w:rsid w:val="00D50FAB"/>
    <w:rsid w:val="00D5124C"/>
    <w:rsid w:val="00D5127D"/>
    <w:rsid w:val="00D5137E"/>
    <w:rsid w:val="00D51418"/>
    <w:rsid w:val="00D514E0"/>
    <w:rsid w:val="00D5153C"/>
    <w:rsid w:val="00D51684"/>
    <w:rsid w:val="00D5184F"/>
    <w:rsid w:val="00D51B66"/>
    <w:rsid w:val="00D51BE2"/>
    <w:rsid w:val="00D51D42"/>
    <w:rsid w:val="00D51E3D"/>
    <w:rsid w:val="00D51E42"/>
    <w:rsid w:val="00D51E5F"/>
    <w:rsid w:val="00D51F4E"/>
    <w:rsid w:val="00D5209E"/>
    <w:rsid w:val="00D52131"/>
    <w:rsid w:val="00D522A1"/>
    <w:rsid w:val="00D5233E"/>
    <w:rsid w:val="00D525F9"/>
    <w:rsid w:val="00D526AC"/>
    <w:rsid w:val="00D527DD"/>
    <w:rsid w:val="00D52865"/>
    <w:rsid w:val="00D5295C"/>
    <w:rsid w:val="00D52993"/>
    <w:rsid w:val="00D52A97"/>
    <w:rsid w:val="00D52B90"/>
    <w:rsid w:val="00D52CA1"/>
    <w:rsid w:val="00D52EB6"/>
    <w:rsid w:val="00D52FF9"/>
    <w:rsid w:val="00D532CB"/>
    <w:rsid w:val="00D53337"/>
    <w:rsid w:val="00D53378"/>
    <w:rsid w:val="00D53421"/>
    <w:rsid w:val="00D5344A"/>
    <w:rsid w:val="00D534E2"/>
    <w:rsid w:val="00D53756"/>
    <w:rsid w:val="00D53D5B"/>
    <w:rsid w:val="00D53EDA"/>
    <w:rsid w:val="00D54074"/>
    <w:rsid w:val="00D54149"/>
    <w:rsid w:val="00D54176"/>
    <w:rsid w:val="00D54195"/>
    <w:rsid w:val="00D5421C"/>
    <w:rsid w:val="00D5431A"/>
    <w:rsid w:val="00D54323"/>
    <w:rsid w:val="00D54381"/>
    <w:rsid w:val="00D543DC"/>
    <w:rsid w:val="00D54536"/>
    <w:rsid w:val="00D548F8"/>
    <w:rsid w:val="00D54A33"/>
    <w:rsid w:val="00D54D34"/>
    <w:rsid w:val="00D54E19"/>
    <w:rsid w:val="00D54E68"/>
    <w:rsid w:val="00D54F36"/>
    <w:rsid w:val="00D5533D"/>
    <w:rsid w:val="00D55460"/>
    <w:rsid w:val="00D555A9"/>
    <w:rsid w:val="00D55946"/>
    <w:rsid w:val="00D559CC"/>
    <w:rsid w:val="00D55B84"/>
    <w:rsid w:val="00D55BAB"/>
    <w:rsid w:val="00D55CE5"/>
    <w:rsid w:val="00D55D32"/>
    <w:rsid w:val="00D55DD7"/>
    <w:rsid w:val="00D55EA8"/>
    <w:rsid w:val="00D56777"/>
    <w:rsid w:val="00D567B9"/>
    <w:rsid w:val="00D5681E"/>
    <w:rsid w:val="00D56B1C"/>
    <w:rsid w:val="00D56DEB"/>
    <w:rsid w:val="00D56E1D"/>
    <w:rsid w:val="00D56FCF"/>
    <w:rsid w:val="00D573F7"/>
    <w:rsid w:val="00D574EC"/>
    <w:rsid w:val="00D57593"/>
    <w:rsid w:val="00D575CE"/>
    <w:rsid w:val="00D575F0"/>
    <w:rsid w:val="00D57786"/>
    <w:rsid w:val="00D57B4F"/>
    <w:rsid w:val="00D57BE1"/>
    <w:rsid w:val="00D57DCC"/>
    <w:rsid w:val="00D57E02"/>
    <w:rsid w:val="00D57F29"/>
    <w:rsid w:val="00D57FE0"/>
    <w:rsid w:val="00D6006E"/>
    <w:rsid w:val="00D603EB"/>
    <w:rsid w:val="00D60457"/>
    <w:rsid w:val="00D60909"/>
    <w:rsid w:val="00D60B97"/>
    <w:rsid w:val="00D60CAC"/>
    <w:rsid w:val="00D60E99"/>
    <w:rsid w:val="00D60F34"/>
    <w:rsid w:val="00D60F5C"/>
    <w:rsid w:val="00D6105E"/>
    <w:rsid w:val="00D611C9"/>
    <w:rsid w:val="00D61234"/>
    <w:rsid w:val="00D61295"/>
    <w:rsid w:val="00D612C5"/>
    <w:rsid w:val="00D61435"/>
    <w:rsid w:val="00D6186F"/>
    <w:rsid w:val="00D61903"/>
    <w:rsid w:val="00D61957"/>
    <w:rsid w:val="00D61A97"/>
    <w:rsid w:val="00D61CE9"/>
    <w:rsid w:val="00D61D0F"/>
    <w:rsid w:val="00D61D9D"/>
    <w:rsid w:val="00D61DC5"/>
    <w:rsid w:val="00D61E83"/>
    <w:rsid w:val="00D61EB9"/>
    <w:rsid w:val="00D61EF1"/>
    <w:rsid w:val="00D61F0E"/>
    <w:rsid w:val="00D6203F"/>
    <w:rsid w:val="00D620D0"/>
    <w:rsid w:val="00D62235"/>
    <w:rsid w:val="00D62263"/>
    <w:rsid w:val="00D62265"/>
    <w:rsid w:val="00D62349"/>
    <w:rsid w:val="00D62387"/>
    <w:rsid w:val="00D624A4"/>
    <w:rsid w:val="00D624C8"/>
    <w:rsid w:val="00D62699"/>
    <w:rsid w:val="00D626BE"/>
    <w:rsid w:val="00D62A1E"/>
    <w:rsid w:val="00D62E05"/>
    <w:rsid w:val="00D62E57"/>
    <w:rsid w:val="00D62EEF"/>
    <w:rsid w:val="00D630CF"/>
    <w:rsid w:val="00D63129"/>
    <w:rsid w:val="00D63244"/>
    <w:rsid w:val="00D63391"/>
    <w:rsid w:val="00D633E6"/>
    <w:rsid w:val="00D63405"/>
    <w:rsid w:val="00D6367A"/>
    <w:rsid w:val="00D639F5"/>
    <w:rsid w:val="00D63A1E"/>
    <w:rsid w:val="00D63A99"/>
    <w:rsid w:val="00D63B85"/>
    <w:rsid w:val="00D63BC7"/>
    <w:rsid w:val="00D63DAA"/>
    <w:rsid w:val="00D63EFB"/>
    <w:rsid w:val="00D6406C"/>
    <w:rsid w:val="00D640CA"/>
    <w:rsid w:val="00D64186"/>
    <w:rsid w:val="00D641EC"/>
    <w:rsid w:val="00D643FC"/>
    <w:rsid w:val="00D64669"/>
    <w:rsid w:val="00D649E6"/>
    <w:rsid w:val="00D64BDF"/>
    <w:rsid w:val="00D652D2"/>
    <w:rsid w:val="00D65619"/>
    <w:rsid w:val="00D6568C"/>
    <w:rsid w:val="00D657D3"/>
    <w:rsid w:val="00D6586D"/>
    <w:rsid w:val="00D65878"/>
    <w:rsid w:val="00D65966"/>
    <w:rsid w:val="00D65A52"/>
    <w:rsid w:val="00D65CC7"/>
    <w:rsid w:val="00D65CD3"/>
    <w:rsid w:val="00D65E03"/>
    <w:rsid w:val="00D65ECF"/>
    <w:rsid w:val="00D65EE9"/>
    <w:rsid w:val="00D66068"/>
    <w:rsid w:val="00D66155"/>
    <w:rsid w:val="00D66175"/>
    <w:rsid w:val="00D6618A"/>
    <w:rsid w:val="00D6655A"/>
    <w:rsid w:val="00D66ABB"/>
    <w:rsid w:val="00D66B2C"/>
    <w:rsid w:val="00D66C02"/>
    <w:rsid w:val="00D66D57"/>
    <w:rsid w:val="00D66D6C"/>
    <w:rsid w:val="00D66DD2"/>
    <w:rsid w:val="00D66E0B"/>
    <w:rsid w:val="00D66EC0"/>
    <w:rsid w:val="00D66F34"/>
    <w:rsid w:val="00D670B4"/>
    <w:rsid w:val="00D67294"/>
    <w:rsid w:val="00D672AD"/>
    <w:rsid w:val="00D67537"/>
    <w:rsid w:val="00D675EE"/>
    <w:rsid w:val="00D679C2"/>
    <w:rsid w:val="00D67A08"/>
    <w:rsid w:val="00D67B66"/>
    <w:rsid w:val="00D67C96"/>
    <w:rsid w:val="00D67FB4"/>
    <w:rsid w:val="00D70011"/>
    <w:rsid w:val="00D700C8"/>
    <w:rsid w:val="00D7026B"/>
    <w:rsid w:val="00D702A1"/>
    <w:rsid w:val="00D702E9"/>
    <w:rsid w:val="00D7057E"/>
    <w:rsid w:val="00D70788"/>
    <w:rsid w:val="00D70AD3"/>
    <w:rsid w:val="00D70C01"/>
    <w:rsid w:val="00D70CDF"/>
    <w:rsid w:val="00D70F0C"/>
    <w:rsid w:val="00D71078"/>
    <w:rsid w:val="00D710C2"/>
    <w:rsid w:val="00D71159"/>
    <w:rsid w:val="00D71603"/>
    <w:rsid w:val="00D717DF"/>
    <w:rsid w:val="00D71840"/>
    <w:rsid w:val="00D71841"/>
    <w:rsid w:val="00D7185E"/>
    <w:rsid w:val="00D7197C"/>
    <w:rsid w:val="00D71A2F"/>
    <w:rsid w:val="00D71DE1"/>
    <w:rsid w:val="00D72146"/>
    <w:rsid w:val="00D72234"/>
    <w:rsid w:val="00D72252"/>
    <w:rsid w:val="00D72277"/>
    <w:rsid w:val="00D723DD"/>
    <w:rsid w:val="00D7297D"/>
    <w:rsid w:val="00D72A1A"/>
    <w:rsid w:val="00D72AA6"/>
    <w:rsid w:val="00D72B43"/>
    <w:rsid w:val="00D72B9B"/>
    <w:rsid w:val="00D72DB5"/>
    <w:rsid w:val="00D72DD4"/>
    <w:rsid w:val="00D72E69"/>
    <w:rsid w:val="00D72EDE"/>
    <w:rsid w:val="00D72EF0"/>
    <w:rsid w:val="00D7317E"/>
    <w:rsid w:val="00D731EA"/>
    <w:rsid w:val="00D731F2"/>
    <w:rsid w:val="00D7335A"/>
    <w:rsid w:val="00D733B0"/>
    <w:rsid w:val="00D7353C"/>
    <w:rsid w:val="00D73781"/>
    <w:rsid w:val="00D73ADD"/>
    <w:rsid w:val="00D73B7F"/>
    <w:rsid w:val="00D73D9C"/>
    <w:rsid w:val="00D73DE5"/>
    <w:rsid w:val="00D7402A"/>
    <w:rsid w:val="00D7424E"/>
    <w:rsid w:val="00D743AA"/>
    <w:rsid w:val="00D746BF"/>
    <w:rsid w:val="00D747DF"/>
    <w:rsid w:val="00D749BA"/>
    <w:rsid w:val="00D74A96"/>
    <w:rsid w:val="00D74B17"/>
    <w:rsid w:val="00D74BCC"/>
    <w:rsid w:val="00D74DC5"/>
    <w:rsid w:val="00D74DDE"/>
    <w:rsid w:val="00D74E0C"/>
    <w:rsid w:val="00D74E42"/>
    <w:rsid w:val="00D750DE"/>
    <w:rsid w:val="00D7513E"/>
    <w:rsid w:val="00D75183"/>
    <w:rsid w:val="00D7518F"/>
    <w:rsid w:val="00D7570D"/>
    <w:rsid w:val="00D757F7"/>
    <w:rsid w:val="00D7582D"/>
    <w:rsid w:val="00D7585B"/>
    <w:rsid w:val="00D758A7"/>
    <w:rsid w:val="00D758EB"/>
    <w:rsid w:val="00D7591A"/>
    <w:rsid w:val="00D759EB"/>
    <w:rsid w:val="00D75AA9"/>
    <w:rsid w:val="00D75BD2"/>
    <w:rsid w:val="00D75C97"/>
    <w:rsid w:val="00D75EE4"/>
    <w:rsid w:val="00D75F5C"/>
    <w:rsid w:val="00D76018"/>
    <w:rsid w:val="00D76023"/>
    <w:rsid w:val="00D761F9"/>
    <w:rsid w:val="00D762C7"/>
    <w:rsid w:val="00D764A3"/>
    <w:rsid w:val="00D76529"/>
    <w:rsid w:val="00D76594"/>
    <w:rsid w:val="00D7696B"/>
    <w:rsid w:val="00D7697F"/>
    <w:rsid w:val="00D76AF3"/>
    <w:rsid w:val="00D76CDA"/>
    <w:rsid w:val="00D76EF2"/>
    <w:rsid w:val="00D76F09"/>
    <w:rsid w:val="00D771DE"/>
    <w:rsid w:val="00D77387"/>
    <w:rsid w:val="00D774B7"/>
    <w:rsid w:val="00D77613"/>
    <w:rsid w:val="00D77DB0"/>
    <w:rsid w:val="00D800C3"/>
    <w:rsid w:val="00D8014A"/>
    <w:rsid w:val="00D802DF"/>
    <w:rsid w:val="00D80617"/>
    <w:rsid w:val="00D806AA"/>
    <w:rsid w:val="00D80AA3"/>
    <w:rsid w:val="00D80AD0"/>
    <w:rsid w:val="00D80C1E"/>
    <w:rsid w:val="00D80E15"/>
    <w:rsid w:val="00D80F05"/>
    <w:rsid w:val="00D80F4E"/>
    <w:rsid w:val="00D80FD9"/>
    <w:rsid w:val="00D80FEF"/>
    <w:rsid w:val="00D810BF"/>
    <w:rsid w:val="00D810E0"/>
    <w:rsid w:val="00D81514"/>
    <w:rsid w:val="00D815C3"/>
    <w:rsid w:val="00D816A6"/>
    <w:rsid w:val="00D817C0"/>
    <w:rsid w:val="00D81BA8"/>
    <w:rsid w:val="00D81C01"/>
    <w:rsid w:val="00D81C24"/>
    <w:rsid w:val="00D81C78"/>
    <w:rsid w:val="00D81C81"/>
    <w:rsid w:val="00D81E8C"/>
    <w:rsid w:val="00D81EAC"/>
    <w:rsid w:val="00D81EB6"/>
    <w:rsid w:val="00D82092"/>
    <w:rsid w:val="00D8227D"/>
    <w:rsid w:val="00D8235C"/>
    <w:rsid w:val="00D8236B"/>
    <w:rsid w:val="00D82452"/>
    <w:rsid w:val="00D82587"/>
    <w:rsid w:val="00D82612"/>
    <w:rsid w:val="00D826A8"/>
    <w:rsid w:val="00D826DF"/>
    <w:rsid w:val="00D826F5"/>
    <w:rsid w:val="00D82797"/>
    <w:rsid w:val="00D828D5"/>
    <w:rsid w:val="00D8299A"/>
    <w:rsid w:val="00D82ABD"/>
    <w:rsid w:val="00D82DF4"/>
    <w:rsid w:val="00D82E77"/>
    <w:rsid w:val="00D82F28"/>
    <w:rsid w:val="00D82FB9"/>
    <w:rsid w:val="00D830B5"/>
    <w:rsid w:val="00D83186"/>
    <w:rsid w:val="00D831F3"/>
    <w:rsid w:val="00D83372"/>
    <w:rsid w:val="00D8347A"/>
    <w:rsid w:val="00D8358E"/>
    <w:rsid w:val="00D83785"/>
    <w:rsid w:val="00D837A9"/>
    <w:rsid w:val="00D83847"/>
    <w:rsid w:val="00D83909"/>
    <w:rsid w:val="00D83ABD"/>
    <w:rsid w:val="00D83DF6"/>
    <w:rsid w:val="00D83EAE"/>
    <w:rsid w:val="00D83F73"/>
    <w:rsid w:val="00D83FC7"/>
    <w:rsid w:val="00D841AE"/>
    <w:rsid w:val="00D842E9"/>
    <w:rsid w:val="00D84646"/>
    <w:rsid w:val="00D8482C"/>
    <w:rsid w:val="00D84BCE"/>
    <w:rsid w:val="00D84C32"/>
    <w:rsid w:val="00D84E59"/>
    <w:rsid w:val="00D84EFE"/>
    <w:rsid w:val="00D84EFF"/>
    <w:rsid w:val="00D8511B"/>
    <w:rsid w:val="00D851CA"/>
    <w:rsid w:val="00D854D4"/>
    <w:rsid w:val="00D8553F"/>
    <w:rsid w:val="00D85A31"/>
    <w:rsid w:val="00D85A7F"/>
    <w:rsid w:val="00D85B9F"/>
    <w:rsid w:val="00D86108"/>
    <w:rsid w:val="00D863C6"/>
    <w:rsid w:val="00D863F8"/>
    <w:rsid w:val="00D86442"/>
    <w:rsid w:val="00D8646B"/>
    <w:rsid w:val="00D864CF"/>
    <w:rsid w:val="00D86637"/>
    <w:rsid w:val="00D8667B"/>
    <w:rsid w:val="00D86790"/>
    <w:rsid w:val="00D8689B"/>
    <w:rsid w:val="00D868E0"/>
    <w:rsid w:val="00D86A1F"/>
    <w:rsid w:val="00D86A3D"/>
    <w:rsid w:val="00D86AE9"/>
    <w:rsid w:val="00D86B48"/>
    <w:rsid w:val="00D86FF6"/>
    <w:rsid w:val="00D8708B"/>
    <w:rsid w:val="00D872A0"/>
    <w:rsid w:val="00D872BE"/>
    <w:rsid w:val="00D872C2"/>
    <w:rsid w:val="00D87570"/>
    <w:rsid w:val="00D87762"/>
    <w:rsid w:val="00D8778C"/>
    <w:rsid w:val="00D87AA5"/>
    <w:rsid w:val="00D87B26"/>
    <w:rsid w:val="00D87C3A"/>
    <w:rsid w:val="00D87E9B"/>
    <w:rsid w:val="00D9024D"/>
    <w:rsid w:val="00D90407"/>
    <w:rsid w:val="00D90512"/>
    <w:rsid w:val="00D90662"/>
    <w:rsid w:val="00D906B9"/>
    <w:rsid w:val="00D9070B"/>
    <w:rsid w:val="00D90787"/>
    <w:rsid w:val="00D907A0"/>
    <w:rsid w:val="00D90817"/>
    <w:rsid w:val="00D90819"/>
    <w:rsid w:val="00D90912"/>
    <w:rsid w:val="00D909D3"/>
    <w:rsid w:val="00D90A48"/>
    <w:rsid w:val="00D90CB1"/>
    <w:rsid w:val="00D90FEE"/>
    <w:rsid w:val="00D911A3"/>
    <w:rsid w:val="00D911AA"/>
    <w:rsid w:val="00D911EF"/>
    <w:rsid w:val="00D912DC"/>
    <w:rsid w:val="00D9133A"/>
    <w:rsid w:val="00D913E2"/>
    <w:rsid w:val="00D91680"/>
    <w:rsid w:val="00D916C9"/>
    <w:rsid w:val="00D91BD5"/>
    <w:rsid w:val="00D91D4A"/>
    <w:rsid w:val="00D91D5C"/>
    <w:rsid w:val="00D91D81"/>
    <w:rsid w:val="00D91DF5"/>
    <w:rsid w:val="00D91E20"/>
    <w:rsid w:val="00D91EF2"/>
    <w:rsid w:val="00D920C6"/>
    <w:rsid w:val="00D92205"/>
    <w:rsid w:val="00D9221C"/>
    <w:rsid w:val="00D922D3"/>
    <w:rsid w:val="00D92445"/>
    <w:rsid w:val="00D92510"/>
    <w:rsid w:val="00D926A4"/>
    <w:rsid w:val="00D927A8"/>
    <w:rsid w:val="00D92A10"/>
    <w:rsid w:val="00D92A11"/>
    <w:rsid w:val="00D92B68"/>
    <w:rsid w:val="00D92B6D"/>
    <w:rsid w:val="00D92CF6"/>
    <w:rsid w:val="00D92D28"/>
    <w:rsid w:val="00D92E28"/>
    <w:rsid w:val="00D93098"/>
    <w:rsid w:val="00D93323"/>
    <w:rsid w:val="00D933FB"/>
    <w:rsid w:val="00D9341A"/>
    <w:rsid w:val="00D936D1"/>
    <w:rsid w:val="00D93750"/>
    <w:rsid w:val="00D93933"/>
    <w:rsid w:val="00D9395F"/>
    <w:rsid w:val="00D9396B"/>
    <w:rsid w:val="00D93C30"/>
    <w:rsid w:val="00D93DE0"/>
    <w:rsid w:val="00D93E7E"/>
    <w:rsid w:val="00D93FF5"/>
    <w:rsid w:val="00D9423E"/>
    <w:rsid w:val="00D94291"/>
    <w:rsid w:val="00D943C8"/>
    <w:rsid w:val="00D9447D"/>
    <w:rsid w:val="00D94539"/>
    <w:rsid w:val="00D9463E"/>
    <w:rsid w:val="00D94690"/>
    <w:rsid w:val="00D94B45"/>
    <w:rsid w:val="00D94B7E"/>
    <w:rsid w:val="00D94C31"/>
    <w:rsid w:val="00D94D44"/>
    <w:rsid w:val="00D94E73"/>
    <w:rsid w:val="00D94EA3"/>
    <w:rsid w:val="00D94F19"/>
    <w:rsid w:val="00D95008"/>
    <w:rsid w:val="00D95190"/>
    <w:rsid w:val="00D9550F"/>
    <w:rsid w:val="00D9551F"/>
    <w:rsid w:val="00D959FE"/>
    <w:rsid w:val="00D95C8E"/>
    <w:rsid w:val="00D9614C"/>
    <w:rsid w:val="00D96298"/>
    <w:rsid w:val="00D964FC"/>
    <w:rsid w:val="00D966F8"/>
    <w:rsid w:val="00D9680E"/>
    <w:rsid w:val="00D96920"/>
    <w:rsid w:val="00D96B22"/>
    <w:rsid w:val="00D96B32"/>
    <w:rsid w:val="00D96C2D"/>
    <w:rsid w:val="00D96D5C"/>
    <w:rsid w:val="00D96DA7"/>
    <w:rsid w:val="00D96FD2"/>
    <w:rsid w:val="00D972EA"/>
    <w:rsid w:val="00D972EF"/>
    <w:rsid w:val="00D973BF"/>
    <w:rsid w:val="00D9754A"/>
    <w:rsid w:val="00D975A9"/>
    <w:rsid w:val="00D975F3"/>
    <w:rsid w:val="00D975FE"/>
    <w:rsid w:val="00D97699"/>
    <w:rsid w:val="00D97795"/>
    <w:rsid w:val="00D97824"/>
    <w:rsid w:val="00D97879"/>
    <w:rsid w:val="00D97A90"/>
    <w:rsid w:val="00D97B94"/>
    <w:rsid w:val="00D97CB4"/>
    <w:rsid w:val="00D97FC5"/>
    <w:rsid w:val="00D97FE8"/>
    <w:rsid w:val="00DA0613"/>
    <w:rsid w:val="00DA06EE"/>
    <w:rsid w:val="00DA09C8"/>
    <w:rsid w:val="00DA0A45"/>
    <w:rsid w:val="00DA0BF0"/>
    <w:rsid w:val="00DA0D7A"/>
    <w:rsid w:val="00DA0F5C"/>
    <w:rsid w:val="00DA0FC9"/>
    <w:rsid w:val="00DA1067"/>
    <w:rsid w:val="00DA10A6"/>
    <w:rsid w:val="00DA110D"/>
    <w:rsid w:val="00DA1244"/>
    <w:rsid w:val="00DA12F1"/>
    <w:rsid w:val="00DA14A4"/>
    <w:rsid w:val="00DA1763"/>
    <w:rsid w:val="00DA17CC"/>
    <w:rsid w:val="00DA1A20"/>
    <w:rsid w:val="00DA1B0A"/>
    <w:rsid w:val="00DA1C86"/>
    <w:rsid w:val="00DA1D10"/>
    <w:rsid w:val="00DA1E78"/>
    <w:rsid w:val="00DA1E82"/>
    <w:rsid w:val="00DA20DC"/>
    <w:rsid w:val="00DA230C"/>
    <w:rsid w:val="00DA24B1"/>
    <w:rsid w:val="00DA251F"/>
    <w:rsid w:val="00DA256F"/>
    <w:rsid w:val="00DA25C0"/>
    <w:rsid w:val="00DA26CF"/>
    <w:rsid w:val="00DA28C2"/>
    <w:rsid w:val="00DA2945"/>
    <w:rsid w:val="00DA2C2D"/>
    <w:rsid w:val="00DA2D1C"/>
    <w:rsid w:val="00DA2D4C"/>
    <w:rsid w:val="00DA2E90"/>
    <w:rsid w:val="00DA2FA8"/>
    <w:rsid w:val="00DA3010"/>
    <w:rsid w:val="00DA31D3"/>
    <w:rsid w:val="00DA3373"/>
    <w:rsid w:val="00DA3507"/>
    <w:rsid w:val="00DA36A7"/>
    <w:rsid w:val="00DA3703"/>
    <w:rsid w:val="00DA37D4"/>
    <w:rsid w:val="00DA38C7"/>
    <w:rsid w:val="00DA3A78"/>
    <w:rsid w:val="00DA3AA2"/>
    <w:rsid w:val="00DA3C9F"/>
    <w:rsid w:val="00DA3E8C"/>
    <w:rsid w:val="00DA3ED3"/>
    <w:rsid w:val="00DA3F7A"/>
    <w:rsid w:val="00DA3F8E"/>
    <w:rsid w:val="00DA4067"/>
    <w:rsid w:val="00DA4255"/>
    <w:rsid w:val="00DA426B"/>
    <w:rsid w:val="00DA4294"/>
    <w:rsid w:val="00DA45CC"/>
    <w:rsid w:val="00DA467A"/>
    <w:rsid w:val="00DA486C"/>
    <w:rsid w:val="00DA49E9"/>
    <w:rsid w:val="00DA4A33"/>
    <w:rsid w:val="00DA4C6E"/>
    <w:rsid w:val="00DA4D03"/>
    <w:rsid w:val="00DA4ED1"/>
    <w:rsid w:val="00DA4EDF"/>
    <w:rsid w:val="00DA501D"/>
    <w:rsid w:val="00DA5068"/>
    <w:rsid w:val="00DA508F"/>
    <w:rsid w:val="00DA51C7"/>
    <w:rsid w:val="00DA54B6"/>
    <w:rsid w:val="00DA550D"/>
    <w:rsid w:val="00DA5615"/>
    <w:rsid w:val="00DA56BF"/>
    <w:rsid w:val="00DA5741"/>
    <w:rsid w:val="00DA5819"/>
    <w:rsid w:val="00DA58FA"/>
    <w:rsid w:val="00DA5970"/>
    <w:rsid w:val="00DA5AA6"/>
    <w:rsid w:val="00DA5B77"/>
    <w:rsid w:val="00DA5B9B"/>
    <w:rsid w:val="00DA5D93"/>
    <w:rsid w:val="00DA5E19"/>
    <w:rsid w:val="00DA5FB5"/>
    <w:rsid w:val="00DA611C"/>
    <w:rsid w:val="00DA6154"/>
    <w:rsid w:val="00DA6233"/>
    <w:rsid w:val="00DA6390"/>
    <w:rsid w:val="00DA6489"/>
    <w:rsid w:val="00DA6506"/>
    <w:rsid w:val="00DA6664"/>
    <w:rsid w:val="00DA68C7"/>
    <w:rsid w:val="00DA68FC"/>
    <w:rsid w:val="00DA6A05"/>
    <w:rsid w:val="00DA6A88"/>
    <w:rsid w:val="00DA6C00"/>
    <w:rsid w:val="00DA6D50"/>
    <w:rsid w:val="00DA6F00"/>
    <w:rsid w:val="00DA708C"/>
    <w:rsid w:val="00DA7122"/>
    <w:rsid w:val="00DA7202"/>
    <w:rsid w:val="00DA76BC"/>
    <w:rsid w:val="00DA76F7"/>
    <w:rsid w:val="00DA770F"/>
    <w:rsid w:val="00DA77E7"/>
    <w:rsid w:val="00DA793A"/>
    <w:rsid w:val="00DA7973"/>
    <w:rsid w:val="00DA7A4D"/>
    <w:rsid w:val="00DA7B2F"/>
    <w:rsid w:val="00DA7D12"/>
    <w:rsid w:val="00DA7DE8"/>
    <w:rsid w:val="00DA7DED"/>
    <w:rsid w:val="00DA7E5B"/>
    <w:rsid w:val="00DB004F"/>
    <w:rsid w:val="00DB0328"/>
    <w:rsid w:val="00DB0545"/>
    <w:rsid w:val="00DB07F1"/>
    <w:rsid w:val="00DB0939"/>
    <w:rsid w:val="00DB0A38"/>
    <w:rsid w:val="00DB0B59"/>
    <w:rsid w:val="00DB0F25"/>
    <w:rsid w:val="00DB0FA3"/>
    <w:rsid w:val="00DB102E"/>
    <w:rsid w:val="00DB1279"/>
    <w:rsid w:val="00DB12E2"/>
    <w:rsid w:val="00DB14C4"/>
    <w:rsid w:val="00DB15AC"/>
    <w:rsid w:val="00DB1740"/>
    <w:rsid w:val="00DB19EA"/>
    <w:rsid w:val="00DB1B55"/>
    <w:rsid w:val="00DB1C7C"/>
    <w:rsid w:val="00DB1CE0"/>
    <w:rsid w:val="00DB1D80"/>
    <w:rsid w:val="00DB1E0A"/>
    <w:rsid w:val="00DB1EB5"/>
    <w:rsid w:val="00DB1F34"/>
    <w:rsid w:val="00DB1F62"/>
    <w:rsid w:val="00DB2075"/>
    <w:rsid w:val="00DB2083"/>
    <w:rsid w:val="00DB2407"/>
    <w:rsid w:val="00DB2445"/>
    <w:rsid w:val="00DB2557"/>
    <w:rsid w:val="00DB2604"/>
    <w:rsid w:val="00DB269A"/>
    <w:rsid w:val="00DB2764"/>
    <w:rsid w:val="00DB2A7A"/>
    <w:rsid w:val="00DB2BD1"/>
    <w:rsid w:val="00DB2C6F"/>
    <w:rsid w:val="00DB2E89"/>
    <w:rsid w:val="00DB2EC2"/>
    <w:rsid w:val="00DB2F1D"/>
    <w:rsid w:val="00DB2FD7"/>
    <w:rsid w:val="00DB3257"/>
    <w:rsid w:val="00DB32ED"/>
    <w:rsid w:val="00DB3687"/>
    <w:rsid w:val="00DB36EA"/>
    <w:rsid w:val="00DB36FE"/>
    <w:rsid w:val="00DB3710"/>
    <w:rsid w:val="00DB3744"/>
    <w:rsid w:val="00DB37ED"/>
    <w:rsid w:val="00DB3832"/>
    <w:rsid w:val="00DB384E"/>
    <w:rsid w:val="00DB3A62"/>
    <w:rsid w:val="00DB3BE5"/>
    <w:rsid w:val="00DB3D2C"/>
    <w:rsid w:val="00DB3D98"/>
    <w:rsid w:val="00DB3E95"/>
    <w:rsid w:val="00DB3F0F"/>
    <w:rsid w:val="00DB404B"/>
    <w:rsid w:val="00DB4124"/>
    <w:rsid w:val="00DB4201"/>
    <w:rsid w:val="00DB4392"/>
    <w:rsid w:val="00DB46BC"/>
    <w:rsid w:val="00DB4775"/>
    <w:rsid w:val="00DB4A23"/>
    <w:rsid w:val="00DB4B4A"/>
    <w:rsid w:val="00DB4CAE"/>
    <w:rsid w:val="00DB4E65"/>
    <w:rsid w:val="00DB4F80"/>
    <w:rsid w:val="00DB502B"/>
    <w:rsid w:val="00DB51EF"/>
    <w:rsid w:val="00DB5965"/>
    <w:rsid w:val="00DB59D5"/>
    <w:rsid w:val="00DB5A61"/>
    <w:rsid w:val="00DB5AB7"/>
    <w:rsid w:val="00DB5ABD"/>
    <w:rsid w:val="00DB5B56"/>
    <w:rsid w:val="00DB5C28"/>
    <w:rsid w:val="00DB5C3D"/>
    <w:rsid w:val="00DB5D05"/>
    <w:rsid w:val="00DB5DDB"/>
    <w:rsid w:val="00DB5FD0"/>
    <w:rsid w:val="00DB602E"/>
    <w:rsid w:val="00DB607C"/>
    <w:rsid w:val="00DB60ED"/>
    <w:rsid w:val="00DB6448"/>
    <w:rsid w:val="00DB64A4"/>
    <w:rsid w:val="00DB66B0"/>
    <w:rsid w:val="00DB68A3"/>
    <w:rsid w:val="00DB68BE"/>
    <w:rsid w:val="00DB6A9B"/>
    <w:rsid w:val="00DB7012"/>
    <w:rsid w:val="00DB7024"/>
    <w:rsid w:val="00DB7031"/>
    <w:rsid w:val="00DB707D"/>
    <w:rsid w:val="00DB7285"/>
    <w:rsid w:val="00DB730B"/>
    <w:rsid w:val="00DB7313"/>
    <w:rsid w:val="00DB73DD"/>
    <w:rsid w:val="00DB74D6"/>
    <w:rsid w:val="00DB7505"/>
    <w:rsid w:val="00DB758A"/>
    <w:rsid w:val="00DB75D5"/>
    <w:rsid w:val="00DB7754"/>
    <w:rsid w:val="00DB77E8"/>
    <w:rsid w:val="00DB77EE"/>
    <w:rsid w:val="00DB792B"/>
    <w:rsid w:val="00DB7A07"/>
    <w:rsid w:val="00DB7A2F"/>
    <w:rsid w:val="00DB7B1E"/>
    <w:rsid w:val="00DB7C0D"/>
    <w:rsid w:val="00DB7C48"/>
    <w:rsid w:val="00DB7D06"/>
    <w:rsid w:val="00DB7D48"/>
    <w:rsid w:val="00DB7F7B"/>
    <w:rsid w:val="00DC022A"/>
    <w:rsid w:val="00DC02DE"/>
    <w:rsid w:val="00DC031F"/>
    <w:rsid w:val="00DC0368"/>
    <w:rsid w:val="00DC04E2"/>
    <w:rsid w:val="00DC0546"/>
    <w:rsid w:val="00DC0677"/>
    <w:rsid w:val="00DC06AD"/>
    <w:rsid w:val="00DC0782"/>
    <w:rsid w:val="00DC07B9"/>
    <w:rsid w:val="00DC0A52"/>
    <w:rsid w:val="00DC0B16"/>
    <w:rsid w:val="00DC0C64"/>
    <w:rsid w:val="00DC0CE5"/>
    <w:rsid w:val="00DC0DED"/>
    <w:rsid w:val="00DC0FFB"/>
    <w:rsid w:val="00DC1295"/>
    <w:rsid w:val="00DC17E3"/>
    <w:rsid w:val="00DC1813"/>
    <w:rsid w:val="00DC186F"/>
    <w:rsid w:val="00DC1961"/>
    <w:rsid w:val="00DC1983"/>
    <w:rsid w:val="00DC1F3D"/>
    <w:rsid w:val="00DC1FB7"/>
    <w:rsid w:val="00DC1FDB"/>
    <w:rsid w:val="00DC2087"/>
    <w:rsid w:val="00DC210D"/>
    <w:rsid w:val="00DC21E4"/>
    <w:rsid w:val="00DC227A"/>
    <w:rsid w:val="00DC232A"/>
    <w:rsid w:val="00DC25A0"/>
    <w:rsid w:val="00DC25B6"/>
    <w:rsid w:val="00DC26E2"/>
    <w:rsid w:val="00DC26F2"/>
    <w:rsid w:val="00DC2757"/>
    <w:rsid w:val="00DC2913"/>
    <w:rsid w:val="00DC295C"/>
    <w:rsid w:val="00DC2C5D"/>
    <w:rsid w:val="00DC2CC5"/>
    <w:rsid w:val="00DC2ECB"/>
    <w:rsid w:val="00DC2F81"/>
    <w:rsid w:val="00DC2FDE"/>
    <w:rsid w:val="00DC3058"/>
    <w:rsid w:val="00DC3196"/>
    <w:rsid w:val="00DC31DB"/>
    <w:rsid w:val="00DC3338"/>
    <w:rsid w:val="00DC340E"/>
    <w:rsid w:val="00DC349D"/>
    <w:rsid w:val="00DC3616"/>
    <w:rsid w:val="00DC3724"/>
    <w:rsid w:val="00DC389B"/>
    <w:rsid w:val="00DC3A2E"/>
    <w:rsid w:val="00DC3BF2"/>
    <w:rsid w:val="00DC3E55"/>
    <w:rsid w:val="00DC3FB2"/>
    <w:rsid w:val="00DC400E"/>
    <w:rsid w:val="00DC403B"/>
    <w:rsid w:val="00DC41CC"/>
    <w:rsid w:val="00DC4226"/>
    <w:rsid w:val="00DC4227"/>
    <w:rsid w:val="00DC4261"/>
    <w:rsid w:val="00DC4269"/>
    <w:rsid w:val="00DC427E"/>
    <w:rsid w:val="00DC437A"/>
    <w:rsid w:val="00DC4717"/>
    <w:rsid w:val="00DC471C"/>
    <w:rsid w:val="00DC47EC"/>
    <w:rsid w:val="00DC497D"/>
    <w:rsid w:val="00DC4A4C"/>
    <w:rsid w:val="00DC4B43"/>
    <w:rsid w:val="00DC4F77"/>
    <w:rsid w:val="00DC4F8B"/>
    <w:rsid w:val="00DC4F93"/>
    <w:rsid w:val="00DC501E"/>
    <w:rsid w:val="00DC5045"/>
    <w:rsid w:val="00DC50BE"/>
    <w:rsid w:val="00DC5464"/>
    <w:rsid w:val="00DC54CA"/>
    <w:rsid w:val="00DC55A8"/>
    <w:rsid w:val="00DC55AA"/>
    <w:rsid w:val="00DC568B"/>
    <w:rsid w:val="00DC56B5"/>
    <w:rsid w:val="00DC574F"/>
    <w:rsid w:val="00DC5817"/>
    <w:rsid w:val="00DC592D"/>
    <w:rsid w:val="00DC5CBF"/>
    <w:rsid w:val="00DC5CEB"/>
    <w:rsid w:val="00DC5F9B"/>
    <w:rsid w:val="00DC5FA4"/>
    <w:rsid w:val="00DC60E0"/>
    <w:rsid w:val="00DC62F9"/>
    <w:rsid w:val="00DC6698"/>
    <w:rsid w:val="00DC669E"/>
    <w:rsid w:val="00DC66BC"/>
    <w:rsid w:val="00DC67A4"/>
    <w:rsid w:val="00DC67BA"/>
    <w:rsid w:val="00DC67FC"/>
    <w:rsid w:val="00DC6824"/>
    <w:rsid w:val="00DC688E"/>
    <w:rsid w:val="00DC6D47"/>
    <w:rsid w:val="00DC6D79"/>
    <w:rsid w:val="00DC6D86"/>
    <w:rsid w:val="00DC6E30"/>
    <w:rsid w:val="00DC6E66"/>
    <w:rsid w:val="00DC6EDD"/>
    <w:rsid w:val="00DC70F6"/>
    <w:rsid w:val="00DC7175"/>
    <w:rsid w:val="00DC730D"/>
    <w:rsid w:val="00DC73CB"/>
    <w:rsid w:val="00DC74E2"/>
    <w:rsid w:val="00DC754B"/>
    <w:rsid w:val="00DC785B"/>
    <w:rsid w:val="00DC7A88"/>
    <w:rsid w:val="00DC7D11"/>
    <w:rsid w:val="00DD0180"/>
    <w:rsid w:val="00DD02A8"/>
    <w:rsid w:val="00DD0478"/>
    <w:rsid w:val="00DD04D6"/>
    <w:rsid w:val="00DD0693"/>
    <w:rsid w:val="00DD08EB"/>
    <w:rsid w:val="00DD0948"/>
    <w:rsid w:val="00DD0962"/>
    <w:rsid w:val="00DD0973"/>
    <w:rsid w:val="00DD09E1"/>
    <w:rsid w:val="00DD0AC6"/>
    <w:rsid w:val="00DD0AD1"/>
    <w:rsid w:val="00DD0C06"/>
    <w:rsid w:val="00DD0E6D"/>
    <w:rsid w:val="00DD1056"/>
    <w:rsid w:val="00DD105E"/>
    <w:rsid w:val="00DD132E"/>
    <w:rsid w:val="00DD1448"/>
    <w:rsid w:val="00DD15CB"/>
    <w:rsid w:val="00DD162C"/>
    <w:rsid w:val="00DD1743"/>
    <w:rsid w:val="00DD17DE"/>
    <w:rsid w:val="00DD1BDD"/>
    <w:rsid w:val="00DD1D28"/>
    <w:rsid w:val="00DD1E24"/>
    <w:rsid w:val="00DD1EC0"/>
    <w:rsid w:val="00DD1F30"/>
    <w:rsid w:val="00DD210F"/>
    <w:rsid w:val="00DD21A7"/>
    <w:rsid w:val="00DD21C4"/>
    <w:rsid w:val="00DD2743"/>
    <w:rsid w:val="00DD2785"/>
    <w:rsid w:val="00DD27FB"/>
    <w:rsid w:val="00DD2809"/>
    <w:rsid w:val="00DD298C"/>
    <w:rsid w:val="00DD29C3"/>
    <w:rsid w:val="00DD2A3C"/>
    <w:rsid w:val="00DD2BFA"/>
    <w:rsid w:val="00DD2C3F"/>
    <w:rsid w:val="00DD2C6D"/>
    <w:rsid w:val="00DD2F27"/>
    <w:rsid w:val="00DD2F48"/>
    <w:rsid w:val="00DD31AC"/>
    <w:rsid w:val="00DD32C7"/>
    <w:rsid w:val="00DD3357"/>
    <w:rsid w:val="00DD3466"/>
    <w:rsid w:val="00DD34C0"/>
    <w:rsid w:val="00DD3903"/>
    <w:rsid w:val="00DD3A1E"/>
    <w:rsid w:val="00DD3B23"/>
    <w:rsid w:val="00DD3C38"/>
    <w:rsid w:val="00DD3DC4"/>
    <w:rsid w:val="00DD3E43"/>
    <w:rsid w:val="00DD40E0"/>
    <w:rsid w:val="00DD40ED"/>
    <w:rsid w:val="00DD430F"/>
    <w:rsid w:val="00DD43D8"/>
    <w:rsid w:val="00DD43E2"/>
    <w:rsid w:val="00DD44CC"/>
    <w:rsid w:val="00DD454B"/>
    <w:rsid w:val="00DD4596"/>
    <w:rsid w:val="00DD45EE"/>
    <w:rsid w:val="00DD46B6"/>
    <w:rsid w:val="00DD46E7"/>
    <w:rsid w:val="00DD4746"/>
    <w:rsid w:val="00DD47E4"/>
    <w:rsid w:val="00DD491C"/>
    <w:rsid w:val="00DD4A04"/>
    <w:rsid w:val="00DD4C53"/>
    <w:rsid w:val="00DD4E2F"/>
    <w:rsid w:val="00DD529D"/>
    <w:rsid w:val="00DD5406"/>
    <w:rsid w:val="00DD545A"/>
    <w:rsid w:val="00DD5501"/>
    <w:rsid w:val="00DD5692"/>
    <w:rsid w:val="00DD56B6"/>
    <w:rsid w:val="00DD572C"/>
    <w:rsid w:val="00DD5731"/>
    <w:rsid w:val="00DD590B"/>
    <w:rsid w:val="00DD5C20"/>
    <w:rsid w:val="00DD5C93"/>
    <w:rsid w:val="00DD5DD5"/>
    <w:rsid w:val="00DD5E0B"/>
    <w:rsid w:val="00DD5FCF"/>
    <w:rsid w:val="00DD5FEB"/>
    <w:rsid w:val="00DD6002"/>
    <w:rsid w:val="00DD609E"/>
    <w:rsid w:val="00DD60A9"/>
    <w:rsid w:val="00DD6216"/>
    <w:rsid w:val="00DD635A"/>
    <w:rsid w:val="00DD644D"/>
    <w:rsid w:val="00DD6780"/>
    <w:rsid w:val="00DD67A6"/>
    <w:rsid w:val="00DD6AF1"/>
    <w:rsid w:val="00DD6C13"/>
    <w:rsid w:val="00DD6C87"/>
    <w:rsid w:val="00DD6CD2"/>
    <w:rsid w:val="00DD6E72"/>
    <w:rsid w:val="00DD70D5"/>
    <w:rsid w:val="00DD72C5"/>
    <w:rsid w:val="00DD7378"/>
    <w:rsid w:val="00DD7454"/>
    <w:rsid w:val="00DD751B"/>
    <w:rsid w:val="00DD7589"/>
    <w:rsid w:val="00DD7651"/>
    <w:rsid w:val="00DD7664"/>
    <w:rsid w:val="00DD76CC"/>
    <w:rsid w:val="00DD77B7"/>
    <w:rsid w:val="00DD77BC"/>
    <w:rsid w:val="00DD7A76"/>
    <w:rsid w:val="00DD7BF7"/>
    <w:rsid w:val="00DD7E58"/>
    <w:rsid w:val="00DD7E93"/>
    <w:rsid w:val="00DD7F5A"/>
    <w:rsid w:val="00DD7F66"/>
    <w:rsid w:val="00DD7F85"/>
    <w:rsid w:val="00DE0087"/>
    <w:rsid w:val="00DE04BE"/>
    <w:rsid w:val="00DE04C2"/>
    <w:rsid w:val="00DE0526"/>
    <w:rsid w:val="00DE066F"/>
    <w:rsid w:val="00DE0B7B"/>
    <w:rsid w:val="00DE0BD8"/>
    <w:rsid w:val="00DE0C97"/>
    <w:rsid w:val="00DE1088"/>
    <w:rsid w:val="00DE1286"/>
    <w:rsid w:val="00DE13F5"/>
    <w:rsid w:val="00DE14F5"/>
    <w:rsid w:val="00DE15F0"/>
    <w:rsid w:val="00DE16EB"/>
    <w:rsid w:val="00DE16F1"/>
    <w:rsid w:val="00DE17CB"/>
    <w:rsid w:val="00DE18CA"/>
    <w:rsid w:val="00DE1B57"/>
    <w:rsid w:val="00DE1C02"/>
    <w:rsid w:val="00DE1CFD"/>
    <w:rsid w:val="00DE1E06"/>
    <w:rsid w:val="00DE1E2B"/>
    <w:rsid w:val="00DE1E3A"/>
    <w:rsid w:val="00DE1EA7"/>
    <w:rsid w:val="00DE1F3C"/>
    <w:rsid w:val="00DE2038"/>
    <w:rsid w:val="00DE24CC"/>
    <w:rsid w:val="00DE255A"/>
    <w:rsid w:val="00DE269F"/>
    <w:rsid w:val="00DE27AB"/>
    <w:rsid w:val="00DE2827"/>
    <w:rsid w:val="00DE28A7"/>
    <w:rsid w:val="00DE2A42"/>
    <w:rsid w:val="00DE2CA2"/>
    <w:rsid w:val="00DE2CF4"/>
    <w:rsid w:val="00DE2E15"/>
    <w:rsid w:val="00DE2E41"/>
    <w:rsid w:val="00DE2F1A"/>
    <w:rsid w:val="00DE304E"/>
    <w:rsid w:val="00DE3335"/>
    <w:rsid w:val="00DE34F7"/>
    <w:rsid w:val="00DE366D"/>
    <w:rsid w:val="00DE36DB"/>
    <w:rsid w:val="00DE3900"/>
    <w:rsid w:val="00DE3B0E"/>
    <w:rsid w:val="00DE3BE4"/>
    <w:rsid w:val="00DE3D1A"/>
    <w:rsid w:val="00DE4005"/>
    <w:rsid w:val="00DE424E"/>
    <w:rsid w:val="00DE4260"/>
    <w:rsid w:val="00DE4380"/>
    <w:rsid w:val="00DE4404"/>
    <w:rsid w:val="00DE44F6"/>
    <w:rsid w:val="00DE452C"/>
    <w:rsid w:val="00DE456B"/>
    <w:rsid w:val="00DE45AF"/>
    <w:rsid w:val="00DE4627"/>
    <w:rsid w:val="00DE46F9"/>
    <w:rsid w:val="00DE4721"/>
    <w:rsid w:val="00DE482F"/>
    <w:rsid w:val="00DE4947"/>
    <w:rsid w:val="00DE4A68"/>
    <w:rsid w:val="00DE4B79"/>
    <w:rsid w:val="00DE4C6F"/>
    <w:rsid w:val="00DE4CB8"/>
    <w:rsid w:val="00DE4DF3"/>
    <w:rsid w:val="00DE4E8E"/>
    <w:rsid w:val="00DE521F"/>
    <w:rsid w:val="00DE5228"/>
    <w:rsid w:val="00DE5495"/>
    <w:rsid w:val="00DE5526"/>
    <w:rsid w:val="00DE56A2"/>
    <w:rsid w:val="00DE5796"/>
    <w:rsid w:val="00DE58BB"/>
    <w:rsid w:val="00DE59FF"/>
    <w:rsid w:val="00DE5D29"/>
    <w:rsid w:val="00DE5D60"/>
    <w:rsid w:val="00DE5F36"/>
    <w:rsid w:val="00DE5F53"/>
    <w:rsid w:val="00DE5FC9"/>
    <w:rsid w:val="00DE61AC"/>
    <w:rsid w:val="00DE63FD"/>
    <w:rsid w:val="00DE65D6"/>
    <w:rsid w:val="00DE6736"/>
    <w:rsid w:val="00DE6885"/>
    <w:rsid w:val="00DE69A3"/>
    <w:rsid w:val="00DE69CD"/>
    <w:rsid w:val="00DE69EB"/>
    <w:rsid w:val="00DE6A22"/>
    <w:rsid w:val="00DE6ABE"/>
    <w:rsid w:val="00DE6B50"/>
    <w:rsid w:val="00DE6C01"/>
    <w:rsid w:val="00DE6CB9"/>
    <w:rsid w:val="00DE6D2D"/>
    <w:rsid w:val="00DE6D2F"/>
    <w:rsid w:val="00DE6E28"/>
    <w:rsid w:val="00DE6F55"/>
    <w:rsid w:val="00DE704B"/>
    <w:rsid w:val="00DE71D9"/>
    <w:rsid w:val="00DE74B6"/>
    <w:rsid w:val="00DE74C5"/>
    <w:rsid w:val="00DE7538"/>
    <w:rsid w:val="00DE754E"/>
    <w:rsid w:val="00DE7599"/>
    <w:rsid w:val="00DE77EE"/>
    <w:rsid w:val="00DE78E1"/>
    <w:rsid w:val="00DE7A59"/>
    <w:rsid w:val="00DE7C43"/>
    <w:rsid w:val="00DE7C48"/>
    <w:rsid w:val="00DE7E9D"/>
    <w:rsid w:val="00DE7ED0"/>
    <w:rsid w:val="00DE7F57"/>
    <w:rsid w:val="00DE7FE3"/>
    <w:rsid w:val="00DF0041"/>
    <w:rsid w:val="00DF01BE"/>
    <w:rsid w:val="00DF03BF"/>
    <w:rsid w:val="00DF03C7"/>
    <w:rsid w:val="00DF03E5"/>
    <w:rsid w:val="00DF046F"/>
    <w:rsid w:val="00DF0650"/>
    <w:rsid w:val="00DF0652"/>
    <w:rsid w:val="00DF06DB"/>
    <w:rsid w:val="00DF06E2"/>
    <w:rsid w:val="00DF08BA"/>
    <w:rsid w:val="00DF0BC9"/>
    <w:rsid w:val="00DF0C50"/>
    <w:rsid w:val="00DF0D16"/>
    <w:rsid w:val="00DF0F60"/>
    <w:rsid w:val="00DF1202"/>
    <w:rsid w:val="00DF1265"/>
    <w:rsid w:val="00DF127B"/>
    <w:rsid w:val="00DF1529"/>
    <w:rsid w:val="00DF1751"/>
    <w:rsid w:val="00DF18E0"/>
    <w:rsid w:val="00DF1A64"/>
    <w:rsid w:val="00DF1A88"/>
    <w:rsid w:val="00DF1AA5"/>
    <w:rsid w:val="00DF1B4B"/>
    <w:rsid w:val="00DF1B59"/>
    <w:rsid w:val="00DF1DE7"/>
    <w:rsid w:val="00DF1DFE"/>
    <w:rsid w:val="00DF1E9C"/>
    <w:rsid w:val="00DF21B1"/>
    <w:rsid w:val="00DF21F7"/>
    <w:rsid w:val="00DF22A1"/>
    <w:rsid w:val="00DF255C"/>
    <w:rsid w:val="00DF25AA"/>
    <w:rsid w:val="00DF25C7"/>
    <w:rsid w:val="00DF273F"/>
    <w:rsid w:val="00DF2835"/>
    <w:rsid w:val="00DF2875"/>
    <w:rsid w:val="00DF2917"/>
    <w:rsid w:val="00DF2A79"/>
    <w:rsid w:val="00DF2A7F"/>
    <w:rsid w:val="00DF308B"/>
    <w:rsid w:val="00DF3316"/>
    <w:rsid w:val="00DF332D"/>
    <w:rsid w:val="00DF341A"/>
    <w:rsid w:val="00DF3570"/>
    <w:rsid w:val="00DF35C7"/>
    <w:rsid w:val="00DF3632"/>
    <w:rsid w:val="00DF3656"/>
    <w:rsid w:val="00DF38D0"/>
    <w:rsid w:val="00DF3952"/>
    <w:rsid w:val="00DF3A5D"/>
    <w:rsid w:val="00DF3AA6"/>
    <w:rsid w:val="00DF3AE2"/>
    <w:rsid w:val="00DF3AE8"/>
    <w:rsid w:val="00DF3B0A"/>
    <w:rsid w:val="00DF3B4D"/>
    <w:rsid w:val="00DF3C85"/>
    <w:rsid w:val="00DF3DC6"/>
    <w:rsid w:val="00DF3FA7"/>
    <w:rsid w:val="00DF4162"/>
    <w:rsid w:val="00DF437B"/>
    <w:rsid w:val="00DF43C0"/>
    <w:rsid w:val="00DF4401"/>
    <w:rsid w:val="00DF44CE"/>
    <w:rsid w:val="00DF465D"/>
    <w:rsid w:val="00DF4699"/>
    <w:rsid w:val="00DF46D6"/>
    <w:rsid w:val="00DF483D"/>
    <w:rsid w:val="00DF4923"/>
    <w:rsid w:val="00DF4DF8"/>
    <w:rsid w:val="00DF4E0B"/>
    <w:rsid w:val="00DF4EED"/>
    <w:rsid w:val="00DF4F74"/>
    <w:rsid w:val="00DF4F8F"/>
    <w:rsid w:val="00DF4F9C"/>
    <w:rsid w:val="00DF5212"/>
    <w:rsid w:val="00DF527F"/>
    <w:rsid w:val="00DF5329"/>
    <w:rsid w:val="00DF55CD"/>
    <w:rsid w:val="00DF5662"/>
    <w:rsid w:val="00DF575E"/>
    <w:rsid w:val="00DF5D7B"/>
    <w:rsid w:val="00DF5E4B"/>
    <w:rsid w:val="00DF5FF9"/>
    <w:rsid w:val="00DF60DE"/>
    <w:rsid w:val="00DF60E2"/>
    <w:rsid w:val="00DF619C"/>
    <w:rsid w:val="00DF62F2"/>
    <w:rsid w:val="00DF6303"/>
    <w:rsid w:val="00DF63B5"/>
    <w:rsid w:val="00DF64AD"/>
    <w:rsid w:val="00DF6632"/>
    <w:rsid w:val="00DF67A6"/>
    <w:rsid w:val="00DF682B"/>
    <w:rsid w:val="00DF69E1"/>
    <w:rsid w:val="00DF6AAE"/>
    <w:rsid w:val="00DF6C66"/>
    <w:rsid w:val="00DF6D1D"/>
    <w:rsid w:val="00DF6D2F"/>
    <w:rsid w:val="00DF6DB3"/>
    <w:rsid w:val="00DF7170"/>
    <w:rsid w:val="00DF71A2"/>
    <w:rsid w:val="00DF72E1"/>
    <w:rsid w:val="00DF750A"/>
    <w:rsid w:val="00DF750F"/>
    <w:rsid w:val="00DF76DE"/>
    <w:rsid w:val="00DF781B"/>
    <w:rsid w:val="00DF795D"/>
    <w:rsid w:val="00DF7B2B"/>
    <w:rsid w:val="00DF7C42"/>
    <w:rsid w:val="00DF7D1A"/>
    <w:rsid w:val="00E0001B"/>
    <w:rsid w:val="00E001A3"/>
    <w:rsid w:val="00E001EA"/>
    <w:rsid w:val="00E0025C"/>
    <w:rsid w:val="00E002AF"/>
    <w:rsid w:val="00E005D5"/>
    <w:rsid w:val="00E00604"/>
    <w:rsid w:val="00E00760"/>
    <w:rsid w:val="00E0094B"/>
    <w:rsid w:val="00E00EFD"/>
    <w:rsid w:val="00E00F0B"/>
    <w:rsid w:val="00E01046"/>
    <w:rsid w:val="00E010DC"/>
    <w:rsid w:val="00E01178"/>
    <w:rsid w:val="00E01255"/>
    <w:rsid w:val="00E012F5"/>
    <w:rsid w:val="00E01A59"/>
    <w:rsid w:val="00E01B66"/>
    <w:rsid w:val="00E01D6F"/>
    <w:rsid w:val="00E022E6"/>
    <w:rsid w:val="00E0240C"/>
    <w:rsid w:val="00E02941"/>
    <w:rsid w:val="00E029A9"/>
    <w:rsid w:val="00E02A38"/>
    <w:rsid w:val="00E02B51"/>
    <w:rsid w:val="00E02C4E"/>
    <w:rsid w:val="00E02D09"/>
    <w:rsid w:val="00E0312B"/>
    <w:rsid w:val="00E03255"/>
    <w:rsid w:val="00E033AC"/>
    <w:rsid w:val="00E033E5"/>
    <w:rsid w:val="00E0342F"/>
    <w:rsid w:val="00E0385B"/>
    <w:rsid w:val="00E038C8"/>
    <w:rsid w:val="00E03A6C"/>
    <w:rsid w:val="00E03AC4"/>
    <w:rsid w:val="00E03AEC"/>
    <w:rsid w:val="00E03B15"/>
    <w:rsid w:val="00E03D94"/>
    <w:rsid w:val="00E03DCF"/>
    <w:rsid w:val="00E03E2A"/>
    <w:rsid w:val="00E03E45"/>
    <w:rsid w:val="00E0404F"/>
    <w:rsid w:val="00E04089"/>
    <w:rsid w:val="00E04125"/>
    <w:rsid w:val="00E04385"/>
    <w:rsid w:val="00E0440C"/>
    <w:rsid w:val="00E04904"/>
    <w:rsid w:val="00E04E42"/>
    <w:rsid w:val="00E04EFC"/>
    <w:rsid w:val="00E04F4A"/>
    <w:rsid w:val="00E05167"/>
    <w:rsid w:val="00E052F3"/>
    <w:rsid w:val="00E0542B"/>
    <w:rsid w:val="00E05738"/>
    <w:rsid w:val="00E05813"/>
    <w:rsid w:val="00E05B86"/>
    <w:rsid w:val="00E05BFA"/>
    <w:rsid w:val="00E05CEE"/>
    <w:rsid w:val="00E05D23"/>
    <w:rsid w:val="00E05E24"/>
    <w:rsid w:val="00E06120"/>
    <w:rsid w:val="00E062E6"/>
    <w:rsid w:val="00E06322"/>
    <w:rsid w:val="00E06381"/>
    <w:rsid w:val="00E0641F"/>
    <w:rsid w:val="00E06441"/>
    <w:rsid w:val="00E06474"/>
    <w:rsid w:val="00E064F7"/>
    <w:rsid w:val="00E066D3"/>
    <w:rsid w:val="00E066D7"/>
    <w:rsid w:val="00E067A2"/>
    <w:rsid w:val="00E069A6"/>
    <w:rsid w:val="00E06A37"/>
    <w:rsid w:val="00E06BBF"/>
    <w:rsid w:val="00E071D1"/>
    <w:rsid w:val="00E07224"/>
    <w:rsid w:val="00E072B6"/>
    <w:rsid w:val="00E072B9"/>
    <w:rsid w:val="00E07302"/>
    <w:rsid w:val="00E07331"/>
    <w:rsid w:val="00E074E4"/>
    <w:rsid w:val="00E076CC"/>
    <w:rsid w:val="00E077E4"/>
    <w:rsid w:val="00E078A3"/>
    <w:rsid w:val="00E07A6A"/>
    <w:rsid w:val="00E07B51"/>
    <w:rsid w:val="00E07B6F"/>
    <w:rsid w:val="00E07C18"/>
    <w:rsid w:val="00E07F0B"/>
    <w:rsid w:val="00E07F4C"/>
    <w:rsid w:val="00E07F56"/>
    <w:rsid w:val="00E1006E"/>
    <w:rsid w:val="00E101DF"/>
    <w:rsid w:val="00E101E3"/>
    <w:rsid w:val="00E10225"/>
    <w:rsid w:val="00E103D8"/>
    <w:rsid w:val="00E1045B"/>
    <w:rsid w:val="00E106B6"/>
    <w:rsid w:val="00E1071B"/>
    <w:rsid w:val="00E10817"/>
    <w:rsid w:val="00E10AE5"/>
    <w:rsid w:val="00E10B3D"/>
    <w:rsid w:val="00E10B45"/>
    <w:rsid w:val="00E10E6C"/>
    <w:rsid w:val="00E110CA"/>
    <w:rsid w:val="00E110F4"/>
    <w:rsid w:val="00E1113E"/>
    <w:rsid w:val="00E11191"/>
    <w:rsid w:val="00E11197"/>
    <w:rsid w:val="00E111E3"/>
    <w:rsid w:val="00E1136F"/>
    <w:rsid w:val="00E11378"/>
    <w:rsid w:val="00E11454"/>
    <w:rsid w:val="00E115EA"/>
    <w:rsid w:val="00E1170C"/>
    <w:rsid w:val="00E11898"/>
    <w:rsid w:val="00E11A7D"/>
    <w:rsid w:val="00E11BCD"/>
    <w:rsid w:val="00E11C1B"/>
    <w:rsid w:val="00E11D06"/>
    <w:rsid w:val="00E11D0D"/>
    <w:rsid w:val="00E11D35"/>
    <w:rsid w:val="00E11D8D"/>
    <w:rsid w:val="00E11EC6"/>
    <w:rsid w:val="00E11F2D"/>
    <w:rsid w:val="00E12510"/>
    <w:rsid w:val="00E1256A"/>
    <w:rsid w:val="00E125DA"/>
    <w:rsid w:val="00E12609"/>
    <w:rsid w:val="00E1265D"/>
    <w:rsid w:val="00E126B2"/>
    <w:rsid w:val="00E127D2"/>
    <w:rsid w:val="00E128B2"/>
    <w:rsid w:val="00E12A21"/>
    <w:rsid w:val="00E12A65"/>
    <w:rsid w:val="00E12CB2"/>
    <w:rsid w:val="00E12ED7"/>
    <w:rsid w:val="00E1304D"/>
    <w:rsid w:val="00E13312"/>
    <w:rsid w:val="00E13354"/>
    <w:rsid w:val="00E13361"/>
    <w:rsid w:val="00E133B8"/>
    <w:rsid w:val="00E13843"/>
    <w:rsid w:val="00E13998"/>
    <w:rsid w:val="00E13A65"/>
    <w:rsid w:val="00E13A8F"/>
    <w:rsid w:val="00E13AE4"/>
    <w:rsid w:val="00E13C1B"/>
    <w:rsid w:val="00E13D1C"/>
    <w:rsid w:val="00E13F38"/>
    <w:rsid w:val="00E13FC6"/>
    <w:rsid w:val="00E13FDF"/>
    <w:rsid w:val="00E140B1"/>
    <w:rsid w:val="00E1438C"/>
    <w:rsid w:val="00E14495"/>
    <w:rsid w:val="00E146CD"/>
    <w:rsid w:val="00E147BF"/>
    <w:rsid w:val="00E14914"/>
    <w:rsid w:val="00E14916"/>
    <w:rsid w:val="00E14969"/>
    <w:rsid w:val="00E149FA"/>
    <w:rsid w:val="00E14AD2"/>
    <w:rsid w:val="00E14C24"/>
    <w:rsid w:val="00E14D75"/>
    <w:rsid w:val="00E14D9E"/>
    <w:rsid w:val="00E14E05"/>
    <w:rsid w:val="00E14E2A"/>
    <w:rsid w:val="00E14FC9"/>
    <w:rsid w:val="00E1500E"/>
    <w:rsid w:val="00E15031"/>
    <w:rsid w:val="00E150BA"/>
    <w:rsid w:val="00E1529E"/>
    <w:rsid w:val="00E153AC"/>
    <w:rsid w:val="00E153CD"/>
    <w:rsid w:val="00E15661"/>
    <w:rsid w:val="00E159E2"/>
    <w:rsid w:val="00E15DCC"/>
    <w:rsid w:val="00E15E5F"/>
    <w:rsid w:val="00E15EEC"/>
    <w:rsid w:val="00E15FA5"/>
    <w:rsid w:val="00E161B5"/>
    <w:rsid w:val="00E16232"/>
    <w:rsid w:val="00E16519"/>
    <w:rsid w:val="00E165FD"/>
    <w:rsid w:val="00E16737"/>
    <w:rsid w:val="00E16821"/>
    <w:rsid w:val="00E16897"/>
    <w:rsid w:val="00E168BA"/>
    <w:rsid w:val="00E168E0"/>
    <w:rsid w:val="00E16B7B"/>
    <w:rsid w:val="00E16BB6"/>
    <w:rsid w:val="00E16C72"/>
    <w:rsid w:val="00E16E84"/>
    <w:rsid w:val="00E16EFF"/>
    <w:rsid w:val="00E16F5F"/>
    <w:rsid w:val="00E17239"/>
    <w:rsid w:val="00E1771A"/>
    <w:rsid w:val="00E17A91"/>
    <w:rsid w:val="00E17AE6"/>
    <w:rsid w:val="00E17AF3"/>
    <w:rsid w:val="00E17BDE"/>
    <w:rsid w:val="00E17C3B"/>
    <w:rsid w:val="00E17E90"/>
    <w:rsid w:val="00E202A1"/>
    <w:rsid w:val="00E203FD"/>
    <w:rsid w:val="00E204B0"/>
    <w:rsid w:val="00E204C0"/>
    <w:rsid w:val="00E204E7"/>
    <w:rsid w:val="00E2056C"/>
    <w:rsid w:val="00E205DE"/>
    <w:rsid w:val="00E20695"/>
    <w:rsid w:val="00E206BE"/>
    <w:rsid w:val="00E208D4"/>
    <w:rsid w:val="00E20A6C"/>
    <w:rsid w:val="00E20AC4"/>
    <w:rsid w:val="00E20B76"/>
    <w:rsid w:val="00E20CF0"/>
    <w:rsid w:val="00E20FF1"/>
    <w:rsid w:val="00E20FF6"/>
    <w:rsid w:val="00E210BD"/>
    <w:rsid w:val="00E21129"/>
    <w:rsid w:val="00E21219"/>
    <w:rsid w:val="00E21270"/>
    <w:rsid w:val="00E2137A"/>
    <w:rsid w:val="00E213B5"/>
    <w:rsid w:val="00E21472"/>
    <w:rsid w:val="00E215AC"/>
    <w:rsid w:val="00E21736"/>
    <w:rsid w:val="00E21785"/>
    <w:rsid w:val="00E219EC"/>
    <w:rsid w:val="00E21C22"/>
    <w:rsid w:val="00E21D17"/>
    <w:rsid w:val="00E21DDE"/>
    <w:rsid w:val="00E21F28"/>
    <w:rsid w:val="00E22031"/>
    <w:rsid w:val="00E22074"/>
    <w:rsid w:val="00E221A8"/>
    <w:rsid w:val="00E2234D"/>
    <w:rsid w:val="00E22780"/>
    <w:rsid w:val="00E22818"/>
    <w:rsid w:val="00E229F0"/>
    <w:rsid w:val="00E22BA7"/>
    <w:rsid w:val="00E22C2F"/>
    <w:rsid w:val="00E22C44"/>
    <w:rsid w:val="00E22D1C"/>
    <w:rsid w:val="00E22D33"/>
    <w:rsid w:val="00E22D5A"/>
    <w:rsid w:val="00E22D6B"/>
    <w:rsid w:val="00E22DB2"/>
    <w:rsid w:val="00E22ED3"/>
    <w:rsid w:val="00E23098"/>
    <w:rsid w:val="00E230A8"/>
    <w:rsid w:val="00E23361"/>
    <w:rsid w:val="00E235F3"/>
    <w:rsid w:val="00E236E1"/>
    <w:rsid w:val="00E237D8"/>
    <w:rsid w:val="00E237F6"/>
    <w:rsid w:val="00E23880"/>
    <w:rsid w:val="00E239C6"/>
    <w:rsid w:val="00E23A75"/>
    <w:rsid w:val="00E23B1A"/>
    <w:rsid w:val="00E23B53"/>
    <w:rsid w:val="00E23B88"/>
    <w:rsid w:val="00E23BBC"/>
    <w:rsid w:val="00E23C57"/>
    <w:rsid w:val="00E23F70"/>
    <w:rsid w:val="00E240B2"/>
    <w:rsid w:val="00E241BB"/>
    <w:rsid w:val="00E2447C"/>
    <w:rsid w:val="00E24511"/>
    <w:rsid w:val="00E24767"/>
    <w:rsid w:val="00E24AC6"/>
    <w:rsid w:val="00E24ADA"/>
    <w:rsid w:val="00E24BFB"/>
    <w:rsid w:val="00E24D66"/>
    <w:rsid w:val="00E24DD9"/>
    <w:rsid w:val="00E25019"/>
    <w:rsid w:val="00E252B3"/>
    <w:rsid w:val="00E2539C"/>
    <w:rsid w:val="00E25520"/>
    <w:rsid w:val="00E25768"/>
    <w:rsid w:val="00E2579D"/>
    <w:rsid w:val="00E257E2"/>
    <w:rsid w:val="00E258CA"/>
    <w:rsid w:val="00E25CF0"/>
    <w:rsid w:val="00E25D5A"/>
    <w:rsid w:val="00E25DC6"/>
    <w:rsid w:val="00E25EF2"/>
    <w:rsid w:val="00E26786"/>
    <w:rsid w:val="00E26909"/>
    <w:rsid w:val="00E26970"/>
    <w:rsid w:val="00E26A9D"/>
    <w:rsid w:val="00E26B2F"/>
    <w:rsid w:val="00E26BCA"/>
    <w:rsid w:val="00E26C05"/>
    <w:rsid w:val="00E26CDF"/>
    <w:rsid w:val="00E26EEE"/>
    <w:rsid w:val="00E26FDE"/>
    <w:rsid w:val="00E27032"/>
    <w:rsid w:val="00E2705A"/>
    <w:rsid w:val="00E2719D"/>
    <w:rsid w:val="00E273E0"/>
    <w:rsid w:val="00E27739"/>
    <w:rsid w:val="00E27802"/>
    <w:rsid w:val="00E278A3"/>
    <w:rsid w:val="00E278EB"/>
    <w:rsid w:val="00E279A2"/>
    <w:rsid w:val="00E27B85"/>
    <w:rsid w:val="00E27C4F"/>
    <w:rsid w:val="00E27DD2"/>
    <w:rsid w:val="00E27DEC"/>
    <w:rsid w:val="00E27FB1"/>
    <w:rsid w:val="00E3014B"/>
    <w:rsid w:val="00E302FC"/>
    <w:rsid w:val="00E30481"/>
    <w:rsid w:val="00E30738"/>
    <w:rsid w:val="00E30AE3"/>
    <w:rsid w:val="00E30F69"/>
    <w:rsid w:val="00E30FA5"/>
    <w:rsid w:val="00E3101C"/>
    <w:rsid w:val="00E3104F"/>
    <w:rsid w:val="00E31117"/>
    <w:rsid w:val="00E31243"/>
    <w:rsid w:val="00E31271"/>
    <w:rsid w:val="00E31290"/>
    <w:rsid w:val="00E31309"/>
    <w:rsid w:val="00E3157D"/>
    <w:rsid w:val="00E31749"/>
    <w:rsid w:val="00E31856"/>
    <w:rsid w:val="00E318C4"/>
    <w:rsid w:val="00E31922"/>
    <w:rsid w:val="00E3198C"/>
    <w:rsid w:val="00E3199E"/>
    <w:rsid w:val="00E31AFE"/>
    <w:rsid w:val="00E31CE1"/>
    <w:rsid w:val="00E31D6A"/>
    <w:rsid w:val="00E31D85"/>
    <w:rsid w:val="00E31E27"/>
    <w:rsid w:val="00E31E67"/>
    <w:rsid w:val="00E31F45"/>
    <w:rsid w:val="00E3215A"/>
    <w:rsid w:val="00E32168"/>
    <w:rsid w:val="00E32274"/>
    <w:rsid w:val="00E323C4"/>
    <w:rsid w:val="00E32483"/>
    <w:rsid w:val="00E32503"/>
    <w:rsid w:val="00E32531"/>
    <w:rsid w:val="00E32566"/>
    <w:rsid w:val="00E32622"/>
    <w:rsid w:val="00E3274A"/>
    <w:rsid w:val="00E32750"/>
    <w:rsid w:val="00E32784"/>
    <w:rsid w:val="00E32846"/>
    <w:rsid w:val="00E32878"/>
    <w:rsid w:val="00E32C00"/>
    <w:rsid w:val="00E32E45"/>
    <w:rsid w:val="00E32EB7"/>
    <w:rsid w:val="00E32F85"/>
    <w:rsid w:val="00E32FA8"/>
    <w:rsid w:val="00E3305E"/>
    <w:rsid w:val="00E33388"/>
    <w:rsid w:val="00E333DE"/>
    <w:rsid w:val="00E3343D"/>
    <w:rsid w:val="00E334A6"/>
    <w:rsid w:val="00E3350B"/>
    <w:rsid w:val="00E33573"/>
    <w:rsid w:val="00E335D7"/>
    <w:rsid w:val="00E336A2"/>
    <w:rsid w:val="00E3386C"/>
    <w:rsid w:val="00E338B2"/>
    <w:rsid w:val="00E33F9E"/>
    <w:rsid w:val="00E341C0"/>
    <w:rsid w:val="00E341C9"/>
    <w:rsid w:val="00E34354"/>
    <w:rsid w:val="00E34498"/>
    <w:rsid w:val="00E34631"/>
    <w:rsid w:val="00E34750"/>
    <w:rsid w:val="00E3478D"/>
    <w:rsid w:val="00E34854"/>
    <w:rsid w:val="00E3485B"/>
    <w:rsid w:val="00E34946"/>
    <w:rsid w:val="00E34B7D"/>
    <w:rsid w:val="00E34C66"/>
    <w:rsid w:val="00E34CD3"/>
    <w:rsid w:val="00E34CDD"/>
    <w:rsid w:val="00E34DC5"/>
    <w:rsid w:val="00E34EC9"/>
    <w:rsid w:val="00E34FBD"/>
    <w:rsid w:val="00E34FCB"/>
    <w:rsid w:val="00E35108"/>
    <w:rsid w:val="00E35249"/>
    <w:rsid w:val="00E35261"/>
    <w:rsid w:val="00E3528F"/>
    <w:rsid w:val="00E35592"/>
    <w:rsid w:val="00E3570C"/>
    <w:rsid w:val="00E35796"/>
    <w:rsid w:val="00E357B1"/>
    <w:rsid w:val="00E359D7"/>
    <w:rsid w:val="00E35A6F"/>
    <w:rsid w:val="00E35ACA"/>
    <w:rsid w:val="00E35BBD"/>
    <w:rsid w:val="00E35C56"/>
    <w:rsid w:val="00E35CC3"/>
    <w:rsid w:val="00E3612B"/>
    <w:rsid w:val="00E361DF"/>
    <w:rsid w:val="00E36278"/>
    <w:rsid w:val="00E362CC"/>
    <w:rsid w:val="00E3633E"/>
    <w:rsid w:val="00E363CD"/>
    <w:rsid w:val="00E364D5"/>
    <w:rsid w:val="00E366C4"/>
    <w:rsid w:val="00E3680A"/>
    <w:rsid w:val="00E368CB"/>
    <w:rsid w:val="00E36983"/>
    <w:rsid w:val="00E3698C"/>
    <w:rsid w:val="00E36C23"/>
    <w:rsid w:val="00E36C6C"/>
    <w:rsid w:val="00E36D93"/>
    <w:rsid w:val="00E37254"/>
    <w:rsid w:val="00E373AB"/>
    <w:rsid w:val="00E373C7"/>
    <w:rsid w:val="00E376D5"/>
    <w:rsid w:val="00E3775C"/>
    <w:rsid w:val="00E37788"/>
    <w:rsid w:val="00E3798B"/>
    <w:rsid w:val="00E37CA9"/>
    <w:rsid w:val="00E37F13"/>
    <w:rsid w:val="00E40255"/>
    <w:rsid w:val="00E40269"/>
    <w:rsid w:val="00E4058C"/>
    <w:rsid w:val="00E406AD"/>
    <w:rsid w:val="00E40896"/>
    <w:rsid w:val="00E40BBB"/>
    <w:rsid w:val="00E40D06"/>
    <w:rsid w:val="00E40D62"/>
    <w:rsid w:val="00E40DF8"/>
    <w:rsid w:val="00E41288"/>
    <w:rsid w:val="00E41505"/>
    <w:rsid w:val="00E4159C"/>
    <w:rsid w:val="00E416ED"/>
    <w:rsid w:val="00E4171F"/>
    <w:rsid w:val="00E418B7"/>
    <w:rsid w:val="00E41A55"/>
    <w:rsid w:val="00E41CC5"/>
    <w:rsid w:val="00E41E54"/>
    <w:rsid w:val="00E41F0B"/>
    <w:rsid w:val="00E41F46"/>
    <w:rsid w:val="00E421EB"/>
    <w:rsid w:val="00E42238"/>
    <w:rsid w:val="00E42338"/>
    <w:rsid w:val="00E42430"/>
    <w:rsid w:val="00E42448"/>
    <w:rsid w:val="00E42646"/>
    <w:rsid w:val="00E42814"/>
    <w:rsid w:val="00E428BA"/>
    <w:rsid w:val="00E4298A"/>
    <w:rsid w:val="00E42A5A"/>
    <w:rsid w:val="00E42AAC"/>
    <w:rsid w:val="00E42DDA"/>
    <w:rsid w:val="00E42E93"/>
    <w:rsid w:val="00E42EFE"/>
    <w:rsid w:val="00E42F90"/>
    <w:rsid w:val="00E43042"/>
    <w:rsid w:val="00E4307E"/>
    <w:rsid w:val="00E430DE"/>
    <w:rsid w:val="00E43296"/>
    <w:rsid w:val="00E43418"/>
    <w:rsid w:val="00E43481"/>
    <w:rsid w:val="00E4358C"/>
    <w:rsid w:val="00E435AD"/>
    <w:rsid w:val="00E436FA"/>
    <w:rsid w:val="00E4370D"/>
    <w:rsid w:val="00E4378D"/>
    <w:rsid w:val="00E43809"/>
    <w:rsid w:val="00E43DDE"/>
    <w:rsid w:val="00E44027"/>
    <w:rsid w:val="00E4406A"/>
    <w:rsid w:val="00E4412B"/>
    <w:rsid w:val="00E44145"/>
    <w:rsid w:val="00E44254"/>
    <w:rsid w:val="00E442CB"/>
    <w:rsid w:val="00E44878"/>
    <w:rsid w:val="00E449A8"/>
    <w:rsid w:val="00E449B9"/>
    <w:rsid w:val="00E449DF"/>
    <w:rsid w:val="00E44A42"/>
    <w:rsid w:val="00E44C8F"/>
    <w:rsid w:val="00E44D64"/>
    <w:rsid w:val="00E45084"/>
    <w:rsid w:val="00E45318"/>
    <w:rsid w:val="00E45409"/>
    <w:rsid w:val="00E45735"/>
    <w:rsid w:val="00E45886"/>
    <w:rsid w:val="00E45957"/>
    <w:rsid w:val="00E45988"/>
    <w:rsid w:val="00E459C7"/>
    <w:rsid w:val="00E45BC6"/>
    <w:rsid w:val="00E45C6F"/>
    <w:rsid w:val="00E45E3E"/>
    <w:rsid w:val="00E45E49"/>
    <w:rsid w:val="00E45E7A"/>
    <w:rsid w:val="00E45FF7"/>
    <w:rsid w:val="00E46044"/>
    <w:rsid w:val="00E460E5"/>
    <w:rsid w:val="00E462DD"/>
    <w:rsid w:val="00E462E2"/>
    <w:rsid w:val="00E462F9"/>
    <w:rsid w:val="00E46479"/>
    <w:rsid w:val="00E4651C"/>
    <w:rsid w:val="00E46571"/>
    <w:rsid w:val="00E465B6"/>
    <w:rsid w:val="00E465BE"/>
    <w:rsid w:val="00E468DE"/>
    <w:rsid w:val="00E46B4D"/>
    <w:rsid w:val="00E46BCE"/>
    <w:rsid w:val="00E46FE8"/>
    <w:rsid w:val="00E470DF"/>
    <w:rsid w:val="00E471A2"/>
    <w:rsid w:val="00E47339"/>
    <w:rsid w:val="00E4742B"/>
    <w:rsid w:val="00E47440"/>
    <w:rsid w:val="00E475F0"/>
    <w:rsid w:val="00E47606"/>
    <w:rsid w:val="00E47646"/>
    <w:rsid w:val="00E47720"/>
    <w:rsid w:val="00E477BA"/>
    <w:rsid w:val="00E47856"/>
    <w:rsid w:val="00E478B2"/>
    <w:rsid w:val="00E478F0"/>
    <w:rsid w:val="00E47951"/>
    <w:rsid w:val="00E47990"/>
    <w:rsid w:val="00E479E4"/>
    <w:rsid w:val="00E47B00"/>
    <w:rsid w:val="00E47BC5"/>
    <w:rsid w:val="00E47FAD"/>
    <w:rsid w:val="00E500D6"/>
    <w:rsid w:val="00E500FC"/>
    <w:rsid w:val="00E50274"/>
    <w:rsid w:val="00E50281"/>
    <w:rsid w:val="00E505D5"/>
    <w:rsid w:val="00E50716"/>
    <w:rsid w:val="00E50806"/>
    <w:rsid w:val="00E50945"/>
    <w:rsid w:val="00E5094C"/>
    <w:rsid w:val="00E50971"/>
    <w:rsid w:val="00E50A4E"/>
    <w:rsid w:val="00E50CDA"/>
    <w:rsid w:val="00E50DD8"/>
    <w:rsid w:val="00E50DFE"/>
    <w:rsid w:val="00E50F9E"/>
    <w:rsid w:val="00E51051"/>
    <w:rsid w:val="00E51372"/>
    <w:rsid w:val="00E513BC"/>
    <w:rsid w:val="00E513CF"/>
    <w:rsid w:val="00E51450"/>
    <w:rsid w:val="00E5165F"/>
    <w:rsid w:val="00E517F8"/>
    <w:rsid w:val="00E5184A"/>
    <w:rsid w:val="00E5189B"/>
    <w:rsid w:val="00E51936"/>
    <w:rsid w:val="00E51B54"/>
    <w:rsid w:val="00E51D0E"/>
    <w:rsid w:val="00E51D14"/>
    <w:rsid w:val="00E51D63"/>
    <w:rsid w:val="00E51E66"/>
    <w:rsid w:val="00E51E80"/>
    <w:rsid w:val="00E5203D"/>
    <w:rsid w:val="00E520E1"/>
    <w:rsid w:val="00E5269D"/>
    <w:rsid w:val="00E52A71"/>
    <w:rsid w:val="00E52D76"/>
    <w:rsid w:val="00E52DD3"/>
    <w:rsid w:val="00E52F1F"/>
    <w:rsid w:val="00E52F51"/>
    <w:rsid w:val="00E52F72"/>
    <w:rsid w:val="00E531AA"/>
    <w:rsid w:val="00E53350"/>
    <w:rsid w:val="00E534AC"/>
    <w:rsid w:val="00E534C8"/>
    <w:rsid w:val="00E53533"/>
    <w:rsid w:val="00E538C0"/>
    <w:rsid w:val="00E538CB"/>
    <w:rsid w:val="00E539EC"/>
    <w:rsid w:val="00E53DBA"/>
    <w:rsid w:val="00E541C6"/>
    <w:rsid w:val="00E54297"/>
    <w:rsid w:val="00E543D2"/>
    <w:rsid w:val="00E5449C"/>
    <w:rsid w:val="00E5449F"/>
    <w:rsid w:val="00E5454B"/>
    <w:rsid w:val="00E54672"/>
    <w:rsid w:val="00E5498A"/>
    <w:rsid w:val="00E54A31"/>
    <w:rsid w:val="00E54A8F"/>
    <w:rsid w:val="00E54AEC"/>
    <w:rsid w:val="00E54AED"/>
    <w:rsid w:val="00E54B95"/>
    <w:rsid w:val="00E54C4A"/>
    <w:rsid w:val="00E54DC4"/>
    <w:rsid w:val="00E54EE2"/>
    <w:rsid w:val="00E54F34"/>
    <w:rsid w:val="00E54FF7"/>
    <w:rsid w:val="00E550E0"/>
    <w:rsid w:val="00E553DE"/>
    <w:rsid w:val="00E555A1"/>
    <w:rsid w:val="00E5569E"/>
    <w:rsid w:val="00E55748"/>
    <w:rsid w:val="00E558F1"/>
    <w:rsid w:val="00E5599B"/>
    <w:rsid w:val="00E55B75"/>
    <w:rsid w:val="00E55BC7"/>
    <w:rsid w:val="00E55D92"/>
    <w:rsid w:val="00E55DAF"/>
    <w:rsid w:val="00E55E3A"/>
    <w:rsid w:val="00E55E42"/>
    <w:rsid w:val="00E55E57"/>
    <w:rsid w:val="00E55F9E"/>
    <w:rsid w:val="00E5604E"/>
    <w:rsid w:val="00E5604F"/>
    <w:rsid w:val="00E56151"/>
    <w:rsid w:val="00E56259"/>
    <w:rsid w:val="00E562F8"/>
    <w:rsid w:val="00E5636C"/>
    <w:rsid w:val="00E563D2"/>
    <w:rsid w:val="00E56757"/>
    <w:rsid w:val="00E56788"/>
    <w:rsid w:val="00E56843"/>
    <w:rsid w:val="00E56872"/>
    <w:rsid w:val="00E56BB7"/>
    <w:rsid w:val="00E56D5B"/>
    <w:rsid w:val="00E56DAB"/>
    <w:rsid w:val="00E570E4"/>
    <w:rsid w:val="00E57526"/>
    <w:rsid w:val="00E57621"/>
    <w:rsid w:val="00E57698"/>
    <w:rsid w:val="00E577B9"/>
    <w:rsid w:val="00E57CB4"/>
    <w:rsid w:val="00E57CC5"/>
    <w:rsid w:val="00E57E4F"/>
    <w:rsid w:val="00E57E84"/>
    <w:rsid w:val="00E60051"/>
    <w:rsid w:val="00E603C9"/>
    <w:rsid w:val="00E603E3"/>
    <w:rsid w:val="00E60454"/>
    <w:rsid w:val="00E60770"/>
    <w:rsid w:val="00E60790"/>
    <w:rsid w:val="00E607C9"/>
    <w:rsid w:val="00E609FD"/>
    <w:rsid w:val="00E610C5"/>
    <w:rsid w:val="00E6116B"/>
    <w:rsid w:val="00E6138A"/>
    <w:rsid w:val="00E613FC"/>
    <w:rsid w:val="00E61421"/>
    <w:rsid w:val="00E6142E"/>
    <w:rsid w:val="00E6158F"/>
    <w:rsid w:val="00E61734"/>
    <w:rsid w:val="00E618F7"/>
    <w:rsid w:val="00E6191D"/>
    <w:rsid w:val="00E6195A"/>
    <w:rsid w:val="00E61BE6"/>
    <w:rsid w:val="00E61E47"/>
    <w:rsid w:val="00E61E56"/>
    <w:rsid w:val="00E61FD7"/>
    <w:rsid w:val="00E6205F"/>
    <w:rsid w:val="00E620A7"/>
    <w:rsid w:val="00E6225E"/>
    <w:rsid w:val="00E6245A"/>
    <w:rsid w:val="00E6262C"/>
    <w:rsid w:val="00E626B1"/>
    <w:rsid w:val="00E6277B"/>
    <w:rsid w:val="00E627E5"/>
    <w:rsid w:val="00E62875"/>
    <w:rsid w:val="00E62979"/>
    <w:rsid w:val="00E62C42"/>
    <w:rsid w:val="00E63145"/>
    <w:rsid w:val="00E631CE"/>
    <w:rsid w:val="00E6324F"/>
    <w:rsid w:val="00E636D0"/>
    <w:rsid w:val="00E63829"/>
    <w:rsid w:val="00E6387F"/>
    <w:rsid w:val="00E63972"/>
    <w:rsid w:val="00E63B1B"/>
    <w:rsid w:val="00E63D83"/>
    <w:rsid w:val="00E63DA2"/>
    <w:rsid w:val="00E63E19"/>
    <w:rsid w:val="00E63E79"/>
    <w:rsid w:val="00E64077"/>
    <w:rsid w:val="00E64147"/>
    <w:rsid w:val="00E642CC"/>
    <w:rsid w:val="00E6465D"/>
    <w:rsid w:val="00E647AF"/>
    <w:rsid w:val="00E648D5"/>
    <w:rsid w:val="00E64A69"/>
    <w:rsid w:val="00E64BD3"/>
    <w:rsid w:val="00E64C05"/>
    <w:rsid w:val="00E650E8"/>
    <w:rsid w:val="00E651B1"/>
    <w:rsid w:val="00E65303"/>
    <w:rsid w:val="00E655D3"/>
    <w:rsid w:val="00E659E5"/>
    <w:rsid w:val="00E65B8C"/>
    <w:rsid w:val="00E65BA0"/>
    <w:rsid w:val="00E65C6C"/>
    <w:rsid w:val="00E65CEF"/>
    <w:rsid w:val="00E65E10"/>
    <w:rsid w:val="00E65E22"/>
    <w:rsid w:val="00E65E39"/>
    <w:rsid w:val="00E65ED9"/>
    <w:rsid w:val="00E65EE3"/>
    <w:rsid w:val="00E65F13"/>
    <w:rsid w:val="00E6601E"/>
    <w:rsid w:val="00E661C4"/>
    <w:rsid w:val="00E662F5"/>
    <w:rsid w:val="00E665B7"/>
    <w:rsid w:val="00E66831"/>
    <w:rsid w:val="00E66901"/>
    <w:rsid w:val="00E66B17"/>
    <w:rsid w:val="00E66BD3"/>
    <w:rsid w:val="00E66BEB"/>
    <w:rsid w:val="00E66C0D"/>
    <w:rsid w:val="00E66E16"/>
    <w:rsid w:val="00E66F25"/>
    <w:rsid w:val="00E66FB6"/>
    <w:rsid w:val="00E6702A"/>
    <w:rsid w:val="00E67260"/>
    <w:rsid w:val="00E673B0"/>
    <w:rsid w:val="00E673BB"/>
    <w:rsid w:val="00E673DC"/>
    <w:rsid w:val="00E67420"/>
    <w:rsid w:val="00E6749B"/>
    <w:rsid w:val="00E67649"/>
    <w:rsid w:val="00E67819"/>
    <w:rsid w:val="00E678CD"/>
    <w:rsid w:val="00E6796D"/>
    <w:rsid w:val="00E67A63"/>
    <w:rsid w:val="00E67B99"/>
    <w:rsid w:val="00E67BE7"/>
    <w:rsid w:val="00E67D52"/>
    <w:rsid w:val="00E67DD0"/>
    <w:rsid w:val="00E67F5C"/>
    <w:rsid w:val="00E67F84"/>
    <w:rsid w:val="00E67FDE"/>
    <w:rsid w:val="00E7042F"/>
    <w:rsid w:val="00E704A3"/>
    <w:rsid w:val="00E70660"/>
    <w:rsid w:val="00E70686"/>
    <w:rsid w:val="00E7076A"/>
    <w:rsid w:val="00E707C8"/>
    <w:rsid w:val="00E70836"/>
    <w:rsid w:val="00E70910"/>
    <w:rsid w:val="00E7095F"/>
    <w:rsid w:val="00E709A4"/>
    <w:rsid w:val="00E70B51"/>
    <w:rsid w:val="00E70CFC"/>
    <w:rsid w:val="00E70DD0"/>
    <w:rsid w:val="00E70E23"/>
    <w:rsid w:val="00E70F48"/>
    <w:rsid w:val="00E70FF2"/>
    <w:rsid w:val="00E710FD"/>
    <w:rsid w:val="00E713FE"/>
    <w:rsid w:val="00E71417"/>
    <w:rsid w:val="00E71449"/>
    <w:rsid w:val="00E714B9"/>
    <w:rsid w:val="00E714FD"/>
    <w:rsid w:val="00E71565"/>
    <w:rsid w:val="00E7159F"/>
    <w:rsid w:val="00E715A6"/>
    <w:rsid w:val="00E715FA"/>
    <w:rsid w:val="00E71627"/>
    <w:rsid w:val="00E7188A"/>
    <w:rsid w:val="00E718BD"/>
    <w:rsid w:val="00E719CD"/>
    <w:rsid w:val="00E71AAA"/>
    <w:rsid w:val="00E71B54"/>
    <w:rsid w:val="00E71DF0"/>
    <w:rsid w:val="00E71E3C"/>
    <w:rsid w:val="00E72000"/>
    <w:rsid w:val="00E7201D"/>
    <w:rsid w:val="00E722EF"/>
    <w:rsid w:val="00E723BC"/>
    <w:rsid w:val="00E723EC"/>
    <w:rsid w:val="00E725E7"/>
    <w:rsid w:val="00E72756"/>
    <w:rsid w:val="00E728D8"/>
    <w:rsid w:val="00E72984"/>
    <w:rsid w:val="00E72CBB"/>
    <w:rsid w:val="00E72D63"/>
    <w:rsid w:val="00E7303D"/>
    <w:rsid w:val="00E7323F"/>
    <w:rsid w:val="00E73314"/>
    <w:rsid w:val="00E7357E"/>
    <w:rsid w:val="00E735AC"/>
    <w:rsid w:val="00E7373B"/>
    <w:rsid w:val="00E7373C"/>
    <w:rsid w:val="00E73A80"/>
    <w:rsid w:val="00E73B92"/>
    <w:rsid w:val="00E73FEB"/>
    <w:rsid w:val="00E7409D"/>
    <w:rsid w:val="00E74365"/>
    <w:rsid w:val="00E743EB"/>
    <w:rsid w:val="00E744EB"/>
    <w:rsid w:val="00E7450D"/>
    <w:rsid w:val="00E74CC3"/>
    <w:rsid w:val="00E74D86"/>
    <w:rsid w:val="00E75037"/>
    <w:rsid w:val="00E75044"/>
    <w:rsid w:val="00E750FF"/>
    <w:rsid w:val="00E752B2"/>
    <w:rsid w:val="00E7530A"/>
    <w:rsid w:val="00E75404"/>
    <w:rsid w:val="00E754AD"/>
    <w:rsid w:val="00E7564C"/>
    <w:rsid w:val="00E75674"/>
    <w:rsid w:val="00E7568A"/>
    <w:rsid w:val="00E7580E"/>
    <w:rsid w:val="00E758CC"/>
    <w:rsid w:val="00E75979"/>
    <w:rsid w:val="00E75A4B"/>
    <w:rsid w:val="00E75D50"/>
    <w:rsid w:val="00E75E8D"/>
    <w:rsid w:val="00E75EEF"/>
    <w:rsid w:val="00E75F66"/>
    <w:rsid w:val="00E75F86"/>
    <w:rsid w:val="00E75F8C"/>
    <w:rsid w:val="00E75FA4"/>
    <w:rsid w:val="00E76019"/>
    <w:rsid w:val="00E7602D"/>
    <w:rsid w:val="00E76067"/>
    <w:rsid w:val="00E76673"/>
    <w:rsid w:val="00E766E4"/>
    <w:rsid w:val="00E767F2"/>
    <w:rsid w:val="00E7696E"/>
    <w:rsid w:val="00E76984"/>
    <w:rsid w:val="00E76D46"/>
    <w:rsid w:val="00E76DE0"/>
    <w:rsid w:val="00E76FBA"/>
    <w:rsid w:val="00E770EA"/>
    <w:rsid w:val="00E771DA"/>
    <w:rsid w:val="00E775CD"/>
    <w:rsid w:val="00E77761"/>
    <w:rsid w:val="00E7786B"/>
    <w:rsid w:val="00E77A4B"/>
    <w:rsid w:val="00E77F3A"/>
    <w:rsid w:val="00E77F57"/>
    <w:rsid w:val="00E8001E"/>
    <w:rsid w:val="00E80150"/>
    <w:rsid w:val="00E802E1"/>
    <w:rsid w:val="00E8042B"/>
    <w:rsid w:val="00E8058B"/>
    <w:rsid w:val="00E80682"/>
    <w:rsid w:val="00E806CA"/>
    <w:rsid w:val="00E80845"/>
    <w:rsid w:val="00E80A20"/>
    <w:rsid w:val="00E80C10"/>
    <w:rsid w:val="00E80C33"/>
    <w:rsid w:val="00E80D45"/>
    <w:rsid w:val="00E80D68"/>
    <w:rsid w:val="00E80D8B"/>
    <w:rsid w:val="00E80DD0"/>
    <w:rsid w:val="00E80DFC"/>
    <w:rsid w:val="00E80E70"/>
    <w:rsid w:val="00E80E96"/>
    <w:rsid w:val="00E8103E"/>
    <w:rsid w:val="00E81055"/>
    <w:rsid w:val="00E811DB"/>
    <w:rsid w:val="00E812B1"/>
    <w:rsid w:val="00E816A8"/>
    <w:rsid w:val="00E8177D"/>
    <w:rsid w:val="00E8178E"/>
    <w:rsid w:val="00E817D9"/>
    <w:rsid w:val="00E818B5"/>
    <w:rsid w:val="00E81903"/>
    <w:rsid w:val="00E81A03"/>
    <w:rsid w:val="00E81B4E"/>
    <w:rsid w:val="00E81B98"/>
    <w:rsid w:val="00E81F6E"/>
    <w:rsid w:val="00E82093"/>
    <w:rsid w:val="00E822FD"/>
    <w:rsid w:val="00E82336"/>
    <w:rsid w:val="00E82615"/>
    <w:rsid w:val="00E8282F"/>
    <w:rsid w:val="00E828C1"/>
    <w:rsid w:val="00E82A36"/>
    <w:rsid w:val="00E82AFE"/>
    <w:rsid w:val="00E82C37"/>
    <w:rsid w:val="00E82CB6"/>
    <w:rsid w:val="00E82CD7"/>
    <w:rsid w:val="00E82CE2"/>
    <w:rsid w:val="00E82EFF"/>
    <w:rsid w:val="00E83035"/>
    <w:rsid w:val="00E834E6"/>
    <w:rsid w:val="00E83519"/>
    <w:rsid w:val="00E8352C"/>
    <w:rsid w:val="00E835A5"/>
    <w:rsid w:val="00E835E1"/>
    <w:rsid w:val="00E8394E"/>
    <w:rsid w:val="00E83A6D"/>
    <w:rsid w:val="00E83C54"/>
    <w:rsid w:val="00E841CF"/>
    <w:rsid w:val="00E8428E"/>
    <w:rsid w:val="00E84540"/>
    <w:rsid w:val="00E8468E"/>
    <w:rsid w:val="00E847EF"/>
    <w:rsid w:val="00E8497D"/>
    <w:rsid w:val="00E84A02"/>
    <w:rsid w:val="00E84A4E"/>
    <w:rsid w:val="00E84CE9"/>
    <w:rsid w:val="00E84D2A"/>
    <w:rsid w:val="00E84F77"/>
    <w:rsid w:val="00E8524A"/>
    <w:rsid w:val="00E853FE"/>
    <w:rsid w:val="00E85463"/>
    <w:rsid w:val="00E854BC"/>
    <w:rsid w:val="00E85569"/>
    <w:rsid w:val="00E85739"/>
    <w:rsid w:val="00E8591A"/>
    <w:rsid w:val="00E859B8"/>
    <w:rsid w:val="00E85A67"/>
    <w:rsid w:val="00E85A81"/>
    <w:rsid w:val="00E85BE8"/>
    <w:rsid w:val="00E85D1B"/>
    <w:rsid w:val="00E85D54"/>
    <w:rsid w:val="00E85F66"/>
    <w:rsid w:val="00E86132"/>
    <w:rsid w:val="00E86164"/>
    <w:rsid w:val="00E86276"/>
    <w:rsid w:val="00E8638A"/>
    <w:rsid w:val="00E863C3"/>
    <w:rsid w:val="00E8641B"/>
    <w:rsid w:val="00E86A19"/>
    <w:rsid w:val="00E86B45"/>
    <w:rsid w:val="00E86E79"/>
    <w:rsid w:val="00E87106"/>
    <w:rsid w:val="00E87229"/>
    <w:rsid w:val="00E875C1"/>
    <w:rsid w:val="00E87684"/>
    <w:rsid w:val="00E879C2"/>
    <w:rsid w:val="00E879FC"/>
    <w:rsid w:val="00E87A0A"/>
    <w:rsid w:val="00E87AFC"/>
    <w:rsid w:val="00E87D2D"/>
    <w:rsid w:val="00E87D5B"/>
    <w:rsid w:val="00E87D97"/>
    <w:rsid w:val="00E9045C"/>
    <w:rsid w:val="00E9070B"/>
    <w:rsid w:val="00E9076F"/>
    <w:rsid w:val="00E90809"/>
    <w:rsid w:val="00E908BE"/>
    <w:rsid w:val="00E90B8A"/>
    <w:rsid w:val="00E90C06"/>
    <w:rsid w:val="00E910BE"/>
    <w:rsid w:val="00E9117B"/>
    <w:rsid w:val="00E912ED"/>
    <w:rsid w:val="00E91411"/>
    <w:rsid w:val="00E9146F"/>
    <w:rsid w:val="00E915DE"/>
    <w:rsid w:val="00E91613"/>
    <w:rsid w:val="00E916D2"/>
    <w:rsid w:val="00E919BF"/>
    <w:rsid w:val="00E91A31"/>
    <w:rsid w:val="00E91A94"/>
    <w:rsid w:val="00E91AC8"/>
    <w:rsid w:val="00E91C48"/>
    <w:rsid w:val="00E91C69"/>
    <w:rsid w:val="00E91CFB"/>
    <w:rsid w:val="00E91E8C"/>
    <w:rsid w:val="00E92096"/>
    <w:rsid w:val="00E921D8"/>
    <w:rsid w:val="00E9242F"/>
    <w:rsid w:val="00E92488"/>
    <w:rsid w:val="00E92542"/>
    <w:rsid w:val="00E927F9"/>
    <w:rsid w:val="00E928FC"/>
    <w:rsid w:val="00E92B21"/>
    <w:rsid w:val="00E92C05"/>
    <w:rsid w:val="00E92CBD"/>
    <w:rsid w:val="00E92E2C"/>
    <w:rsid w:val="00E92E53"/>
    <w:rsid w:val="00E92F1E"/>
    <w:rsid w:val="00E92FCB"/>
    <w:rsid w:val="00E936BC"/>
    <w:rsid w:val="00E93A54"/>
    <w:rsid w:val="00E93AAD"/>
    <w:rsid w:val="00E93AD3"/>
    <w:rsid w:val="00E93CCC"/>
    <w:rsid w:val="00E93FA4"/>
    <w:rsid w:val="00E941E5"/>
    <w:rsid w:val="00E941ED"/>
    <w:rsid w:val="00E9423F"/>
    <w:rsid w:val="00E94379"/>
    <w:rsid w:val="00E94642"/>
    <w:rsid w:val="00E94848"/>
    <w:rsid w:val="00E94957"/>
    <w:rsid w:val="00E94976"/>
    <w:rsid w:val="00E949FB"/>
    <w:rsid w:val="00E94B92"/>
    <w:rsid w:val="00E94CE9"/>
    <w:rsid w:val="00E94F2F"/>
    <w:rsid w:val="00E94FC2"/>
    <w:rsid w:val="00E9518E"/>
    <w:rsid w:val="00E951E1"/>
    <w:rsid w:val="00E952A0"/>
    <w:rsid w:val="00E9533D"/>
    <w:rsid w:val="00E953D7"/>
    <w:rsid w:val="00E9549E"/>
    <w:rsid w:val="00E954EC"/>
    <w:rsid w:val="00E9576C"/>
    <w:rsid w:val="00E957E9"/>
    <w:rsid w:val="00E95874"/>
    <w:rsid w:val="00E959A3"/>
    <w:rsid w:val="00E95AB7"/>
    <w:rsid w:val="00E95CA5"/>
    <w:rsid w:val="00E960B5"/>
    <w:rsid w:val="00E9624B"/>
    <w:rsid w:val="00E962D0"/>
    <w:rsid w:val="00E963C5"/>
    <w:rsid w:val="00E96485"/>
    <w:rsid w:val="00E9655D"/>
    <w:rsid w:val="00E966BF"/>
    <w:rsid w:val="00E967DE"/>
    <w:rsid w:val="00E96B64"/>
    <w:rsid w:val="00E96B8D"/>
    <w:rsid w:val="00E96C85"/>
    <w:rsid w:val="00E96D1C"/>
    <w:rsid w:val="00E972DD"/>
    <w:rsid w:val="00E9735F"/>
    <w:rsid w:val="00E973AC"/>
    <w:rsid w:val="00E97402"/>
    <w:rsid w:val="00E974E0"/>
    <w:rsid w:val="00E9764C"/>
    <w:rsid w:val="00E977B3"/>
    <w:rsid w:val="00E979DE"/>
    <w:rsid w:val="00E979E7"/>
    <w:rsid w:val="00E97CF2"/>
    <w:rsid w:val="00E97E15"/>
    <w:rsid w:val="00E97E73"/>
    <w:rsid w:val="00E97ECD"/>
    <w:rsid w:val="00E97FFB"/>
    <w:rsid w:val="00EA032E"/>
    <w:rsid w:val="00EA034C"/>
    <w:rsid w:val="00EA04B2"/>
    <w:rsid w:val="00EA0502"/>
    <w:rsid w:val="00EA05C0"/>
    <w:rsid w:val="00EA0649"/>
    <w:rsid w:val="00EA06A0"/>
    <w:rsid w:val="00EA07B1"/>
    <w:rsid w:val="00EA0852"/>
    <w:rsid w:val="00EA087D"/>
    <w:rsid w:val="00EA0A04"/>
    <w:rsid w:val="00EA0C02"/>
    <w:rsid w:val="00EA0C66"/>
    <w:rsid w:val="00EA0CC8"/>
    <w:rsid w:val="00EA0EDB"/>
    <w:rsid w:val="00EA0F33"/>
    <w:rsid w:val="00EA10DB"/>
    <w:rsid w:val="00EA1154"/>
    <w:rsid w:val="00EA11C1"/>
    <w:rsid w:val="00EA12BE"/>
    <w:rsid w:val="00EA135F"/>
    <w:rsid w:val="00EA159C"/>
    <w:rsid w:val="00EA15AA"/>
    <w:rsid w:val="00EA1768"/>
    <w:rsid w:val="00EA1835"/>
    <w:rsid w:val="00EA1ADE"/>
    <w:rsid w:val="00EA1B56"/>
    <w:rsid w:val="00EA1B77"/>
    <w:rsid w:val="00EA1C13"/>
    <w:rsid w:val="00EA1DA2"/>
    <w:rsid w:val="00EA1E5F"/>
    <w:rsid w:val="00EA1F34"/>
    <w:rsid w:val="00EA20D4"/>
    <w:rsid w:val="00EA21CB"/>
    <w:rsid w:val="00EA237D"/>
    <w:rsid w:val="00EA251E"/>
    <w:rsid w:val="00EA25F9"/>
    <w:rsid w:val="00EA260D"/>
    <w:rsid w:val="00EA275A"/>
    <w:rsid w:val="00EA2925"/>
    <w:rsid w:val="00EA2BE0"/>
    <w:rsid w:val="00EA2C8C"/>
    <w:rsid w:val="00EA2CCF"/>
    <w:rsid w:val="00EA2E8E"/>
    <w:rsid w:val="00EA3083"/>
    <w:rsid w:val="00EA3127"/>
    <w:rsid w:val="00EA32C5"/>
    <w:rsid w:val="00EA3341"/>
    <w:rsid w:val="00EA344C"/>
    <w:rsid w:val="00EA37C2"/>
    <w:rsid w:val="00EA3D60"/>
    <w:rsid w:val="00EA3E60"/>
    <w:rsid w:val="00EA4051"/>
    <w:rsid w:val="00EA418E"/>
    <w:rsid w:val="00EA4227"/>
    <w:rsid w:val="00EA431D"/>
    <w:rsid w:val="00EA43C0"/>
    <w:rsid w:val="00EA451E"/>
    <w:rsid w:val="00EA45BF"/>
    <w:rsid w:val="00EA4633"/>
    <w:rsid w:val="00EA4717"/>
    <w:rsid w:val="00EA4826"/>
    <w:rsid w:val="00EA4913"/>
    <w:rsid w:val="00EA4B0E"/>
    <w:rsid w:val="00EA4C85"/>
    <w:rsid w:val="00EA4D72"/>
    <w:rsid w:val="00EA4E9F"/>
    <w:rsid w:val="00EA4EC4"/>
    <w:rsid w:val="00EA4F63"/>
    <w:rsid w:val="00EA5570"/>
    <w:rsid w:val="00EA57EA"/>
    <w:rsid w:val="00EA58EB"/>
    <w:rsid w:val="00EA5928"/>
    <w:rsid w:val="00EA59DB"/>
    <w:rsid w:val="00EA5D51"/>
    <w:rsid w:val="00EA5ED6"/>
    <w:rsid w:val="00EA60AA"/>
    <w:rsid w:val="00EA6280"/>
    <w:rsid w:val="00EA639F"/>
    <w:rsid w:val="00EA64B9"/>
    <w:rsid w:val="00EA652A"/>
    <w:rsid w:val="00EA6581"/>
    <w:rsid w:val="00EA6602"/>
    <w:rsid w:val="00EA6644"/>
    <w:rsid w:val="00EA6845"/>
    <w:rsid w:val="00EA6A01"/>
    <w:rsid w:val="00EA6B98"/>
    <w:rsid w:val="00EA6E53"/>
    <w:rsid w:val="00EA6F97"/>
    <w:rsid w:val="00EA7156"/>
    <w:rsid w:val="00EA71B4"/>
    <w:rsid w:val="00EA72A7"/>
    <w:rsid w:val="00EA73E8"/>
    <w:rsid w:val="00EA745C"/>
    <w:rsid w:val="00EA7635"/>
    <w:rsid w:val="00EA768E"/>
    <w:rsid w:val="00EA7AF5"/>
    <w:rsid w:val="00EA7CA5"/>
    <w:rsid w:val="00EA7E44"/>
    <w:rsid w:val="00EA7F3B"/>
    <w:rsid w:val="00EB0007"/>
    <w:rsid w:val="00EB0253"/>
    <w:rsid w:val="00EB034D"/>
    <w:rsid w:val="00EB03CC"/>
    <w:rsid w:val="00EB04D6"/>
    <w:rsid w:val="00EB0648"/>
    <w:rsid w:val="00EB06E6"/>
    <w:rsid w:val="00EB090F"/>
    <w:rsid w:val="00EB0A71"/>
    <w:rsid w:val="00EB0A80"/>
    <w:rsid w:val="00EB0B8E"/>
    <w:rsid w:val="00EB0D55"/>
    <w:rsid w:val="00EB0DAC"/>
    <w:rsid w:val="00EB0E78"/>
    <w:rsid w:val="00EB0F4D"/>
    <w:rsid w:val="00EB1086"/>
    <w:rsid w:val="00EB1100"/>
    <w:rsid w:val="00EB1236"/>
    <w:rsid w:val="00EB1348"/>
    <w:rsid w:val="00EB14D6"/>
    <w:rsid w:val="00EB1534"/>
    <w:rsid w:val="00EB156E"/>
    <w:rsid w:val="00EB1700"/>
    <w:rsid w:val="00EB17C0"/>
    <w:rsid w:val="00EB18A0"/>
    <w:rsid w:val="00EB18C8"/>
    <w:rsid w:val="00EB19B9"/>
    <w:rsid w:val="00EB1AD9"/>
    <w:rsid w:val="00EB1C84"/>
    <w:rsid w:val="00EB1CC2"/>
    <w:rsid w:val="00EB2126"/>
    <w:rsid w:val="00EB24F2"/>
    <w:rsid w:val="00EB2531"/>
    <w:rsid w:val="00EB26E0"/>
    <w:rsid w:val="00EB2B8A"/>
    <w:rsid w:val="00EB2E86"/>
    <w:rsid w:val="00EB2FD4"/>
    <w:rsid w:val="00EB30E8"/>
    <w:rsid w:val="00EB3323"/>
    <w:rsid w:val="00EB34A0"/>
    <w:rsid w:val="00EB36E4"/>
    <w:rsid w:val="00EB3830"/>
    <w:rsid w:val="00EB3B59"/>
    <w:rsid w:val="00EB3C62"/>
    <w:rsid w:val="00EB3D79"/>
    <w:rsid w:val="00EB3E81"/>
    <w:rsid w:val="00EB3ED9"/>
    <w:rsid w:val="00EB42B7"/>
    <w:rsid w:val="00EB438F"/>
    <w:rsid w:val="00EB43EF"/>
    <w:rsid w:val="00EB4417"/>
    <w:rsid w:val="00EB4558"/>
    <w:rsid w:val="00EB4835"/>
    <w:rsid w:val="00EB485F"/>
    <w:rsid w:val="00EB4961"/>
    <w:rsid w:val="00EB49C3"/>
    <w:rsid w:val="00EB4AFC"/>
    <w:rsid w:val="00EB4B41"/>
    <w:rsid w:val="00EB4B84"/>
    <w:rsid w:val="00EB4C47"/>
    <w:rsid w:val="00EB4C93"/>
    <w:rsid w:val="00EB4D13"/>
    <w:rsid w:val="00EB4D28"/>
    <w:rsid w:val="00EB4F41"/>
    <w:rsid w:val="00EB5386"/>
    <w:rsid w:val="00EB53B6"/>
    <w:rsid w:val="00EB53C4"/>
    <w:rsid w:val="00EB540C"/>
    <w:rsid w:val="00EB5536"/>
    <w:rsid w:val="00EB5823"/>
    <w:rsid w:val="00EB5902"/>
    <w:rsid w:val="00EB5B3A"/>
    <w:rsid w:val="00EB5C61"/>
    <w:rsid w:val="00EB5CE9"/>
    <w:rsid w:val="00EB5DD9"/>
    <w:rsid w:val="00EB5E0B"/>
    <w:rsid w:val="00EB6276"/>
    <w:rsid w:val="00EB62F6"/>
    <w:rsid w:val="00EB6438"/>
    <w:rsid w:val="00EB683E"/>
    <w:rsid w:val="00EB6857"/>
    <w:rsid w:val="00EB6A0B"/>
    <w:rsid w:val="00EB6D12"/>
    <w:rsid w:val="00EB6E39"/>
    <w:rsid w:val="00EB6F02"/>
    <w:rsid w:val="00EB6FBA"/>
    <w:rsid w:val="00EB71FF"/>
    <w:rsid w:val="00EB721C"/>
    <w:rsid w:val="00EB7237"/>
    <w:rsid w:val="00EB75D7"/>
    <w:rsid w:val="00EB7717"/>
    <w:rsid w:val="00EB7C0B"/>
    <w:rsid w:val="00EB7D20"/>
    <w:rsid w:val="00EB7DC9"/>
    <w:rsid w:val="00EB7EAB"/>
    <w:rsid w:val="00EB7F1E"/>
    <w:rsid w:val="00EB7F5E"/>
    <w:rsid w:val="00EC0027"/>
    <w:rsid w:val="00EC01C0"/>
    <w:rsid w:val="00EC0205"/>
    <w:rsid w:val="00EC029C"/>
    <w:rsid w:val="00EC06A0"/>
    <w:rsid w:val="00EC07EA"/>
    <w:rsid w:val="00EC0840"/>
    <w:rsid w:val="00EC084E"/>
    <w:rsid w:val="00EC08D7"/>
    <w:rsid w:val="00EC0920"/>
    <w:rsid w:val="00EC09C1"/>
    <w:rsid w:val="00EC09D7"/>
    <w:rsid w:val="00EC0A5F"/>
    <w:rsid w:val="00EC0B67"/>
    <w:rsid w:val="00EC0D73"/>
    <w:rsid w:val="00EC0E0A"/>
    <w:rsid w:val="00EC0FC3"/>
    <w:rsid w:val="00EC1155"/>
    <w:rsid w:val="00EC11A5"/>
    <w:rsid w:val="00EC1279"/>
    <w:rsid w:val="00EC16DA"/>
    <w:rsid w:val="00EC1707"/>
    <w:rsid w:val="00EC1796"/>
    <w:rsid w:val="00EC1AA5"/>
    <w:rsid w:val="00EC1B01"/>
    <w:rsid w:val="00EC1D37"/>
    <w:rsid w:val="00EC1E08"/>
    <w:rsid w:val="00EC1EA7"/>
    <w:rsid w:val="00EC1EDA"/>
    <w:rsid w:val="00EC1F01"/>
    <w:rsid w:val="00EC1F11"/>
    <w:rsid w:val="00EC1F84"/>
    <w:rsid w:val="00EC205B"/>
    <w:rsid w:val="00EC21DD"/>
    <w:rsid w:val="00EC233C"/>
    <w:rsid w:val="00EC238F"/>
    <w:rsid w:val="00EC23C5"/>
    <w:rsid w:val="00EC25E2"/>
    <w:rsid w:val="00EC2938"/>
    <w:rsid w:val="00EC297A"/>
    <w:rsid w:val="00EC2B40"/>
    <w:rsid w:val="00EC2C13"/>
    <w:rsid w:val="00EC2CD7"/>
    <w:rsid w:val="00EC2CDA"/>
    <w:rsid w:val="00EC2DED"/>
    <w:rsid w:val="00EC2DFF"/>
    <w:rsid w:val="00EC2EFF"/>
    <w:rsid w:val="00EC2F57"/>
    <w:rsid w:val="00EC2F72"/>
    <w:rsid w:val="00EC2F77"/>
    <w:rsid w:val="00EC31C9"/>
    <w:rsid w:val="00EC31F9"/>
    <w:rsid w:val="00EC32FD"/>
    <w:rsid w:val="00EC35A3"/>
    <w:rsid w:val="00EC364C"/>
    <w:rsid w:val="00EC36B9"/>
    <w:rsid w:val="00EC37B7"/>
    <w:rsid w:val="00EC3932"/>
    <w:rsid w:val="00EC3934"/>
    <w:rsid w:val="00EC3A25"/>
    <w:rsid w:val="00EC3A38"/>
    <w:rsid w:val="00EC3ACF"/>
    <w:rsid w:val="00EC3CF4"/>
    <w:rsid w:val="00EC3D91"/>
    <w:rsid w:val="00EC3DEF"/>
    <w:rsid w:val="00EC420D"/>
    <w:rsid w:val="00EC44D9"/>
    <w:rsid w:val="00EC4ADC"/>
    <w:rsid w:val="00EC4B06"/>
    <w:rsid w:val="00EC4B34"/>
    <w:rsid w:val="00EC4B69"/>
    <w:rsid w:val="00EC4E69"/>
    <w:rsid w:val="00EC4EA4"/>
    <w:rsid w:val="00EC5050"/>
    <w:rsid w:val="00EC5103"/>
    <w:rsid w:val="00EC51AF"/>
    <w:rsid w:val="00EC554B"/>
    <w:rsid w:val="00EC5647"/>
    <w:rsid w:val="00EC574A"/>
    <w:rsid w:val="00EC5A26"/>
    <w:rsid w:val="00EC5B31"/>
    <w:rsid w:val="00EC5B8C"/>
    <w:rsid w:val="00EC5C90"/>
    <w:rsid w:val="00EC5EA6"/>
    <w:rsid w:val="00EC6104"/>
    <w:rsid w:val="00EC637C"/>
    <w:rsid w:val="00EC63C2"/>
    <w:rsid w:val="00EC63D5"/>
    <w:rsid w:val="00EC6518"/>
    <w:rsid w:val="00EC6A40"/>
    <w:rsid w:val="00EC6A69"/>
    <w:rsid w:val="00EC6B80"/>
    <w:rsid w:val="00EC6D6B"/>
    <w:rsid w:val="00EC6E08"/>
    <w:rsid w:val="00EC72F7"/>
    <w:rsid w:val="00EC752A"/>
    <w:rsid w:val="00EC762F"/>
    <w:rsid w:val="00EC7809"/>
    <w:rsid w:val="00EC7A3E"/>
    <w:rsid w:val="00EC7D69"/>
    <w:rsid w:val="00EC7DE1"/>
    <w:rsid w:val="00EC7DFC"/>
    <w:rsid w:val="00EC7EAC"/>
    <w:rsid w:val="00ED003A"/>
    <w:rsid w:val="00ED010E"/>
    <w:rsid w:val="00ED019B"/>
    <w:rsid w:val="00ED01DD"/>
    <w:rsid w:val="00ED02EE"/>
    <w:rsid w:val="00ED039B"/>
    <w:rsid w:val="00ED03CF"/>
    <w:rsid w:val="00ED0620"/>
    <w:rsid w:val="00ED0657"/>
    <w:rsid w:val="00ED099D"/>
    <w:rsid w:val="00ED0D64"/>
    <w:rsid w:val="00ED0DD9"/>
    <w:rsid w:val="00ED0E6E"/>
    <w:rsid w:val="00ED0EA1"/>
    <w:rsid w:val="00ED0F17"/>
    <w:rsid w:val="00ED0F6B"/>
    <w:rsid w:val="00ED0FB8"/>
    <w:rsid w:val="00ED10FF"/>
    <w:rsid w:val="00ED11E1"/>
    <w:rsid w:val="00ED1305"/>
    <w:rsid w:val="00ED13C0"/>
    <w:rsid w:val="00ED16F1"/>
    <w:rsid w:val="00ED193A"/>
    <w:rsid w:val="00ED1DA9"/>
    <w:rsid w:val="00ED1DF8"/>
    <w:rsid w:val="00ED214E"/>
    <w:rsid w:val="00ED21DE"/>
    <w:rsid w:val="00ED2384"/>
    <w:rsid w:val="00ED2548"/>
    <w:rsid w:val="00ED25F4"/>
    <w:rsid w:val="00ED26CD"/>
    <w:rsid w:val="00ED2705"/>
    <w:rsid w:val="00ED2807"/>
    <w:rsid w:val="00ED280D"/>
    <w:rsid w:val="00ED28B6"/>
    <w:rsid w:val="00ED28B7"/>
    <w:rsid w:val="00ED28FD"/>
    <w:rsid w:val="00ED2A07"/>
    <w:rsid w:val="00ED2AB4"/>
    <w:rsid w:val="00ED2D3E"/>
    <w:rsid w:val="00ED2E22"/>
    <w:rsid w:val="00ED2F84"/>
    <w:rsid w:val="00ED307B"/>
    <w:rsid w:val="00ED307E"/>
    <w:rsid w:val="00ED30BE"/>
    <w:rsid w:val="00ED311F"/>
    <w:rsid w:val="00ED3313"/>
    <w:rsid w:val="00ED33AE"/>
    <w:rsid w:val="00ED35EC"/>
    <w:rsid w:val="00ED372C"/>
    <w:rsid w:val="00ED373A"/>
    <w:rsid w:val="00ED3A20"/>
    <w:rsid w:val="00ED3A85"/>
    <w:rsid w:val="00ED3AAF"/>
    <w:rsid w:val="00ED3EB1"/>
    <w:rsid w:val="00ED3FDE"/>
    <w:rsid w:val="00ED4037"/>
    <w:rsid w:val="00ED4055"/>
    <w:rsid w:val="00ED40A0"/>
    <w:rsid w:val="00ED40F1"/>
    <w:rsid w:val="00ED4439"/>
    <w:rsid w:val="00ED466B"/>
    <w:rsid w:val="00ED4681"/>
    <w:rsid w:val="00ED4836"/>
    <w:rsid w:val="00ED4A8C"/>
    <w:rsid w:val="00ED4BB5"/>
    <w:rsid w:val="00ED4C28"/>
    <w:rsid w:val="00ED4C37"/>
    <w:rsid w:val="00ED4C41"/>
    <w:rsid w:val="00ED4D08"/>
    <w:rsid w:val="00ED4D1A"/>
    <w:rsid w:val="00ED4DD8"/>
    <w:rsid w:val="00ED4E36"/>
    <w:rsid w:val="00ED4F3A"/>
    <w:rsid w:val="00ED4FA1"/>
    <w:rsid w:val="00ED52A9"/>
    <w:rsid w:val="00ED53CA"/>
    <w:rsid w:val="00ED54F2"/>
    <w:rsid w:val="00ED5502"/>
    <w:rsid w:val="00ED590E"/>
    <w:rsid w:val="00ED59C0"/>
    <w:rsid w:val="00ED59E7"/>
    <w:rsid w:val="00ED5D67"/>
    <w:rsid w:val="00ED5E8E"/>
    <w:rsid w:val="00ED5FE8"/>
    <w:rsid w:val="00ED61D0"/>
    <w:rsid w:val="00ED6388"/>
    <w:rsid w:val="00ED63B5"/>
    <w:rsid w:val="00ED64E5"/>
    <w:rsid w:val="00ED662F"/>
    <w:rsid w:val="00ED6915"/>
    <w:rsid w:val="00ED6C0F"/>
    <w:rsid w:val="00ED6C71"/>
    <w:rsid w:val="00ED6C9E"/>
    <w:rsid w:val="00ED6EAD"/>
    <w:rsid w:val="00ED6F98"/>
    <w:rsid w:val="00ED7011"/>
    <w:rsid w:val="00ED70E6"/>
    <w:rsid w:val="00ED7213"/>
    <w:rsid w:val="00ED7247"/>
    <w:rsid w:val="00ED76A6"/>
    <w:rsid w:val="00ED776B"/>
    <w:rsid w:val="00ED7792"/>
    <w:rsid w:val="00ED7841"/>
    <w:rsid w:val="00ED784E"/>
    <w:rsid w:val="00ED789F"/>
    <w:rsid w:val="00ED7967"/>
    <w:rsid w:val="00ED7A7D"/>
    <w:rsid w:val="00ED7E91"/>
    <w:rsid w:val="00EE013C"/>
    <w:rsid w:val="00EE02DB"/>
    <w:rsid w:val="00EE02DE"/>
    <w:rsid w:val="00EE0463"/>
    <w:rsid w:val="00EE0480"/>
    <w:rsid w:val="00EE062C"/>
    <w:rsid w:val="00EE06F6"/>
    <w:rsid w:val="00EE070F"/>
    <w:rsid w:val="00EE076B"/>
    <w:rsid w:val="00EE079B"/>
    <w:rsid w:val="00EE0AF8"/>
    <w:rsid w:val="00EE0B2D"/>
    <w:rsid w:val="00EE0C18"/>
    <w:rsid w:val="00EE0CC8"/>
    <w:rsid w:val="00EE0D4A"/>
    <w:rsid w:val="00EE0DE9"/>
    <w:rsid w:val="00EE0E95"/>
    <w:rsid w:val="00EE103C"/>
    <w:rsid w:val="00EE11E9"/>
    <w:rsid w:val="00EE12F8"/>
    <w:rsid w:val="00EE14E8"/>
    <w:rsid w:val="00EE1576"/>
    <w:rsid w:val="00EE1816"/>
    <w:rsid w:val="00EE1899"/>
    <w:rsid w:val="00EE1901"/>
    <w:rsid w:val="00EE193B"/>
    <w:rsid w:val="00EE1A15"/>
    <w:rsid w:val="00EE1A55"/>
    <w:rsid w:val="00EE1D45"/>
    <w:rsid w:val="00EE1DB3"/>
    <w:rsid w:val="00EE1E6D"/>
    <w:rsid w:val="00EE1FB9"/>
    <w:rsid w:val="00EE2377"/>
    <w:rsid w:val="00EE2396"/>
    <w:rsid w:val="00EE241F"/>
    <w:rsid w:val="00EE2545"/>
    <w:rsid w:val="00EE270E"/>
    <w:rsid w:val="00EE2A46"/>
    <w:rsid w:val="00EE2A71"/>
    <w:rsid w:val="00EE2B81"/>
    <w:rsid w:val="00EE2C8C"/>
    <w:rsid w:val="00EE2C9C"/>
    <w:rsid w:val="00EE2CFE"/>
    <w:rsid w:val="00EE2DAC"/>
    <w:rsid w:val="00EE2F6B"/>
    <w:rsid w:val="00EE3019"/>
    <w:rsid w:val="00EE3155"/>
    <w:rsid w:val="00EE32BD"/>
    <w:rsid w:val="00EE34AF"/>
    <w:rsid w:val="00EE399B"/>
    <w:rsid w:val="00EE3A3E"/>
    <w:rsid w:val="00EE3B87"/>
    <w:rsid w:val="00EE3DBD"/>
    <w:rsid w:val="00EE3DC1"/>
    <w:rsid w:val="00EE3E0A"/>
    <w:rsid w:val="00EE3FF9"/>
    <w:rsid w:val="00EE4005"/>
    <w:rsid w:val="00EE4015"/>
    <w:rsid w:val="00EE4079"/>
    <w:rsid w:val="00EE414D"/>
    <w:rsid w:val="00EE41B8"/>
    <w:rsid w:val="00EE4255"/>
    <w:rsid w:val="00EE4280"/>
    <w:rsid w:val="00EE42E2"/>
    <w:rsid w:val="00EE433A"/>
    <w:rsid w:val="00EE443C"/>
    <w:rsid w:val="00EE4559"/>
    <w:rsid w:val="00EE4693"/>
    <w:rsid w:val="00EE4942"/>
    <w:rsid w:val="00EE4A6D"/>
    <w:rsid w:val="00EE4C06"/>
    <w:rsid w:val="00EE4CC4"/>
    <w:rsid w:val="00EE4F6C"/>
    <w:rsid w:val="00EE51F7"/>
    <w:rsid w:val="00EE5C15"/>
    <w:rsid w:val="00EE5C60"/>
    <w:rsid w:val="00EE5CAE"/>
    <w:rsid w:val="00EE5CC3"/>
    <w:rsid w:val="00EE5EE2"/>
    <w:rsid w:val="00EE5FE5"/>
    <w:rsid w:val="00EE60B3"/>
    <w:rsid w:val="00EE612F"/>
    <w:rsid w:val="00EE6717"/>
    <w:rsid w:val="00EE67D6"/>
    <w:rsid w:val="00EE686A"/>
    <w:rsid w:val="00EE6BBB"/>
    <w:rsid w:val="00EE6CA7"/>
    <w:rsid w:val="00EE6DBF"/>
    <w:rsid w:val="00EE6F11"/>
    <w:rsid w:val="00EE6F7A"/>
    <w:rsid w:val="00EE7214"/>
    <w:rsid w:val="00EE725E"/>
    <w:rsid w:val="00EE73F0"/>
    <w:rsid w:val="00EE7406"/>
    <w:rsid w:val="00EE76DC"/>
    <w:rsid w:val="00EE7806"/>
    <w:rsid w:val="00EE785A"/>
    <w:rsid w:val="00EE7A07"/>
    <w:rsid w:val="00EE7A37"/>
    <w:rsid w:val="00EE7CE0"/>
    <w:rsid w:val="00EE7CE2"/>
    <w:rsid w:val="00EE7E66"/>
    <w:rsid w:val="00EE7F3E"/>
    <w:rsid w:val="00EF0182"/>
    <w:rsid w:val="00EF03D0"/>
    <w:rsid w:val="00EF04D7"/>
    <w:rsid w:val="00EF0537"/>
    <w:rsid w:val="00EF06AE"/>
    <w:rsid w:val="00EF0794"/>
    <w:rsid w:val="00EF07A6"/>
    <w:rsid w:val="00EF07E7"/>
    <w:rsid w:val="00EF08B5"/>
    <w:rsid w:val="00EF096A"/>
    <w:rsid w:val="00EF098C"/>
    <w:rsid w:val="00EF0A53"/>
    <w:rsid w:val="00EF0B91"/>
    <w:rsid w:val="00EF0E8D"/>
    <w:rsid w:val="00EF0EE9"/>
    <w:rsid w:val="00EF10B2"/>
    <w:rsid w:val="00EF1121"/>
    <w:rsid w:val="00EF124C"/>
    <w:rsid w:val="00EF13D2"/>
    <w:rsid w:val="00EF147C"/>
    <w:rsid w:val="00EF1505"/>
    <w:rsid w:val="00EF1662"/>
    <w:rsid w:val="00EF1995"/>
    <w:rsid w:val="00EF1B05"/>
    <w:rsid w:val="00EF1D47"/>
    <w:rsid w:val="00EF1F0B"/>
    <w:rsid w:val="00EF1F46"/>
    <w:rsid w:val="00EF1FCE"/>
    <w:rsid w:val="00EF2006"/>
    <w:rsid w:val="00EF20CD"/>
    <w:rsid w:val="00EF22D6"/>
    <w:rsid w:val="00EF22EB"/>
    <w:rsid w:val="00EF2358"/>
    <w:rsid w:val="00EF23AB"/>
    <w:rsid w:val="00EF24B0"/>
    <w:rsid w:val="00EF28C6"/>
    <w:rsid w:val="00EF2979"/>
    <w:rsid w:val="00EF2983"/>
    <w:rsid w:val="00EF2BD5"/>
    <w:rsid w:val="00EF2EAB"/>
    <w:rsid w:val="00EF30C4"/>
    <w:rsid w:val="00EF339A"/>
    <w:rsid w:val="00EF339B"/>
    <w:rsid w:val="00EF344E"/>
    <w:rsid w:val="00EF34B0"/>
    <w:rsid w:val="00EF35C7"/>
    <w:rsid w:val="00EF3842"/>
    <w:rsid w:val="00EF3B2C"/>
    <w:rsid w:val="00EF3C0D"/>
    <w:rsid w:val="00EF3C1E"/>
    <w:rsid w:val="00EF41D7"/>
    <w:rsid w:val="00EF43C0"/>
    <w:rsid w:val="00EF43FD"/>
    <w:rsid w:val="00EF45DB"/>
    <w:rsid w:val="00EF487D"/>
    <w:rsid w:val="00EF49BF"/>
    <w:rsid w:val="00EF49C7"/>
    <w:rsid w:val="00EF49F7"/>
    <w:rsid w:val="00EF4AF9"/>
    <w:rsid w:val="00EF4C4B"/>
    <w:rsid w:val="00EF4D54"/>
    <w:rsid w:val="00EF4F39"/>
    <w:rsid w:val="00EF4F4D"/>
    <w:rsid w:val="00EF500D"/>
    <w:rsid w:val="00EF515D"/>
    <w:rsid w:val="00EF5181"/>
    <w:rsid w:val="00EF525B"/>
    <w:rsid w:val="00EF534A"/>
    <w:rsid w:val="00EF5484"/>
    <w:rsid w:val="00EF55C5"/>
    <w:rsid w:val="00EF562C"/>
    <w:rsid w:val="00EF5739"/>
    <w:rsid w:val="00EF5988"/>
    <w:rsid w:val="00EF5A32"/>
    <w:rsid w:val="00EF5B0E"/>
    <w:rsid w:val="00EF5B77"/>
    <w:rsid w:val="00EF5DCE"/>
    <w:rsid w:val="00EF627E"/>
    <w:rsid w:val="00EF62D5"/>
    <w:rsid w:val="00EF630B"/>
    <w:rsid w:val="00EF63BA"/>
    <w:rsid w:val="00EF664B"/>
    <w:rsid w:val="00EF66CA"/>
    <w:rsid w:val="00EF66F7"/>
    <w:rsid w:val="00EF6757"/>
    <w:rsid w:val="00EF6B08"/>
    <w:rsid w:val="00EF7433"/>
    <w:rsid w:val="00EF7975"/>
    <w:rsid w:val="00EF7CCB"/>
    <w:rsid w:val="00EF7D2C"/>
    <w:rsid w:val="00EF7E79"/>
    <w:rsid w:val="00F00073"/>
    <w:rsid w:val="00F0013A"/>
    <w:rsid w:val="00F001E0"/>
    <w:rsid w:val="00F00250"/>
    <w:rsid w:val="00F0040E"/>
    <w:rsid w:val="00F00548"/>
    <w:rsid w:val="00F0072A"/>
    <w:rsid w:val="00F0073F"/>
    <w:rsid w:val="00F00775"/>
    <w:rsid w:val="00F008CE"/>
    <w:rsid w:val="00F00ADA"/>
    <w:rsid w:val="00F00BCB"/>
    <w:rsid w:val="00F00D3A"/>
    <w:rsid w:val="00F00DE6"/>
    <w:rsid w:val="00F00E29"/>
    <w:rsid w:val="00F00E71"/>
    <w:rsid w:val="00F00EDF"/>
    <w:rsid w:val="00F00EE4"/>
    <w:rsid w:val="00F00F5C"/>
    <w:rsid w:val="00F01171"/>
    <w:rsid w:val="00F012F7"/>
    <w:rsid w:val="00F0134B"/>
    <w:rsid w:val="00F01367"/>
    <w:rsid w:val="00F013F5"/>
    <w:rsid w:val="00F01673"/>
    <w:rsid w:val="00F016B4"/>
    <w:rsid w:val="00F0183E"/>
    <w:rsid w:val="00F018A3"/>
    <w:rsid w:val="00F01C5D"/>
    <w:rsid w:val="00F01D80"/>
    <w:rsid w:val="00F01F8F"/>
    <w:rsid w:val="00F02105"/>
    <w:rsid w:val="00F02170"/>
    <w:rsid w:val="00F023B6"/>
    <w:rsid w:val="00F0249E"/>
    <w:rsid w:val="00F026F7"/>
    <w:rsid w:val="00F02729"/>
    <w:rsid w:val="00F027B9"/>
    <w:rsid w:val="00F02A88"/>
    <w:rsid w:val="00F02ABC"/>
    <w:rsid w:val="00F02B6D"/>
    <w:rsid w:val="00F02CE3"/>
    <w:rsid w:val="00F02DAF"/>
    <w:rsid w:val="00F02DC6"/>
    <w:rsid w:val="00F02EBE"/>
    <w:rsid w:val="00F02F13"/>
    <w:rsid w:val="00F02F47"/>
    <w:rsid w:val="00F02F9B"/>
    <w:rsid w:val="00F031C4"/>
    <w:rsid w:val="00F032E2"/>
    <w:rsid w:val="00F03330"/>
    <w:rsid w:val="00F03381"/>
    <w:rsid w:val="00F033C1"/>
    <w:rsid w:val="00F033C4"/>
    <w:rsid w:val="00F03659"/>
    <w:rsid w:val="00F03807"/>
    <w:rsid w:val="00F0385E"/>
    <w:rsid w:val="00F03890"/>
    <w:rsid w:val="00F038EA"/>
    <w:rsid w:val="00F039D4"/>
    <w:rsid w:val="00F03A1C"/>
    <w:rsid w:val="00F03BA2"/>
    <w:rsid w:val="00F03C22"/>
    <w:rsid w:val="00F03C3C"/>
    <w:rsid w:val="00F03C8D"/>
    <w:rsid w:val="00F03CF5"/>
    <w:rsid w:val="00F04056"/>
    <w:rsid w:val="00F04131"/>
    <w:rsid w:val="00F04189"/>
    <w:rsid w:val="00F041C6"/>
    <w:rsid w:val="00F04361"/>
    <w:rsid w:val="00F043A0"/>
    <w:rsid w:val="00F0443E"/>
    <w:rsid w:val="00F044DF"/>
    <w:rsid w:val="00F044F7"/>
    <w:rsid w:val="00F04531"/>
    <w:rsid w:val="00F04848"/>
    <w:rsid w:val="00F049C5"/>
    <w:rsid w:val="00F04AEA"/>
    <w:rsid w:val="00F04CA5"/>
    <w:rsid w:val="00F04D9D"/>
    <w:rsid w:val="00F04E0E"/>
    <w:rsid w:val="00F04EE6"/>
    <w:rsid w:val="00F04F9A"/>
    <w:rsid w:val="00F05079"/>
    <w:rsid w:val="00F0514E"/>
    <w:rsid w:val="00F0515A"/>
    <w:rsid w:val="00F051DA"/>
    <w:rsid w:val="00F0530E"/>
    <w:rsid w:val="00F05628"/>
    <w:rsid w:val="00F0589D"/>
    <w:rsid w:val="00F058ED"/>
    <w:rsid w:val="00F05BB0"/>
    <w:rsid w:val="00F05D46"/>
    <w:rsid w:val="00F05DBC"/>
    <w:rsid w:val="00F05EC3"/>
    <w:rsid w:val="00F05F9A"/>
    <w:rsid w:val="00F06196"/>
    <w:rsid w:val="00F062D3"/>
    <w:rsid w:val="00F0655E"/>
    <w:rsid w:val="00F06585"/>
    <w:rsid w:val="00F066D6"/>
    <w:rsid w:val="00F06C53"/>
    <w:rsid w:val="00F06DCB"/>
    <w:rsid w:val="00F07008"/>
    <w:rsid w:val="00F07012"/>
    <w:rsid w:val="00F0712A"/>
    <w:rsid w:val="00F0764F"/>
    <w:rsid w:val="00F07656"/>
    <w:rsid w:val="00F07668"/>
    <w:rsid w:val="00F077C0"/>
    <w:rsid w:val="00F07802"/>
    <w:rsid w:val="00F0783C"/>
    <w:rsid w:val="00F078BB"/>
    <w:rsid w:val="00F079AD"/>
    <w:rsid w:val="00F07AA8"/>
    <w:rsid w:val="00F07AD9"/>
    <w:rsid w:val="00F07CF2"/>
    <w:rsid w:val="00F07EA6"/>
    <w:rsid w:val="00F07EB5"/>
    <w:rsid w:val="00F1012E"/>
    <w:rsid w:val="00F1012F"/>
    <w:rsid w:val="00F101F0"/>
    <w:rsid w:val="00F101FB"/>
    <w:rsid w:val="00F10212"/>
    <w:rsid w:val="00F102DC"/>
    <w:rsid w:val="00F10373"/>
    <w:rsid w:val="00F10395"/>
    <w:rsid w:val="00F103CA"/>
    <w:rsid w:val="00F10518"/>
    <w:rsid w:val="00F106A8"/>
    <w:rsid w:val="00F10865"/>
    <w:rsid w:val="00F109BD"/>
    <w:rsid w:val="00F10AA5"/>
    <w:rsid w:val="00F10ABE"/>
    <w:rsid w:val="00F10C16"/>
    <w:rsid w:val="00F10D4C"/>
    <w:rsid w:val="00F10E2E"/>
    <w:rsid w:val="00F10FC9"/>
    <w:rsid w:val="00F11057"/>
    <w:rsid w:val="00F11164"/>
    <w:rsid w:val="00F11172"/>
    <w:rsid w:val="00F1131E"/>
    <w:rsid w:val="00F113E5"/>
    <w:rsid w:val="00F11973"/>
    <w:rsid w:val="00F11979"/>
    <w:rsid w:val="00F11BA6"/>
    <w:rsid w:val="00F11CED"/>
    <w:rsid w:val="00F11D7E"/>
    <w:rsid w:val="00F11E47"/>
    <w:rsid w:val="00F11F15"/>
    <w:rsid w:val="00F1208E"/>
    <w:rsid w:val="00F1246F"/>
    <w:rsid w:val="00F124A7"/>
    <w:rsid w:val="00F1251B"/>
    <w:rsid w:val="00F12705"/>
    <w:rsid w:val="00F1272C"/>
    <w:rsid w:val="00F128EA"/>
    <w:rsid w:val="00F12A11"/>
    <w:rsid w:val="00F12B4D"/>
    <w:rsid w:val="00F12BEC"/>
    <w:rsid w:val="00F12C60"/>
    <w:rsid w:val="00F12DDD"/>
    <w:rsid w:val="00F12FC3"/>
    <w:rsid w:val="00F1300E"/>
    <w:rsid w:val="00F13015"/>
    <w:rsid w:val="00F131F6"/>
    <w:rsid w:val="00F13275"/>
    <w:rsid w:val="00F13340"/>
    <w:rsid w:val="00F13508"/>
    <w:rsid w:val="00F13532"/>
    <w:rsid w:val="00F13719"/>
    <w:rsid w:val="00F1389F"/>
    <w:rsid w:val="00F138D1"/>
    <w:rsid w:val="00F1393E"/>
    <w:rsid w:val="00F13B46"/>
    <w:rsid w:val="00F13B51"/>
    <w:rsid w:val="00F13CDC"/>
    <w:rsid w:val="00F13E83"/>
    <w:rsid w:val="00F13FA3"/>
    <w:rsid w:val="00F142BB"/>
    <w:rsid w:val="00F14307"/>
    <w:rsid w:val="00F143EF"/>
    <w:rsid w:val="00F14596"/>
    <w:rsid w:val="00F145E6"/>
    <w:rsid w:val="00F1482A"/>
    <w:rsid w:val="00F148DC"/>
    <w:rsid w:val="00F14920"/>
    <w:rsid w:val="00F14965"/>
    <w:rsid w:val="00F14C01"/>
    <w:rsid w:val="00F14F97"/>
    <w:rsid w:val="00F15041"/>
    <w:rsid w:val="00F151A3"/>
    <w:rsid w:val="00F15238"/>
    <w:rsid w:val="00F156B9"/>
    <w:rsid w:val="00F1592C"/>
    <w:rsid w:val="00F1597E"/>
    <w:rsid w:val="00F15A25"/>
    <w:rsid w:val="00F15A52"/>
    <w:rsid w:val="00F15A58"/>
    <w:rsid w:val="00F15A9C"/>
    <w:rsid w:val="00F15BED"/>
    <w:rsid w:val="00F15C4A"/>
    <w:rsid w:val="00F15C7C"/>
    <w:rsid w:val="00F15CB4"/>
    <w:rsid w:val="00F15CB8"/>
    <w:rsid w:val="00F15D01"/>
    <w:rsid w:val="00F15EA4"/>
    <w:rsid w:val="00F15EED"/>
    <w:rsid w:val="00F16229"/>
    <w:rsid w:val="00F1625D"/>
    <w:rsid w:val="00F16310"/>
    <w:rsid w:val="00F1635D"/>
    <w:rsid w:val="00F1636B"/>
    <w:rsid w:val="00F1652B"/>
    <w:rsid w:val="00F1654A"/>
    <w:rsid w:val="00F16591"/>
    <w:rsid w:val="00F166EE"/>
    <w:rsid w:val="00F169A6"/>
    <w:rsid w:val="00F16C22"/>
    <w:rsid w:val="00F16C4F"/>
    <w:rsid w:val="00F16CF5"/>
    <w:rsid w:val="00F16DAF"/>
    <w:rsid w:val="00F16EBE"/>
    <w:rsid w:val="00F16FD7"/>
    <w:rsid w:val="00F17003"/>
    <w:rsid w:val="00F17231"/>
    <w:rsid w:val="00F1727B"/>
    <w:rsid w:val="00F172B0"/>
    <w:rsid w:val="00F174A3"/>
    <w:rsid w:val="00F1799C"/>
    <w:rsid w:val="00F17BA5"/>
    <w:rsid w:val="00F17BE6"/>
    <w:rsid w:val="00F17C3B"/>
    <w:rsid w:val="00F17C76"/>
    <w:rsid w:val="00F17D15"/>
    <w:rsid w:val="00F17D42"/>
    <w:rsid w:val="00F17EC5"/>
    <w:rsid w:val="00F17F6A"/>
    <w:rsid w:val="00F17FEF"/>
    <w:rsid w:val="00F200F7"/>
    <w:rsid w:val="00F202E4"/>
    <w:rsid w:val="00F20793"/>
    <w:rsid w:val="00F207D1"/>
    <w:rsid w:val="00F20849"/>
    <w:rsid w:val="00F2092F"/>
    <w:rsid w:val="00F209D1"/>
    <w:rsid w:val="00F20BA5"/>
    <w:rsid w:val="00F20BDB"/>
    <w:rsid w:val="00F211A8"/>
    <w:rsid w:val="00F212AC"/>
    <w:rsid w:val="00F21326"/>
    <w:rsid w:val="00F21346"/>
    <w:rsid w:val="00F214AA"/>
    <w:rsid w:val="00F21819"/>
    <w:rsid w:val="00F218A8"/>
    <w:rsid w:val="00F218B1"/>
    <w:rsid w:val="00F2193E"/>
    <w:rsid w:val="00F21BE3"/>
    <w:rsid w:val="00F21D50"/>
    <w:rsid w:val="00F21EF1"/>
    <w:rsid w:val="00F21F0A"/>
    <w:rsid w:val="00F21FB3"/>
    <w:rsid w:val="00F221A4"/>
    <w:rsid w:val="00F2230C"/>
    <w:rsid w:val="00F22455"/>
    <w:rsid w:val="00F224BC"/>
    <w:rsid w:val="00F2251E"/>
    <w:rsid w:val="00F2261C"/>
    <w:rsid w:val="00F2288C"/>
    <w:rsid w:val="00F22998"/>
    <w:rsid w:val="00F22E07"/>
    <w:rsid w:val="00F22F3D"/>
    <w:rsid w:val="00F22FB9"/>
    <w:rsid w:val="00F230B8"/>
    <w:rsid w:val="00F23323"/>
    <w:rsid w:val="00F23631"/>
    <w:rsid w:val="00F23639"/>
    <w:rsid w:val="00F236EA"/>
    <w:rsid w:val="00F23738"/>
    <w:rsid w:val="00F23753"/>
    <w:rsid w:val="00F23A84"/>
    <w:rsid w:val="00F23BB4"/>
    <w:rsid w:val="00F23C30"/>
    <w:rsid w:val="00F23C82"/>
    <w:rsid w:val="00F23CC6"/>
    <w:rsid w:val="00F23DFD"/>
    <w:rsid w:val="00F23E35"/>
    <w:rsid w:val="00F23F37"/>
    <w:rsid w:val="00F23F85"/>
    <w:rsid w:val="00F24030"/>
    <w:rsid w:val="00F2410A"/>
    <w:rsid w:val="00F2419B"/>
    <w:rsid w:val="00F24212"/>
    <w:rsid w:val="00F24278"/>
    <w:rsid w:val="00F242B4"/>
    <w:rsid w:val="00F2464B"/>
    <w:rsid w:val="00F246B1"/>
    <w:rsid w:val="00F247E8"/>
    <w:rsid w:val="00F24836"/>
    <w:rsid w:val="00F24A91"/>
    <w:rsid w:val="00F24AE0"/>
    <w:rsid w:val="00F24B15"/>
    <w:rsid w:val="00F24EC7"/>
    <w:rsid w:val="00F251FA"/>
    <w:rsid w:val="00F254F7"/>
    <w:rsid w:val="00F2555D"/>
    <w:rsid w:val="00F255B7"/>
    <w:rsid w:val="00F25942"/>
    <w:rsid w:val="00F259A5"/>
    <w:rsid w:val="00F259BD"/>
    <w:rsid w:val="00F25A46"/>
    <w:rsid w:val="00F25A7F"/>
    <w:rsid w:val="00F25AA6"/>
    <w:rsid w:val="00F25AA7"/>
    <w:rsid w:val="00F25C03"/>
    <w:rsid w:val="00F25CA2"/>
    <w:rsid w:val="00F25DAA"/>
    <w:rsid w:val="00F25E91"/>
    <w:rsid w:val="00F25F9A"/>
    <w:rsid w:val="00F26017"/>
    <w:rsid w:val="00F2608F"/>
    <w:rsid w:val="00F262CC"/>
    <w:rsid w:val="00F263B5"/>
    <w:rsid w:val="00F26581"/>
    <w:rsid w:val="00F26739"/>
    <w:rsid w:val="00F26770"/>
    <w:rsid w:val="00F26782"/>
    <w:rsid w:val="00F26795"/>
    <w:rsid w:val="00F267DE"/>
    <w:rsid w:val="00F268B3"/>
    <w:rsid w:val="00F269C4"/>
    <w:rsid w:val="00F269F8"/>
    <w:rsid w:val="00F26BCB"/>
    <w:rsid w:val="00F26C62"/>
    <w:rsid w:val="00F26E20"/>
    <w:rsid w:val="00F26E5F"/>
    <w:rsid w:val="00F2708F"/>
    <w:rsid w:val="00F270A9"/>
    <w:rsid w:val="00F270FD"/>
    <w:rsid w:val="00F27109"/>
    <w:rsid w:val="00F27114"/>
    <w:rsid w:val="00F272D9"/>
    <w:rsid w:val="00F27594"/>
    <w:rsid w:val="00F27752"/>
    <w:rsid w:val="00F27874"/>
    <w:rsid w:val="00F278A9"/>
    <w:rsid w:val="00F279FD"/>
    <w:rsid w:val="00F27A80"/>
    <w:rsid w:val="00F27B05"/>
    <w:rsid w:val="00F27BA7"/>
    <w:rsid w:val="00F27F46"/>
    <w:rsid w:val="00F27FB3"/>
    <w:rsid w:val="00F3004D"/>
    <w:rsid w:val="00F30263"/>
    <w:rsid w:val="00F3047B"/>
    <w:rsid w:val="00F3051B"/>
    <w:rsid w:val="00F306E4"/>
    <w:rsid w:val="00F3076B"/>
    <w:rsid w:val="00F307BA"/>
    <w:rsid w:val="00F3095F"/>
    <w:rsid w:val="00F30972"/>
    <w:rsid w:val="00F30B09"/>
    <w:rsid w:val="00F30B26"/>
    <w:rsid w:val="00F30B6F"/>
    <w:rsid w:val="00F30C04"/>
    <w:rsid w:val="00F30CC1"/>
    <w:rsid w:val="00F30FDD"/>
    <w:rsid w:val="00F310CD"/>
    <w:rsid w:val="00F31194"/>
    <w:rsid w:val="00F31298"/>
    <w:rsid w:val="00F3139A"/>
    <w:rsid w:val="00F313D7"/>
    <w:rsid w:val="00F3145A"/>
    <w:rsid w:val="00F314DE"/>
    <w:rsid w:val="00F31566"/>
    <w:rsid w:val="00F3176C"/>
    <w:rsid w:val="00F317AA"/>
    <w:rsid w:val="00F31AE4"/>
    <w:rsid w:val="00F31BDA"/>
    <w:rsid w:val="00F31DC9"/>
    <w:rsid w:val="00F31F1B"/>
    <w:rsid w:val="00F3226B"/>
    <w:rsid w:val="00F322D1"/>
    <w:rsid w:val="00F32318"/>
    <w:rsid w:val="00F32440"/>
    <w:rsid w:val="00F32448"/>
    <w:rsid w:val="00F324CA"/>
    <w:rsid w:val="00F324E2"/>
    <w:rsid w:val="00F32502"/>
    <w:rsid w:val="00F325A1"/>
    <w:rsid w:val="00F32646"/>
    <w:rsid w:val="00F32653"/>
    <w:rsid w:val="00F326E6"/>
    <w:rsid w:val="00F32957"/>
    <w:rsid w:val="00F32A9E"/>
    <w:rsid w:val="00F32B63"/>
    <w:rsid w:val="00F32B8B"/>
    <w:rsid w:val="00F32D47"/>
    <w:rsid w:val="00F32E22"/>
    <w:rsid w:val="00F32E31"/>
    <w:rsid w:val="00F32F80"/>
    <w:rsid w:val="00F32FB2"/>
    <w:rsid w:val="00F330D4"/>
    <w:rsid w:val="00F3311B"/>
    <w:rsid w:val="00F33291"/>
    <w:rsid w:val="00F333A5"/>
    <w:rsid w:val="00F33527"/>
    <w:rsid w:val="00F33BB6"/>
    <w:rsid w:val="00F33C00"/>
    <w:rsid w:val="00F33C4B"/>
    <w:rsid w:val="00F33DF3"/>
    <w:rsid w:val="00F33E28"/>
    <w:rsid w:val="00F33F77"/>
    <w:rsid w:val="00F34157"/>
    <w:rsid w:val="00F3415C"/>
    <w:rsid w:val="00F34247"/>
    <w:rsid w:val="00F34673"/>
    <w:rsid w:val="00F3475B"/>
    <w:rsid w:val="00F347CB"/>
    <w:rsid w:val="00F3481C"/>
    <w:rsid w:val="00F34B66"/>
    <w:rsid w:val="00F34C24"/>
    <w:rsid w:val="00F34CCD"/>
    <w:rsid w:val="00F34E31"/>
    <w:rsid w:val="00F34F59"/>
    <w:rsid w:val="00F34F77"/>
    <w:rsid w:val="00F35066"/>
    <w:rsid w:val="00F350E3"/>
    <w:rsid w:val="00F35255"/>
    <w:rsid w:val="00F3528B"/>
    <w:rsid w:val="00F352ED"/>
    <w:rsid w:val="00F35392"/>
    <w:rsid w:val="00F3559A"/>
    <w:rsid w:val="00F35670"/>
    <w:rsid w:val="00F35677"/>
    <w:rsid w:val="00F356AB"/>
    <w:rsid w:val="00F3579B"/>
    <w:rsid w:val="00F357A3"/>
    <w:rsid w:val="00F35847"/>
    <w:rsid w:val="00F35911"/>
    <w:rsid w:val="00F3597D"/>
    <w:rsid w:val="00F35D8C"/>
    <w:rsid w:val="00F35EA2"/>
    <w:rsid w:val="00F35F5B"/>
    <w:rsid w:val="00F35FAE"/>
    <w:rsid w:val="00F3608D"/>
    <w:rsid w:val="00F36148"/>
    <w:rsid w:val="00F3619E"/>
    <w:rsid w:val="00F362FA"/>
    <w:rsid w:val="00F36474"/>
    <w:rsid w:val="00F3649A"/>
    <w:rsid w:val="00F365D0"/>
    <w:rsid w:val="00F3671B"/>
    <w:rsid w:val="00F3692F"/>
    <w:rsid w:val="00F36A4A"/>
    <w:rsid w:val="00F36B29"/>
    <w:rsid w:val="00F36B2A"/>
    <w:rsid w:val="00F36C72"/>
    <w:rsid w:val="00F3763E"/>
    <w:rsid w:val="00F37A17"/>
    <w:rsid w:val="00F37A9E"/>
    <w:rsid w:val="00F37B8D"/>
    <w:rsid w:val="00F37D9E"/>
    <w:rsid w:val="00F37FE1"/>
    <w:rsid w:val="00F405B7"/>
    <w:rsid w:val="00F405DC"/>
    <w:rsid w:val="00F406AA"/>
    <w:rsid w:val="00F4084D"/>
    <w:rsid w:val="00F4087E"/>
    <w:rsid w:val="00F408A0"/>
    <w:rsid w:val="00F4092B"/>
    <w:rsid w:val="00F40A2B"/>
    <w:rsid w:val="00F40C5E"/>
    <w:rsid w:val="00F40E9A"/>
    <w:rsid w:val="00F40EC9"/>
    <w:rsid w:val="00F40FAA"/>
    <w:rsid w:val="00F4116D"/>
    <w:rsid w:val="00F411B2"/>
    <w:rsid w:val="00F41258"/>
    <w:rsid w:val="00F4125F"/>
    <w:rsid w:val="00F41B68"/>
    <w:rsid w:val="00F41C2B"/>
    <w:rsid w:val="00F41C35"/>
    <w:rsid w:val="00F41DA4"/>
    <w:rsid w:val="00F41DF1"/>
    <w:rsid w:val="00F41F6E"/>
    <w:rsid w:val="00F4213F"/>
    <w:rsid w:val="00F4251B"/>
    <w:rsid w:val="00F4251E"/>
    <w:rsid w:val="00F42847"/>
    <w:rsid w:val="00F42A1E"/>
    <w:rsid w:val="00F42A90"/>
    <w:rsid w:val="00F42B21"/>
    <w:rsid w:val="00F42CAE"/>
    <w:rsid w:val="00F42DBE"/>
    <w:rsid w:val="00F42E00"/>
    <w:rsid w:val="00F42F79"/>
    <w:rsid w:val="00F42F87"/>
    <w:rsid w:val="00F42F99"/>
    <w:rsid w:val="00F43165"/>
    <w:rsid w:val="00F4321F"/>
    <w:rsid w:val="00F43294"/>
    <w:rsid w:val="00F432F2"/>
    <w:rsid w:val="00F43404"/>
    <w:rsid w:val="00F43684"/>
    <w:rsid w:val="00F43746"/>
    <w:rsid w:val="00F43824"/>
    <w:rsid w:val="00F4387E"/>
    <w:rsid w:val="00F43905"/>
    <w:rsid w:val="00F43959"/>
    <w:rsid w:val="00F43983"/>
    <w:rsid w:val="00F43999"/>
    <w:rsid w:val="00F43A83"/>
    <w:rsid w:val="00F43B79"/>
    <w:rsid w:val="00F43CF4"/>
    <w:rsid w:val="00F43D1B"/>
    <w:rsid w:val="00F43F7D"/>
    <w:rsid w:val="00F43FD2"/>
    <w:rsid w:val="00F4434F"/>
    <w:rsid w:val="00F44354"/>
    <w:rsid w:val="00F443B5"/>
    <w:rsid w:val="00F4448F"/>
    <w:rsid w:val="00F4450C"/>
    <w:rsid w:val="00F4454E"/>
    <w:rsid w:val="00F4459C"/>
    <w:rsid w:val="00F447E8"/>
    <w:rsid w:val="00F44ABC"/>
    <w:rsid w:val="00F44BB9"/>
    <w:rsid w:val="00F44E32"/>
    <w:rsid w:val="00F44E82"/>
    <w:rsid w:val="00F45070"/>
    <w:rsid w:val="00F450E0"/>
    <w:rsid w:val="00F4515B"/>
    <w:rsid w:val="00F451C6"/>
    <w:rsid w:val="00F45309"/>
    <w:rsid w:val="00F456DE"/>
    <w:rsid w:val="00F45739"/>
    <w:rsid w:val="00F457E2"/>
    <w:rsid w:val="00F45867"/>
    <w:rsid w:val="00F45A6A"/>
    <w:rsid w:val="00F45ACD"/>
    <w:rsid w:val="00F45CC4"/>
    <w:rsid w:val="00F45D49"/>
    <w:rsid w:val="00F45D93"/>
    <w:rsid w:val="00F45E1C"/>
    <w:rsid w:val="00F45E24"/>
    <w:rsid w:val="00F45E9C"/>
    <w:rsid w:val="00F45EAC"/>
    <w:rsid w:val="00F45EDE"/>
    <w:rsid w:val="00F45F5B"/>
    <w:rsid w:val="00F461D8"/>
    <w:rsid w:val="00F46459"/>
    <w:rsid w:val="00F4648B"/>
    <w:rsid w:val="00F464F5"/>
    <w:rsid w:val="00F466B7"/>
    <w:rsid w:val="00F46700"/>
    <w:rsid w:val="00F46797"/>
    <w:rsid w:val="00F468D5"/>
    <w:rsid w:val="00F46982"/>
    <w:rsid w:val="00F469CC"/>
    <w:rsid w:val="00F469D5"/>
    <w:rsid w:val="00F46B34"/>
    <w:rsid w:val="00F46B3A"/>
    <w:rsid w:val="00F46B84"/>
    <w:rsid w:val="00F46C20"/>
    <w:rsid w:val="00F46C5C"/>
    <w:rsid w:val="00F46CCF"/>
    <w:rsid w:val="00F46CF9"/>
    <w:rsid w:val="00F46DA6"/>
    <w:rsid w:val="00F46E1D"/>
    <w:rsid w:val="00F46EBD"/>
    <w:rsid w:val="00F46F82"/>
    <w:rsid w:val="00F46FD0"/>
    <w:rsid w:val="00F47003"/>
    <w:rsid w:val="00F471D0"/>
    <w:rsid w:val="00F47261"/>
    <w:rsid w:val="00F4740B"/>
    <w:rsid w:val="00F47475"/>
    <w:rsid w:val="00F477E0"/>
    <w:rsid w:val="00F47846"/>
    <w:rsid w:val="00F47B8E"/>
    <w:rsid w:val="00F5001F"/>
    <w:rsid w:val="00F50067"/>
    <w:rsid w:val="00F5028C"/>
    <w:rsid w:val="00F50316"/>
    <w:rsid w:val="00F503F5"/>
    <w:rsid w:val="00F504DA"/>
    <w:rsid w:val="00F505D4"/>
    <w:rsid w:val="00F5067F"/>
    <w:rsid w:val="00F509A0"/>
    <w:rsid w:val="00F50BEF"/>
    <w:rsid w:val="00F50D1C"/>
    <w:rsid w:val="00F50F2F"/>
    <w:rsid w:val="00F50FFA"/>
    <w:rsid w:val="00F5105A"/>
    <w:rsid w:val="00F51159"/>
    <w:rsid w:val="00F51291"/>
    <w:rsid w:val="00F5131E"/>
    <w:rsid w:val="00F514A7"/>
    <w:rsid w:val="00F514DE"/>
    <w:rsid w:val="00F51614"/>
    <w:rsid w:val="00F517F5"/>
    <w:rsid w:val="00F51834"/>
    <w:rsid w:val="00F51882"/>
    <w:rsid w:val="00F5197D"/>
    <w:rsid w:val="00F51A03"/>
    <w:rsid w:val="00F51C02"/>
    <w:rsid w:val="00F51E80"/>
    <w:rsid w:val="00F51EF3"/>
    <w:rsid w:val="00F51F92"/>
    <w:rsid w:val="00F5207D"/>
    <w:rsid w:val="00F523BF"/>
    <w:rsid w:val="00F52652"/>
    <w:rsid w:val="00F527EF"/>
    <w:rsid w:val="00F52948"/>
    <w:rsid w:val="00F52AC5"/>
    <w:rsid w:val="00F52D83"/>
    <w:rsid w:val="00F52F97"/>
    <w:rsid w:val="00F52FAA"/>
    <w:rsid w:val="00F53059"/>
    <w:rsid w:val="00F53108"/>
    <w:rsid w:val="00F53488"/>
    <w:rsid w:val="00F534F3"/>
    <w:rsid w:val="00F53A44"/>
    <w:rsid w:val="00F53B31"/>
    <w:rsid w:val="00F53BC3"/>
    <w:rsid w:val="00F53EAD"/>
    <w:rsid w:val="00F540FD"/>
    <w:rsid w:val="00F542DA"/>
    <w:rsid w:val="00F543F0"/>
    <w:rsid w:val="00F5467C"/>
    <w:rsid w:val="00F54773"/>
    <w:rsid w:val="00F548FA"/>
    <w:rsid w:val="00F54B1A"/>
    <w:rsid w:val="00F54B2D"/>
    <w:rsid w:val="00F54BB5"/>
    <w:rsid w:val="00F54BEB"/>
    <w:rsid w:val="00F54C29"/>
    <w:rsid w:val="00F54D13"/>
    <w:rsid w:val="00F54D14"/>
    <w:rsid w:val="00F54E0D"/>
    <w:rsid w:val="00F54ED6"/>
    <w:rsid w:val="00F5505F"/>
    <w:rsid w:val="00F55155"/>
    <w:rsid w:val="00F5533B"/>
    <w:rsid w:val="00F553E2"/>
    <w:rsid w:val="00F5573F"/>
    <w:rsid w:val="00F557F6"/>
    <w:rsid w:val="00F55830"/>
    <w:rsid w:val="00F55A08"/>
    <w:rsid w:val="00F55B77"/>
    <w:rsid w:val="00F55E27"/>
    <w:rsid w:val="00F56001"/>
    <w:rsid w:val="00F56079"/>
    <w:rsid w:val="00F56162"/>
    <w:rsid w:val="00F561E1"/>
    <w:rsid w:val="00F56245"/>
    <w:rsid w:val="00F5648C"/>
    <w:rsid w:val="00F5652C"/>
    <w:rsid w:val="00F565FA"/>
    <w:rsid w:val="00F56D75"/>
    <w:rsid w:val="00F57002"/>
    <w:rsid w:val="00F570C6"/>
    <w:rsid w:val="00F57398"/>
    <w:rsid w:val="00F57631"/>
    <w:rsid w:val="00F576AE"/>
    <w:rsid w:val="00F577E8"/>
    <w:rsid w:val="00F578F8"/>
    <w:rsid w:val="00F57978"/>
    <w:rsid w:val="00F57AF2"/>
    <w:rsid w:val="00F57C05"/>
    <w:rsid w:val="00F57C5B"/>
    <w:rsid w:val="00F57C86"/>
    <w:rsid w:val="00F57C9B"/>
    <w:rsid w:val="00F57CDB"/>
    <w:rsid w:val="00F57D55"/>
    <w:rsid w:val="00F57F08"/>
    <w:rsid w:val="00F57FDA"/>
    <w:rsid w:val="00F600C0"/>
    <w:rsid w:val="00F6012D"/>
    <w:rsid w:val="00F6042D"/>
    <w:rsid w:val="00F604E1"/>
    <w:rsid w:val="00F60536"/>
    <w:rsid w:val="00F6055C"/>
    <w:rsid w:val="00F60603"/>
    <w:rsid w:val="00F60706"/>
    <w:rsid w:val="00F6075C"/>
    <w:rsid w:val="00F60760"/>
    <w:rsid w:val="00F60794"/>
    <w:rsid w:val="00F60894"/>
    <w:rsid w:val="00F60AB1"/>
    <w:rsid w:val="00F60B10"/>
    <w:rsid w:val="00F60B69"/>
    <w:rsid w:val="00F60D6C"/>
    <w:rsid w:val="00F60DC8"/>
    <w:rsid w:val="00F60F14"/>
    <w:rsid w:val="00F60F1D"/>
    <w:rsid w:val="00F6105A"/>
    <w:rsid w:val="00F61172"/>
    <w:rsid w:val="00F611EB"/>
    <w:rsid w:val="00F61488"/>
    <w:rsid w:val="00F6148B"/>
    <w:rsid w:val="00F61571"/>
    <w:rsid w:val="00F616EA"/>
    <w:rsid w:val="00F61797"/>
    <w:rsid w:val="00F619BB"/>
    <w:rsid w:val="00F61AF2"/>
    <w:rsid w:val="00F61C08"/>
    <w:rsid w:val="00F61C6B"/>
    <w:rsid w:val="00F61CEA"/>
    <w:rsid w:val="00F61D62"/>
    <w:rsid w:val="00F61DA7"/>
    <w:rsid w:val="00F61DDC"/>
    <w:rsid w:val="00F61E5D"/>
    <w:rsid w:val="00F61E99"/>
    <w:rsid w:val="00F62069"/>
    <w:rsid w:val="00F6211B"/>
    <w:rsid w:val="00F6218C"/>
    <w:rsid w:val="00F622D1"/>
    <w:rsid w:val="00F62316"/>
    <w:rsid w:val="00F6237E"/>
    <w:rsid w:val="00F62395"/>
    <w:rsid w:val="00F62623"/>
    <w:rsid w:val="00F627B3"/>
    <w:rsid w:val="00F62A9D"/>
    <w:rsid w:val="00F62BCD"/>
    <w:rsid w:val="00F62CCF"/>
    <w:rsid w:val="00F62D0B"/>
    <w:rsid w:val="00F62D32"/>
    <w:rsid w:val="00F63029"/>
    <w:rsid w:val="00F6334C"/>
    <w:rsid w:val="00F63495"/>
    <w:rsid w:val="00F6363D"/>
    <w:rsid w:val="00F636DC"/>
    <w:rsid w:val="00F6385C"/>
    <w:rsid w:val="00F638EF"/>
    <w:rsid w:val="00F639B0"/>
    <w:rsid w:val="00F63A98"/>
    <w:rsid w:val="00F63B3A"/>
    <w:rsid w:val="00F63B7D"/>
    <w:rsid w:val="00F63D0A"/>
    <w:rsid w:val="00F63DBF"/>
    <w:rsid w:val="00F64059"/>
    <w:rsid w:val="00F641EA"/>
    <w:rsid w:val="00F64395"/>
    <w:rsid w:val="00F6440C"/>
    <w:rsid w:val="00F64694"/>
    <w:rsid w:val="00F646D9"/>
    <w:rsid w:val="00F647C4"/>
    <w:rsid w:val="00F648E4"/>
    <w:rsid w:val="00F64A4F"/>
    <w:rsid w:val="00F64B18"/>
    <w:rsid w:val="00F64CA3"/>
    <w:rsid w:val="00F64CAF"/>
    <w:rsid w:val="00F656C9"/>
    <w:rsid w:val="00F65818"/>
    <w:rsid w:val="00F6588D"/>
    <w:rsid w:val="00F658A3"/>
    <w:rsid w:val="00F65910"/>
    <w:rsid w:val="00F65AD1"/>
    <w:rsid w:val="00F65CAE"/>
    <w:rsid w:val="00F65EEB"/>
    <w:rsid w:val="00F6606C"/>
    <w:rsid w:val="00F660A1"/>
    <w:rsid w:val="00F661CB"/>
    <w:rsid w:val="00F66201"/>
    <w:rsid w:val="00F66495"/>
    <w:rsid w:val="00F66529"/>
    <w:rsid w:val="00F665D7"/>
    <w:rsid w:val="00F6666F"/>
    <w:rsid w:val="00F66741"/>
    <w:rsid w:val="00F66D2A"/>
    <w:rsid w:val="00F66DB6"/>
    <w:rsid w:val="00F66E32"/>
    <w:rsid w:val="00F6714D"/>
    <w:rsid w:val="00F6763C"/>
    <w:rsid w:val="00F6764F"/>
    <w:rsid w:val="00F6778E"/>
    <w:rsid w:val="00F67984"/>
    <w:rsid w:val="00F67AB2"/>
    <w:rsid w:val="00F67B99"/>
    <w:rsid w:val="00F67BC7"/>
    <w:rsid w:val="00F67C20"/>
    <w:rsid w:val="00F7029C"/>
    <w:rsid w:val="00F703D8"/>
    <w:rsid w:val="00F70462"/>
    <w:rsid w:val="00F70607"/>
    <w:rsid w:val="00F7074C"/>
    <w:rsid w:val="00F707BF"/>
    <w:rsid w:val="00F70A70"/>
    <w:rsid w:val="00F70B6E"/>
    <w:rsid w:val="00F70DAE"/>
    <w:rsid w:val="00F7109D"/>
    <w:rsid w:val="00F714B5"/>
    <w:rsid w:val="00F714B7"/>
    <w:rsid w:val="00F718CF"/>
    <w:rsid w:val="00F71D7D"/>
    <w:rsid w:val="00F71F4D"/>
    <w:rsid w:val="00F71FAB"/>
    <w:rsid w:val="00F72102"/>
    <w:rsid w:val="00F72107"/>
    <w:rsid w:val="00F7219F"/>
    <w:rsid w:val="00F721BE"/>
    <w:rsid w:val="00F722A6"/>
    <w:rsid w:val="00F7247F"/>
    <w:rsid w:val="00F72625"/>
    <w:rsid w:val="00F72693"/>
    <w:rsid w:val="00F72771"/>
    <w:rsid w:val="00F72C82"/>
    <w:rsid w:val="00F72D81"/>
    <w:rsid w:val="00F731F2"/>
    <w:rsid w:val="00F7320D"/>
    <w:rsid w:val="00F7342B"/>
    <w:rsid w:val="00F73549"/>
    <w:rsid w:val="00F7360C"/>
    <w:rsid w:val="00F73634"/>
    <w:rsid w:val="00F736FF"/>
    <w:rsid w:val="00F73768"/>
    <w:rsid w:val="00F7378B"/>
    <w:rsid w:val="00F73B13"/>
    <w:rsid w:val="00F73B6D"/>
    <w:rsid w:val="00F73C63"/>
    <w:rsid w:val="00F73DD0"/>
    <w:rsid w:val="00F740C3"/>
    <w:rsid w:val="00F741B4"/>
    <w:rsid w:val="00F74211"/>
    <w:rsid w:val="00F7424E"/>
    <w:rsid w:val="00F74530"/>
    <w:rsid w:val="00F745BD"/>
    <w:rsid w:val="00F74AD8"/>
    <w:rsid w:val="00F74B9D"/>
    <w:rsid w:val="00F74D14"/>
    <w:rsid w:val="00F74EFF"/>
    <w:rsid w:val="00F74F7E"/>
    <w:rsid w:val="00F75200"/>
    <w:rsid w:val="00F75283"/>
    <w:rsid w:val="00F75467"/>
    <w:rsid w:val="00F75577"/>
    <w:rsid w:val="00F75594"/>
    <w:rsid w:val="00F75654"/>
    <w:rsid w:val="00F757C8"/>
    <w:rsid w:val="00F7584E"/>
    <w:rsid w:val="00F7588D"/>
    <w:rsid w:val="00F75B94"/>
    <w:rsid w:val="00F75C2E"/>
    <w:rsid w:val="00F75CA3"/>
    <w:rsid w:val="00F75CB5"/>
    <w:rsid w:val="00F75D10"/>
    <w:rsid w:val="00F75D7C"/>
    <w:rsid w:val="00F75FAC"/>
    <w:rsid w:val="00F7602B"/>
    <w:rsid w:val="00F760D0"/>
    <w:rsid w:val="00F76178"/>
    <w:rsid w:val="00F762F4"/>
    <w:rsid w:val="00F76300"/>
    <w:rsid w:val="00F765B3"/>
    <w:rsid w:val="00F76686"/>
    <w:rsid w:val="00F767B8"/>
    <w:rsid w:val="00F76B2A"/>
    <w:rsid w:val="00F76F2A"/>
    <w:rsid w:val="00F76F4E"/>
    <w:rsid w:val="00F770D9"/>
    <w:rsid w:val="00F77190"/>
    <w:rsid w:val="00F772E0"/>
    <w:rsid w:val="00F7743B"/>
    <w:rsid w:val="00F77BFA"/>
    <w:rsid w:val="00F77C8B"/>
    <w:rsid w:val="00F77C93"/>
    <w:rsid w:val="00F77CC1"/>
    <w:rsid w:val="00F77D5F"/>
    <w:rsid w:val="00F8024F"/>
    <w:rsid w:val="00F80463"/>
    <w:rsid w:val="00F804DD"/>
    <w:rsid w:val="00F80875"/>
    <w:rsid w:val="00F808D7"/>
    <w:rsid w:val="00F80A08"/>
    <w:rsid w:val="00F80A11"/>
    <w:rsid w:val="00F80CAA"/>
    <w:rsid w:val="00F80DF5"/>
    <w:rsid w:val="00F80E6C"/>
    <w:rsid w:val="00F80F2A"/>
    <w:rsid w:val="00F81077"/>
    <w:rsid w:val="00F810CF"/>
    <w:rsid w:val="00F812FD"/>
    <w:rsid w:val="00F8159A"/>
    <w:rsid w:val="00F81802"/>
    <w:rsid w:val="00F818AB"/>
    <w:rsid w:val="00F81908"/>
    <w:rsid w:val="00F81B01"/>
    <w:rsid w:val="00F81B29"/>
    <w:rsid w:val="00F81B52"/>
    <w:rsid w:val="00F81B60"/>
    <w:rsid w:val="00F81F13"/>
    <w:rsid w:val="00F821A3"/>
    <w:rsid w:val="00F82203"/>
    <w:rsid w:val="00F8253D"/>
    <w:rsid w:val="00F82644"/>
    <w:rsid w:val="00F8277D"/>
    <w:rsid w:val="00F8282F"/>
    <w:rsid w:val="00F828C9"/>
    <w:rsid w:val="00F82AEB"/>
    <w:rsid w:val="00F82AFE"/>
    <w:rsid w:val="00F82B7F"/>
    <w:rsid w:val="00F82C5D"/>
    <w:rsid w:val="00F82C60"/>
    <w:rsid w:val="00F82D5A"/>
    <w:rsid w:val="00F82D68"/>
    <w:rsid w:val="00F82D87"/>
    <w:rsid w:val="00F82F30"/>
    <w:rsid w:val="00F82FCB"/>
    <w:rsid w:val="00F830F4"/>
    <w:rsid w:val="00F83382"/>
    <w:rsid w:val="00F834E3"/>
    <w:rsid w:val="00F834E8"/>
    <w:rsid w:val="00F837F5"/>
    <w:rsid w:val="00F838DF"/>
    <w:rsid w:val="00F83A05"/>
    <w:rsid w:val="00F83A16"/>
    <w:rsid w:val="00F83D70"/>
    <w:rsid w:val="00F83EF1"/>
    <w:rsid w:val="00F83F1F"/>
    <w:rsid w:val="00F84000"/>
    <w:rsid w:val="00F8407B"/>
    <w:rsid w:val="00F84088"/>
    <w:rsid w:val="00F84161"/>
    <w:rsid w:val="00F843D4"/>
    <w:rsid w:val="00F84435"/>
    <w:rsid w:val="00F84542"/>
    <w:rsid w:val="00F84579"/>
    <w:rsid w:val="00F845A6"/>
    <w:rsid w:val="00F84663"/>
    <w:rsid w:val="00F846C4"/>
    <w:rsid w:val="00F846E6"/>
    <w:rsid w:val="00F84B2B"/>
    <w:rsid w:val="00F850C2"/>
    <w:rsid w:val="00F850D7"/>
    <w:rsid w:val="00F8515D"/>
    <w:rsid w:val="00F85202"/>
    <w:rsid w:val="00F8535A"/>
    <w:rsid w:val="00F8535C"/>
    <w:rsid w:val="00F853A4"/>
    <w:rsid w:val="00F853C4"/>
    <w:rsid w:val="00F8551D"/>
    <w:rsid w:val="00F85741"/>
    <w:rsid w:val="00F858E9"/>
    <w:rsid w:val="00F85B31"/>
    <w:rsid w:val="00F85C0A"/>
    <w:rsid w:val="00F85DA5"/>
    <w:rsid w:val="00F85EE7"/>
    <w:rsid w:val="00F8616E"/>
    <w:rsid w:val="00F8617C"/>
    <w:rsid w:val="00F86238"/>
    <w:rsid w:val="00F862D8"/>
    <w:rsid w:val="00F863A0"/>
    <w:rsid w:val="00F863C5"/>
    <w:rsid w:val="00F86494"/>
    <w:rsid w:val="00F86575"/>
    <w:rsid w:val="00F86853"/>
    <w:rsid w:val="00F869E6"/>
    <w:rsid w:val="00F86A1A"/>
    <w:rsid w:val="00F86B45"/>
    <w:rsid w:val="00F86DE0"/>
    <w:rsid w:val="00F86EF3"/>
    <w:rsid w:val="00F87076"/>
    <w:rsid w:val="00F8710D"/>
    <w:rsid w:val="00F872BD"/>
    <w:rsid w:val="00F872BE"/>
    <w:rsid w:val="00F8765B"/>
    <w:rsid w:val="00F877BE"/>
    <w:rsid w:val="00F87817"/>
    <w:rsid w:val="00F87877"/>
    <w:rsid w:val="00F8792B"/>
    <w:rsid w:val="00F87C9C"/>
    <w:rsid w:val="00F87DFC"/>
    <w:rsid w:val="00F87FD4"/>
    <w:rsid w:val="00F9036E"/>
    <w:rsid w:val="00F9054C"/>
    <w:rsid w:val="00F9057B"/>
    <w:rsid w:val="00F90CBC"/>
    <w:rsid w:val="00F9116D"/>
    <w:rsid w:val="00F9142E"/>
    <w:rsid w:val="00F91498"/>
    <w:rsid w:val="00F91791"/>
    <w:rsid w:val="00F917AA"/>
    <w:rsid w:val="00F9188B"/>
    <w:rsid w:val="00F91943"/>
    <w:rsid w:val="00F91960"/>
    <w:rsid w:val="00F91B73"/>
    <w:rsid w:val="00F91C91"/>
    <w:rsid w:val="00F91D52"/>
    <w:rsid w:val="00F91F13"/>
    <w:rsid w:val="00F9212D"/>
    <w:rsid w:val="00F921E5"/>
    <w:rsid w:val="00F924FD"/>
    <w:rsid w:val="00F9253F"/>
    <w:rsid w:val="00F925A5"/>
    <w:rsid w:val="00F9263D"/>
    <w:rsid w:val="00F926C8"/>
    <w:rsid w:val="00F9277C"/>
    <w:rsid w:val="00F92917"/>
    <w:rsid w:val="00F92AB7"/>
    <w:rsid w:val="00F92AEF"/>
    <w:rsid w:val="00F92B87"/>
    <w:rsid w:val="00F92DD5"/>
    <w:rsid w:val="00F92DE6"/>
    <w:rsid w:val="00F92F03"/>
    <w:rsid w:val="00F92F43"/>
    <w:rsid w:val="00F92FF3"/>
    <w:rsid w:val="00F93447"/>
    <w:rsid w:val="00F93563"/>
    <w:rsid w:val="00F938B4"/>
    <w:rsid w:val="00F9390A"/>
    <w:rsid w:val="00F93D65"/>
    <w:rsid w:val="00F93E2D"/>
    <w:rsid w:val="00F93F9C"/>
    <w:rsid w:val="00F93FB1"/>
    <w:rsid w:val="00F93FCF"/>
    <w:rsid w:val="00F9418F"/>
    <w:rsid w:val="00F9421E"/>
    <w:rsid w:val="00F94302"/>
    <w:rsid w:val="00F94385"/>
    <w:rsid w:val="00F943FC"/>
    <w:rsid w:val="00F9457C"/>
    <w:rsid w:val="00F94609"/>
    <w:rsid w:val="00F9499A"/>
    <w:rsid w:val="00F94BAE"/>
    <w:rsid w:val="00F94BEB"/>
    <w:rsid w:val="00F94C64"/>
    <w:rsid w:val="00F94C84"/>
    <w:rsid w:val="00F94D0B"/>
    <w:rsid w:val="00F95133"/>
    <w:rsid w:val="00F9515C"/>
    <w:rsid w:val="00F954F2"/>
    <w:rsid w:val="00F95643"/>
    <w:rsid w:val="00F95850"/>
    <w:rsid w:val="00F95872"/>
    <w:rsid w:val="00F958E7"/>
    <w:rsid w:val="00F95990"/>
    <w:rsid w:val="00F959BB"/>
    <w:rsid w:val="00F95D57"/>
    <w:rsid w:val="00F95D91"/>
    <w:rsid w:val="00F95DB4"/>
    <w:rsid w:val="00F960A6"/>
    <w:rsid w:val="00F9629D"/>
    <w:rsid w:val="00F962AD"/>
    <w:rsid w:val="00F963A0"/>
    <w:rsid w:val="00F96493"/>
    <w:rsid w:val="00F96586"/>
    <w:rsid w:val="00F9674B"/>
    <w:rsid w:val="00F967D0"/>
    <w:rsid w:val="00F9686D"/>
    <w:rsid w:val="00F968B3"/>
    <w:rsid w:val="00F969F8"/>
    <w:rsid w:val="00F96AED"/>
    <w:rsid w:val="00F96CF3"/>
    <w:rsid w:val="00F96DCC"/>
    <w:rsid w:val="00F96EE1"/>
    <w:rsid w:val="00F96F4C"/>
    <w:rsid w:val="00F96FAD"/>
    <w:rsid w:val="00F97051"/>
    <w:rsid w:val="00F971E8"/>
    <w:rsid w:val="00F972A7"/>
    <w:rsid w:val="00F97644"/>
    <w:rsid w:val="00F977EF"/>
    <w:rsid w:val="00F978A8"/>
    <w:rsid w:val="00F97933"/>
    <w:rsid w:val="00F97A71"/>
    <w:rsid w:val="00F97ACE"/>
    <w:rsid w:val="00F97B89"/>
    <w:rsid w:val="00F97E5E"/>
    <w:rsid w:val="00F97F90"/>
    <w:rsid w:val="00F97F91"/>
    <w:rsid w:val="00FA0008"/>
    <w:rsid w:val="00FA0022"/>
    <w:rsid w:val="00FA007F"/>
    <w:rsid w:val="00FA017E"/>
    <w:rsid w:val="00FA01EF"/>
    <w:rsid w:val="00FA04D3"/>
    <w:rsid w:val="00FA0630"/>
    <w:rsid w:val="00FA0912"/>
    <w:rsid w:val="00FA0A0E"/>
    <w:rsid w:val="00FA0B4C"/>
    <w:rsid w:val="00FA0B84"/>
    <w:rsid w:val="00FA0C23"/>
    <w:rsid w:val="00FA0E25"/>
    <w:rsid w:val="00FA0F6A"/>
    <w:rsid w:val="00FA104B"/>
    <w:rsid w:val="00FA105E"/>
    <w:rsid w:val="00FA1088"/>
    <w:rsid w:val="00FA12D7"/>
    <w:rsid w:val="00FA1391"/>
    <w:rsid w:val="00FA16B0"/>
    <w:rsid w:val="00FA16C7"/>
    <w:rsid w:val="00FA16C9"/>
    <w:rsid w:val="00FA17A1"/>
    <w:rsid w:val="00FA1BBA"/>
    <w:rsid w:val="00FA1EE1"/>
    <w:rsid w:val="00FA1FD2"/>
    <w:rsid w:val="00FA2420"/>
    <w:rsid w:val="00FA26FA"/>
    <w:rsid w:val="00FA2765"/>
    <w:rsid w:val="00FA2823"/>
    <w:rsid w:val="00FA2905"/>
    <w:rsid w:val="00FA2A07"/>
    <w:rsid w:val="00FA2B3E"/>
    <w:rsid w:val="00FA2B43"/>
    <w:rsid w:val="00FA2DDD"/>
    <w:rsid w:val="00FA2DF3"/>
    <w:rsid w:val="00FA2F38"/>
    <w:rsid w:val="00FA31BE"/>
    <w:rsid w:val="00FA32C8"/>
    <w:rsid w:val="00FA3829"/>
    <w:rsid w:val="00FA3BC8"/>
    <w:rsid w:val="00FA3E59"/>
    <w:rsid w:val="00FA3E88"/>
    <w:rsid w:val="00FA3F1B"/>
    <w:rsid w:val="00FA4005"/>
    <w:rsid w:val="00FA42BD"/>
    <w:rsid w:val="00FA470A"/>
    <w:rsid w:val="00FA477C"/>
    <w:rsid w:val="00FA47D2"/>
    <w:rsid w:val="00FA4AEC"/>
    <w:rsid w:val="00FA4CF7"/>
    <w:rsid w:val="00FA4E66"/>
    <w:rsid w:val="00FA4F0A"/>
    <w:rsid w:val="00FA5113"/>
    <w:rsid w:val="00FA5175"/>
    <w:rsid w:val="00FA5184"/>
    <w:rsid w:val="00FA5378"/>
    <w:rsid w:val="00FA5534"/>
    <w:rsid w:val="00FA55CF"/>
    <w:rsid w:val="00FA5691"/>
    <w:rsid w:val="00FA571B"/>
    <w:rsid w:val="00FA5725"/>
    <w:rsid w:val="00FA588A"/>
    <w:rsid w:val="00FA5A1F"/>
    <w:rsid w:val="00FA5ADF"/>
    <w:rsid w:val="00FA5DA3"/>
    <w:rsid w:val="00FA5DB1"/>
    <w:rsid w:val="00FA5EDF"/>
    <w:rsid w:val="00FA6156"/>
    <w:rsid w:val="00FA62A8"/>
    <w:rsid w:val="00FA62C5"/>
    <w:rsid w:val="00FA645B"/>
    <w:rsid w:val="00FA646B"/>
    <w:rsid w:val="00FA647D"/>
    <w:rsid w:val="00FA649E"/>
    <w:rsid w:val="00FA64D6"/>
    <w:rsid w:val="00FA67FC"/>
    <w:rsid w:val="00FA681F"/>
    <w:rsid w:val="00FA68BC"/>
    <w:rsid w:val="00FA6930"/>
    <w:rsid w:val="00FA6950"/>
    <w:rsid w:val="00FA6A26"/>
    <w:rsid w:val="00FA6D3E"/>
    <w:rsid w:val="00FA6D76"/>
    <w:rsid w:val="00FA7244"/>
    <w:rsid w:val="00FA7385"/>
    <w:rsid w:val="00FA73F1"/>
    <w:rsid w:val="00FA73F6"/>
    <w:rsid w:val="00FA744F"/>
    <w:rsid w:val="00FA77F6"/>
    <w:rsid w:val="00FA7809"/>
    <w:rsid w:val="00FA789F"/>
    <w:rsid w:val="00FA7A52"/>
    <w:rsid w:val="00FA7B6F"/>
    <w:rsid w:val="00FA7BA2"/>
    <w:rsid w:val="00FA7BC1"/>
    <w:rsid w:val="00FA7BCC"/>
    <w:rsid w:val="00FA7BEB"/>
    <w:rsid w:val="00FA7CC3"/>
    <w:rsid w:val="00FA7D91"/>
    <w:rsid w:val="00FA7E14"/>
    <w:rsid w:val="00FA7E58"/>
    <w:rsid w:val="00FA7ED4"/>
    <w:rsid w:val="00FB0117"/>
    <w:rsid w:val="00FB01AC"/>
    <w:rsid w:val="00FB02DF"/>
    <w:rsid w:val="00FB0337"/>
    <w:rsid w:val="00FB05C2"/>
    <w:rsid w:val="00FB0642"/>
    <w:rsid w:val="00FB06C7"/>
    <w:rsid w:val="00FB07E0"/>
    <w:rsid w:val="00FB07FF"/>
    <w:rsid w:val="00FB0869"/>
    <w:rsid w:val="00FB0904"/>
    <w:rsid w:val="00FB09C0"/>
    <w:rsid w:val="00FB0ABA"/>
    <w:rsid w:val="00FB0AC0"/>
    <w:rsid w:val="00FB0AD1"/>
    <w:rsid w:val="00FB0C85"/>
    <w:rsid w:val="00FB0D9F"/>
    <w:rsid w:val="00FB0EE5"/>
    <w:rsid w:val="00FB1055"/>
    <w:rsid w:val="00FB10A2"/>
    <w:rsid w:val="00FB1111"/>
    <w:rsid w:val="00FB1140"/>
    <w:rsid w:val="00FB12EA"/>
    <w:rsid w:val="00FB1771"/>
    <w:rsid w:val="00FB17BD"/>
    <w:rsid w:val="00FB17E1"/>
    <w:rsid w:val="00FB1846"/>
    <w:rsid w:val="00FB18BE"/>
    <w:rsid w:val="00FB190C"/>
    <w:rsid w:val="00FB19D6"/>
    <w:rsid w:val="00FB19EE"/>
    <w:rsid w:val="00FB1C81"/>
    <w:rsid w:val="00FB1F13"/>
    <w:rsid w:val="00FB206F"/>
    <w:rsid w:val="00FB21A0"/>
    <w:rsid w:val="00FB2353"/>
    <w:rsid w:val="00FB2655"/>
    <w:rsid w:val="00FB267C"/>
    <w:rsid w:val="00FB29D3"/>
    <w:rsid w:val="00FB2AA1"/>
    <w:rsid w:val="00FB2DB4"/>
    <w:rsid w:val="00FB2F48"/>
    <w:rsid w:val="00FB3467"/>
    <w:rsid w:val="00FB35D5"/>
    <w:rsid w:val="00FB3840"/>
    <w:rsid w:val="00FB3888"/>
    <w:rsid w:val="00FB38D5"/>
    <w:rsid w:val="00FB39B9"/>
    <w:rsid w:val="00FB3A8E"/>
    <w:rsid w:val="00FB3F7C"/>
    <w:rsid w:val="00FB3FAF"/>
    <w:rsid w:val="00FB4007"/>
    <w:rsid w:val="00FB40AF"/>
    <w:rsid w:val="00FB41AF"/>
    <w:rsid w:val="00FB41B4"/>
    <w:rsid w:val="00FB42FA"/>
    <w:rsid w:val="00FB431E"/>
    <w:rsid w:val="00FB43C7"/>
    <w:rsid w:val="00FB4665"/>
    <w:rsid w:val="00FB46A4"/>
    <w:rsid w:val="00FB46D6"/>
    <w:rsid w:val="00FB479D"/>
    <w:rsid w:val="00FB4863"/>
    <w:rsid w:val="00FB491E"/>
    <w:rsid w:val="00FB4940"/>
    <w:rsid w:val="00FB4A86"/>
    <w:rsid w:val="00FB4AC3"/>
    <w:rsid w:val="00FB4B91"/>
    <w:rsid w:val="00FB4C02"/>
    <w:rsid w:val="00FB4C82"/>
    <w:rsid w:val="00FB4D0D"/>
    <w:rsid w:val="00FB4D29"/>
    <w:rsid w:val="00FB4DAF"/>
    <w:rsid w:val="00FB4F6D"/>
    <w:rsid w:val="00FB4FDA"/>
    <w:rsid w:val="00FB50E3"/>
    <w:rsid w:val="00FB525D"/>
    <w:rsid w:val="00FB5275"/>
    <w:rsid w:val="00FB56A6"/>
    <w:rsid w:val="00FB56B2"/>
    <w:rsid w:val="00FB57D8"/>
    <w:rsid w:val="00FB5943"/>
    <w:rsid w:val="00FB5BB3"/>
    <w:rsid w:val="00FB5BF1"/>
    <w:rsid w:val="00FB5C09"/>
    <w:rsid w:val="00FB5C53"/>
    <w:rsid w:val="00FB5CFC"/>
    <w:rsid w:val="00FB5DBF"/>
    <w:rsid w:val="00FB600B"/>
    <w:rsid w:val="00FB6200"/>
    <w:rsid w:val="00FB6264"/>
    <w:rsid w:val="00FB62CB"/>
    <w:rsid w:val="00FB641E"/>
    <w:rsid w:val="00FB642C"/>
    <w:rsid w:val="00FB65A1"/>
    <w:rsid w:val="00FB6B92"/>
    <w:rsid w:val="00FB6CC4"/>
    <w:rsid w:val="00FB6D21"/>
    <w:rsid w:val="00FB6EEF"/>
    <w:rsid w:val="00FB7045"/>
    <w:rsid w:val="00FB753A"/>
    <w:rsid w:val="00FB7D5D"/>
    <w:rsid w:val="00FB7D63"/>
    <w:rsid w:val="00FB7FA5"/>
    <w:rsid w:val="00FC0202"/>
    <w:rsid w:val="00FC02A3"/>
    <w:rsid w:val="00FC0686"/>
    <w:rsid w:val="00FC0692"/>
    <w:rsid w:val="00FC06F4"/>
    <w:rsid w:val="00FC0703"/>
    <w:rsid w:val="00FC073A"/>
    <w:rsid w:val="00FC0844"/>
    <w:rsid w:val="00FC09BC"/>
    <w:rsid w:val="00FC0BB5"/>
    <w:rsid w:val="00FC0DE3"/>
    <w:rsid w:val="00FC0E86"/>
    <w:rsid w:val="00FC0F65"/>
    <w:rsid w:val="00FC138D"/>
    <w:rsid w:val="00FC13C5"/>
    <w:rsid w:val="00FC152E"/>
    <w:rsid w:val="00FC1943"/>
    <w:rsid w:val="00FC1960"/>
    <w:rsid w:val="00FC1A21"/>
    <w:rsid w:val="00FC1ABA"/>
    <w:rsid w:val="00FC1BA7"/>
    <w:rsid w:val="00FC1ECA"/>
    <w:rsid w:val="00FC1F61"/>
    <w:rsid w:val="00FC21F0"/>
    <w:rsid w:val="00FC226F"/>
    <w:rsid w:val="00FC24DE"/>
    <w:rsid w:val="00FC2558"/>
    <w:rsid w:val="00FC273E"/>
    <w:rsid w:val="00FC296E"/>
    <w:rsid w:val="00FC2A43"/>
    <w:rsid w:val="00FC2AB9"/>
    <w:rsid w:val="00FC2E86"/>
    <w:rsid w:val="00FC2F80"/>
    <w:rsid w:val="00FC30AD"/>
    <w:rsid w:val="00FC3110"/>
    <w:rsid w:val="00FC31D8"/>
    <w:rsid w:val="00FC3222"/>
    <w:rsid w:val="00FC325C"/>
    <w:rsid w:val="00FC3389"/>
    <w:rsid w:val="00FC33B7"/>
    <w:rsid w:val="00FC3461"/>
    <w:rsid w:val="00FC35B1"/>
    <w:rsid w:val="00FC3972"/>
    <w:rsid w:val="00FC3D5C"/>
    <w:rsid w:val="00FC3F3B"/>
    <w:rsid w:val="00FC3FC9"/>
    <w:rsid w:val="00FC42AF"/>
    <w:rsid w:val="00FC4578"/>
    <w:rsid w:val="00FC469A"/>
    <w:rsid w:val="00FC495F"/>
    <w:rsid w:val="00FC4B4A"/>
    <w:rsid w:val="00FC4BFD"/>
    <w:rsid w:val="00FC4CDA"/>
    <w:rsid w:val="00FC4CEF"/>
    <w:rsid w:val="00FC4CFB"/>
    <w:rsid w:val="00FC4F08"/>
    <w:rsid w:val="00FC4F3A"/>
    <w:rsid w:val="00FC4FA9"/>
    <w:rsid w:val="00FC50F4"/>
    <w:rsid w:val="00FC5178"/>
    <w:rsid w:val="00FC52B1"/>
    <w:rsid w:val="00FC5486"/>
    <w:rsid w:val="00FC548C"/>
    <w:rsid w:val="00FC54F9"/>
    <w:rsid w:val="00FC556F"/>
    <w:rsid w:val="00FC5655"/>
    <w:rsid w:val="00FC578E"/>
    <w:rsid w:val="00FC5850"/>
    <w:rsid w:val="00FC59ED"/>
    <w:rsid w:val="00FC5BAC"/>
    <w:rsid w:val="00FC5CBE"/>
    <w:rsid w:val="00FC5F33"/>
    <w:rsid w:val="00FC61D8"/>
    <w:rsid w:val="00FC6505"/>
    <w:rsid w:val="00FC688E"/>
    <w:rsid w:val="00FC6A38"/>
    <w:rsid w:val="00FC6AA5"/>
    <w:rsid w:val="00FC6B46"/>
    <w:rsid w:val="00FC6D41"/>
    <w:rsid w:val="00FC6DC4"/>
    <w:rsid w:val="00FC705D"/>
    <w:rsid w:val="00FC7123"/>
    <w:rsid w:val="00FC7485"/>
    <w:rsid w:val="00FC756E"/>
    <w:rsid w:val="00FC765F"/>
    <w:rsid w:val="00FC7712"/>
    <w:rsid w:val="00FC7782"/>
    <w:rsid w:val="00FC785A"/>
    <w:rsid w:val="00FC7A48"/>
    <w:rsid w:val="00FC7AAC"/>
    <w:rsid w:val="00FC7B9C"/>
    <w:rsid w:val="00FD0196"/>
    <w:rsid w:val="00FD0293"/>
    <w:rsid w:val="00FD0345"/>
    <w:rsid w:val="00FD04F0"/>
    <w:rsid w:val="00FD054F"/>
    <w:rsid w:val="00FD0799"/>
    <w:rsid w:val="00FD088C"/>
    <w:rsid w:val="00FD089D"/>
    <w:rsid w:val="00FD08CD"/>
    <w:rsid w:val="00FD0C07"/>
    <w:rsid w:val="00FD10D2"/>
    <w:rsid w:val="00FD10F2"/>
    <w:rsid w:val="00FD11F9"/>
    <w:rsid w:val="00FD1276"/>
    <w:rsid w:val="00FD15B8"/>
    <w:rsid w:val="00FD15FD"/>
    <w:rsid w:val="00FD18F4"/>
    <w:rsid w:val="00FD1A16"/>
    <w:rsid w:val="00FD1D41"/>
    <w:rsid w:val="00FD1EF7"/>
    <w:rsid w:val="00FD1F96"/>
    <w:rsid w:val="00FD20FA"/>
    <w:rsid w:val="00FD223E"/>
    <w:rsid w:val="00FD2261"/>
    <w:rsid w:val="00FD22B6"/>
    <w:rsid w:val="00FD22EA"/>
    <w:rsid w:val="00FD23E8"/>
    <w:rsid w:val="00FD267F"/>
    <w:rsid w:val="00FD2A5D"/>
    <w:rsid w:val="00FD2A90"/>
    <w:rsid w:val="00FD2B79"/>
    <w:rsid w:val="00FD2BD5"/>
    <w:rsid w:val="00FD2C0A"/>
    <w:rsid w:val="00FD2EDE"/>
    <w:rsid w:val="00FD2F0E"/>
    <w:rsid w:val="00FD2FF6"/>
    <w:rsid w:val="00FD3077"/>
    <w:rsid w:val="00FD3093"/>
    <w:rsid w:val="00FD33AC"/>
    <w:rsid w:val="00FD343C"/>
    <w:rsid w:val="00FD34A3"/>
    <w:rsid w:val="00FD3565"/>
    <w:rsid w:val="00FD3623"/>
    <w:rsid w:val="00FD3643"/>
    <w:rsid w:val="00FD369C"/>
    <w:rsid w:val="00FD3A5D"/>
    <w:rsid w:val="00FD3C89"/>
    <w:rsid w:val="00FD3E31"/>
    <w:rsid w:val="00FD401A"/>
    <w:rsid w:val="00FD405B"/>
    <w:rsid w:val="00FD425D"/>
    <w:rsid w:val="00FD44E6"/>
    <w:rsid w:val="00FD4655"/>
    <w:rsid w:val="00FD474F"/>
    <w:rsid w:val="00FD47C0"/>
    <w:rsid w:val="00FD4969"/>
    <w:rsid w:val="00FD4A15"/>
    <w:rsid w:val="00FD4B8D"/>
    <w:rsid w:val="00FD4E14"/>
    <w:rsid w:val="00FD4EF0"/>
    <w:rsid w:val="00FD4F8A"/>
    <w:rsid w:val="00FD53D1"/>
    <w:rsid w:val="00FD53F1"/>
    <w:rsid w:val="00FD5471"/>
    <w:rsid w:val="00FD5712"/>
    <w:rsid w:val="00FD5741"/>
    <w:rsid w:val="00FD583C"/>
    <w:rsid w:val="00FD58AF"/>
    <w:rsid w:val="00FD5B9B"/>
    <w:rsid w:val="00FD5F2D"/>
    <w:rsid w:val="00FD5F75"/>
    <w:rsid w:val="00FD5F9F"/>
    <w:rsid w:val="00FD6002"/>
    <w:rsid w:val="00FD61C8"/>
    <w:rsid w:val="00FD6310"/>
    <w:rsid w:val="00FD6377"/>
    <w:rsid w:val="00FD65A6"/>
    <w:rsid w:val="00FD661A"/>
    <w:rsid w:val="00FD663F"/>
    <w:rsid w:val="00FD66A8"/>
    <w:rsid w:val="00FD67FA"/>
    <w:rsid w:val="00FD6A94"/>
    <w:rsid w:val="00FD6C55"/>
    <w:rsid w:val="00FD6CCF"/>
    <w:rsid w:val="00FD6D61"/>
    <w:rsid w:val="00FD708C"/>
    <w:rsid w:val="00FD7276"/>
    <w:rsid w:val="00FD7298"/>
    <w:rsid w:val="00FD73AF"/>
    <w:rsid w:val="00FD7594"/>
    <w:rsid w:val="00FD7597"/>
    <w:rsid w:val="00FD7671"/>
    <w:rsid w:val="00FD7805"/>
    <w:rsid w:val="00FD794F"/>
    <w:rsid w:val="00FD7AF9"/>
    <w:rsid w:val="00FD7B8B"/>
    <w:rsid w:val="00FD7C1C"/>
    <w:rsid w:val="00FD7C99"/>
    <w:rsid w:val="00FD7CC1"/>
    <w:rsid w:val="00FD7CDB"/>
    <w:rsid w:val="00FD7D43"/>
    <w:rsid w:val="00FD7D99"/>
    <w:rsid w:val="00FD7E6B"/>
    <w:rsid w:val="00FD7FCF"/>
    <w:rsid w:val="00FE0054"/>
    <w:rsid w:val="00FE00DD"/>
    <w:rsid w:val="00FE0125"/>
    <w:rsid w:val="00FE0283"/>
    <w:rsid w:val="00FE03BA"/>
    <w:rsid w:val="00FE052B"/>
    <w:rsid w:val="00FE07BD"/>
    <w:rsid w:val="00FE0846"/>
    <w:rsid w:val="00FE0A89"/>
    <w:rsid w:val="00FE0B10"/>
    <w:rsid w:val="00FE0C1B"/>
    <w:rsid w:val="00FE0FD0"/>
    <w:rsid w:val="00FE139C"/>
    <w:rsid w:val="00FE1501"/>
    <w:rsid w:val="00FE19C8"/>
    <w:rsid w:val="00FE1AB9"/>
    <w:rsid w:val="00FE1B30"/>
    <w:rsid w:val="00FE1C6C"/>
    <w:rsid w:val="00FE1E97"/>
    <w:rsid w:val="00FE1FC1"/>
    <w:rsid w:val="00FE1FE8"/>
    <w:rsid w:val="00FE2099"/>
    <w:rsid w:val="00FE20A5"/>
    <w:rsid w:val="00FE23B5"/>
    <w:rsid w:val="00FE2507"/>
    <w:rsid w:val="00FE255F"/>
    <w:rsid w:val="00FE26BF"/>
    <w:rsid w:val="00FE29D3"/>
    <w:rsid w:val="00FE2A69"/>
    <w:rsid w:val="00FE2A94"/>
    <w:rsid w:val="00FE2AF6"/>
    <w:rsid w:val="00FE2BA8"/>
    <w:rsid w:val="00FE2BDB"/>
    <w:rsid w:val="00FE2BEB"/>
    <w:rsid w:val="00FE2C3A"/>
    <w:rsid w:val="00FE2C44"/>
    <w:rsid w:val="00FE2D08"/>
    <w:rsid w:val="00FE310F"/>
    <w:rsid w:val="00FE3327"/>
    <w:rsid w:val="00FE3401"/>
    <w:rsid w:val="00FE3424"/>
    <w:rsid w:val="00FE359F"/>
    <w:rsid w:val="00FE35D5"/>
    <w:rsid w:val="00FE36F8"/>
    <w:rsid w:val="00FE37D0"/>
    <w:rsid w:val="00FE37ED"/>
    <w:rsid w:val="00FE390A"/>
    <w:rsid w:val="00FE3A60"/>
    <w:rsid w:val="00FE3ADB"/>
    <w:rsid w:val="00FE3CC6"/>
    <w:rsid w:val="00FE3D5F"/>
    <w:rsid w:val="00FE3E8D"/>
    <w:rsid w:val="00FE3EE6"/>
    <w:rsid w:val="00FE4075"/>
    <w:rsid w:val="00FE40F7"/>
    <w:rsid w:val="00FE4163"/>
    <w:rsid w:val="00FE44F0"/>
    <w:rsid w:val="00FE469E"/>
    <w:rsid w:val="00FE4847"/>
    <w:rsid w:val="00FE4E29"/>
    <w:rsid w:val="00FE4E2D"/>
    <w:rsid w:val="00FE4F21"/>
    <w:rsid w:val="00FE5037"/>
    <w:rsid w:val="00FE514A"/>
    <w:rsid w:val="00FE515B"/>
    <w:rsid w:val="00FE5177"/>
    <w:rsid w:val="00FE51F0"/>
    <w:rsid w:val="00FE5287"/>
    <w:rsid w:val="00FE52DB"/>
    <w:rsid w:val="00FE555C"/>
    <w:rsid w:val="00FE5756"/>
    <w:rsid w:val="00FE58B5"/>
    <w:rsid w:val="00FE5CEA"/>
    <w:rsid w:val="00FE5E3D"/>
    <w:rsid w:val="00FE5E3E"/>
    <w:rsid w:val="00FE5E52"/>
    <w:rsid w:val="00FE5F0C"/>
    <w:rsid w:val="00FE6080"/>
    <w:rsid w:val="00FE60A3"/>
    <w:rsid w:val="00FE6119"/>
    <w:rsid w:val="00FE6149"/>
    <w:rsid w:val="00FE61BD"/>
    <w:rsid w:val="00FE61FB"/>
    <w:rsid w:val="00FE6238"/>
    <w:rsid w:val="00FE627D"/>
    <w:rsid w:val="00FE6285"/>
    <w:rsid w:val="00FE6583"/>
    <w:rsid w:val="00FE66F0"/>
    <w:rsid w:val="00FE6708"/>
    <w:rsid w:val="00FE690F"/>
    <w:rsid w:val="00FE69A2"/>
    <w:rsid w:val="00FE69EE"/>
    <w:rsid w:val="00FE6A0A"/>
    <w:rsid w:val="00FE6D96"/>
    <w:rsid w:val="00FE6F14"/>
    <w:rsid w:val="00FE6F70"/>
    <w:rsid w:val="00FE6FD9"/>
    <w:rsid w:val="00FE70AE"/>
    <w:rsid w:val="00FE7338"/>
    <w:rsid w:val="00FE74E9"/>
    <w:rsid w:val="00FE76A7"/>
    <w:rsid w:val="00FE76A9"/>
    <w:rsid w:val="00FE76F0"/>
    <w:rsid w:val="00FE7754"/>
    <w:rsid w:val="00FE7788"/>
    <w:rsid w:val="00FE7BBE"/>
    <w:rsid w:val="00FE7BF6"/>
    <w:rsid w:val="00FE7C3E"/>
    <w:rsid w:val="00FE7D10"/>
    <w:rsid w:val="00FE7E37"/>
    <w:rsid w:val="00FE7E96"/>
    <w:rsid w:val="00FE7F9F"/>
    <w:rsid w:val="00FE7FC3"/>
    <w:rsid w:val="00FF0257"/>
    <w:rsid w:val="00FF0319"/>
    <w:rsid w:val="00FF0586"/>
    <w:rsid w:val="00FF05AF"/>
    <w:rsid w:val="00FF05D0"/>
    <w:rsid w:val="00FF0610"/>
    <w:rsid w:val="00FF06F4"/>
    <w:rsid w:val="00FF08CF"/>
    <w:rsid w:val="00FF0A00"/>
    <w:rsid w:val="00FF0BA3"/>
    <w:rsid w:val="00FF0CD1"/>
    <w:rsid w:val="00FF0DAD"/>
    <w:rsid w:val="00FF0E20"/>
    <w:rsid w:val="00FF0E3A"/>
    <w:rsid w:val="00FF0E6E"/>
    <w:rsid w:val="00FF0FB2"/>
    <w:rsid w:val="00FF1440"/>
    <w:rsid w:val="00FF1497"/>
    <w:rsid w:val="00FF158D"/>
    <w:rsid w:val="00FF15CD"/>
    <w:rsid w:val="00FF177B"/>
    <w:rsid w:val="00FF196D"/>
    <w:rsid w:val="00FF1C35"/>
    <w:rsid w:val="00FF1E09"/>
    <w:rsid w:val="00FF1E1A"/>
    <w:rsid w:val="00FF1E7F"/>
    <w:rsid w:val="00FF205C"/>
    <w:rsid w:val="00FF2150"/>
    <w:rsid w:val="00FF22D7"/>
    <w:rsid w:val="00FF2451"/>
    <w:rsid w:val="00FF26F5"/>
    <w:rsid w:val="00FF2796"/>
    <w:rsid w:val="00FF2960"/>
    <w:rsid w:val="00FF2BB0"/>
    <w:rsid w:val="00FF326A"/>
    <w:rsid w:val="00FF32AD"/>
    <w:rsid w:val="00FF33E2"/>
    <w:rsid w:val="00FF3406"/>
    <w:rsid w:val="00FF3453"/>
    <w:rsid w:val="00FF3895"/>
    <w:rsid w:val="00FF38A6"/>
    <w:rsid w:val="00FF38C7"/>
    <w:rsid w:val="00FF3B5F"/>
    <w:rsid w:val="00FF3D5F"/>
    <w:rsid w:val="00FF3E29"/>
    <w:rsid w:val="00FF3EFB"/>
    <w:rsid w:val="00FF407F"/>
    <w:rsid w:val="00FF4256"/>
    <w:rsid w:val="00FF43E1"/>
    <w:rsid w:val="00FF4411"/>
    <w:rsid w:val="00FF46A3"/>
    <w:rsid w:val="00FF4796"/>
    <w:rsid w:val="00FF47C0"/>
    <w:rsid w:val="00FF47ED"/>
    <w:rsid w:val="00FF4962"/>
    <w:rsid w:val="00FF4BB4"/>
    <w:rsid w:val="00FF4E6D"/>
    <w:rsid w:val="00FF5050"/>
    <w:rsid w:val="00FF50D6"/>
    <w:rsid w:val="00FF51A3"/>
    <w:rsid w:val="00FF526A"/>
    <w:rsid w:val="00FF5377"/>
    <w:rsid w:val="00FF5481"/>
    <w:rsid w:val="00FF5494"/>
    <w:rsid w:val="00FF549C"/>
    <w:rsid w:val="00FF54A4"/>
    <w:rsid w:val="00FF5631"/>
    <w:rsid w:val="00FF5743"/>
    <w:rsid w:val="00FF5750"/>
    <w:rsid w:val="00FF5973"/>
    <w:rsid w:val="00FF59B4"/>
    <w:rsid w:val="00FF5AA5"/>
    <w:rsid w:val="00FF5B16"/>
    <w:rsid w:val="00FF5BA7"/>
    <w:rsid w:val="00FF5DCE"/>
    <w:rsid w:val="00FF5EE5"/>
    <w:rsid w:val="00FF5EE8"/>
    <w:rsid w:val="00FF5FA7"/>
    <w:rsid w:val="00FF6241"/>
    <w:rsid w:val="00FF645C"/>
    <w:rsid w:val="00FF65B8"/>
    <w:rsid w:val="00FF663A"/>
    <w:rsid w:val="00FF687B"/>
    <w:rsid w:val="00FF6952"/>
    <w:rsid w:val="00FF69A3"/>
    <w:rsid w:val="00FF6A1A"/>
    <w:rsid w:val="00FF6A68"/>
    <w:rsid w:val="00FF6E7F"/>
    <w:rsid w:val="00FF6F48"/>
    <w:rsid w:val="00FF6F7B"/>
    <w:rsid w:val="00FF7064"/>
    <w:rsid w:val="00FF71B7"/>
    <w:rsid w:val="00FF721A"/>
    <w:rsid w:val="00FF72B7"/>
    <w:rsid w:val="00FF72FB"/>
    <w:rsid w:val="00FF7646"/>
    <w:rsid w:val="00FF779F"/>
    <w:rsid w:val="00FF79F2"/>
    <w:rsid w:val="00FF7B49"/>
    <w:rsid w:val="00FF7C7A"/>
    <w:rsid w:val="00FF7C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07B1DE1"/>
  <w15:docId w15:val="{5B7B6766-BC11-4FF2-B694-9B84C8EEC1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iPriority="9"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qFormat="1"/>
    <w:lsdException w:name="toc 3" w:semiHidden="1" w:uiPriority="39" w:unhideWhenUsed="1"/>
    <w:lsdException w:name="toc 4" w:semiHidden="1" w:uiPriority="39" w:unhideWhenUsed="1" w:qFormat="1"/>
    <w:lsdException w:name="toc 5" w:semiHidden="1" w:unhideWhenUsed="1"/>
    <w:lsdException w:name="toc 6" w:semiHidden="1" w:uiPriority="39" w:unhideWhenUsed="1"/>
    <w:lsdException w:name="toc 7" w:semiHidden="1" w:uiPriority="39" w:unhideWhenUsed="1"/>
    <w:lsdException w:name="toc 8" w:semiHidden="1" w:uiPriority="39" w:unhideWhenUsed="1" w:qFormat="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w:qFormat="1"/>
    <w:lsdException w:name="List Bullet" w:uiPriority="99"/>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464B5"/>
    <w:rPr>
      <w:rFonts w:ascii="Times" w:hAnsi="Times"/>
      <w:szCs w:val="24"/>
      <w:lang w:val="en-GB"/>
    </w:rPr>
  </w:style>
  <w:style w:type="paragraph" w:styleId="Heading1">
    <w:name w:val="heading 1"/>
    <w:aliases w:val="NMP Heading 1,H1,h11,h12,h13,h14,h15,h16,app heading 1,l1,Memo Heading 1,Heading 1_a,heading 1,h17,h111,h121,h131,h141,h151,h161,h18,h112,h122,h132,h142,h152,h162,h19,h113,h123,h133,h143,h153,h163,Heading 1 Char,Alt+1,Alt+11,Alt+12,Alt+13"/>
    <w:basedOn w:val="Normal"/>
    <w:next w:val="Normal"/>
    <w:link w:val="Heading1Char1"/>
    <w:uiPriority w:val="9"/>
    <w:qFormat/>
    <w:rsid w:val="004B3890"/>
    <w:pPr>
      <w:widowControl w:val="0"/>
      <w:numPr>
        <w:numId w:val="6"/>
      </w:numPr>
      <w:spacing w:before="240" w:after="60"/>
      <w:outlineLvl w:val="0"/>
    </w:pPr>
    <w:rPr>
      <w:rFonts w:ascii="Arial" w:hAnsi="Arial"/>
      <w:b/>
      <w:bCs/>
      <w:kern w:val="32"/>
      <w:sz w:val="32"/>
      <w:szCs w:val="32"/>
      <w:lang w:eastAsia="x-none"/>
    </w:rPr>
  </w:style>
  <w:style w:type="paragraph" w:styleId="Heading2">
    <w:name w:val="heading 2"/>
    <w:aliases w:val="H2,h2,Head2A,2,UNDERRUBRIK 1-2,DO NOT USE_h2,h21,Heading 2 Char,H2 Char,h2 Char,Header 2,Header2,22,heading2,2nd level,H21,H22,H23,H24,H25,R2,E2,†berschrift 2,õberschrift 2"/>
    <w:basedOn w:val="Normal"/>
    <w:next w:val="Normal"/>
    <w:link w:val="Heading2Char1"/>
    <w:uiPriority w:val="9"/>
    <w:qFormat/>
    <w:rsid w:val="004B3890"/>
    <w:pPr>
      <w:keepNext/>
      <w:widowControl w:val="0"/>
      <w:numPr>
        <w:ilvl w:val="1"/>
        <w:numId w:val="6"/>
      </w:numPr>
      <w:spacing w:before="240" w:after="60"/>
      <w:outlineLvl w:val="1"/>
    </w:pPr>
    <w:rPr>
      <w:rFonts w:ascii="Arial" w:hAnsi="Arial"/>
      <w:b/>
      <w:bCs/>
      <w:i/>
      <w:iCs/>
      <w:sz w:val="24"/>
      <w:szCs w:val="28"/>
      <w:lang w:eastAsia="x-none"/>
    </w:rPr>
  </w:style>
  <w:style w:type="paragraph" w:styleId="Heading3">
    <w:name w:val="heading 3"/>
    <w:aliases w:val="Title,no break,H3,Underrubrik2,h3,Memo Heading 3,hello,Titre 3 Car,no break Car,H3 Car,Underrubrik2 Car,h3 Car,Memo Heading 3 Car,hello Car,Heading 3 Char Car,no break Char Car,H3 Char Car,Underrubrik2 Char Car,h3 Char Car"/>
    <w:basedOn w:val="Normal"/>
    <w:next w:val="Normal"/>
    <w:link w:val="Heading3Char"/>
    <w:qFormat/>
    <w:rsid w:val="00AD7358"/>
    <w:pPr>
      <w:keepNext/>
      <w:numPr>
        <w:ilvl w:val="2"/>
        <w:numId w:val="6"/>
      </w:numPr>
      <w:spacing w:before="240" w:after="60"/>
      <w:outlineLvl w:val="2"/>
    </w:pPr>
    <w:rPr>
      <w:rFonts w:ascii="Arial" w:hAnsi="Arial"/>
      <w:b/>
      <w:szCs w:val="26"/>
      <w:lang w:eastAsia="x-none"/>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Heading3"/>
    <w:next w:val="Normal"/>
    <w:link w:val="Heading4Char"/>
    <w:uiPriority w:val="9"/>
    <w:qFormat/>
    <w:rsid w:val="00870B7E"/>
    <w:pPr>
      <w:numPr>
        <w:ilvl w:val="3"/>
      </w:numPr>
      <w:outlineLvl w:val="3"/>
    </w:pPr>
    <w:rPr>
      <w:i/>
    </w:rPr>
  </w:style>
  <w:style w:type="paragraph" w:styleId="Heading5">
    <w:name w:val="heading 5"/>
    <w:basedOn w:val="Heading4"/>
    <w:next w:val="Normal"/>
    <w:link w:val="Heading5Char"/>
    <w:uiPriority w:val="9"/>
    <w:qFormat/>
    <w:rsid w:val="00196D13"/>
    <w:pPr>
      <w:numPr>
        <w:ilvl w:val="4"/>
      </w:numPr>
      <w:tabs>
        <w:tab w:val="num" w:pos="864"/>
      </w:tabs>
      <w:ind w:left="864" w:hanging="864"/>
      <w:outlineLvl w:val="4"/>
    </w:pPr>
    <w:rPr>
      <w:bCs/>
      <w:i w:val="0"/>
      <w:iCs/>
      <w:sz w:val="18"/>
    </w:rPr>
  </w:style>
  <w:style w:type="paragraph" w:styleId="Heading6">
    <w:name w:val="heading 6"/>
    <w:basedOn w:val="Normal"/>
    <w:next w:val="Normal"/>
    <w:link w:val="Heading6Char"/>
    <w:uiPriority w:val="9"/>
    <w:qFormat/>
    <w:rsid w:val="00585FFD"/>
    <w:pPr>
      <w:numPr>
        <w:ilvl w:val="5"/>
        <w:numId w:val="6"/>
      </w:numPr>
      <w:spacing w:before="240" w:after="60"/>
      <w:outlineLvl w:val="5"/>
    </w:pPr>
    <w:rPr>
      <w:rFonts w:ascii="Arial" w:hAnsi="Arial"/>
      <w:b/>
      <w:bCs/>
      <w:i/>
      <w:sz w:val="18"/>
      <w:szCs w:val="22"/>
      <w:lang w:eastAsia="x-none"/>
    </w:rPr>
  </w:style>
  <w:style w:type="paragraph" w:styleId="Heading7">
    <w:name w:val="heading 7"/>
    <w:basedOn w:val="Normal"/>
    <w:next w:val="Normal"/>
    <w:link w:val="Heading7Char"/>
    <w:uiPriority w:val="9"/>
    <w:qFormat/>
    <w:pPr>
      <w:numPr>
        <w:ilvl w:val="6"/>
        <w:numId w:val="6"/>
      </w:numPr>
      <w:spacing w:before="240" w:after="60"/>
      <w:outlineLvl w:val="6"/>
    </w:pPr>
    <w:rPr>
      <w:rFonts w:ascii="Times New Roman" w:hAnsi="Times New Roman"/>
      <w:sz w:val="24"/>
      <w:lang w:eastAsia="x-none"/>
    </w:rPr>
  </w:style>
  <w:style w:type="paragraph" w:styleId="Heading8">
    <w:name w:val="heading 8"/>
    <w:basedOn w:val="Normal"/>
    <w:next w:val="Normal"/>
    <w:link w:val="Heading8Char"/>
    <w:uiPriority w:val="9"/>
    <w:qFormat/>
    <w:pPr>
      <w:numPr>
        <w:ilvl w:val="7"/>
        <w:numId w:val="6"/>
      </w:numPr>
      <w:tabs>
        <w:tab w:val="clear" w:pos="1440"/>
      </w:tabs>
      <w:spacing w:before="240" w:after="60"/>
      <w:outlineLvl w:val="7"/>
    </w:pPr>
    <w:rPr>
      <w:rFonts w:ascii="Times New Roman" w:hAnsi="Times New Roman"/>
      <w:i/>
      <w:iCs/>
      <w:sz w:val="24"/>
      <w:lang w:eastAsia="x-none"/>
    </w:rPr>
  </w:style>
  <w:style w:type="paragraph" w:styleId="Heading9">
    <w:name w:val="heading 9"/>
    <w:basedOn w:val="Normal"/>
    <w:next w:val="Normal"/>
    <w:link w:val="Heading9Char"/>
    <w:uiPriority w:val="9"/>
    <w:qFormat/>
    <w:pPr>
      <w:numPr>
        <w:ilvl w:val="8"/>
        <w:numId w:val="6"/>
      </w:numPr>
      <w:spacing w:before="240" w:after="60"/>
      <w:outlineLvl w:val="8"/>
    </w:pPr>
    <w:rPr>
      <w:rFonts w:ascii="Arial" w:hAnsi="Arial"/>
      <w:sz w:val="22"/>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Title Char,no break Char,H3 Char,Underrubrik2 Char,h3 Char,Memo Heading 3 Char,hello Char,Titre 3 Car Char,no break Car Char,H3 Car Char,Underrubrik2 Car Char,h3 Car Char,Memo Heading 3 Car Char,hello Car Char,Heading 3 Char Car Char"/>
    <w:link w:val="Heading3"/>
    <w:qFormat/>
    <w:rsid w:val="00AD7358"/>
    <w:rPr>
      <w:rFonts w:ascii="Arial" w:hAnsi="Arial"/>
      <w:b/>
      <w:szCs w:val="26"/>
      <w:lang w:val="en-GB" w:eastAsia="x-none"/>
    </w:rPr>
  </w:style>
  <w:style w:type="paragraph" w:customStyle="1" w:styleId="TdocHeader2">
    <w:name w:val="Tdoc_Header_2"/>
    <w:basedOn w:val="Normal"/>
    <w:qFormat/>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Heading1"/>
    <w:next w:val="BodyText"/>
    <w:autoRedefine/>
    <w:qFormat/>
    <w:pPr>
      <w:numPr>
        <w:numId w:val="0"/>
      </w:numPr>
      <w:tabs>
        <w:tab w:val="num" w:pos="360"/>
      </w:tabs>
      <w:spacing w:after="120"/>
      <w:ind w:left="357" w:hanging="357"/>
      <w:jc w:val="both"/>
    </w:pPr>
    <w:rPr>
      <w:bCs w:val="0"/>
      <w:noProof/>
      <w:kern w:val="28"/>
      <w:sz w:val="24"/>
      <w:szCs w:val="20"/>
      <w:lang w:val="en-US"/>
    </w:rPr>
  </w:style>
  <w:style w:type="paragraph" w:styleId="BodyText">
    <w:name w:val="Body Text"/>
    <w:aliases w:val="bt"/>
    <w:basedOn w:val="Normal"/>
    <w:link w:val="BodyTextChar"/>
    <w:pPr>
      <w:spacing w:after="120"/>
      <w:jc w:val="both"/>
    </w:pPr>
    <w:rPr>
      <w:lang w:eastAsia="x-none"/>
    </w:rPr>
  </w:style>
  <w:style w:type="paragraph" w:customStyle="1" w:styleId="TdocHeader1">
    <w:name w:val="Tdoc_Header_1"/>
    <w:basedOn w:val="Header"/>
    <w:qFormat/>
    <w:pPr>
      <w:widowControl w:val="0"/>
      <w:tabs>
        <w:tab w:val="clear" w:pos="4536"/>
        <w:tab w:val="right" w:pos="10206"/>
      </w:tabs>
      <w:jc w:val="both"/>
    </w:pPr>
    <w:rPr>
      <w:rFonts w:ascii="Arial" w:hAnsi="Arial"/>
      <w:b/>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qFormat/>
    <w:pPr>
      <w:tabs>
        <w:tab w:val="center" w:pos="4536"/>
        <w:tab w:val="right" w:pos="9072"/>
      </w:tabs>
    </w:pPr>
  </w:style>
  <w:style w:type="paragraph" w:styleId="FootnoteText">
    <w:name w:val="footnote text"/>
    <w:basedOn w:val="Normal"/>
    <w:link w:val="FootnoteTextChar"/>
    <w:semiHidden/>
    <w:qFormat/>
    <w:pPr>
      <w:jc w:val="both"/>
    </w:pPr>
    <w:rPr>
      <w:szCs w:val="20"/>
      <w:lang w:val="x-none" w:eastAsia="x-none"/>
    </w:rPr>
  </w:style>
  <w:style w:type="paragraph" w:styleId="DocumentMap">
    <w:name w:val="Document Map"/>
    <w:basedOn w:val="Normal"/>
    <w:link w:val="DocumentMapChar"/>
    <w:semiHidden/>
    <w:qFormat/>
    <w:pPr>
      <w:shd w:val="clear" w:color="auto" w:fill="000080"/>
    </w:pPr>
    <w:rPr>
      <w:rFonts w:ascii="Tahoma" w:hAnsi="Tahoma"/>
      <w:lang w:eastAsia="x-none"/>
    </w:rPr>
  </w:style>
  <w:style w:type="paragraph" w:customStyle="1" w:styleId="TdocHeading2">
    <w:name w:val="Tdoc_Heading_2"/>
    <w:basedOn w:val="Normal"/>
    <w:qFormat/>
  </w:style>
  <w:style w:type="character" w:styleId="Hyperlink">
    <w:name w:val="Hyperlink"/>
    <w:uiPriority w:val="99"/>
    <w:qFormat/>
    <w:rPr>
      <w:color w:val="0000FF"/>
      <w:u w:val="single"/>
    </w:rPr>
  </w:style>
  <w:style w:type="character" w:styleId="FollowedHyperlink">
    <w:name w:val="FollowedHyperlink"/>
    <w:qFormat/>
    <w:rsid w:val="00BA58CC"/>
    <w:rPr>
      <w:color w:val="0000FF"/>
      <w:u w:val="single"/>
    </w:rPr>
  </w:style>
  <w:style w:type="paragraph" w:styleId="BalloonText">
    <w:name w:val="Balloon Text"/>
    <w:basedOn w:val="Normal"/>
    <w:link w:val="BalloonTextChar"/>
    <w:semiHidden/>
    <w:rPr>
      <w:rFonts w:ascii="Tahoma" w:hAnsi="Tahoma"/>
      <w:sz w:val="16"/>
      <w:szCs w:val="16"/>
      <w:lang w:eastAsia="x-none"/>
    </w:rPr>
  </w:style>
  <w:style w:type="paragraph" w:customStyle="1" w:styleId="NO">
    <w:name w:val="NO"/>
    <w:basedOn w:val="Normal"/>
    <w:rsid w:val="00663BC6"/>
    <w:pPr>
      <w:keepLines/>
      <w:ind w:left="1135" w:hanging="851"/>
    </w:pPr>
    <w:rPr>
      <w:rFonts w:ascii="Times New Roman" w:hAnsi="Times New Roman"/>
      <w:sz w:val="24"/>
      <w:szCs w:val="20"/>
    </w:rPr>
  </w:style>
  <w:style w:type="paragraph" w:customStyle="1" w:styleId="h1">
    <w:name w:val="h1"/>
    <w:basedOn w:val="Normal"/>
    <w:qFormat/>
  </w:style>
  <w:style w:type="paragraph" w:styleId="NormalWeb">
    <w:name w:val="Normal (Web)"/>
    <w:basedOn w:val="Normal"/>
    <w:uiPriority w:val="99"/>
    <w:qFormat/>
    <w:rsid w:val="00DF3AA6"/>
    <w:pPr>
      <w:spacing w:before="100" w:beforeAutospacing="1" w:after="100" w:afterAutospacing="1"/>
    </w:pPr>
    <w:rPr>
      <w:rFonts w:ascii="Arial" w:eastAsia="SimSun" w:hAnsi="Arial" w:cs="Arial"/>
      <w:color w:val="493118"/>
      <w:sz w:val="18"/>
      <w:szCs w:val="18"/>
      <w:lang w:val="en-US" w:eastAsia="zh-CN"/>
    </w:rPr>
  </w:style>
  <w:style w:type="table" w:styleId="TableGrid">
    <w:name w:val="Table Grid"/>
    <w:aliases w:val="TableGrid"/>
    <w:basedOn w:val="TableNormal"/>
    <w:uiPriority w:val="39"/>
    <w:qFormat/>
    <w:rsid w:val="009D74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3507CD"/>
    <w:pPr>
      <w:tabs>
        <w:tab w:val="left" w:pos="403"/>
        <w:tab w:val="right" w:leader="dot" w:pos="9631"/>
      </w:tabs>
      <w:spacing w:before="120" w:after="120"/>
    </w:pPr>
    <w:rPr>
      <w:rFonts w:ascii="Times New Roman" w:eastAsia="Times New Roman" w:hAnsi="Times New Roman"/>
      <w:b/>
      <w:bCs/>
      <w:caps/>
      <w:szCs w:val="20"/>
      <w:lang w:val="en-US"/>
    </w:rPr>
  </w:style>
  <w:style w:type="paragraph" w:styleId="TOC2">
    <w:name w:val="toc 2"/>
    <w:basedOn w:val="Normal"/>
    <w:next w:val="Normal"/>
    <w:autoRedefine/>
    <w:uiPriority w:val="39"/>
    <w:qFormat/>
    <w:rsid w:val="00576214"/>
    <w:pPr>
      <w:tabs>
        <w:tab w:val="left" w:pos="960"/>
        <w:tab w:val="right" w:leader="dot" w:pos="9631"/>
      </w:tabs>
      <w:ind w:left="238"/>
    </w:pPr>
    <w:rPr>
      <w:rFonts w:ascii="Times New Roman" w:eastAsia="Times New Roman" w:hAnsi="Times New Roman"/>
      <w:smallCaps/>
      <w:szCs w:val="20"/>
      <w:lang w:val="en-US"/>
    </w:rPr>
  </w:style>
  <w:style w:type="paragraph" w:styleId="TOC3">
    <w:name w:val="toc 3"/>
    <w:basedOn w:val="Normal"/>
    <w:next w:val="Normal"/>
    <w:autoRedefine/>
    <w:uiPriority w:val="39"/>
    <w:rsid w:val="00760DA2"/>
    <w:pPr>
      <w:tabs>
        <w:tab w:val="left" w:pos="1200"/>
        <w:tab w:val="right" w:leader="dot" w:pos="9631"/>
      </w:tabs>
      <w:ind w:left="403"/>
    </w:pPr>
  </w:style>
  <w:style w:type="paragraph" w:styleId="TOC4">
    <w:name w:val="toc 4"/>
    <w:basedOn w:val="Normal"/>
    <w:next w:val="Normal"/>
    <w:autoRedefine/>
    <w:uiPriority w:val="39"/>
    <w:qFormat/>
    <w:rsid w:val="00576214"/>
    <w:pPr>
      <w:tabs>
        <w:tab w:val="left" w:pos="1440"/>
        <w:tab w:val="right" w:leader="dot" w:pos="9631"/>
      </w:tabs>
      <w:ind w:left="601"/>
    </w:pPr>
  </w:style>
  <w:style w:type="paragraph" w:customStyle="1" w:styleId="CharChar1CharCharCharCharCharCharCharCharCharCharCharCharCharCharChar">
    <w:name w:val="Char Char1 Char Char Char Char Char Char Char Char Char Char Char Char Char Char Char"/>
    <w:semiHidden/>
    <w:rsid w:val="00C52CB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Date">
    <w:name w:val="Date"/>
    <w:basedOn w:val="Normal"/>
    <w:next w:val="Normal"/>
    <w:link w:val="DateChar"/>
    <w:rsid w:val="00EF0E8D"/>
    <w:rPr>
      <w:lang w:eastAsia="x-none"/>
    </w:rPr>
  </w:style>
  <w:style w:type="paragraph" w:customStyle="1" w:styleId="Default">
    <w:name w:val="Default"/>
    <w:rsid w:val="00C86A54"/>
    <w:pPr>
      <w:autoSpaceDE w:val="0"/>
      <w:autoSpaceDN w:val="0"/>
      <w:adjustRightInd w:val="0"/>
      <w:ind w:left="720" w:hanging="360"/>
    </w:pPr>
    <w:rPr>
      <w:rFonts w:ascii="Arial" w:eastAsia="SimSun" w:hAnsi="Arial" w:cs="Arial"/>
      <w:color w:val="000000"/>
      <w:sz w:val="24"/>
      <w:szCs w:val="24"/>
    </w:rPr>
  </w:style>
  <w:style w:type="paragraph" w:customStyle="1" w:styleId="3GPPNormalText">
    <w:name w:val="3GPP Normal Text"/>
    <w:basedOn w:val="BodyText"/>
    <w:link w:val="3GPPNormalTextChar"/>
    <w:qFormat/>
    <w:rsid w:val="00340BB9"/>
    <w:rPr>
      <w:rFonts w:ascii="Times New Roman" w:eastAsia="MS Mincho" w:hAnsi="Times New Roman"/>
      <w:sz w:val="22"/>
      <w:lang w:val="x-none"/>
    </w:rPr>
  </w:style>
  <w:style w:type="character" w:customStyle="1" w:styleId="3GPPNormalTextChar">
    <w:name w:val="3GPP Normal Text Char"/>
    <w:link w:val="3GPPNormalText"/>
    <w:rsid w:val="00340BB9"/>
    <w:rPr>
      <w:rFonts w:eastAsia="MS Mincho"/>
      <w:sz w:val="22"/>
      <w:szCs w:val="24"/>
      <w:lang w:val="x-none" w:eastAsia="x-none" w:bidi="ar-SA"/>
    </w:rPr>
  </w:style>
  <w:style w:type="paragraph" w:customStyle="1" w:styleId="References">
    <w:name w:val="References"/>
    <w:basedOn w:val="Normal"/>
    <w:rsid w:val="001F26AA"/>
    <w:pPr>
      <w:numPr>
        <w:ilvl w:val="2"/>
        <w:numId w:val="1"/>
      </w:numPr>
    </w:pPr>
    <w:rPr>
      <w:rFonts w:ascii="Times New Roman" w:eastAsia="Times New Roman" w:hAnsi="Times New Roman"/>
      <w:lang w:val="en-US"/>
    </w:rPr>
  </w:style>
  <w:style w:type="paragraph" w:customStyle="1" w:styleId="Statement">
    <w:name w:val="Statement"/>
    <w:basedOn w:val="Normal"/>
    <w:qFormat/>
    <w:rsid w:val="00433E6F"/>
    <w:pPr>
      <w:keepNext/>
      <w:ind w:left="601" w:hanging="601"/>
    </w:pPr>
    <w:rPr>
      <w:rFonts w:ascii="Times New Roman" w:hAnsi="Times New Roman"/>
      <w:b/>
      <w:i/>
      <w:lang w:val="en-US" w:eastAsia="ko-KR"/>
    </w:rPr>
  </w:style>
  <w:style w:type="paragraph" w:customStyle="1" w:styleId="B1">
    <w:name w:val="B1"/>
    <w:basedOn w:val="List"/>
    <w:link w:val="B10"/>
    <w:qFormat/>
    <w:rsid w:val="00D9550F"/>
    <w:pPr>
      <w:spacing w:after="180"/>
      <w:ind w:left="568" w:hanging="284"/>
    </w:pPr>
    <w:rPr>
      <w:rFonts w:ascii="Times New Roman" w:eastAsia="MS Mincho" w:hAnsi="Times New Roman"/>
      <w:szCs w:val="20"/>
    </w:rPr>
  </w:style>
  <w:style w:type="paragraph" w:customStyle="1" w:styleId="B2">
    <w:name w:val="B2"/>
    <w:basedOn w:val="List2"/>
    <w:link w:val="B2Char"/>
    <w:qFormat/>
    <w:rsid w:val="00D9550F"/>
    <w:pPr>
      <w:spacing w:after="180"/>
      <w:ind w:left="851" w:hanging="284"/>
    </w:pPr>
    <w:rPr>
      <w:rFonts w:ascii="Times New Roman" w:eastAsia="MS Mincho" w:hAnsi="Times New Roman"/>
      <w:szCs w:val="20"/>
    </w:rPr>
  </w:style>
  <w:style w:type="character" w:customStyle="1" w:styleId="B10">
    <w:name w:val="B1 (文字)"/>
    <w:link w:val="B1"/>
    <w:qFormat/>
    <w:rsid w:val="00D9550F"/>
    <w:rPr>
      <w:rFonts w:eastAsia="MS Mincho"/>
      <w:lang w:val="en-GB" w:eastAsia="en-US" w:bidi="ar-SA"/>
    </w:rPr>
  </w:style>
  <w:style w:type="character" w:customStyle="1" w:styleId="B2Char">
    <w:name w:val="B2 Char"/>
    <w:link w:val="B2"/>
    <w:qFormat/>
    <w:rsid w:val="00D9550F"/>
    <w:rPr>
      <w:rFonts w:eastAsia="MS Mincho"/>
      <w:lang w:val="en-GB" w:eastAsia="en-US" w:bidi="ar-SA"/>
    </w:rPr>
  </w:style>
  <w:style w:type="paragraph" w:styleId="List">
    <w:name w:val="List"/>
    <w:basedOn w:val="Normal"/>
    <w:qFormat/>
    <w:rsid w:val="00D9550F"/>
    <w:pPr>
      <w:ind w:left="283" w:hanging="283"/>
    </w:pPr>
  </w:style>
  <w:style w:type="paragraph" w:styleId="List2">
    <w:name w:val="List 2"/>
    <w:basedOn w:val="Normal"/>
    <w:rsid w:val="00D9550F"/>
    <w:pPr>
      <w:ind w:left="566" w:hanging="283"/>
    </w:pPr>
  </w:style>
  <w:style w:type="paragraph" w:styleId="TOC5">
    <w:name w:val="toc 5"/>
    <w:basedOn w:val="Normal"/>
    <w:next w:val="Normal"/>
    <w:autoRedefine/>
    <w:rsid w:val="00576214"/>
    <w:pPr>
      <w:ind w:left="960"/>
    </w:pPr>
    <w:rPr>
      <w:rFonts w:ascii="Times New Roman" w:eastAsia="MS Mincho" w:hAnsi="Times New Roman"/>
      <w:sz w:val="24"/>
      <w:lang w:eastAsia="ja-JP"/>
    </w:rPr>
  </w:style>
  <w:style w:type="paragraph" w:styleId="TOC6">
    <w:name w:val="toc 6"/>
    <w:basedOn w:val="Normal"/>
    <w:next w:val="Normal"/>
    <w:autoRedefine/>
    <w:uiPriority w:val="39"/>
    <w:rsid w:val="00576214"/>
    <w:pPr>
      <w:ind w:left="1200"/>
    </w:pPr>
    <w:rPr>
      <w:rFonts w:ascii="Times New Roman" w:eastAsia="MS Mincho" w:hAnsi="Times New Roman"/>
      <w:sz w:val="24"/>
      <w:lang w:eastAsia="ja-JP"/>
    </w:rPr>
  </w:style>
  <w:style w:type="paragraph" w:styleId="TOC7">
    <w:name w:val="toc 7"/>
    <w:basedOn w:val="Normal"/>
    <w:next w:val="Normal"/>
    <w:autoRedefine/>
    <w:uiPriority w:val="39"/>
    <w:rsid w:val="00576214"/>
    <w:rPr>
      <w:rFonts w:ascii="Times New Roman" w:eastAsia="MS Mincho" w:hAnsi="Times New Roman"/>
      <w:sz w:val="24"/>
      <w:lang w:eastAsia="ja-JP"/>
    </w:rPr>
  </w:style>
  <w:style w:type="paragraph" w:styleId="TOC8">
    <w:name w:val="toc 8"/>
    <w:basedOn w:val="Normal"/>
    <w:next w:val="Normal"/>
    <w:autoRedefine/>
    <w:uiPriority w:val="39"/>
    <w:qFormat/>
    <w:rsid w:val="00576214"/>
    <w:pPr>
      <w:ind w:left="1680"/>
    </w:pPr>
    <w:rPr>
      <w:rFonts w:ascii="Times New Roman" w:eastAsia="MS Mincho" w:hAnsi="Times New Roman"/>
      <w:sz w:val="24"/>
      <w:lang w:eastAsia="ja-JP"/>
    </w:rPr>
  </w:style>
  <w:style w:type="paragraph" w:styleId="TOC9">
    <w:name w:val="toc 9"/>
    <w:basedOn w:val="Normal"/>
    <w:next w:val="Normal"/>
    <w:autoRedefine/>
    <w:uiPriority w:val="39"/>
    <w:rsid w:val="00576214"/>
    <w:pPr>
      <w:ind w:left="1920"/>
    </w:pPr>
    <w:rPr>
      <w:rFonts w:ascii="Times New Roman" w:eastAsia="MS Mincho" w:hAnsi="Times New Roman"/>
      <w:sz w:val="24"/>
      <w:lang w:eastAsia="ja-JP"/>
    </w:rPr>
  </w:style>
  <w:style w:type="character" w:customStyle="1" w:styleId="Alcatel-Lucent-4">
    <w:name w:val="Alcatel-Lucent-4"/>
    <w:semiHidden/>
    <w:rsid w:val="00497676"/>
    <w:rPr>
      <w:rFonts w:ascii="Arial" w:hAnsi="Arial" w:cs="Arial"/>
      <w:color w:val="auto"/>
      <w:sz w:val="20"/>
      <w:szCs w:val="20"/>
    </w:rPr>
  </w:style>
  <w:style w:type="paragraph" w:styleId="Caption">
    <w:name w:val="caption"/>
    <w:aliases w:val="cap,cap Char,Caption Char,Caption Char1 Char,cap Char Char1,Caption Char Char1 Char,cap Char2,条目,cap Char Char Char Char Char Char Char,cap1,cap2,cap11,Légende-figure,Légende-figure Char,Beschrifubg,Beschriftung Char,label,cap11 Char,captions"/>
    <w:basedOn w:val="Normal"/>
    <w:next w:val="Normal"/>
    <w:link w:val="CaptionChar1"/>
    <w:uiPriority w:val="35"/>
    <w:qFormat/>
    <w:rsid w:val="005E60B4"/>
    <w:pPr>
      <w:suppressAutoHyphens/>
      <w:overflowPunct w:val="0"/>
      <w:autoSpaceDE w:val="0"/>
      <w:spacing w:before="120" w:after="120"/>
      <w:textAlignment w:val="baseline"/>
    </w:pPr>
    <w:rPr>
      <w:rFonts w:ascii="Times New Roman" w:eastAsia="Times New Roman" w:hAnsi="Times New Roman"/>
      <w:b/>
      <w:szCs w:val="20"/>
      <w:lang w:eastAsia="ar-SA"/>
    </w:rPr>
  </w:style>
  <w:style w:type="character" w:customStyle="1" w:styleId="B1Char1">
    <w:name w:val="B1 Char1"/>
    <w:qFormat/>
    <w:rsid w:val="00FC4578"/>
    <w:rPr>
      <w:rFonts w:ascii="Times New Roman" w:hAnsi="Times New Roman"/>
      <w:lang w:val="en-GB" w:eastAsia="en-US"/>
    </w:rPr>
  </w:style>
  <w:style w:type="numbering" w:customStyle="1" w:styleId="StyleBulleted">
    <w:name w:val="Style Bulleted"/>
    <w:rsid w:val="0024705D"/>
    <w:pPr>
      <w:numPr>
        <w:numId w:val="2"/>
      </w:numPr>
    </w:pPr>
  </w:style>
  <w:style w:type="character" w:styleId="CommentReference">
    <w:name w:val="annotation reference"/>
    <w:semiHidden/>
    <w:qFormat/>
    <w:rsid w:val="000E4594"/>
    <w:rPr>
      <w:sz w:val="16"/>
      <w:szCs w:val="16"/>
    </w:rPr>
  </w:style>
  <w:style w:type="paragraph" w:styleId="CommentText">
    <w:name w:val="annotation text"/>
    <w:basedOn w:val="Normal"/>
    <w:link w:val="CommentTextChar"/>
    <w:semiHidden/>
    <w:rsid w:val="000E4594"/>
    <w:rPr>
      <w:szCs w:val="20"/>
    </w:rPr>
  </w:style>
  <w:style w:type="paragraph" w:styleId="CommentSubject">
    <w:name w:val="annotation subject"/>
    <w:basedOn w:val="CommentText"/>
    <w:next w:val="CommentText"/>
    <w:link w:val="CommentSubjectChar"/>
    <w:semiHidden/>
    <w:rsid w:val="000E4594"/>
    <w:rPr>
      <w:b/>
      <w:bCs/>
      <w:lang w:eastAsia="x-none"/>
    </w:rPr>
  </w:style>
  <w:style w:type="paragraph" w:customStyle="1" w:styleId="EQ">
    <w:name w:val="EQ"/>
    <w:basedOn w:val="Normal"/>
    <w:next w:val="Normal"/>
    <w:rsid w:val="00B07870"/>
    <w:pPr>
      <w:keepLines/>
      <w:tabs>
        <w:tab w:val="center" w:pos="4536"/>
        <w:tab w:val="right" w:pos="9072"/>
      </w:tabs>
      <w:spacing w:after="180"/>
    </w:pPr>
    <w:rPr>
      <w:rFonts w:ascii="Times New Roman" w:eastAsia="Times New Roman" w:hAnsi="Times New Roman"/>
      <w:noProof/>
      <w:szCs w:val="20"/>
    </w:rPr>
  </w:style>
  <w:style w:type="paragraph" w:customStyle="1" w:styleId="TAL">
    <w:name w:val="TAL"/>
    <w:basedOn w:val="Normal"/>
    <w:link w:val="TALChar"/>
    <w:qFormat/>
    <w:rsid w:val="001F1F9F"/>
    <w:pPr>
      <w:keepNext/>
      <w:keepLines/>
    </w:pPr>
    <w:rPr>
      <w:rFonts w:ascii="Arial" w:eastAsia="MS Mincho" w:hAnsi="Arial"/>
      <w:sz w:val="18"/>
      <w:szCs w:val="20"/>
    </w:rPr>
  </w:style>
  <w:style w:type="paragraph" w:customStyle="1" w:styleId="TAC">
    <w:name w:val="TAC"/>
    <w:basedOn w:val="Normal"/>
    <w:link w:val="TACChar"/>
    <w:qFormat/>
    <w:rsid w:val="004B2C15"/>
    <w:pPr>
      <w:keepLines/>
      <w:spacing w:before="40" w:after="40"/>
      <w:jc w:val="center"/>
    </w:pPr>
    <w:rPr>
      <w:rFonts w:ascii="Times New Roman" w:eastAsia="SimSun" w:hAnsi="Times New Roman"/>
      <w:szCs w:val="20"/>
      <w:lang w:eastAsia="x-none"/>
    </w:rPr>
  </w:style>
  <w:style w:type="paragraph" w:customStyle="1" w:styleId="TAH">
    <w:name w:val="TAH"/>
    <w:basedOn w:val="TAC"/>
    <w:link w:val="TAHCar"/>
    <w:qFormat/>
    <w:rsid w:val="001B1B36"/>
    <w:pPr>
      <w:keepNext/>
      <w:overflowPunct w:val="0"/>
      <w:autoSpaceDE w:val="0"/>
      <w:autoSpaceDN w:val="0"/>
      <w:adjustRightInd w:val="0"/>
      <w:spacing w:before="0" w:after="0"/>
      <w:textAlignment w:val="baseline"/>
    </w:pPr>
    <w:rPr>
      <w:rFonts w:ascii="Arial" w:eastAsia="Times New Roman" w:hAnsi="Arial"/>
      <w:b/>
      <w:sz w:val="18"/>
      <w:lang w:eastAsia="en-GB"/>
    </w:rPr>
  </w:style>
  <w:style w:type="paragraph" w:customStyle="1" w:styleId="ZchnZchn">
    <w:name w:val="Zchn Zchn"/>
    <w:rsid w:val="000264DF"/>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styleId="ListBullet">
    <w:name w:val="List Bullet"/>
    <w:basedOn w:val="Normal"/>
    <w:uiPriority w:val="99"/>
    <w:rsid w:val="00767762"/>
    <w:pPr>
      <w:widowControl w:val="0"/>
      <w:numPr>
        <w:numId w:val="3"/>
      </w:numPr>
      <w:ind w:hangingChars="200" w:hanging="200"/>
      <w:jc w:val="both"/>
    </w:pPr>
    <w:rPr>
      <w:rFonts w:ascii="Times New Roman" w:eastAsia="MS Gothic" w:hAnsi="Times New Roman"/>
      <w:kern w:val="2"/>
      <w:szCs w:val="20"/>
      <w:lang w:val="en-US" w:eastAsia="ja-JP"/>
    </w:rPr>
  </w:style>
  <w:style w:type="paragraph" w:customStyle="1" w:styleId="ListParagraph1">
    <w:name w:val="List Paragraph1"/>
    <w:basedOn w:val="Normal"/>
    <w:qFormat/>
    <w:rsid w:val="00F9036E"/>
    <w:pPr>
      <w:ind w:left="720"/>
      <w:contextualSpacing/>
    </w:pPr>
    <w:rPr>
      <w:rFonts w:ascii="Times New Roman" w:eastAsia="Times New Roman" w:hAnsi="Times New Roman"/>
      <w:sz w:val="24"/>
      <w:lang w:val="en-US" w:eastAsia="zh-CN"/>
    </w:rPr>
  </w:style>
  <w:style w:type="paragraph" w:customStyle="1" w:styleId="StatementBody">
    <w:name w:val="Statement Body"/>
    <w:basedOn w:val="Normal"/>
    <w:link w:val="StatementBodyChar"/>
    <w:rsid w:val="0002338E"/>
    <w:pPr>
      <w:numPr>
        <w:numId w:val="4"/>
      </w:numPr>
      <w:spacing w:after="100" w:afterAutospacing="1"/>
      <w:contextualSpacing/>
    </w:pPr>
    <w:rPr>
      <w:rFonts w:ascii="Times New Roman" w:eastAsia="Times New Roman" w:hAnsi="Times New Roman"/>
      <w:lang w:val="x-none" w:eastAsia="ko-KR"/>
    </w:rPr>
  </w:style>
  <w:style w:type="character" w:customStyle="1" w:styleId="StatementBodyChar">
    <w:name w:val="Statement Body Char"/>
    <w:link w:val="StatementBody"/>
    <w:rsid w:val="0002338E"/>
    <w:rPr>
      <w:rFonts w:eastAsia="Times New Roman"/>
      <w:szCs w:val="24"/>
      <w:lang w:val="x-none" w:eastAsia="ko-KR"/>
    </w:rPr>
  </w:style>
  <w:style w:type="character" w:customStyle="1" w:styleId="CommentTextChar">
    <w:name w:val="Comment Text Char"/>
    <w:link w:val="CommentText"/>
    <w:qFormat/>
    <w:rsid w:val="0090736B"/>
    <w:rPr>
      <w:rFonts w:ascii="Times" w:eastAsia="Batang" w:hAnsi="Times"/>
      <w:lang w:val="en-GB" w:eastAsia="en-US" w:bidi="ar-SA"/>
    </w:rPr>
  </w:style>
  <w:style w:type="character" w:customStyle="1" w:styleId="B1Zchn">
    <w:name w:val="B1 Zchn"/>
    <w:rsid w:val="00030A7A"/>
    <w:rPr>
      <w:rFonts w:eastAsia="SimSun"/>
      <w:lang w:val="en-US" w:eastAsia="en-US" w:bidi="ar-SA"/>
    </w:rPr>
  </w:style>
  <w:style w:type="paragraph" w:customStyle="1" w:styleId="StyleHeading1NMPHeading1H1h11h12h13h14h15h16appheadin">
    <w:name w:val="Style Heading 1NMP Heading 1H1h11h12h13h14h15h16app headin..."/>
    <w:basedOn w:val="Heading1"/>
    <w:qFormat/>
    <w:rsid w:val="00F74211"/>
    <w:pPr>
      <w:numPr>
        <w:numId w:val="0"/>
      </w:numPr>
      <w:tabs>
        <w:tab w:val="num" w:pos="432"/>
      </w:tabs>
      <w:ind w:left="432" w:hanging="432"/>
    </w:pPr>
    <w:rPr>
      <w:sz w:val="28"/>
    </w:rPr>
  </w:style>
  <w:style w:type="character" w:customStyle="1" w:styleId="Alcatel-Lucent2">
    <w:name w:val="Alcatel-Lucent2"/>
    <w:semiHidden/>
    <w:qFormat/>
    <w:rsid w:val="001D4739"/>
    <w:rPr>
      <w:rFonts w:ascii="Arial" w:hAnsi="Arial" w:cs="Arial"/>
      <w:color w:val="auto"/>
      <w:sz w:val="20"/>
      <w:szCs w:val="20"/>
    </w:rPr>
  </w:style>
  <w:style w:type="character" w:customStyle="1" w:styleId="UnresolvedMention1">
    <w:name w:val="Unresolved Mention1"/>
    <w:uiPriority w:val="99"/>
    <w:semiHidden/>
    <w:unhideWhenUsed/>
    <w:rsid w:val="00760DA2"/>
    <w:rPr>
      <w:color w:val="808080"/>
      <w:shd w:val="clear" w:color="auto" w:fill="E6E6E6"/>
    </w:rPr>
  </w:style>
  <w:style w:type="paragraph" w:styleId="Footer">
    <w:name w:val="footer"/>
    <w:basedOn w:val="Normal"/>
    <w:link w:val="FooterChar"/>
    <w:qFormat/>
    <w:rsid w:val="006F1736"/>
    <w:pPr>
      <w:tabs>
        <w:tab w:val="center" w:pos="4153"/>
        <w:tab w:val="right" w:pos="8306"/>
      </w:tabs>
    </w:pPr>
  </w:style>
  <w:style w:type="character" w:styleId="Emphasis">
    <w:name w:val="Emphasis"/>
    <w:uiPriority w:val="20"/>
    <w:qFormat/>
    <w:rsid w:val="00D0004C"/>
    <w:rPr>
      <w:i/>
      <w:iCs/>
    </w:rPr>
  </w:style>
  <w:style w:type="paragraph" w:customStyle="1" w:styleId="Comments">
    <w:name w:val="Comments"/>
    <w:basedOn w:val="Normal"/>
    <w:link w:val="CommentsChar"/>
    <w:qFormat/>
    <w:rsid w:val="00D0004C"/>
    <w:pPr>
      <w:spacing w:before="40"/>
    </w:pPr>
    <w:rPr>
      <w:rFonts w:ascii="Arial" w:eastAsia="MS Mincho" w:hAnsi="Arial"/>
      <w:i/>
      <w:sz w:val="18"/>
      <w:lang w:eastAsia="en-GB"/>
    </w:rPr>
  </w:style>
  <w:style w:type="character" w:customStyle="1" w:styleId="CommentsChar">
    <w:name w:val="Comments Char"/>
    <w:link w:val="Comments"/>
    <w:qFormat/>
    <w:rsid w:val="00D0004C"/>
    <w:rPr>
      <w:rFonts w:ascii="Arial" w:eastAsia="MS Mincho" w:hAnsi="Arial"/>
      <w:i/>
      <w:sz w:val="18"/>
      <w:szCs w:val="24"/>
      <w:lang w:val="en-GB" w:eastAsia="en-GB" w:bidi="ar-SA"/>
    </w:rPr>
  </w:style>
  <w:style w:type="character" w:customStyle="1" w:styleId="5">
    <w:name w:val="(文字) (文字)5"/>
    <w:semiHidden/>
    <w:rsid w:val="00EF5B0E"/>
    <w:rPr>
      <w:rFonts w:ascii="Times New Roman" w:hAnsi="Times New Roman"/>
      <w:lang w:eastAsia="en-US"/>
    </w:rPr>
  </w:style>
  <w:style w:type="paragraph" w:styleId="ListParagraph">
    <w:name w:val="List Paragraph"/>
    <w:aliases w:val="- Bullets,¥¡¡¡¡ì¬º¥¹¥È¶ÎÂä,?? ??,?????,????,Lista1,ÁÐ³ö¶ÎÂä,列出段落1,中等深浅网格 1 - 着色 21,列表段落1,—ño’i—Ž,¥ê¥¹¥È¶ÎÂä,1st level - Bullet List Paragraph,Lettre d'introduction,Paragrafo elenco,Normal bullet 2,Bullet list,목록단락,列表段落11,목록 단락,列,列表段,P"/>
    <w:basedOn w:val="Normal"/>
    <w:link w:val="ListParagraphChar"/>
    <w:uiPriority w:val="34"/>
    <w:qFormat/>
    <w:rsid w:val="00C87463"/>
    <w:pPr>
      <w:ind w:leftChars="400" w:left="840"/>
    </w:pPr>
    <w:rPr>
      <w:lang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qFormat/>
    <w:rsid w:val="00CE4D6A"/>
    <w:rPr>
      <w:rFonts w:ascii="Arial" w:hAnsi="Arial"/>
      <w:b/>
      <w:i/>
      <w:szCs w:val="26"/>
      <w:lang w:val="en-GB"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00D35"/>
    <w:rPr>
      <w:rFonts w:ascii="Times" w:hAnsi="Times"/>
      <w:szCs w:val="24"/>
      <w:lang w:val="en-GB" w:eastAsia="en-US"/>
    </w:rPr>
  </w:style>
  <w:style w:type="paragraph" w:customStyle="1" w:styleId="TableCell">
    <w:name w:val="TableCell"/>
    <w:basedOn w:val="Normal"/>
    <w:qFormat/>
    <w:rsid w:val="005539CC"/>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FooterChar">
    <w:name w:val="Footer Char"/>
    <w:link w:val="Footer"/>
    <w:rsid w:val="005539CC"/>
    <w:rPr>
      <w:rFonts w:ascii="Times" w:hAnsi="Times"/>
      <w:szCs w:val="24"/>
      <w:lang w:val="en-GB" w:eastAsia="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1 Char,cap2 Char,cap11 Char1,Légende-figure Char1"/>
    <w:link w:val="Caption"/>
    <w:uiPriority w:val="35"/>
    <w:rsid w:val="000A3E0C"/>
    <w:rPr>
      <w:rFonts w:eastAsia="Times New Roman"/>
      <w:b/>
      <w:lang w:val="en-GB" w:eastAsia="ar-SA"/>
    </w:rPr>
  </w:style>
  <w:style w:type="character" w:styleId="Strong">
    <w:name w:val="Strong"/>
    <w:uiPriority w:val="22"/>
    <w:qFormat/>
    <w:rsid w:val="000A3E0C"/>
    <w:rPr>
      <w:b/>
      <w:bCs/>
    </w:rPr>
  </w:style>
  <w:style w:type="character" w:customStyle="1" w:styleId="TALChar">
    <w:name w:val="TAL Char"/>
    <w:link w:val="TAL"/>
    <w:locked/>
    <w:rsid w:val="009F0D97"/>
    <w:rPr>
      <w:rFonts w:ascii="Arial" w:eastAsia="MS Mincho" w:hAnsi="Arial"/>
      <w:sz w:val="18"/>
      <w:lang w:val="en-GB" w:eastAsia="en-US"/>
    </w:rPr>
  </w:style>
  <w:style w:type="character" w:customStyle="1" w:styleId="TALCar">
    <w:name w:val="TAL Car"/>
    <w:rsid w:val="00F033C4"/>
    <w:rPr>
      <w:rFonts w:ascii="Arial" w:eastAsia="Times New Roman" w:hAnsi="Arial" w:cs="Times New Roman"/>
      <w:sz w:val="18"/>
      <w:szCs w:val="20"/>
      <w:lang w:val="en-GB" w:eastAsia="en-GB"/>
    </w:rPr>
  </w:style>
  <w:style w:type="paragraph" w:customStyle="1" w:styleId="TH">
    <w:name w:val="TH"/>
    <w:basedOn w:val="Normal"/>
    <w:link w:val="THChar"/>
    <w:rsid w:val="00F033C4"/>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qFormat/>
    <w:rsid w:val="00F033C4"/>
    <w:rPr>
      <w:rFonts w:ascii="Arial" w:eastAsia="Times New Roman" w:hAnsi="Arial"/>
      <w:b/>
      <w:lang w:val="en-GB" w:eastAsia="en-GB"/>
    </w:rPr>
  </w:style>
  <w:style w:type="character" w:customStyle="1" w:styleId="TAHCar">
    <w:name w:val="TAH Car"/>
    <w:link w:val="TAH"/>
    <w:qFormat/>
    <w:locked/>
    <w:rsid w:val="00F033C4"/>
    <w:rPr>
      <w:rFonts w:ascii="Arial" w:eastAsia="Times New Roman" w:hAnsi="Arial"/>
      <w:b/>
      <w:sz w:val="18"/>
      <w:lang w:val="en-GB" w:eastAsia="en-GB"/>
    </w:rPr>
  </w:style>
  <w:style w:type="numbering" w:customStyle="1" w:styleId="StyleBulletedSymbolsymbolLeft025Hanging0">
    <w:name w:val="Style Bulleted Symbol (symbol) Left:  0.25&quot; Hanging:  0."/>
    <w:basedOn w:val="NoList"/>
    <w:rsid w:val="004E4427"/>
    <w:pPr>
      <w:numPr>
        <w:numId w:val="9"/>
      </w:numPr>
    </w:pPr>
  </w:style>
  <w:style w:type="paragraph" w:customStyle="1" w:styleId="Doc-text2">
    <w:name w:val="Doc-text2"/>
    <w:basedOn w:val="Normal"/>
    <w:link w:val="Doc-text2Char"/>
    <w:qFormat/>
    <w:rsid w:val="00192ADD"/>
    <w:pPr>
      <w:tabs>
        <w:tab w:val="left" w:pos="1622"/>
      </w:tabs>
      <w:ind w:left="1622" w:hanging="363"/>
    </w:pPr>
    <w:rPr>
      <w:rFonts w:ascii="Arial" w:eastAsia="MS Mincho" w:hAnsi="Arial"/>
      <w:lang w:eastAsia="en-GB"/>
    </w:rPr>
  </w:style>
  <w:style w:type="character" w:customStyle="1" w:styleId="Doc-text2Char">
    <w:name w:val="Doc-text2 Char"/>
    <w:link w:val="Doc-text2"/>
    <w:rsid w:val="00192ADD"/>
    <w:rPr>
      <w:rFonts w:ascii="Arial" w:eastAsia="MS Mincho" w:hAnsi="Arial"/>
      <w:szCs w:val="24"/>
      <w:lang w:val="en-GB" w:eastAsia="en-GB"/>
    </w:rPr>
  </w:style>
  <w:style w:type="character" w:customStyle="1" w:styleId="Heading5Char">
    <w:name w:val="Heading 5 Char"/>
    <w:link w:val="Heading5"/>
    <w:uiPriority w:val="9"/>
    <w:rsid w:val="00196D13"/>
    <w:rPr>
      <w:rFonts w:ascii="Arial" w:hAnsi="Arial"/>
      <w:b/>
      <w:bCs/>
      <w:iCs/>
      <w:sz w:val="18"/>
      <w:szCs w:val="26"/>
      <w:lang w:val="en-GB" w:eastAsia="x-none"/>
    </w:rPr>
  </w:style>
  <w:style w:type="paragraph" w:customStyle="1" w:styleId="ListParagraph3">
    <w:name w:val="List Paragraph3"/>
    <w:basedOn w:val="Normal"/>
    <w:qFormat/>
    <w:rsid w:val="001D6883"/>
    <w:pPr>
      <w:ind w:left="720"/>
      <w:contextualSpacing/>
    </w:pPr>
    <w:rPr>
      <w:rFonts w:ascii="Times New Roman" w:eastAsia="Times New Roman" w:hAnsi="Times New Roman"/>
      <w:sz w:val="24"/>
      <w:lang w:val="en-US" w:eastAsia="zh-CN"/>
    </w:rPr>
  </w:style>
  <w:style w:type="character" w:customStyle="1" w:styleId="Heading6Char">
    <w:name w:val="Heading 6 Char"/>
    <w:link w:val="Heading6"/>
    <w:uiPriority w:val="9"/>
    <w:rsid w:val="00585FFD"/>
    <w:rPr>
      <w:rFonts w:ascii="Arial" w:hAnsi="Arial"/>
      <w:b/>
      <w:bCs/>
      <w:i/>
      <w:sz w:val="18"/>
      <w:szCs w:val="22"/>
      <w:lang w:val="en-GB" w:eastAsia="x-none"/>
    </w:rPr>
  </w:style>
  <w:style w:type="character" w:customStyle="1" w:styleId="Heading7Char">
    <w:name w:val="Heading 7 Char"/>
    <w:link w:val="Heading7"/>
    <w:uiPriority w:val="9"/>
    <w:qFormat/>
    <w:rsid w:val="001D6883"/>
    <w:rPr>
      <w:sz w:val="24"/>
      <w:szCs w:val="24"/>
      <w:lang w:val="en-GB" w:eastAsia="x-none"/>
    </w:rPr>
  </w:style>
  <w:style w:type="character" w:customStyle="1" w:styleId="Heading8Char">
    <w:name w:val="Heading 8 Char"/>
    <w:link w:val="Heading8"/>
    <w:uiPriority w:val="9"/>
    <w:qFormat/>
    <w:rsid w:val="001D6883"/>
    <w:rPr>
      <w:i/>
      <w:iCs/>
      <w:sz w:val="24"/>
      <w:szCs w:val="24"/>
      <w:lang w:val="en-GB" w:eastAsia="x-none"/>
    </w:rPr>
  </w:style>
  <w:style w:type="character" w:customStyle="1" w:styleId="Heading9Char">
    <w:name w:val="Heading 9 Char"/>
    <w:link w:val="Heading9"/>
    <w:uiPriority w:val="9"/>
    <w:rsid w:val="001D6883"/>
    <w:rPr>
      <w:rFonts w:ascii="Arial" w:hAnsi="Arial"/>
      <w:sz w:val="22"/>
      <w:szCs w:val="22"/>
      <w:lang w:val="en-GB" w:eastAsia="x-none"/>
    </w:rPr>
  </w:style>
  <w:style w:type="character" w:customStyle="1" w:styleId="BodyTextChar">
    <w:name w:val="Body Text Char"/>
    <w:aliases w:val="bt Char"/>
    <w:link w:val="BodyText"/>
    <w:rsid w:val="001D6883"/>
    <w:rPr>
      <w:rFonts w:ascii="Times" w:hAnsi="Times"/>
      <w:szCs w:val="24"/>
      <w:lang w:val="en-GB"/>
    </w:rPr>
  </w:style>
  <w:style w:type="character" w:customStyle="1" w:styleId="FootnoteTextChar">
    <w:name w:val="Footnote Text Char"/>
    <w:link w:val="FootnoteText"/>
    <w:semiHidden/>
    <w:rsid w:val="001D6883"/>
    <w:rPr>
      <w:rFonts w:ascii="Times" w:hAnsi="Times"/>
    </w:rPr>
  </w:style>
  <w:style w:type="character" w:customStyle="1" w:styleId="DocumentMapChar">
    <w:name w:val="Document Map Char"/>
    <w:link w:val="DocumentMap"/>
    <w:semiHidden/>
    <w:rsid w:val="001D6883"/>
    <w:rPr>
      <w:rFonts w:ascii="Tahoma" w:hAnsi="Tahoma" w:cs="Tahoma"/>
      <w:szCs w:val="24"/>
      <w:shd w:val="clear" w:color="auto" w:fill="000080"/>
      <w:lang w:val="en-GB"/>
    </w:rPr>
  </w:style>
  <w:style w:type="character" w:customStyle="1" w:styleId="BalloonTextChar">
    <w:name w:val="Balloon Text Char"/>
    <w:link w:val="BalloonText"/>
    <w:semiHidden/>
    <w:rsid w:val="001D6883"/>
    <w:rPr>
      <w:rFonts w:ascii="Tahoma" w:hAnsi="Tahoma" w:cs="Tahoma"/>
      <w:sz w:val="16"/>
      <w:szCs w:val="16"/>
      <w:lang w:val="en-GB"/>
    </w:rPr>
  </w:style>
  <w:style w:type="character" w:customStyle="1" w:styleId="DateChar">
    <w:name w:val="Date Char"/>
    <w:link w:val="Date"/>
    <w:qFormat/>
    <w:rsid w:val="001D6883"/>
    <w:rPr>
      <w:rFonts w:ascii="Times" w:hAnsi="Times"/>
      <w:szCs w:val="24"/>
      <w:lang w:val="en-GB"/>
    </w:rPr>
  </w:style>
  <w:style w:type="character" w:customStyle="1" w:styleId="CommentSubjectChar">
    <w:name w:val="Comment Subject Char"/>
    <w:link w:val="CommentSubject"/>
    <w:semiHidden/>
    <w:qFormat/>
    <w:rsid w:val="001D6883"/>
    <w:rPr>
      <w:rFonts w:ascii="Times" w:hAnsi="Times"/>
      <w:b/>
      <w:bCs/>
      <w:lang w:val="en-GB"/>
    </w:rPr>
  </w:style>
  <w:style w:type="paragraph" w:customStyle="1" w:styleId="ListParagraph2">
    <w:name w:val="List Paragraph2"/>
    <w:basedOn w:val="Normal"/>
    <w:qFormat/>
    <w:rsid w:val="001D6883"/>
    <w:pPr>
      <w:ind w:left="720"/>
      <w:contextualSpacing/>
    </w:pPr>
    <w:rPr>
      <w:rFonts w:ascii="Times New Roman" w:eastAsia="Times New Roman" w:hAnsi="Times New Roman"/>
      <w:sz w:val="24"/>
      <w:lang w:val="en-US" w:eastAsia="zh-CN"/>
    </w:rPr>
  </w:style>
  <w:style w:type="paragraph" w:styleId="PlainText">
    <w:name w:val="Plain Text"/>
    <w:basedOn w:val="Normal"/>
    <w:link w:val="PlainTextChar"/>
    <w:uiPriority w:val="99"/>
    <w:unhideWhenUsed/>
    <w:qFormat/>
    <w:rsid w:val="001D6883"/>
    <w:rPr>
      <w:rFonts w:ascii="Arial" w:eastAsia="MS Gothic" w:hAnsi="Arial"/>
      <w:color w:val="000000"/>
      <w:szCs w:val="20"/>
      <w:lang w:val="x-none"/>
    </w:rPr>
  </w:style>
  <w:style w:type="character" w:customStyle="1" w:styleId="PlainTextChar">
    <w:name w:val="Plain Text Char"/>
    <w:link w:val="PlainText"/>
    <w:uiPriority w:val="99"/>
    <w:rsid w:val="001D6883"/>
    <w:rPr>
      <w:rFonts w:ascii="Arial" w:eastAsia="MS Gothic" w:hAnsi="Arial"/>
      <w:color w:val="000000"/>
      <w:lang w:val="x-none"/>
    </w:rPr>
  </w:style>
  <w:style w:type="paragraph" w:customStyle="1" w:styleId="ListParagraph5">
    <w:name w:val="List Paragraph5"/>
    <w:basedOn w:val="Normal"/>
    <w:qFormat/>
    <w:rsid w:val="001D6883"/>
    <w:pPr>
      <w:ind w:left="720"/>
      <w:contextualSpacing/>
    </w:pPr>
    <w:rPr>
      <w:rFonts w:ascii="Times New Roman" w:eastAsia="Times New Roman" w:hAnsi="Times New Roman"/>
      <w:sz w:val="24"/>
      <w:lang w:val="en-US" w:eastAsia="zh-CN"/>
    </w:rPr>
  </w:style>
  <w:style w:type="paragraph" w:customStyle="1" w:styleId="ListParagraph4">
    <w:name w:val="List Paragraph4"/>
    <w:basedOn w:val="Normal"/>
    <w:qFormat/>
    <w:rsid w:val="001D6883"/>
    <w:pPr>
      <w:ind w:left="720"/>
      <w:contextualSpacing/>
    </w:pPr>
    <w:rPr>
      <w:rFonts w:ascii="Times New Roman" w:eastAsia="Times New Roman" w:hAnsi="Times New Roman"/>
      <w:sz w:val="24"/>
      <w:lang w:val="en-US" w:eastAsia="zh-CN"/>
    </w:rPr>
  </w:style>
  <w:style w:type="paragraph" w:styleId="Index1">
    <w:name w:val="index 1"/>
    <w:basedOn w:val="Normal"/>
    <w:rsid w:val="001D6883"/>
    <w:pPr>
      <w:keepLines/>
      <w:overflowPunct w:val="0"/>
      <w:autoSpaceDE w:val="0"/>
      <w:autoSpaceDN w:val="0"/>
      <w:adjustRightInd w:val="0"/>
      <w:textAlignment w:val="baseline"/>
    </w:pPr>
    <w:rPr>
      <w:rFonts w:ascii="Times New Roman" w:eastAsia="Times New Roman" w:hAnsi="Times New Roman"/>
      <w:szCs w:val="20"/>
      <w:lang w:eastAsia="en-GB"/>
    </w:rPr>
  </w:style>
  <w:style w:type="character" w:styleId="SubtleEmphasis">
    <w:name w:val="Subtle Emphasis"/>
    <w:uiPriority w:val="19"/>
    <w:qFormat/>
    <w:rsid w:val="007D5F79"/>
    <w:rPr>
      <w:i/>
      <w:iCs/>
      <w:color w:val="404040"/>
    </w:rPr>
  </w:style>
  <w:style w:type="character" w:customStyle="1" w:styleId="5Char">
    <w:name w:val="标题 5 Char"/>
    <w:aliases w:val="H5 Char1"/>
    <w:link w:val="51"/>
    <w:rsid w:val="000264DF"/>
    <w:rPr>
      <w:rFonts w:ascii="Arial" w:hAnsi="Arial"/>
    </w:rPr>
  </w:style>
  <w:style w:type="paragraph" w:customStyle="1" w:styleId="51">
    <w:name w:val="标题 51"/>
    <w:aliases w:val="H5"/>
    <w:basedOn w:val="Normal"/>
    <w:link w:val="5Char"/>
    <w:qFormat/>
    <w:rsid w:val="000264DF"/>
    <w:pPr>
      <w:keepNext/>
      <w:tabs>
        <w:tab w:val="num" w:pos="1008"/>
      </w:tabs>
      <w:spacing w:before="240" w:after="60"/>
      <w:ind w:left="1008" w:hanging="1008"/>
    </w:pPr>
    <w:rPr>
      <w:rFonts w:ascii="Arial" w:hAnsi="Arial"/>
      <w:szCs w:val="20"/>
      <w:lang w:val="en-US" w:eastAsia="ja-JP"/>
    </w:rPr>
  </w:style>
  <w:style w:type="paragraph" w:customStyle="1" w:styleId="81">
    <w:name w:val="标题 81"/>
    <w:aliases w:val="Table Heading"/>
    <w:basedOn w:val="Normal"/>
    <w:rsid w:val="000264DF"/>
    <w:pPr>
      <w:tabs>
        <w:tab w:val="num" w:pos="1440"/>
      </w:tabs>
      <w:spacing w:before="240" w:after="60"/>
    </w:pPr>
    <w:rPr>
      <w:rFonts w:ascii="Times New Roman" w:eastAsia="MS PGothic" w:hAnsi="Times New Roman"/>
      <w:i/>
      <w:iCs/>
      <w:sz w:val="24"/>
      <w:lang w:val="en-US" w:eastAsia="ja-JP"/>
    </w:rPr>
  </w:style>
  <w:style w:type="paragraph" w:customStyle="1" w:styleId="91">
    <w:name w:val="标题 91"/>
    <w:aliases w:val="Figure Heading,FH"/>
    <w:basedOn w:val="Normal"/>
    <w:rsid w:val="000264DF"/>
    <w:pPr>
      <w:tabs>
        <w:tab w:val="num" w:pos="1584"/>
      </w:tabs>
      <w:spacing w:before="240" w:after="60"/>
      <w:ind w:left="1584" w:hanging="1584"/>
    </w:pPr>
    <w:rPr>
      <w:rFonts w:ascii="Arial" w:eastAsia="MS PGothic" w:hAnsi="Arial" w:cs="Arial"/>
      <w:sz w:val="22"/>
      <w:szCs w:val="22"/>
      <w:lang w:val="en-US" w:eastAsia="ja-JP"/>
    </w:rPr>
  </w:style>
  <w:style w:type="paragraph" w:customStyle="1" w:styleId="61">
    <w:name w:val="标题 61"/>
    <w:basedOn w:val="Normal"/>
    <w:rsid w:val="000264DF"/>
    <w:pPr>
      <w:tabs>
        <w:tab w:val="num" w:pos="1152"/>
      </w:tabs>
    </w:pPr>
    <w:rPr>
      <w:rFonts w:eastAsia="MS PGothic" w:cs="Times"/>
      <w:szCs w:val="20"/>
      <w:lang w:val="en-US" w:eastAsia="ja-JP"/>
    </w:rPr>
  </w:style>
  <w:style w:type="paragraph" w:customStyle="1" w:styleId="71">
    <w:name w:val="标题 71"/>
    <w:basedOn w:val="Normal"/>
    <w:rsid w:val="000264DF"/>
    <w:pPr>
      <w:tabs>
        <w:tab w:val="num" w:pos="1296"/>
      </w:tabs>
    </w:pPr>
    <w:rPr>
      <w:rFonts w:eastAsia="MS PGothic" w:cs="Times"/>
      <w:szCs w:val="20"/>
      <w:lang w:val="en-US" w:eastAsia="ja-JP"/>
    </w:rPr>
  </w:style>
  <w:style w:type="paragraph" w:customStyle="1" w:styleId="3GPPText">
    <w:name w:val="3GPP Text"/>
    <w:basedOn w:val="Normal"/>
    <w:link w:val="3GPPTextChar"/>
    <w:qFormat/>
    <w:rsid w:val="00E954EC"/>
    <w:pPr>
      <w:overflowPunct w:val="0"/>
      <w:autoSpaceDE w:val="0"/>
      <w:autoSpaceDN w:val="0"/>
      <w:adjustRightInd w:val="0"/>
      <w:spacing w:before="120" w:after="120"/>
      <w:jc w:val="both"/>
      <w:textAlignment w:val="baseline"/>
    </w:pPr>
    <w:rPr>
      <w:rFonts w:ascii="Times New Roman" w:eastAsia="SimSun" w:hAnsi="Times New Roman"/>
      <w:sz w:val="22"/>
      <w:szCs w:val="20"/>
      <w:lang w:val="en-US"/>
    </w:rPr>
  </w:style>
  <w:style w:type="paragraph" w:customStyle="1" w:styleId="ListParagraph7">
    <w:name w:val="List Paragraph7"/>
    <w:basedOn w:val="Normal"/>
    <w:qFormat/>
    <w:rsid w:val="004C37D8"/>
    <w:pPr>
      <w:ind w:left="720"/>
      <w:contextualSpacing/>
    </w:pPr>
    <w:rPr>
      <w:rFonts w:ascii="Times New Roman" w:eastAsia="Times New Roman" w:hAnsi="Times New Roman"/>
      <w:sz w:val="24"/>
      <w:lang w:val="en-US" w:eastAsia="zh-CN"/>
    </w:rPr>
  </w:style>
  <w:style w:type="paragraph" w:customStyle="1" w:styleId="ListParagraph6">
    <w:name w:val="List Paragraph6"/>
    <w:basedOn w:val="Normal"/>
    <w:qFormat/>
    <w:rsid w:val="004C37D8"/>
    <w:pPr>
      <w:ind w:left="720"/>
      <w:contextualSpacing/>
    </w:pPr>
    <w:rPr>
      <w:rFonts w:ascii="Times New Roman" w:eastAsia="Times New Roman" w:hAnsi="Times New Roman"/>
      <w:sz w:val="24"/>
      <w:lang w:val="en-US" w:eastAsia="zh-CN"/>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uiPriority w:val="9"/>
    <w:qFormat/>
    <w:rsid w:val="004B3890"/>
    <w:rPr>
      <w:rFonts w:ascii="Arial" w:hAnsi="Arial"/>
      <w:b/>
      <w:bCs/>
      <w:kern w:val="32"/>
      <w:sz w:val="32"/>
      <w:szCs w:val="32"/>
      <w:lang w:val="en-GB" w:eastAsia="x-none"/>
    </w:rPr>
  </w:style>
  <w:style w:type="character" w:customStyle="1" w:styleId="Heading2Char1">
    <w:name w:val="Heading 2 Char1"/>
    <w:aliases w:val="H2 Char1,h2 Char1,Head2A Char,2 Char,UNDERRUBRIK 1-2 Char,DO NOT USE_h2 Char,h21 Char,Heading 2 Char Char,H2 Char Char,h2 Char Char,Header 2 Char,Header2 Char,22 Char,heading2 Char,2nd level Char,H21 Char,H22 Char,H23 Char,H24 Char"/>
    <w:link w:val="Heading2"/>
    <w:uiPriority w:val="9"/>
    <w:qFormat/>
    <w:rsid w:val="004B3890"/>
    <w:rPr>
      <w:rFonts w:ascii="Arial" w:hAnsi="Arial"/>
      <w:b/>
      <w:bCs/>
      <w:i/>
      <w:iCs/>
      <w:sz w:val="24"/>
      <w:szCs w:val="28"/>
      <w:lang w:val="en-GB" w:eastAsia="x-none"/>
    </w:rPr>
  </w:style>
  <w:style w:type="paragraph" w:customStyle="1" w:styleId="Proposal">
    <w:name w:val="Proposal"/>
    <w:basedOn w:val="Normal"/>
    <w:qFormat/>
    <w:rsid w:val="00220279"/>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b/>
      <w:bCs/>
      <w:szCs w:val="20"/>
      <w:lang w:eastAsia="zh-CN"/>
    </w:rPr>
  </w:style>
  <w:style w:type="paragraph" w:customStyle="1" w:styleId="610">
    <w:name w:val="标题 61"/>
    <w:basedOn w:val="Normal"/>
    <w:qFormat/>
    <w:rsid w:val="000264DF"/>
    <w:pPr>
      <w:tabs>
        <w:tab w:val="num" w:pos="1152"/>
      </w:tabs>
    </w:pPr>
    <w:rPr>
      <w:rFonts w:eastAsia="MS PGothic" w:cs="Times"/>
      <w:szCs w:val="20"/>
      <w:lang w:val="en-US" w:eastAsia="ja-JP"/>
    </w:rPr>
  </w:style>
  <w:style w:type="character" w:customStyle="1" w:styleId="ListParagraphChar">
    <w:name w:val="List Paragraph Char"/>
    <w:aliases w:val="- Bullets Char,¥¡¡¡¡ì¬º¥¹¥È¶ÎÂä Char,?? ?? Char,????? Char,???? Char,Lista1 Char,ÁÐ³ö¶ÎÂä Char,列出段落1 Char,中等深浅网格 1 - 着色 21 Char,列表段落1 Char,—ño’i—Ž Char,¥ê¥¹¥È¶ÎÂä Char,1st level - Bullet List Paragraph Char,Paragrafo elenco Char"/>
    <w:link w:val="ListParagraph"/>
    <w:uiPriority w:val="34"/>
    <w:qFormat/>
    <w:rsid w:val="000A24C7"/>
    <w:rPr>
      <w:rFonts w:ascii="Times" w:hAnsi="Times"/>
      <w:szCs w:val="24"/>
      <w:lang w:val="en-GB"/>
    </w:rPr>
  </w:style>
  <w:style w:type="paragraph" w:customStyle="1" w:styleId="ListParagraph8">
    <w:name w:val="List Paragraph8"/>
    <w:basedOn w:val="Normal"/>
    <w:qFormat/>
    <w:rsid w:val="004A1EE3"/>
    <w:pPr>
      <w:ind w:left="720"/>
      <w:contextualSpacing/>
    </w:pPr>
    <w:rPr>
      <w:rFonts w:ascii="Times New Roman" w:eastAsia="Times New Roman" w:hAnsi="Times New Roman"/>
      <w:sz w:val="24"/>
      <w:lang w:val="en-US" w:eastAsia="zh-CN"/>
    </w:rPr>
  </w:style>
  <w:style w:type="paragraph" w:styleId="NoSpacing">
    <w:name w:val="No Spacing"/>
    <w:uiPriority w:val="1"/>
    <w:qFormat/>
    <w:rsid w:val="004A1EE3"/>
    <w:pPr>
      <w:ind w:left="720" w:hanging="360"/>
    </w:pPr>
    <w:rPr>
      <w:rFonts w:ascii="Calibri" w:eastAsia="SimSun" w:hAnsi="Calibri"/>
      <w:sz w:val="22"/>
      <w:szCs w:val="22"/>
      <w:lang w:eastAsia="zh-CN"/>
    </w:rPr>
  </w:style>
  <w:style w:type="character" w:customStyle="1" w:styleId="TACChar">
    <w:name w:val="TAC Char"/>
    <w:link w:val="TAC"/>
    <w:qFormat/>
    <w:rsid w:val="004A1EE3"/>
    <w:rPr>
      <w:rFonts w:eastAsia="SimSun"/>
      <w:lang w:val="en-GB"/>
    </w:rPr>
  </w:style>
  <w:style w:type="paragraph" w:customStyle="1" w:styleId="StyleHeading1H1h1appheading1l1MemoHeading1h11h12h13h">
    <w:name w:val="Style Heading 1H1h1app heading 1l1Memo Heading 1h11h12h13h..."/>
    <w:basedOn w:val="Heading1"/>
    <w:rsid w:val="004A1EE3"/>
    <w:pPr>
      <w:numPr>
        <w:numId w:val="5"/>
      </w:numPr>
    </w:pPr>
    <w:rPr>
      <w:rFonts w:ascii="Helvetica" w:eastAsia="Times New Roman" w:hAnsi="Helvetica"/>
      <w:sz w:val="28"/>
      <w:szCs w:val="20"/>
      <w:lang w:val="en-US" w:eastAsia="en-US"/>
    </w:rPr>
  </w:style>
  <w:style w:type="paragraph" w:customStyle="1" w:styleId="710">
    <w:name w:val="标题 71"/>
    <w:basedOn w:val="Normal"/>
    <w:qFormat/>
    <w:rsid w:val="000264DF"/>
    <w:pPr>
      <w:tabs>
        <w:tab w:val="num" w:pos="1296"/>
      </w:tabs>
    </w:pPr>
    <w:rPr>
      <w:rFonts w:eastAsia="MS PGothic" w:cs="Times"/>
      <w:szCs w:val="20"/>
      <w:lang w:val="en-US" w:eastAsia="ja-JP"/>
    </w:rPr>
  </w:style>
  <w:style w:type="paragraph" w:customStyle="1" w:styleId="tac0">
    <w:name w:val="tac"/>
    <w:basedOn w:val="Normal"/>
    <w:qFormat/>
    <w:rsid w:val="00347D80"/>
    <w:pPr>
      <w:keepNext/>
      <w:autoSpaceDE w:val="0"/>
      <w:autoSpaceDN w:val="0"/>
      <w:jc w:val="center"/>
    </w:pPr>
    <w:rPr>
      <w:rFonts w:ascii="Arial" w:eastAsia="SimSun" w:hAnsi="Arial" w:cs="Arial"/>
      <w:sz w:val="18"/>
      <w:szCs w:val="18"/>
      <w:lang w:val="en-US" w:eastAsia="zh-CN"/>
    </w:rPr>
  </w:style>
  <w:style w:type="paragraph" w:customStyle="1" w:styleId="th0">
    <w:name w:val="th"/>
    <w:basedOn w:val="Normal"/>
    <w:rsid w:val="00347D80"/>
    <w:pPr>
      <w:keepNext/>
      <w:autoSpaceDE w:val="0"/>
      <w:autoSpaceDN w:val="0"/>
      <w:spacing w:before="60" w:after="180"/>
      <w:jc w:val="center"/>
    </w:pPr>
    <w:rPr>
      <w:rFonts w:ascii="Arial" w:eastAsia="SimSun" w:hAnsi="Arial" w:cs="Arial"/>
      <w:b/>
      <w:bCs/>
      <w:szCs w:val="20"/>
      <w:lang w:val="en-US" w:eastAsia="zh-CN"/>
    </w:rPr>
  </w:style>
  <w:style w:type="paragraph" w:customStyle="1" w:styleId="tah0">
    <w:name w:val="tah"/>
    <w:basedOn w:val="Normal"/>
    <w:qFormat/>
    <w:rsid w:val="00347D80"/>
    <w:pPr>
      <w:keepNext/>
      <w:autoSpaceDE w:val="0"/>
      <w:autoSpaceDN w:val="0"/>
      <w:jc w:val="center"/>
    </w:pPr>
    <w:rPr>
      <w:rFonts w:ascii="Arial" w:eastAsia="SimSun" w:hAnsi="Arial" w:cs="Arial"/>
      <w:b/>
      <w:bCs/>
      <w:sz w:val="18"/>
      <w:szCs w:val="18"/>
      <w:lang w:val="en-US" w:eastAsia="zh-CN"/>
    </w:rPr>
  </w:style>
  <w:style w:type="paragraph" w:customStyle="1" w:styleId="IvDbodytext">
    <w:name w:val="IvD bodytext"/>
    <w:basedOn w:val="BodyText"/>
    <w:link w:val="IvDbodytextChar"/>
    <w:qFormat/>
    <w:rsid w:val="00340A79"/>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IvDbodytextChar">
    <w:name w:val="IvD bodytext Char"/>
    <w:link w:val="IvDbodytext"/>
    <w:rsid w:val="00340A79"/>
    <w:rPr>
      <w:rFonts w:ascii="Arial" w:eastAsia="Times New Roman" w:hAnsi="Arial"/>
      <w:spacing w:val="2"/>
      <w:lang w:eastAsia="en-US"/>
    </w:rPr>
  </w:style>
  <w:style w:type="paragraph" w:customStyle="1" w:styleId="3GPPH1">
    <w:name w:val="3GPP H1"/>
    <w:basedOn w:val="Heading1"/>
    <w:next w:val="3GPPText"/>
    <w:link w:val="3GPPH1Char"/>
    <w:qFormat/>
    <w:rsid w:val="00E954EC"/>
    <w:pPr>
      <w:keepNext/>
      <w:keepLines/>
      <w:widowControl/>
      <w:pBdr>
        <w:top w:val="single" w:sz="12" w:space="3" w:color="auto"/>
      </w:pBdr>
      <w:overflowPunct w:val="0"/>
      <w:autoSpaceDE w:val="0"/>
      <w:autoSpaceDN w:val="0"/>
      <w:adjustRightInd w:val="0"/>
      <w:spacing w:after="120"/>
      <w:textAlignment w:val="baseline"/>
    </w:pPr>
    <w:rPr>
      <w:rFonts w:eastAsia="SimSun"/>
      <w:b w:val="0"/>
      <w:bCs w:val="0"/>
      <w:kern w:val="0"/>
      <w:sz w:val="36"/>
      <w:szCs w:val="20"/>
      <w:lang w:eastAsia="en-US"/>
    </w:rPr>
  </w:style>
  <w:style w:type="character" w:customStyle="1" w:styleId="13">
    <w:name w:val="表 (青) 13 (文字)"/>
    <w:link w:val="ColorfulList-Accent1"/>
    <w:uiPriority w:val="34"/>
    <w:qFormat/>
    <w:locked/>
    <w:rsid w:val="00480C6A"/>
    <w:rPr>
      <w:rFonts w:eastAsia="MS Gothic"/>
      <w:sz w:val="24"/>
      <w:szCs w:val="24"/>
      <w:lang w:val="en-GB" w:eastAsia="en-US"/>
    </w:rPr>
  </w:style>
  <w:style w:type="table" w:styleId="ColorfulList-Accent1">
    <w:name w:val="Colorful List Accent 1"/>
    <w:basedOn w:val="TableNormal"/>
    <w:link w:val="13"/>
    <w:uiPriority w:val="34"/>
    <w:qFormat/>
    <w:rsid w:val="00480C6A"/>
    <w:rPr>
      <w:rFonts w:eastAsia="MS Gothic"/>
      <w:sz w:val="24"/>
      <w:szCs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0C666E"/>
    <w:pPr>
      <w:widowControl w:val="0"/>
      <w:autoSpaceDE w:val="0"/>
      <w:autoSpaceDN w:val="0"/>
      <w:adjustRightInd w:val="0"/>
      <w:snapToGrid w:val="0"/>
      <w:spacing w:afterLines="50" w:line="264" w:lineRule="auto"/>
      <w:jc w:val="both"/>
    </w:pPr>
    <w:rPr>
      <w:rFonts w:ascii="Times New Roman" w:hAnsi="Times New Roman"/>
      <w:kern w:val="2"/>
      <w:sz w:val="22"/>
      <w:lang w:eastAsia="ko-KR"/>
    </w:rPr>
  </w:style>
  <w:style w:type="paragraph" w:customStyle="1" w:styleId="LGTdoc1">
    <w:name w:val="LGTdoc_제목1"/>
    <w:basedOn w:val="Normal"/>
    <w:qFormat/>
    <w:rsid w:val="000C666E"/>
    <w:pPr>
      <w:adjustRightInd w:val="0"/>
      <w:snapToGrid w:val="0"/>
      <w:spacing w:beforeLines="50" w:before="120" w:after="100" w:afterAutospacing="1"/>
      <w:jc w:val="both"/>
    </w:pPr>
    <w:rPr>
      <w:rFonts w:ascii="Times New Roman" w:hAnsi="Times New Roman"/>
      <w:b/>
      <w:snapToGrid w:val="0"/>
      <w:sz w:val="28"/>
      <w:szCs w:val="20"/>
      <w:lang w:eastAsia="ko-KR"/>
    </w:rPr>
  </w:style>
  <w:style w:type="paragraph" w:customStyle="1" w:styleId="heading30">
    <w:name w:val="heading3"/>
    <w:basedOn w:val="Normal"/>
    <w:qFormat/>
    <w:rsid w:val="000C666E"/>
    <w:pPr>
      <w:keepNext/>
      <w:spacing w:before="240" w:after="60"/>
      <w:ind w:left="720" w:hanging="720"/>
    </w:pPr>
    <w:rPr>
      <w:rFonts w:ascii="Arial" w:eastAsia="MS PGothic" w:hAnsi="Arial" w:cs="Arial"/>
      <w:color w:val="000000"/>
      <w:szCs w:val="20"/>
      <w:lang w:val="en-US" w:eastAsia="ja-JP"/>
    </w:rPr>
  </w:style>
  <w:style w:type="paragraph" w:customStyle="1" w:styleId="heading40">
    <w:name w:val="heading4"/>
    <w:basedOn w:val="Normal"/>
    <w:rsid w:val="000C666E"/>
    <w:pPr>
      <w:keepNext/>
      <w:spacing w:before="240" w:after="60"/>
      <w:ind w:left="864" w:hanging="864"/>
    </w:pPr>
    <w:rPr>
      <w:rFonts w:ascii="Arial" w:eastAsia="MS PGothic" w:hAnsi="Arial" w:cs="Arial"/>
      <w:i/>
      <w:iCs/>
      <w:color w:val="000000"/>
      <w:szCs w:val="20"/>
      <w:lang w:val="en-US" w:eastAsia="ja-JP"/>
    </w:rPr>
  </w:style>
  <w:style w:type="character" w:customStyle="1" w:styleId="3GPPTextChar">
    <w:name w:val="3GPP Text Char"/>
    <w:link w:val="3GPPText"/>
    <w:qFormat/>
    <w:rsid w:val="00E954EC"/>
    <w:rPr>
      <w:rFonts w:eastAsia="SimSun"/>
      <w:sz w:val="22"/>
    </w:rPr>
  </w:style>
  <w:style w:type="character" w:customStyle="1" w:styleId="3GPPH1Char">
    <w:name w:val="3GPP H1 Char"/>
    <w:link w:val="3GPPH1"/>
    <w:rsid w:val="00E954EC"/>
    <w:rPr>
      <w:rFonts w:ascii="Arial" w:eastAsia="SimSun" w:hAnsi="Arial"/>
      <w:sz w:val="36"/>
      <w:lang w:val="en-GB"/>
    </w:rPr>
  </w:style>
  <w:style w:type="character" w:customStyle="1" w:styleId="Mention1">
    <w:name w:val="Mention1"/>
    <w:uiPriority w:val="99"/>
    <w:semiHidden/>
    <w:unhideWhenUsed/>
    <w:rsid w:val="00AC471F"/>
    <w:rPr>
      <w:color w:val="2B579A"/>
      <w:shd w:val="clear" w:color="auto" w:fill="E6E6E6"/>
    </w:rPr>
  </w:style>
  <w:style w:type="paragraph" w:styleId="Revision">
    <w:name w:val="Revision"/>
    <w:hidden/>
    <w:uiPriority w:val="99"/>
    <w:semiHidden/>
    <w:rsid w:val="009C4138"/>
    <w:pPr>
      <w:ind w:left="720" w:hanging="360"/>
    </w:pPr>
    <w:rPr>
      <w:rFonts w:ascii="Times" w:hAnsi="Times"/>
      <w:szCs w:val="24"/>
      <w:lang w:val="en-GB"/>
    </w:rPr>
  </w:style>
  <w:style w:type="paragraph" w:customStyle="1" w:styleId="3GPPAgreements">
    <w:name w:val="3GPP Agreements"/>
    <w:basedOn w:val="Normal"/>
    <w:link w:val="3GPPAgreementsChar"/>
    <w:qFormat/>
    <w:rsid w:val="00E954EC"/>
    <w:pPr>
      <w:numPr>
        <w:numId w:val="11"/>
      </w:numPr>
      <w:overflowPunct w:val="0"/>
      <w:autoSpaceDE w:val="0"/>
      <w:autoSpaceDN w:val="0"/>
      <w:adjustRightInd w:val="0"/>
      <w:spacing w:before="60" w:after="60"/>
      <w:jc w:val="both"/>
      <w:textAlignment w:val="baseline"/>
    </w:pPr>
    <w:rPr>
      <w:rFonts w:ascii="Times New Roman" w:eastAsia="SimSun" w:hAnsi="Times New Roman"/>
      <w:sz w:val="22"/>
      <w:szCs w:val="20"/>
      <w:lang w:val="en-US" w:eastAsia="zh-CN"/>
    </w:rPr>
  </w:style>
  <w:style w:type="character" w:customStyle="1" w:styleId="3GPPAgreementsChar">
    <w:name w:val="3GPP Agreements Char"/>
    <w:link w:val="3GPPAgreements"/>
    <w:qFormat/>
    <w:rsid w:val="00E954EC"/>
    <w:rPr>
      <w:rFonts w:eastAsia="SimSun"/>
      <w:sz w:val="22"/>
      <w:lang w:eastAsia="zh-CN"/>
    </w:rPr>
  </w:style>
  <w:style w:type="numbering" w:customStyle="1" w:styleId="3GPPBullets">
    <w:name w:val="3GPP Bullets"/>
    <w:basedOn w:val="NoList"/>
    <w:uiPriority w:val="99"/>
    <w:rsid w:val="00C364D0"/>
    <w:pPr>
      <w:numPr>
        <w:numId w:val="12"/>
      </w:numPr>
    </w:p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0C666E"/>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0C666E"/>
    <w:rPr>
      <w:rFonts w:ascii="Arial" w:hAnsi="Arial"/>
      <w:b/>
      <w:i/>
      <w:szCs w:val="26"/>
      <w:lang w:val="en-GB" w:eastAsia="x-none"/>
    </w:rPr>
  </w:style>
  <w:style w:type="paragraph" w:styleId="BodyText2">
    <w:name w:val="Body Text 2"/>
    <w:basedOn w:val="Normal"/>
    <w:link w:val="BodyText2Char"/>
    <w:qFormat/>
    <w:rsid w:val="000C666E"/>
    <w:pPr>
      <w:spacing w:after="120" w:line="480" w:lineRule="auto"/>
    </w:pPr>
  </w:style>
  <w:style w:type="character" w:customStyle="1" w:styleId="BodyText2Char">
    <w:name w:val="Body Text 2 Char"/>
    <w:link w:val="BodyText2"/>
    <w:rsid w:val="000C666E"/>
    <w:rPr>
      <w:rFonts w:ascii="Times" w:hAnsi="Times"/>
      <w:szCs w:val="24"/>
      <w:lang w:val="en-GB" w:eastAsia="en-US"/>
    </w:rPr>
  </w:style>
  <w:style w:type="paragraph" w:customStyle="1" w:styleId="Paragraph">
    <w:name w:val="Paragraph"/>
    <w:basedOn w:val="Normal"/>
    <w:link w:val="ParagraphChar"/>
    <w:qFormat/>
    <w:rsid w:val="00FA7BA2"/>
    <w:pPr>
      <w:spacing w:before="220"/>
    </w:pPr>
    <w:rPr>
      <w:rFonts w:ascii="Times New Roman" w:eastAsia="SimSun" w:hAnsi="Times New Roman"/>
      <w:sz w:val="22"/>
      <w:szCs w:val="20"/>
    </w:rPr>
  </w:style>
  <w:style w:type="character" w:customStyle="1" w:styleId="ParagraphChar">
    <w:name w:val="Paragraph Char"/>
    <w:link w:val="Paragraph"/>
    <w:qFormat/>
    <w:locked/>
    <w:rsid w:val="00FA7BA2"/>
    <w:rPr>
      <w:rFonts w:eastAsia="SimSun"/>
      <w:sz w:val="22"/>
      <w:lang w:val="en-GB" w:eastAsia="en-US"/>
    </w:rPr>
  </w:style>
  <w:style w:type="character" w:customStyle="1" w:styleId="ColorfulList-Accent1Char">
    <w:name w:val="Colorful List - Accent 1 Char"/>
    <w:uiPriority w:val="34"/>
    <w:qFormat/>
    <w:locked/>
    <w:rsid w:val="00FB3888"/>
    <w:rPr>
      <w:rFonts w:eastAsia="MS Gothic"/>
      <w:sz w:val="24"/>
      <w:szCs w:val="24"/>
      <w:lang w:eastAsia="en-US"/>
    </w:rPr>
  </w:style>
  <w:style w:type="paragraph" w:customStyle="1" w:styleId="maintext">
    <w:name w:val="main text"/>
    <w:basedOn w:val="Normal"/>
    <w:link w:val="maintextChar"/>
    <w:qFormat/>
    <w:rsid w:val="00B50531"/>
    <w:pPr>
      <w:spacing w:before="60" w:after="60" w:line="288" w:lineRule="auto"/>
      <w:ind w:firstLineChars="200" w:firstLine="200"/>
      <w:jc w:val="both"/>
    </w:pPr>
    <w:rPr>
      <w:rFonts w:ascii="Times New Roman" w:eastAsia="Malgun Gothic" w:hAnsi="Times New Roman"/>
      <w:szCs w:val="20"/>
      <w:lang w:eastAsia="ko-KR"/>
    </w:rPr>
  </w:style>
  <w:style w:type="character" w:customStyle="1" w:styleId="maintextChar">
    <w:name w:val="main text Char"/>
    <w:link w:val="maintext"/>
    <w:qFormat/>
    <w:rsid w:val="00B50531"/>
    <w:rPr>
      <w:rFonts w:eastAsia="Malgun Gothic"/>
      <w:lang w:val="en-GB" w:eastAsia="ko-KR"/>
    </w:rPr>
  </w:style>
  <w:style w:type="table" w:customStyle="1" w:styleId="GridTable4-Accent51">
    <w:name w:val="Grid Table 4 - Accent 51"/>
    <w:basedOn w:val="TableNormal"/>
    <w:uiPriority w:val="49"/>
    <w:rsid w:val="00055EAF"/>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sid w:val="00055EAF"/>
    <w:rPr>
      <w:color w:val="000000"/>
    </w:rPr>
  </w:style>
  <w:style w:type="numbering" w:customStyle="1" w:styleId="StyleBulletedSymbolsymbolLeft025Hanging0251">
    <w:name w:val="Style Bulleted Symbol (symbol) Left:  0.25&quot; Hanging:  0.25&quot;1"/>
    <w:basedOn w:val="NoList"/>
    <w:rsid w:val="00072743"/>
    <w:pPr>
      <w:numPr>
        <w:numId w:val="8"/>
      </w:numPr>
    </w:pPr>
  </w:style>
  <w:style w:type="numbering" w:customStyle="1" w:styleId="StyleBulletedSymbolsymbolLeft025Hanging0252">
    <w:name w:val="Style Bulleted Symbol (symbol) Left:  0.25&quot; Hanging:  0.25&quot;2"/>
    <w:basedOn w:val="NoList"/>
    <w:rsid w:val="004E4427"/>
    <w:pPr>
      <w:numPr>
        <w:numId w:val="10"/>
      </w:numPr>
    </w:pPr>
  </w:style>
  <w:style w:type="paragraph" w:customStyle="1" w:styleId="3GPPH3">
    <w:name w:val="3GPP H3"/>
    <w:basedOn w:val="Heading3"/>
    <w:next w:val="3GPPText"/>
    <w:link w:val="3GPPH3Char"/>
    <w:qFormat/>
    <w:rsid w:val="002F1CAF"/>
    <w:pPr>
      <w:keepLines/>
      <w:numPr>
        <w:numId w:val="0"/>
      </w:numPr>
      <w:overflowPunct w:val="0"/>
      <w:autoSpaceDE w:val="0"/>
      <w:autoSpaceDN w:val="0"/>
      <w:adjustRightInd w:val="0"/>
      <w:spacing w:before="120" w:after="120"/>
      <w:ind w:left="709" w:hanging="709"/>
      <w:textAlignment w:val="baseline"/>
    </w:pPr>
    <w:rPr>
      <w:rFonts w:eastAsia="SimSun"/>
      <w:b w:val="0"/>
      <w:sz w:val="28"/>
      <w:szCs w:val="20"/>
      <w:lang w:eastAsia="en-US"/>
    </w:rPr>
  </w:style>
  <w:style w:type="character" w:customStyle="1" w:styleId="3GPPH3Char">
    <w:name w:val="3GPP H3 Char"/>
    <w:link w:val="3GPPH3"/>
    <w:rsid w:val="002F1CAF"/>
    <w:rPr>
      <w:rFonts w:ascii="Arial" w:eastAsia="SimSun" w:hAnsi="Arial"/>
      <w:sz w:val="28"/>
      <w:lang w:val="en-GB"/>
    </w:rPr>
  </w:style>
  <w:style w:type="numbering" w:customStyle="1" w:styleId="3GPPListofBullets">
    <w:name w:val="3GPP List of Bullets"/>
    <w:rsid w:val="000A396E"/>
    <w:pPr>
      <w:numPr>
        <w:numId w:val="13"/>
      </w:numPr>
    </w:pPr>
  </w:style>
  <w:style w:type="numbering" w:customStyle="1" w:styleId="StyleBulletedSymbolsymbolLeft025Hanging02511">
    <w:name w:val="Style Bulleted Symbol (symbol) Left:  0.25&quot; Hanging:  0.25&quot;11"/>
    <w:basedOn w:val="NoList"/>
    <w:rsid w:val="000A396E"/>
    <w:pPr>
      <w:numPr>
        <w:numId w:val="7"/>
      </w:numPr>
    </w:pPr>
  </w:style>
  <w:style w:type="character" w:customStyle="1" w:styleId="LGTdocChar">
    <w:name w:val="LGTdoc_본문 Char"/>
    <w:link w:val="LGTdoc"/>
    <w:qFormat/>
    <w:rsid w:val="00FF3E29"/>
    <w:rPr>
      <w:kern w:val="2"/>
      <w:sz w:val="22"/>
      <w:szCs w:val="24"/>
      <w:lang w:val="en-GB" w:eastAsia="ko-KR"/>
    </w:rPr>
  </w:style>
  <w:style w:type="paragraph" w:styleId="TableofFigures">
    <w:name w:val="table of figures"/>
    <w:basedOn w:val="BodyText"/>
    <w:next w:val="Normal"/>
    <w:uiPriority w:val="99"/>
    <w:rsid w:val="00FF3E29"/>
    <w:pPr>
      <w:overflowPunct w:val="0"/>
      <w:autoSpaceDE w:val="0"/>
      <w:autoSpaceDN w:val="0"/>
      <w:adjustRightInd w:val="0"/>
      <w:ind w:left="1701" w:hanging="1701"/>
      <w:jc w:val="left"/>
      <w:textAlignment w:val="baseline"/>
    </w:pPr>
    <w:rPr>
      <w:rFonts w:ascii="Arial" w:eastAsia="Times New Roman" w:hAnsi="Arial"/>
      <w:b/>
      <w:szCs w:val="20"/>
      <w:lang w:eastAsia="zh-CN"/>
    </w:rPr>
  </w:style>
  <w:style w:type="paragraph" w:customStyle="1" w:styleId="CharChar1CharCharCharCharCharCharCharCharCharCharCharCharCharCharChar0">
    <w:name w:val="Char Char1 Char Char Char Char Char Char Char Char Char Char Char Char Char Char Char"/>
    <w:semiHidden/>
    <w:rsid w:val="000B343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0">
    <w:name w:val="(文字) (文字)5"/>
    <w:semiHidden/>
    <w:rsid w:val="000B3434"/>
    <w:rPr>
      <w:rFonts w:ascii="Times New Roman" w:hAnsi="Times New Roman"/>
      <w:lang w:eastAsia="en-US"/>
    </w:rPr>
  </w:style>
  <w:style w:type="character" w:styleId="PlaceholderText">
    <w:name w:val="Placeholder Text"/>
    <w:basedOn w:val="DefaultParagraphFont"/>
    <w:uiPriority w:val="99"/>
    <w:semiHidden/>
    <w:rsid w:val="00331B70"/>
    <w:rPr>
      <w:color w:val="808080"/>
    </w:rPr>
  </w:style>
  <w:style w:type="character" w:customStyle="1" w:styleId="UnresolvedMention2">
    <w:name w:val="Unresolved Mention2"/>
    <w:basedOn w:val="DefaultParagraphFont"/>
    <w:uiPriority w:val="99"/>
    <w:semiHidden/>
    <w:unhideWhenUsed/>
    <w:qFormat/>
    <w:rsid w:val="00991C44"/>
    <w:rPr>
      <w:color w:val="605E5C"/>
      <w:shd w:val="clear" w:color="auto" w:fill="E1DFDD"/>
    </w:rPr>
  </w:style>
  <w:style w:type="character" w:customStyle="1" w:styleId="apple-converted-space">
    <w:name w:val="apple-converted-space"/>
    <w:qFormat/>
    <w:rsid w:val="001343EA"/>
  </w:style>
  <w:style w:type="paragraph" w:customStyle="1" w:styleId="6pt6pt120">
    <w:name w:val="스타일 목록 단락 + 양쪽 앞: 6 pt 단락 뒤: 6 pt 줄 간격: 배수 1.2 줄 왼쪽 0 글자"/>
    <w:basedOn w:val="ListParagraph"/>
    <w:rsid w:val="00473E46"/>
    <w:pPr>
      <w:spacing w:before="120" w:after="120" w:line="336" w:lineRule="auto"/>
      <w:ind w:leftChars="0" w:left="0"/>
      <w:jc w:val="both"/>
    </w:pPr>
    <w:rPr>
      <w:rFonts w:ascii="Times New Roman" w:eastAsia="Malgun Gothic" w:hAnsi="Times New Roman" w:cs="Batang"/>
      <w:szCs w:val="20"/>
      <w:lang w:eastAsia="en-US"/>
    </w:rPr>
  </w:style>
  <w:style w:type="paragraph" w:customStyle="1" w:styleId="0Maintext">
    <w:name w:val="0 Main text"/>
    <w:basedOn w:val="Normal"/>
    <w:link w:val="0MaintextChar"/>
    <w:qFormat/>
    <w:rsid w:val="00473E46"/>
    <w:pPr>
      <w:spacing w:after="100" w:afterAutospacing="1" w:line="288" w:lineRule="auto"/>
      <w:ind w:firstLine="360"/>
      <w:jc w:val="both"/>
    </w:pPr>
    <w:rPr>
      <w:rFonts w:ascii="Times New Roman" w:eastAsia="Malgun Gothic" w:hAnsi="Times New Roman" w:cs="Batang"/>
      <w:szCs w:val="20"/>
    </w:rPr>
  </w:style>
  <w:style w:type="character" w:customStyle="1" w:styleId="0MaintextChar">
    <w:name w:val="0 Main text Char"/>
    <w:basedOn w:val="DefaultParagraphFont"/>
    <w:link w:val="0Maintext"/>
    <w:qFormat/>
    <w:rsid w:val="00473E46"/>
    <w:rPr>
      <w:rFonts w:eastAsia="Malgun Gothic" w:cs="Batang"/>
      <w:lang w:val="en-GB"/>
    </w:rPr>
  </w:style>
  <w:style w:type="character" w:customStyle="1" w:styleId="1">
    <w:name w:val="未处理的提及1"/>
    <w:basedOn w:val="DefaultParagraphFont"/>
    <w:uiPriority w:val="99"/>
    <w:semiHidden/>
    <w:unhideWhenUsed/>
    <w:rsid w:val="00397180"/>
    <w:rPr>
      <w:color w:val="605E5C"/>
      <w:shd w:val="clear" w:color="auto" w:fill="E1DFDD"/>
    </w:rPr>
  </w:style>
  <w:style w:type="paragraph" w:customStyle="1" w:styleId="xxmsolistparagraph">
    <w:name w:val="x_xmsolistparagraph"/>
    <w:basedOn w:val="Normal"/>
    <w:rsid w:val="00BE3A80"/>
    <w:pPr>
      <w:spacing w:before="100" w:beforeAutospacing="1" w:after="100" w:afterAutospacing="1"/>
    </w:pPr>
    <w:rPr>
      <w:rFonts w:ascii="Calibri" w:eastAsia="Calibri" w:hAnsi="Calibri" w:cs="Calibri"/>
      <w:sz w:val="22"/>
      <w:szCs w:val="22"/>
      <w:lang w:val="en-US"/>
    </w:rPr>
  </w:style>
  <w:style w:type="paragraph" w:customStyle="1" w:styleId="Style1">
    <w:name w:val="Style1"/>
    <w:basedOn w:val="Normal"/>
    <w:link w:val="Style1Char"/>
    <w:qFormat/>
    <w:rsid w:val="00AF3BF9"/>
    <w:pPr>
      <w:spacing w:after="100" w:afterAutospacing="1" w:line="300" w:lineRule="auto"/>
      <w:ind w:firstLine="360"/>
      <w:contextualSpacing/>
      <w:jc w:val="both"/>
    </w:pPr>
    <w:rPr>
      <w:rFonts w:ascii="Times New Roman" w:eastAsia="SimSun" w:hAnsi="Times New Roman"/>
      <w:szCs w:val="20"/>
      <w:lang w:val="en-US" w:eastAsia="zh-CN"/>
    </w:rPr>
  </w:style>
  <w:style w:type="character" w:customStyle="1" w:styleId="Style1Char">
    <w:name w:val="Style1 Char"/>
    <w:link w:val="Style1"/>
    <w:qFormat/>
    <w:rsid w:val="00AF3BF9"/>
    <w:rPr>
      <w:rFonts w:eastAsia="SimSun"/>
      <w:lang w:eastAsia="zh-CN"/>
    </w:rPr>
  </w:style>
  <w:style w:type="paragraph" w:customStyle="1" w:styleId="a">
    <w:name w:val="交底书"/>
    <w:basedOn w:val="Normal"/>
    <w:link w:val="Char"/>
    <w:qFormat/>
    <w:rsid w:val="006C3FF3"/>
    <w:pPr>
      <w:widowControl w:val="0"/>
      <w:autoSpaceDE w:val="0"/>
      <w:autoSpaceDN w:val="0"/>
      <w:adjustRightInd w:val="0"/>
      <w:ind w:firstLineChars="200" w:firstLine="200"/>
      <w:jc w:val="both"/>
    </w:pPr>
    <w:rPr>
      <w:rFonts w:ascii="STKaiti" w:eastAsia="STKaiti" w:hAnsi="STKaiti"/>
      <w:color w:val="000000" w:themeColor="text1"/>
      <w:sz w:val="24"/>
      <w:u w:color="EEECE1"/>
      <w:lang w:val="en-US" w:eastAsia="zh-CN"/>
    </w:rPr>
  </w:style>
  <w:style w:type="character" w:customStyle="1" w:styleId="Char">
    <w:name w:val="交底书 Char"/>
    <w:basedOn w:val="DefaultParagraphFont"/>
    <w:link w:val="a"/>
    <w:qFormat/>
    <w:rsid w:val="006C3FF3"/>
    <w:rPr>
      <w:rFonts w:ascii="STKaiti" w:eastAsia="STKaiti" w:hAnsi="STKaiti"/>
      <w:color w:val="000000" w:themeColor="text1"/>
      <w:sz w:val="24"/>
      <w:szCs w:val="24"/>
      <w:u w:color="EEECE1"/>
      <w:lang w:eastAsia="zh-CN"/>
    </w:rPr>
  </w:style>
  <w:style w:type="character" w:customStyle="1" w:styleId="10">
    <w:name w:val="未处理的提及1"/>
    <w:basedOn w:val="DefaultParagraphFont"/>
    <w:uiPriority w:val="99"/>
    <w:semiHidden/>
    <w:unhideWhenUsed/>
    <w:rsid w:val="00820F36"/>
    <w:rPr>
      <w:color w:val="605E5C"/>
      <w:shd w:val="clear" w:color="auto" w:fill="E1DFDD"/>
    </w:rPr>
  </w:style>
  <w:style w:type="paragraph" w:customStyle="1" w:styleId="1st-Proposal-YJ">
    <w:name w:val="1st-Proposal-YJ"/>
    <w:basedOn w:val="Normal"/>
    <w:qFormat/>
    <w:rsid w:val="002C025B"/>
    <w:pPr>
      <w:numPr>
        <w:numId w:val="22"/>
      </w:numPr>
      <w:snapToGrid w:val="0"/>
      <w:spacing w:beforeLines="50" w:before="50" w:afterLines="50" w:after="50"/>
      <w:jc w:val="both"/>
    </w:pPr>
    <w:rPr>
      <w:rFonts w:ascii="Times New Roman" w:eastAsia="Times New Roman" w:hAnsi="Times New Roman"/>
      <w:b/>
      <w:i/>
      <w:kern w:val="2"/>
      <w:szCs w:val="20"/>
      <w:lang w:val="en-US" w:eastAsia="zh-CN"/>
    </w:rPr>
  </w:style>
  <w:style w:type="paragraph" w:customStyle="1" w:styleId="2nd-proposal-YJ">
    <w:name w:val="2nd-proposal-YJ"/>
    <w:basedOn w:val="1st-Proposal-YJ"/>
    <w:qFormat/>
    <w:rsid w:val="002C025B"/>
    <w:pPr>
      <w:numPr>
        <w:ilvl w:val="1"/>
      </w:numPr>
      <w:adjustRightInd w:val="0"/>
    </w:pPr>
  </w:style>
  <w:style w:type="paragraph" w:customStyle="1" w:styleId="3nd-proposal-YJ">
    <w:name w:val="3nd-proposal-YJ"/>
    <w:basedOn w:val="2nd-proposal-YJ"/>
    <w:qFormat/>
    <w:rsid w:val="002C025B"/>
    <w:pPr>
      <w:numPr>
        <w:ilvl w:val="2"/>
      </w:numPr>
    </w:pPr>
  </w:style>
  <w:style w:type="paragraph" w:customStyle="1" w:styleId="Bulletedo1">
    <w:name w:val="Bulleted o 1"/>
    <w:basedOn w:val="Normal"/>
    <w:rsid w:val="00EE443C"/>
    <w:pPr>
      <w:numPr>
        <w:numId w:val="23"/>
      </w:numPr>
      <w:spacing w:before="60"/>
    </w:pPr>
    <w:rPr>
      <w:rFonts w:ascii="Times New Roman" w:eastAsia="SimSun" w:hAnsi="Times New Roman"/>
      <w:szCs w:val="20"/>
      <w:lang w:val="en-US"/>
    </w:rPr>
  </w:style>
  <w:style w:type="table" w:customStyle="1" w:styleId="TableGrid1">
    <w:name w:val="TableGrid1"/>
    <w:basedOn w:val="TableNormal"/>
    <w:next w:val="TableGrid"/>
    <w:uiPriority w:val="39"/>
    <w:qFormat/>
    <w:rsid w:val="00EE45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leEmphasis1">
    <w:name w:val="Subtle Emphasis1"/>
    <w:uiPriority w:val="19"/>
    <w:qFormat/>
    <w:rsid w:val="00EE4559"/>
    <w:rPr>
      <w:i/>
      <w:iCs/>
      <w:color w:val="404040"/>
    </w:rPr>
  </w:style>
  <w:style w:type="paragraph" w:customStyle="1" w:styleId="611">
    <w:name w:val="标题 611"/>
    <w:basedOn w:val="Normal"/>
    <w:rsid w:val="00EE4559"/>
    <w:pPr>
      <w:tabs>
        <w:tab w:val="left" w:pos="1152"/>
      </w:tabs>
      <w:spacing w:after="160" w:line="259" w:lineRule="auto"/>
    </w:pPr>
    <w:rPr>
      <w:rFonts w:eastAsia="MS PGothic" w:cs="Times"/>
      <w:szCs w:val="20"/>
      <w:lang w:val="en-US" w:eastAsia="ja-JP"/>
    </w:rPr>
  </w:style>
  <w:style w:type="paragraph" w:customStyle="1" w:styleId="711">
    <w:name w:val="标题 711"/>
    <w:basedOn w:val="Normal"/>
    <w:rsid w:val="00EE4559"/>
    <w:pPr>
      <w:tabs>
        <w:tab w:val="left" w:pos="1296"/>
      </w:tabs>
      <w:spacing w:after="160" w:line="259" w:lineRule="auto"/>
    </w:pPr>
    <w:rPr>
      <w:rFonts w:eastAsia="MS PGothic" w:cs="Times"/>
      <w:szCs w:val="20"/>
      <w:lang w:val="en-US" w:eastAsia="ja-JP"/>
    </w:rPr>
  </w:style>
  <w:style w:type="paragraph" w:customStyle="1" w:styleId="Revision1">
    <w:name w:val="Revision1"/>
    <w:hidden/>
    <w:uiPriority w:val="99"/>
    <w:semiHidden/>
    <w:qFormat/>
    <w:rsid w:val="00EE4559"/>
    <w:pPr>
      <w:spacing w:after="160" w:line="259" w:lineRule="auto"/>
      <w:ind w:left="720" w:hanging="360"/>
    </w:pPr>
    <w:rPr>
      <w:rFonts w:ascii="Times" w:hAnsi="Times"/>
      <w:szCs w:val="24"/>
      <w:lang w:val="en-GB"/>
    </w:rPr>
  </w:style>
  <w:style w:type="table" w:customStyle="1" w:styleId="GridTable4-Accent510">
    <w:name w:val="Grid Table 4 - Accent 51"/>
    <w:basedOn w:val="TableNormal"/>
    <w:uiPriority w:val="49"/>
    <w:rsid w:val="00EE4559"/>
    <w:pPr>
      <w:spacing w:after="160" w:line="259" w:lineRule="auto"/>
    </w:pPr>
    <w:rPr>
      <w:rFonts w:eastAsia="SimSu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1">
    <w:name w:val="Char Char1 Char Char Char Char Char Char Char Char Char Char Char Char Char Char Char1"/>
    <w:semiHidden/>
    <w:rsid w:val="00EE4559"/>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10">
    <w:name w:val="(文字) (文字)51"/>
    <w:semiHidden/>
    <w:rsid w:val="00EE4559"/>
    <w:rPr>
      <w:rFonts w:ascii="Times New Roman" w:hAnsi="Times New Roman"/>
      <w:lang w:eastAsia="en-US"/>
    </w:rPr>
  </w:style>
  <w:style w:type="character" w:customStyle="1" w:styleId="11">
    <w:name w:val="未解決のメンション1"/>
    <w:basedOn w:val="DefaultParagraphFont"/>
    <w:uiPriority w:val="99"/>
    <w:semiHidden/>
    <w:unhideWhenUsed/>
    <w:rsid w:val="00EE4559"/>
    <w:rPr>
      <w:color w:val="605E5C"/>
      <w:shd w:val="clear" w:color="auto" w:fill="E1DFDD"/>
    </w:rPr>
  </w:style>
  <w:style w:type="table" w:customStyle="1" w:styleId="TableGrid2">
    <w:name w:val="TableGrid2"/>
    <w:basedOn w:val="TableNormal"/>
    <w:next w:val="TableGrid"/>
    <w:uiPriority w:val="39"/>
    <w:qFormat/>
    <w:rsid w:val="00EE45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Grid3"/>
    <w:basedOn w:val="TableNormal"/>
    <w:next w:val="TableGrid"/>
    <w:uiPriority w:val="39"/>
    <w:qFormat/>
    <w:rsid w:val="00EE45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Grid4"/>
    <w:basedOn w:val="TableNormal"/>
    <w:next w:val="TableGrid"/>
    <w:uiPriority w:val="39"/>
    <w:qFormat/>
    <w:rsid w:val="00EE45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Grid5"/>
    <w:basedOn w:val="TableNormal"/>
    <w:next w:val="TableGrid"/>
    <w:uiPriority w:val="39"/>
    <w:qFormat/>
    <w:rsid w:val="00EE45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Grid6"/>
    <w:basedOn w:val="TableNormal"/>
    <w:next w:val="TableGrid"/>
    <w:uiPriority w:val="39"/>
    <w:qFormat/>
    <w:rsid w:val="00EE45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Grid7"/>
    <w:basedOn w:val="TableNormal"/>
    <w:next w:val="TableGrid"/>
    <w:uiPriority w:val="39"/>
    <w:qFormat/>
    <w:rsid w:val="00EE45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DefaultParagraphFont"/>
    <w:rsid w:val="00084214"/>
    <w:rPr>
      <w:rFonts w:ascii="Times New Roman" w:hAnsi="Times New Roman" w:cs="Times New Roman" w:hint="default"/>
      <w:b w:val="0"/>
      <w:bCs w:val="0"/>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975">
      <w:bodyDiv w:val="1"/>
      <w:marLeft w:val="0"/>
      <w:marRight w:val="0"/>
      <w:marTop w:val="0"/>
      <w:marBottom w:val="0"/>
      <w:divBdr>
        <w:top w:val="none" w:sz="0" w:space="0" w:color="auto"/>
        <w:left w:val="none" w:sz="0" w:space="0" w:color="auto"/>
        <w:bottom w:val="none" w:sz="0" w:space="0" w:color="auto"/>
        <w:right w:val="none" w:sz="0" w:space="0" w:color="auto"/>
      </w:divBdr>
      <w:divsChild>
        <w:div w:id="688337029">
          <w:marLeft w:val="547"/>
          <w:marRight w:val="0"/>
          <w:marTop w:val="240"/>
          <w:marBottom w:val="0"/>
          <w:divBdr>
            <w:top w:val="none" w:sz="0" w:space="0" w:color="auto"/>
            <w:left w:val="none" w:sz="0" w:space="0" w:color="auto"/>
            <w:bottom w:val="none" w:sz="0" w:space="0" w:color="auto"/>
            <w:right w:val="none" w:sz="0" w:space="0" w:color="auto"/>
          </w:divBdr>
        </w:div>
        <w:div w:id="821391551">
          <w:marLeft w:val="1166"/>
          <w:marRight w:val="0"/>
          <w:marTop w:val="240"/>
          <w:marBottom w:val="0"/>
          <w:divBdr>
            <w:top w:val="none" w:sz="0" w:space="0" w:color="auto"/>
            <w:left w:val="none" w:sz="0" w:space="0" w:color="auto"/>
            <w:bottom w:val="none" w:sz="0" w:space="0" w:color="auto"/>
            <w:right w:val="none" w:sz="0" w:space="0" w:color="auto"/>
          </w:divBdr>
        </w:div>
      </w:divsChild>
    </w:div>
    <w:div w:id="548397">
      <w:bodyDiv w:val="1"/>
      <w:marLeft w:val="0"/>
      <w:marRight w:val="0"/>
      <w:marTop w:val="0"/>
      <w:marBottom w:val="0"/>
      <w:divBdr>
        <w:top w:val="none" w:sz="0" w:space="0" w:color="auto"/>
        <w:left w:val="none" w:sz="0" w:space="0" w:color="auto"/>
        <w:bottom w:val="none" w:sz="0" w:space="0" w:color="auto"/>
        <w:right w:val="none" w:sz="0" w:space="0" w:color="auto"/>
      </w:divBdr>
      <w:divsChild>
        <w:div w:id="351230497">
          <w:marLeft w:val="1800"/>
          <w:marRight w:val="0"/>
          <w:marTop w:val="100"/>
          <w:marBottom w:val="0"/>
          <w:divBdr>
            <w:top w:val="none" w:sz="0" w:space="0" w:color="auto"/>
            <w:left w:val="none" w:sz="0" w:space="0" w:color="auto"/>
            <w:bottom w:val="none" w:sz="0" w:space="0" w:color="auto"/>
            <w:right w:val="none" w:sz="0" w:space="0" w:color="auto"/>
          </w:divBdr>
        </w:div>
        <w:div w:id="367032903">
          <w:marLeft w:val="1080"/>
          <w:marRight w:val="0"/>
          <w:marTop w:val="100"/>
          <w:marBottom w:val="0"/>
          <w:divBdr>
            <w:top w:val="none" w:sz="0" w:space="0" w:color="auto"/>
            <w:left w:val="none" w:sz="0" w:space="0" w:color="auto"/>
            <w:bottom w:val="none" w:sz="0" w:space="0" w:color="auto"/>
            <w:right w:val="none" w:sz="0" w:space="0" w:color="auto"/>
          </w:divBdr>
        </w:div>
        <w:div w:id="531647770">
          <w:marLeft w:val="1080"/>
          <w:marRight w:val="0"/>
          <w:marTop w:val="100"/>
          <w:marBottom w:val="0"/>
          <w:divBdr>
            <w:top w:val="none" w:sz="0" w:space="0" w:color="auto"/>
            <w:left w:val="none" w:sz="0" w:space="0" w:color="auto"/>
            <w:bottom w:val="none" w:sz="0" w:space="0" w:color="auto"/>
            <w:right w:val="none" w:sz="0" w:space="0" w:color="auto"/>
          </w:divBdr>
        </w:div>
        <w:div w:id="621694836">
          <w:marLeft w:val="1080"/>
          <w:marRight w:val="0"/>
          <w:marTop w:val="100"/>
          <w:marBottom w:val="0"/>
          <w:divBdr>
            <w:top w:val="none" w:sz="0" w:space="0" w:color="auto"/>
            <w:left w:val="none" w:sz="0" w:space="0" w:color="auto"/>
            <w:bottom w:val="none" w:sz="0" w:space="0" w:color="auto"/>
            <w:right w:val="none" w:sz="0" w:space="0" w:color="auto"/>
          </w:divBdr>
        </w:div>
        <w:div w:id="950282745">
          <w:marLeft w:val="360"/>
          <w:marRight w:val="0"/>
          <w:marTop w:val="200"/>
          <w:marBottom w:val="0"/>
          <w:divBdr>
            <w:top w:val="none" w:sz="0" w:space="0" w:color="auto"/>
            <w:left w:val="none" w:sz="0" w:space="0" w:color="auto"/>
            <w:bottom w:val="none" w:sz="0" w:space="0" w:color="auto"/>
            <w:right w:val="none" w:sz="0" w:space="0" w:color="auto"/>
          </w:divBdr>
        </w:div>
        <w:div w:id="1073501403">
          <w:marLeft w:val="1800"/>
          <w:marRight w:val="0"/>
          <w:marTop w:val="100"/>
          <w:marBottom w:val="0"/>
          <w:divBdr>
            <w:top w:val="none" w:sz="0" w:space="0" w:color="auto"/>
            <w:left w:val="none" w:sz="0" w:space="0" w:color="auto"/>
            <w:bottom w:val="none" w:sz="0" w:space="0" w:color="auto"/>
            <w:right w:val="none" w:sz="0" w:space="0" w:color="auto"/>
          </w:divBdr>
        </w:div>
        <w:div w:id="1395858908">
          <w:marLeft w:val="1800"/>
          <w:marRight w:val="0"/>
          <w:marTop w:val="100"/>
          <w:marBottom w:val="0"/>
          <w:divBdr>
            <w:top w:val="none" w:sz="0" w:space="0" w:color="auto"/>
            <w:left w:val="none" w:sz="0" w:space="0" w:color="auto"/>
            <w:bottom w:val="none" w:sz="0" w:space="0" w:color="auto"/>
            <w:right w:val="none" w:sz="0" w:space="0" w:color="auto"/>
          </w:divBdr>
        </w:div>
        <w:div w:id="1580208025">
          <w:marLeft w:val="1080"/>
          <w:marRight w:val="0"/>
          <w:marTop w:val="100"/>
          <w:marBottom w:val="0"/>
          <w:divBdr>
            <w:top w:val="none" w:sz="0" w:space="0" w:color="auto"/>
            <w:left w:val="none" w:sz="0" w:space="0" w:color="auto"/>
            <w:bottom w:val="none" w:sz="0" w:space="0" w:color="auto"/>
            <w:right w:val="none" w:sz="0" w:space="0" w:color="auto"/>
          </w:divBdr>
        </w:div>
      </w:divsChild>
    </w:div>
    <w:div w:id="2099292">
      <w:bodyDiv w:val="1"/>
      <w:marLeft w:val="0"/>
      <w:marRight w:val="0"/>
      <w:marTop w:val="0"/>
      <w:marBottom w:val="0"/>
      <w:divBdr>
        <w:top w:val="none" w:sz="0" w:space="0" w:color="auto"/>
        <w:left w:val="none" w:sz="0" w:space="0" w:color="auto"/>
        <w:bottom w:val="none" w:sz="0" w:space="0" w:color="auto"/>
        <w:right w:val="none" w:sz="0" w:space="0" w:color="auto"/>
      </w:divBdr>
    </w:div>
    <w:div w:id="2557009">
      <w:bodyDiv w:val="1"/>
      <w:marLeft w:val="0"/>
      <w:marRight w:val="0"/>
      <w:marTop w:val="0"/>
      <w:marBottom w:val="0"/>
      <w:divBdr>
        <w:top w:val="none" w:sz="0" w:space="0" w:color="auto"/>
        <w:left w:val="none" w:sz="0" w:space="0" w:color="auto"/>
        <w:bottom w:val="none" w:sz="0" w:space="0" w:color="auto"/>
        <w:right w:val="none" w:sz="0" w:space="0" w:color="auto"/>
      </w:divBdr>
      <w:divsChild>
        <w:div w:id="1202674024">
          <w:marLeft w:val="547"/>
          <w:marRight w:val="0"/>
          <w:marTop w:val="115"/>
          <w:marBottom w:val="0"/>
          <w:divBdr>
            <w:top w:val="none" w:sz="0" w:space="0" w:color="auto"/>
            <w:left w:val="none" w:sz="0" w:space="0" w:color="auto"/>
            <w:bottom w:val="none" w:sz="0" w:space="0" w:color="auto"/>
            <w:right w:val="none" w:sz="0" w:space="0" w:color="auto"/>
          </w:divBdr>
        </w:div>
        <w:div w:id="1252618870">
          <w:marLeft w:val="547"/>
          <w:marRight w:val="0"/>
          <w:marTop w:val="115"/>
          <w:marBottom w:val="0"/>
          <w:divBdr>
            <w:top w:val="none" w:sz="0" w:space="0" w:color="auto"/>
            <w:left w:val="none" w:sz="0" w:space="0" w:color="auto"/>
            <w:bottom w:val="none" w:sz="0" w:space="0" w:color="auto"/>
            <w:right w:val="none" w:sz="0" w:space="0" w:color="auto"/>
          </w:divBdr>
        </w:div>
      </w:divsChild>
    </w:div>
    <w:div w:id="2753640">
      <w:bodyDiv w:val="1"/>
      <w:marLeft w:val="0"/>
      <w:marRight w:val="0"/>
      <w:marTop w:val="0"/>
      <w:marBottom w:val="0"/>
      <w:divBdr>
        <w:top w:val="none" w:sz="0" w:space="0" w:color="auto"/>
        <w:left w:val="none" w:sz="0" w:space="0" w:color="auto"/>
        <w:bottom w:val="none" w:sz="0" w:space="0" w:color="auto"/>
        <w:right w:val="none" w:sz="0" w:space="0" w:color="auto"/>
      </w:divBdr>
    </w:div>
    <w:div w:id="4482164">
      <w:bodyDiv w:val="1"/>
      <w:marLeft w:val="0"/>
      <w:marRight w:val="0"/>
      <w:marTop w:val="0"/>
      <w:marBottom w:val="0"/>
      <w:divBdr>
        <w:top w:val="none" w:sz="0" w:space="0" w:color="auto"/>
        <w:left w:val="none" w:sz="0" w:space="0" w:color="auto"/>
        <w:bottom w:val="none" w:sz="0" w:space="0" w:color="auto"/>
        <w:right w:val="none" w:sz="0" w:space="0" w:color="auto"/>
      </w:divBdr>
    </w:div>
    <w:div w:id="4746533">
      <w:bodyDiv w:val="1"/>
      <w:marLeft w:val="0"/>
      <w:marRight w:val="0"/>
      <w:marTop w:val="0"/>
      <w:marBottom w:val="0"/>
      <w:divBdr>
        <w:top w:val="none" w:sz="0" w:space="0" w:color="auto"/>
        <w:left w:val="none" w:sz="0" w:space="0" w:color="auto"/>
        <w:bottom w:val="none" w:sz="0" w:space="0" w:color="auto"/>
        <w:right w:val="none" w:sz="0" w:space="0" w:color="auto"/>
      </w:divBdr>
    </w:div>
    <w:div w:id="5332023">
      <w:bodyDiv w:val="1"/>
      <w:marLeft w:val="0"/>
      <w:marRight w:val="0"/>
      <w:marTop w:val="0"/>
      <w:marBottom w:val="0"/>
      <w:divBdr>
        <w:top w:val="none" w:sz="0" w:space="0" w:color="auto"/>
        <w:left w:val="none" w:sz="0" w:space="0" w:color="auto"/>
        <w:bottom w:val="none" w:sz="0" w:space="0" w:color="auto"/>
        <w:right w:val="none" w:sz="0" w:space="0" w:color="auto"/>
      </w:divBdr>
    </w:div>
    <w:div w:id="6373712">
      <w:bodyDiv w:val="1"/>
      <w:marLeft w:val="0"/>
      <w:marRight w:val="0"/>
      <w:marTop w:val="0"/>
      <w:marBottom w:val="0"/>
      <w:divBdr>
        <w:top w:val="none" w:sz="0" w:space="0" w:color="auto"/>
        <w:left w:val="none" w:sz="0" w:space="0" w:color="auto"/>
        <w:bottom w:val="none" w:sz="0" w:space="0" w:color="auto"/>
        <w:right w:val="none" w:sz="0" w:space="0" w:color="auto"/>
      </w:divBdr>
    </w:div>
    <w:div w:id="8142609">
      <w:bodyDiv w:val="1"/>
      <w:marLeft w:val="0"/>
      <w:marRight w:val="0"/>
      <w:marTop w:val="0"/>
      <w:marBottom w:val="0"/>
      <w:divBdr>
        <w:top w:val="none" w:sz="0" w:space="0" w:color="auto"/>
        <w:left w:val="none" w:sz="0" w:space="0" w:color="auto"/>
        <w:bottom w:val="none" w:sz="0" w:space="0" w:color="auto"/>
        <w:right w:val="none" w:sz="0" w:space="0" w:color="auto"/>
      </w:divBdr>
    </w:div>
    <w:div w:id="9531079">
      <w:bodyDiv w:val="1"/>
      <w:marLeft w:val="0"/>
      <w:marRight w:val="0"/>
      <w:marTop w:val="0"/>
      <w:marBottom w:val="0"/>
      <w:divBdr>
        <w:top w:val="none" w:sz="0" w:space="0" w:color="auto"/>
        <w:left w:val="none" w:sz="0" w:space="0" w:color="auto"/>
        <w:bottom w:val="none" w:sz="0" w:space="0" w:color="auto"/>
        <w:right w:val="none" w:sz="0" w:space="0" w:color="auto"/>
      </w:divBdr>
    </w:div>
    <w:div w:id="11075795">
      <w:bodyDiv w:val="1"/>
      <w:marLeft w:val="0"/>
      <w:marRight w:val="0"/>
      <w:marTop w:val="0"/>
      <w:marBottom w:val="0"/>
      <w:divBdr>
        <w:top w:val="none" w:sz="0" w:space="0" w:color="auto"/>
        <w:left w:val="none" w:sz="0" w:space="0" w:color="auto"/>
        <w:bottom w:val="none" w:sz="0" w:space="0" w:color="auto"/>
        <w:right w:val="none" w:sz="0" w:space="0" w:color="auto"/>
      </w:divBdr>
    </w:div>
    <w:div w:id="12264425">
      <w:bodyDiv w:val="1"/>
      <w:marLeft w:val="0"/>
      <w:marRight w:val="0"/>
      <w:marTop w:val="0"/>
      <w:marBottom w:val="0"/>
      <w:divBdr>
        <w:top w:val="none" w:sz="0" w:space="0" w:color="auto"/>
        <w:left w:val="none" w:sz="0" w:space="0" w:color="auto"/>
        <w:bottom w:val="none" w:sz="0" w:space="0" w:color="auto"/>
        <w:right w:val="none" w:sz="0" w:space="0" w:color="auto"/>
      </w:divBdr>
    </w:div>
    <w:div w:id="12541349">
      <w:bodyDiv w:val="1"/>
      <w:marLeft w:val="0"/>
      <w:marRight w:val="0"/>
      <w:marTop w:val="0"/>
      <w:marBottom w:val="0"/>
      <w:divBdr>
        <w:top w:val="none" w:sz="0" w:space="0" w:color="auto"/>
        <w:left w:val="none" w:sz="0" w:space="0" w:color="auto"/>
        <w:bottom w:val="none" w:sz="0" w:space="0" w:color="auto"/>
        <w:right w:val="none" w:sz="0" w:space="0" w:color="auto"/>
      </w:divBdr>
    </w:div>
    <w:div w:id="12726445">
      <w:bodyDiv w:val="1"/>
      <w:marLeft w:val="0"/>
      <w:marRight w:val="0"/>
      <w:marTop w:val="0"/>
      <w:marBottom w:val="0"/>
      <w:divBdr>
        <w:top w:val="none" w:sz="0" w:space="0" w:color="auto"/>
        <w:left w:val="none" w:sz="0" w:space="0" w:color="auto"/>
        <w:bottom w:val="none" w:sz="0" w:space="0" w:color="auto"/>
        <w:right w:val="none" w:sz="0" w:space="0" w:color="auto"/>
      </w:divBdr>
    </w:div>
    <w:div w:id="12877263">
      <w:bodyDiv w:val="1"/>
      <w:marLeft w:val="0"/>
      <w:marRight w:val="0"/>
      <w:marTop w:val="0"/>
      <w:marBottom w:val="0"/>
      <w:divBdr>
        <w:top w:val="none" w:sz="0" w:space="0" w:color="auto"/>
        <w:left w:val="none" w:sz="0" w:space="0" w:color="auto"/>
        <w:bottom w:val="none" w:sz="0" w:space="0" w:color="auto"/>
        <w:right w:val="none" w:sz="0" w:space="0" w:color="auto"/>
      </w:divBdr>
    </w:div>
    <w:div w:id="14163222">
      <w:bodyDiv w:val="1"/>
      <w:marLeft w:val="0"/>
      <w:marRight w:val="0"/>
      <w:marTop w:val="0"/>
      <w:marBottom w:val="0"/>
      <w:divBdr>
        <w:top w:val="none" w:sz="0" w:space="0" w:color="auto"/>
        <w:left w:val="none" w:sz="0" w:space="0" w:color="auto"/>
        <w:bottom w:val="none" w:sz="0" w:space="0" w:color="auto"/>
        <w:right w:val="none" w:sz="0" w:space="0" w:color="auto"/>
      </w:divBdr>
      <w:divsChild>
        <w:div w:id="261650043">
          <w:marLeft w:val="1166"/>
          <w:marRight w:val="0"/>
          <w:marTop w:val="96"/>
          <w:marBottom w:val="0"/>
          <w:divBdr>
            <w:top w:val="none" w:sz="0" w:space="0" w:color="auto"/>
            <w:left w:val="none" w:sz="0" w:space="0" w:color="auto"/>
            <w:bottom w:val="none" w:sz="0" w:space="0" w:color="auto"/>
            <w:right w:val="none" w:sz="0" w:space="0" w:color="auto"/>
          </w:divBdr>
        </w:div>
        <w:div w:id="550730294">
          <w:marLeft w:val="2520"/>
          <w:marRight w:val="0"/>
          <w:marTop w:val="58"/>
          <w:marBottom w:val="0"/>
          <w:divBdr>
            <w:top w:val="none" w:sz="0" w:space="0" w:color="auto"/>
            <w:left w:val="none" w:sz="0" w:space="0" w:color="auto"/>
            <w:bottom w:val="none" w:sz="0" w:space="0" w:color="auto"/>
            <w:right w:val="none" w:sz="0" w:space="0" w:color="auto"/>
          </w:divBdr>
        </w:div>
        <w:div w:id="1053120548">
          <w:marLeft w:val="1166"/>
          <w:marRight w:val="0"/>
          <w:marTop w:val="96"/>
          <w:marBottom w:val="0"/>
          <w:divBdr>
            <w:top w:val="none" w:sz="0" w:space="0" w:color="auto"/>
            <w:left w:val="none" w:sz="0" w:space="0" w:color="auto"/>
            <w:bottom w:val="none" w:sz="0" w:space="0" w:color="auto"/>
            <w:right w:val="none" w:sz="0" w:space="0" w:color="auto"/>
          </w:divBdr>
        </w:div>
        <w:div w:id="1521551012">
          <w:marLeft w:val="1800"/>
          <w:marRight w:val="0"/>
          <w:marTop w:val="77"/>
          <w:marBottom w:val="0"/>
          <w:divBdr>
            <w:top w:val="none" w:sz="0" w:space="0" w:color="auto"/>
            <w:left w:val="none" w:sz="0" w:space="0" w:color="auto"/>
            <w:bottom w:val="none" w:sz="0" w:space="0" w:color="auto"/>
            <w:right w:val="none" w:sz="0" w:space="0" w:color="auto"/>
          </w:divBdr>
        </w:div>
        <w:div w:id="2068675185">
          <w:marLeft w:val="2520"/>
          <w:marRight w:val="0"/>
          <w:marTop w:val="58"/>
          <w:marBottom w:val="0"/>
          <w:divBdr>
            <w:top w:val="none" w:sz="0" w:space="0" w:color="auto"/>
            <w:left w:val="none" w:sz="0" w:space="0" w:color="auto"/>
            <w:bottom w:val="none" w:sz="0" w:space="0" w:color="auto"/>
            <w:right w:val="none" w:sz="0" w:space="0" w:color="auto"/>
          </w:divBdr>
        </w:div>
        <w:div w:id="2133283206">
          <w:marLeft w:val="547"/>
          <w:marRight w:val="0"/>
          <w:marTop w:val="115"/>
          <w:marBottom w:val="0"/>
          <w:divBdr>
            <w:top w:val="none" w:sz="0" w:space="0" w:color="auto"/>
            <w:left w:val="none" w:sz="0" w:space="0" w:color="auto"/>
            <w:bottom w:val="none" w:sz="0" w:space="0" w:color="auto"/>
            <w:right w:val="none" w:sz="0" w:space="0" w:color="auto"/>
          </w:divBdr>
        </w:div>
        <w:div w:id="2146655629">
          <w:marLeft w:val="1166"/>
          <w:marRight w:val="0"/>
          <w:marTop w:val="96"/>
          <w:marBottom w:val="0"/>
          <w:divBdr>
            <w:top w:val="none" w:sz="0" w:space="0" w:color="auto"/>
            <w:left w:val="none" w:sz="0" w:space="0" w:color="auto"/>
            <w:bottom w:val="none" w:sz="0" w:space="0" w:color="auto"/>
            <w:right w:val="none" w:sz="0" w:space="0" w:color="auto"/>
          </w:divBdr>
        </w:div>
      </w:divsChild>
    </w:div>
    <w:div w:id="15078166">
      <w:bodyDiv w:val="1"/>
      <w:marLeft w:val="0"/>
      <w:marRight w:val="0"/>
      <w:marTop w:val="0"/>
      <w:marBottom w:val="0"/>
      <w:divBdr>
        <w:top w:val="none" w:sz="0" w:space="0" w:color="auto"/>
        <w:left w:val="none" w:sz="0" w:space="0" w:color="auto"/>
        <w:bottom w:val="none" w:sz="0" w:space="0" w:color="auto"/>
        <w:right w:val="none" w:sz="0" w:space="0" w:color="auto"/>
      </w:divBdr>
      <w:divsChild>
        <w:div w:id="286665239">
          <w:marLeft w:val="1800"/>
          <w:marRight w:val="0"/>
          <w:marTop w:val="96"/>
          <w:marBottom w:val="0"/>
          <w:divBdr>
            <w:top w:val="none" w:sz="0" w:space="0" w:color="auto"/>
            <w:left w:val="none" w:sz="0" w:space="0" w:color="auto"/>
            <w:bottom w:val="none" w:sz="0" w:space="0" w:color="auto"/>
            <w:right w:val="none" w:sz="0" w:space="0" w:color="auto"/>
          </w:divBdr>
        </w:div>
        <w:div w:id="541214940">
          <w:marLeft w:val="1800"/>
          <w:marRight w:val="0"/>
          <w:marTop w:val="96"/>
          <w:marBottom w:val="0"/>
          <w:divBdr>
            <w:top w:val="none" w:sz="0" w:space="0" w:color="auto"/>
            <w:left w:val="none" w:sz="0" w:space="0" w:color="auto"/>
            <w:bottom w:val="none" w:sz="0" w:space="0" w:color="auto"/>
            <w:right w:val="none" w:sz="0" w:space="0" w:color="auto"/>
          </w:divBdr>
        </w:div>
        <w:div w:id="588660462">
          <w:marLeft w:val="1800"/>
          <w:marRight w:val="0"/>
          <w:marTop w:val="96"/>
          <w:marBottom w:val="0"/>
          <w:divBdr>
            <w:top w:val="none" w:sz="0" w:space="0" w:color="auto"/>
            <w:left w:val="none" w:sz="0" w:space="0" w:color="auto"/>
            <w:bottom w:val="none" w:sz="0" w:space="0" w:color="auto"/>
            <w:right w:val="none" w:sz="0" w:space="0" w:color="auto"/>
          </w:divBdr>
        </w:div>
        <w:div w:id="594097462">
          <w:marLeft w:val="1166"/>
          <w:marRight w:val="0"/>
          <w:marTop w:val="106"/>
          <w:marBottom w:val="0"/>
          <w:divBdr>
            <w:top w:val="none" w:sz="0" w:space="0" w:color="auto"/>
            <w:left w:val="none" w:sz="0" w:space="0" w:color="auto"/>
            <w:bottom w:val="none" w:sz="0" w:space="0" w:color="auto"/>
            <w:right w:val="none" w:sz="0" w:space="0" w:color="auto"/>
          </w:divBdr>
        </w:div>
        <w:div w:id="695346086">
          <w:marLeft w:val="1800"/>
          <w:marRight w:val="0"/>
          <w:marTop w:val="96"/>
          <w:marBottom w:val="0"/>
          <w:divBdr>
            <w:top w:val="none" w:sz="0" w:space="0" w:color="auto"/>
            <w:left w:val="none" w:sz="0" w:space="0" w:color="auto"/>
            <w:bottom w:val="none" w:sz="0" w:space="0" w:color="auto"/>
            <w:right w:val="none" w:sz="0" w:space="0" w:color="auto"/>
          </w:divBdr>
        </w:div>
        <w:div w:id="704912528">
          <w:marLeft w:val="1166"/>
          <w:marRight w:val="0"/>
          <w:marTop w:val="106"/>
          <w:marBottom w:val="0"/>
          <w:divBdr>
            <w:top w:val="none" w:sz="0" w:space="0" w:color="auto"/>
            <w:left w:val="none" w:sz="0" w:space="0" w:color="auto"/>
            <w:bottom w:val="none" w:sz="0" w:space="0" w:color="auto"/>
            <w:right w:val="none" w:sz="0" w:space="0" w:color="auto"/>
          </w:divBdr>
        </w:div>
        <w:div w:id="988829579">
          <w:marLeft w:val="1166"/>
          <w:marRight w:val="0"/>
          <w:marTop w:val="106"/>
          <w:marBottom w:val="0"/>
          <w:divBdr>
            <w:top w:val="none" w:sz="0" w:space="0" w:color="auto"/>
            <w:left w:val="none" w:sz="0" w:space="0" w:color="auto"/>
            <w:bottom w:val="none" w:sz="0" w:space="0" w:color="auto"/>
            <w:right w:val="none" w:sz="0" w:space="0" w:color="auto"/>
          </w:divBdr>
        </w:div>
        <w:div w:id="1606420867">
          <w:marLeft w:val="1166"/>
          <w:marRight w:val="0"/>
          <w:marTop w:val="106"/>
          <w:marBottom w:val="0"/>
          <w:divBdr>
            <w:top w:val="none" w:sz="0" w:space="0" w:color="auto"/>
            <w:left w:val="none" w:sz="0" w:space="0" w:color="auto"/>
            <w:bottom w:val="none" w:sz="0" w:space="0" w:color="auto"/>
            <w:right w:val="none" w:sz="0" w:space="0" w:color="auto"/>
          </w:divBdr>
        </w:div>
        <w:div w:id="1848861104">
          <w:marLeft w:val="1800"/>
          <w:marRight w:val="0"/>
          <w:marTop w:val="96"/>
          <w:marBottom w:val="0"/>
          <w:divBdr>
            <w:top w:val="none" w:sz="0" w:space="0" w:color="auto"/>
            <w:left w:val="none" w:sz="0" w:space="0" w:color="auto"/>
            <w:bottom w:val="none" w:sz="0" w:space="0" w:color="auto"/>
            <w:right w:val="none" w:sz="0" w:space="0" w:color="auto"/>
          </w:divBdr>
        </w:div>
        <w:div w:id="2005350721">
          <w:marLeft w:val="547"/>
          <w:marRight w:val="0"/>
          <w:marTop w:val="0"/>
          <w:marBottom w:val="0"/>
          <w:divBdr>
            <w:top w:val="none" w:sz="0" w:space="0" w:color="auto"/>
            <w:left w:val="none" w:sz="0" w:space="0" w:color="auto"/>
            <w:bottom w:val="none" w:sz="0" w:space="0" w:color="auto"/>
            <w:right w:val="none" w:sz="0" w:space="0" w:color="auto"/>
          </w:divBdr>
        </w:div>
      </w:divsChild>
    </w:div>
    <w:div w:id="15161513">
      <w:bodyDiv w:val="1"/>
      <w:marLeft w:val="0"/>
      <w:marRight w:val="0"/>
      <w:marTop w:val="0"/>
      <w:marBottom w:val="0"/>
      <w:divBdr>
        <w:top w:val="none" w:sz="0" w:space="0" w:color="auto"/>
        <w:left w:val="none" w:sz="0" w:space="0" w:color="auto"/>
        <w:bottom w:val="none" w:sz="0" w:space="0" w:color="auto"/>
        <w:right w:val="none" w:sz="0" w:space="0" w:color="auto"/>
      </w:divBdr>
    </w:div>
    <w:div w:id="15356192">
      <w:bodyDiv w:val="1"/>
      <w:marLeft w:val="0"/>
      <w:marRight w:val="0"/>
      <w:marTop w:val="0"/>
      <w:marBottom w:val="0"/>
      <w:divBdr>
        <w:top w:val="none" w:sz="0" w:space="0" w:color="auto"/>
        <w:left w:val="none" w:sz="0" w:space="0" w:color="auto"/>
        <w:bottom w:val="none" w:sz="0" w:space="0" w:color="auto"/>
        <w:right w:val="none" w:sz="0" w:space="0" w:color="auto"/>
      </w:divBdr>
    </w:div>
    <w:div w:id="15931696">
      <w:bodyDiv w:val="1"/>
      <w:marLeft w:val="0"/>
      <w:marRight w:val="0"/>
      <w:marTop w:val="0"/>
      <w:marBottom w:val="0"/>
      <w:divBdr>
        <w:top w:val="none" w:sz="0" w:space="0" w:color="auto"/>
        <w:left w:val="none" w:sz="0" w:space="0" w:color="auto"/>
        <w:bottom w:val="none" w:sz="0" w:space="0" w:color="auto"/>
        <w:right w:val="none" w:sz="0" w:space="0" w:color="auto"/>
      </w:divBdr>
    </w:div>
    <w:div w:id="16735858">
      <w:bodyDiv w:val="1"/>
      <w:marLeft w:val="0"/>
      <w:marRight w:val="0"/>
      <w:marTop w:val="0"/>
      <w:marBottom w:val="0"/>
      <w:divBdr>
        <w:top w:val="none" w:sz="0" w:space="0" w:color="auto"/>
        <w:left w:val="none" w:sz="0" w:space="0" w:color="auto"/>
        <w:bottom w:val="none" w:sz="0" w:space="0" w:color="auto"/>
        <w:right w:val="none" w:sz="0" w:space="0" w:color="auto"/>
      </w:divBdr>
    </w:div>
    <w:div w:id="17852388">
      <w:bodyDiv w:val="1"/>
      <w:marLeft w:val="0"/>
      <w:marRight w:val="0"/>
      <w:marTop w:val="0"/>
      <w:marBottom w:val="0"/>
      <w:divBdr>
        <w:top w:val="none" w:sz="0" w:space="0" w:color="auto"/>
        <w:left w:val="none" w:sz="0" w:space="0" w:color="auto"/>
        <w:bottom w:val="none" w:sz="0" w:space="0" w:color="auto"/>
        <w:right w:val="none" w:sz="0" w:space="0" w:color="auto"/>
      </w:divBdr>
    </w:div>
    <w:div w:id="18050160">
      <w:bodyDiv w:val="1"/>
      <w:marLeft w:val="0"/>
      <w:marRight w:val="0"/>
      <w:marTop w:val="0"/>
      <w:marBottom w:val="0"/>
      <w:divBdr>
        <w:top w:val="none" w:sz="0" w:space="0" w:color="auto"/>
        <w:left w:val="none" w:sz="0" w:space="0" w:color="auto"/>
        <w:bottom w:val="none" w:sz="0" w:space="0" w:color="auto"/>
        <w:right w:val="none" w:sz="0" w:space="0" w:color="auto"/>
      </w:divBdr>
    </w:div>
    <w:div w:id="18287462">
      <w:bodyDiv w:val="1"/>
      <w:marLeft w:val="0"/>
      <w:marRight w:val="0"/>
      <w:marTop w:val="0"/>
      <w:marBottom w:val="0"/>
      <w:divBdr>
        <w:top w:val="none" w:sz="0" w:space="0" w:color="auto"/>
        <w:left w:val="none" w:sz="0" w:space="0" w:color="auto"/>
        <w:bottom w:val="none" w:sz="0" w:space="0" w:color="auto"/>
        <w:right w:val="none" w:sz="0" w:space="0" w:color="auto"/>
      </w:divBdr>
    </w:div>
    <w:div w:id="18359128">
      <w:bodyDiv w:val="1"/>
      <w:marLeft w:val="0"/>
      <w:marRight w:val="0"/>
      <w:marTop w:val="0"/>
      <w:marBottom w:val="0"/>
      <w:divBdr>
        <w:top w:val="none" w:sz="0" w:space="0" w:color="auto"/>
        <w:left w:val="none" w:sz="0" w:space="0" w:color="auto"/>
        <w:bottom w:val="none" w:sz="0" w:space="0" w:color="auto"/>
        <w:right w:val="none" w:sz="0" w:space="0" w:color="auto"/>
      </w:divBdr>
    </w:div>
    <w:div w:id="18556931">
      <w:bodyDiv w:val="1"/>
      <w:marLeft w:val="0"/>
      <w:marRight w:val="0"/>
      <w:marTop w:val="0"/>
      <w:marBottom w:val="0"/>
      <w:divBdr>
        <w:top w:val="none" w:sz="0" w:space="0" w:color="auto"/>
        <w:left w:val="none" w:sz="0" w:space="0" w:color="auto"/>
        <w:bottom w:val="none" w:sz="0" w:space="0" w:color="auto"/>
        <w:right w:val="none" w:sz="0" w:space="0" w:color="auto"/>
      </w:divBdr>
    </w:div>
    <w:div w:id="20206694">
      <w:bodyDiv w:val="1"/>
      <w:marLeft w:val="0"/>
      <w:marRight w:val="0"/>
      <w:marTop w:val="0"/>
      <w:marBottom w:val="0"/>
      <w:divBdr>
        <w:top w:val="none" w:sz="0" w:space="0" w:color="auto"/>
        <w:left w:val="none" w:sz="0" w:space="0" w:color="auto"/>
        <w:bottom w:val="none" w:sz="0" w:space="0" w:color="auto"/>
        <w:right w:val="none" w:sz="0" w:space="0" w:color="auto"/>
      </w:divBdr>
    </w:div>
    <w:div w:id="21175204">
      <w:bodyDiv w:val="1"/>
      <w:marLeft w:val="0"/>
      <w:marRight w:val="0"/>
      <w:marTop w:val="0"/>
      <w:marBottom w:val="0"/>
      <w:divBdr>
        <w:top w:val="none" w:sz="0" w:space="0" w:color="auto"/>
        <w:left w:val="none" w:sz="0" w:space="0" w:color="auto"/>
        <w:bottom w:val="none" w:sz="0" w:space="0" w:color="auto"/>
        <w:right w:val="none" w:sz="0" w:space="0" w:color="auto"/>
      </w:divBdr>
    </w:div>
    <w:div w:id="22247716">
      <w:bodyDiv w:val="1"/>
      <w:marLeft w:val="0"/>
      <w:marRight w:val="0"/>
      <w:marTop w:val="0"/>
      <w:marBottom w:val="0"/>
      <w:divBdr>
        <w:top w:val="none" w:sz="0" w:space="0" w:color="auto"/>
        <w:left w:val="none" w:sz="0" w:space="0" w:color="auto"/>
        <w:bottom w:val="none" w:sz="0" w:space="0" w:color="auto"/>
        <w:right w:val="none" w:sz="0" w:space="0" w:color="auto"/>
      </w:divBdr>
      <w:divsChild>
        <w:div w:id="1564948370">
          <w:marLeft w:val="547"/>
          <w:marRight w:val="0"/>
          <w:marTop w:val="77"/>
          <w:marBottom w:val="0"/>
          <w:divBdr>
            <w:top w:val="none" w:sz="0" w:space="0" w:color="auto"/>
            <w:left w:val="none" w:sz="0" w:space="0" w:color="auto"/>
            <w:bottom w:val="none" w:sz="0" w:space="0" w:color="auto"/>
            <w:right w:val="none" w:sz="0" w:space="0" w:color="auto"/>
          </w:divBdr>
        </w:div>
      </w:divsChild>
    </w:div>
    <w:div w:id="22295141">
      <w:bodyDiv w:val="1"/>
      <w:marLeft w:val="0"/>
      <w:marRight w:val="0"/>
      <w:marTop w:val="0"/>
      <w:marBottom w:val="0"/>
      <w:divBdr>
        <w:top w:val="none" w:sz="0" w:space="0" w:color="auto"/>
        <w:left w:val="none" w:sz="0" w:space="0" w:color="auto"/>
        <w:bottom w:val="none" w:sz="0" w:space="0" w:color="auto"/>
        <w:right w:val="none" w:sz="0" w:space="0" w:color="auto"/>
      </w:divBdr>
    </w:div>
    <w:div w:id="23335298">
      <w:bodyDiv w:val="1"/>
      <w:marLeft w:val="0"/>
      <w:marRight w:val="0"/>
      <w:marTop w:val="0"/>
      <w:marBottom w:val="0"/>
      <w:divBdr>
        <w:top w:val="none" w:sz="0" w:space="0" w:color="auto"/>
        <w:left w:val="none" w:sz="0" w:space="0" w:color="auto"/>
        <w:bottom w:val="none" w:sz="0" w:space="0" w:color="auto"/>
        <w:right w:val="none" w:sz="0" w:space="0" w:color="auto"/>
      </w:divBdr>
    </w:div>
    <w:div w:id="23989968">
      <w:bodyDiv w:val="1"/>
      <w:marLeft w:val="0"/>
      <w:marRight w:val="0"/>
      <w:marTop w:val="0"/>
      <w:marBottom w:val="0"/>
      <w:divBdr>
        <w:top w:val="none" w:sz="0" w:space="0" w:color="auto"/>
        <w:left w:val="none" w:sz="0" w:space="0" w:color="auto"/>
        <w:bottom w:val="none" w:sz="0" w:space="0" w:color="auto"/>
        <w:right w:val="none" w:sz="0" w:space="0" w:color="auto"/>
      </w:divBdr>
    </w:div>
    <w:div w:id="24334061">
      <w:bodyDiv w:val="1"/>
      <w:marLeft w:val="0"/>
      <w:marRight w:val="0"/>
      <w:marTop w:val="0"/>
      <w:marBottom w:val="0"/>
      <w:divBdr>
        <w:top w:val="none" w:sz="0" w:space="0" w:color="auto"/>
        <w:left w:val="none" w:sz="0" w:space="0" w:color="auto"/>
        <w:bottom w:val="none" w:sz="0" w:space="0" w:color="auto"/>
        <w:right w:val="none" w:sz="0" w:space="0" w:color="auto"/>
      </w:divBdr>
      <w:divsChild>
        <w:div w:id="216936947">
          <w:marLeft w:val="1166"/>
          <w:marRight w:val="0"/>
          <w:marTop w:val="106"/>
          <w:marBottom w:val="0"/>
          <w:divBdr>
            <w:top w:val="none" w:sz="0" w:space="0" w:color="auto"/>
            <w:left w:val="none" w:sz="0" w:space="0" w:color="auto"/>
            <w:bottom w:val="none" w:sz="0" w:space="0" w:color="auto"/>
            <w:right w:val="none" w:sz="0" w:space="0" w:color="auto"/>
          </w:divBdr>
        </w:div>
        <w:div w:id="374043202">
          <w:marLeft w:val="1166"/>
          <w:marRight w:val="0"/>
          <w:marTop w:val="106"/>
          <w:marBottom w:val="0"/>
          <w:divBdr>
            <w:top w:val="none" w:sz="0" w:space="0" w:color="auto"/>
            <w:left w:val="none" w:sz="0" w:space="0" w:color="auto"/>
            <w:bottom w:val="none" w:sz="0" w:space="0" w:color="auto"/>
            <w:right w:val="none" w:sz="0" w:space="0" w:color="auto"/>
          </w:divBdr>
        </w:div>
        <w:div w:id="965431254">
          <w:marLeft w:val="547"/>
          <w:marRight w:val="0"/>
          <w:marTop w:val="125"/>
          <w:marBottom w:val="0"/>
          <w:divBdr>
            <w:top w:val="none" w:sz="0" w:space="0" w:color="auto"/>
            <w:left w:val="none" w:sz="0" w:space="0" w:color="auto"/>
            <w:bottom w:val="none" w:sz="0" w:space="0" w:color="auto"/>
            <w:right w:val="none" w:sz="0" w:space="0" w:color="auto"/>
          </w:divBdr>
        </w:div>
        <w:div w:id="1125347262">
          <w:marLeft w:val="1166"/>
          <w:marRight w:val="0"/>
          <w:marTop w:val="106"/>
          <w:marBottom w:val="0"/>
          <w:divBdr>
            <w:top w:val="none" w:sz="0" w:space="0" w:color="auto"/>
            <w:left w:val="none" w:sz="0" w:space="0" w:color="auto"/>
            <w:bottom w:val="none" w:sz="0" w:space="0" w:color="auto"/>
            <w:right w:val="none" w:sz="0" w:space="0" w:color="auto"/>
          </w:divBdr>
        </w:div>
        <w:div w:id="1813060246">
          <w:marLeft w:val="547"/>
          <w:marRight w:val="0"/>
          <w:marTop w:val="125"/>
          <w:marBottom w:val="0"/>
          <w:divBdr>
            <w:top w:val="none" w:sz="0" w:space="0" w:color="auto"/>
            <w:left w:val="none" w:sz="0" w:space="0" w:color="auto"/>
            <w:bottom w:val="none" w:sz="0" w:space="0" w:color="auto"/>
            <w:right w:val="none" w:sz="0" w:space="0" w:color="auto"/>
          </w:divBdr>
        </w:div>
      </w:divsChild>
    </w:div>
    <w:div w:id="24379427">
      <w:bodyDiv w:val="1"/>
      <w:marLeft w:val="0"/>
      <w:marRight w:val="0"/>
      <w:marTop w:val="0"/>
      <w:marBottom w:val="0"/>
      <w:divBdr>
        <w:top w:val="none" w:sz="0" w:space="0" w:color="auto"/>
        <w:left w:val="none" w:sz="0" w:space="0" w:color="auto"/>
        <w:bottom w:val="none" w:sz="0" w:space="0" w:color="auto"/>
        <w:right w:val="none" w:sz="0" w:space="0" w:color="auto"/>
      </w:divBdr>
    </w:div>
    <w:div w:id="24451702">
      <w:bodyDiv w:val="1"/>
      <w:marLeft w:val="0"/>
      <w:marRight w:val="0"/>
      <w:marTop w:val="0"/>
      <w:marBottom w:val="0"/>
      <w:divBdr>
        <w:top w:val="none" w:sz="0" w:space="0" w:color="auto"/>
        <w:left w:val="none" w:sz="0" w:space="0" w:color="auto"/>
        <w:bottom w:val="none" w:sz="0" w:space="0" w:color="auto"/>
        <w:right w:val="none" w:sz="0" w:space="0" w:color="auto"/>
      </w:divBdr>
    </w:div>
    <w:div w:id="24988687">
      <w:bodyDiv w:val="1"/>
      <w:marLeft w:val="0"/>
      <w:marRight w:val="0"/>
      <w:marTop w:val="0"/>
      <w:marBottom w:val="0"/>
      <w:divBdr>
        <w:top w:val="none" w:sz="0" w:space="0" w:color="auto"/>
        <w:left w:val="none" w:sz="0" w:space="0" w:color="auto"/>
        <w:bottom w:val="none" w:sz="0" w:space="0" w:color="auto"/>
        <w:right w:val="none" w:sz="0" w:space="0" w:color="auto"/>
      </w:divBdr>
    </w:div>
    <w:div w:id="25369205">
      <w:bodyDiv w:val="1"/>
      <w:marLeft w:val="0"/>
      <w:marRight w:val="0"/>
      <w:marTop w:val="0"/>
      <w:marBottom w:val="0"/>
      <w:divBdr>
        <w:top w:val="none" w:sz="0" w:space="0" w:color="auto"/>
        <w:left w:val="none" w:sz="0" w:space="0" w:color="auto"/>
        <w:bottom w:val="none" w:sz="0" w:space="0" w:color="auto"/>
        <w:right w:val="none" w:sz="0" w:space="0" w:color="auto"/>
      </w:divBdr>
      <w:divsChild>
        <w:div w:id="225265042">
          <w:marLeft w:val="1080"/>
          <w:marRight w:val="0"/>
          <w:marTop w:val="100"/>
          <w:marBottom w:val="0"/>
          <w:divBdr>
            <w:top w:val="none" w:sz="0" w:space="0" w:color="auto"/>
            <w:left w:val="none" w:sz="0" w:space="0" w:color="auto"/>
            <w:bottom w:val="none" w:sz="0" w:space="0" w:color="auto"/>
            <w:right w:val="none" w:sz="0" w:space="0" w:color="auto"/>
          </w:divBdr>
        </w:div>
        <w:div w:id="249244121">
          <w:marLeft w:val="1800"/>
          <w:marRight w:val="0"/>
          <w:marTop w:val="100"/>
          <w:marBottom w:val="0"/>
          <w:divBdr>
            <w:top w:val="none" w:sz="0" w:space="0" w:color="auto"/>
            <w:left w:val="none" w:sz="0" w:space="0" w:color="auto"/>
            <w:bottom w:val="none" w:sz="0" w:space="0" w:color="auto"/>
            <w:right w:val="none" w:sz="0" w:space="0" w:color="auto"/>
          </w:divBdr>
        </w:div>
        <w:div w:id="288241085">
          <w:marLeft w:val="360"/>
          <w:marRight w:val="0"/>
          <w:marTop w:val="200"/>
          <w:marBottom w:val="0"/>
          <w:divBdr>
            <w:top w:val="none" w:sz="0" w:space="0" w:color="auto"/>
            <w:left w:val="none" w:sz="0" w:space="0" w:color="auto"/>
            <w:bottom w:val="none" w:sz="0" w:space="0" w:color="auto"/>
            <w:right w:val="none" w:sz="0" w:space="0" w:color="auto"/>
          </w:divBdr>
        </w:div>
        <w:div w:id="598948834">
          <w:marLeft w:val="1080"/>
          <w:marRight w:val="0"/>
          <w:marTop w:val="100"/>
          <w:marBottom w:val="0"/>
          <w:divBdr>
            <w:top w:val="none" w:sz="0" w:space="0" w:color="auto"/>
            <w:left w:val="none" w:sz="0" w:space="0" w:color="auto"/>
            <w:bottom w:val="none" w:sz="0" w:space="0" w:color="auto"/>
            <w:right w:val="none" w:sz="0" w:space="0" w:color="auto"/>
          </w:divBdr>
        </w:div>
        <w:div w:id="711539268">
          <w:marLeft w:val="1080"/>
          <w:marRight w:val="0"/>
          <w:marTop w:val="100"/>
          <w:marBottom w:val="0"/>
          <w:divBdr>
            <w:top w:val="none" w:sz="0" w:space="0" w:color="auto"/>
            <w:left w:val="none" w:sz="0" w:space="0" w:color="auto"/>
            <w:bottom w:val="none" w:sz="0" w:space="0" w:color="auto"/>
            <w:right w:val="none" w:sz="0" w:space="0" w:color="auto"/>
          </w:divBdr>
        </w:div>
        <w:div w:id="808133267">
          <w:marLeft w:val="1080"/>
          <w:marRight w:val="0"/>
          <w:marTop w:val="100"/>
          <w:marBottom w:val="0"/>
          <w:divBdr>
            <w:top w:val="none" w:sz="0" w:space="0" w:color="auto"/>
            <w:left w:val="none" w:sz="0" w:space="0" w:color="auto"/>
            <w:bottom w:val="none" w:sz="0" w:space="0" w:color="auto"/>
            <w:right w:val="none" w:sz="0" w:space="0" w:color="auto"/>
          </w:divBdr>
        </w:div>
        <w:div w:id="826281841">
          <w:marLeft w:val="360"/>
          <w:marRight w:val="0"/>
          <w:marTop w:val="200"/>
          <w:marBottom w:val="0"/>
          <w:divBdr>
            <w:top w:val="none" w:sz="0" w:space="0" w:color="auto"/>
            <w:left w:val="none" w:sz="0" w:space="0" w:color="auto"/>
            <w:bottom w:val="none" w:sz="0" w:space="0" w:color="auto"/>
            <w:right w:val="none" w:sz="0" w:space="0" w:color="auto"/>
          </w:divBdr>
        </w:div>
        <w:div w:id="1086998359">
          <w:marLeft w:val="1080"/>
          <w:marRight w:val="0"/>
          <w:marTop w:val="100"/>
          <w:marBottom w:val="0"/>
          <w:divBdr>
            <w:top w:val="none" w:sz="0" w:space="0" w:color="auto"/>
            <w:left w:val="none" w:sz="0" w:space="0" w:color="auto"/>
            <w:bottom w:val="none" w:sz="0" w:space="0" w:color="auto"/>
            <w:right w:val="none" w:sz="0" w:space="0" w:color="auto"/>
          </w:divBdr>
        </w:div>
        <w:div w:id="1586568150">
          <w:marLeft w:val="1080"/>
          <w:marRight w:val="0"/>
          <w:marTop w:val="100"/>
          <w:marBottom w:val="0"/>
          <w:divBdr>
            <w:top w:val="none" w:sz="0" w:space="0" w:color="auto"/>
            <w:left w:val="none" w:sz="0" w:space="0" w:color="auto"/>
            <w:bottom w:val="none" w:sz="0" w:space="0" w:color="auto"/>
            <w:right w:val="none" w:sz="0" w:space="0" w:color="auto"/>
          </w:divBdr>
        </w:div>
        <w:div w:id="1844977757">
          <w:marLeft w:val="360"/>
          <w:marRight w:val="0"/>
          <w:marTop w:val="200"/>
          <w:marBottom w:val="0"/>
          <w:divBdr>
            <w:top w:val="none" w:sz="0" w:space="0" w:color="auto"/>
            <w:left w:val="none" w:sz="0" w:space="0" w:color="auto"/>
            <w:bottom w:val="none" w:sz="0" w:space="0" w:color="auto"/>
            <w:right w:val="none" w:sz="0" w:space="0" w:color="auto"/>
          </w:divBdr>
        </w:div>
        <w:div w:id="2042364808">
          <w:marLeft w:val="360"/>
          <w:marRight w:val="0"/>
          <w:marTop w:val="200"/>
          <w:marBottom w:val="0"/>
          <w:divBdr>
            <w:top w:val="none" w:sz="0" w:space="0" w:color="auto"/>
            <w:left w:val="none" w:sz="0" w:space="0" w:color="auto"/>
            <w:bottom w:val="none" w:sz="0" w:space="0" w:color="auto"/>
            <w:right w:val="none" w:sz="0" w:space="0" w:color="auto"/>
          </w:divBdr>
        </w:div>
      </w:divsChild>
    </w:div>
    <w:div w:id="26565657">
      <w:bodyDiv w:val="1"/>
      <w:marLeft w:val="0"/>
      <w:marRight w:val="0"/>
      <w:marTop w:val="0"/>
      <w:marBottom w:val="0"/>
      <w:divBdr>
        <w:top w:val="none" w:sz="0" w:space="0" w:color="auto"/>
        <w:left w:val="none" w:sz="0" w:space="0" w:color="auto"/>
        <w:bottom w:val="none" w:sz="0" w:space="0" w:color="auto"/>
        <w:right w:val="none" w:sz="0" w:space="0" w:color="auto"/>
      </w:divBdr>
    </w:div>
    <w:div w:id="27530933">
      <w:bodyDiv w:val="1"/>
      <w:marLeft w:val="0"/>
      <w:marRight w:val="0"/>
      <w:marTop w:val="0"/>
      <w:marBottom w:val="0"/>
      <w:divBdr>
        <w:top w:val="none" w:sz="0" w:space="0" w:color="auto"/>
        <w:left w:val="none" w:sz="0" w:space="0" w:color="auto"/>
        <w:bottom w:val="none" w:sz="0" w:space="0" w:color="auto"/>
        <w:right w:val="none" w:sz="0" w:space="0" w:color="auto"/>
      </w:divBdr>
      <w:divsChild>
        <w:div w:id="476533746">
          <w:marLeft w:val="547"/>
          <w:marRight w:val="0"/>
          <w:marTop w:val="115"/>
          <w:marBottom w:val="0"/>
          <w:divBdr>
            <w:top w:val="none" w:sz="0" w:space="0" w:color="auto"/>
            <w:left w:val="none" w:sz="0" w:space="0" w:color="auto"/>
            <w:bottom w:val="none" w:sz="0" w:space="0" w:color="auto"/>
            <w:right w:val="none" w:sz="0" w:space="0" w:color="auto"/>
          </w:divBdr>
        </w:div>
        <w:div w:id="1330672485">
          <w:marLeft w:val="1886"/>
          <w:marRight w:val="0"/>
          <w:marTop w:val="115"/>
          <w:marBottom w:val="0"/>
          <w:divBdr>
            <w:top w:val="none" w:sz="0" w:space="0" w:color="auto"/>
            <w:left w:val="none" w:sz="0" w:space="0" w:color="auto"/>
            <w:bottom w:val="none" w:sz="0" w:space="0" w:color="auto"/>
            <w:right w:val="none" w:sz="0" w:space="0" w:color="auto"/>
          </w:divBdr>
        </w:div>
        <w:div w:id="1856454558">
          <w:marLeft w:val="1166"/>
          <w:marRight w:val="0"/>
          <w:marTop w:val="115"/>
          <w:marBottom w:val="0"/>
          <w:divBdr>
            <w:top w:val="none" w:sz="0" w:space="0" w:color="auto"/>
            <w:left w:val="none" w:sz="0" w:space="0" w:color="auto"/>
            <w:bottom w:val="none" w:sz="0" w:space="0" w:color="auto"/>
            <w:right w:val="none" w:sz="0" w:space="0" w:color="auto"/>
          </w:divBdr>
        </w:div>
      </w:divsChild>
    </w:div>
    <w:div w:id="28074991">
      <w:bodyDiv w:val="1"/>
      <w:marLeft w:val="0"/>
      <w:marRight w:val="0"/>
      <w:marTop w:val="0"/>
      <w:marBottom w:val="0"/>
      <w:divBdr>
        <w:top w:val="none" w:sz="0" w:space="0" w:color="auto"/>
        <w:left w:val="none" w:sz="0" w:space="0" w:color="auto"/>
        <w:bottom w:val="none" w:sz="0" w:space="0" w:color="auto"/>
        <w:right w:val="none" w:sz="0" w:space="0" w:color="auto"/>
      </w:divBdr>
    </w:div>
    <w:div w:id="28453497">
      <w:bodyDiv w:val="1"/>
      <w:marLeft w:val="0"/>
      <w:marRight w:val="0"/>
      <w:marTop w:val="0"/>
      <w:marBottom w:val="0"/>
      <w:divBdr>
        <w:top w:val="none" w:sz="0" w:space="0" w:color="auto"/>
        <w:left w:val="none" w:sz="0" w:space="0" w:color="auto"/>
        <w:bottom w:val="none" w:sz="0" w:space="0" w:color="auto"/>
        <w:right w:val="none" w:sz="0" w:space="0" w:color="auto"/>
      </w:divBdr>
    </w:div>
    <w:div w:id="28725352">
      <w:bodyDiv w:val="1"/>
      <w:marLeft w:val="0"/>
      <w:marRight w:val="0"/>
      <w:marTop w:val="0"/>
      <w:marBottom w:val="0"/>
      <w:divBdr>
        <w:top w:val="none" w:sz="0" w:space="0" w:color="auto"/>
        <w:left w:val="none" w:sz="0" w:space="0" w:color="auto"/>
        <w:bottom w:val="none" w:sz="0" w:space="0" w:color="auto"/>
        <w:right w:val="none" w:sz="0" w:space="0" w:color="auto"/>
      </w:divBdr>
      <w:divsChild>
        <w:div w:id="536745662">
          <w:marLeft w:val="547"/>
          <w:marRight w:val="0"/>
          <w:marTop w:val="134"/>
          <w:marBottom w:val="120"/>
          <w:divBdr>
            <w:top w:val="none" w:sz="0" w:space="0" w:color="auto"/>
            <w:left w:val="none" w:sz="0" w:space="0" w:color="auto"/>
            <w:bottom w:val="none" w:sz="0" w:space="0" w:color="auto"/>
            <w:right w:val="none" w:sz="0" w:space="0" w:color="auto"/>
          </w:divBdr>
        </w:div>
      </w:divsChild>
    </w:div>
    <w:div w:id="29645035">
      <w:bodyDiv w:val="1"/>
      <w:marLeft w:val="0"/>
      <w:marRight w:val="0"/>
      <w:marTop w:val="0"/>
      <w:marBottom w:val="0"/>
      <w:divBdr>
        <w:top w:val="none" w:sz="0" w:space="0" w:color="auto"/>
        <w:left w:val="none" w:sz="0" w:space="0" w:color="auto"/>
        <w:bottom w:val="none" w:sz="0" w:space="0" w:color="auto"/>
        <w:right w:val="none" w:sz="0" w:space="0" w:color="auto"/>
      </w:divBdr>
      <w:divsChild>
        <w:div w:id="116529000">
          <w:marLeft w:val="1800"/>
          <w:marRight w:val="0"/>
          <w:marTop w:val="100"/>
          <w:marBottom w:val="0"/>
          <w:divBdr>
            <w:top w:val="none" w:sz="0" w:space="0" w:color="auto"/>
            <w:left w:val="none" w:sz="0" w:space="0" w:color="auto"/>
            <w:bottom w:val="none" w:sz="0" w:space="0" w:color="auto"/>
            <w:right w:val="none" w:sz="0" w:space="0" w:color="auto"/>
          </w:divBdr>
        </w:div>
        <w:div w:id="476530957">
          <w:marLeft w:val="360"/>
          <w:marRight w:val="0"/>
          <w:marTop w:val="200"/>
          <w:marBottom w:val="0"/>
          <w:divBdr>
            <w:top w:val="none" w:sz="0" w:space="0" w:color="auto"/>
            <w:left w:val="none" w:sz="0" w:space="0" w:color="auto"/>
            <w:bottom w:val="none" w:sz="0" w:space="0" w:color="auto"/>
            <w:right w:val="none" w:sz="0" w:space="0" w:color="auto"/>
          </w:divBdr>
        </w:div>
        <w:div w:id="744691722">
          <w:marLeft w:val="1080"/>
          <w:marRight w:val="0"/>
          <w:marTop w:val="100"/>
          <w:marBottom w:val="0"/>
          <w:divBdr>
            <w:top w:val="none" w:sz="0" w:space="0" w:color="auto"/>
            <w:left w:val="none" w:sz="0" w:space="0" w:color="auto"/>
            <w:bottom w:val="none" w:sz="0" w:space="0" w:color="auto"/>
            <w:right w:val="none" w:sz="0" w:space="0" w:color="auto"/>
          </w:divBdr>
        </w:div>
        <w:div w:id="753283216">
          <w:marLeft w:val="2520"/>
          <w:marRight w:val="0"/>
          <w:marTop w:val="100"/>
          <w:marBottom w:val="0"/>
          <w:divBdr>
            <w:top w:val="none" w:sz="0" w:space="0" w:color="auto"/>
            <w:left w:val="none" w:sz="0" w:space="0" w:color="auto"/>
            <w:bottom w:val="none" w:sz="0" w:space="0" w:color="auto"/>
            <w:right w:val="none" w:sz="0" w:space="0" w:color="auto"/>
          </w:divBdr>
        </w:div>
        <w:div w:id="1293898231">
          <w:marLeft w:val="1080"/>
          <w:marRight w:val="0"/>
          <w:marTop w:val="100"/>
          <w:marBottom w:val="0"/>
          <w:divBdr>
            <w:top w:val="none" w:sz="0" w:space="0" w:color="auto"/>
            <w:left w:val="none" w:sz="0" w:space="0" w:color="auto"/>
            <w:bottom w:val="none" w:sz="0" w:space="0" w:color="auto"/>
            <w:right w:val="none" w:sz="0" w:space="0" w:color="auto"/>
          </w:divBdr>
        </w:div>
        <w:div w:id="1876772212">
          <w:marLeft w:val="1080"/>
          <w:marRight w:val="0"/>
          <w:marTop w:val="100"/>
          <w:marBottom w:val="0"/>
          <w:divBdr>
            <w:top w:val="none" w:sz="0" w:space="0" w:color="auto"/>
            <w:left w:val="none" w:sz="0" w:space="0" w:color="auto"/>
            <w:bottom w:val="none" w:sz="0" w:space="0" w:color="auto"/>
            <w:right w:val="none" w:sz="0" w:space="0" w:color="auto"/>
          </w:divBdr>
        </w:div>
      </w:divsChild>
    </w:div>
    <w:div w:id="30038437">
      <w:bodyDiv w:val="1"/>
      <w:marLeft w:val="0"/>
      <w:marRight w:val="0"/>
      <w:marTop w:val="0"/>
      <w:marBottom w:val="0"/>
      <w:divBdr>
        <w:top w:val="none" w:sz="0" w:space="0" w:color="auto"/>
        <w:left w:val="none" w:sz="0" w:space="0" w:color="auto"/>
        <w:bottom w:val="none" w:sz="0" w:space="0" w:color="auto"/>
        <w:right w:val="none" w:sz="0" w:space="0" w:color="auto"/>
      </w:divBdr>
      <w:divsChild>
        <w:div w:id="31274521">
          <w:marLeft w:val="1800"/>
          <w:marRight w:val="0"/>
          <w:marTop w:val="96"/>
          <w:marBottom w:val="0"/>
          <w:divBdr>
            <w:top w:val="none" w:sz="0" w:space="0" w:color="auto"/>
            <w:left w:val="none" w:sz="0" w:space="0" w:color="auto"/>
            <w:bottom w:val="none" w:sz="0" w:space="0" w:color="auto"/>
            <w:right w:val="none" w:sz="0" w:space="0" w:color="auto"/>
          </w:divBdr>
        </w:div>
        <w:div w:id="198785582">
          <w:marLeft w:val="1800"/>
          <w:marRight w:val="0"/>
          <w:marTop w:val="96"/>
          <w:marBottom w:val="0"/>
          <w:divBdr>
            <w:top w:val="none" w:sz="0" w:space="0" w:color="auto"/>
            <w:left w:val="none" w:sz="0" w:space="0" w:color="auto"/>
            <w:bottom w:val="none" w:sz="0" w:space="0" w:color="auto"/>
            <w:right w:val="none" w:sz="0" w:space="0" w:color="auto"/>
          </w:divBdr>
        </w:div>
        <w:div w:id="1309625092">
          <w:marLeft w:val="1800"/>
          <w:marRight w:val="0"/>
          <w:marTop w:val="96"/>
          <w:marBottom w:val="0"/>
          <w:divBdr>
            <w:top w:val="none" w:sz="0" w:space="0" w:color="auto"/>
            <w:left w:val="none" w:sz="0" w:space="0" w:color="auto"/>
            <w:bottom w:val="none" w:sz="0" w:space="0" w:color="auto"/>
            <w:right w:val="none" w:sz="0" w:space="0" w:color="auto"/>
          </w:divBdr>
        </w:div>
        <w:div w:id="1320769880">
          <w:marLeft w:val="547"/>
          <w:marRight w:val="0"/>
          <w:marTop w:val="134"/>
          <w:marBottom w:val="0"/>
          <w:divBdr>
            <w:top w:val="none" w:sz="0" w:space="0" w:color="auto"/>
            <w:left w:val="none" w:sz="0" w:space="0" w:color="auto"/>
            <w:bottom w:val="none" w:sz="0" w:space="0" w:color="auto"/>
            <w:right w:val="none" w:sz="0" w:space="0" w:color="auto"/>
          </w:divBdr>
        </w:div>
        <w:div w:id="1443113196">
          <w:marLeft w:val="1800"/>
          <w:marRight w:val="0"/>
          <w:marTop w:val="96"/>
          <w:marBottom w:val="0"/>
          <w:divBdr>
            <w:top w:val="none" w:sz="0" w:space="0" w:color="auto"/>
            <w:left w:val="none" w:sz="0" w:space="0" w:color="auto"/>
            <w:bottom w:val="none" w:sz="0" w:space="0" w:color="auto"/>
            <w:right w:val="none" w:sz="0" w:space="0" w:color="auto"/>
          </w:divBdr>
        </w:div>
        <w:div w:id="1449468904">
          <w:marLeft w:val="1800"/>
          <w:marRight w:val="0"/>
          <w:marTop w:val="96"/>
          <w:marBottom w:val="0"/>
          <w:divBdr>
            <w:top w:val="none" w:sz="0" w:space="0" w:color="auto"/>
            <w:left w:val="none" w:sz="0" w:space="0" w:color="auto"/>
            <w:bottom w:val="none" w:sz="0" w:space="0" w:color="auto"/>
            <w:right w:val="none" w:sz="0" w:space="0" w:color="auto"/>
          </w:divBdr>
        </w:div>
        <w:div w:id="1875726767">
          <w:marLeft w:val="1166"/>
          <w:marRight w:val="0"/>
          <w:marTop w:val="115"/>
          <w:marBottom w:val="0"/>
          <w:divBdr>
            <w:top w:val="none" w:sz="0" w:space="0" w:color="auto"/>
            <w:left w:val="none" w:sz="0" w:space="0" w:color="auto"/>
            <w:bottom w:val="none" w:sz="0" w:space="0" w:color="auto"/>
            <w:right w:val="none" w:sz="0" w:space="0" w:color="auto"/>
          </w:divBdr>
        </w:div>
      </w:divsChild>
    </w:div>
    <w:div w:id="30225480">
      <w:bodyDiv w:val="1"/>
      <w:marLeft w:val="0"/>
      <w:marRight w:val="0"/>
      <w:marTop w:val="0"/>
      <w:marBottom w:val="0"/>
      <w:divBdr>
        <w:top w:val="none" w:sz="0" w:space="0" w:color="auto"/>
        <w:left w:val="none" w:sz="0" w:space="0" w:color="auto"/>
        <w:bottom w:val="none" w:sz="0" w:space="0" w:color="auto"/>
        <w:right w:val="none" w:sz="0" w:space="0" w:color="auto"/>
      </w:divBdr>
    </w:div>
    <w:div w:id="30346461">
      <w:bodyDiv w:val="1"/>
      <w:marLeft w:val="0"/>
      <w:marRight w:val="0"/>
      <w:marTop w:val="0"/>
      <w:marBottom w:val="0"/>
      <w:divBdr>
        <w:top w:val="none" w:sz="0" w:space="0" w:color="auto"/>
        <w:left w:val="none" w:sz="0" w:space="0" w:color="auto"/>
        <w:bottom w:val="none" w:sz="0" w:space="0" w:color="auto"/>
        <w:right w:val="none" w:sz="0" w:space="0" w:color="auto"/>
      </w:divBdr>
      <w:divsChild>
        <w:div w:id="31881548">
          <w:marLeft w:val="1800"/>
          <w:marRight w:val="0"/>
          <w:marTop w:val="77"/>
          <w:marBottom w:val="0"/>
          <w:divBdr>
            <w:top w:val="none" w:sz="0" w:space="0" w:color="auto"/>
            <w:left w:val="none" w:sz="0" w:space="0" w:color="auto"/>
            <w:bottom w:val="none" w:sz="0" w:space="0" w:color="auto"/>
            <w:right w:val="none" w:sz="0" w:space="0" w:color="auto"/>
          </w:divBdr>
        </w:div>
        <w:div w:id="356782230">
          <w:marLeft w:val="547"/>
          <w:marRight w:val="0"/>
          <w:marTop w:val="115"/>
          <w:marBottom w:val="0"/>
          <w:divBdr>
            <w:top w:val="none" w:sz="0" w:space="0" w:color="auto"/>
            <w:left w:val="none" w:sz="0" w:space="0" w:color="auto"/>
            <w:bottom w:val="none" w:sz="0" w:space="0" w:color="auto"/>
            <w:right w:val="none" w:sz="0" w:space="0" w:color="auto"/>
          </w:divBdr>
        </w:div>
        <w:div w:id="615917009">
          <w:marLeft w:val="547"/>
          <w:marRight w:val="0"/>
          <w:marTop w:val="115"/>
          <w:marBottom w:val="0"/>
          <w:divBdr>
            <w:top w:val="none" w:sz="0" w:space="0" w:color="auto"/>
            <w:left w:val="none" w:sz="0" w:space="0" w:color="auto"/>
            <w:bottom w:val="none" w:sz="0" w:space="0" w:color="auto"/>
            <w:right w:val="none" w:sz="0" w:space="0" w:color="auto"/>
          </w:divBdr>
        </w:div>
        <w:div w:id="964197762">
          <w:marLeft w:val="547"/>
          <w:marRight w:val="0"/>
          <w:marTop w:val="115"/>
          <w:marBottom w:val="0"/>
          <w:divBdr>
            <w:top w:val="none" w:sz="0" w:space="0" w:color="auto"/>
            <w:left w:val="none" w:sz="0" w:space="0" w:color="auto"/>
            <w:bottom w:val="none" w:sz="0" w:space="0" w:color="auto"/>
            <w:right w:val="none" w:sz="0" w:space="0" w:color="auto"/>
          </w:divBdr>
        </w:div>
        <w:div w:id="1471510113">
          <w:marLeft w:val="1166"/>
          <w:marRight w:val="0"/>
          <w:marTop w:val="96"/>
          <w:marBottom w:val="0"/>
          <w:divBdr>
            <w:top w:val="none" w:sz="0" w:space="0" w:color="auto"/>
            <w:left w:val="none" w:sz="0" w:space="0" w:color="auto"/>
            <w:bottom w:val="none" w:sz="0" w:space="0" w:color="auto"/>
            <w:right w:val="none" w:sz="0" w:space="0" w:color="auto"/>
          </w:divBdr>
        </w:div>
        <w:div w:id="1697461148">
          <w:marLeft w:val="1166"/>
          <w:marRight w:val="0"/>
          <w:marTop w:val="96"/>
          <w:marBottom w:val="0"/>
          <w:divBdr>
            <w:top w:val="none" w:sz="0" w:space="0" w:color="auto"/>
            <w:left w:val="none" w:sz="0" w:space="0" w:color="auto"/>
            <w:bottom w:val="none" w:sz="0" w:space="0" w:color="auto"/>
            <w:right w:val="none" w:sz="0" w:space="0" w:color="auto"/>
          </w:divBdr>
        </w:div>
        <w:div w:id="1953247649">
          <w:marLeft w:val="1166"/>
          <w:marRight w:val="0"/>
          <w:marTop w:val="96"/>
          <w:marBottom w:val="0"/>
          <w:divBdr>
            <w:top w:val="none" w:sz="0" w:space="0" w:color="auto"/>
            <w:left w:val="none" w:sz="0" w:space="0" w:color="auto"/>
            <w:bottom w:val="none" w:sz="0" w:space="0" w:color="auto"/>
            <w:right w:val="none" w:sz="0" w:space="0" w:color="auto"/>
          </w:divBdr>
        </w:div>
      </w:divsChild>
    </w:div>
    <w:div w:id="30497196">
      <w:bodyDiv w:val="1"/>
      <w:marLeft w:val="0"/>
      <w:marRight w:val="0"/>
      <w:marTop w:val="0"/>
      <w:marBottom w:val="0"/>
      <w:divBdr>
        <w:top w:val="none" w:sz="0" w:space="0" w:color="auto"/>
        <w:left w:val="none" w:sz="0" w:space="0" w:color="auto"/>
        <w:bottom w:val="none" w:sz="0" w:space="0" w:color="auto"/>
        <w:right w:val="none" w:sz="0" w:space="0" w:color="auto"/>
      </w:divBdr>
    </w:div>
    <w:div w:id="30887964">
      <w:bodyDiv w:val="1"/>
      <w:marLeft w:val="0"/>
      <w:marRight w:val="0"/>
      <w:marTop w:val="0"/>
      <w:marBottom w:val="0"/>
      <w:divBdr>
        <w:top w:val="none" w:sz="0" w:space="0" w:color="auto"/>
        <w:left w:val="none" w:sz="0" w:space="0" w:color="auto"/>
        <w:bottom w:val="none" w:sz="0" w:space="0" w:color="auto"/>
        <w:right w:val="none" w:sz="0" w:space="0" w:color="auto"/>
      </w:divBdr>
    </w:div>
    <w:div w:id="32075335">
      <w:bodyDiv w:val="1"/>
      <w:marLeft w:val="0"/>
      <w:marRight w:val="0"/>
      <w:marTop w:val="0"/>
      <w:marBottom w:val="0"/>
      <w:divBdr>
        <w:top w:val="none" w:sz="0" w:space="0" w:color="auto"/>
        <w:left w:val="none" w:sz="0" w:space="0" w:color="auto"/>
        <w:bottom w:val="none" w:sz="0" w:space="0" w:color="auto"/>
        <w:right w:val="none" w:sz="0" w:space="0" w:color="auto"/>
      </w:divBdr>
    </w:div>
    <w:div w:id="32267264">
      <w:bodyDiv w:val="1"/>
      <w:marLeft w:val="0"/>
      <w:marRight w:val="0"/>
      <w:marTop w:val="0"/>
      <w:marBottom w:val="0"/>
      <w:divBdr>
        <w:top w:val="none" w:sz="0" w:space="0" w:color="auto"/>
        <w:left w:val="none" w:sz="0" w:space="0" w:color="auto"/>
        <w:bottom w:val="none" w:sz="0" w:space="0" w:color="auto"/>
        <w:right w:val="none" w:sz="0" w:space="0" w:color="auto"/>
      </w:divBdr>
    </w:div>
    <w:div w:id="32509662">
      <w:bodyDiv w:val="1"/>
      <w:marLeft w:val="0"/>
      <w:marRight w:val="0"/>
      <w:marTop w:val="0"/>
      <w:marBottom w:val="0"/>
      <w:divBdr>
        <w:top w:val="none" w:sz="0" w:space="0" w:color="auto"/>
        <w:left w:val="none" w:sz="0" w:space="0" w:color="auto"/>
        <w:bottom w:val="none" w:sz="0" w:space="0" w:color="auto"/>
        <w:right w:val="none" w:sz="0" w:space="0" w:color="auto"/>
      </w:divBdr>
    </w:div>
    <w:div w:id="37097234">
      <w:bodyDiv w:val="1"/>
      <w:marLeft w:val="0"/>
      <w:marRight w:val="0"/>
      <w:marTop w:val="0"/>
      <w:marBottom w:val="0"/>
      <w:divBdr>
        <w:top w:val="none" w:sz="0" w:space="0" w:color="auto"/>
        <w:left w:val="none" w:sz="0" w:space="0" w:color="auto"/>
        <w:bottom w:val="none" w:sz="0" w:space="0" w:color="auto"/>
        <w:right w:val="none" w:sz="0" w:space="0" w:color="auto"/>
      </w:divBdr>
    </w:div>
    <w:div w:id="37173656">
      <w:bodyDiv w:val="1"/>
      <w:marLeft w:val="0"/>
      <w:marRight w:val="0"/>
      <w:marTop w:val="0"/>
      <w:marBottom w:val="0"/>
      <w:divBdr>
        <w:top w:val="none" w:sz="0" w:space="0" w:color="auto"/>
        <w:left w:val="none" w:sz="0" w:space="0" w:color="auto"/>
        <w:bottom w:val="none" w:sz="0" w:space="0" w:color="auto"/>
        <w:right w:val="none" w:sz="0" w:space="0" w:color="auto"/>
      </w:divBdr>
      <w:divsChild>
        <w:div w:id="207225386">
          <w:marLeft w:val="1800"/>
          <w:marRight w:val="0"/>
          <w:marTop w:val="106"/>
          <w:marBottom w:val="0"/>
          <w:divBdr>
            <w:top w:val="none" w:sz="0" w:space="0" w:color="auto"/>
            <w:left w:val="none" w:sz="0" w:space="0" w:color="auto"/>
            <w:bottom w:val="none" w:sz="0" w:space="0" w:color="auto"/>
            <w:right w:val="none" w:sz="0" w:space="0" w:color="auto"/>
          </w:divBdr>
        </w:div>
        <w:div w:id="699665986">
          <w:marLeft w:val="1800"/>
          <w:marRight w:val="0"/>
          <w:marTop w:val="106"/>
          <w:marBottom w:val="0"/>
          <w:divBdr>
            <w:top w:val="none" w:sz="0" w:space="0" w:color="auto"/>
            <w:left w:val="none" w:sz="0" w:space="0" w:color="auto"/>
            <w:bottom w:val="none" w:sz="0" w:space="0" w:color="auto"/>
            <w:right w:val="none" w:sz="0" w:space="0" w:color="auto"/>
          </w:divBdr>
        </w:div>
        <w:div w:id="994451858">
          <w:marLeft w:val="1800"/>
          <w:marRight w:val="0"/>
          <w:marTop w:val="106"/>
          <w:marBottom w:val="0"/>
          <w:divBdr>
            <w:top w:val="none" w:sz="0" w:space="0" w:color="auto"/>
            <w:left w:val="none" w:sz="0" w:space="0" w:color="auto"/>
            <w:bottom w:val="none" w:sz="0" w:space="0" w:color="auto"/>
            <w:right w:val="none" w:sz="0" w:space="0" w:color="auto"/>
          </w:divBdr>
        </w:div>
        <w:div w:id="1083723528">
          <w:marLeft w:val="1166"/>
          <w:marRight w:val="0"/>
          <w:marTop w:val="125"/>
          <w:marBottom w:val="0"/>
          <w:divBdr>
            <w:top w:val="none" w:sz="0" w:space="0" w:color="auto"/>
            <w:left w:val="none" w:sz="0" w:space="0" w:color="auto"/>
            <w:bottom w:val="none" w:sz="0" w:space="0" w:color="auto"/>
            <w:right w:val="none" w:sz="0" w:space="0" w:color="auto"/>
          </w:divBdr>
        </w:div>
        <w:div w:id="1188173962">
          <w:marLeft w:val="1800"/>
          <w:marRight w:val="0"/>
          <w:marTop w:val="106"/>
          <w:marBottom w:val="0"/>
          <w:divBdr>
            <w:top w:val="none" w:sz="0" w:space="0" w:color="auto"/>
            <w:left w:val="none" w:sz="0" w:space="0" w:color="auto"/>
            <w:bottom w:val="none" w:sz="0" w:space="0" w:color="auto"/>
            <w:right w:val="none" w:sz="0" w:space="0" w:color="auto"/>
          </w:divBdr>
        </w:div>
        <w:div w:id="1708138361">
          <w:marLeft w:val="547"/>
          <w:marRight w:val="0"/>
          <w:marTop w:val="144"/>
          <w:marBottom w:val="0"/>
          <w:divBdr>
            <w:top w:val="none" w:sz="0" w:space="0" w:color="auto"/>
            <w:left w:val="none" w:sz="0" w:space="0" w:color="auto"/>
            <w:bottom w:val="none" w:sz="0" w:space="0" w:color="auto"/>
            <w:right w:val="none" w:sz="0" w:space="0" w:color="auto"/>
          </w:divBdr>
        </w:div>
        <w:div w:id="1931156240">
          <w:marLeft w:val="1166"/>
          <w:marRight w:val="0"/>
          <w:marTop w:val="125"/>
          <w:marBottom w:val="0"/>
          <w:divBdr>
            <w:top w:val="none" w:sz="0" w:space="0" w:color="auto"/>
            <w:left w:val="none" w:sz="0" w:space="0" w:color="auto"/>
            <w:bottom w:val="none" w:sz="0" w:space="0" w:color="auto"/>
            <w:right w:val="none" w:sz="0" w:space="0" w:color="auto"/>
          </w:divBdr>
        </w:div>
      </w:divsChild>
    </w:div>
    <w:div w:id="37360970">
      <w:bodyDiv w:val="1"/>
      <w:marLeft w:val="0"/>
      <w:marRight w:val="0"/>
      <w:marTop w:val="0"/>
      <w:marBottom w:val="0"/>
      <w:divBdr>
        <w:top w:val="none" w:sz="0" w:space="0" w:color="auto"/>
        <w:left w:val="none" w:sz="0" w:space="0" w:color="auto"/>
        <w:bottom w:val="none" w:sz="0" w:space="0" w:color="auto"/>
        <w:right w:val="none" w:sz="0" w:space="0" w:color="auto"/>
      </w:divBdr>
    </w:div>
    <w:div w:id="37439466">
      <w:bodyDiv w:val="1"/>
      <w:marLeft w:val="0"/>
      <w:marRight w:val="0"/>
      <w:marTop w:val="0"/>
      <w:marBottom w:val="0"/>
      <w:divBdr>
        <w:top w:val="none" w:sz="0" w:space="0" w:color="auto"/>
        <w:left w:val="none" w:sz="0" w:space="0" w:color="auto"/>
        <w:bottom w:val="none" w:sz="0" w:space="0" w:color="auto"/>
        <w:right w:val="none" w:sz="0" w:space="0" w:color="auto"/>
      </w:divBdr>
    </w:div>
    <w:div w:id="37627175">
      <w:bodyDiv w:val="1"/>
      <w:marLeft w:val="0"/>
      <w:marRight w:val="0"/>
      <w:marTop w:val="0"/>
      <w:marBottom w:val="0"/>
      <w:divBdr>
        <w:top w:val="none" w:sz="0" w:space="0" w:color="auto"/>
        <w:left w:val="none" w:sz="0" w:space="0" w:color="auto"/>
        <w:bottom w:val="none" w:sz="0" w:space="0" w:color="auto"/>
        <w:right w:val="none" w:sz="0" w:space="0" w:color="auto"/>
      </w:divBdr>
    </w:div>
    <w:div w:id="38668353">
      <w:bodyDiv w:val="1"/>
      <w:marLeft w:val="0"/>
      <w:marRight w:val="0"/>
      <w:marTop w:val="0"/>
      <w:marBottom w:val="0"/>
      <w:divBdr>
        <w:top w:val="none" w:sz="0" w:space="0" w:color="auto"/>
        <w:left w:val="none" w:sz="0" w:space="0" w:color="auto"/>
        <w:bottom w:val="none" w:sz="0" w:space="0" w:color="auto"/>
        <w:right w:val="none" w:sz="0" w:space="0" w:color="auto"/>
      </w:divBdr>
    </w:div>
    <w:div w:id="41056822">
      <w:bodyDiv w:val="1"/>
      <w:marLeft w:val="0"/>
      <w:marRight w:val="0"/>
      <w:marTop w:val="0"/>
      <w:marBottom w:val="0"/>
      <w:divBdr>
        <w:top w:val="none" w:sz="0" w:space="0" w:color="auto"/>
        <w:left w:val="none" w:sz="0" w:space="0" w:color="auto"/>
        <w:bottom w:val="none" w:sz="0" w:space="0" w:color="auto"/>
        <w:right w:val="none" w:sz="0" w:space="0" w:color="auto"/>
      </w:divBdr>
    </w:div>
    <w:div w:id="41449023">
      <w:bodyDiv w:val="1"/>
      <w:marLeft w:val="0"/>
      <w:marRight w:val="0"/>
      <w:marTop w:val="0"/>
      <w:marBottom w:val="0"/>
      <w:divBdr>
        <w:top w:val="none" w:sz="0" w:space="0" w:color="auto"/>
        <w:left w:val="none" w:sz="0" w:space="0" w:color="auto"/>
        <w:bottom w:val="none" w:sz="0" w:space="0" w:color="auto"/>
        <w:right w:val="none" w:sz="0" w:space="0" w:color="auto"/>
      </w:divBdr>
    </w:div>
    <w:div w:id="41945688">
      <w:bodyDiv w:val="1"/>
      <w:marLeft w:val="0"/>
      <w:marRight w:val="0"/>
      <w:marTop w:val="0"/>
      <w:marBottom w:val="0"/>
      <w:divBdr>
        <w:top w:val="none" w:sz="0" w:space="0" w:color="auto"/>
        <w:left w:val="none" w:sz="0" w:space="0" w:color="auto"/>
        <w:bottom w:val="none" w:sz="0" w:space="0" w:color="auto"/>
        <w:right w:val="none" w:sz="0" w:space="0" w:color="auto"/>
      </w:divBdr>
    </w:div>
    <w:div w:id="42146332">
      <w:bodyDiv w:val="1"/>
      <w:marLeft w:val="0"/>
      <w:marRight w:val="0"/>
      <w:marTop w:val="0"/>
      <w:marBottom w:val="0"/>
      <w:divBdr>
        <w:top w:val="none" w:sz="0" w:space="0" w:color="auto"/>
        <w:left w:val="none" w:sz="0" w:space="0" w:color="auto"/>
        <w:bottom w:val="none" w:sz="0" w:space="0" w:color="auto"/>
        <w:right w:val="none" w:sz="0" w:space="0" w:color="auto"/>
      </w:divBdr>
    </w:div>
    <w:div w:id="42410638">
      <w:bodyDiv w:val="1"/>
      <w:marLeft w:val="0"/>
      <w:marRight w:val="0"/>
      <w:marTop w:val="0"/>
      <w:marBottom w:val="0"/>
      <w:divBdr>
        <w:top w:val="none" w:sz="0" w:space="0" w:color="auto"/>
        <w:left w:val="none" w:sz="0" w:space="0" w:color="auto"/>
        <w:bottom w:val="none" w:sz="0" w:space="0" w:color="auto"/>
        <w:right w:val="none" w:sz="0" w:space="0" w:color="auto"/>
      </w:divBdr>
    </w:div>
    <w:div w:id="42412821">
      <w:bodyDiv w:val="1"/>
      <w:marLeft w:val="0"/>
      <w:marRight w:val="0"/>
      <w:marTop w:val="0"/>
      <w:marBottom w:val="0"/>
      <w:divBdr>
        <w:top w:val="none" w:sz="0" w:space="0" w:color="auto"/>
        <w:left w:val="none" w:sz="0" w:space="0" w:color="auto"/>
        <w:bottom w:val="none" w:sz="0" w:space="0" w:color="auto"/>
        <w:right w:val="none" w:sz="0" w:space="0" w:color="auto"/>
      </w:divBdr>
    </w:div>
    <w:div w:id="43916693">
      <w:bodyDiv w:val="1"/>
      <w:marLeft w:val="0"/>
      <w:marRight w:val="0"/>
      <w:marTop w:val="0"/>
      <w:marBottom w:val="0"/>
      <w:divBdr>
        <w:top w:val="none" w:sz="0" w:space="0" w:color="auto"/>
        <w:left w:val="none" w:sz="0" w:space="0" w:color="auto"/>
        <w:bottom w:val="none" w:sz="0" w:space="0" w:color="auto"/>
        <w:right w:val="none" w:sz="0" w:space="0" w:color="auto"/>
      </w:divBdr>
    </w:div>
    <w:div w:id="45223883">
      <w:bodyDiv w:val="1"/>
      <w:marLeft w:val="0"/>
      <w:marRight w:val="0"/>
      <w:marTop w:val="0"/>
      <w:marBottom w:val="0"/>
      <w:divBdr>
        <w:top w:val="none" w:sz="0" w:space="0" w:color="auto"/>
        <w:left w:val="none" w:sz="0" w:space="0" w:color="auto"/>
        <w:bottom w:val="none" w:sz="0" w:space="0" w:color="auto"/>
        <w:right w:val="none" w:sz="0" w:space="0" w:color="auto"/>
      </w:divBdr>
      <w:divsChild>
        <w:div w:id="473914955">
          <w:marLeft w:val="547"/>
          <w:marRight w:val="0"/>
          <w:marTop w:val="154"/>
          <w:marBottom w:val="0"/>
          <w:divBdr>
            <w:top w:val="none" w:sz="0" w:space="0" w:color="auto"/>
            <w:left w:val="none" w:sz="0" w:space="0" w:color="auto"/>
            <w:bottom w:val="none" w:sz="0" w:space="0" w:color="auto"/>
            <w:right w:val="none" w:sz="0" w:space="0" w:color="auto"/>
          </w:divBdr>
        </w:div>
      </w:divsChild>
    </w:div>
    <w:div w:id="45298999">
      <w:bodyDiv w:val="1"/>
      <w:marLeft w:val="0"/>
      <w:marRight w:val="0"/>
      <w:marTop w:val="0"/>
      <w:marBottom w:val="0"/>
      <w:divBdr>
        <w:top w:val="none" w:sz="0" w:space="0" w:color="auto"/>
        <w:left w:val="none" w:sz="0" w:space="0" w:color="auto"/>
        <w:bottom w:val="none" w:sz="0" w:space="0" w:color="auto"/>
        <w:right w:val="none" w:sz="0" w:space="0" w:color="auto"/>
      </w:divBdr>
    </w:div>
    <w:div w:id="45689273">
      <w:bodyDiv w:val="1"/>
      <w:marLeft w:val="0"/>
      <w:marRight w:val="0"/>
      <w:marTop w:val="0"/>
      <w:marBottom w:val="0"/>
      <w:divBdr>
        <w:top w:val="none" w:sz="0" w:space="0" w:color="auto"/>
        <w:left w:val="none" w:sz="0" w:space="0" w:color="auto"/>
        <w:bottom w:val="none" w:sz="0" w:space="0" w:color="auto"/>
        <w:right w:val="none" w:sz="0" w:space="0" w:color="auto"/>
      </w:divBdr>
    </w:div>
    <w:div w:id="45884529">
      <w:bodyDiv w:val="1"/>
      <w:marLeft w:val="0"/>
      <w:marRight w:val="0"/>
      <w:marTop w:val="0"/>
      <w:marBottom w:val="0"/>
      <w:divBdr>
        <w:top w:val="none" w:sz="0" w:space="0" w:color="auto"/>
        <w:left w:val="none" w:sz="0" w:space="0" w:color="auto"/>
        <w:bottom w:val="none" w:sz="0" w:space="0" w:color="auto"/>
        <w:right w:val="none" w:sz="0" w:space="0" w:color="auto"/>
      </w:divBdr>
    </w:div>
    <w:div w:id="47150153">
      <w:bodyDiv w:val="1"/>
      <w:marLeft w:val="0"/>
      <w:marRight w:val="0"/>
      <w:marTop w:val="0"/>
      <w:marBottom w:val="0"/>
      <w:divBdr>
        <w:top w:val="none" w:sz="0" w:space="0" w:color="auto"/>
        <w:left w:val="none" w:sz="0" w:space="0" w:color="auto"/>
        <w:bottom w:val="none" w:sz="0" w:space="0" w:color="auto"/>
        <w:right w:val="none" w:sz="0" w:space="0" w:color="auto"/>
      </w:divBdr>
    </w:div>
    <w:div w:id="47262350">
      <w:bodyDiv w:val="1"/>
      <w:marLeft w:val="0"/>
      <w:marRight w:val="0"/>
      <w:marTop w:val="0"/>
      <w:marBottom w:val="0"/>
      <w:divBdr>
        <w:top w:val="none" w:sz="0" w:space="0" w:color="auto"/>
        <w:left w:val="none" w:sz="0" w:space="0" w:color="auto"/>
        <w:bottom w:val="none" w:sz="0" w:space="0" w:color="auto"/>
        <w:right w:val="none" w:sz="0" w:space="0" w:color="auto"/>
      </w:divBdr>
    </w:div>
    <w:div w:id="48039744">
      <w:bodyDiv w:val="1"/>
      <w:marLeft w:val="0"/>
      <w:marRight w:val="0"/>
      <w:marTop w:val="0"/>
      <w:marBottom w:val="0"/>
      <w:divBdr>
        <w:top w:val="none" w:sz="0" w:space="0" w:color="auto"/>
        <w:left w:val="none" w:sz="0" w:space="0" w:color="auto"/>
        <w:bottom w:val="none" w:sz="0" w:space="0" w:color="auto"/>
        <w:right w:val="none" w:sz="0" w:space="0" w:color="auto"/>
      </w:divBdr>
      <w:divsChild>
        <w:div w:id="964967571">
          <w:marLeft w:val="360"/>
          <w:marRight w:val="0"/>
          <w:marTop w:val="200"/>
          <w:marBottom w:val="0"/>
          <w:divBdr>
            <w:top w:val="none" w:sz="0" w:space="0" w:color="auto"/>
            <w:left w:val="none" w:sz="0" w:space="0" w:color="auto"/>
            <w:bottom w:val="none" w:sz="0" w:space="0" w:color="auto"/>
            <w:right w:val="none" w:sz="0" w:space="0" w:color="auto"/>
          </w:divBdr>
        </w:div>
        <w:div w:id="1372683406">
          <w:marLeft w:val="1080"/>
          <w:marRight w:val="0"/>
          <w:marTop w:val="100"/>
          <w:marBottom w:val="0"/>
          <w:divBdr>
            <w:top w:val="none" w:sz="0" w:space="0" w:color="auto"/>
            <w:left w:val="none" w:sz="0" w:space="0" w:color="auto"/>
            <w:bottom w:val="none" w:sz="0" w:space="0" w:color="auto"/>
            <w:right w:val="none" w:sz="0" w:space="0" w:color="auto"/>
          </w:divBdr>
        </w:div>
        <w:div w:id="1252161787">
          <w:marLeft w:val="1800"/>
          <w:marRight w:val="0"/>
          <w:marTop w:val="100"/>
          <w:marBottom w:val="0"/>
          <w:divBdr>
            <w:top w:val="none" w:sz="0" w:space="0" w:color="auto"/>
            <w:left w:val="none" w:sz="0" w:space="0" w:color="auto"/>
            <w:bottom w:val="none" w:sz="0" w:space="0" w:color="auto"/>
            <w:right w:val="none" w:sz="0" w:space="0" w:color="auto"/>
          </w:divBdr>
        </w:div>
        <w:div w:id="1039551771">
          <w:marLeft w:val="1800"/>
          <w:marRight w:val="0"/>
          <w:marTop w:val="100"/>
          <w:marBottom w:val="0"/>
          <w:divBdr>
            <w:top w:val="none" w:sz="0" w:space="0" w:color="auto"/>
            <w:left w:val="none" w:sz="0" w:space="0" w:color="auto"/>
            <w:bottom w:val="none" w:sz="0" w:space="0" w:color="auto"/>
            <w:right w:val="none" w:sz="0" w:space="0" w:color="auto"/>
          </w:divBdr>
        </w:div>
        <w:div w:id="1749110841">
          <w:marLeft w:val="1080"/>
          <w:marRight w:val="0"/>
          <w:marTop w:val="100"/>
          <w:marBottom w:val="0"/>
          <w:divBdr>
            <w:top w:val="none" w:sz="0" w:space="0" w:color="auto"/>
            <w:left w:val="none" w:sz="0" w:space="0" w:color="auto"/>
            <w:bottom w:val="none" w:sz="0" w:space="0" w:color="auto"/>
            <w:right w:val="none" w:sz="0" w:space="0" w:color="auto"/>
          </w:divBdr>
        </w:div>
        <w:div w:id="1335839371">
          <w:marLeft w:val="1800"/>
          <w:marRight w:val="0"/>
          <w:marTop w:val="100"/>
          <w:marBottom w:val="0"/>
          <w:divBdr>
            <w:top w:val="none" w:sz="0" w:space="0" w:color="auto"/>
            <w:left w:val="none" w:sz="0" w:space="0" w:color="auto"/>
            <w:bottom w:val="none" w:sz="0" w:space="0" w:color="auto"/>
            <w:right w:val="none" w:sz="0" w:space="0" w:color="auto"/>
          </w:divBdr>
        </w:div>
        <w:div w:id="1911696843">
          <w:marLeft w:val="1800"/>
          <w:marRight w:val="0"/>
          <w:marTop w:val="100"/>
          <w:marBottom w:val="0"/>
          <w:divBdr>
            <w:top w:val="none" w:sz="0" w:space="0" w:color="auto"/>
            <w:left w:val="none" w:sz="0" w:space="0" w:color="auto"/>
            <w:bottom w:val="none" w:sz="0" w:space="0" w:color="auto"/>
            <w:right w:val="none" w:sz="0" w:space="0" w:color="auto"/>
          </w:divBdr>
        </w:div>
        <w:div w:id="917444969">
          <w:marLeft w:val="1800"/>
          <w:marRight w:val="0"/>
          <w:marTop w:val="100"/>
          <w:marBottom w:val="0"/>
          <w:divBdr>
            <w:top w:val="none" w:sz="0" w:space="0" w:color="auto"/>
            <w:left w:val="none" w:sz="0" w:space="0" w:color="auto"/>
            <w:bottom w:val="none" w:sz="0" w:space="0" w:color="auto"/>
            <w:right w:val="none" w:sz="0" w:space="0" w:color="auto"/>
          </w:divBdr>
        </w:div>
        <w:div w:id="930817085">
          <w:marLeft w:val="2520"/>
          <w:marRight w:val="0"/>
          <w:marTop w:val="100"/>
          <w:marBottom w:val="0"/>
          <w:divBdr>
            <w:top w:val="none" w:sz="0" w:space="0" w:color="auto"/>
            <w:left w:val="none" w:sz="0" w:space="0" w:color="auto"/>
            <w:bottom w:val="none" w:sz="0" w:space="0" w:color="auto"/>
            <w:right w:val="none" w:sz="0" w:space="0" w:color="auto"/>
          </w:divBdr>
        </w:div>
        <w:div w:id="424424005">
          <w:marLeft w:val="1800"/>
          <w:marRight w:val="0"/>
          <w:marTop w:val="100"/>
          <w:marBottom w:val="0"/>
          <w:divBdr>
            <w:top w:val="none" w:sz="0" w:space="0" w:color="auto"/>
            <w:left w:val="none" w:sz="0" w:space="0" w:color="auto"/>
            <w:bottom w:val="none" w:sz="0" w:space="0" w:color="auto"/>
            <w:right w:val="none" w:sz="0" w:space="0" w:color="auto"/>
          </w:divBdr>
        </w:div>
        <w:div w:id="2061590458">
          <w:marLeft w:val="1080"/>
          <w:marRight w:val="0"/>
          <w:marTop w:val="100"/>
          <w:marBottom w:val="0"/>
          <w:divBdr>
            <w:top w:val="none" w:sz="0" w:space="0" w:color="auto"/>
            <w:left w:val="none" w:sz="0" w:space="0" w:color="auto"/>
            <w:bottom w:val="none" w:sz="0" w:space="0" w:color="auto"/>
            <w:right w:val="none" w:sz="0" w:space="0" w:color="auto"/>
          </w:divBdr>
        </w:div>
        <w:div w:id="1348749603">
          <w:marLeft w:val="1800"/>
          <w:marRight w:val="0"/>
          <w:marTop w:val="100"/>
          <w:marBottom w:val="0"/>
          <w:divBdr>
            <w:top w:val="none" w:sz="0" w:space="0" w:color="auto"/>
            <w:left w:val="none" w:sz="0" w:space="0" w:color="auto"/>
            <w:bottom w:val="none" w:sz="0" w:space="0" w:color="auto"/>
            <w:right w:val="none" w:sz="0" w:space="0" w:color="auto"/>
          </w:divBdr>
        </w:div>
        <w:div w:id="652756276">
          <w:marLeft w:val="2520"/>
          <w:marRight w:val="0"/>
          <w:marTop w:val="100"/>
          <w:marBottom w:val="0"/>
          <w:divBdr>
            <w:top w:val="none" w:sz="0" w:space="0" w:color="auto"/>
            <w:left w:val="none" w:sz="0" w:space="0" w:color="auto"/>
            <w:bottom w:val="none" w:sz="0" w:space="0" w:color="auto"/>
            <w:right w:val="none" w:sz="0" w:space="0" w:color="auto"/>
          </w:divBdr>
        </w:div>
      </w:divsChild>
    </w:div>
    <w:div w:id="48261619">
      <w:bodyDiv w:val="1"/>
      <w:marLeft w:val="0"/>
      <w:marRight w:val="0"/>
      <w:marTop w:val="0"/>
      <w:marBottom w:val="0"/>
      <w:divBdr>
        <w:top w:val="none" w:sz="0" w:space="0" w:color="auto"/>
        <w:left w:val="none" w:sz="0" w:space="0" w:color="auto"/>
        <w:bottom w:val="none" w:sz="0" w:space="0" w:color="auto"/>
        <w:right w:val="none" w:sz="0" w:space="0" w:color="auto"/>
      </w:divBdr>
      <w:divsChild>
        <w:div w:id="419644413">
          <w:marLeft w:val="1166"/>
          <w:marRight w:val="0"/>
          <w:marTop w:val="86"/>
          <w:marBottom w:val="0"/>
          <w:divBdr>
            <w:top w:val="none" w:sz="0" w:space="0" w:color="auto"/>
            <w:left w:val="none" w:sz="0" w:space="0" w:color="auto"/>
            <w:bottom w:val="none" w:sz="0" w:space="0" w:color="auto"/>
            <w:right w:val="none" w:sz="0" w:space="0" w:color="auto"/>
          </w:divBdr>
        </w:div>
        <w:div w:id="488834762">
          <w:marLeft w:val="1166"/>
          <w:marRight w:val="0"/>
          <w:marTop w:val="86"/>
          <w:marBottom w:val="0"/>
          <w:divBdr>
            <w:top w:val="none" w:sz="0" w:space="0" w:color="auto"/>
            <w:left w:val="none" w:sz="0" w:space="0" w:color="auto"/>
            <w:bottom w:val="none" w:sz="0" w:space="0" w:color="auto"/>
            <w:right w:val="none" w:sz="0" w:space="0" w:color="auto"/>
          </w:divBdr>
        </w:div>
        <w:div w:id="598871386">
          <w:marLeft w:val="547"/>
          <w:marRight w:val="0"/>
          <w:marTop w:val="106"/>
          <w:marBottom w:val="0"/>
          <w:divBdr>
            <w:top w:val="none" w:sz="0" w:space="0" w:color="auto"/>
            <w:left w:val="none" w:sz="0" w:space="0" w:color="auto"/>
            <w:bottom w:val="none" w:sz="0" w:space="0" w:color="auto"/>
            <w:right w:val="none" w:sz="0" w:space="0" w:color="auto"/>
          </w:divBdr>
        </w:div>
        <w:div w:id="841553426">
          <w:marLeft w:val="1166"/>
          <w:marRight w:val="0"/>
          <w:marTop w:val="86"/>
          <w:marBottom w:val="0"/>
          <w:divBdr>
            <w:top w:val="none" w:sz="0" w:space="0" w:color="auto"/>
            <w:left w:val="none" w:sz="0" w:space="0" w:color="auto"/>
            <w:bottom w:val="none" w:sz="0" w:space="0" w:color="auto"/>
            <w:right w:val="none" w:sz="0" w:space="0" w:color="auto"/>
          </w:divBdr>
        </w:div>
        <w:div w:id="1265922601">
          <w:marLeft w:val="1166"/>
          <w:marRight w:val="0"/>
          <w:marTop w:val="86"/>
          <w:marBottom w:val="0"/>
          <w:divBdr>
            <w:top w:val="none" w:sz="0" w:space="0" w:color="auto"/>
            <w:left w:val="none" w:sz="0" w:space="0" w:color="auto"/>
            <w:bottom w:val="none" w:sz="0" w:space="0" w:color="auto"/>
            <w:right w:val="none" w:sz="0" w:space="0" w:color="auto"/>
          </w:divBdr>
        </w:div>
        <w:div w:id="1492871887">
          <w:marLeft w:val="1166"/>
          <w:marRight w:val="0"/>
          <w:marTop w:val="86"/>
          <w:marBottom w:val="0"/>
          <w:divBdr>
            <w:top w:val="none" w:sz="0" w:space="0" w:color="auto"/>
            <w:left w:val="none" w:sz="0" w:space="0" w:color="auto"/>
            <w:bottom w:val="none" w:sz="0" w:space="0" w:color="auto"/>
            <w:right w:val="none" w:sz="0" w:space="0" w:color="auto"/>
          </w:divBdr>
        </w:div>
        <w:div w:id="1553231903">
          <w:marLeft w:val="1166"/>
          <w:marRight w:val="0"/>
          <w:marTop w:val="86"/>
          <w:marBottom w:val="0"/>
          <w:divBdr>
            <w:top w:val="none" w:sz="0" w:space="0" w:color="auto"/>
            <w:left w:val="none" w:sz="0" w:space="0" w:color="auto"/>
            <w:bottom w:val="none" w:sz="0" w:space="0" w:color="auto"/>
            <w:right w:val="none" w:sz="0" w:space="0" w:color="auto"/>
          </w:divBdr>
        </w:div>
        <w:div w:id="1886872271">
          <w:marLeft w:val="547"/>
          <w:marRight w:val="0"/>
          <w:marTop w:val="115"/>
          <w:marBottom w:val="0"/>
          <w:divBdr>
            <w:top w:val="none" w:sz="0" w:space="0" w:color="auto"/>
            <w:left w:val="none" w:sz="0" w:space="0" w:color="auto"/>
            <w:bottom w:val="none" w:sz="0" w:space="0" w:color="auto"/>
            <w:right w:val="none" w:sz="0" w:space="0" w:color="auto"/>
          </w:divBdr>
        </w:div>
      </w:divsChild>
    </w:div>
    <w:div w:id="48890551">
      <w:bodyDiv w:val="1"/>
      <w:marLeft w:val="0"/>
      <w:marRight w:val="0"/>
      <w:marTop w:val="0"/>
      <w:marBottom w:val="0"/>
      <w:divBdr>
        <w:top w:val="none" w:sz="0" w:space="0" w:color="auto"/>
        <w:left w:val="none" w:sz="0" w:space="0" w:color="auto"/>
        <w:bottom w:val="none" w:sz="0" w:space="0" w:color="auto"/>
        <w:right w:val="none" w:sz="0" w:space="0" w:color="auto"/>
      </w:divBdr>
    </w:div>
    <w:div w:id="49575100">
      <w:bodyDiv w:val="1"/>
      <w:marLeft w:val="0"/>
      <w:marRight w:val="0"/>
      <w:marTop w:val="0"/>
      <w:marBottom w:val="0"/>
      <w:divBdr>
        <w:top w:val="none" w:sz="0" w:space="0" w:color="auto"/>
        <w:left w:val="none" w:sz="0" w:space="0" w:color="auto"/>
        <w:bottom w:val="none" w:sz="0" w:space="0" w:color="auto"/>
        <w:right w:val="none" w:sz="0" w:space="0" w:color="auto"/>
      </w:divBdr>
    </w:div>
    <w:div w:id="49692791">
      <w:bodyDiv w:val="1"/>
      <w:marLeft w:val="0"/>
      <w:marRight w:val="0"/>
      <w:marTop w:val="0"/>
      <w:marBottom w:val="0"/>
      <w:divBdr>
        <w:top w:val="none" w:sz="0" w:space="0" w:color="auto"/>
        <w:left w:val="none" w:sz="0" w:space="0" w:color="auto"/>
        <w:bottom w:val="none" w:sz="0" w:space="0" w:color="auto"/>
        <w:right w:val="none" w:sz="0" w:space="0" w:color="auto"/>
      </w:divBdr>
    </w:div>
    <w:div w:id="49964800">
      <w:bodyDiv w:val="1"/>
      <w:marLeft w:val="0"/>
      <w:marRight w:val="0"/>
      <w:marTop w:val="0"/>
      <w:marBottom w:val="0"/>
      <w:divBdr>
        <w:top w:val="none" w:sz="0" w:space="0" w:color="auto"/>
        <w:left w:val="none" w:sz="0" w:space="0" w:color="auto"/>
        <w:bottom w:val="none" w:sz="0" w:space="0" w:color="auto"/>
        <w:right w:val="none" w:sz="0" w:space="0" w:color="auto"/>
      </w:divBdr>
    </w:div>
    <w:div w:id="50737402">
      <w:bodyDiv w:val="1"/>
      <w:marLeft w:val="0"/>
      <w:marRight w:val="0"/>
      <w:marTop w:val="0"/>
      <w:marBottom w:val="0"/>
      <w:divBdr>
        <w:top w:val="none" w:sz="0" w:space="0" w:color="auto"/>
        <w:left w:val="none" w:sz="0" w:space="0" w:color="auto"/>
        <w:bottom w:val="none" w:sz="0" w:space="0" w:color="auto"/>
        <w:right w:val="none" w:sz="0" w:space="0" w:color="auto"/>
      </w:divBdr>
    </w:div>
    <w:div w:id="50856589">
      <w:bodyDiv w:val="1"/>
      <w:marLeft w:val="0"/>
      <w:marRight w:val="0"/>
      <w:marTop w:val="0"/>
      <w:marBottom w:val="0"/>
      <w:divBdr>
        <w:top w:val="none" w:sz="0" w:space="0" w:color="auto"/>
        <w:left w:val="none" w:sz="0" w:space="0" w:color="auto"/>
        <w:bottom w:val="none" w:sz="0" w:space="0" w:color="auto"/>
        <w:right w:val="none" w:sz="0" w:space="0" w:color="auto"/>
      </w:divBdr>
      <w:divsChild>
        <w:div w:id="47078126">
          <w:marLeft w:val="1800"/>
          <w:marRight w:val="0"/>
          <w:marTop w:val="91"/>
          <w:marBottom w:val="0"/>
          <w:divBdr>
            <w:top w:val="none" w:sz="0" w:space="0" w:color="auto"/>
            <w:left w:val="none" w:sz="0" w:space="0" w:color="auto"/>
            <w:bottom w:val="none" w:sz="0" w:space="0" w:color="auto"/>
            <w:right w:val="none" w:sz="0" w:space="0" w:color="auto"/>
          </w:divBdr>
        </w:div>
        <w:div w:id="340664863">
          <w:marLeft w:val="1800"/>
          <w:marRight w:val="0"/>
          <w:marTop w:val="91"/>
          <w:marBottom w:val="0"/>
          <w:divBdr>
            <w:top w:val="none" w:sz="0" w:space="0" w:color="auto"/>
            <w:left w:val="none" w:sz="0" w:space="0" w:color="auto"/>
            <w:bottom w:val="none" w:sz="0" w:space="0" w:color="auto"/>
            <w:right w:val="none" w:sz="0" w:space="0" w:color="auto"/>
          </w:divBdr>
        </w:div>
        <w:div w:id="1175148163">
          <w:marLeft w:val="1166"/>
          <w:marRight w:val="0"/>
          <w:marTop w:val="106"/>
          <w:marBottom w:val="0"/>
          <w:divBdr>
            <w:top w:val="none" w:sz="0" w:space="0" w:color="auto"/>
            <w:left w:val="none" w:sz="0" w:space="0" w:color="auto"/>
            <w:bottom w:val="none" w:sz="0" w:space="0" w:color="auto"/>
            <w:right w:val="none" w:sz="0" w:space="0" w:color="auto"/>
          </w:divBdr>
        </w:div>
        <w:div w:id="1398670035">
          <w:marLeft w:val="547"/>
          <w:marRight w:val="0"/>
          <w:marTop w:val="125"/>
          <w:marBottom w:val="0"/>
          <w:divBdr>
            <w:top w:val="none" w:sz="0" w:space="0" w:color="auto"/>
            <w:left w:val="none" w:sz="0" w:space="0" w:color="auto"/>
            <w:bottom w:val="none" w:sz="0" w:space="0" w:color="auto"/>
            <w:right w:val="none" w:sz="0" w:space="0" w:color="auto"/>
          </w:divBdr>
        </w:div>
        <w:div w:id="1657877544">
          <w:marLeft w:val="1166"/>
          <w:marRight w:val="0"/>
          <w:marTop w:val="106"/>
          <w:marBottom w:val="0"/>
          <w:divBdr>
            <w:top w:val="none" w:sz="0" w:space="0" w:color="auto"/>
            <w:left w:val="none" w:sz="0" w:space="0" w:color="auto"/>
            <w:bottom w:val="none" w:sz="0" w:space="0" w:color="auto"/>
            <w:right w:val="none" w:sz="0" w:space="0" w:color="auto"/>
          </w:divBdr>
        </w:div>
        <w:div w:id="2092507873">
          <w:marLeft w:val="1166"/>
          <w:marRight w:val="0"/>
          <w:marTop w:val="106"/>
          <w:marBottom w:val="0"/>
          <w:divBdr>
            <w:top w:val="none" w:sz="0" w:space="0" w:color="auto"/>
            <w:left w:val="none" w:sz="0" w:space="0" w:color="auto"/>
            <w:bottom w:val="none" w:sz="0" w:space="0" w:color="auto"/>
            <w:right w:val="none" w:sz="0" w:space="0" w:color="auto"/>
          </w:divBdr>
        </w:div>
        <w:div w:id="2096827198">
          <w:marLeft w:val="1166"/>
          <w:marRight w:val="0"/>
          <w:marTop w:val="106"/>
          <w:marBottom w:val="0"/>
          <w:divBdr>
            <w:top w:val="none" w:sz="0" w:space="0" w:color="auto"/>
            <w:left w:val="none" w:sz="0" w:space="0" w:color="auto"/>
            <w:bottom w:val="none" w:sz="0" w:space="0" w:color="auto"/>
            <w:right w:val="none" w:sz="0" w:space="0" w:color="auto"/>
          </w:divBdr>
        </w:div>
      </w:divsChild>
    </w:div>
    <w:div w:id="51317128">
      <w:bodyDiv w:val="1"/>
      <w:marLeft w:val="0"/>
      <w:marRight w:val="0"/>
      <w:marTop w:val="0"/>
      <w:marBottom w:val="0"/>
      <w:divBdr>
        <w:top w:val="none" w:sz="0" w:space="0" w:color="auto"/>
        <w:left w:val="none" w:sz="0" w:space="0" w:color="auto"/>
        <w:bottom w:val="none" w:sz="0" w:space="0" w:color="auto"/>
        <w:right w:val="none" w:sz="0" w:space="0" w:color="auto"/>
      </w:divBdr>
    </w:div>
    <w:div w:id="51388059">
      <w:bodyDiv w:val="1"/>
      <w:marLeft w:val="0"/>
      <w:marRight w:val="0"/>
      <w:marTop w:val="0"/>
      <w:marBottom w:val="0"/>
      <w:divBdr>
        <w:top w:val="none" w:sz="0" w:space="0" w:color="auto"/>
        <w:left w:val="none" w:sz="0" w:space="0" w:color="auto"/>
        <w:bottom w:val="none" w:sz="0" w:space="0" w:color="auto"/>
        <w:right w:val="none" w:sz="0" w:space="0" w:color="auto"/>
      </w:divBdr>
      <w:divsChild>
        <w:div w:id="105976142">
          <w:marLeft w:val="1166"/>
          <w:marRight w:val="0"/>
          <w:marTop w:val="96"/>
          <w:marBottom w:val="0"/>
          <w:divBdr>
            <w:top w:val="none" w:sz="0" w:space="0" w:color="auto"/>
            <w:left w:val="none" w:sz="0" w:space="0" w:color="auto"/>
            <w:bottom w:val="none" w:sz="0" w:space="0" w:color="auto"/>
            <w:right w:val="none" w:sz="0" w:space="0" w:color="auto"/>
          </w:divBdr>
        </w:div>
        <w:div w:id="178618080">
          <w:marLeft w:val="1800"/>
          <w:marRight w:val="0"/>
          <w:marTop w:val="82"/>
          <w:marBottom w:val="0"/>
          <w:divBdr>
            <w:top w:val="none" w:sz="0" w:space="0" w:color="auto"/>
            <w:left w:val="none" w:sz="0" w:space="0" w:color="auto"/>
            <w:bottom w:val="none" w:sz="0" w:space="0" w:color="auto"/>
            <w:right w:val="none" w:sz="0" w:space="0" w:color="auto"/>
          </w:divBdr>
        </w:div>
        <w:div w:id="570236557">
          <w:marLeft w:val="2520"/>
          <w:marRight w:val="0"/>
          <w:marTop w:val="67"/>
          <w:marBottom w:val="0"/>
          <w:divBdr>
            <w:top w:val="none" w:sz="0" w:space="0" w:color="auto"/>
            <w:left w:val="none" w:sz="0" w:space="0" w:color="auto"/>
            <w:bottom w:val="none" w:sz="0" w:space="0" w:color="auto"/>
            <w:right w:val="none" w:sz="0" w:space="0" w:color="auto"/>
          </w:divBdr>
        </w:div>
        <w:div w:id="734621426">
          <w:marLeft w:val="1800"/>
          <w:marRight w:val="0"/>
          <w:marTop w:val="82"/>
          <w:marBottom w:val="0"/>
          <w:divBdr>
            <w:top w:val="none" w:sz="0" w:space="0" w:color="auto"/>
            <w:left w:val="none" w:sz="0" w:space="0" w:color="auto"/>
            <w:bottom w:val="none" w:sz="0" w:space="0" w:color="auto"/>
            <w:right w:val="none" w:sz="0" w:space="0" w:color="auto"/>
          </w:divBdr>
        </w:div>
        <w:div w:id="882592686">
          <w:marLeft w:val="1800"/>
          <w:marRight w:val="0"/>
          <w:marTop w:val="82"/>
          <w:marBottom w:val="0"/>
          <w:divBdr>
            <w:top w:val="none" w:sz="0" w:space="0" w:color="auto"/>
            <w:left w:val="none" w:sz="0" w:space="0" w:color="auto"/>
            <w:bottom w:val="none" w:sz="0" w:space="0" w:color="auto"/>
            <w:right w:val="none" w:sz="0" w:space="0" w:color="auto"/>
          </w:divBdr>
        </w:div>
        <w:div w:id="906382844">
          <w:marLeft w:val="1800"/>
          <w:marRight w:val="0"/>
          <w:marTop w:val="82"/>
          <w:marBottom w:val="0"/>
          <w:divBdr>
            <w:top w:val="none" w:sz="0" w:space="0" w:color="auto"/>
            <w:left w:val="none" w:sz="0" w:space="0" w:color="auto"/>
            <w:bottom w:val="none" w:sz="0" w:space="0" w:color="auto"/>
            <w:right w:val="none" w:sz="0" w:space="0" w:color="auto"/>
          </w:divBdr>
        </w:div>
        <w:div w:id="939871305">
          <w:marLeft w:val="1166"/>
          <w:marRight w:val="0"/>
          <w:marTop w:val="96"/>
          <w:marBottom w:val="0"/>
          <w:divBdr>
            <w:top w:val="none" w:sz="0" w:space="0" w:color="auto"/>
            <w:left w:val="none" w:sz="0" w:space="0" w:color="auto"/>
            <w:bottom w:val="none" w:sz="0" w:space="0" w:color="auto"/>
            <w:right w:val="none" w:sz="0" w:space="0" w:color="auto"/>
          </w:divBdr>
        </w:div>
        <w:div w:id="945120465">
          <w:marLeft w:val="1800"/>
          <w:marRight w:val="0"/>
          <w:marTop w:val="82"/>
          <w:marBottom w:val="0"/>
          <w:divBdr>
            <w:top w:val="none" w:sz="0" w:space="0" w:color="auto"/>
            <w:left w:val="none" w:sz="0" w:space="0" w:color="auto"/>
            <w:bottom w:val="none" w:sz="0" w:space="0" w:color="auto"/>
            <w:right w:val="none" w:sz="0" w:space="0" w:color="auto"/>
          </w:divBdr>
        </w:div>
        <w:div w:id="1061098147">
          <w:marLeft w:val="1800"/>
          <w:marRight w:val="0"/>
          <w:marTop w:val="82"/>
          <w:marBottom w:val="0"/>
          <w:divBdr>
            <w:top w:val="none" w:sz="0" w:space="0" w:color="auto"/>
            <w:left w:val="none" w:sz="0" w:space="0" w:color="auto"/>
            <w:bottom w:val="none" w:sz="0" w:space="0" w:color="auto"/>
            <w:right w:val="none" w:sz="0" w:space="0" w:color="auto"/>
          </w:divBdr>
        </w:div>
        <w:div w:id="1693023087">
          <w:marLeft w:val="2520"/>
          <w:marRight w:val="0"/>
          <w:marTop w:val="67"/>
          <w:marBottom w:val="0"/>
          <w:divBdr>
            <w:top w:val="none" w:sz="0" w:space="0" w:color="auto"/>
            <w:left w:val="none" w:sz="0" w:space="0" w:color="auto"/>
            <w:bottom w:val="none" w:sz="0" w:space="0" w:color="auto"/>
            <w:right w:val="none" w:sz="0" w:space="0" w:color="auto"/>
          </w:divBdr>
        </w:div>
        <w:div w:id="1761681575">
          <w:marLeft w:val="547"/>
          <w:marRight w:val="0"/>
          <w:marTop w:val="106"/>
          <w:marBottom w:val="0"/>
          <w:divBdr>
            <w:top w:val="none" w:sz="0" w:space="0" w:color="auto"/>
            <w:left w:val="none" w:sz="0" w:space="0" w:color="auto"/>
            <w:bottom w:val="none" w:sz="0" w:space="0" w:color="auto"/>
            <w:right w:val="none" w:sz="0" w:space="0" w:color="auto"/>
          </w:divBdr>
        </w:div>
        <w:div w:id="1915429284">
          <w:marLeft w:val="1800"/>
          <w:marRight w:val="0"/>
          <w:marTop w:val="82"/>
          <w:marBottom w:val="0"/>
          <w:divBdr>
            <w:top w:val="none" w:sz="0" w:space="0" w:color="auto"/>
            <w:left w:val="none" w:sz="0" w:space="0" w:color="auto"/>
            <w:bottom w:val="none" w:sz="0" w:space="0" w:color="auto"/>
            <w:right w:val="none" w:sz="0" w:space="0" w:color="auto"/>
          </w:divBdr>
        </w:div>
        <w:div w:id="1977755922">
          <w:marLeft w:val="1166"/>
          <w:marRight w:val="0"/>
          <w:marTop w:val="96"/>
          <w:marBottom w:val="0"/>
          <w:divBdr>
            <w:top w:val="none" w:sz="0" w:space="0" w:color="auto"/>
            <w:left w:val="none" w:sz="0" w:space="0" w:color="auto"/>
            <w:bottom w:val="none" w:sz="0" w:space="0" w:color="auto"/>
            <w:right w:val="none" w:sz="0" w:space="0" w:color="auto"/>
          </w:divBdr>
        </w:div>
      </w:divsChild>
    </w:div>
    <w:div w:id="51542016">
      <w:bodyDiv w:val="1"/>
      <w:marLeft w:val="0"/>
      <w:marRight w:val="0"/>
      <w:marTop w:val="0"/>
      <w:marBottom w:val="0"/>
      <w:divBdr>
        <w:top w:val="none" w:sz="0" w:space="0" w:color="auto"/>
        <w:left w:val="none" w:sz="0" w:space="0" w:color="auto"/>
        <w:bottom w:val="none" w:sz="0" w:space="0" w:color="auto"/>
        <w:right w:val="none" w:sz="0" w:space="0" w:color="auto"/>
      </w:divBdr>
    </w:div>
    <w:div w:id="52244467">
      <w:bodyDiv w:val="1"/>
      <w:marLeft w:val="0"/>
      <w:marRight w:val="0"/>
      <w:marTop w:val="0"/>
      <w:marBottom w:val="0"/>
      <w:divBdr>
        <w:top w:val="none" w:sz="0" w:space="0" w:color="auto"/>
        <w:left w:val="none" w:sz="0" w:space="0" w:color="auto"/>
        <w:bottom w:val="none" w:sz="0" w:space="0" w:color="auto"/>
        <w:right w:val="none" w:sz="0" w:space="0" w:color="auto"/>
      </w:divBdr>
    </w:div>
    <w:div w:id="52509530">
      <w:bodyDiv w:val="1"/>
      <w:marLeft w:val="0"/>
      <w:marRight w:val="0"/>
      <w:marTop w:val="0"/>
      <w:marBottom w:val="0"/>
      <w:divBdr>
        <w:top w:val="none" w:sz="0" w:space="0" w:color="auto"/>
        <w:left w:val="none" w:sz="0" w:space="0" w:color="auto"/>
        <w:bottom w:val="none" w:sz="0" w:space="0" w:color="auto"/>
        <w:right w:val="none" w:sz="0" w:space="0" w:color="auto"/>
      </w:divBdr>
    </w:div>
    <w:div w:id="54013183">
      <w:bodyDiv w:val="1"/>
      <w:marLeft w:val="0"/>
      <w:marRight w:val="0"/>
      <w:marTop w:val="0"/>
      <w:marBottom w:val="0"/>
      <w:divBdr>
        <w:top w:val="none" w:sz="0" w:space="0" w:color="auto"/>
        <w:left w:val="none" w:sz="0" w:space="0" w:color="auto"/>
        <w:bottom w:val="none" w:sz="0" w:space="0" w:color="auto"/>
        <w:right w:val="none" w:sz="0" w:space="0" w:color="auto"/>
      </w:divBdr>
    </w:div>
    <w:div w:id="57293205">
      <w:bodyDiv w:val="1"/>
      <w:marLeft w:val="0"/>
      <w:marRight w:val="0"/>
      <w:marTop w:val="0"/>
      <w:marBottom w:val="0"/>
      <w:divBdr>
        <w:top w:val="none" w:sz="0" w:space="0" w:color="auto"/>
        <w:left w:val="none" w:sz="0" w:space="0" w:color="auto"/>
        <w:bottom w:val="none" w:sz="0" w:space="0" w:color="auto"/>
        <w:right w:val="none" w:sz="0" w:space="0" w:color="auto"/>
      </w:divBdr>
    </w:div>
    <w:div w:id="57829927">
      <w:bodyDiv w:val="1"/>
      <w:marLeft w:val="0"/>
      <w:marRight w:val="0"/>
      <w:marTop w:val="0"/>
      <w:marBottom w:val="0"/>
      <w:divBdr>
        <w:top w:val="none" w:sz="0" w:space="0" w:color="auto"/>
        <w:left w:val="none" w:sz="0" w:space="0" w:color="auto"/>
        <w:bottom w:val="none" w:sz="0" w:space="0" w:color="auto"/>
        <w:right w:val="none" w:sz="0" w:space="0" w:color="auto"/>
      </w:divBdr>
    </w:div>
    <w:div w:id="58867353">
      <w:bodyDiv w:val="1"/>
      <w:marLeft w:val="0"/>
      <w:marRight w:val="0"/>
      <w:marTop w:val="0"/>
      <w:marBottom w:val="0"/>
      <w:divBdr>
        <w:top w:val="none" w:sz="0" w:space="0" w:color="auto"/>
        <w:left w:val="none" w:sz="0" w:space="0" w:color="auto"/>
        <w:bottom w:val="none" w:sz="0" w:space="0" w:color="auto"/>
        <w:right w:val="none" w:sz="0" w:space="0" w:color="auto"/>
      </w:divBdr>
    </w:div>
    <w:div w:id="59795828">
      <w:bodyDiv w:val="1"/>
      <w:marLeft w:val="0"/>
      <w:marRight w:val="0"/>
      <w:marTop w:val="0"/>
      <w:marBottom w:val="0"/>
      <w:divBdr>
        <w:top w:val="none" w:sz="0" w:space="0" w:color="auto"/>
        <w:left w:val="none" w:sz="0" w:space="0" w:color="auto"/>
        <w:bottom w:val="none" w:sz="0" w:space="0" w:color="auto"/>
        <w:right w:val="none" w:sz="0" w:space="0" w:color="auto"/>
      </w:divBdr>
      <w:divsChild>
        <w:div w:id="51392533">
          <w:marLeft w:val="1166"/>
          <w:marRight w:val="0"/>
          <w:marTop w:val="96"/>
          <w:marBottom w:val="0"/>
          <w:divBdr>
            <w:top w:val="none" w:sz="0" w:space="0" w:color="auto"/>
            <w:left w:val="none" w:sz="0" w:space="0" w:color="auto"/>
            <w:bottom w:val="none" w:sz="0" w:space="0" w:color="auto"/>
            <w:right w:val="none" w:sz="0" w:space="0" w:color="auto"/>
          </w:divBdr>
        </w:div>
        <w:div w:id="398019069">
          <w:marLeft w:val="1166"/>
          <w:marRight w:val="0"/>
          <w:marTop w:val="96"/>
          <w:marBottom w:val="0"/>
          <w:divBdr>
            <w:top w:val="none" w:sz="0" w:space="0" w:color="auto"/>
            <w:left w:val="none" w:sz="0" w:space="0" w:color="auto"/>
            <w:bottom w:val="none" w:sz="0" w:space="0" w:color="auto"/>
            <w:right w:val="none" w:sz="0" w:space="0" w:color="auto"/>
          </w:divBdr>
        </w:div>
        <w:div w:id="2016375495">
          <w:marLeft w:val="547"/>
          <w:marRight w:val="0"/>
          <w:marTop w:val="115"/>
          <w:marBottom w:val="0"/>
          <w:divBdr>
            <w:top w:val="none" w:sz="0" w:space="0" w:color="auto"/>
            <w:left w:val="none" w:sz="0" w:space="0" w:color="auto"/>
            <w:bottom w:val="none" w:sz="0" w:space="0" w:color="auto"/>
            <w:right w:val="none" w:sz="0" w:space="0" w:color="auto"/>
          </w:divBdr>
        </w:div>
      </w:divsChild>
    </w:div>
    <w:div w:id="60444819">
      <w:bodyDiv w:val="1"/>
      <w:marLeft w:val="0"/>
      <w:marRight w:val="0"/>
      <w:marTop w:val="0"/>
      <w:marBottom w:val="0"/>
      <w:divBdr>
        <w:top w:val="none" w:sz="0" w:space="0" w:color="auto"/>
        <w:left w:val="none" w:sz="0" w:space="0" w:color="auto"/>
        <w:bottom w:val="none" w:sz="0" w:space="0" w:color="auto"/>
        <w:right w:val="none" w:sz="0" w:space="0" w:color="auto"/>
      </w:divBdr>
    </w:div>
    <w:div w:id="60643811">
      <w:bodyDiv w:val="1"/>
      <w:marLeft w:val="0"/>
      <w:marRight w:val="0"/>
      <w:marTop w:val="0"/>
      <w:marBottom w:val="0"/>
      <w:divBdr>
        <w:top w:val="none" w:sz="0" w:space="0" w:color="auto"/>
        <w:left w:val="none" w:sz="0" w:space="0" w:color="auto"/>
        <w:bottom w:val="none" w:sz="0" w:space="0" w:color="auto"/>
        <w:right w:val="none" w:sz="0" w:space="0" w:color="auto"/>
      </w:divBdr>
    </w:div>
    <w:div w:id="61145723">
      <w:bodyDiv w:val="1"/>
      <w:marLeft w:val="0"/>
      <w:marRight w:val="0"/>
      <w:marTop w:val="0"/>
      <w:marBottom w:val="0"/>
      <w:divBdr>
        <w:top w:val="none" w:sz="0" w:space="0" w:color="auto"/>
        <w:left w:val="none" w:sz="0" w:space="0" w:color="auto"/>
        <w:bottom w:val="none" w:sz="0" w:space="0" w:color="auto"/>
        <w:right w:val="none" w:sz="0" w:space="0" w:color="auto"/>
      </w:divBdr>
    </w:div>
    <w:div w:id="62029462">
      <w:bodyDiv w:val="1"/>
      <w:marLeft w:val="0"/>
      <w:marRight w:val="0"/>
      <w:marTop w:val="0"/>
      <w:marBottom w:val="0"/>
      <w:divBdr>
        <w:top w:val="none" w:sz="0" w:space="0" w:color="auto"/>
        <w:left w:val="none" w:sz="0" w:space="0" w:color="auto"/>
        <w:bottom w:val="none" w:sz="0" w:space="0" w:color="auto"/>
        <w:right w:val="none" w:sz="0" w:space="0" w:color="auto"/>
      </w:divBdr>
    </w:div>
    <w:div w:id="64690136">
      <w:bodyDiv w:val="1"/>
      <w:marLeft w:val="0"/>
      <w:marRight w:val="0"/>
      <w:marTop w:val="0"/>
      <w:marBottom w:val="0"/>
      <w:divBdr>
        <w:top w:val="none" w:sz="0" w:space="0" w:color="auto"/>
        <w:left w:val="none" w:sz="0" w:space="0" w:color="auto"/>
        <w:bottom w:val="none" w:sz="0" w:space="0" w:color="auto"/>
        <w:right w:val="none" w:sz="0" w:space="0" w:color="auto"/>
      </w:divBdr>
      <w:divsChild>
        <w:div w:id="45180487">
          <w:marLeft w:val="360"/>
          <w:marRight w:val="0"/>
          <w:marTop w:val="200"/>
          <w:marBottom w:val="0"/>
          <w:divBdr>
            <w:top w:val="none" w:sz="0" w:space="0" w:color="auto"/>
            <w:left w:val="none" w:sz="0" w:space="0" w:color="auto"/>
            <w:bottom w:val="none" w:sz="0" w:space="0" w:color="auto"/>
            <w:right w:val="none" w:sz="0" w:space="0" w:color="auto"/>
          </w:divBdr>
        </w:div>
        <w:div w:id="246964473">
          <w:marLeft w:val="1080"/>
          <w:marRight w:val="0"/>
          <w:marTop w:val="100"/>
          <w:marBottom w:val="0"/>
          <w:divBdr>
            <w:top w:val="none" w:sz="0" w:space="0" w:color="auto"/>
            <w:left w:val="none" w:sz="0" w:space="0" w:color="auto"/>
            <w:bottom w:val="none" w:sz="0" w:space="0" w:color="auto"/>
            <w:right w:val="none" w:sz="0" w:space="0" w:color="auto"/>
          </w:divBdr>
        </w:div>
        <w:div w:id="439691864">
          <w:marLeft w:val="1800"/>
          <w:marRight w:val="0"/>
          <w:marTop w:val="100"/>
          <w:marBottom w:val="0"/>
          <w:divBdr>
            <w:top w:val="none" w:sz="0" w:space="0" w:color="auto"/>
            <w:left w:val="none" w:sz="0" w:space="0" w:color="auto"/>
            <w:bottom w:val="none" w:sz="0" w:space="0" w:color="auto"/>
            <w:right w:val="none" w:sz="0" w:space="0" w:color="auto"/>
          </w:divBdr>
        </w:div>
        <w:div w:id="645865627">
          <w:marLeft w:val="360"/>
          <w:marRight w:val="0"/>
          <w:marTop w:val="200"/>
          <w:marBottom w:val="0"/>
          <w:divBdr>
            <w:top w:val="none" w:sz="0" w:space="0" w:color="auto"/>
            <w:left w:val="none" w:sz="0" w:space="0" w:color="auto"/>
            <w:bottom w:val="none" w:sz="0" w:space="0" w:color="auto"/>
            <w:right w:val="none" w:sz="0" w:space="0" w:color="auto"/>
          </w:divBdr>
        </w:div>
        <w:div w:id="729840802">
          <w:marLeft w:val="360"/>
          <w:marRight w:val="0"/>
          <w:marTop w:val="200"/>
          <w:marBottom w:val="0"/>
          <w:divBdr>
            <w:top w:val="none" w:sz="0" w:space="0" w:color="auto"/>
            <w:left w:val="none" w:sz="0" w:space="0" w:color="auto"/>
            <w:bottom w:val="none" w:sz="0" w:space="0" w:color="auto"/>
            <w:right w:val="none" w:sz="0" w:space="0" w:color="auto"/>
          </w:divBdr>
        </w:div>
        <w:div w:id="791363352">
          <w:marLeft w:val="1080"/>
          <w:marRight w:val="0"/>
          <w:marTop w:val="100"/>
          <w:marBottom w:val="0"/>
          <w:divBdr>
            <w:top w:val="none" w:sz="0" w:space="0" w:color="auto"/>
            <w:left w:val="none" w:sz="0" w:space="0" w:color="auto"/>
            <w:bottom w:val="none" w:sz="0" w:space="0" w:color="auto"/>
            <w:right w:val="none" w:sz="0" w:space="0" w:color="auto"/>
          </w:divBdr>
        </w:div>
        <w:div w:id="895430424">
          <w:marLeft w:val="1800"/>
          <w:marRight w:val="0"/>
          <w:marTop w:val="100"/>
          <w:marBottom w:val="0"/>
          <w:divBdr>
            <w:top w:val="none" w:sz="0" w:space="0" w:color="auto"/>
            <w:left w:val="none" w:sz="0" w:space="0" w:color="auto"/>
            <w:bottom w:val="none" w:sz="0" w:space="0" w:color="auto"/>
            <w:right w:val="none" w:sz="0" w:space="0" w:color="auto"/>
          </w:divBdr>
        </w:div>
        <w:div w:id="1254557607">
          <w:marLeft w:val="1800"/>
          <w:marRight w:val="0"/>
          <w:marTop w:val="100"/>
          <w:marBottom w:val="0"/>
          <w:divBdr>
            <w:top w:val="none" w:sz="0" w:space="0" w:color="auto"/>
            <w:left w:val="none" w:sz="0" w:space="0" w:color="auto"/>
            <w:bottom w:val="none" w:sz="0" w:space="0" w:color="auto"/>
            <w:right w:val="none" w:sz="0" w:space="0" w:color="auto"/>
          </w:divBdr>
        </w:div>
        <w:div w:id="1280339966">
          <w:marLeft w:val="1800"/>
          <w:marRight w:val="0"/>
          <w:marTop w:val="100"/>
          <w:marBottom w:val="0"/>
          <w:divBdr>
            <w:top w:val="none" w:sz="0" w:space="0" w:color="auto"/>
            <w:left w:val="none" w:sz="0" w:space="0" w:color="auto"/>
            <w:bottom w:val="none" w:sz="0" w:space="0" w:color="auto"/>
            <w:right w:val="none" w:sz="0" w:space="0" w:color="auto"/>
          </w:divBdr>
        </w:div>
        <w:div w:id="1552376444">
          <w:marLeft w:val="1080"/>
          <w:marRight w:val="0"/>
          <w:marTop w:val="100"/>
          <w:marBottom w:val="0"/>
          <w:divBdr>
            <w:top w:val="none" w:sz="0" w:space="0" w:color="auto"/>
            <w:left w:val="none" w:sz="0" w:space="0" w:color="auto"/>
            <w:bottom w:val="none" w:sz="0" w:space="0" w:color="auto"/>
            <w:right w:val="none" w:sz="0" w:space="0" w:color="auto"/>
          </w:divBdr>
        </w:div>
        <w:div w:id="1590699116">
          <w:marLeft w:val="1080"/>
          <w:marRight w:val="0"/>
          <w:marTop w:val="100"/>
          <w:marBottom w:val="0"/>
          <w:divBdr>
            <w:top w:val="none" w:sz="0" w:space="0" w:color="auto"/>
            <w:left w:val="none" w:sz="0" w:space="0" w:color="auto"/>
            <w:bottom w:val="none" w:sz="0" w:space="0" w:color="auto"/>
            <w:right w:val="none" w:sz="0" w:space="0" w:color="auto"/>
          </w:divBdr>
        </w:div>
        <w:div w:id="1677883810">
          <w:marLeft w:val="1800"/>
          <w:marRight w:val="0"/>
          <w:marTop w:val="100"/>
          <w:marBottom w:val="0"/>
          <w:divBdr>
            <w:top w:val="none" w:sz="0" w:space="0" w:color="auto"/>
            <w:left w:val="none" w:sz="0" w:space="0" w:color="auto"/>
            <w:bottom w:val="none" w:sz="0" w:space="0" w:color="auto"/>
            <w:right w:val="none" w:sz="0" w:space="0" w:color="auto"/>
          </w:divBdr>
        </w:div>
        <w:div w:id="1832796428">
          <w:marLeft w:val="1800"/>
          <w:marRight w:val="0"/>
          <w:marTop w:val="100"/>
          <w:marBottom w:val="0"/>
          <w:divBdr>
            <w:top w:val="none" w:sz="0" w:space="0" w:color="auto"/>
            <w:left w:val="none" w:sz="0" w:space="0" w:color="auto"/>
            <w:bottom w:val="none" w:sz="0" w:space="0" w:color="auto"/>
            <w:right w:val="none" w:sz="0" w:space="0" w:color="auto"/>
          </w:divBdr>
        </w:div>
        <w:div w:id="2008358577">
          <w:marLeft w:val="360"/>
          <w:marRight w:val="0"/>
          <w:marTop w:val="200"/>
          <w:marBottom w:val="0"/>
          <w:divBdr>
            <w:top w:val="none" w:sz="0" w:space="0" w:color="auto"/>
            <w:left w:val="none" w:sz="0" w:space="0" w:color="auto"/>
            <w:bottom w:val="none" w:sz="0" w:space="0" w:color="auto"/>
            <w:right w:val="none" w:sz="0" w:space="0" w:color="auto"/>
          </w:divBdr>
        </w:div>
      </w:divsChild>
    </w:div>
    <w:div w:id="65152649">
      <w:bodyDiv w:val="1"/>
      <w:marLeft w:val="0"/>
      <w:marRight w:val="0"/>
      <w:marTop w:val="0"/>
      <w:marBottom w:val="0"/>
      <w:divBdr>
        <w:top w:val="none" w:sz="0" w:space="0" w:color="auto"/>
        <w:left w:val="none" w:sz="0" w:space="0" w:color="auto"/>
        <w:bottom w:val="none" w:sz="0" w:space="0" w:color="auto"/>
        <w:right w:val="none" w:sz="0" w:space="0" w:color="auto"/>
      </w:divBdr>
    </w:div>
    <w:div w:id="65152925">
      <w:bodyDiv w:val="1"/>
      <w:marLeft w:val="0"/>
      <w:marRight w:val="0"/>
      <w:marTop w:val="0"/>
      <w:marBottom w:val="0"/>
      <w:divBdr>
        <w:top w:val="none" w:sz="0" w:space="0" w:color="auto"/>
        <w:left w:val="none" w:sz="0" w:space="0" w:color="auto"/>
        <w:bottom w:val="none" w:sz="0" w:space="0" w:color="auto"/>
        <w:right w:val="none" w:sz="0" w:space="0" w:color="auto"/>
      </w:divBdr>
    </w:div>
    <w:div w:id="65343270">
      <w:bodyDiv w:val="1"/>
      <w:marLeft w:val="0"/>
      <w:marRight w:val="0"/>
      <w:marTop w:val="0"/>
      <w:marBottom w:val="0"/>
      <w:divBdr>
        <w:top w:val="none" w:sz="0" w:space="0" w:color="auto"/>
        <w:left w:val="none" w:sz="0" w:space="0" w:color="auto"/>
        <w:bottom w:val="none" w:sz="0" w:space="0" w:color="auto"/>
        <w:right w:val="none" w:sz="0" w:space="0" w:color="auto"/>
      </w:divBdr>
    </w:div>
    <w:div w:id="65811616">
      <w:bodyDiv w:val="1"/>
      <w:marLeft w:val="0"/>
      <w:marRight w:val="0"/>
      <w:marTop w:val="0"/>
      <w:marBottom w:val="0"/>
      <w:divBdr>
        <w:top w:val="none" w:sz="0" w:space="0" w:color="auto"/>
        <w:left w:val="none" w:sz="0" w:space="0" w:color="auto"/>
        <w:bottom w:val="none" w:sz="0" w:space="0" w:color="auto"/>
        <w:right w:val="none" w:sz="0" w:space="0" w:color="auto"/>
      </w:divBdr>
    </w:div>
    <w:div w:id="65998188">
      <w:bodyDiv w:val="1"/>
      <w:marLeft w:val="0"/>
      <w:marRight w:val="0"/>
      <w:marTop w:val="0"/>
      <w:marBottom w:val="0"/>
      <w:divBdr>
        <w:top w:val="none" w:sz="0" w:space="0" w:color="auto"/>
        <w:left w:val="none" w:sz="0" w:space="0" w:color="auto"/>
        <w:bottom w:val="none" w:sz="0" w:space="0" w:color="auto"/>
        <w:right w:val="none" w:sz="0" w:space="0" w:color="auto"/>
      </w:divBdr>
    </w:div>
    <w:div w:id="66273865">
      <w:bodyDiv w:val="1"/>
      <w:marLeft w:val="0"/>
      <w:marRight w:val="0"/>
      <w:marTop w:val="0"/>
      <w:marBottom w:val="0"/>
      <w:divBdr>
        <w:top w:val="none" w:sz="0" w:space="0" w:color="auto"/>
        <w:left w:val="none" w:sz="0" w:space="0" w:color="auto"/>
        <w:bottom w:val="none" w:sz="0" w:space="0" w:color="auto"/>
        <w:right w:val="none" w:sz="0" w:space="0" w:color="auto"/>
      </w:divBdr>
    </w:div>
    <w:div w:id="66731829">
      <w:bodyDiv w:val="1"/>
      <w:marLeft w:val="0"/>
      <w:marRight w:val="0"/>
      <w:marTop w:val="0"/>
      <w:marBottom w:val="0"/>
      <w:divBdr>
        <w:top w:val="none" w:sz="0" w:space="0" w:color="auto"/>
        <w:left w:val="none" w:sz="0" w:space="0" w:color="auto"/>
        <w:bottom w:val="none" w:sz="0" w:space="0" w:color="auto"/>
        <w:right w:val="none" w:sz="0" w:space="0" w:color="auto"/>
      </w:divBdr>
    </w:div>
    <w:div w:id="67384307">
      <w:bodyDiv w:val="1"/>
      <w:marLeft w:val="0"/>
      <w:marRight w:val="0"/>
      <w:marTop w:val="0"/>
      <w:marBottom w:val="0"/>
      <w:divBdr>
        <w:top w:val="none" w:sz="0" w:space="0" w:color="auto"/>
        <w:left w:val="none" w:sz="0" w:space="0" w:color="auto"/>
        <w:bottom w:val="none" w:sz="0" w:space="0" w:color="auto"/>
        <w:right w:val="none" w:sz="0" w:space="0" w:color="auto"/>
      </w:divBdr>
      <w:divsChild>
        <w:div w:id="1420835662">
          <w:marLeft w:val="547"/>
          <w:marRight w:val="0"/>
          <w:marTop w:val="134"/>
          <w:marBottom w:val="120"/>
          <w:divBdr>
            <w:top w:val="none" w:sz="0" w:space="0" w:color="auto"/>
            <w:left w:val="none" w:sz="0" w:space="0" w:color="auto"/>
            <w:bottom w:val="none" w:sz="0" w:space="0" w:color="auto"/>
            <w:right w:val="none" w:sz="0" w:space="0" w:color="auto"/>
          </w:divBdr>
        </w:div>
        <w:div w:id="1974016929">
          <w:marLeft w:val="547"/>
          <w:marRight w:val="0"/>
          <w:marTop w:val="134"/>
          <w:marBottom w:val="120"/>
          <w:divBdr>
            <w:top w:val="none" w:sz="0" w:space="0" w:color="auto"/>
            <w:left w:val="none" w:sz="0" w:space="0" w:color="auto"/>
            <w:bottom w:val="none" w:sz="0" w:space="0" w:color="auto"/>
            <w:right w:val="none" w:sz="0" w:space="0" w:color="auto"/>
          </w:divBdr>
        </w:div>
      </w:divsChild>
    </w:div>
    <w:div w:id="68234338">
      <w:bodyDiv w:val="1"/>
      <w:marLeft w:val="0"/>
      <w:marRight w:val="0"/>
      <w:marTop w:val="0"/>
      <w:marBottom w:val="0"/>
      <w:divBdr>
        <w:top w:val="none" w:sz="0" w:space="0" w:color="auto"/>
        <w:left w:val="none" w:sz="0" w:space="0" w:color="auto"/>
        <w:bottom w:val="none" w:sz="0" w:space="0" w:color="auto"/>
        <w:right w:val="none" w:sz="0" w:space="0" w:color="auto"/>
      </w:divBdr>
    </w:div>
    <w:div w:id="68775370">
      <w:bodyDiv w:val="1"/>
      <w:marLeft w:val="0"/>
      <w:marRight w:val="0"/>
      <w:marTop w:val="0"/>
      <w:marBottom w:val="0"/>
      <w:divBdr>
        <w:top w:val="none" w:sz="0" w:space="0" w:color="auto"/>
        <w:left w:val="none" w:sz="0" w:space="0" w:color="auto"/>
        <w:bottom w:val="none" w:sz="0" w:space="0" w:color="auto"/>
        <w:right w:val="none" w:sz="0" w:space="0" w:color="auto"/>
      </w:divBdr>
    </w:div>
    <w:div w:id="69161103">
      <w:bodyDiv w:val="1"/>
      <w:marLeft w:val="0"/>
      <w:marRight w:val="0"/>
      <w:marTop w:val="0"/>
      <w:marBottom w:val="0"/>
      <w:divBdr>
        <w:top w:val="none" w:sz="0" w:space="0" w:color="auto"/>
        <w:left w:val="none" w:sz="0" w:space="0" w:color="auto"/>
        <w:bottom w:val="none" w:sz="0" w:space="0" w:color="auto"/>
        <w:right w:val="none" w:sz="0" w:space="0" w:color="auto"/>
      </w:divBdr>
    </w:div>
    <w:div w:id="69741506">
      <w:bodyDiv w:val="1"/>
      <w:marLeft w:val="0"/>
      <w:marRight w:val="0"/>
      <w:marTop w:val="0"/>
      <w:marBottom w:val="0"/>
      <w:divBdr>
        <w:top w:val="none" w:sz="0" w:space="0" w:color="auto"/>
        <w:left w:val="none" w:sz="0" w:space="0" w:color="auto"/>
        <w:bottom w:val="none" w:sz="0" w:space="0" w:color="auto"/>
        <w:right w:val="none" w:sz="0" w:space="0" w:color="auto"/>
      </w:divBdr>
    </w:div>
    <w:div w:id="71316267">
      <w:bodyDiv w:val="1"/>
      <w:marLeft w:val="0"/>
      <w:marRight w:val="0"/>
      <w:marTop w:val="0"/>
      <w:marBottom w:val="0"/>
      <w:divBdr>
        <w:top w:val="none" w:sz="0" w:space="0" w:color="auto"/>
        <w:left w:val="none" w:sz="0" w:space="0" w:color="auto"/>
        <w:bottom w:val="none" w:sz="0" w:space="0" w:color="auto"/>
        <w:right w:val="none" w:sz="0" w:space="0" w:color="auto"/>
      </w:divBdr>
      <w:divsChild>
        <w:div w:id="1576434568">
          <w:marLeft w:val="360"/>
          <w:marRight w:val="0"/>
          <w:marTop w:val="200"/>
          <w:marBottom w:val="0"/>
          <w:divBdr>
            <w:top w:val="none" w:sz="0" w:space="0" w:color="auto"/>
            <w:left w:val="none" w:sz="0" w:space="0" w:color="auto"/>
            <w:bottom w:val="none" w:sz="0" w:space="0" w:color="auto"/>
            <w:right w:val="none" w:sz="0" w:space="0" w:color="auto"/>
          </w:divBdr>
        </w:div>
        <w:div w:id="1085810588">
          <w:marLeft w:val="1080"/>
          <w:marRight w:val="0"/>
          <w:marTop w:val="100"/>
          <w:marBottom w:val="0"/>
          <w:divBdr>
            <w:top w:val="none" w:sz="0" w:space="0" w:color="auto"/>
            <w:left w:val="none" w:sz="0" w:space="0" w:color="auto"/>
            <w:bottom w:val="none" w:sz="0" w:space="0" w:color="auto"/>
            <w:right w:val="none" w:sz="0" w:space="0" w:color="auto"/>
          </w:divBdr>
        </w:div>
        <w:div w:id="23873101">
          <w:marLeft w:val="360"/>
          <w:marRight w:val="0"/>
          <w:marTop w:val="200"/>
          <w:marBottom w:val="0"/>
          <w:divBdr>
            <w:top w:val="none" w:sz="0" w:space="0" w:color="auto"/>
            <w:left w:val="none" w:sz="0" w:space="0" w:color="auto"/>
            <w:bottom w:val="none" w:sz="0" w:space="0" w:color="auto"/>
            <w:right w:val="none" w:sz="0" w:space="0" w:color="auto"/>
          </w:divBdr>
        </w:div>
        <w:div w:id="1117799293">
          <w:marLeft w:val="1080"/>
          <w:marRight w:val="0"/>
          <w:marTop w:val="100"/>
          <w:marBottom w:val="0"/>
          <w:divBdr>
            <w:top w:val="none" w:sz="0" w:space="0" w:color="auto"/>
            <w:left w:val="none" w:sz="0" w:space="0" w:color="auto"/>
            <w:bottom w:val="none" w:sz="0" w:space="0" w:color="auto"/>
            <w:right w:val="none" w:sz="0" w:space="0" w:color="auto"/>
          </w:divBdr>
        </w:div>
        <w:div w:id="289750047">
          <w:marLeft w:val="360"/>
          <w:marRight w:val="0"/>
          <w:marTop w:val="200"/>
          <w:marBottom w:val="0"/>
          <w:divBdr>
            <w:top w:val="none" w:sz="0" w:space="0" w:color="auto"/>
            <w:left w:val="none" w:sz="0" w:space="0" w:color="auto"/>
            <w:bottom w:val="none" w:sz="0" w:space="0" w:color="auto"/>
            <w:right w:val="none" w:sz="0" w:space="0" w:color="auto"/>
          </w:divBdr>
        </w:div>
      </w:divsChild>
    </w:div>
    <w:div w:id="71508529">
      <w:bodyDiv w:val="1"/>
      <w:marLeft w:val="0"/>
      <w:marRight w:val="0"/>
      <w:marTop w:val="0"/>
      <w:marBottom w:val="0"/>
      <w:divBdr>
        <w:top w:val="none" w:sz="0" w:space="0" w:color="auto"/>
        <w:left w:val="none" w:sz="0" w:space="0" w:color="auto"/>
        <w:bottom w:val="none" w:sz="0" w:space="0" w:color="auto"/>
        <w:right w:val="none" w:sz="0" w:space="0" w:color="auto"/>
      </w:divBdr>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74910172">
      <w:bodyDiv w:val="1"/>
      <w:marLeft w:val="0"/>
      <w:marRight w:val="0"/>
      <w:marTop w:val="0"/>
      <w:marBottom w:val="0"/>
      <w:divBdr>
        <w:top w:val="none" w:sz="0" w:space="0" w:color="auto"/>
        <w:left w:val="none" w:sz="0" w:space="0" w:color="auto"/>
        <w:bottom w:val="none" w:sz="0" w:space="0" w:color="auto"/>
        <w:right w:val="none" w:sz="0" w:space="0" w:color="auto"/>
      </w:divBdr>
    </w:div>
    <w:div w:id="75789751">
      <w:bodyDiv w:val="1"/>
      <w:marLeft w:val="0"/>
      <w:marRight w:val="0"/>
      <w:marTop w:val="0"/>
      <w:marBottom w:val="0"/>
      <w:divBdr>
        <w:top w:val="none" w:sz="0" w:space="0" w:color="auto"/>
        <w:left w:val="none" w:sz="0" w:space="0" w:color="auto"/>
        <w:bottom w:val="none" w:sz="0" w:space="0" w:color="auto"/>
        <w:right w:val="none" w:sz="0" w:space="0" w:color="auto"/>
      </w:divBdr>
    </w:div>
    <w:div w:id="76445488">
      <w:bodyDiv w:val="1"/>
      <w:marLeft w:val="0"/>
      <w:marRight w:val="0"/>
      <w:marTop w:val="0"/>
      <w:marBottom w:val="0"/>
      <w:divBdr>
        <w:top w:val="none" w:sz="0" w:space="0" w:color="auto"/>
        <w:left w:val="none" w:sz="0" w:space="0" w:color="auto"/>
        <w:bottom w:val="none" w:sz="0" w:space="0" w:color="auto"/>
        <w:right w:val="none" w:sz="0" w:space="0" w:color="auto"/>
      </w:divBdr>
    </w:div>
    <w:div w:id="76488928">
      <w:bodyDiv w:val="1"/>
      <w:marLeft w:val="0"/>
      <w:marRight w:val="0"/>
      <w:marTop w:val="0"/>
      <w:marBottom w:val="0"/>
      <w:divBdr>
        <w:top w:val="none" w:sz="0" w:space="0" w:color="auto"/>
        <w:left w:val="none" w:sz="0" w:space="0" w:color="auto"/>
        <w:bottom w:val="none" w:sz="0" w:space="0" w:color="auto"/>
        <w:right w:val="none" w:sz="0" w:space="0" w:color="auto"/>
      </w:divBdr>
    </w:div>
    <w:div w:id="76708978">
      <w:bodyDiv w:val="1"/>
      <w:marLeft w:val="0"/>
      <w:marRight w:val="0"/>
      <w:marTop w:val="0"/>
      <w:marBottom w:val="0"/>
      <w:divBdr>
        <w:top w:val="none" w:sz="0" w:space="0" w:color="auto"/>
        <w:left w:val="none" w:sz="0" w:space="0" w:color="auto"/>
        <w:bottom w:val="none" w:sz="0" w:space="0" w:color="auto"/>
        <w:right w:val="none" w:sz="0" w:space="0" w:color="auto"/>
      </w:divBdr>
    </w:div>
    <w:div w:id="77334222">
      <w:bodyDiv w:val="1"/>
      <w:marLeft w:val="0"/>
      <w:marRight w:val="0"/>
      <w:marTop w:val="0"/>
      <w:marBottom w:val="0"/>
      <w:divBdr>
        <w:top w:val="none" w:sz="0" w:space="0" w:color="auto"/>
        <w:left w:val="none" w:sz="0" w:space="0" w:color="auto"/>
        <w:bottom w:val="none" w:sz="0" w:space="0" w:color="auto"/>
        <w:right w:val="none" w:sz="0" w:space="0" w:color="auto"/>
      </w:divBdr>
    </w:div>
    <w:div w:id="79527718">
      <w:bodyDiv w:val="1"/>
      <w:marLeft w:val="0"/>
      <w:marRight w:val="0"/>
      <w:marTop w:val="0"/>
      <w:marBottom w:val="0"/>
      <w:divBdr>
        <w:top w:val="none" w:sz="0" w:space="0" w:color="auto"/>
        <w:left w:val="none" w:sz="0" w:space="0" w:color="auto"/>
        <w:bottom w:val="none" w:sz="0" w:space="0" w:color="auto"/>
        <w:right w:val="none" w:sz="0" w:space="0" w:color="auto"/>
      </w:divBdr>
    </w:div>
    <w:div w:id="79646759">
      <w:bodyDiv w:val="1"/>
      <w:marLeft w:val="0"/>
      <w:marRight w:val="0"/>
      <w:marTop w:val="0"/>
      <w:marBottom w:val="0"/>
      <w:divBdr>
        <w:top w:val="none" w:sz="0" w:space="0" w:color="auto"/>
        <w:left w:val="none" w:sz="0" w:space="0" w:color="auto"/>
        <w:bottom w:val="none" w:sz="0" w:space="0" w:color="auto"/>
        <w:right w:val="none" w:sz="0" w:space="0" w:color="auto"/>
      </w:divBdr>
    </w:div>
    <w:div w:id="80180675">
      <w:bodyDiv w:val="1"/>
      <w:marLeft w:val="0"/>
      <w:marRight w:val="0"/>
      <w:marTop w:val="0"/>
      <w:marBottom w:val="0"/>
      <w:divBdr>
        <w:top w:val="none" w:sz="0" w:space="0" w:color="auto"/>
        <w:left w:val="none" w:sz="0" w:space="0" w:color="auto"/>
        <w:bottom w:val="none" w:sz="0" w:space="0" w:color="auto"/>
        <w:right w:val="none" w:sz="0" w:space="0" w:color="auto"/>
      </w:divBdr>
    </w:div>
    <w:div w:id="80640236">
      <w:bodyDiv w:val="1"/>
      <w:marLeft w:val="0"/>
      <w:marRight w:val="0"/>
      <w:marTop w:val="0"/>
      <w:marBottom w:val="0"/>
      <w:divBdr>
        <w:top w:val="none" w:sz="0" w:space="0" w:color="auto"/>
        <w:left w:val="none" w:sz="0" w:space="0" w:color="auto"/>
        <w:bottom w:val="none" w:sz="0" w:space="0" w:color="auto"/>
        <w:right w:val="none" w:sz="0" w:space="0" w:color="auto"/>
      </w:divBdr>
    </w:div>
    <w:div w:id="80951537">
      <w:bodyDiv w:val="1"/>
      <w:marLeft w:val="0"/>
      <w:marRight w:val="0"/>
      <w:marTop w:val="0"/>
      <w:marBottom w:val="0"/>
      <w:divBdr>
        <w:top w:val="none" w:sz="0" w:space="0" w:color="auto"/>
        <w:left w:val="none" w:sz="0" w:space="0" w:color="auto"/>
        <w:bottom w:val="none" w:sz="0" w:space="0" w:color="auto"/>
        <w:right w:val="none" w:sz="0" w:space="0" w:color="auto"/>
      </w:divBdr>
    </w:div>
    <w:div w:id="81684138">
      <w:bodyDiv w:val="1"/>
      <w:marLeft w:val="0"/>
      <w:marRight w:val="0"/>
      <w:marTop w:val="0"/>
      <w:marBottom w:val="0"/>
      <w:divBdr>
        <w:top w:val="none" w:sz="0" w:space="0" w:color="auto"/>
        <w:left w:val="none" w:sz="0" w:space="0" w:color="auto"/>
        <w:bottom w:val="none" w:sz="0" w:space="0" w:color="auto"/>
        <w:right w:val="none" w:sz="0" w:space="0" w:color="auto"/>
      </w:divBdr>
    </w:div>
    <w:div w:id="82529077">
      <w:bodyDiv w:val="1"/>
      <w:marLeft w:val="0"/>
      <w:marRight w:val="0"/>
      <w:marTop w:val="0"/>
      <w:marBottom w:val="0"/>
      <w:divBdr>
        <w:top w:val="none" w:sz="0" w:space="0" w:color="auto"/>
        <w:left w:val="none" w:sz="0" w:space="0" w:color="auto"/>
        <w:bottom w:val="none" w:sz="0" w:space="0" w:color="auto"/>
        <w:right w:val="none" w:sz="0" w:space="0" w:color="auto"/>
      </w:divBdr>
    </w:div>
    <w:div w:id="83427979">
      <w:bodyDiv w:val="1"/>
      <w:marLeft w:val="0"/>
      <w:marRight w:val="0"/>
      <w:marTop w:val="0"/>
      <w:marBottom w:val="0"/>
      <w:divBdr>
        <w:top w:val="none" w:sz="0" w:space="0" w:color="auto"/>
        <w:left w:val="none" w:sz="0" w:space="0" w:color="auto"/>
        <w:bottom w:val="none" w:sz="0" w:space="0" w:color="auto"/>
        <w:right w:val="none" w:sz="0" w:space="0" w:color="auto"/>
      </w:divBdr>
      <w:divsChild>
        <w:div w:id="310990207">
          <w:marLeft w:val="1800"/>
          <w:marRight w:val="0"/>
          <w:marTop w:val="100"/>
          <w:marBottom w:val="0"/>
          <w:divBdr>
            <w:top w:val="none" w:sz="0" w:space="0" w:color="auto"/>
            <w:left w:val="none" w:sz="0" w:space="0" w:color="auto"/>
            <w:bottom w:val="none" w:sz="0" w:space="0" w:color="auto"/>
            <w:right w:val="none" w:sz="0" w:space="0" w:color="auto"/>
          </w:divBdr>
        </w:div>
        <w:div w:id="361833048">
          <w:marLeft w:val="1800"/>
          <w:marRight w:val="0"/>
          <w:marTop w:val="100"/>
          <w:marBottom w:val="0"/>
          <w:divBdr>
            <w:top w:val="none" w:sz="0" w:space="0" w:color="auto"/>
            <w:left w:val="none" w:sz="0" w:space="0" w:color="auto"/>
            <w:bottom w:val="none" w:sz="0" w:space="0" w:color="auto"/>
            <w:right w:val="none" w:sz="0" w:space="0" w:color="auto"/>
          </w:divBdr>
        </w:div>
        <w:div w:id="497381902">
          <w:marLeft w:val="1080"/>
          <w:marRight w:val="0"/>
          <w:marTop w:val="100"/>
          <w:marBottom w:val="0"/>
          <w:divBdr>
            <w:top w:val="none" w:sz="0" w:space="0" w:color="auto"/>
            <w:left w:val="none" w:sz="0" w:space="0" w:color="auto"/>
            <w:bottom w:val="none" w:sz="0" w:space="0" w:color="auto"/>
            <w:right w:val="none" w:sz="0" w:space="0" w:color="auto"/>
          </w:divBdr>
        </w:div>
        <w:div w:id="511068519">
          <w:marLeft w:val="1800"/>
          <w:marRight w:val="0"/>
          <w:marTop w:val="100"/>
          <w:marBottom w:val="0"/>
          <w:divBdr>
            <w:top w:val="none" w:sz="0" w:space="0" w:color="auto"/>
            <w:left w:val="none" w:sz="0" w:space="0" w:color="auto"/>
            <w:bottom w:val="none" w:sz="0" w:space="0" w:color="auto"/>
            <w:right w:val="none" w:sz="0" w:space="0" w:color="auto"/>
          </w:divBdr>
        </w:div>
        <w:div w:id="690110070">
          <w:marLeft w:val="360"/>
          <w:marRight w:val="0"/>
          <w:marTop w:val="200"/>
          <w:marBottom w:val="0"/>
          <w:divBdr>
            <w:top w:val="none" w:sz="0" w:space="0" w:color="auto"/>
            <w:left w:val="none" w:sz="0" w:space="0" w:color="auto"/>
            <w:bottom w:val="none" w:sz="0" w:space="0" w:color="auto"/>
            <w:right w:val="none" w:sz="0" w:space="0" w:color="auto"/>
          </w:divBdr>
        </w:div>
        <w:div w:id="893275500">
          <w:marLeft w:val="1080"/>
          <w:marRight w:val="0"/>
          <w:marTop w:val="100"/>
          <w:marBottom w:val="0"/>
          <w:divBdr>
            <w:top w:val="none" w:sz="0" w:space="0" w:color="auto"/>
            <w:left w:val="none" w:sz="0" w:space="0" w:color="auto"/>
            <w:bottom w:val="none" w:sz="0" w:space="0" w:color="auto"/>
            <w:right w:val="none" w:sz="0" w:space="0" w:color="auto"/>
          </w:divBdr>
        </w:div>
        <w:div w:id="939947466">
          <w:marLeft w:val="2520"/>
          <w:marRight w:val="0"/>
          <w:marTop w:val="100"/>
          <w:marBottom w:val="0"/>
          <w:divBdr>
            <w:top w:val="none" w:sz="0" w:space="0" w:color="auto"/>
            <w:left w:val="none" w:sz="0" w:space="0" w:color="auto"/>
            <w:bottom w:val="none" w:sz="0" w:space="0" w:color="auto"/>
            <w:right w:val="none" w:sz="0" w:space="0" w:color="auto"/>
          </w:divBdr>
        </w:div>
        <w:div w:id="1161038981">
          <w:marLeft w:val="1080"/>
          <w:marRight w:val="0"/>
          <w:marTop w:val="100"/>
          <w:marBottom w:val="0"/>
          <w:divBdr>
            <w:top w:val="none" w:sz="0" w:space="0" w:color="auto"/>
            <w:left w:val="none" w:sz="0" w:space="0" w:color="auto"/>
            <w:bottom w:val="none" w:sz="0" w:space="0" w:color="auto"/>
            <w:right w:val="none" w:sz="0" w:space="0" w:color="auto"/>
          </w:divBdr>
        </w:div>
        <w:div w:id="1336375897">
          <w:marLeft w:val="1080"/>
          <w:marRight w:val="0"/>
          <w:marTop w:val="100"/>
          <w:marBottom w:val="0"/>
          <w:divBdr>
            <w:top w:val="none" w:sz="0" w:space="0" w:color="auto"/>
            <w:left w:val="none" w:sz="0" w:space="0" w:color="auto"/>
            <w:bottom w:val="none" w:sz="0" w:space="0" w:color="auto"/>
            <w:right w:val="none" w:sz="0" w:space="0" w:color="auto"/>
          </w:divBdr>
        </w:div>
        <w:div w:id="1468814458">
          <w:marLeft w:val="2520"/>
          <w:marRight w:val="0"/>
          <w:marTop w:val="100"/>
          <w:marBottom w:val="0"/>
          <w:divBdr>
            <w:top w:val="none" w:sz="0" w:space="0" w:color="auto"/>
            <w:left w:val="none" w:sz="0" w:space="0" w:color="auto"/>
            <w:bottom w:val="none" w:sz="0" w:space="0" w:color="auto"/>
            <w:right w:val="none" w:sz="0" w:space="0" w:color="auto"/>
          </w:divBdr>
        </w:div>
        <w:div w:id="1609850209">
          <w:marLeft w:val="2520"/>
          <w:marRight w:val="0"/>
          <w:marTop w:val="100"/>
          <w:marBottom w:val="0"/>
          <w:divBdr>
            <w:top w:val="none" w:sz="0" w:space="0" w:color="auto"/>
            <w:left w:val="none" w:sz="0" w:space="0" w:color="auto"/>
            <w:bottom w:val="none" w:sz="0" w:space="0" w:color="auto"/>
            <w:right w:val="none" w:sz="0" w:space="0" w:color="auto"/>
          </w:divBdr>
        </w:div>
        <w:div w:id="1771312921">
          <w:marLeft w:val="1800"/>
          <w:marRight w:val="0"/>
          <w:marTop w:val="100"/>
          <w:marBottom w:val="0"/>
          <w:divBdr>
            <w:top w:val="none" w:sz="0" w:space="0" w:color="auto"/>
            <w:left w:val="none" w:sz="0" w:space="0" w:color="auto"/>
            <w:bottom w:val="none" w:sz="0" w:space="0" w:color="auto"/>
            <w:right w:val="none" w:sz="0" w:space="0" w:color="auto"/>
          </w:divBdr>
        </w:div>
        <w:div w:id="1810827073">
          <w:marLeft w:val="1080"/>
          <w:marRight w:val="0"/>
          <w:marTop w:val="100"/>
          <w:marBottom w:val="0"/>
          <w:divBdr>
            <w:top w:val="none" w:sz="0" w:space="0" w:color="auto"/>
            <w:left w:val="none" w:sz="0" w:space="0" w:color="auto"/>
            <w:bottom w:val="none" w:sz="0" w:space="0" w:color="auto"/>
            <w:right w:val="none" w:sz="0" w:space="0" w:color="auto"/>
          </w:divBdr>
        </w:div>
      </w:divsChild>
    </w:div>
    <w:div w:id="83499366">
      <w:bodyDiv w:val="1"/>
      <w:marLeft w:val="0"/>
      <w:marRight w:val="0"/>
      <w:marTop w:val="0"/>
      <w:marBottom w:val="0"/>
      <w:divBdr>
        <w:top w:val="none" w:sz="0" w:space="0" w:color="auto"/>
        <w:left w:val="none" w:sz="0" w:space="0" w:color="auto"/>
        <w:bottom w:val="none" w:sz="0" w:space="0" w:color="auto"/>
        <w:right w:val="none" w:sz="0" w:space="0" w:color="auto"/>
      </w:divBdr>
    </w:div>
    <w:div w:id="84153605">
      <w:bodyDiv w:val="1"/>
      <w:marLeft w:val="0"/>
      <w:marRight w:val="0"/>
      <w:marTop w:val="0"/>
      <w:marBottom w:val="0"/>
      <w:divBdr>
        <w:top w:val="none" w:sz="0" w:space="0" w:color="auto"/>
        <w:left w:val="none" w:sz="0" w:space="0" w:color="auto"/>
        <w:bottom w:val="none" w:sz="0" w:space="0" w:color="auto"/>
        <w:right w:val="none" w:sz="0" w:space="0" w:color="auto"/>
      </w:divBdr>
    </w:div>
    <w:div w:id="84613413">
      <w:bodyDiv w:val="1"/>
      <w:marLeft w:val="0"/>
      <w:marRight w:val="0"/>
      <w:marTop w:val="0"/>
      <w:marBottom w:val="0"/>
      <w:divBdr>
        <w:top w:val="none" w:sz="0" w:space="0" w:color="auto"/>
        <w:left w:val="none" w:sz="0" w:space="0" w:color="auto"/>
        <w:bottom w:val="none" w:sz="0" w:space="0" w:color="auto"/>
        <w:right w:val="none" w:sz="0" w:space="0" w:color="auto"/>
      </w:divBdr>
    </w:div>
    <w:div w:id="85158945">
      <w:bodyDiv w:val="1"/>
      <w:marLeft w:val="0"/>
      <w:marRight w:val="0"/>
      <w:marTop w:val="0"/>
      <w:marBottom w:val="0"/>
      <w:divBdr>
        <w:top w:val="none" w:sz="0" w:space="0" w:color="auto"/>
        <w:left w:val="none" w:sz="0" w:space="0" w:color="auto"/>
        <w:bottom w:val="none" w:sz="0" w:space="0" w:color="auto"/>
        <w:right w:val="none" w:sz="0" w:space="0" w:color="auto"/>
      </w:divBdr>
    </w:div>
    <w:div w:id="85343016">
      <w:bodyDiv w:val="1"/>
      <w:marLeft w:val="0"/>
      <w:marRight w:val="0"/>
      <w:marTop w:val="0"/>
      <w:marBottom w:val="0"/>
      <w:divBdr>
        <w:top w:val="none" w:sz="0" w:space="0" w:color="auto"/>
        <w:left w:val="none" w:sz="0" w:space="0" w:color="auto"/>
        <w:bottom w:val="none" w:sz="0" w:space="0" w:color="auto"/>
        <w:right w:val="none" w:sz="0" w:space="0" w:color="auto"/>
      </w:divBdr>
      <w:divsChild>
        <w:div w:id="7878180">
          <w:marLeft w:val="360"/>
          <w:marRight w:val="0"/>
          <w:marTop w:val="200"/>
          <w:marBottom w:val="0"/>
          <w:divBdr>
            <w:top w:val="none" w:sz="0" w:space="0" w:color="auto"/>
            <w:left w:val="none" w:sz="0" w:space="0" w:color="auto"/>
            <w:bottom w:val="none" w:sz="0" w:space="0" w:color="auto"/>
            <w:right w:val="none" w:sz="0" w:space="0" w:color="auto"/>
          </w:divBdr>
        </w:div>
        <w:div w:id="99184135">
          <w:marLeft w:val="1080"/>
          <w:marRight w:val="0"/>
          <w:marTop w:val="100"/>
          <w:marBottom w:val="0"/>
          <w:divBdr>
            <w:top w:val="none" w:sz="0" w:space="0" w:color="auto"/>
            <w:left w:val="none" w:sz="0" w:space="0" w:color="auto"/>
            <w:bottom w:val="none" w:sz="0" w:space="0" w:color="auto"/>
            <w:right w:val="none" w:sz="0" w:space="0" w:color="auto"/>
          </w:divBdr>
        </w:div>
        <w:div w:id="1103916190">
          <w:marLeft w:val="1080"/>
          <w:marRight w:val="0"/>
          <w:marTop w:val="100"/>
          <w:marBottom w:val="0"/>
          <w:divBdr>
            <w:top w:val="none" w:sz="0" w:space="0" w:color="auto"/>
            <w:left w:val="none" w:sz="0" w:space="0" w:color="auto"/>
            <w:bottom w:val="none" w:sz="0" w:space="0" w:color="auto"/>
            <w:right w:val="none" w:sz="0" w:space="0" w:color="auto"/>
          </w:divBdr>
        </w:div>
        <w:div w:id="1525173900">
          <w:marLeft w:val="1080"/>
          <w:marRight w:val="0"/>
          <w:marTop w:val="100"/>
          <w:marBottom w:val="0"/>
          <w:divBdr>
            <w:top w:val="none" w:sz="0" w:space="0" w:color="auto"/>
            <w:left w:val="none" w:sz="0" w:space="0" w:color="auto"/>
            <w:bottom w:val="none" w:sz="0" w:space="0" w:color="auto"/>
            <w:right w:val="none" w:sz="0" w:space="0" w:color="auto"/>
          </w:divBdr>
        </w:div>
        <w:div w:id="1848254770">
          <w:marLeft w:val="1080"/>
          <w:marRight w:val="0"/>
          <w:marTop w:val="100"/>
          <w:marBottom w:val="0"/>
          <w:divBdr>
            <w:top w:val="none" w:sz="0" w:space="0" w:color="auto"/>
            <w:left w:val="none" w:sz="0" w:space="0" w:color="auto"/>
            <w:bottom w:val="none" w:sz="0" w:space="0" w:color="auto"/>
            <w:right w:val="none" w:sz="0" w:space="0" w:color="auto"/>
          </w:divBdr>
        </w:div>
        <w:div w:id="1885293150">
          <w:marLeft w:val="1080"/>
          <w:marRight w:val="0"/>
          <w:marTop w:val="100"/>
          <w:marBottom w:val="0"/>
          <w:divBdr>
            <w:top w:val="none" w:sz="0" w:space="0" w:color="auto"/>
            <w:left w:val="none" w:sz="0" w:space="0" w:color="auto"/>
            <w:bottom w:val="none" w:sz="0" w:space="0" w:color="auto"/>
            <w:right w:val="none" w:sz="0" w:space="0" w:color="auto"/>
          </w:divBdr>
        </w:div>
      </w:divsChild>
    </w:div>
    <w:div w:id="86074933">
      <w:bodyDiv w:val="1"/>
      <w:marLeft w:val="0"/>
      <w:marRight w:val="0"/>
      <w:marTop w:val="0"/>
      <w:marBottom w:val="0"/>
      <w:divBdr>
        <w:top w:val="none" w:sz="0" w:space="0" w:color="auto"/>
        <w:left w:val="none" w:sz="0" w:space="0" w:color="auto"/>
        <w:bottom w:val="none" w:sz="0" w:space="0" w:color="auto"/>
        <w:right w:val="none" w:sz="0" w:space="0" w:color="auto"/>
      </w:divBdr>
    </w:div>
    <w:div w:id="86117893">
      <w:bodyDiv w:val="1"/>
      <w:marLeft w:val="0"/>
      <w:marRight w:val="0"/>
      <w:marTop w:val="0"/>
      <w:marBottom w:val="0"/>
      <w:divBdr>
        <w:top w:val="none" w:sz="0" w:space="0" w:color="auto"/>
        <w:left w:val="none" w:sz="0" w:space="0" w:color="auto"/>
        <w:bottom w:val="none" w:sz="0" w:space="0" w:color="auto"/>
        <w:right w:val="none" w:sz="0" w:space="0" w:color="auto"/>
      </w:divBdr>
    </w:div>
    <w:div w:id="86779203">
      <w:bodyDiv w:val="1"/>
      <w:marLeft w:val="0"/>
      <w:marRight w:val="0"/>
      <w:marTop w:val="0"/>
      <w:marBottom w:val="0"/>
      <w:divBdr>
        <w:top w:val="none" w:sz="0" w:space="0" w:color="auto"/>
        <w:left w:val="none" w:sz="0" w:space="0" w:color="auto"/>
        <w:bottom w:val="none" w:sz="0" w:space="0" w:color="auto"/>
        <w:right w:val="none" w:sz="0" w:space="0" w:color="auto"/>
      </w:divBdr>
    </w:div>
    <w:div w:id="88819691">
      <w:bodyDiv w:val="1"/>
      <w:marLeft w:val="0"/>
      <w:marRight w:val="0"/>
      <w:marTop w:val="0"/>
      <w:marBottom w:val="0"/>
      <w:divBdr>
        <w:top w:val="none" w:sz="0" w:space="0" w:color="auto"/>
        <w:left w:val="none" w:sz="0" w:space="0" w:color="auto"/>
        <w:bottom w:val="none" w:sz="0" w:space="0" w:color="auto"/>
        <w:right w:val="none" w:sz="0" w:space="0" w:color="auto"/>
      </w:divBdr>
      <w:divsChild>
        <w:div w:id="561717005">
          <w:marLeft w:val="360"/>
          <w:marRight w:val="0"/>
          <w:marTop w:val="200"/>
          <w:marBottom w:val="0"/>
          <w:divBdr>
            <w:top w:val="none" w:sz="0" w:space="0" w:color="auto"/>
            <w:left w:val="none" w:sz="0" w:space="0" w:color="auto"/>
            <w:bottom w:val="none" w:sz="0" w:space="0" w:color="auto"/>
            <w:right w:val="none" w:sz="0" w:space="0" w:color="auto"/>
          </w:divBdr>
        </w:div>
        <w:div w:id="760377605">
          <w:marLeft w:val="1080"/>
          <w:marRight w:val="0"/>
          <w:marTop w:val="100"/>
          <w:marBottom w:val="0"/>
          <w:divBdr>
            <w:top w:val="none" w:sz="0" w:space="0" w:color="auto"/>
            <w:left w:val="none" w:sz="0" w:space="0" w:color="auto"/>
            <w:bottom w:val="none" w:sz="0" w:space="0" w:color="auto"/>
            <w:right w:val="none" w:sz="0" w:space="0" w:color="auto"/>
          </w:divBdr>
        </w:div>
        <w:div w:id="964433607">
          <w:marLeft w:val="1080"/>
          <w:marRight w:val="0"/>
          <w:marTop w:val="100"/>
          <w:marBottom w:val="0"/>
          <w:divBdr>
            <w:top w:val="none" w:sz="0" w:space="0" w:color="auto"/>
            <w:left w:val="none" w:sz="0" w:space="0" w:color="auto"/>
            <w:bottom w:val="none" w:sz="0" w:space="0" w:color="auto"/>
            <w:right w:val="none" w:sz="0" w:space="0" w:color="auto"/>
          </w:divBdr>
        </w:div>
        <w:div w:id="1291741927">
          <w:marLeft w:val="1080"/>
          <w:marRight w:val="0"/>
          <w:marTop w:val="100"/>
          <w:marBottom w:val="0"/>
          <w:divBdr>
            <w:top w:val="none" w:sz="0" w:space="0" w:color="auto"/>
            <w:left w:val="none" w:sz="0" w:space="0" w:color="auto"/>
            <w:bottom w:val="none" w:sz="0" w:space="0" w:color="auto"/>
            <w:right w:val="none" w:sz="0" w:space="0" w:color="auto"/>
          </w:divBdr>
        </w:div>
        <w:div w:id="1835559996">
          <w:marLeft w:val="1080"/>
          <w:marRight w:val="0"/>
          <w:marTop w:val="100"/>
          <w:marBottom w:val="0"/>
          <w:divBdr>
            <w:top w:val="none" w:sz="0" w:space="0" w:color="auto"/>
            <w:left w:val="none" w:sz="0" w:space="0" w:color="auto"/>
            <w:bottom w:val="none" w:sz="0" w:space="0" w:color="auto"/>
            <w:right w:val="none" w:sz="0" w:space="0" w:color="auto"/>
          </w:divBdr>
        </w:div>
      </w:divsChild>
    </w:div>
    <w:div w:id="89394440">
      <w:bodyDiv w:val="1"/>
      <w:marLeft w:val="0"/>
      <w:marRight w:val="0"/>
      <w:marTop w:val="0"/>
      <w:marBottom w:val="0"/>
      <w:divBdr>
        <w:top w:val="none" w:sz="0" w:space="0" w:color="auto"/>
        <w:left w:val="none" w:sz="0" w:space="0" w:color="auto"/>
        <w:bottom w:val="none" w:sz="0" w:space="0" w:color="auto"/>
        <w:right w:val="none" w:sz="0" w:space="0" w:color="auto"/>
      </w:divBdr>
    </w:div>
    <w:div w:id="89551269">
      <w:bodyDiv w:val="1"/>
      <w:marLeft w:val="0"/>
      <w:marRight w:val="0"/>
      <w:marTop w:val="0"/>
      <w:marBottom w:val="0"/>
      <w:divBdr>
        <w:top w:val="none" w:sz="0" w:space="0" w:color="auto"/>
        <w:left w:val="none" w:sz="0" w:space="0" w:color="auto"/>
        <w:bottom w:val="none" w:sz="0" w:space="0" w:color="auto"/>
        <w:right w:val="none" w:sz="0" w:space="0" w:color="auto"/>
      </w:divBdr>
    </w:div>
    <w:div w:id="89854937">
      <w:bodyDiv w:val="1"/>
      <w:marLeft w:val="0"/>
      <w:marRight w:val="0"/>
      <w:marTop w:val="0"/>
      <w:marBottom w:val="0"/>
      <w:divBdr>
        <w:top w:val="none" w:sz="0" w:space="0" w:color="auto"/>
        <w:left w:val="none" w:sz="0" w:space="0" w:color="auto"/>
        <w:bottom w:val="none" w:sz="0" w:space="0" w:color="auto"/>
        <w:right w:val="none" w:sz="0" w:space="0" w:color="auto"/>
      </w:divBdr>
    </w:div>
    <w:div w:id="90124945">
      <w:bodyDiv w:val="1"/>
      <w:marLeft w:val="0"/>
      <w:marRight w:val="0"/>
      <w:marTop w:val="0"/>
      <w:marBottom w:val="0"/>
      <w:divBdr>
        <w:top w:val="none" w:sz="0" w:space="0" w:color="auto"/>
        <w:left w:val="none" w:sz="0" w:space="0" w:color="auto"/>
        <w:bottom w:val="none" w:sz="0" w:space="0" w:color="auto"/>
        <w:right w:val="none" w:sz="0" w:space="0" w:color="auto"/>
      </w:divBdr>
    </w:div>
    <w:div w:id="91240484">
      <w:bodyDiv w:val="1"/>
      <w:marLeft w:val="0"/>
      <w:marRight w:val="0"/>
      <w:marTop w:val="0"/>
      <w:marBottom w:val="0"/>
      <w:divBdr>
        <w:top w:val="none" w:sz="0" w:space="0" w:color="auto"/>
        <w:left w:val="none" w:sz="0" w:space="0" w:color="auto"/>
        <w:bottom w:val="none" w:sz="0" w:space="0" w:color="auto"/>
        <w:right w:val="none" w:sz="0" w:space="0" w:color="auto"/>
      </w:divBdr>
    </w:div>
    <w:div w:id="91901841">
      <w:bodyDiv w:val="1"/>
      <w:marLeft w:val="0"/>
      <w:marRight w:val="0"/>
      <w:marTop w:val="0"/>
      <w:marBottom w:val="0"/>
      <w:divBdr>
        <w:top w:val="none" w:sz="0" w:space="0" w:color="auto"/>
        <w:left w:val="none" w:sz="0" w:space="0" w:color="auto"/>
        <w:bottom w:val="none" w:sz="0" w:space="0" w:color="auto"/>
        <w:right w:val="none" w:sz="0" w:space="0" w:color="auto"/>
      </w:divBdr>
    </w:div>
    <w:div w:id="92751475">
      <w:bodyDiv w:val="1"/>
      <w:marLeft w:val="0"/>
      <w:marRight w:val="0"/>
      <w:marTop w:val="0"/>
      <w:marBottom w:val="0"/>
      <w:divBdr>
        <w:top w:val="none" w:sz="0" w:space="0" w:color="auto"/>
        <w:left w:val="none" w:sz="0" w:space="0" w:color="auto"/>
        <w:bottom w:val="none" w:sz="0" w:space="0" w:color="auto"/>
        <w:right w:val="none" w:sz="0" w:space="0" w:color="auto"/>
      </w:divBdr>
    </w:div>
    <w:div w:id="93675763">
      <w:bodyDiv w:val="1"/>
      <w:marLeft w:val="0"/>
      <w:marRight w:val="0"/>
      <w:marTop w:val="0"/>
      <w:marBottom w:val="0"/>
      <w:divBdr>
        <w:top w:val="none" w:sz="0" w:space="0" w:color="auto"/>
        <w:left w:val="none" w:sz="0" w:space="0" w:color="auto"/>
        <w:bottom w:val="none" w:sz="0" w:space="0" w:color="auto"/>
        <w:right w:val="none" w:sz="0" w:space="0" w:color="auto"/>
      </w:divBdr>
    </w:div>
    <w:div w:id="94718319">
      <w:bodyDiv w:val="1"/>
      <w:marLeft w:val="0"/>
      <w:marRight w:val="0"/>
      <w:marTop w:val="0"/>
      <w:marBottom w:val="0"/>
      <w:divBdr>
        <w:top w:val="none" w:sz="0" w:space="0" w:color="auto"/>
        <w:left w:val="none" w:sz="0" w:space="0" w:color="auto"/>
        <w:bottom w:val="none" w:sz="0" w:space="0" w:color="auto"/>
        <w:right w:val="none" w:sz="0" w:space="0" w:color="auto"/>
      </w:divBdr>
      <w:divsChild>
        <w:div w:id="380520147">
          <w:marLeft w:val="1166"/>
          <w:marRight w:val="0"/>
          <w:marTop w:val="115"/>
          <w:marBottom w:val="0"/>
          <w:divBdr>
            <w:top w:val="none" w:sz="0" w:space="0" w:color="auto"/>
            <w:left w:val="none" w:sz="0" w:space="0" w:color="auto"/>
            <w:bottom w:val="none" w:sz="0" w:space="0" w:color="auto"/>
            <w:right w:val="none" w:sz="0" w:space="0" w:color="auto"/>
          </w:divBdr>
        </w:div>
        <w:div w:id="471949301">
          <w:marLeft w:val="1166"/>
          <w:marRight w:val="0"/>
          <w:marTop w:val="115"/>
          <w:marBottom w:val="0"/>
          <w:divBdr>
            <w:top w:val="none" w:sz="0" w:space="0" w:color="auto"/>
            <w:left w:val="none" w:sz="0" w:space="0" w:color="auto"/>
            <w:bottom w:val="none" w:sz="0" w:space="0" w:color="auto"/>
            <w:right w:val="none" w:sz="0" w:space="0" w:color="auto"/>
          </w:divBdr>
        </w:div>
        <w:div w:id="479426528">
          <w:marLeft w:val="1800"/>
          <w:marRight w:val="0"/>
          <w:marTop w:val="96"/>
          <w:marBottom w:val="0"/>
          <w:divBdr>
            <w:top w:val="none" w:sz="0" w:space="0" w:color="auto"/>
            <w:left w:val="none" w:sz="0" w:space="0" w:color="auto"/>
            <w:bottom w:val="none" w:sz="0" w:space="0" w:color="auto"/>
            <w:right w:val="none" w:sz="0" w:space="0" w:color="auto"/>
          </w:divBdr>
        </w:div>
        <w:div w:id="1049182103">
          <w:marLeft w:val="1800"/>
          <w:marRight w:val="0"/>
          <w:marTop w:val="96"/>
          <w:marBottom w:val="0"/>
          <w:divBdr>
            <w:top w:val="none" w:sz="0" w:space="0" w:color="auto"/>
            <w:left w:val="none" w:sz="0" w:space="0" w:color="auto"/>
            <w:bottom w:val="none" w:sz="0" w:space="0" w:color="auto"/>
            <w:right w:val="none" w:sz="0" w:space="0" w:color="auto"/>
          </w:divBdr>
        </w:div>
        <w:div w:id="1079601678">
          <w:marLeft w:val="1166"/>
          <w:marRight w:val="0"/>
          <w:marTop w:val="115"/>
          <w:marBottom w:val="0"/>
          <w:divBdr>
            <w:top w:val="none" w:sz="0" w:space="0" w:color="auto"/>
            <w:left w:val="none" w:sz="0" w:space="0" w:color="auto"/>
            <w:bottom w:val="none" w:sz="0" w:space="0" w:color="auto"/>
            <w:right w:val="none" w:sz="0" w:space="0" w:color="auto"/>
          </w:divBdr>
        </w:div>
        <w:div w:id="1132478437">
          <w:marLeft w:val="1166"/>
          <w:marRight w:val="0"/>
          <w:marTop w:val="115"/>
          <w:marBottom w:val="0"/>
          <w:divBdr>
            <w:top w:val="none" w:sz="0" w:space="0" w:color="auto"/>
            <w:left w:val="none" w:sz="0" w:space="0" w:color="auto"/>
            <w:bottom w:val="none" w:sz="0" w:space="0" w:color="auto"/>
            <w:right w:val="none" w:sz="0" w:space="0" w:color="auto"/>
          </w:divBdr>
        </w:div>
        <w:div w:id="2052805413">
          <w:marLeft w:val="1166"/>
          <w:marRight w:val="0"/>
          <w:marTop w:val="115"/>
          <w:marBottom w:val="0"/>
          <w:divBdr>
            <w:top w:val="none" w:sz="0" w:space="0" w:color="auto"/>
            <w:left w:val="none" w:sz="0" w:space="0" w:color="auto"/>
            <w:bottom w:val="none" w:sz="0" w:space="0" w:color="auto"/>
            <w:right w:val="none" w:sz="0" w:space="0" w:color="auto"/>
          </w:divBdr>
        </w:div>
      </w:divsChild>
    </w:div>
    <w:div w:id="95904302">
      <w:bodyDiv w:val="1"/>
      <w:marLeft w:val="0"/>
      <w:marRight w:val="0"/>
      <w:marTop w:val="0"/>
      <w:marBottom w:val="0"/>
      <w:divBdr>
        <w:top w:val="none" w:sz="0" w:space="0" w:color="auto"/>
        <w:left w:val="none" w:sz="0" w:space="0" w:color="auto"/>
        <w:bottom w:val="none" w:sz="0" w:space="0" w:color="auto"/>
        <w:right w:val="none" w:sz="0" w:space="0" w:color="auto"/>
      </w:divBdr>
      <w:divsChild>
        <w:div w:id="56898080">
          <w:marLeft w:val="547"/>
          <w:marRight w:val="0"/>
          <w:marTop w:val="125"/>
          <w:marBottom w:val="0"/>
          <w:divBdr>
            <w:top w:val="none" w:sz="0" w:space="0" w:color="auto"/>
            <w:left w:val="none" w:sz="0" w:space="0" w:color="auto"/>
            <w:bottom w:val="none" w:sz="0" w:space="0" w:color="auto"/>
            <w:right w:val="none" w:sz="0" w:space="0" w:color="auto"/>
          </w:divBdr>
        </w:div>
        <w:div w:id="381514568">
          <w:marLeft w:val="1166"/>
          <w:marRight w:val="0"/>
          <w:marTop w:val="106"/>
          <w:marBottom w:val="0"/>
          <w:divBdr>
            <w:top w:val="none" w:sz="0" w:space="0" w:color="auto"/>
            <w:left w:val="none" w:sz="0" w:space="0" w:color="auto"/>
            <w:bottom w:val="none" w:sz="0" w:space="0" w:color="auto"/>
            <w:right w:val="none" w:sz="0" w:space="0" w:color="auto"/>
          </w:divBdr>
        </w:div>
        <w:div w:id="886259849">
          <w:marLeft w:val="1166"/>
          <w:marRight w:val="0"/>
          <w:marTop w:val="106"/>
          <w:marBottom w:val="0"/>
          <w:divBdr>
            <w:top w:val="none" w:sz="0" w:space="0" w:color="auto"/>
            <w:left w:val="none" w:sz="0" w:space="0" w:color="auto"/>
            <w:bottom w:val="none" w:sz="0" w:space="0" w:color="auto"/>
            <w:right w:val="none" w:sz="0" w:space="0" w:color="auto"/>
          </w:divBdr>
        </w:div>
        <w:div w:id="1102652364">
          <w:marLeft w:val="547"/>
          <w:marRight w:val="0"/>
          <w:marTop w:val="125"/>
          <w:marBottom w:val="0"/>
          <w:divBdr>
            <w:top w:val="none" w:sz="0" w:space="0" w:color="auto"/>
            <w:left w:val="none" w:sz="0" w:space="0" w:color="auto"/>
            <w:bottom w:val="none" w:sz="0" w:space="0" w:color="auto"/>
            <w:right w:val="none" w:sz="0" w:space="0" w:color="auto"/>
          </w:divBdr>
        </w:div>
        <w:div w:id="1192062674">
          <w:marLeft w:val="1166"/>
          <w:marRight w:val="0"/>
          <w:marTop w:val="106"/>
          <w:marBottom w:val="0"/>
          <w:divBdr>
            <w:top w:val="none" w:sz="0" w:space="0" w:color="auto"/>
            <w:left w:val="none" w:sz="0" w:space="0" w:color="auto"/>
            <w:bottom w:val="none" w:sz="0" w:space="0" w:color="auto"/>
            <w:right w:val="none" w:sz="0" w:space="0" w:color="auto"/>
          </w:divBdr>
        </w:div>
        <w:div w:id="1330449101">
          <w:marLeft w:val="547"/>
          <w:marRight w:val="0"/>
          <w:marTop w:val="125"/>
          <w:marBottom w:val="0"/>
          <w:divBdr>
            <w:top w:val="none" w:sz="0" w:space="0" w:color="auto"/>
            <w:left w:val="none" w:sz="0" w:space="0" w:color="auto"/>
            <w:bottom w:val="none" w:sz="0" w:space="0" w:color="auto"/>
            <w:right w:val="none" w:sz="0" w:space="0" w:color="auto"/>
          </w:divBdr>
        </w:div>
      </w:divsChild>
    </w:div>
    <w:div w:id="96293021">
      <w:bodyDiv w:val="1"/>
      <w:marLeft w:val="0"/>
      <w:marRight w:val="0"/>
      <w:marTop w:val="0"/>
      <w:marBottom w:val="0"/>
      <w:divBdr>
        <w:top w:val="none" w:sz="0" w:space="0" w:color="auto"/>
        <w:left w:val="none" w:sz="0" w:space="0" w:color="auto"/>
        <w:bottom w:val="none" w:sz="0" w:space="0" w:color="auto"/>
        <w:right w:val="none" w:sz="0" w:space="0" w:color="auto"/>
      </w:divBdr>
    </w:div>
    <w:div w:id="97024895">
      <w:bodyDiv w:val="1"/>
      <w:marLeft w:val="0"/>
      <w:marRight w:val="0"/>
      <w:marTop w:val="0"/>
      <w:marBottom w:val="0"/>
      <w:divBdr>
        <w:top w:val="none" w:sz="0" w:space="0" w:color="auto"/>
        <w:left w:val="none" w:sz="0" w:space="0" w:color="auto"/>
        <w:bottom w:val="none" w:sz="0" w:space="0" w:color="auto"/>
        <w:right w:val="none" w:sz="0" w:space="0" w:color="auto"/>
      </w:divBdr>
    </w:div>
    <w:div w:id="97025469">
      <w:bodyDiv w:val="1"/>
      <w:marLeft w:val="0"/>
      <w:marRight w:val="0"/>
      <w:marTop w:val="0"/>
      <w:marBottom w:val="0"/>
      <w:divBdr>
        <w:top w:val="none" w:sz="0" w:space="0" w:color="auto"/>
        <w:left w:val="none" w:sz="0" w:space="0" w:color="auto"/>
        <w:bottom w:val="none" w:sz="0" w:space="0" w:color="auto"/>
        <w:right w:val="none" w:sz="0" w:space="0" w:color="auto"/>
      </w:divBdr>
    </w:div>
    <w:div w:id="97877239">
      <w:bodyDiv w:val="1"/>
      <w:marLeft w:val="0"/>
      <w:marRight w:val="0"/>
      <w:marTop w:val="0"/>
      <w:marBottom w:val="0"/>
      <w:divBdr>
        <w:top w:val="none" w:sz="0" w:space="0" w:color="auto"/>
        <w:left w:val="none" w:sz="0" w:space="0" w:color="auto"/>
        <w:bottom w:val="none" w:sz="0" w:space="0" w:color="auto"/>
        <w:right w:val="none" w:sz="0" w:space="0" w:color="auto"/>
      </w:divBdr>
    </w:div>
    <w:div w:id="98069393">
      <w:bodyDiv w:val="1"/>
      <w:marLeft w:val="0"/>
      <w:marRight w:val="0"/>
      <w:marTop w:val="0"/>
      <w:marBottom w:val="0"/>
      <w:divBdr>
        <w:top w:val="none" w:sz="0" w:space="0" w:color="auto"/>
        <w:left w:val="none" w:sz="0" w:space="0" w:color="auto"/>
        <w:bottom w:val="none" w:sz="0" w:space="0" w:color="auto"/>
        <w:right w:val="none" w:sz="0" w:space="0" w:color="auto"/>
      </w:divBdr>
    </w:div>
    <w:div w:id="98912866">
      <w:bodyDiv w:val="1"/>
      <w:marLeft w:val="0"/>
      <w:marRight w:val="0"/>
      <w:marTop w:val="0"/>
      <w:marBottom w:val="0"/>
      <w:divBdr>
        <w:top w:val="none" w:sz="0" w:space="0" w:color="auto"/>
        <w:left w:val="none" w:sz="0" w:space="0" w:color="auto"/>
        <w:bottom w:val="none" w:sz="0" w:space="0" w:color="auto"/>
        <w:right w:val="none" w:sz="0" w:space="0" w:color="auto"/>
      </w:divBdr>
    </w:div>
    <w:div w:id="100270587">
      <w:bodyDiv w:val="1"/>
      <w:marLeft w:val="0"/>
      <w:marRight w:val="0"/>
      <w:marTop w:val="0"/>
      <w:marBottom w:val="0"/>
      <w:divBdr>
        <w:top w:val="none" w:sz="0" w:space="0" w:color="auto"/>
        <w:left w:val="none" w:sz="0" w:space="0" w:color="auto"/>
        <w:bottom w:val="none" w:sz="0" w:space="0" w:color="auto"/>
        <w:right w:val="none" w:sz="0" w:space="0" w:color="auto"/>
      </w:divBdr>
    </w:div>
    <w:div w:id="100342201">
      <w:bodyDiv w:val="1"/>
      <w:marLeft w:val="0"/>
      <w:marRight w:val="0"/>
      <w:marTop w:val="0"/>
      <w:marBottom w:val="0"/>
      <w:divBdr>
        <w:top w:val="none" w:sz="0" w:space="0" w:color="auto"/>
        <w:left w:val="none" w:sz="0" w:space="0" w:color="auto"/>
        <w:bottom w:val="none" w:sz="0" w:space="0" w:color="auto"/>
        <w:right w:val="none" w:sz="0" w:space="0" w:color="auto"/>
      </w:divBdr>
    </w:div>
    <w:div w:id="100489907">
      <w:bodyDiv w:val="1"/>
      <w:marLeft w:val="0"/>
      <w:marRight w:val="0"/>
      <w:marTop w:val="0"/>
      <w:marBottom w:val="0"/>
      <w:divBdr>
        <w:top w:val="none" w:sz="0" w:space="0" w:color="auto"/>
        <w:left w:val="none" w:sz="0" w:space="0" w:color="auto"/>
        <w:bottom w:val="none" w:sz="0" w:space="0" w:color="auto"/>
        <w:right w:val="none" w:sz="0" w:space="0" w:color="auto"/>
      </w:divBdr>
      <w:divsChild>
        <w:div w:id="15423192">
          <w:marLeft w:val="1080"/>
          <w:marRight w:val="0"/>
          <w:marTop w:val="100"/>
          <w:marBottom w:val="0"/>
          <w:divBdr>
            <w:top w:val="none" w:sz="0" w:space="0" w:color="auto"/>
            <w:left w:val="none" w:sz="0" w:space="0" w:color="auto"/>
            <w:bottom w:val="none" w:sz="0" w:space="0" w:color="auto"/>
            <w:right w:val="none" w:sz="0" w:space="0" w:color="auto"/>
          </w:divBdr>
        </w:div>
        <w:div w:id="81996052">
          <w:marLeft w:val="360"/>
          <w:marRight w:val="0"/>
          <w:marTop w:val="200"/>
          <w:marBottom w:val="0"/>
          <w:divBdr>
            <w:top w:val="none" w:sz="0" w:space="0" w:color="auto"/>
            <w:left w:val="none" w:sz="0" w:space="0" w:color="auto"/>
            <w:bottom w:val="none" w:sz="0" w:space="0" w:color="auto"/>
            <w:right w:val="none" w:sz="0" w:space="0" w:color="auto"/>
          </w:divBdr>
        </w:div>
        <w:div w:id="1001079867">
          <w:marLeft w:val="360"/>
          <w:marRight w:val="0"/>
          <w:marTop w:val="200"/>
          <w:marBottom w:val="0"/>
          <w:divBdr>
            <w:top w:val="none" w:sz="0" w:space="0" w:color="auto"/>
            <w:left w:val="none" w:sz="0" w:space="0" w:color="auto"/>
            <w:bottom w:val="none" w:sz="0" w:space="0" w:color="auto"/>
            <w:right w:val="none" w:sz="0" w:space="0" w:color="auto"/>
          </w:divBdr>
        </w:div>
        <w:div w:id="1138960247">
          <w:marLeft w:val="360"/>
          <w:marRight w:val="0"/>
          <w:marTop w:val="200"/>
          <w:marBottom w:val="0"/>
          <w:divBdr>
            <w:top w:val="none" w:sz="0" w:space="0" w:color="auto"/>
            <w:left w:val="none" w:sz="0" w:space="0" w:color="auto"/>
            <w:bottom w:val="none" w:sz="0" w:space="0" w:color="auto"/>
            <w:right w:val="none" w:sz="0" w:space="0" w:color="auto"/>
          </w:divBdr>
        </w:div>
      </w:divsChild>
    </w:div>
    <w:div w:id="101074558">
      <w:bodyDiv w:val="1"/>
      <w:marLeft w:val="0"/>
      <w:marRight w:val="0"/>
      <w:marTop w:val="0"/>
      <w:marBottom w:val="0"/>
      <w:divBdr>
        <w:top w:val="none" w:sz="0" w:space="0" w:color="auto"/>
        <w:left w:val="none" w:sz="0" w:space="0" w:color="auto"/>
        <w:bottom w:val="none" w:sz="0" w:space="0" w:color="auto"/>
        <w:right w:val="none" w:sz="0" w:space="0" w:color="auto"/>
      </w:divBdr>
      <w:divsChild>
        <w:div w:id="708183775">
          <w:marLeft w:val="1166"/>
          <w:marRight w:val="0"/>
          <w:marTop w:val="115"/>
          <w:marBottom w:val="0"/>
          <w:divBdr>
            <w:top w:val="none" w:sz="0" w:space="0" w:color="auto"/>
            <w:left w:val="none" w:sz="0" w:space="0" w:color="auto"/>
            <w:bottom w:val="none" w:sz="0" w:space="0" w:color="auto"/>
            <w:right w:val="none" w:sz="0" w:space="0" w:color="auto"/>
          </w:divBdr>
        </w:div>
        <w:div w:id="1354576703">
          <w:marLeft w:val="547"/>
          <w:marRight w:val="0"/>
          <w:marTop w:val="134"/>
          <w:marBottom w:val="0"/>
          <w:divBdr>
            <w:top w:val="none" w:sz="0" w:space="0" w:color="auto"/>
            <w:left w:val="none" w:sz="0" w:space="0" w:color="auto"/>
            <w:bottom w:val="none" w:sz="0" w:space="0" w:color="auto"/>
            <w:right w:val="none" w:sz="0" w:space="0" w:color="auto"/>
          </w:divBdr>
        </w:div>
        <w:div w:id="1653829253">
          <w:marLeft w:val="1166"/>
          <w:marRight w:val="0"/>
          <w:marTop w:val="115"/>
          <w:marBottom w:val="0"/>
          <w:divBdr>
            <w:top w:val="none" w:sz="0" w:space="0" w:color="auto"/>
            <w:left w:val="none" w:sz="0" w:space="0" w:color="auto"/>
            <w:bottom w:val="none" w:sz="0" w:space="0" w:color="auto"/>
            <w:right w:val="none" w:sz="0" w:space="0" w:color="auto"/>
          </w:divBdr>
        </w:div>
        <w:div w:id="1795784300">
          <w:marLeft w:val="547"/>
          <w:marRight w:val="0"/>
          <w:marTop w:val="134"/>
          <w:marBottom w:val="0"/>
          <w:divBdr>
            <w:top w:val="none" w:sz="0" w:space="0" w:color="auto"/>
            <w:left w:val="none" w:sz="0" w:space="0" w:color="auto"/>
            <w:bottom w:val="none" w:sz="0" w:space="0" w:color="auto"/>
            <w:right w:val="none" w:sz="0" w:space="0" w:color="auto"/>
          </w:divBdr>
        </w:div>
      </w:divsChild>
    </w:div>
    <w:div w:id="101149385">
      <w:bodyDiv w:val="1"/>
      <w:marLeft w:val="0"/>
      <w:marRight w:val="0"/>
      <w:marTop w:val="0"/>
      <w:marBottom w:val="0"/>
      <w:divBdr>
        <w:top w:val="none" w:sz="0" w:space="0" w:color="auto"/>
        <w:left w:val="none" w:sz="0" w:space="0" w:color="auto"/>
        <w:bottom w:val="none" w:sz="0" w:space="0" w:color="auto"/>
        <w:right w:val="none" w:sz="0" w:space="0" w:color="auto"/>
      </w:divBdr>
    </w:div>
    <w:div w:id="101460102">
      <w:bodyDiv w:val="1"/>
      <w:marLeft w:val="0"/>
      <w:marRight w:val="0"/>
      <w:marTop w:val="0"/>
      <w:marBottom w:val="0"/>
      <w:divBdr>
        <w:top w:val="none" w:sz="0" w:space="0" w:color="auto"/>
        <w:left w:val="none" w:sz="0" w:space="0" w:color="auto"/>
        <w:bottom w:val="none" w:sz="0" w:space="0" w:color="auto"/>
        <w:right w:val="none" w:sz="0" w:space="0" w:color="auto"/>
      </w:divBdr>
    </w:div>
    <w:div w:id="101803354">
      <w:bodyDiv w:val="1"/>
      <w:marLeft w:val="0"/>
      <w:marRight w:val="0"/>
      <w:marTop w:val="0"/>
      <w:marBottom w:val="0"/>
      <w:divBdr>
        <w:top w:val="none" w:sz="0" w:space="0" w:color="auto"/>
        <w:left w:val="none" w:sz="0" w:space="0" w:color="auto"/>
        <w:bottom w:val="none" w:sz="0" w:space="0" w:color="auto"/>
        <w:right w:val="none" w:sz="0" w:space="0" w:color="auto"/>
      </w:divBdr>
      <w:divsChild>
        <w:div w:id="1156260409">
          <w:marLeft w:val="547"/>
          <w:marRight w:val="0"/>
          <w:marTop w:val="134"/>
          <w:marBottom w:val="120"/>
          <w:divBdr>
            <w:top w:val="none" w:sz="0" w:space="0" w:color="auto"/>
            <w:left w:val="none" w:sz="0" w:space="0" w:color="auto"/>
            <w:bottom w:val="none" w:sz="0" w:space="0" w:color="auto"/>
            <w:right w:val="none" w:sz="0" w:space="0" w:color="auto"/>
          </w:divBdr>
        </w:div>
      </w:divsChild>
    </w:div>
    <w:div w:id="104279279">
      <w:bodyDiv w:val="1"/>
      <w:marLeft w:val="0"/>
      <w:marRight w:val="0"/>
      <w:marTop w:val="0"/>
      <w:marBottom w:val="0"/>
      <w:divBdr>
        <w:top w:val="none" w:sz="0" w:space="0" w:color="auto"/>
        <w:left w:val="none" w:sz="0" w:space="0" w:color="auto"/>
        <w:bottom w:val="none" w:sz="0" w:space="0" w:color="auto"/>
        <w:right w:val="none" w:sz="0" w:space="0" w:color="auto"/>
      </w:divBdr>
    </w:div>
    <w:div w:id="104616357">
      <w:bodyDiv w:val="1"/>
      <w:marLeft w:val="0"/>
      <w:marRight w:val="0"/>
      <w:marTop w:val="0"/>
      <w:marBottom w:val="0"/>
      <w:divBdr>
        <w:top w:val="none" w:sz="0" w:space="0" w:color="auto"/>
        <w:left w:val="none" w:sz="0" w:space="0" w:color="auto"/>
        <w:bottom w:val="none" w:sz="0" w:space="0" w:color="auto"/>
        <w:right w:val="none" w:sz="0" w:space="0" w:color="auto"/>
      </w:divBdr>
    </w:div>
    <w:div w:id="104623837">
      <w:bodyDiv w:val="1"/>
      <w:marLeft w:val="0"/>
      <w:marRight w:val="0"/>
      <w:marTop w:val="0"/>
      <w:marBottom w:val="0"/>
      <w:divBdr>
        <w:top w:val="none" w:sz="0" w:space="0" w:color="auto"/>
        <w:left w:val="none" w:sz="0" w:space="0" w:color="auto"/>
        <w:bottom w:val="none" w:sz="0" w:space="0" w:color="auto"/>
        <w:right w:val="none" w:sz="0" w:space="0" w:color="auto"/>
      </w:divBdr>
    </w:div>
    <w:div w:id="105003900">
      <w:bodyDiv w:val="1"/>
      <w:marLeft w:val="0"/>
      <w:marRight w:val="0"/>
      <w:marTop w:val="0"/>
      <w:marBottom w:val="0"/>
      <w:divBdr>
        <w:top w:val="none" w:sz="0" w:space="0" w:color="auto"/>
        <w:left w:val="none" w:sz="0" w:space="0" w:color="auto"/>
        <w:bottom w:val="none" w:sz="0" w:space="0" w:color="auto"/>
        <w:right w:val="none" w:sz="0" w:space="0" w:color="auto"/>
      </w:divBdr>
    </w:div>
    <w:div w:id="105657279">
      <w:bodyDiv w:val="1"/>
      <w:marLeft w:val="0"/>
      <w:marRight w:val="0"/>
      <w:marTop w:val="0"/>
      <w:marBottom w:val="0"/>
      <w:divBdr>
        <w:top w:val="none" w:sz="0" w:space="0" w:color="auto"/>
        <w:left w:val="none" w:sz="0" w:space="0" w:color="auto"/>
        <w:bottom w:val="none" w:sz="0" w:space="0" w:color="auto"/>
        <w:right w:val="none" w:sz="0" w:space="0" w:color="auto"/>
      </w:divBdr>
      <w:divsChild>
        <w:div w:id="248468820">
          <w:marLeft w:val="547"/>
          <w:marRight w:val="0"/>
          <w:marTop w:val="106"/>
          <w:marBottom w:val="0"/>
          <w:divBdr>
            <w:top w:val="none" w:sz="0" w:space="0" w:color="auto"/>
            <w:left w:val="none" w:sz="0" w:space="0" w:color="auto"/>
            <w:bottom w:val="none" w:sz="0" w:space="0" w:color="auto"/>
            <w:right w:val="none" w:sz="0" w:space="0" w:color="auto"/>
          </w:divBdr>
        </w:div>
        <w:div w:id="867570366">
          <w:marLeft w:val="1166"/>
          <w:marRight w:val="0"/>
          <w:marTop w:val="96"/>
          <w:marBottom w:val="0"/>
          <w:divBdr>
            <w:top w:val="none" w:sz="0" w:space="0" w:color="auto"/>
            <w:left w:val="none" w:sz="0" w:space="0" w:color="auto"/>
            <w:bottom w:val="none" w:sz="0" w:space="0" w:color="auto"/>
            <w:right w:val="none" w:sz="0" w:space="0" w:color="auto"/>
          </w:divBdr>
        </w:div>
        <w:div w:id="953244199">
          <w:marLeft w:val="1166"/>
          <w:marRight w:val="0"/>
          <w:marTop w:val="96"/>
          <w:marBottom w:val="0"/>
          <w:divBdr>
            <w:top w:val="none" w:sz="0" w:space="0" w:color="auto"/>
            <w:left w:val="none" w:sz="0" w:space="0" w:color="auto"/>
            <w:bottom w:val="none" w:sz="0" w:space="0" w:color="auto"/>
            <w:right w:val="none" w:sz="0" w:space="0" w:color="auto"/>
          </w:divBdr>
        </w:div>
        <w:div w:id="1069423088">
          <w:marLeft w:val="547"/>
          <w:marRight w:val="0"/>
          <w:marTop w:val="106"/>
          <w:marBottom w:val="0"/>
          <w:divBdr>
            <w:top w:val="none" w:sz="0" w:space="0" w:color="auto"/>
            <w:left w:val="none" w:sz="0" w:space="0" w:color="auto"/>
            <w:bottom w:val="none" w:sz="0" w:space="0" w:color="auto"/>
            <w:right w:val="none" w:sz="0" w:space="0" w:color="auto"/>
          </w:divBdr>
        </w:div>
        <w:div w:id="1501457657">
          <w:marLeft w:val="1166"/>
          <w:marRight w:val="0"/>
          <w:marTop w:val="96"/>
          <w:marBottom w:val="0"/>
          <w:divBdr>
            <w:top w:val="none" w:sz="0" w:space="0" w:color="auto"/>
            <w:left w:val="none" w:sz="0" w:space="0" w:color="auto"/>
            <w:bottom w:val="none" w:sz="0" w:space="0" w:color="auto"/>
            <w:right w:val="none" w:sz="0" w:space="0" w:color="auto"/>
          </w:divBdr>
        </w:div>
        <w:div w:id="1763335274">
          <w:marLeft w:val="547"/>
          <w:marRight w:val="0"/>
          <w:marTop w:val="106"/>
          <w:marBottom w:val="0"/>
          <w:divBdr>
            <w:top w:val="none" w:sz="0" w:space="0" w:color="auto"/>
            <w:left w:val="none" w:sz="0" w:space="0" w:color="auto"/>
            <w:bottom w:val="none" w:sz="0" w:space="0" w:color="auto"/>
            <w:right w:val="none" w:sz="0" w:space="0" w:color="auto"/>
          </w:divBdr>
        </w:div>
      </w:divsChild>
    </w:div>
    <w:div w:id="105781390">
      <w:bodyDiv w:val="1"/>
      <w:marLeft w:val="0"/>
      <w:marRight w:val="0"/>
      <w:marTop w:val="0"/>
      <w:marBottom w:val="0"/>
      <w:divBdr>
        <w:top w:val="none" w:sz="0" w:space="0" w:color="auto"/>
        <w:left w:val="none" w:sz="0" w:space="0" w:color="auto"/>
        <w:bottom w:val="none" w:sz="0" w:space="0" w:color="auto"/>
        <w:right w:val="none" w:sz="0" w:space="0" w:color="auto"/>
      </w:divBdr>
    </w:div>
    <w:div w:id="105854350">
      <w:bodyDiv w:val="1"/>
      <w:marLeft w:val="0"/>
      <w:marRight w:val="0"/>
      <w:marTop w:val="0"/>
      <w:marBottom w:val="0"/>
      <w:divBdr>
        <w:top w:val="none" w:sz="0" w:space="0" w:color="auto"/>
        <w:left w:val="none" w:sz="0" w:space="0" w:color="auto"/>
        <w:bottom w:val="none" w:sz="0" w:space="0" w:color="auto"/>
        <w:right w:val="none" w:sz="0" w:space="0" w:color="auto"/>
      </w:divBdr>
    </w:div>
    <w:div w:id="106045922">
      <w:bodyDiv w:val="1"/>
      <w:marLeft w:val="0"/>
      <w:marRight w:val="0"/>
      <w:marTop w:val="0"/>
      <w:marBottom w:val="0"/>
      <w:divBdr>
        <w:top w:val="none" w:sz="0" w:space="0" w:color="auto"/>
        <w:left w:val="none" w:sz="0" w:space="0" w:color="auto"/>
        <w:bottom w:val="none" w:sz="0" w:space="0" w:color="auto"/>
        <w:right w:val="none" w:sz="0" w:space="0" w:color="auto"/>
      </w:divBdr>
    </w:div>
    <w:div w:id="106580053">
      <w:bodyDiv w:val="1"/>
      <w:marLeft w:val="0"/>
      <w:marRight w:val="0"/>
      <w:marTop w:val="0"/>
      <w:marBottom w:val="0"/>
      <w:divBdr>
        <w:top w:val="none" w:sz="0" w:space="0" w:color="auto"/>
        <w:left w:val="none" w:sz="0" w:space="0" w:color="auto"/>
        <w:bottom w:val="none" w:sz="0" w:space="0" w:color="auto"/>
        <w:right w:val="none" w:sz="0" w:space="0" w:color="auto"/>
      </w:divBdr>
    </w:div>
    <w:div w:id="108202400">
      <w:bodyDiv w:val="1"/>
      <w:marLeft w:val="0"/>
      <w:marRight w:val="0"/>
      <w:marTop w:val="0"/>
      <w:marBottom w:val="0"/>
      <w:divBdr>
        <w:top w:val="none" w:sz="0" w:space="0" w:color="auto"/>
        <w:left w:val="none" w:sz="0" w:space="0" w:color="auto"/>
        <w:bottom w:val="none" w:sz="0" w:space="0" w:color="auto"/>
        <w:right w:val="none" w:sz="0" w:space="0" w:color="auto"/>
      </w:divBdr>
    </w:div>
    <w:div w:id="108207174">
      <w:bodyDiv w:val="1"/>
      <w:marLeft w:val="0"/>
      <w:marRight w:val="0"/>
      <w:marTop w:val="0"/>
      <w:marBottom w:val="0"/>
      <w:divBdr>
        <w:top w:val="none" w:sz="0" w:space="0" w:color="auto"/>
        <w:left w:val="none" w:sz="0" w:space="0" w:color="auto"/>
        <w:bottom w:val="none" w:sz="0" w:space="0" w:color="auto"/>
        <w:right w:val="none" w:sz="0" w:space="0" w:color="auto"/>
      </w:divBdr>
    </w:div>
    <w:div w:id="108359038">
      <w:bodyDiv w:val="1"/>
      <w:marLeft w:val="0"/>
      <w:marRight w:val="0"/>
      <w:marTop w:val="0"/>
      <w:marBottom w:val="0"/>
      <w:divBdr>
        <w:top w:val="none" w:sz="0" w:space="0" w:color="auto"/>
        <w:left w:val="none" w:sz="0" w:space="0" w:color="auto"/>
        <w:bottom w:val="none" w:sz="0" w:space="0" w:color="auto"/>
        <w:right w:val="none" w:sz="0" w:space="0" w:color="auto"/>
      </w:divBdr>
    </w:div>
    <w:div w:id="108399239">
      <w:bodyDiv w:val="1"/>
      <w:marLeft w:val="0"/>
      <w:marRight w:val="0"/>
      <w:marTop w:val="0"/>
      <w:marBottom w:val="0"/>
      <w:divBdr>
        <w:top w:val="none" w:sz="0" w:space="0" w:color="auto"/>
        <w:left w:val="none" w:sz="0" w:space="0" w:color="auto"/>
        <w:bottom w:val="none" w:sz="0" w:space="0" w:color="auto"/>
        <w:right w:val="none" w:sz="0" w:space="0" w:color="auto"/>
      </w:divBdr>
    </w:div>
    <w:div w:id="108816091">
      <w:bodyDiv w:val="1"/>
      <w:marLeft w:val="0"/>
      <w:marRight w:val="0"/>
      <w:marTop w:val="0"/>
      <w:marBottom w:val="0"/>
      <w:divBdr>
        <w:top w:val="none" w:sz="0" w:space="0" w:color="auto"/>
        <w:left w:val="none" w:sz="0" w:space="0" w:color="auto"/>
        <w:bottom w:val="none" w:sz="0" w:space="0" w:color="auto"/>
        <w:right w:val="none" w:sz="0" w:space="0" w:color="auto"/>
      </w:divBdr>
    </w:div>
    <w:div w:id="110365054">
      <w:bodyDiv w:val="1"/>
      <w:marLeft w:val="0"/>
      <w:marRight w:val="0"/>
      <w:marTop w:val="0"/>
      <w:marBottom w:val="0"/>
      <w:divBdr>
        <w:top w:val="none" w:sz="0" w:space="0" w:color="auto"/>
        <w:left w:val="none" w:sz="0" w:space="0" w:color="auto"/>
        <w:bottom w:val="none" w:sz="0" w:space="0" w:color="auto"/>
        <w:right w:val="none" w:sz="0" w:space="0" w:color="auto"/>
      </w:divBdr>
    </w:div>
    <w:div w:id="110443544">
      <w:bodyDiv w:val="1"/>
      <w:marLeft w:val="0"/>
      <w:marRight w:val="0"/>
      <w:marTop w:val="0"/>
      <w:marBottom w:val="0"/>
      <w:divBdr>
        <w:top w:val="none" w:sz="0" w:space="0" w:color="auto"/>
        <w:left w:val="none" w:sz="0" w:space="0" w:color="auto"/>
        <w:bottom w:val="none" w:sz="0" w:space="0" w:color="auto"/>
        <w:right w:val="none" w:sz="0" w:space="0" w:color="auto"/>
      </w:divBdr>
    </w:div>
    <w:div w:id="111436056">
      <w:bodyDiv w:val="1"/>
      <w:marLeft w:val="0"/>
      <w:marRight w:val="0"/>
      <w:marTop w:val="0"/>
      <w:marBottom w:val="0"/>
      <w:divBdr>
        <w:top w:val="none" w:sz="0" w:space="0" w:color="auto"/>
        <w:left w:val="none" w:sz="0" w:space="0" w:color="auto"/>
        <w:bottom w:val="none" w:sz="0" w:space="0" w:color="auto"/>
        <w:right w:val="none" w:sz="0" w:space="0" w:color="auto"/>
      </w:divBdr>
    </w:div>
    <w:div w:id="112213276">
      <w:bodyDiv w:val="1"/>
      <w:marLeft w:val="0"/>
      <w:marRight w:val="0"/>
      <w:marTop w:val="0"/>
      <w:marBottom w:val="0"/>
      <w:divBdr>
        <w:top w:val="none" w:sz="0" w:space="0" w:color="auto"/>
        <w:left w:val="none" w:sz="0" w:space="0" w:color="auto"/>
        <w:bottom w:val="none" w:sz="0" w:space="0" w:color="auto"/>
        <w:right w:val="none" w:sz="0" w:space="0" w:color="auto"/>
      </w:divBdr>
    </w:div>
    <w:div w:id="112288893">
      <w:bodyDiv w:val="1"/>
      <w:marLeft w:val="0"/>
      <w:marRight w:val="0"/>
      <w:marTop w:val="0"/>
      <w:marBottom w:val="0"/>
      <w:divBdr>
        <w:top w:val="none" w:sz="0" w:space="0" w:color="auto"/>
        <w:left w:val="none" w:sz="0" w:space="0" w:color="auto"/>
        <w:bottom w:val="none" w:sz="0" w:space="0" w:color="auto"/>
        <w:right w:val="none" w:sz="0" w:space="0" w:color="auto"/>
      </w:divBdr>
    </w:div>
    <w:div w:id="112409453">
      <w:bodyDiv w:val="1"/>
      <w:marLeft w:val="0"/>
      <w:marRight w:val="0"/>
      <w:marTop w:val="0"/>
      <w:marBottom w:val="0"/>
      <w:divBdr>
        <w:top w:val="none" w:sz="0" w:space="0" w:color="auto"/>
        <w:left w:val="none" w:sz="0" w:space="0" w:color="auto"/>
        <w:bottom w:val="none" w:sz="0" w:space="0" w:color="auto"/>
        <w:right w:val="none" w:sz="0" w:space="0" w:color="auto"/>
      </w:divBdr>
    </w:div>
    <w:div w:id="112598924">
      <w:bodyDiv w:val="1"/>
      <w:marLeft w:val="0"/>
      <w:marRight w:val="0"/>
      <w:marTop w:val="0"/>
      <w:marBottom w:val="0"/>
      <w:divBdr>
        <w:top w:val="none" w:sz="0" w:space="0" w:color="auto"/>
        <w:left w:val="none" w:sz="0" w:space="0" w:color="auto"/>
        <w:bottom w:val="none" w:sz="0" w:space="0" w:color="auto"/>
        <w:right w:val="none" w:sz="0" w:space="0" w:color="auto"/>
      </w:divBdr>
      <w:divsChild>
        <w:div w:id="676856759">
          <w:marLeft w:val="1166"/>
          <w:marRight w:val="0"/>
          <w:marTop w:val="96"/>
          <w:marBottom w:val="0"/>
          <w:divBdr>
            <w:top w:val="none" w:sz="0" w:space="0" w:color="auto"/>
            <w:left w:val="none" w:sz="0" w:space="0" w:color="auto"/>
            <w:bottom w:val="none" w:sz="0" w:space="0" w:color="auto"/>
            <w:right w:val="none" w:sz="0" w:space="0" w:color="auto"/>
          </w:divBdr>
        </w:div>
        <w:div w:id="1160196734">
          <w:marLeft w:val="547"/>
          <w:marRight w:val="0"/>
          <w:marTop w:val="115"/>
          <w:marBottom w:val="0"/>
          <w:divBdr>
            <w:top w:val="none" w:sz="0" w:space="0" w:color="auto"/>
            <w:left w:val="none" w:sz="0" w:space="0" w:color="auto"/>
            <w:bottom w:val="none" w:sz="0" w:space="0" w:color="auto"/>
            <w:right w:val="none" w:sz="0" w:space="0" w:color="auto"/>
          </w:divBdr>
        </w:div>
      </w:divsChild>
    </w:div>
    <w:div w:id="113449693">
      <w:bodyDiv w:val="1"/>
      <w:marLeft w:val="0"/>
      <w:marRight w:val="0"/>
      <w:marTop w:val="0"/>
      <w:marBottom w:val="0"/>
      <w:divBdr>
        <w:top w:val="none" w:sz="0" w:space="0" w:color="auto"/>
        <w:left w:val="none" w:sz="0" w:space="0" w:color="auto"/>
        <w:bottom w:val="none" w:sz="0" w:space="0" w:color="auto"/>
        <w:right w:val="none" w:sz="0" w:space="0" w:color="auto"/>
      </w:divBdr>
      <w:divsChild>
        <w:div w:id="158160383">
          <w:marLeft w:val="360"/>
          <w:marRight w:val="0"/>
          <w:marTop w:val="200"/>
          <w:marBottom w:val="0"/>
          <w:divBdr>
            <w:top w:val="none" w:sz="0" w:space="0" w:color="auto"/>
            <w:left w:val="none" w:sz="0" w:space="0" w:color="auto"/>
            <w:bottom w:val="none" w:sz="0" w:space="0" w:color="auto"/>
            <w:right w:val="none" w:sz="0" w:space="0" w:color="auto"/>
          </w:divBdr>
        </w:div>
        <w:div w:id="492600710">
          <w:marLeft w:val="1080"/>
          <w:marRight w:val="0"/>
          <w:marTop w:val="100"/>
          <w:marBottom w:val="0"/>
          <w:divBdr>
            <w:top w:val="none" w:sz="0" w:space="0" w:color="auto"/>
            <w:left w:val="none" w:sz="0" w:space="0" w:color="auto"/>
            <w:bottom w:val="none" w:sz="0" w:space="0" w:color="auto"/>
            <w:right w:val="none" w:sz="0" w:space="0" w:color="auto"/>
          </w:divBdr>
        </w:div>
        <w:div w:id="2009749724">
          <w:marLeft w:val="1800"/>
          <w:marRight w:val="0"/>
          <w:marTop w:val="100"/>
          <w:marBottom w:val="0"/>
          <w:divBdr>
            <w:top w:val="none" w:sz="0" w:space="0" w:color="auto"/>
            <w:left w:val="none" w:sz="0" w:space="0" w:color="auto"/>
            <w:bottom w:val="none" w:sz="0" w:space="0" w:color="auto"/>
            <w:right w:val="none" w:sz="0" w:space="0" w:color="auto"/>
          </w:divBdr>
        </w:div>
        <w:div w:id="2035111588">
          <w:marLeft w:val="1080"/>
          <w:marRight w:val="0"/>
          <w:marTop w:val="100"/>
          <w:marBottom w:val="0"/>
          <w:divBdr>
            <w:top w:val="none" w:sz="0" w:space="0" w:color="auto"/>
            <w:left w:val="none" w:sz="0" w:space="0" w:color="auto"/>
            <w:bottom w:val="none" w:sz="0" w:space="0" w:color="auto"/>
            <w:right w:val="none" w:sz="0" w:space="0" w:color="auto"/>
          </w:divBdr>
        </w:div>
        <w:div w:id="2054964909">
          <w:marLeft w:val="1080"/>
          <w:marRight w:val="0"/>
          <w:marTop w:val="100"/>
          <w:marBottom w:val="0"/>
          <w:divBdr>
            <w:top w:val="none" w:sz="0" w:space="0" w:color="auto"/>
            <w:left w:val="none" w:sz="0" w:space="0" w:color="auto"/>
            <w:bottom w:val="none" w:sz="0" w:space="0" w:color="auto"/>
            <w:right w:val="none" w:sz="0" w:space="0" w:color="auto"/>
          </w:divBdr>
        </w:div>
      </w:divsChild>
    </w:div>
    <w:div w:id="114369396">
      <w:bodyDiv w:val="1"/>
      <w:marLeft w:val="0"/>
      <w:marRight w:val="0"/>
      <w:marTop w:val="0"/>
      <w:marBottom w:val="0"/>
      <w:divBdr>
        <w:top w:val="none" w:sz="0" w:space="0" w:color="auto"/>
        <w:left w:val="none" w:sz="0" w:space="0" w:color="auto"/>
        <w:bottom w:val="none" w:sz="0" w:space="0" w:color="auto"/>
        <w:right w:val="none" w:sz="0" w:space="0" w:color="auto"/>
      </w:divBdr>
    </w:div>
    <w:div w:id="115490423">
      <w:bodyDiv w:val="1"/>
      <w:marLeft w:val="0"/>
      <w:marRight w:val="0"/>
      <w:marTop w:val="0"/>
      <w:marBottom w:val="0"/>
      <w:divBdr>
        <w:top w:val="none" w:sz="0" w:space="0" w:color="auto"/>
        <w:left w:val="none" w:sz="0" w:space="0" w:color="auto"/>
        <w:bottom w:val="none" w:sz="0" w:space="0" w:color="auto"/>
        <w:right w:val="none" w:sz="0" w:space="0" w:color="auto"/>
      </w:divBdr>
    </w:div>
    <w:div w:id="115560724">
      <w:bodyDiv w:val="1"/>
      <w:marLeft w:val="0"/>
      <w:marRight w:val="0"/>
      <w:marTop w:val="0"/>
      <w:marBottom w:val="0"/>
      <w:divBdr>
        <w:top w:val="none" w:sz="0" w:space="0" w:color="auto"/>
        <w:left w:val="none" w:sz="0" w:space="0" w:color="auto"/>
        <w:bottom w:val="none" w:sz="0" w:space="0" w:color="auto"/>
        <w:right w:val="none" w:sz="0" w:space="0" w:color="auto"/>
      </w:divBdr>
      <w:divsChild>
        <w:div w:id="239828412">
          <w:marLeft w:val="547"/>
          <w:marRight w:val="0"/>
          <w:marTop w:val="130"/>
          <w:marBottom w:val="0"/>
          <w:divBdr>
            <w:top w:val="none" w:sz="0" w:space="0" w:color="auto"/>
            <w:left w:val="none" w:sz="0" w:space="0" w:color="auto"/>
            <w:bottom w:val="none" w:sz="0" w:space="0" w:color="auto"/>
            <w:right w:val="none" w:sz="0" w:space="0" w:color="auto"/>
          </w:divBdr>
        </w:div>
        <w:div w:id="491918708">
          <w:marLeft w:val="1166"/>
          <w:marRight w:val="0"/>
          <w:marTop w:val="115"/>
          <w:marBottom w:val="0"/>
          <w:divBdr>
            <w:top w:val="none" w:sz="0" w:space="0" w:color="auto"/>
            <w:left w:val="none" w:sz="0" w:space="0" w:color="auto"/>
            <w:bottom w:val="none" w:sz="0" w:space="0" w:color="auto"/>
            <w:right w:val="none" w:sz="0" w:space="0" w:color="auto"/>
          </w:divBdr>
        </w:div>
        <w:div w:id="1302617999">
          <w:marLeft w:val="547"/>
          <w:marRight w:val="0"/>
          <w:marTop w:val="130"/>
          <w:marBottom w:val="0"/>
          <w:divBdr>
            <w:top w:val="none" w:sz="0" w:space="0" w:color="auto"/>
            <w:left w:val="none" w:sz="0" w:space="0" w:color="auto"/>
            <w:bottom w:val="none" w:sz="0" w:space="0" w:color="auto"/>
            <w:right w:val="none" w:sz="0" w:space="0" w:color="auto"/>
          </w:divBdr>
        </w:div>
        <w:div w:id="1407722311">
          <w:marLeft w:val="1166"/>
          <w:marRight w:val="0"/>
          <w:marTop w:val="115"/>
          <w:marBottom w:val="0"/>
          <w:divBdr>
            <w:top w:val="none" w:sz="0" w:space="0" w:color="auto"/>
            <w:left w:val="none" w:sz="0" w:space="0" w:color="auto"/>
            <w:bottom w:val="none" w:sz="0" w:space="0" w:color="auto"/>
            <w:right w:val="none" w:sz="0" w:space="0" w:color="auto"/>
          </w:divBdr>
        </w:div>
        <w:div w:id="1703897294">
          <w:marLeft w:val="1800"/>
          <w:marRight w:val="0"/>
          <w:marTop w:val="115"/>
          <w:marBottom w:val="0"/>
          <w:divBdr>
            <w:top w:val="none" w:sz="0" w:space="0" w:color="auto"/>
            <w:left w:val="none" w:sz="0" w:space="0" w:color="auto"/>
            <w:bottom w:val="none" w:sz="0" w:space="0" w:color="auto"/>
            <w:right w:val="none" w:sz="0" w:space="0" w:color="auto"/>
          </w:divBdr>
        </w:div>
      </w:divsChild>
    </w:div>
    <w:div w:id="115684963">
      <w:bodyDiv w:val="1"/>
      <w:marLeft w:val="0"/>
      <w:marRight w:val="0"/>
      <w:marTop w:val="0"/>
      <w:marBottom w:val="0"/>
      <w:divBdr>
        <w:top w:val="none" w:sz="0" w:space="0" w:color="auto"/>
        <w:left w:val="none" w:sz="0" w:space="0" w:color="auto"/>
        <w:bottom w:val="none" w:sz="0" w:space="0" w:color="auto"/>
        <w:right w:val="none" w:sz="0" w:space="0" w:color="auto"/>
      </w:divBdr>
      <w:divsChild>
        <w:div w:id="318272894">
          <w:marLeft w:val="1166"/>
          <w:marRight w:val="0"/>
          <w:marTop w:val="0"/>
          <w:marBottom w:val="120"/>
          <w:divBdr>
            <w:top w:val="none" w:sz="0" w:space="0" w:color="auto"/>
            <w:left w:val="none" w:sz="0" w:space="0" w:color="auto"/>
            <w:bottom w:val="none" w:sz="0" w:space="0" w:color="auto"/>
            <w:right w:val="none" w:sz="0" w:space="0" w:color="auto"/>
          </w:divBdr>
        </w:div>
        <w:div w:id="1149592693">
          <w:marLeft w:val="1166"/>
          <w:marRight w:val="0"/>
          <w:marTop w:val="0"/>
          <w:marBottom w:val="120"/>
          <w:divBdr>
            <w:top w:val="none" w:sz="0" w:space="0" w:color="auto"/>
            <w:left w:val="none" w:sz="0" w:space="0" w:color="auto"/>
            <w:bottom w:val="none" w:sz="0" w:space="0" w:color="auto"/>
            <w:right w:val="none" w:sz="0" w:space="0" w:color="auto"/>
          </w:divBdr>
        </w:div>
        <w:div w:id="1519277083">
          <w:marLeft w:val="547"/>
          <w:marRight w:val="0"/>
          <w:marTop w:val="0"/>
          <w:marBottom w:val="120"/>
          <w:divBdr>
            <w:top w:val="none" w:sz="0" w:space="0" w:color="auto"/>
            <w:left w:val="none" w:sz="0" w:space="0" w:color="auto"/>
            <w:bottom w:val="none" w:sz="0" w:space="0" w:color="auto"/>
            <w:right w:val="none" w:sz="0" w:space="0" w:color="auto"/>
          </w:divBdr>
        </w:div>
        <w:div w:id="1533037463">
          <w:marLeft w:val="1166"/>
          <w:marRight w:val="0"/>
          <w:marTop w:val="0"/>
          <w:marBottom w:val="120"/>
          <w:divBdr>
            <w:top w:val="none" w:sz="0" w:space="0" w:color="auto"/>
            <w:left w:val="none" w:sz="0" w:space="0" w:color="auto"/>
            <w:bottom w:val="none" w:sz="0" w:space="0" w:color="auto"/>
            <w:right w:val="none" w:sz="0" w:space="0" w:color="auto"/>
          </w:divBdr>
        </w:div>
      </w:divsChild>
    </w:div>
    <w:div w:id="118957129">
      <w:bodyDiv w:val="1"/>
      <w:marLeft w:val="0"/>
      <w:marRight w:val="0"/>
      <w:marTop w:val="0"/>
      <w:marBottom w:val="0"/>
      <w:divBdr>
        <w:top w:val="none" w:sz="0" w:space="0" w:color="auto"/>
        <w:left w:val="none" w:sz="0" w:space="0" w:color="auto"/>
        <w:bottom w:val="none" w:sz="0" w:space="0" w:color="auto"/>
        <w:right w:val="none" w:sz="0" w:space="0" w:color="auto"/>
      </w:divBdr>
      <w:divsChild>
        <w:div w:id="1938370859">
          <w:marLeft w:val="360"/>
          <w:marRight w:val="0"/>
          <w:marTop w:val="200"/>
          <w:marBottom w:val="0"/>
          <w:divBdr>
            <w:top w:val="none" w:sz="0" w:space="0" w:color="auto"/>
            <w:left w:val="none" w:sz="0" w:space="0" w:color="auto"/>
            <w:bottom w:val="none" w:sz="0" w:space="0" w:color="auto"/>
            <w:right w:val="none" w:sz="0" w:space="0" w:color="auto"/>
          </w:divBdr>
        </w:div>
        <w:div w:id="47921017">
          <w:marLeft w:val="1080"/>
          <w:marRight w:val="0"/>
          <w:marTop w:val="100"/>
          <w:marBottom w:val="0"/>
          <w:divBdr>
            <w:top w:val="none" w:sz="0" w:space="0" w:color="auto"/>
            <w:left w:val="none" w:sz="0" w:space="0" w:color="auto"/>
            <w:bottom w:val="none" w:sz="0" w:space="0" w:color="auto"/>
            <w:right w:val="none" w:sz="0" w:space="0" w:color="auto"/>
          </w:divBdr>
        </w:div>
        <w:div w:id="638851349">
          <w:marLeft w:val="1080"/>
          <w:marRight w:val="0"/>
          <w:marTop w:val="100"/>
          <w:marBottom w:val="0"/>
          <w:divBdr>
            <w:top w:val="none" w:sz="0" w:space="0" w:color="auto"/>
            <w:left w:val="none" w:sz="0" w:space="0" w:color="auto"/>
            <w:bottom w:val="none" w:sz="0" w:space="0" w:color="auto"/>
            <w:right w:val="none" w:sz="0" w:space="0" w:color="auto"/>
          </w:divBdr>
        </w:div>
        <w:div w:id="867908462">
          <w:marLeft w:val="1080"/>
          <w:marRight w:val="0"/>
          <w:marTop w:val="100"/>
          <w:marBottom w:val="0"/>
          <w:divBdr>
            <w:top w:val="none" w:sz="0" w:space="0" w:color="auto"/>
            <w:left w:val="none" w:sz="0" w:space="0" w:color="auto"/>
            <w:bottom w:val="none" w:sz="0" w:space="0" w:color="auto"/>
            <w:right w:val="none" w:sz="0" w:space="0" w:color="auto"/>
          </w:divBdr>
        </w:div>
      </w:divsChild>
    </w:div>
    <w:div w:id="118962678">
      <w:bodyDiv w:val="1"/>
      <w:marLeft w:val="0"/>
      <w:marRight w:val="0"/>
      <w:marTop w:val="0"/>
      <w:marBottom w:val="0"/>
      <w:divBdr>
        <w:top w:val="none" w:sz="0" w:space="0" w:color="auto"/>
        <w:left w:val="none" w:sz="0" w:space="0" w:color="auto"/>
        <w:bottom w:val="none" w:sz="0" w:space="0" w:color="auto"/>
        <w:right w:val="none" w:sz="0" w:space="0" w:color="auto"/>
      </w:divBdr>
    </w:div>
    <w:div w:id="119148459">
      <w:bodyDiv w:val="1"/>
      <w:marLeft w:val="0"/>
      <w:marRight w:val="0"/>
      <w:marTop w:val="0"/>
      <w:marBottom w:val="0"/>
      <w:divBdr>
        <w:top w:val="none" w:sz="0" w:space="0" w:color="auto"/>
        <w:left w:val="none" w:sz="0" w:space="0" w:color="auto"/>
        <w:bottom w:val="none" w:sz="0" w:space="0" w:color="auto"/>
        <w:right w:val="none" w:sz="0" w:space="0" w:color="auto"/>
      </w:divBdr>
    </w:div>
    <w:div w:id="119226141">
      <w:bodyDiv w:val="1"/>
      <w:marLeft w:val="0"/>
      <w:marRight w:val="0"/>
      <w:marTop w:val="0"/>
      <w:marBottom w:val="0"/>
      <w:divBdr>
        <w:top w:val="none" w:sz="0" w:space="0" w:color="auto"/>
        <w:left w:val="none" w:sz="0" w:space="0" w:color="auto"/>
        <w:bottom w:val="none" w:sz="0" w:space="0" w:color="auto"/>
        <w:right w:val="none" w:sz="0" w:space="0" w:color="auto"/>
      </w:divBdr>
    </w:div>
    <w:div w:id="119737021">
      <w:bodyDiv w:val="1"/>
      <w:marLeft w:val="0"/>
      <w:marRight w:val="0"/>
      <w:marTop w:val="0"/>
      <w:marBottom w:val="0"/>
      <w:divBdr>
        <w:top w:val="none" w:sz="0" w:space="0" w:color="auto"/>
        <w:left w:val="none" w:sz="0" w:space="0" w:color="auto"/>
        <w:bottom w:val="none" w:sz="0" w:space="0" w:color="auto"/>
        <w:right w:val="none" w:sz="0" w:space="0" w:color="auto"/>
      </w:divBdr>
    </w:div>
    <w:div w:id="120535690">
      <w:bodyDiv w:val="1"/>
      <w:marLeft w:val="0"/>
      <w:marRight w:val="0"/>
      <w:marTop w:val="0"/>
      <w:marBottom w:val="0"/>
      <w:divBdr>
        <w:top w:val="none" w:sz="0" w:space="0" w:color="auto"/>
        <w:left w:val="none" w:sz="0" w:space="0" w:color="auto"/>
        <w:bottom w:val="none" w:sz="0" w:space="0" w:color="auto"/>
        <w:right w:val="none" w:sz="0" w:space="0" w:color="auto"/>
      </w:divBdr>
    </w:div>
    <w:div w:id="120878553">
      <w:bodyDiv w:val="1"/>
      <w:marLeft w:val="0"/>
      <w:marRight w:val="0"/>
      <w:marTop w:val="0"/>
      <w:marBottom w:val="0"/>
      <w:divBdr>
        <w:top w:val="none" w:sz="0" w:space="0" w:color="auto"/>
        <w:left w:val="none" w:sz="0" w:space="0" w:color="auto"/>
        <w:bottom w:val="none" w:sz="0" w:space="0" w:color="auto"/>
        <w:right w:val="none" w:sz="0" w:space="0" w:color="auto"/>
      </w:divBdr>
    </w:div>
    <w:div w:id="121775393">
      <w:bodyDiv w:val="1"/>
      <w:marLeft w:val="0"/>
      <w:marRight w:val="0"/>
      <w:marTop w:val="0"/>
      <w:marBottom w:val="0"/>
      <w:divBdr>
        <w:top w:val="none" w:sz="0" w:space="0" w:color="auto"/>
        <w:left w:val="none" w:sz="0" w:space="0" w:color="auto"/>
        <w:bottom w:val="none" w:sz="0" w:space="0" w:color="auto"/>
        <w:right w:val="none" w:sz="0" w:space="0" w:color="auto"/>
      </w:divBdr>
      <w:divsChild>
        <w:div w:id="53507152">
          <w:marLeft w:val="547"/>
          <w:marRight w:val="0"/>
          <w:marTop w:val="96"/>
          <w:marBottom w:val="0"/>
          <w:divBdr>
            <w:top w:val="none" w:sz="0" w:space="0" w:color="auto"/>
            <w:left w:val="none" w:sz="0" w:space="0" w:color="auto"/>
            <w:bottom w:val="none" w:sz="0" w:space="0" w:color="auto"/>
            <w:right w:val="none" w:sz="0" w:space="0" w:color="auto"/>
          </w:divBdr>
        </w:div>
        <w:div w:id="119956997">
          <w:marLeft w:val="547"/>
          <w:marRight w:val="0"/>
          <w:marTop w:val="96"/>
          <w:marBottom w:val="0"/>
          <w:divBdr>
            <w:top w:val="none" w:sz="0" w:space="0" w:color="auto"/>
            <w:left w:val="none" w:sz="0" w:space="0" w:color="auto"/>
            <w:bottom w:val="none" w:sz="0" w:space="0" w:color="auto"/>
            <w:right w:val="none" w:sz="0" w:space="0" w:color="auto"/>
          </w:divBdr>
        </w:div>
        <w:div w:id="183594977">
          <w:marLeft w:val="1800"/>
          <w:marRight w:val="0"/>
          <w:marTop w:val="58"/>
          <w:marBottom w:val="0"/>
          <w:divBdr>
            <w:top w:val="none" w:sz="0" w:space="0" w:color="auto"/>
            <w:left w:val="none" w:sz="0" w:space="0" w:color="auto"/>
            <w:bottom w:val="none" w:sz="0" w:space="0" w:color="auto"/>
            <w:right w:val="none" w:sz="0" w:space="0" w:color="auto"/>
          </w:divBdr>
        </w:div>
        <w:div w:id="191579019">
          <w:marLeft w:val="1800"/>
          <w:marRight w:val="0"/>
          <w:marTop w:val="58"/>
          <w:marBottom w:val="0"/>
          <w:divBdr>
            <w:top w:val="none" w:sz="0" w:space="0" w:color="auto"/>
            <w:left w:val="none" w:sz="0" w:space="0" w:color="auto"/>
            <w:bottom w:val="none" w:sz="0" w:space="0" w:color="auto"/>
            <w:right w:val="none" w:sz="0" w:space="0" w:color="auto"/>
          </w:divBdr>
        </w:div>
        <w:div w:id="352388947">
          <w:marLeft w:val="2520"/>
          <w:marRight w:val="0"/>
          <w:marTop w:val="58"/>
          <w:marBottom w:val="0"/>
          <w:divBdr>
            <w:top w:val="none" w:sz="0" w:space="0" w:color="auto"/>
            <w:left w:val="none" w:sz="0" w:space="0" w:color="auto"/>
            <w:bottom w:val="none" w:sz="0" w:space="0" w:color="auto"/>
            <w:right w:val="none" w:sz="0" w:space="0" w:color="auto"/>
          </w:divBdr>
        </w:div>
        <w:div w:id="431436493">
          <w:marLeft w:val="2520"/>
          <w:marRight w:val="0"/>
          <w:marTop w:val="58"/>
          <w:marBottom w:val="0"/>
          <w:divBdr>
            <w:top w:val="none" w:sz="0" w:space="0" w:color="auto"/>
            <w:left w:val="none" w:sz="0" w:space="0" w:color="auto"/>
            <w:bottom w:val="none" w:sz="0" w:space="0" w:color="auto"/>
            <w:right w:val="none" w:sz="0" w:space="0" w:color="auto"/>
          </w:divBdr>
        </w:div>
        <w:div w:id="735590891">
          <w:marLeft w:val="1800"/>
          <w:marRight w:val="0"/>
          <w:marTop w:val="58"/>
          <w:marBottom w:val="0"/>
          <w:divBdr>
            <w:top w:val="none" w:sz="0" w:space="0" w:color="auto"/>
            <w:left w:val="none" w:sz="0" w:space="0" w:color="auto"/>
            <w:bottom w:val="none" w:sz="0" w:space="0" w:color="auto"/>
            <w:right w:val="none" w:sz="0" w:space="0" w:color="auto"/>
          </w:divBdr>
        </w:div>
        <w:div w:id="783304377">
          <w:marLeft w:val="1166"/>
          <w:marRight w:val="0"/>
          <w:marTop w:val="86"/>
          <w:marBottom w:val="0"/>
          <w:divBdr>
            <w:top w:val="none" w:sz="0" w:space="0" w:color="auto"/>
            <w:left w:val="none" w:sz="0" w:space="0" w:color="auto"/>
            <w:bottom w:val="none" w:sz="0" w:space="0" w:color="auto"/>
            <w:right w:val="none" w:sz="0" w:space="0" w:color="auto"/>
          </w:divBdr>
        </w:div>
        <w:div w:id="898634388">
          <w:marLeft w:val="1800"/>
          <w:marRight w:val="0"/>
          <w:marTop w:val="58"/>
          <w:marBottom w:val="0"/>
          <w:divBdr>
            <w:top w:val="none" w:sz="0" w:space="0" w:color="auto"/>
            <w:left w:val="none" w:sz="0" w:space="0" w:color="auto"/>
            <w:bottom w:val="none" w:sz="0" w:space="0" w:color="auto"/>
            <w:right w:val="none" w:sz="0" w:space="0" w:color="auto"/>
          </w:divBdr>
        </w:div>
        <w:div w:id="1206135872">
          <w:marLeft w:val="1800"/>
          <w:marRight w:val="0"/>
          <w:marTop w:val="58"/>
          <w:marBottom w:val="0"/>
          <w:divBdr>
            <w:top w:val="none" w:sz="0" w:space="0" w:color="auto"/>
            <w:left w:val="none" w:sz="0" w:space="0" w:color="auto"/>
            <w:bottom w:val="none" w:sz="0" w:space="0" w:color="auto"/>
            <w:right w:val="none" w:sz="0" w:space="0" w:color="auto"/>
          </w:divBdr>
        </w:div>
        <w:div w:id="1217886728">
          <w:marLeft w:val="2520"/>
          <w:marRight w:val="0"/>
          <w:marTop w:val="53"/>
          <w:marBottom w:val="0"/>
          <w:divBdr>
            <w:top w:val="none" w:sz="0" w:space="0" w:color="auto"/>
            <w:left w:val="none" w:sz="0" w:space="0" w:color="auto"/>
            <w:bottom w:val="none" w:sz="0" w:space="0" w:color="auto"/>
            <w:right w:val="none" w:sz="0" w:space="0" w:color="auto"/>
          </w:divBdr>
        </w:div>
        <w:div w:id="1222254396">
          <w:marLeft w:val="1166"/>
          <w:marRight w:val="0"/>
          <w:marTop w:val="86"/>
          <w:marBottom w:val="0"/>
          <w:divBdr>
            <w:top w:val="none" w:sz="0" w:space="0" w:color="auto"/>
            <w:left w:val="none" w:sz="0" w:space="0" w:color="auto"/>
            <w:bottom w:val="none" w:sz="0" w:space="0" w:color="auto"/>
            <w:right w:val="none" w:sz="0" w:space="0" w:color="auto"/>
          </w:divBdr>
        </w:div>
        <w:div w:id="1263495930">
          <w:marLeft w:val="2520"/>
          <w:marRight w:val="0"/>
          <w:marTop w:val="58"/>
          <w:marBottom w:val="0"/>
          <w:divBdr>
            <w:top w:val="none" w:sz="0" w:space="0" w:color="auto"/>
            <w:left w:val="none" w:sz="0" w:space="0" w:color="auto"/>
            <w:bottom w:val="none" w:sz="0" w:space="0" w:color="auto"/>
            <w:right w:val="none" w:sz="0" w:space="0" w:color="auto"/>
          </w:divBdr>
        </w:div>
        <w:div w:id="1304778486">
          <w:marLeft w:val="2520"/>
          <w:marRight w:val="0"/>
          <w:marTop w:val="58"/>
          <w:marBottom w:val="0"/>
          <w:divBdr>
            <w:top w:val="none" w:sz="0" w:space="0" w:color="auto"/>
            <w:left w:val="none" w:sz="0" w:space="0" w:color="auto"/>
            <w:bottom w:val="none" w:sz="0" w:space="0" w:color="auto"/>
            <w:right w:val="none" w:sz="0" w:space="0" w:color="auto"/>
          </w:divBdr>
        </w:div>
        <w:div w:id="1382023254">
          <w:marLeft w:val="1800"/>
          <w:marRight w:val="0"/>
          <w:marTop w:val="58"/>
          <w:marBottom w:val="0"/>
          <w:divBdr>
            <w:top w:val="none" w:sz="0" w:space="0" w:color="auto"/>
            <w:left w:val="none" w:sz="0" w:space="0" w:color="auto"/>
            <w:bottom w:val="none" w:sz="0" w:space="0" w:color="auto"/>
            <w:right w:val="none" w:sz="0" w:space="0" w:color="auto"/>
          </w:divBdr>
        </w:div>
        <w:div w:id="1731608864">
          <w:marLeft w:val="2520"/>
          <w:marRight w:val="0"/>
          <w:marTop w:val="58"/>
          <w:marBottom w:val="0"/>
          <w:divBdr>
            <w:top w:val="none" w:sz="0" w:space="0" w:color="auto"/>
            <w:left w:val="none" w:sz="0" w:space="0" w:color="auto"/>
            <w:bottom w:val="none" w:sz="0" w:space="0" w:color="auto"/>
            <w:right w:val="none" w:sz="0" w:space="0" w:color="auto"/>
          </w:divBdr>
        </w:div>
        <w:div w:id="1780950234">
          <w:marLeft w:val="1800"/>
          <w:marRight w:val="0"/>
          <w:marTop w:val="58"/>
          <w:marBottom w:val="0"/>
          <w:divBdr>
            <w:top w:val="none" w:sz="0" w:space="0" w:color="auto"/>
            <w:left w:val="none" w:sz="0" w:space="0" w:color="auto"/>
            <w:bottom w:val="none" w:sz="0" w:space="0" w:color="auto"/>
            <w:right w:val="none" w:sz="0" w:space="0" w:color="auto"/>
          </w:divBdr>
        </w:div>
        <w:div w:id="1862861328">
          <w:marLeft w:val="1166"/>
          <w:marRight w:val="0"/>
          <w:marTop w:val="86"/>
          <w:marBottom w:val="0"/>
          <w:divBdr>
            <w:top w:val="none" w:sz="0" w:space="0" w:color="auto"/>
            <w:left w:val="none" w:sz="0" w:space="0" w:color="auto"/>
            <w:bottom w:val="none" w:sz="0" w:space="0" w:color="auto"/>
            <w:right w:val="none" w:sz="0" w:space="0" w:color="auto"/>
          </w:divBdr>
        </w:div>
        <w:div w:id="1922524390">
          <w:marLeft w:val="2520"/>
          <w:marRight w:val="0"/>
          <w:marTop w:val="58"/>
          <w:marBottom w:val="0"/>
          <w:divBdr>
            <w:top w:val="none" w:sz="0" w:space="0" w:color="auto"/>
            <w:left w:val="none" w:sz="0" w:space="0" w:color="auto"/>
            <w:bottom w:val="none" w:sz="0" w:space="0" w:color="auto"/>
            <w:right w:val="none" w:sz="0" w:space="0" w:color="auto"/>
          </w:divBdr>
        </w:div>
        <w:div w:id="1978680304">
          <w:marLeft w:val="1800"/>
          <w:marRight w:val="0"/>
          <w:marTop w:val="58"/>
          <w:marBottom w:val="0"/>
          <w:divBdr>
            <w:top w:val="none" w:sz="0" w:space="0" w:color="auto"/>
            <w:left w:val="none" w:sz="0" w:space="0" w:color="auto"/>
            <w:bottom w:val="none" w:sz="0" w:space="0" w:color="auto"/>
            <w:right w:val="none" w:sz="0" w:space="0" w:color="auto"/>
          </w:divBdr>
        </w:div>
        <w:div w:id="2029679032">
          <w:marLeft w:val="1800"/>
          <w:marRight w:val="0"/>
          <w:marTop w:val="58"/>
          <w:marBottom w:val="0"/>
          <w:divBdr>
            <w:top w:val="none" w:sz="0" w:space="0" w:color="auto"/>
            <w:left w:val="none" w:sz="0" w:space="0" w:color="auto"/>
            <w:bottom w:val="none" w:sz="0" w:space="0" w:color="auto"/>
            <w:right w:val="none" w:sz="0" w:space="0" w:color="auto"/>
          </w:divBdr>
        </w:div>
      </w:divsChild>
    </w:div>
    <w:div w:id="122768439">
      <w:bodyDiv w:val="1"/>
      <w:marLeft w:val="0"/>
      <w:marRight w:val="0"/>
      <w:marTop w:val="0"/>
      <w:marBottom w:val="0"/>
      <w:divBdr>
        <w:top w:val="none" w:sz="0" w:space="0" w:color="auto"/>
        <w:left w:val="none" w:sz="0" w:space="0" w:color="auto"/>
        <w:bottom w:val="none" w:sz="0" w:space="0" w:color="auto"/>
        <w:right w:val="none" w:sz="0" w:space="0" w:color="auto"/>
      </w:divBdr>
    </w:div>
    <w:div w:id="123012887">
      <w:bodyDiv w:val="1"/>
      <w:marLeft w:val="0"/>
      <w:marRight w:val="0"/>
      <w:marTop w:val="0"/>
      <w:marBottom w:val="0"/>
      <w:divBdr>
        <w:top w:val="none" w:sz="0" w:space="0" w:color="auto"/>
        <w:left w:val="none" w:sz="0" w:space="0" w:color="auto"/>
        <w:bottom w:val="none" w:sz="0" w:space="0" w:color="auto"/>
        <w:right w:val="none" w:sz="0" w:space="0" w:color="auto"/>
      </w:divBdr>
    </w:div>
    <w:div w:id="124352755">
      <w:bodyDiv w:val="1"/>
      <w:marLeft w:val="0"/>
      <w:marRight w:val="0"/>
      <w:marTop w:val="0"/>
      <w:marBottom w:val="0"/>
      <w:divBdr>
        <w:top w:val="none" w:sz="0" w:space="0" w:color="auto"/>
        <w:left w:val="none" w:sz="0" w:space="0" w:color="auto"/>
        <w:bottom w:val="none" w:sz="0" w:space="0" w:color="auto"/>
        <w:right w:val="none" w:sz="0" w:space="0" w:color="auto"/>
      </w:divBdr>
    </w:div>
    <w:div w:id="124811772">
      <w:bodyDiv w:val="1"/>
      <w:marLeft w:val="0"/>
      <w:marRight w:val="0"/>
      <w:marTop w:val="0"/>
      <w:marBottom w:val="0"/>
      <w:divBdr>
        <w:top w:val="none" w:sz="0" w:space="0" w:color="auto"/>
        <w:left w:val="none" w:sz="0" w:space="0" w:color="auto"/>
        <w:bottom w:val="none" w:sz="0" w:space="0" w:color="auto"/>
        <w:right w:val="none" w:sz="0" w:space="0" w:color="auto"/>
      </w:divBdr>
    </w:div>
    <w:div w:id="126705229">
      <w:bodyDiv w:val="1"/>
      <w:marLeft w:val="0"/>
      <w:marRight w:val="0"/>
      <w:marTop w:val="0"/>
      <w:marBottom w:val="0"/>
      <w:divBdr>
        <w:top w:val="none" w:sz="0" w:space="0" w:color="auto"/>
        <w:left w:val="none" w:sz="0" w:space="0" w:color="auto"/>
        <w:bottom w:val="none" w:sz="0" w:space="0" w:color="auto"/>
        <w:right w:val="none" w:sz="0" w:space="0" w:color="auto"/>
      </w:divBdr>
    </w:div>
    <w:div w:id="128518330">
      <w:bodyDiv w:val="1"/>
      <w:marLeft w:val="0"/>
      <w:marRight w:val="0"/>
      <w:marTop w:val="0"/>
      <w:marBottom w:val="0"/>
      <w:divBdr>
        <w:top w:val="none" w:sz="0" w:space="0" w:color="auto"/>
        <w:left w:val="none" w:sz="0" w:space="0" w:color="auto"/>
        <w:bottom w:val="none" w:sz="0" w:space="0" w:color="auto"/>
        <w:right w:val="none" w:sz="0" w:space="0" w:color="auto"/>
      </w:divBdr>
    </w:div>
    <w:div w:id="129128701">
      <w:bodyDiv w:val="1"/>
      <w:marLeft w:val="0"/>
      <w:marRight w:val="0"/>
      <w:marTop w:val="0"/>
      <w:marBottom w:val="0"/>
      <w:divBdr>
        <w:top w:val="none" w:sz="0" w:space="0" w:color="auto"/>
        <w:left w:val="none" w:sz="0" w:space="0" w:color="auto"/>
        <w:bottom w:val="none" w:sz="0" w:space="0" w:color="auto"/>
        <w:right w:val="none" w:sz="0" w:space="0" w:color="auto"/>
      </w:divBdr>
    </w:div>
    <w:div w:id="129783040">
      <w:bodyDiv w:val="1"/>
      <w:marLeft w:val="0"/>
      <w:marRight w:val="0"/>
      <w:marTop w:val="0"/>
      <w:marBottom w:val="0"/>
      <w:divBdr>
        <w:top w:val="none" w:sz="0" w:space="0" w:color="auto"/>
        <w:left w:val="none" w:sz="0" w:space="0" w:color="auto"/>
        <w:bottom w:val="none" w:sz="0" w:space="0" w:color="auto"/>
        <w:right w:val="none" w:sz="0" w:space="0" w:color="auto"/>
      </w:divBdr>
    </w:div>
    <w:div w:id="129792622">
      <w:bodyDiv w:val="1"/>
      <w:marLeft w:val="0"/>
      <w:marRight w:val="0"/>
      <w:marTop w:val="0"/>
      <w:marBottom w:val="0"/>
      <w:divBdr>
        <w:top w:val="none" w:sz="0" w:space="0" w:color="auto"/>
        <w:left w:val="none" w:sz="0" w:space="0" w:color="auto"/>
        <w:bottom w:val="none" w:sz="0" w:space="0" w:color="auto"/>
        <w:right w:val="none" w:sz="0" w:space="0" w:color="auto"/>
      </w:divBdr>
    </w:div>
    <w:div w:id="130249931">
      <w:bodyDiv w:val="1"/>
      <w:marLeft w:val="0"/>
      <w:marRight w:val="0"/>
      <w:marTop w:val="0"/>
      <w:marBottom w:val="0"/>
      <w:divBdr>
        <w:top w:val="none" w:sz="0" w:space="0" w:color="auto"/>
        <w:left w:val="none" w:sz="0" w:space="0" w:color="auto"/>
        <w:bottom w:val="none" w:sz="0" w:space="0" w:color="auto"/>
        <w:right w:val="none" w:sz="0" w:space="0" w:color="auto"/>
      </w:divBdr>
    </w:div>
    <w:div w:id="132136548">
      <w:bodyDiv w:val="1"/>
      <w:marLeft w:val="0"/>
      <w:marRight w:val="0"/>
      <w:marTop w:val="0"/>
      <w:marBottom w:val="0"/>
      <w:divBdr>
        <w:top w:val="none" w:sz="0" w:space="0" w:color="auto"/>
        <w:left w:val="none" w:sz="0" w:space="0" w:color="auto"/>
        <w:bottom w:val="none" w:sz="0" w:space="0" w:color="auto"/>
        <w:right w:val="none" w:sz="0" w:space="0" w:color="auto"/>
      </w:divBdr>
    </w:div>
    <w:div w:id="134878493">
      <w:bodyDiv w:val="1"/>
      <w:marLeft w:val="0"/>
      <w:marRight w:val="0"/>
      <w:marTop w:val="0"/>
      <w:marBottom w:val="0"/>
      <w:divBdr>
        <w:top w:val="none" w:sz="0" w:space="0" w:color="auto"/>
        <w:left w:val="none" w:sz="0" w:space="0" w:color="auto"/>
        <w:bottom w:val="none" w:sz="0" w:space="0" w:color="auto"/>
        <w:right w:val="none" w:sz="0" w:space="0" w:color="auto"/>
      </w:divBdr>
    </w:div>
    <w:div w:id="137306847">
      <w:bodyDiv w:val="1"/>
      <w:marLeft w:val="0"/>
      <w:marRight w:val="0"/>
      <w:marTop w:val="0"/>
      <w:marBottom w:val="0"/>
      <w:divBdr>
        <w:top w:val="none" w:sz="0" w:space="0" w:color="auto"/>
        <w:left w:val="none" w:sz="0" w:space="0" w:color="auto"/>
        <w:bottom w:val="none" w:sz="0" w:space="0" w:color="auto"/>
        <w:right w:val="none" w:sz="0" w:space="0" w:color="auto"/>
      </w:divBdr>
    </w:div>
    <w:div w:id="139423643">
      <w:bodyDiv w:val="1"/>
      <w:marLeft w:val="0"/>
      <w:marRight w:val="0"/>
      <w:marTop w:val="0"/>
      <w:marBottom w:val="0"/>
      <w:divBdr>
        <w:top w:val="none" w:sz="0" w:space="0" w:color="auto"/>
        <w:left w:val="none" w:sz="0" w:space="0" w:color="auto"/>
        <w:bottom w:val="none" w:sz="0" w:space="0" w:color="auto"/>
        <w:right w:val="none" w:sz="0" w:space="0" w:color="auto"/>
      </w:divBdr>
      <w:divsChild>
        <w:div w:id="891695668">
          <w:marLeft w:val="547"/>
          <w:marRight w:val="0"/>
          <w:marTop w:val="154"/>
          <w:marBottom w:val="0"/>
          <w:divBdr>
            <w:top w:val="none" w:sz="0" w:space="0" w:color="auto"/>
            <w:left w:val="none" w:sz="0" w:space="0" w:color="auto"/>
            <w:bottom w:val="none" w:sz="0" w:space="0" w:color="auto"/>
            <w:right w:val="none" w:sz="0" w:space="0" w:color="auto"/>
          </w:divBdr>
        </w:div>
        <w:div w:id="1766685279">
          <w:marLeft w:val="547"/>
          <w:marRight w:val="0"/>
          <w:marTop w:val="154"/>
          <w:marBottom w:val="0"/>
          <w:divBdr>
            <w:top w:val="none" w:sz="0" w:space="0" w:color="auto"/>
            <w:left w:val="none" w:sz="0" w:space="0" w:color="auto"/>
            <w:bottom w:val="none" w:sz="0" w:space="0" w:color="auto"/>
            <w:right w:val="none" w:sz="0" w:space="0" w:color="auto"/>
          </w:divBdr>
        </w:div>
      </w:divsChild>
    </w:div>
    <w:div w:id="140512929">
      <w:bodyDiv w:val="1"/>
      <w:marLeft w:val="0"/>
      <w:marRight w:val="0"/>
      <w:marTop w:val="0"/>
      <w:marBottom w:val="0"/>
      <w:divBdr>
        <w:top w:val="none" w:sz="0" w:space="0" w:color="auto"/>
        <w:left w:val="none" w:sz="0" w:space="0" w:color="auto"/>
        <w:bottom w:val="none" w:sz="0" w:space="0" w:color="auto"/>
        <w:right w:val="none" w:sz="0" w:space="0" w:color="auto"/>
      </w:divBdr>
      <w:divsChild>
        <w:div w:id="347174910">
          <w:marLeft w:val="547"/>
          <w:marRight w:val="0"/>
          <w:marTop w:val="115"/>
          <w:marBottom w:val="0"/>
          <w:divBdr>
            <w:top w:val="none" w:sz="0" w:space="0" w:color="auto"/>
            <w:left w:val="none" w:sz="0" w:space="0" w:color="auto"/>
            <w:bottom w:val="none" w:sz="0" w:space="0" w:color="auto"/>
            <w:right w:val="none" w:sz="0" w:space="0" w:color="auto"/>
          </w:divBdr>
        </w:div>
        <w:div w:id="494759956">
          <w:marLeft w:val="547"/>
          <w:marRight w:val="0"/>
          <w:marTop w:val="115"/>
          <w:marBottom w:val="0"/>
          <w:divBdr>
            <w:top w:val="none" w:sz="0" w:space="0" w:color="auto"/>
            <w:left w:val="none" w:sz="0" w:space="0" w:color="auto"/>
            <w:bottom w:val="none" w:sz="0" w:space="0" w:color="auto"/>
            <w:right w:val="none" w:sz="0" w:space="0" w:color="auto"/>
          </w:divBdr>
        </w:div>
        <w:div w:id="547840015">
          <w:marLeft w:val="1166"/>
          <w:marRight w:val="0"/>
          <w:marTop w:val="96"/>
          <w:marBottom w:val="0"/>
          <w:divBdr>
            <w:top w:val="none" w:sz="0" w:space="0" w:color="auto"/>
            <w:left w:val="none" w:sz="0" w:space="0" w:color="auto"/>
            <w:bottom w:val="none" w:sz="0" w:space="0" w:color="auto"/>
            <w:right w:val="none" w:sz="0" w:space="0" w:color="auto"/>
          </w:divBdr>
        </w:div>
        <w:div w:id="589582274">
          <w:marLeft w:val="1166"/>
          <w:marRight w:val="0"/>
          <w:marTop w:val="96"/>
          <w:marBottom w:val="0"/>
          <w:divBdr>
            <w:top w:val="none" w:sz="0" w:space="0" w:color="auto"/>
            <w:left w:val="none" w:sz="0" w:space="0" w:color="auto"/>
            <w:bottom w:val="none" w:sz="0" w:space="0" w:color="auto"/>
            <w:right w:val="none" w:sz="0" w:space="0" w:color="auto"/>
          </w:divBdr>
        </w:div>
        <w:div w:id="605118465">
          <w:marLeft w:val="1166"/>
          <w:marRight w:val="0"/>
          <w:marTop w:val="96"/>
          <w:marBottom w:val="0"/>
          <w:divBdr>
            <w:top w:val="none" w:sz="0" w:space="0" w:color="auto"/>
            <w:left w:val="none" w:sz="0" w:space="0" w:color="auto"/>
            <w:bottom w:val="none" w:sz="0" w:space="0" w:color="auto"/>
            <w:right w:val="none" w:sz="0" w:space="0" w:color="auto"/>
          </w:divBdr>
        </w:div>
        <w:div w:id="671831987">
          <w:marLeft w:val="1166"/>
          <w:marRight w:val="0"/>
          <w:marTop w:val="96"/>
          <w:marBottom w:val="0"/>
          <w:divBdr>
            <w:top w:val="none" w:sz="0" w:space="0" w:color="auto"/>
            <w:left w:val="none" w:sz="0" w:space="0" w:color="auto"/>
            <w:bottom w:val="none" w:sz="0" w:space="0" w:color="auto"/>
            <w:right w:val="none" w:sz="0" w:space="0" w:color="auto"/>
          </w:divBdr>
        </w:div>
        <w:div w:id="1155992539">
          <w:marLeft w:val="1166"/>
          <w:marRight w:val="0"/>
          <w:marTop w:val="96"/>
          <w:marBottom w:val="0"/>
          <w:divBdr>
            <w:top w:val="none" w:sz="0" w:space="0" w:color="auto"/>
            <w:left w:val="none" w:sz="0" w:space="0" w:color="auto"/>
            <w:bottom w:val="none" w:sz="0" w:space="0" w:color="auto"/>
            <w:right w:val="none" w:sz="0" w:space="0" w:color="auto"/>
          </w:divBdr>
        </w:div>
        <w:div w:id="1277055122">
          <w:marLeft w:val="1166"/>
          <w:marRight w:val="0"/>
          <w:marTop w:val="96"/>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1502988">
      <w:bodyDiv w:val="1"/>
      <w:marLeft w:val="0"/>
      <w:marRight w:val="0"/>
      <w:marTop w:val="0"/>
      <w:marBottom w:val="0"/>
      <w:divBdr>
        <w:top w:val="none" w:sz="0" w:space="0" w:color="auto"/>
        <w:left w:val="none" w:sz="0" w:space="0" w:color="auto"/>
        <w:bottom w:val="none" w:sz="0" w:space="0" w:color="auto"/>
        <w:right w:val="none" w:sz="0" w:space="0" w:color="auto"/>
      </w:divBdr>
    </w:div>
    <w:div w:id="141894586">
      <w:bodyDiv w:val="1"/>
      <w:marLeft w:val="0"/>
      <w:marRight w:val="0"/>
      <w:marTop w:val="0"/>
      <w:marBottom w:val="0"/>
      <w:divBdr>
        <w:top w:val="none" w:sz="0" w:space="0" w:color="auto"/>
        <w:left w:val="none" w:sz="0" w:space="0" w:color="auto"/>
        <w:bottom w:val="none" w:sz="0" w:space="0" w:color="auto"/>
        <w:right w:val="none" w:sz="0" w:space="0" w:color="auto"/>
      </w:divBdr>
    </w:div>
    <w:div w:id="142935750">
      <w:bodyDiv w:val="1"/>
      <w:marLeft w:val="0"/>
      <w:marRight w:val="0"/>
      <w:marTop w:val="0"/>
      <w:marBottom w:val="0"/>
      <w:divBdr>
        <w:top w:val="none" w:sz="0" w:space="0" w:color="auto"/>
        <w:left w:val="none" w:sz="0" w:space="0" w:color="auto"/>
        <w:bottom w:val="none" w:sz="0" w:space="0" w:color="auto"/>
        <w:right w:val="none" w:sz="0" w:space="0" w:color="auto"/>
      </w:divBdr>
    </w:div>
    <w:div w:id="143621687">
      <w:bodyDiv w:val="1"/>
      <w:marLeft w:val="0"/>
      <w:marRight w:val="0"/>
      <w:marTop w:val="0"/>
      <w:marBottom w:val="0"/>
      <w:divBdr>
        <w:top w:val="none" w:sz="0" w:space="0" w:color="auto"/>
        <w:left w:val="none" w:sz="0" w:space="0" w:color="auto"/>
        <w:bottom w:val="none" w:sz="0" w:space="0" w:color="auto"/>
        <w:right w:val="none" w:sz="0" w:space="0" w:color="auto"/>
      </w:divBdr>
    </w:div>
    <w:div w:id="143667649">
      <w:bodyDiv w:val="1"/>
      <w:marLeft w:val="0"/>
      <w:marRight w:val="0"/>
      <w:marTop w:val="0"/>
      <w:marBottom w:val="0"/>
      <w:divBdr>
        <w:top w:val="none" w:sz="0" w:space="0" w:color="auto"/>
        <w:left w:val="none" w:sz="0" w:space="0" w:color="auto"/>
        <w:bottom w:val="none" w:sz="0" w:space="0" w:color="auto"/>
        <w:right w:val="none" w:sz="0" w:space="0" w:color="auto"/>
      </w:divBdr>
      <w:divsChild>
        <w:div w:id="11301718">
          <w:marLeft w:val="2520"/>
          <w:marRight w:val="0"/>
          <w:marTop w:val="77"/>
          <w:marBottom w:val="120"/>
          <w:divBdr>
            <w:top w:val="none" w:sz="0" w:space="0" w:color="auto"/>
            <w:left w:val="none" w:sz="0" w:space="0" w:color="auto"/>
            <w:bottom w:val="none" w:sz="0" w:space="0" w:color="auto"/>
            <w:right w:val="none" w:sz="0" w:space="0" w:color="auto"/>
          </w:divBdr>
        </w:div>
        <w:div w:id="534657997">
          <w:marLeft w:val="1800"/>
          <w:marRight w:val="0"/>
          <w:marTop w:val="77"/>
          <w:marBottom w:val="120"/>
          <w:divBdr>
            <w:top w:val="none" w:sz="0" w:space="0" w:color="auto"/>
            <w:left w:val="none" w:sz="0" w:space="0" w:color="auto"/>
            <w:bottom w:val="none" w:sz="0" w:space="0" w:color="auto"/>
            <w:right w:val="none" w:sz="0" w:space="0" w:color="auto"/>
          </w:divBdr>
        </w:div>
        <w:div w:id="793408437">
          <w:marLeft w:val="547"/>
          <w:marRight w:val="0"/>
          <w:marTop w:val="115"/>
          <w:marBottom w:val="120"/>
          <w:divBdr>
            <w:top w:val="none" w:sz="0" w:space="0" w:color="auto"/>
            <w:left w:val="none" w:sz="0" w:space="0" w:color="auto"/>
            <w:bottom w:val="none" w:sz="0" w:space="0" w:color="auto"/>
            <w:right w:val="none" w:sz="0" w:space="0" w:color="auto"/>
          </w:divBdr>
        </w:div>
        <w:div w:id="911934625">
          <w:marLeft w:val="1166"/>
          <w:marRight w:val="0"/>
          <w:marTop w:val="96"/>
          <w:marBottom w:val="120"/>
          <w:divBdr>
            <w:top w:val="none" w:sz="0" w:space="0" w:color="auto"/>
            <w:left w:val="none" w:sz="0" w:space="0" w:color="auto"/>
            <w:bottom w:val="none" w:sz="0" w:space="0" w:color="auto"/>
            <w:right w:val="none" w:sz="0" w:space="0" w:color="auto"/>
          </w:divBdr>
        </w:div>
        <w:div w:id="1040982565">
          <w:marLeft w:val="2520"/>
          <w:marRight w:val="0"/>
          <w:marTop w:val="77"/>
          <w:marBottom w:val="120"/>
          <w:divBdr>
            <w:top w:val="none" w:sz="0" w:space="0" w:color="auto"/>
            <w:left w:val="none" w:sz="0" w:space="0" w:color="auto"/>
            <w:bottom w:val="none" w:sz="0" w:space="0" w:color="auto"/>
            <w:right w:val="none" w:sz="0" w:space="0" w:color="auto"/>
          </w:divBdr>
        </w:div>
        <w:div w:id="1297831807">
          <w:marLeft w:val="1166"/>
          <w:marRight w:val="0"/>
          <w:marTop w:val="96"/>
          <w:marBottom w:val="120"/>
          <w:divBdr>
            <w:top w:val="none" w:sz="0" w:space="0" w:color="auto"/>
            <w:left w:val="none" w:sz="0" w:space="0" w:color="auto"/>
            <w:bottom w:val="none" w:sz="0" w:space="0" w:color="auto"/>
            <w:right w:val="none" w:sz="0" w:space="0" w:color="auto"/>
          </w:divBdr>
        </w:div>
        <w:div w:id="1500343090">
          <w:marLeft w:val="2520"/>
          <w:marRight w:val="0"/>
          <w:marTop w:val="77"/>
          <w:marBottom w:val="120"/>
          <w:divBdr>
            <w:top w:val="none" w:sz="0" w:space="0" w:color="auto"/>
            <w:left w:val="none" w:sz="0" w:space="0" w:color="auto"/>
            <w:bottom w:val="none" w:sz="0" w:space="0" w:color="auto"/>
            <w:right w:val="none" w:sz="0" w:space="0" w:color="auto"/>
          </w:divBdr>
        </w:div>
        <w:div w:id="1533298412">
          <w:marLeft w:val="1800"/>
          <w:marRight w:val="0"/>
          <w:marTop w:val="77"/>
          <w:marBottom w:val="120"/>
          <w:divBdr>
            <w:top w:val="none" w:sz="0" w:space="0" w:color="auto"/>
            <w:left w:val="none" w:sz="0" w:space="0" w:color="auto"/>
            <w:bottom w:val="none" w:sz="0" w:space="0" w:color="auto"/>
            <w:right w:val="none" w:sz="0" w:space="0" w:color="auto"/>
          </w:divBdr>
        </w:div>
        <w:div w:id="1780643742">
          <w:marLeft w:val="2520"/>
          <w:marRight w:val="0"/>
          <w:marTop w:val="77"/>
          <w:marBottom w:val="120"/>
          <w:divBdr>
            <w:top w:val="none" w:sz="0" w:space="0" w:color="auto"/>
            <w:left w:val="none" w:sz="0" w:space="0" w:color="auto"/>
            <w:bottom w:val="none" w:sz="0" w:space="0" w:color="auto"/>
            <w:right w:val="none" w:sz="0" w:space="0" w:color="auto"/>
          </w:divBdr>
        </w:div>
        <w:div w:id="1808276644">
          <w:marLeft w:val="1800"/>
          <w:marRight w:val="0"/>
          <w:marTop w:val="77"/>
          <w:marBottom w:val="120"/>
          <w:divBdr>
            <w:top w:val="none" w:sz="0" w:space="0" w:color="auto"/>
            <w:left w:val="none" w:sz="0" w:space="0" w:color="auto"/>
            <w:bottom w:val="none" w:sz="0" w:space="0" w:color="auto"/>
            <w:right w:val="none" w:sz="0" w:space="0" w:color="auto"/>
          </w:divBdr>
        </w:div>
        <w:div w:id="1964069010">
          <w:marLeft w:val="1800"/>
          <w:marRight w:val="0"/>
          <w:marTop w:val="77"/>
          <w:marBottom w:val="120"/>
          <w:divBdr>
            <w:top w:val="none" w:sz="0" w:space="0" w:color="auto"/>
            <w:left w:val="none" w:sz="0" w:space="0" w:color="auto"/>
            <w:bottom w:val="none" w:sz="0" w:space="0" w:color="auto"/>
            <w:right w:val="none" w:sz="0" w:space="0" w:color="auto"/>
          </w:divBdr>
        </w:div>
        <w:div w:id="2120565606">
          <w:marLeft w:val="2520"/>
          <w:marRight w:val="0"/>
          <w:marTop w:val="77"/>
          <w:marBottom w:val="120"/>
          <w:divBdr>
            <w:top w:val="none" w:sz="0" w:space="0" w:color="auto"/>
            <w:left w:val="none" w:sz="0" w:space="0" w:color="auto"/>
            <w:bottom w:val="none" w:sz="0" w:space="0" w:color="auto"/>
            <w:right w:val="none" w:sz="0" w:space="0" w:color="auto"/>
          </w:divBdr>
        </w:div>
      </w:divsChild>
    </w:div>
    <w:div w:id="144208379">
      <w:bodyDiv w:val="1"/>
      <w:marLeft w:val="0"/>
      <w:marRight w:val="0"/>
      <w:marTop w:val="0"/>
      <w:marBottom w:val="0"/>
      <w:divBdr>
        <w:top w:val="none" w:sz="0" w:space="0" w:color="auto"/>
        <w:left w:val="none" w:sz="0" w:space="0" w:color="auto"/>
        <w:bottom w:val="none" w:sz="0" w:space="0" w:color="auto"/>
        <w:right w:val="none" w:sz="0" w:space="0" w:color="auto"/>
      </w:divBdr>
    </w:div>
    <w:div w:id="145559213">
      <w:bodyDiv w:val="1"/>
      <w:marLeft w:val="0"/>
      <w:marRight w:val="0"/>
      <w:marTop w:val="0"/>
      <w:marBottom w:val="0"/>
      <w:divBdr>
        <w:top w:val="none" w:sz="0" w:space="0" w:color="auto"/>
        <w:left w:val="none" w:sz="0" w:space="0" w:color="auto"/>
        <w:bottom w:val="none" w:sz="0" w:space="0" w:color="auto"/>
        <w:right w:val="none" w:sz="0" w:space="0" w:color="auto"/>
      </w:divBdr>
    </w:div>
    <w:div w:id="146480423">
      <w:bodyDiv w:val="1"/>
      <w:marLeft w:val="0"/>
      <w:marRight w:val="0"/>
      <w:marTop w:val="0"/>
      <w:marBottom w:val="0"/>
      <w:divBdr>
        <w:top w:val="none" w:sz="0" w:space="0" w:color="auto"/>
        <w:left w:val="none" w:sz="0" w:space="0" w:color="auto"/>
        <w:bottom w:val="none" w:sz="0" w:space="0" w:color="auto"/>
        <w:right w:val="none" w:sz="0" w:space="0" w:color="auto"/>
      </w:divBdr>
    </w:div>
    <w:div w:id="147523856">
      <w:bodyDiv w:val="1"/>
      <w:marLeft w:val="0"/>
      <w:marRight w:val="0"/>
      <w:marTop w:val="0"/>
      <w:marBottom w:val="0"/>
      <w:divBdr>
        <w:top w:val="none" w:sz="0" w:space="0" w:color="auto"/>
        <w:left w:val="none" w:sz="0" w:space="0" w:color="auto"/>
        <w:bottom w:val="none" w:sz="0" w:space="0" w:color="auto"/>
        <w:right w:val="none" w:sz="0" w:space="0" w:color="auto"/>
      </w:divBdr>
      <w:divsChild>
        <w:div w:id="16127751">
          <w:marLeft w:val="1800"/>
          <w:marRight w:val="0"/>
          <w:marTop w:val="86"/>
          <w:marBottom w:val="0"/>
          <w:divBdr>
            <w:top w:val="none" w:sz="0" w:space="0" w:color="auto"/>
            <w:left w:val="none" w:sz="0" w:space="0" w:color="auto"/>
            <w:bottom w:val="none" w:sz="0" w:space="0" w:color="auto"/>
            <w:right w:val="none" w:sz="0" w:space="0" w:color="auto"/>
          </w:divBdr>
        </w:div>
        <w:div w:id="402459129">
          <w:marLeft w:val="1166"/>
          <w:marRight w:val="0"/>
          <w:marTop w:val="96"/>
          <w:marBottom w:val="0"/>
          <w:divBdr>
            <w:top w:val="none" w:sz="0" w:space="0" w:color="auto"/>
            <w:left w:val="none" w:sz="0" w:space="0" w:color="auto"/>
            <w:bottom w:val="none" w:sz="0" w:space="0" w:color="auto"/>
            <w:right w:val="none" w:sz="0" w:space="0" w:color="auto"/>
          </w:divBdr>
        </w:div>
        <w:div w:id="472259420">
          <w:marLeft w:val="1800"/>
          <w:marRight w:val="0"/>
          <w:marTop w:val="86"/>
          <w:marBottom w:val="0"/>
          <w:divBdr>
            <w:top w:val="none" w:sz="0" w:space="0" w:color="auto"/>
            <w:left w:val="none" w:sz="0" w:space="0" w:color="auto"/>
            <w:bottom w:val="none" w:sz="0" w:space="0" w:color="auto"/>
            <w:right w:val="none" w:sz="0" w:space="0" w:color="auto"/>
          </w:divBdr>
        </w:div>
        <w:div w:id="1272514579">
          <w:marLeft w:val="1166"/>
          <w:marRight w:val="0"/>
          <w:marTop w:val="96"/>
          <w:marBottom w:val="0"/>
          <w:divBdr>
            <w:top w:val="none" w:sz="0" w:space="0" w:color="auto"/>
            <w:left w:val="none" w:sz="0" w:space="0" w:color="auto"/>
            <w:bottom w:val="none" w:sz="0" w:space="0" w:color="auto"/>
            <w:right w:val="none" w:sz="0" w:space="0" w:color="auto"/>
          </w:divBdr>
        </w:div>
        <w:div w:id="1849372605">
          <w:marLeft w:val="547"/>
          <w:marRight w:val="0"/>
          <w:marTop w:val="134"/>
          <w:marBottom w:val="0"/>
          <w:divBdr>
            <w:top w:val="none" w:sz="0" w:space="0" w:color="auto"/>
            <w:left w:val="none" w:sz="0" w:space="0" w:color="auto"/>
            <w:bottom w:val="none" w:sz="0" w:space="0" w:color="auto"/>
            <w:right w:val="none" w:sz="0" w:space="0" w:color="auto"/>
          </w:divBdr>
        </w:div>
      </w:divsChild>
    </w:div>
    <w:div w:id="147672887">
      <w:bodyDiv w:val="1"/>
      <w:marLeft w:val="0"/>
      <w:marRight w:val="0"/>
      <w:marTop w:val="0"/>
      <w:marBottom w:val="0"/>
      <w:divBdr>
        <w:top w:val="none" w:sz="0" w:space="0" w:color="auto"/>
        <w:left w:val="none" w:sz="0" w:space="0" w:color="auto"/>
        <w:bottom w:val="none" w:sz="0" w:space="0" w:color="auto"/>
        <w:right w:val="none" w:sz="0" w:space="0" w:color="auto"/>
      </w:divBdr>
    </w:div>
    <w:div w:id="148524046">
      <w:bodyDiv w:val="1"/>
      <w:marLeft w:val="0"/>
      <w:marRight w:val="0"/>
      <w:marTop w:val="0"/>
      <w:marBottom w:val="0"/>
      <w:divBdr>
        <w:top w:val="none" w:sz="0" w:space="0" w:color="auto"/>
        <w:left w:val="none" w:sz="0" w:space="0" w:color="auto"/>
        <w:bottom w:val="none" w:sz="0" w:space="0" w:color="auto"/>
        <w:right w:val="none" w:sz="0" w:space="0" w:color="auto"/>
      </w:divBdr>
    </w:div>
    <w:div w:id="150029686">
      <w:bodyDiv w:val="1"/>
      <w:marLeft w:val="0"/>
      <w:marRight w:val="0"/>
      <w:marTop w:val="0"/>
      <w:marBottom w:val="0"/>
      <w:divBdr>
        <w:top w:val="none" w:sz="0" w:space="0" w:color="auto"/>
        <w:left w:val="none" w:sz="0" w:space="0" w:color="auto"/>
        <w:bottom w:val="none" w:sz="0" w:space="0" w:color="auto"/>
        <w:right w:val="none" w:sz="0" w:space="0" w:color="auto"/>
      </w:divBdr>
    </w:div>
    <w:div w:id="150371063">
      <w:bodyDiv w:val="1"/>
      <w:marLeft w:val="0"/>
      <w:marRight w:val="0"/>
      <w:marTop w:val="0"/>
      <w:marBottom w:val="0"/>
      <w:divBdr>
        <w:top w:val="none" w:sz="0" w:space="0" w:color="auto"/>
        <w:left w:val="none" w:sz="0" w:space="0" w:color="auto"/>
        <w:bottom w:val="none" w:sz="0" w:space="0" w:color="auto"/>
        <w:right w:val="none" w:sz="0" w:space="0" w:color="auto"/>
      </w:divBdr>
    </w:div>
    <w:div w:id="150489391">
      <w:bodyDiv w:val="1"/>
      <w:marLeft w:val="0"/>
      <w:marRight w:val="0"/>
      <w:marTop w:val="0"/>
      <w:marBottom w:val="0"/>
      <w:divBdr>
        <w:top w:val="none" w:sz="0" w:space="0" w:color="auto"/>
        <w:left w:val="none" w:sz="0" w:space="0" w:color="auto"/>
        <w:bottom w:val="none" w:sz="0" w:space="0" w:color="auto"/>
        <w:right w:val="none" w:sz="0" w:space="0" w:color="auto"/>
      </w:divBdr>
    </w:div>
    <w:div w:id="150606248">
      <w:bodyDiv w:val="1"/>
      <w:marLeft w:val="0"/>
      <w:marRight w:val="0"/>
      <w:marTop w:val="0"/>
      <w:marBottom w:val="0"/>
      <w:divBdr>
        <w:top w:val="none" w:sz="0" w:space="0" w:color="auto"/>
        <w:left w:val="none" w:sz="0" w:space="0" w:color="auto"/>
        <w:bottom w:val="none" w:sz="0" w:space="0" w:color="auto"/>
        <w:right w:val="none" w:sz="0" w:space="0" w:color="auto"/>
      </w:divBdr>
    </w:div>
    <w:div w:id="150761215">
      <w:bodyDiv w:val="1"/>
      <w:marLeft w:val="0"/>
      <w:marRight w:val="0"/>
      <w:marTop w:val="0"/>
      <w:marBottom w:val="0"/>
      <w:divBdr>
        <w:top w:val="none" w:sz="0" w:space="0" w:color="auto"/>
        <w:left w:val="none" w:sz="0" w:space="0" w:color="auto"/>
        <w:bottom w:val="none" w:sz="0" w:space="0" w:color="auto"/>
        <w:right w:val="none" w:sz="0" w:space="0" w:color="auto"/>
      </w:divBdr>
    </w:div>
    <w:div w:id="150871516">
      <w:bodyDiv w:val="1"/>
      <w:marLeft w:val="0"/>
      <w:marRight w:val="0"/>
      <w:marTop w:val="0"/>
      <w:marBottom w:val="0"/>
      <w:divBdr>
        <w:top w:val="none" w:sz="0" w:space="0" w:color="auto"/>
        <w:left w:val="none" w:sz="0" w:space="0" w:color="auto"/>
        <w:bottom w:val="none" w:sz="0" w:space="0" w:color="auto"/>
        <w:right w:val="none" w:sz="0" w:space="0" w:color="auto"/>
      </w:divBdr>
      <w:divsChild>
        <w:div w:id="771898949">
          <w:marLeft w:val="1440"/>
          <w:marRight w:val="0"/>
          <w:marTop w:val="0"/>
          <w:marBottom w:val="0"/>
          <w:divBdr>
            <w:top w:val="none" w:sz="0" w:space="0" w:color="auto"/>
            <w:left w:val="none" w:sz="0" w:space="0" w:color="auto"/>
            <w:bottom w:val="none" w:sz="0" w:space="0" w:color="auto"/>
            <w:right w:val="none" w:sz="0" w:space="0" w:color="auto"/>
          </w:divBdr>
        </w:div>
        <w:div w:id="1996833212">
          <w:marLeft w:val="720"/>
          <w:marRight w:val="0"/>
          <w:marTop w:val="120"/>
          <w:marBottom w:val="120"/>
          <w:divBdr>
            <w:top w:val="none" w:sz="0" w:space="0" w:color="auto"/>
            <w:left w:val="none" w:sz="0" w:space="0" w:color="auto"/>
            <w:bottom w:val="none" w:sz="0" w:space="0" w:color="auto"/>
            <w:right w:val="none" w:sz="0" w:space="0" w:color="auto"/>
          </w:divBdr>
        </w:div>
      </w:divsChild>
    </w:div>
    <w:div w:id="150948934">
      <w:bodyDiv w:val="1"/>
      <w:marLeft w:val="0"/>
      <w:marRight w:val="0"/>
      <w:marTop w:val="0"/>
      <w:marBottom w:val="0"/>
      <w:divBdr>
        <w:top w:val="none" w:sz="0" w:space="0" w:color="auto"/>
        <w:left w:val="none" w:sz="0" w:space="0" w:color="auto"/>
        <w:bottom w:val="none" w:sz="0" w:space="0" w:color="auto"/>
        <w:right w:val="none" w:sz="0" w:space="0" w:color="auto"/>
      </w:divBdr>
    </w:div>
    <w:div w:id="151533195">
      <w:bodyDiv w:val="1"/>
      <w:marLeft w:val="0"/>
      <w:marRight w:val="0"/>
      <w:marTop w:val="0"/>
      <w:marBottom w:val="0"/>
      <w:divBdr>
        <w:top w:val="none" w:sz="0" w:space="0" w:color="auto"/>
        <w:left w:val="none" w:sz="0" w:space="0" w:color="auto"/>
        <w:bottom w:val="none" w:sz="0" w:space="0" w:color="auto"/>
        <w:right w:val="none" w:sz="0" w:space="0" w:color="auto"/>
      </w:divBdr>
    </w:div>
    <w:div w:id="152066829">
      <w:bodyDiv w:val="1"/>
      <w:marLeft w:val="0"/>
      <w:marRight w:val="0"/>
      <w:marTop w:val="0"/>
      <w:marBottom w:val="0"/>
      <w:divBdr>
        <w:top w:val="none" w:sz="0" w:space="0" w:color="auto"/>
        <w:left w:val="none" w:sz="0" w:space="0" w:color="auto"/>
        <w:bottom w:val="none" w:sz="0" w:space="0" w:color="auto"/>
        <w:right w:val="none" w:sz="0" w:space="0" w:color="auto"/>
      </w:divBdr>
    </w:div>
    <w:div w:id="152263321">
      <w:bodyDiv w:val="1"/>
      <w:marLeft w:val="0"/>
      <w:marRight w:val="0"/>
      <w:marTop w:val="0"/>
      <w:marBottom w:val="0"/>
      <w:divBdr>
        <w:top w:val="none" w:sz="0" w:space="0" w:color="auto"/>
        <w:left w:val="none" w:sz="0" w:space="0" w:color="auto"/>
        <w:bottom w:val="none" w:sz="0" w:space="0" w:color="auto"/>
        <w:right w:val="none" w:sz="0" w:space="0" w:color="auto"/>
      </w:divBdr>
    </w:div>
    <w:div w:id="152720229">
      <w:bodyDiv w:val="1"/>
      <w:marLeft w:val="0"/>
      <w:marRight w:val="0"/>
      <w:marTop w:val="0"/>
      <w:marBottom w:val="0"/>
      <w:divBdr>
        <w:top w:val="none" w:sz="0" w:space="0" w:color="auto"/>
        <w:left w:val="none" w:sz="0" w:space="0" w:color="auto"/>
        <w:bottom w:val="none" w:sz="0" w:space="0" w:color="auto"/>
        <w:right w:val="none" w:sz="0" w:space="0" w:color="auto"/>
      </w:divBdr>
    </w:div>
    <w:div w:id="153843602">
      <w:bodyDiv w:val="1"/>
      <w:marLeft w:val="0"/>
      <w:marRight w:val="0"/>
      <w:marTop w:val="0"/>
      <w:marBottom w:val="0"/>
      <w:divBdr>
        <w:top w:val="none" w:sz="0" w:space="0" w:color="auto"/>
        <w:left w:val="none" w:sz="0" w:space="0" w:color="auto"/>
        <w:bottom w:val="none" w:sz="0" w:space="0" w:color="auto"/>
        <w:right w:val="none" w:sz="0" w:space="0" w:color="auto"/>
      </w:divBdr>
    </w:div>
    <w:div w:id="153959745">
      <w:bodyDiv w:val="1"/>
      <w:marLeft w:val="0"/>
      <w:marRight w:val="0"/>
      <w:marTop w:val="0"/>
      <w:marBottom w:val="0"/>
      <w:divBdr>
        <w:top w:val="none" w:sz="0" w:space="0" w:color="auto"/>
        <w:left w:val="none" w:sz="0" w:space="0" w:color="auto"/>
        <w:bottom w:val="none" w:sz="0" w:space="0" w:color="auto"/>
        <w:right w:val="none" w:sz="0" w:space="0" w:color="auto"/>
      </w:divBdr>
    </w:div>
    <w:div w:id="154075398">
      <w:bodyDiv w:val="1"/>
      <w:marLeft w:val="0"/>
      <w:marRight w:val="0"/>
      <w:marTop w:val="0"/>
      <w:marBottom w:val="0"/>
      <w:divBdr>
        <w:top w:val="none" w:sz="0" w:space="0" w:color="auto"/>
        <w:left w:val="none" w:sz="0" w:space="0" w:color="auto"/>
        <w:bottom w:val="none" w:sz="0" w:space="0" w:color="auto"/>
        <w:right w:val="none" w:sz="0" w:space="0" w:color="auto"/>
      </w:divBdr>
    </w:div>
    <w:div w:id="154759889">
      <w:bodyDiv w:val="1"/>
      <w:marLeft w:val="0"/>
      <w:marRight w:val="0"/>
      <w:marTop w:val="0"/>
      <w:marBottom w:val="0"/>
      <w:divBdr>
        <w:top w:val="none" w:sz="0" w:space="0" w:color="auto"/>
        <w:left w:val="none" w:sz="0" w:space="0" w:color="auto"/>
        <w:bottom w:val="none" w:sz="0" w:space="0" w:color="auto"/>
        <w:right w:val="none" w:sz="0" w:space="0" w:color="auto"/>
      </w:divBdr>
      <w:divsChild>
        <w:div w:id="299531898">
          <w:marLeft w:val="547"/>
          <w:marRight w:val="0"/>
          <w:marTop w:val="115"/>
          <w:marBottom w:val="0"/>
          <w:divBdr>
            <w:top w:val="none" w:sz="0" w:space="0" w:color="auto"/>
            <w:left w:val="none" w:sz="0" w:space="0" w:color="auto"/>
            <w:bottom w:val="none" w:sz="0" w:space="0" w:color="auto"/>
            <w:right w:val="none" w:sz="0" w:space="0" w:color="auto"/>
          </w:divBdr>
        </w:div>
        <w:div w:id="531573080">
          <w:marLeft w:val="547"/>
          <w:marRight w:val="0"/>
          <w:marTop w:val="115"/>
          <w:marBottom w:val="0"/>
          <w:divBdr>
            <w:top w:val="none" w:sz="0" w:space="0" w:color="auto"/>
            <w:left w:val="none" w:sz="0" w:space="0" w:color="auto"/>
            <w:bottom w:val="none" w:sz="0" w:space="0" w:color="auto"/>
            <w:right w:val="none" w:sz="0" w:space="0" w:color="auto"/>
          </w:divBdr>
        </w:div>
        <w:div w:id="1201085735">
          <w:marLeft w:val="1166"/>
          <w:marRight w:val="0"/>
          <w:marTop w:val="96"/>
          <w:marBottom w:val="0"/>
          <w:divBdr>
            <w:top w:val="none" w:sz="0" w:space="0" w:color="auto"/>
            <w:left w:val="none" w:sz="0" w:space="0" w:color="auto"/>
            <w:bottom w:val="none" w:sz="0" w:space="0" w:color="auto"/>
            <w:right w:val="none" w:sz="0" w:space="0" w:color="auto"/>
          </w:divBdr>
        </w:div>
        <w:div w:id="1685159375">
          <w:marLeft w:val="1166"/>
          <w:marRight w:val="0"/>
          <w:marTop w:val="96"/>
          <w:marBottom w:val="0"/>
          <w:divBdr>
            <w:top w:val="none" w:sz="0" w:space="0" w:color="auto"/>
            <w:left w:val="none" w:sz="0" w:space="0" w:color="auto"/>
            <w:bottom w:val="none" w:sz="0" w:space="0" w:color="auto"/>
            <w:right w:val="none" w:sz="0" w:space="0" w:color="auto"/>
          </w:divBdr>
        </w:div>
        <w:div w:id="2043285658">
          <w:marLeft w:val="1166"/>
          <w:marRight w:val="0"/>
          <w:marTop w:val="96"/>
          <w:marBottom w:val="0"/>
          <w:divBdr>
            <w:top w:val="none" w:sz="0" w:space="0" w:color="auto"/>
            <w:left w:val="none" w:sz="0" w:space="0" w:color="auto"/>
            <w:bottom w:val="none" w:sz="0" w:space="0" w:color="auto"/>
            <w:right w:val="none" w:sz="0" w:space="0" w:color="auto"/>
          </w:divBdr>
        </w:div>
        <w:div w:id="2105613088">
          <w:marLeft w:val="547"/>
          <w:marRight w:val="0"/>
          <w:marTop w:val="115"/>
          <w:marBottom w:val="0"/>
          <w:divBdr>
            <w:top w:val="none" w:sz="0" w:space="0" w:color="auto"/>
            <w:left w:val="none" w:sz="0" w:space="0" w:color="auto"/>
            <w:bottom w:val="none" w:sz="0" w:space="0" w:color="auto"/>
            <w:right w:val="none" w:sz="0" w:space="0" w:color="auto"/>
          </w:divBdr>
        </w:div>
      </w:divsChild>
    </w:div>
    <w:div w:id="154998531">
      <w:bodyDiv w:val="1"/>
      <w:marLeft w:val="0"/>
      <w:marRight w:val="0"/>
      <w:marTop w:val="0"/>
      <w:marBottom w:val="0"/>
      <w:divBdr>
        <w:top w:val="none" w:sz="0" w:space="0" w:color="auto"/>
        <w:left w:val="none" w:sz="0" w:space="0" w:color="auto"/>
        <w:bottom w:val="none" w:sz="0" w:space="0" w:color="auto"/>
        <w:right w:val="none" w:sz="0" w:space="0" w:color="auto"/>
      </w:divBdr>
    </w:div>
    <w:div w:id="157503730">
      <w:bodyDiv w:val="1"/>
      <w:marLeft w:val="0"/>
      <w:marRight w:val="0"/>
      <w:marTop w:val="0"/>
      <w:marBottom w:val="0"/>
      <w:divBdr>
        <w:top w:val="none" w:sz="0" w:space="0" w:color="auto"/>
        <w:left w:val="none" w:sz="0" w:space="0" w:color="auto"/>
        <w:bottom w:val="none" w:sz="0" w:space="0" w:color="auto"/>
        <w:right w:val="none" w:sz="0" w:space="0" w:color="auto"/>
      </w:divBdr>
      <w:divsChild>
        <w:div w:id="902564631">
          <w:marLeft w:val="1080"/>
          <w:marRight w:val="0"/>
          <w:marTop w:val="100"/>
          <w:marBottom w:val="0"/>
          <w:divBdr>
            <w:top w:val="none" w:sz="0" w:space="0" w:color="auto"/>
            <w:left w:val="none" w:sz="0" w:space="0" w:color="auto"/>
            <w:bottom w:val="none" w:sz="0" w:space="0" w:color="auto"/>
            <w:right w:val="none" w:sz="0" w:space="0" w:color="auto"/>
          </w:divBdr>
        </w:div>
        <w:div w:id="1346787260">
          <w:marLeft w:val="1080"/>
          <w:marRight w:val="0"/>
          <w:marTop w:val="100"/>
          <w:marBottom w:val="0"/>
          <w:divBdr>
            <w:top w:val="none" w:sz="0" w:space="0" w:color="auto"/>
            <w:left w:val="none" w:sz="0" w:space="0" w:color="auto"/>
            <w:bottom w:val="none" w:sz="0" w:space="0" w:color="auto"/>
            <w:right w:val="none" w:sz="0" w:space="0" w:color="auto"/>
          </w:divBdr>
        </w:div>
        <w:div w:id="1364163521">
          <w:marLeft w:val="360"/>
          <w:marRight w:val="0"/>
          <w:marTop w:val="200"/>
          <w:marBottom w:val="0"/>
          <w:divBdr>
            <w:top w:val="none" w:sz="0" w:space="0" w:color="auto"/>
            <w:left w:val="none" w:sz="0" w:space="0" w:color="auto"/>
            <w:bottom w:val="none" w:sz="0" w:space="0" w:color="auto"/>
            <w:right w:val="none" w:sz="0" w:space="0" w:color="auto"/>
          </w:divBdr>
        </w:div>
        <w:div w:id="1485076895">
          <w:marLeft w:val="360"/>
          <w:marRight w:val="0"/>
          <w:marTop w:val="200"/>
          <w:marBottom w:val="0"/>
          <w:divBdr>
            <w:top w:val="none" w:sz="0" w:space="0" w:color="auto"/>
            <w:left w:val="none" w:sz="0" w:space="0" w:color="auto"/>
            <w:bottom w:val="none" w:sz="0" w:space="0" w:color="auto"/>
            <w:right w:val="none" w:sz="0" w:space="0" w:color="auto"/>
          </w:divBdr>
        </w:div>
        <w:div w:id="1620990492">
          <w:marLeft w:val="1080"/>
          <w:marRight w:val="0"/>
          <w:marTop w:val="100"/>
          <w:marBottom w:val="0"/>
          <w:divBdr>
            <w:top w:val="none" w:sz="0" w:space="0" w:color="auto"/>
            <w:left w:val="none" w:sz="0" w:space="0" w:color="auto"/>
            <w:bottom w:val="none" w:sz="0" w:space="0" w:color="auto"/>
            <w:right w:val="none" w:sz="0" w:space="0" w:color="auto"/>
          </w:divBdr>
        </w:div>
        <w:div w:id="2079401741">
          <w:marLeft w:val="1080"/>
          <w:marRight w:val="0"/>
          <w:marTop w:val="100"/>
          <w:marBottom w:val="0"/>
          <w:divBdr>
            <w:top w:val="none" w:sz="0" w:space="0" w:color="auto"/>
            <w:left w:val="none" w:sz="0" w:space="0" w:color="auto"/>
            <w:bottom w:val="none" w:sz="0" w:space="0" w:color="auto"/>
            <w:right w:val="none" w:sz="0" w:space="0" w:color="auto"/>
          </w:divBdr>
        </w:div>
      </w:divsChild>
    </w:div>
    <w:div w:id="158039170">
      <w:bodyDiv w:val="1"/>
      <w:marLeft w:val="0"/>
      <w:marRight w:val="0"/>
      <w:marTop w:val="0"/>
      <w:marBottom w:val="0"/>
      <w:divBdr>
        <w:top w:val="none" w:sz="0" w:space="0" w:color="auto"/>
        <w:left w:val="none" w:sz="0" w:space="0" w:color="auto"/>
        <w:bottom w:val="none" w:sz="0" w:space="0" w:color="auto"/>
        <w:right w:val="none" w:sz="0" w:space="0" w:color="auto"/>
      </w:divBdr>
      <w:divsChild>
        <w:div w:id="244733075">
          <w:marLeft w:val="1800"/>
          <w:marRight w:val="0"/>
          <w:marTop w:val="100"/>
          <w:marBottom w:val="0"/>
          <w:divBdr>
            <w:top w:val="none" w:sz="0" w:space="0" w:color="auto"/>
            <w:left w:val="none" w:sz="0" w:space="0" w:color="auto"/>
            <w:bottom w:val="none" w:sz="0" w:space="0" w:color="auto"/>
            <w:right w:val="none" w:sz="0" w:space="0" w:color="auto"/>
          </w:divBdr>
        </w:div>
        <w:div w:id="1022559706">
          <w:marLeft w:val="1800"/>
          <w:marRight w:val="0"/>
          <w:marTop w:val="100"/>
          <w:marBottom w:val="0"/>
          <w:divBdr>
            <w:top w:val="none" w:sz="0" w:space="0" w:color="auto"/>
            <w:left w:val="none" w:sz="0" w:space="0" w:color="auto"/>
            <w:bottom w:val="none" w:sz="0" w:space="0" w:color="auto"/>
            <w:right w:val="none" w:sz="0" w:space="0" w:color="auto"/>
          </w:divBdr>
        </w:div>
        <w:div w:id="1265385490">
          <w:marLeft w:val="1080"/>
          <w:marRight w:val="0"/>
          <w:marTop w:val="100"/>
          <w:marBottom w:val="0"/>
          <w:divBdr>
            <w:top w:val="none" w:sz="0" w:space="0" w:color="auto"/>
            <w:left w:val="none" w:sz="0" w:space="0" w:color="auto"/>
            <w:bottom w:val="none" w:sz="0" w:space="0" w:color="auto"/>
            <w:right w:val="none" w:sz="0" w:space="0" w:color="auto"/>
          </w:divBdr>
        </w:div>
        <w:div w:id="1628318078">
          <w:marLeft w:val="2520"/>
          <w:marRight w:val="0"/>
          <w:marTop w:val="100"/>
          <w:marBottom w:val="0"/>
          <w:divBdr>
            <w:top w:val="none" w:sz="0" w:space="0" w:color="auto"/>
            <w:left w:val="none" w:sz="0" w:space="0" w:color="auto"/>
            <w:bottom w:val="none" w:sz="0" w:space="0" w:color="auto"/>
            <w:right w:val="none" w:sz="0" w:space="0" w:color="auto"/>
          </w:divBdr>
        </w:div>
        <w:div w:id="1649820603">
          <w:marLeft w:val="1800"/>
          <w:marRight w:val="0"/>
          <w:marTop w:val="100"/>
          <w:marBottom w:val="0"/>
          <w:divBdr>
            <w:top w:val="none" w:sz="0" w:space="0" w:color="auto"/>
            <w:left w:val="none" w:sz="0" w:space="0" w:color="auto"/>
            <w:bottom w:val="none" w:sz="0" w:space="0" w:color="auto"/>
            <w:right w:val="none" w:sz="0" w:space="0" w:color="auto"/>
          </w:divBdr>
        </w:div>
        <w:div w:id="1679194062">
          <w:marLeft w:val="2520"/>
          <w:marRight w:val="0"/>
          <w:marTop w:val="100"/>
          <w:marBottom w:val="0"/>
          <w:divBdr>
            <w:top w:val="none" w:sz="0" w:space="0" w:color="auto"/>
            <w:left w:val="none" w:sz="0" w:space="0" w:color="auto"/>
            <w:bottom w:val="none" w:sz="0" w:space="0" w:color="auto"/>
            <w:right w:val="none" w:sz="0" w:space="0" w:color="auto"/>
          </w:divBdr>
        </w:div>
        <w:div w:id="1791899478">
          <w:marLeft w:val="1080"/>
          <w:marRight w:val="0"/>
          <w:marTop w:val="100"/>
          <w:marBottom w:val="0"/>
          <w:divBdr>
            <w:top w:val="none" w:sz="0" w:space="0" w:color="auto"/>
            <w:left w:val="none" w:sz="0" w:space="0" w:color="auto"/>
            <w:bottom w:val="none" w:sz="0" w:space="0" w:color="auto"/>
            <w:right w:val="none" w:sz="0" w:space="0" w:color="auto"/>
          </w:divBdr>
        </w:div>
        <w:div w:id="1856000170">
          <w:marLeft w:val="1080"/>
          <w:marRight w:val="0"/>
          <w:marTop w:val="100"/>
          <w:marBottom w:val="0"/>
          <w:divBdr>
            <w:top w:val="none" w:sz="0" w:space="0" w:color="auto"/>
            <w:left w:val="none" w:sz="0" w:space="0" w:color="auto"/>
            <w:bottom w:val="none" w:sz="0" w:space="0" w:color="auto"/>
            <w:right w:val="none" w:sz="0" w:space="0" w:color="auto"/>
          </w:divBdr>
        </w:div>
        <w:div w:id="1997956922">
          <w:marLeft w:val="360"/>
          <w:marRight w:val="0"/>
          <w:marTop w:val="200"/>
          <w:marBottom w:val="0"/>
          <w:divBdr>
            <w:top w:val="none" w:sz="0" w:space="0" w:color="auto"/>
            <w:left w:val="none" w:sz="0" w:space="0" w:color="auto"/>
            <w:bottom w:val="none" w:sz="0" w:space="0" w:color="auto"/>
            <w:right w:val="none" w:sz="0" w:space="0" w:color="auto"/>
          </w:divBdr>
        </w:div>
      </w:divsChild>
    </w:div>
    <w:div w:id="158427786">
      <w:bodyDiv w:val="1"/>
      <w:marLeft w:val="0"/>
      <w:marRight w:val="0"/>
      <w:marTop w:val="0"/>
      <w:marBottom w:val="0"/>
      <w:divBdr>
        <w:top w:val="none" w:sz="0" w:space="0" w:color="auto"/>
        <w:left w:val="none" w:sz="0" w:space="0" w:color="auto"/>
        <w:bottom w:val="none" w:sz="0" w:space="0" w:color="auto"/>
        <w:right w:val="none" w:sz="0" w:space="0" w:color="auto"/>
      </w:divBdr>
    </w:div>
    <w:div w:id="158618684">
      <w:bodyDiv w:val="1"/>
      <w:marLeft w:val="0"/>
      <w:marRight w:val="0"/>
      <w:marTop w:val="0"/>
      <w:marBottom w:val="0"/>
      <w:divBdr>
        <w:top w:val="none" w:sz="0" w:space="0" w:color="auto"/>
        <w:left w:val="none" w:sz="0" w:space="0" w:color="auto"/>
        <w:bottom w:val="none" w:sz="0" w:space="0" w:color="auto"/>
        <w:right w:val="none" w:sz="0" w:space="0" w:color="auto"/>
      </w:divBdr>
    </w:div>
    <w:div w:id="158694743">
      <w:bodyDiv w:val="1"/>
      <w:marLeft w:val="0"/>
      <w:marRight w:val="0"/>
      <w:marTop w:val="0"/>
      <w:marBottom w:val="0"/>
      <w:divBdr>
        <w:top w:val="none" w:sz="0" w:space="0" w:color="auto"/>
        <w:left w:val="none" w:sz="0" w:space="0" w:color="auto"/>
        <w:bottom w:val="none" w:sz="0" w:space="0" w:color="auto"/>
        <w:right w:val="none" w:sz="0" w:space="0" w:color="auto"/>
      </w:divBdr>
    </w:div>
    <w:div w:id="159469567">
      <w:bodyDiv w:val="1"/>
      <w:marLeft w:val="0"/>
      <w:marRight w:val="0"/>
      <w:marTop w:val="0"/>
      <w:marBottom w:val="0"/>
      <w:divBdr>
        <w:top w:val="none" w:sz="0" w:space="0" w:color="auto"/>
        <w:left w:val="none" w:sz="0" w:space="0" w:color="auto"/>
        <w:bottom w:val="none" w:sz="0" w:space="0" w:color="auto"/>
        <w:right w:val="none" w:sz="0" w:space="0" w:color="auto"/>
      </w:divBdr>
      <w:divsChild>
        <w:div w:id="620956900">
          <w:marLeft w:val="1800"/>
          <w:marRight w:val="0"/>
          <w:marTop w:val="100"/>
          <w:marBottom w:val="0"/>
          <w:divBdr>
            <w:top w:val="none" w:sz="0" w:space="0" w:color="auto"/>
            <w:left w:val="none" w:sz="0" w:space="0" w:color="auto"/>
            <w:bottom w:val="none" w:sz="0" w:space="0" w:color="auto"/>
            <w:right w:val="none" w:sz="0" w:space="0" w:color="auto"/>
          </w:divBdr>
        </w:div>
        <w:div w:id="947084575">
          <w:marLeft w:val="1800"/>
          <w:marRight w:val="0"/>
          <w:marTop w:val="100"/>
          <w:marBottom w:val="0"/>
          <w:divBdr>
            <w:top w:val="none" w:sz="0" w:space="0" w:color="auto"/>
            <w:left w:val="none" w:sz="0" w:space="0" w:color="auto"/>
            <w:bottom w:val="none" w:sz="0" w:space="0" w:color="auto"/>
            <w:right w:val="none" w:sz="0" w:space="0" w:color="auto"/>
          </w:divBdr>
        </w:div>
        <w:div w:id="1659529188">
          <w:marLeft w:val="360"/>
          <w:marRight w:val="0"/>
          <w:marTop w:val="200"/>
          <w:marBottom w:val="0"/>
          <w:divBdr>
            <w:top w:val="none" w:sz="0" w:space="0" w:color="auto"/>
            <w:left w:val="none" w:sz="0" w:space="0" w:color="auto"/>
            <w:bottom w:val="none" w:sz="0" w:space="0" w:color="auto"/>
            <w:right w:val="none" w:sz="0" w:space="0" w:color="auto"/>
          </w:divBdr>
        </w:div>
        <w:div w:id="2012953078">
          <w:marLeft w:val="1080"/>
          <w:marRight w:val="0"/>
          <w:marTop w:val="100"/>
          <w:marBottom w:val="0"/>
          <w:divBdr>
            <w:top w:val="none" w:sz="0" w:space="0" w:color="auto"/>
            <w:left w:val="none" w:sz="0" w:space="0" w:color="auto"/>
            <w:bottom w:val="none" w:sz="0" w:space="0" w:color="auto"/>
            <w:right w:val="none" w:sz="0" w:space="0" w:color="auto"/>
          </w:divBdr>
        </w:div>
      </w:divsChild>
    </w:div>
    <w:div w:id="160200892">
      <w:bodyDiv w:val="1"/>
      <w:marLeft w:val="0"/>
      <w:marRight w:val="0"/>
      <w:marTop w:val="0"/>
      <w:marBottom w:val="0"/>
      <w:divBdr>
        <w:top w:val="none" w:sz="0" w:space="0" w:color="auto"/>
        <w:left w:val="none" w:sz="0" w:space="0" w:color="auto"/>
        <w:bottom w:val="none" w:sz="0" w:space="0" w:color="auto"/>
        <w:right w:val="none" w:sz="0" w:space="0" w:color="auto"/>
      </w:divBdr>
    </w:div>
    <w:div w:id="160396826">
      <w:bodyDiv w:val="1"/>
      <w:marLeft w:val="0"/>
      <w:marRight w:val="0"/>
      <w:marTop w:val="0"/>
      <w:marBottom w:val="0"/>
      <w:divBdr>
        <w:top w:val="none" w:sz="0" w:space="0" w:color="auto"/>
        <w:left w:val="none" w:sz="0" w:space="0" w:color="auto"/>
        <w:bottom w:val="none" w:sz="0" w:space="0" w:color="auto"/>
        <w:right w:val="none" w:sz="0" w:space="0" w:color="auto"/>
      </w:divBdr>
    </w:div>
    <w:div w:id="162362714">
      <w:bodyDiv w:val="1"/>
      <w:marLeft w:val="0"/>
      <w:marRight w:val="0"/>
      <w:marTop w:val="0"/>
      <w:marBottom w:val="0"/>
      <w:divBdr>
        <w:top w:val="none" w:sz="0" w:space="0" w:color="auto"/>
        <w:left w:val="none" w:sz="0" w:space="0" w:color="auto"/>
        <w:bottom w:val="none" w:sz="0" w:space="0" w:color="auto"/>
        <w:right w:val="none" w:sz="0" w:space="0" w:color="auto"/>
      </w:divBdr>
    </w:div>
    <w:div w:id="162815279">
      <w:bodyDiv w:val="1"/>
      <w:marLeft w:val="0"/>
      <w:marRight w:val="0"/>
      <w:marTop w:val="0"/>
      <w:marBottom w:val="0"/>
      <w:divBdr>
        <w:top w:val="none" w:sz="0" w:space="0" w:color="auto"/>
        <w:left w:val="none" w:sz="0" w:space="0" w:color="auto"/>
        <w:bottom w:val="none" w:sz="0" w:space="0" w:color="auto"/>
        <w:right w:val="none" w:sz="0" w:space="0" w:color="auto"/>
      </w:divBdr>
    </w:div>
    <w:div w:id="163321686">
      <w:bodyDiv w:val="1"/>
      <w:marLeft w:val="0"/>
      <w:marRight w:val="0"/>
      <w:marTop w:val="0"/>
      <w:marBottom w:val="0"/>
      <w:divBdr>
        <w:top w:val="none" w:sz="0" w:space="0" w:color="auto"/>
        <w:left w:val="none" w:sz="0" w:space="0" w:color="auto"/>
        <w:bottom w:val="none" w:sz="0" w:space="0" w:color="auto"/>
        <w:right w:val="none" w:sz="0" w:space="0" w:color="auto"/>
      </w:divBdr>
    </w:div>
    <w:div w:id="165635978">
      <w:bodyDiv w:val="1"/>
      <w:marLeft w:val="0"/>
      <w:marRight w:val="0"/>
      <w:marTop w:val="0"/>
      <w:marBottom w:val="0"/>
      <w:divBdr>
        <w:top w:val="none" w:sz="0" w:space="0" w:color="auto"/>
        <w:left w:val="none" w:sz="0" w:space="0" w:color="auto"/>
        <w:bottom w:val="none" w:sz="0" w:space="0" w:color="auto"/>
        <w:right w:val="none" w:sz="0" w:space="0" w:color="auto"/>
      </w:divBdr>
    </w:div>
    <w:div w:id="166291390">
      <w:bodyDiv w:val="1"/>
      <w:marLeft w:val="0"/>
      <w:marRight w:val="0"/>
      <w:marTop w:val="0"/>
      <w:marBottom w:val="0"/>
      <w:divBdr>
        <w:top w:val="none" w:sz="0" w:space="0" w:color="auto"/>
        <w:left w:val="none" w:sz="0" w:space="0" w:color="auto"/>
        <w:bottom w:val="none" w:sz="0" w:space="0" w:color="auto"/>
        <w:right w:val="none" w:sz="0" w:space="0" w:color="auto"/>
      </w:divBdr>
    </w:div>
    <w:div w:id="166403546">
      <w:bodyDiv w:val="1"/>
      <w:marLeft w:val="0"/>
      <w:marRight w:val="0"/>
      <w:marTop w:val="0"/>
      <w:marBottom w:val="0"/>
      <w:divBdr>
        <w:top w:val="none" w:sz="0" w:space="0" w:color="auto"/>
        <w:left w:val="none" w:sz="0" w:space="0" w:color="auto"/>
        <w:bottom w:val="none" w:sz="0" w:space="0" w:color="auto"/>
        <w:right w:val="none" w:sz="0" w:space="0" w:color="auto"/>
      </w:divBdr>
      <w:divsChild>
        <w:div w:id="152305924">
          <w:marLeft w:val="1166"/>
          <w:marRight w:val="0"/>
          <w:marTop w:val="96"/>
          <w:marBottom w:val="0"/>
          <w:divBdr>
            <w:top w:val="none" w:sz="0" w:space="0" w:color="auto"/>
            <w:left w:val="none" w:sz="0" w:space="0" w:color="auto"/>
            <w:bottom w:val="none" w:sz="0" w:space="0" w:color="auto"/>
            <w:right w:val="none" w:sz="0" w:space="0" w:color="auto"/>
          </w:divBdr>
        </w:div>
        <w:div w:id="836768802">
          <w:marLeft w:val="547"/>
          <w:marRight w:val="0"/>
          <w:marTop w:val="96"/>
          <w:marBottom w:val="0"/>
          <w:divBdr>
            <w:top w:val="none" w:sz="0" w:space="0" w:color="auto"/>
            <w:left w:val="none" w:sz="0" w:space="0" w:color="auto"/>
            <w:bottom w:val="none" w:sz="0" w:space="0" w:color="auto"/>
            <w:right w:val="none" w:sz="0" w:space="0" w:color="auto"/>
          </w:divBdr>
        </w:div>
        <w:div w:id="1395734366">
          <w:marLeft w:val="547"/>
          <w:marRight w:val="0"/>
          <w:marTop w:val="96"/>
          <w:marBottom w:val="0"/>
          <w:divBdr>
            <w:top w:val="none" w:sz="0" w:space="0" w:color="auto"/>
            <w:left w:val="none" w:sz="0" w:space="0" w:color="auto"/>
            <w:bottom w:val="none" w:sz="0" w:space="0" w:color="auto"/>
            <w:right w:val="none" w:sz="0" w:space="0" w:color="auto"/>
          </w:divBdr>
        </w:div>
        <w:div w:id="1494829945">
          <w:marLeft w:val="547"/>
          <w:marRight w:val="0"/>
          <w:marTop w:val="96"/>
          <w:marBottom w:val="0"/>
          <w:divBdr>
            <w:top w:val="none" w:sz="0" w:space="0" w:color="auto"/>
            <w:left w:val="none" w:sz="0" w:space="0" w:color="auto"/>
            <w:bottom w:val="none" w:sz="0" w:space="0" w:color="auto"/>
            <w:right w:val="none" w:sz="0" w:space="0" w:color="auto"/>
          </w:divBdr>
        </w:div>
      </w:divsChild>
    </w:div>
    <w:div w:id="166872415">
      <w:bodyDiv w:val="1"/>
      <w:marLeft w:val="0"/>
      <w:marRight w:val="0"/>
      <w:marTop w:val="0"/>
      <w:marBottom w:val="0"/>
      <w:divBdr>
        <w:top w:val="none" w:sz="0" w:space="0" w:color="auto"/>
        <w:left w:val="none" w:sz="0" w:space="0" w:color="auto"/>
        <w:bottom w:val="none" w:sz="0" w:space="0" w:color="auto"/>
        <w:right w:val="none" w:sz="0" w:space="0" w:color="auto"/>
      </w:divBdr>
    </w:div>
    <w:div w:id="167254403">
      <w:bodyDiv w:val="1"/>
      <w:marLeft w:val="0"/>
      <w:marRight w:val="0"/>
      <w:marTop w:val="0"/>
      <w:marBottom w:val="0"/>
      <w:divBdr>
        <w:top w:val="none" w:sz="0" w:space="0" w:color="auto"/>
        <w:left w:val="none" w:sz="0" w:space="0" w:color="auto"/>
        <w:bottom w:val="none" w:sz="0" w:space="0" w:color="auto"/>
        <w:right w:val="none" w:sz="0" w:space="0" w:color="auto"/>
      </w:divBdr>
    </w:div>
    <w:div w:id="167329737">
      <w:bodyDiv w:val="1"/>
      <w:marLeft w:val="0"/>
      <w:marRight w:val="0"/>
      <w:marTop w:val="0"/>
      <w:marBottom w:val="0"/>
      <w:divBdr>
        <w:top w:val="none" w:sz="0" w:space="0" w:color="auto"/>
        <w:left w:val="none" w:sz="0" w:space="0" w:color="auto"/>
        <w:bottom w:val="none" w:sz="0" w:space="0" w:color="auto"/>
        <w:right w:val="none" w:sz="0" w:space="0" w:color="auto"/>
      </w:divBdr>
    </w:div>
    <w:div w:id="167865244">
      <w:bodyDiv w:val="1"/>
      <w:marLeft w:val="0"/>
      <w:marRight w:val="0"/>
      <w:marTop w:val="0"/>
      <w:marBottom w:val="0"/>
      <w:divBdr>
        <w:top w:val="none" w:sz="0" w:space="0" w:color="auto"/>
        <w:left w:val="none" w:sz="0" w:space="0" w:color="auto"/>
        <w:bottom w:val="none" w:sz="0" w:space="0" w:color="auto"/>
        <w:right w:val="none" w:sz="0" w:space="0" w:color="auto"/>
      </w:divBdr>
      <w:divsChild>
        <w:div w:id="697780131">
          <w:marLeft w:val="1166"/>
          <w:marRight w:val="0"/>
          <w:marTop w:val="77"/>
          <w:marBottom w:val="0"/>
          <w:divBdr>
            <w:top w:val="none" w:sz="0" w:space="0" w:color="auto"/>
            <w:left w:val="none" w:sz="0" w:space="0" w:color="auto"/>
            <w:bottom w:val="none" w:sz="0" w:space="0" w:color="auto"/>
            <w:right w:val="none" w:sz="0" w:space="0" w:color="auto"/>
          </w:divBdr>
        </w:div>
        <w:div w:id="726270964">
          <w:marLeft w:val="1166"/>
          <w:marRight w:val="0"/>
          <w:marTop w:val="77"/>
          <w:marBottom w:val="0"/>
          <w:divBdr>
            <w:top w:val="none" w:sz="0" w:space="0" w:color="auto"/>
            <w:left w:val="none" w:sz="0" w:space="0" w:color="auto"/>
            <w:bottom w:val="none" w:sz="0" w:space="0" w:color="auto"/>
            <w:right w:val="none" w:sz="0" w:space="0" w:color="auto"/>
          </w:divBdr>
        </w:div>
        <w:div w:id="782306351">
          <w:marLeft w:val="547"/>
          <w:marRight w:val="0"/>
          <w:marTop w:val="96"/>
          <w:marBottom w:val="0"/>
          <w:divBdr>
            <w:top w:val="none" w:sz="0" w:space="0" w:color="auto"/>
            <w:left w:val="none" w:sz="0" w:space="0" w:color="auto"/>
            <w:bottom w:val="none" w:sz="0" w:space="0" w:color="auto"/>
            <w:right w:val="none" w:sz="0" w:space="0" w:color="auto"/>
          </w:divBdr>
        </w:div>
        <w:div w:id="1698463113">
          <w:marLeft w:val="547"/>
          <w:marRight w:val="0"/>
          <w:marTop w:val="96"/>
          <w:marBottom w:val="0"/>
          <w:divBdr>
            <w:top w:val="none" w:sz="0" w:space="0" w:color="auto"/>
            <w:left w:val="none" w:sz="0" w:space="0" w:color="auto"/>
            <w:bottom w:val="none" w:sz="0" w:space="0" w:color="auto"/>
            <w:right w:val="none" w:sz="0" w:space="0" w:color="auto"/>
          </w:divBdr>
        </w:div>
        <w:div w:id="2066176303">
          <w:marLeft w:val="547"/>
          <w:marRight w:val="0"/>
          <w:marTop w:val="96"/>
          <w:marBottom w:val="0"/>
          <w:divBdr>
            <w:top w:val="none" w:sz="0" w:space="0" w:color="auto"/>
            <w:left w:val="none" w:sz="0" w:space="0" w:color="auto"/>
            <w:bottom w:val="none" w:sz="0" w:space="0" w:color="auto"/>
            <w:right w:val="none" w:sz="0" w:space="0" w:color="auto"/>
          </w:divBdr>
        </w:div>
      </w:divsChild>
    </w:div>
    <w:div w:id="167988994">
      <w:bodyDiv w:val="1"/>
      <w:marLeft w:val="0"/>
      <w:marRight w:val="0"/>
      <w:marTop w:val="0"/>
      <w:marBottom w:val="0"/>
      <w:divBdr>
        <w:top w:val="none" w:sz="0" w:space="0" w:color="auto"/>
        <w:left w:val="none" w:sz="0" w:space="0" w:color="auto"/>
        <w:bottom w:val="none" w:sz="0" w:space="0" w:color="auto"/>
        <w:right w:val="none" w:sz="0" w:space="0" w:color="auto"/>
      </w:divBdr>
    </w:div>
    <w:div w:id="168451706">
      <w:bodyDiv w:val="1"/>
      <w:marLeft w:val="0"/>
      <w:marRight w:val="0"/>
      <w:marTop w:val="0"/>
      <w:marBottom w:val="0"/>
      <w:divBdr>
        <w:top w:val="none" w:sz="0" w:space="0" w:color="auto"/>
        <w:left w:val="none" w:sz="0" w:space="0" w:color="auto"/>
        <w:bottom w:val="none" w:sz="0" w:space="0" w:color="auto"/>
        <w:right w:val="none" w:sz="0" w:space="0" w:color="auto"/>
      </w:divBdr>
    </w:div>
    <w:div w:id="168913821">
      <w:bodyDiv w:val="1"/>
      <w:marLeft w:val="0"/>
      <w:marRight w:val="0"/>
      <w:marTop w:val="0"/>
      <w:marBottom w:val="0"/>
      <w:divBdr>
        <w:top w:val="none" w:sz="0" w:space="0" w:color="auto"/>
        <w:left w:val="none" w:sz="0" w:space="0" w:color="auto"/>
        <w:bottom w:val="none" w:sz="0" w:space="0" w:color="auto"/>
        <w:right w:val="none" w:sz="0" w:space="0" w:color="auto"/>
      </w:divBdr>
      <w:divsChild>
        <w:div w:id="161554517">
          <w:marLeft w:val="1800"/>
          <w:marRight w:val="0"/>
          <w:marTop w:val="115"/>
          <w:marBottom w:val="0"/>
          <w:divBdr>
            <w:top w:val="none" w:sz="0" w:space="0" w:color="auto"/>
            <w:left w:val="none" w:sz="0" w:space="0" w:color="auto"/>
            <w:bottom w:val="none" w:sz="0" w:space="0" w:color="auto"/>
            <w:right w:val="none" w:sz="0" w:space="0" w:color="auto"/>
          </w:divBdr>
        </w:div>
        <w:div w:id="981228073">
          <w:marLeft w:val="1800"/>
          <w:marRight w:val="0"/>
          <w:marTop w:val="115"/>
          <w:marBottom w:val="0"/>
          <w:divBdr>
            <w:top w:val="none" w:sz="0" w:space="0" w:color="auto"/>
            <w:left w:val="none" w:sz="0" w:space="0" w:color="auto"/>
            <w:bottom w:val="none" w:sz="0" w:space="0" w:color="auto"/>
            <w:right w:val="none" w:sz="0" w:space="0" w:color="auto"/>
          </w:divBdr>
        </w:div>
        <w:div w:id="1056004898">
          <w:marLeft w:val="1166"/>
          <w:marRight w:val="0"/>
          <w:marTop w:val="134"/>
          <w:marBottom w:val="0"/>
          <w:divBdr>
            <w:top w:val="none" w:sz="0" w:space="0" w:color="auto"/>
            <w:left w:val="none" w:sz="0" w:space="0" w:color="auto"/>
            <w:bottom w:val="none" w:sz="0" w:space="0" w:color="auto"/>
            <w:right w:val="none" w:sz="0" w:space="0" w:color="auto"/>
          </w:divBdr>
        </w:div>
      </w:divsChild>
    </w:div>
    <w:div w:id="169683362">
      <w:bodyDiv w:val="1"/>
      <w:marLeft w:val="0"/>
      <w:marRight w:val="0"/>
      <w:marTop w:val="0"/>
      <w:marBottom w:val="0"/>
      <w:divBdr>
        <w:top w:val="none" w:sz="0" w:space="0" w:color="auto"/>
        <w:left w:val="none" w:sz="0" w:space="0" w:color="auto"/>
        <w:bottom w:val="none" w:sz="0" w:space="0" w:color="auto"/>
        <w:right w:val="none" w:sz="0" w:space="0" w:color="auto"/>
      </w:divBdr>
    </w:div>
    <w:div w:id="170950395">
      <w:bodyDiv w:val="1"/>
      <w:marLeft w:val="0"/>
      <w:marRight w:val="0"/>
      <w:marTop w:val="0"/>
      <w:marBottom w:val="0"/>
      <w:divBdr>
        <w:top w:val="none" w:sz="0" w:space="0" w:color="auto"/>
        <w:left w:val="none" w:sz="0" w:space="0" w:color="auto"/>
        <w:bottom w:val="none" w:sz="0" w:space="0" w:color="auto"/>
        <w:right w:val="none" w:sz="0" w:space="0" w:color="auto"/>
      </w:divBdr>
    </w:div>
    <w:div w:id="171726986">
      <w:bodyDiv w:val="1"/>
      <w:marLeft w:val="0"/>
      <w:marRight w:val="0"/>
      <w:marTop w:val="0"/>
      <w:marBottom w:val="0"/>
      <w:divBdr>
        <w:top w:val="none" w:sz="0" w:space="0" w:color="auto"/>
        <w:left w:val="none" w:sz="0" w:space="0" w:color="auto"/>
        <w:bottom w:val="none" w:sz="0" w:space="0" w:color="auto"/>
        <w:right w:val="none" w:sz="0" w:space="0" w:color="auto"/>
      </w:divBdr>
    </w:div>
    <w:div w:id="173374951">
      <w:bodyDiv w:val="1"/>
      <w:marLeft w:val="0"/>
      <w:marRight w:val="0"/>
      <w:marTop w:val="0"/>
      <w:marBottom w:val="0"/>
      <w:divBdr>
        <w:top w:val="none" w:sz="0" w:space="0" w:color="auto"/>
        <w:left w:val="none" w:sz="0" w:space="0" w:color="auto"/>
        <w:bottom w:val="none" w:sz="0" w:space="0" w:color="auto"/>
        <w:right w:val="none" w:sz="0" w:space="0" w:color="auto"/>
      </w:divBdr>
    </w:div>
    <w:div w:id="175459496">
      <w:bodyDiv w:val="1"/>
      <w:marLeft w:val="0"/>
      <w:marRight w:val="0"/>
      <w:marTop w:val="0"/>
      <w:marBottom w:val="0"/>
      <w:divBdr>
        <w:top w:val="none" w:sz="0" w:space="0" w:color="auto"/>
        <w:left w:val="none" w:sz="0" w:space="0" w:color="auto"/>
        <w:bottom w:val="none" w:sz="0" w:space="0" w:color="auto"/>
        <w:right w:val="none" w:sz="0" w:space="0" w:color="auto"/>
      </w:divBdr>
    </w:div>
    <w:div w:id="175922576">
      <w:bodyDiv w:val="1"/>
      <w:marLeft w:val="0"/>
      <w:marRight w:val="0"/>
      <w:marTop w:val="0"/>
      <w:marBottom w:val="0"/>
      <w:divBdr>
        <w:top w:val="none" w:sz="0" w:space="0" w:color="auto"/>
        <w:left w:val="none" w:sz="0" w:space="0" w:color="auto"/>
        <w:bottom w:val="none" w:sz="0" w:space="0" w:color="auto"/>
        <w:right w:val="none" w:sz="0" w:space="0" w:color="auto"/>
      </w:divBdr>
      <w:divsChild>
        <w:div w:id="1422142987">
          <w:marLeft w:val="547"/>
          <w:marRight w:val="0"/>
          <w:marTop w:val="154"/>
          <w:marBottom w:val="0"/>
          <w:divBdr>
            <w:top w:val="none" w:sz="0" w:space="0" w:color="auto"/>
            <w:left w:val="none" w:sz="0" w:space="0" w:color="auto"/>
            <w:bottom w:val="none" w:sz="0" w:space="0" w:color="auto"/>
            <w:right w:val="none" w:sz="0" w:space="0" w:color="auto"/>
          </w:divBdr>
        </w:div>
        <w:div w:id="1906985262">
          <w:marLeft w:val="1166"/>
          <w:marRight w:val="0"/>
          <w:marTop w:val="134"/>
          <w:marBottom w:val="0"/>
          <w:divBdr>
            <w:top w:val="none" w:sz="0" w:space="0" w:color="auto"/>
            <w:left w:val="none" w:sz="0" w:space="0" w:color="auto"/>
            <w:bottom w:val="none" w:sz="0" w:space="0" w:color="auto"/>
            <w:right w:val="none" w:sz="0" w:space="0" w:color="auto"/>
          </w:divBdr>
        </w:div>
      </w:divsChild>
    </w:div>
    <w:div w:id="175966102">
      <w:bodyDiv w:val="1"/>
      <w:marLeft w:val="0"/>
      <w:marRight w:val="0"/>
      <w:marTop w:val="0"/>
      <w:marBottom w:val="0"/>
      <w:divBdr>
        <w:top w:val="none" w:sz="0" w:space="0" w:color="auto"/>
        <w:left w:val="none" w:sz="0" w:space="0" w:color="auto"/>
        <w:bottom w:val="none" w:sz="0" w:space="0" w:color="auto"/>
        <w:right w:val="none" w:sz="0" w:space="0" w:color="auto"/>
      </w:divBdr>
    </w:div>
    <w:div w:id="177502346">
      <w:bodyDiv w:val="1"/>
      <w:marLeft w:val="0"/>
      <w:marRight w:val="0"/>
      <w:marTop w:val="0"/>
      <w:marBottom w:val="0"/>
      <w:divBdr>
        <w:top w:val="none" w:sz="0" w:space="0" w:color="auto"/>
        <w:left w:val="none" w:sz="0" w:space="0" w:color="auto"/>
        <w:bottom w:val="none" w:sz="0" w:space="0" w:color="auto"/>
        <w:right w:val="none" w:sz="0" w:space="0" w:color="auto"/>
      </w:divBdr>
    </w:div>
    <w:div w:id="177740633">
      <w:bodyDiv w:val="1"/>
      <w:marLeft w:val="0"/>
      <w:marRight w:val="0"/>
      <w:marTop w:val="0"/>
      <w:marBottom w:val="0"/>
      <w:divBdr>
        <w:top w:val="none" w:sz="0" w:space="0" w:color="auto"/>
        <w:left w:val="none" w:sz="0" w:space="0" w:color="auto"/>
        <w:bottom w:val="none" w:sz="0" w:space="0" w:color="auto"/>
        <w:right w:val="none" w:sz="0" w:space="0" w:color="auto"/>
      </w:divBdr>
    </w:div>
    <w:div w:id="177741509">
      <w:bodyDiv w:val="1"/>
      <w:marLeft w:val="0"/>
      <w:marRight w:val="0"/>
      <w:marTop w:val="0"/>
      <w:marBottom w:val="0"/>
      <w:divBdr>
        <w:top w:val="none" w:sz="0" w:space="0" w:color="auto"/>
        <w:left w:val="none" w:sz="0" w:space="0" w:color="auto"/>
        <w:bottom w:val="none" w:sz="0" w:space="0" w:color="auto"/>
        <w:right w:val="none" w:sz="0" w:space="0" w:color="auto"/>
      </w:divBdr>
      <w:divsChild>
        <w:div w:id="393965761">
          <w:marLeft w:val="1080"/>
          <w:marRight w:val="0"/>
          <w:marTop w:val="100"/>
          <w:marBottom w:val="0"/>
          <w:divBdr>
            <w:top w:val="none" w:sz="0" w:space="0" w:color="auto"/>
            <w:left w:val="none" w:sz="0" w:space="0" w:color="auto"/>
            <w:bottom w:val="none" w:sz="0" w:space="0" w:color="auto"/>
            <w:right w:val="none" w:sz="0" w:space="0" w:color="auto"/>
          </w:divBdr>
        </w:div>
        <w:div w:id="525142095">
          <w:marLeft w:val="1080"/>
          <w:marRight w:val="0"/>
          <w:marTop w:val="100"/>
          <w:marBottom w:val="0"/>
          <w:divBdr>
            <w:top w:val="none" w:sz="0" w:space="0" w:color="auto"/>
            <w:left w:val="none" w:sz="0" w:space="0" w:color="auto"/>
            <w:bottom w:val="none" w:sz="0" w:space="0" w:color="auto"/>
            <w:right w:val="none" w:sz="0" w:space="0" w:color="auto"/>
          </w:divBdr>
        </w:div>
        <w:div w:id="789863431">
          <w:marLeft w:val="360"/>
          <w:marRight w:val="0"/>
          <w:marTop w:val="200"/>
          <w:marBottom w:val="0"/>
          <w:divBdr>
            <w:top w:val="none" w:sz="0" w:space="0" w:color="auto"/>
            <w:left w:val="none" w:sz="0" w:space="0" w:color="auto"/>
            <w:bottom w:val="none" w:sz="0" w:space="0" w:color="auto"/>
            <w:right w:val="none" w:sz="0" w:space="0" w:color="auto"/>
          </w:divBdr>
        </w:div>
        <w:div w:id="1358002511">
          <w:marLeft w:val="360"/>
          <w:marRight w:val="0"/>
          <w:marTop w:val="200"/>
          <w:marBottom w:val="0"/>
          <w:divBdr>
            <w:top w:val="none" w:sz="0" w:space="0" w:color="auto"/>
            <w:left w:val="none" w:sz="0" w:space="0" w:color="auto"/>
            <w:bottom w:val="none" w:sz="0" w:space="0" w:color="auto"/>
            <w:right w:val="none" w:sz="0" w:space="0" w:color="auto"/>
          </w:divBdr>
        </w:div>
        <w:div w:id="2110083029">
          <w:marLeft w:val="360"/>
          <w:marRight w:val="0"/>
          <w:marTop w:val="200"/>
          <w:marBottom w:val="0"/>
          <w:divBdr>
            <w:top w:val="none" w:sz="0" w:space="0" w:color="auto"/>
            <w:left w:val="none" w:sz="0" w:space="0" w:color="auto"/>
            <w:bottom w:val="none" w:sz="0" w:space="0" w:color="auto"/>
            <w:right w:val="none" w:sz="0" w:space="0" w:color="auto"/>
          </w:divBdr>
        </w:div>
      </w:divsChild>
    </w:div>
    <w:div w:id="178474285">
      <w:bodyDiv w:val="1"/>
      <w:marLeft w:val="0"/>
      <w:marRight w:val="0"/>
      <w:marTop w:val="0"/>
      <w:marBottom w:val="0"/>
      <w:divBdr>
        <w:top w:val="none" w:sz="0" w:space="0" w:color="auto"/>
        <w:left w:val="none" w:sz="0" w:space="0" w:color="auto"/>
        <w:bottom w:val="none" w:sz="0" w:space="0" w:color="auto"/>
        <w:right w:val="none" w:sz="0" w:space="0" w:color="auto"/>
      </w:divBdr>
    </w:div>
    <w:div w:id="179441511">
      <w:bodyDiv w:val="1"/>
      <w:marLeft w:val="0"/>
      <w:marRight w:val="0"/>
      <w:marTop w:val="0"/>
      <w:marBottom w:val="0"/>
      <w:divBdr>
        <w:top w:val="none" w:sz="0" w:space="0" w:color="auto"/>
        <w:left w:val="none" w:sz="0" w:space="0" w:color="auto"/>
        <w:bottom w:val="none" w:sz="0" w:space="0" w:color="auto"/>
        <w:right w:val="none" w:sz="0" w:space="0" w:color="auto"/>
      </w:divBdr>
    </w:div>
    <w:div w:id="181628046">
      <w:bodyDiv w:val="1"/>
      <w:marLeft w:val="0"/>
      <w:marRight w:val="0"/>
      <w:marTop w:val="0"/>
      <w:marBottom w:val="0"/>
      <w:divBdr>
        <w:top w:val="none" w:sz="0" w:space="0" w:color="auto"/>
        <w:left w:val="none" w:sz="0" w:space="0" w:color="auto"/>
        <w:bottom w:val="none" w:sz="0" w:space="0" w:color="auto"/>
        <w:right w:val="none" w:sz="0" w:space="0" w:color="auto"/>
      </w:divBdr>
    </w:div>
    <w:div w:id="182205609">
      <w:bodyDiv w:val="1"/>
      <w:marLeft w:val="0"/>
      <w:marRight w:val="0"/>
      <w:marTop w:val="0"/>
      <w:marBottom w:val="0"/>
      <w:divBdr>
        <w:top w:val="none" w:sz="0" w:space="0" w:color="auto"/>
        <w:left w:val="none" w:sz="0" w:space="0" w:color="auto"/>
        <w:bottom w:val="none" w:sz="0" w:space="0" w:color="auto"/>
        <w:right w:val="none" w:sz="0" w:space="0" w:color="auto"/>
      </w:divBdr>
    </w:div>
    <w:div w:id="182792094">
      <w:bodyDiv w:val="1"/>
      <w:marLeft w:val="0"/>
      <w:marRight w:val="0"/>
      <w:marTop w:val="0"/>
      <w:marBottom w:val="0"/>
      <w:divBdr>
        <w:top w:val="none" w:sz="0" w:space="0" w:color="auto"/>
        <w:left w:val="none" w:sz="0" w:space="0" w:color="auto"/>
        <w:bottom w:val="none" w:sz="0" w:space="0" w:color="auto"/>
        <w:right w:val="none" w:sz="0" w:space="0" w:color="auto"/>
      </w:divBdr>
    </w:div>
    <w:div w:id="182868973">
      <w:bodyDiv w:val="1"/>
      <w:marLeft w:val="0"/>
      <w:marRight w:val="0"/>
      <w:marTop w:val="0"/>
      <w:marBottom w:val="0"/>
      <w:divBdr>
        <w:top w:val="none" w:sz="0" w:space="0" w:color="auto"/>
        <w:left w:val="none" w:sz="0" w:space="0" w:color="auto"/>
        <w:bottom w:val="none" w:sz="0" w:space="0" w:color="auto"/>
        <w:right w:val="none" w:sz="0" w:space="0" w:color="auto"/>
      </w:divBdr>
    </w:div>
    <w:div w:id="182979836">
      <w:bodyDiv w:val="1"/>
      <w:marLeft w:val="0"/>
      <w:marRight w:val="0"/>
      <w:marTop w:val="0"/>
      <w:marBottom w:val="0"/>
      <w:divBdr>
        <w:top w:val="none" w:sz="0" w:space="0" w:color="auto"/>
        <w:left w:val="none" w:sz="0" w:space="0" w:color="auto"/>
        <w:bottom w:val="none" w:sz="0" w:space="0" w:color="auto"/>
        <w:right w:val="none" w:sz="0" w:space="0" w:color="auto"/>
      </w:divBdr>
    </w:div>
    <w:div w:id="182983857">
      <w:bodyDiv w:val="1"/>
      <w:marLeft w:val="0"/>
      <w:marRight w:val="0"/>
      <w:marTop w:val="0"/>
      <w:marBottom w:val="0"/>
      <w:divBdr>
        <w:top w:val="none" w:sz="0" w:space="0" w:color="auto"/>
        <w:left w:val="none" w:sz="0" w:space="0" w:color="auto"/>
        <w:bottom w:val="none" w:sz="0" w:space="0" w:color="auto"/>
        <w:right w:val="none" w:sz="0" w:space="0" w:color="auto"/>
      </w:divBdr>
    </w:div>
    <w:div w:id="183327891">
      <w:bodyDiv w:val="1"/>
      <w:marLeft w:val="0"/>
      <w:marRight w:val="0"/>
      <w:marTop w:val="0"/>
      <w:marBottom w:val="0"/>
      <w:divBdr>
        <w:top w:val="none" w:sz="0" w:space="0" w:color="auto"/>
        <w:left w:val="none" w:sz="0" w:space="0" w:color="auto"/>
        <w:bottom w:val="none" w:sz="0" w:space="0" w:color="auto"/>
        <w:right w:val="none" w:sz="0" w:space="0" w:color="auto"/>
      </w:divBdr>
    </w:div>
    <w:div w:id="183440345">
      <w:bodyDiv w:val="1"/>
      <w:marLeft w:val="0"/>
      <w:marRight w:val="0"/>
      <w:marTop w:val="0"/>
      <w:marBottom w:val="0"/>
      <w:divBdr>
        <w:top w:val="none" w:sz="0" w:space="0" w:color="auto"/>
        <w:left w:val="none" w:sz="0" w:space="0" w:color="auto"/>
        <w:bottom w:val="none" w:sz="0" w:space="0" w:color="auto"/>
        <w:right w:val="none" w:sz="0" w:space="0" w:color="auto"/>
      </w:divBdr>
      <w:divsChild>
        <w:div w:id="893547265">
          <w:marLeft w:val="1166"/>
          <w:marRight w:val="0"/>
          <w:marTop w:val="96"/>
          <w:marBottom w:val="0"/>
          <w:divBdr>
            <w:top w:val="none" w:sz="0" w:space="0" w:color="auto"/>
            <w:left w:val="none" w:sz="0" w:space="0" w:color="auto"/>
            <w:bottom w:val="none" w:sz="0" w:space="0" w:color="auto"/>
            <w:right w:val="none" w:sz="0" w:space="0" w:color="auto"/>
          </w:divBdr>
        </w:div>
        <w:div w:id="1518738886">
          <w:marLeft w:val="547"/>
          <w:marRight w:val="0"/>
          <w:marTop w:val="115"/>
          <w:marBottom w:val="0"/>
          <w:divBdr>
            <w:top w:val="none" w:sz="0" w:space="0" w:color="auto"/>
            <w:left w:val="none" w:sz="0" w:space="0" w:color="auto"/>
            <w:bottom w:val="none" w:sz="0" w:space="0" w:color="auto"/>
            <w:right w:val="none" w:sz="0" w:space="0" w:color="auto"/>
          </w:divBdr>
        </w:div>
        <w:div w:id="1621886089">
          <w:marLeft w:val="1166"/>
          <w:marRight w:val="0"/>
          <w:marTop w:val="96"/>
          <w:marBottom w:val="0"/>
          <w:divBdr>
            <w:top w:val="none" w:sz="0" w:space="0" w:color="auto"/>
            <w:left w:val="none" w:sz="0" w:space="0" w:color="auto"/>
            <w:bottom w:val="none" w:sz="0" w:space="0" w:color="auto"/>
            <w:right w:val="none" w:sz="0" w:space="0" w:color="auto"/>
          </w:divBdr>
        </w:div>
        <w:div w:id="1745488457">
          <w:marLeft w:val="1166"/>
          <w:marRight w:val="0"/>
          <w:marTop w:val="96"/>
          <w:marBottom w:val="0"/>
          <w:divBdr>
            <w:top w:val="none" w:sz="0" w:space="0" w:color="auto"/>
            <w:left w:val="none" w:sz="0" w:space="0" w:color="auto"/>
            <w:bottom w:val="none" w:sz="0" w:space="0" w:color="auto"/>
            <w:right w:val="none" w:sz="0" w:space="0" w:color="auto"/>
          </w:divBdr>
        </w:div>
        <w:div w:id="2145156576">
          <w:marLeft w:val="547"/>
          <w:marRight w:val="0"/>
          <w:marTop w:val="115"/>
          <w:marBottom w:val="0"/>
          <w:divBdr>
            <w:top w:val="none" w:sz="0" w:space="0" w:color="auto"/>
            <w:left w:val="none" w:sz="0" w:space="0" w:color="auto"/>
            <w:bottom w:val="none" w:sz="0" w:space="0" w:color="auto"/>
            <w:right w:val="none" w:sz="0" w:space="0" w:color="auto"/>
          </w:divBdr>
        </w:div>
      </w:divsChild>
    </w:div>
    <w:div w:id="184490266">
      <w:bodyDiv w:val="1"/>
      <w:marLeft w:val="0"/>
      <w:marRight w:val="0"/>
      <w:marTop w:val="0"/>
      <w:marBottom w:val="0"/>
      <w:divBdr>
        <w:top w:val="none" w:sz="0" w:space="0" w:color="auto"/>
        <w:left w:val="none" w:sz="0" w:space="0" w:color="auto"/>
        <w:bottom w:val="none" w:sz="0" w:space="0" w:color="auto"/>
        <w:right w:val="none" w:sz="0" w:space="0" w:color="auto"/>
      </w:divBdr>
    </w:div>
    <w:div w:id="185876607">
      <w:bodyDiv w:val="1"/>
      <w:marLeft w:val="0"/>
      <w:marRight w:val="0"/>
      <w:marTop w:val="0"/>
      <w:marBottom w:val="0"/>
      <w:divBdr>
        <w:top w:val="none" w:sz="0" w:space="0" w:color="auto"/>
        <w:left w:val="none" w:sz="0" w:space="0" w:color="auto"/>
        <w:bottom w:val="none" w:sz="0" w:space="0" w:color="auto"/>
        <w:right w:val="none" w:sz="0" w:space="0" w:color="auto"/>
      </w:divBdr>
    </w:div>
    <w:div w:id="188182069">
      <w:bodyDiv w:val="1"/>
      <w:marLeft w:val="0"/>
      <w:marRight w:val="0"/>
      <w:marTop w:val="0"/>
      <w:marBottom w:val="0"/>
      <w:divBdr>
        <w:top w:val="none" w:sz="0" w:space="0" w:color="auto"/>
        <w:left w:val="none" w:sz="0" w:space="0" w:color="auto"/>
        <w:bottom w:val="none" w:sz="0" w:space="0" w:color="auto"/>
        <w:right w:val="none" w:sz="0" w:space="0" w:color="auto"/>
      </w:divBdr>
    </w:div>
    <w:div w:id="188297348">
      <w:bodyDiv w:val="1"/>
      <w:marLeft w:val="0"/>
      <w:marRight w:val="0"/>
      <w:marTop w:val="0"/>
      <w:marBottom w:val="0"/>
      <w:divBdr>
        <w:top w:val="none" w:sz="0" w:space="0" w:color="auto"/>
        <w:left w:val="none" w:sz="0" w:space="0" w:color="auto"/>
        <w:bottom w:val="none" w:sz="0" w:space="0" w:color="auto"/>
        <w:right w:val="none" w:sz="0" w:space="0" w:color="auto"/>
      </w:divBdr>
    </w:div>
    <w:div w:id="189532393">
      <w:bodyDiv w:val="1"/>
      <w:marLeft w:val="0"/>
      <w:marRight w:val="0"/>
      <w:marTop w:val="0"/>
      <w:marBottom w:val="0"/>
      <w:divBdr>
        <w:top w:val="none" w:sz="0" w:space="0" w:color="auto"/>
        <w:left w:val="none" w:sz="0" w:space="0" w:color="auto"/>
        <w:bottom w:val="none" w:sz="0" w:space="0" w:color="auto"/>
        <w:right w:val="none" w:sz="0" w:space="0" w:color="auto"/>
      </w:divBdr>
    </w:div>
    <w:div w:id="192958293">
      <w:bodyDiv w:val="1"/>
      <w:marLeft w:val="0"/>
      <w:marRight w:val="0"/>
      <w:marTop w:val="0"/>
      <w:marBottom w:val="0"/>
      <w:divBdr>
        <w:top w:val="none" w:sz="0" w:space="0" w:color="auto"/>
        <w:left w:val="none" w:sz="0" w:space="0" w:color="auto"/>
        <w:bottom w:val="none" w:sz="0" w:space="0" w:color="auto"/>
        <w:right w:val="none" w:sz="0" w:space="0" w:color="auto"/>
      </w:divBdr>
    </w:div>
    <w:div w:id="193882526">
      <w:bodyDiv w:val="1"/>
      <w:marLeft w:val="0"/>
      <w:marRight w:val="0"/>
      <w:marTop w:val="0"/>
      <w:marBottom w:val="0"/>
      <w:divBdr>
        <w:top w:val="none" w:sz="0" w:space="0" w:color="auto"/>
        <w:left w:val="none" w:sz="0" w:space="0" w:color="auto"/>
        <w:bottom w:val="none" w:sz="0" w:space="0" w:color="auto"/>
        <w:right w:val="none" w:sz="0" w:space="0" w:color="auto"/>
      </w:divBdr>
    </w:div>
    <w:div w:id="194730968">
      <w:bodyDiv w:val="1"/>
      <w:marLeft w:val="0"/>
      <w:marRight w:val="0"/>
      <w:marTop w:val="0"/>
      <w:marBottom w:val="0"/>
      <w:divBdr>
        <w:top w:val="none" w:sz="0" w:space="0" w:color="auto"/>
        <w:left w:val="none" w:sz="0" w:space="0" w:color="auto"/>
        <w:bottom w:val="none" w:sz="0" w:space="0" w:color="auto"/>
        <w:right w:val="none" w:sz="0" w:space="0" w:color="auto"/>
      </w:divBdr>
    </w:div>
    <w:div w:id="195119395">
      <w:bodyDiv w:val="1"/>
      <w:marLeft w:val="0"/>
      <w:marRight w:val="0"/>
      <w:marTop w:val="0"/>
      <w:marBottom w:val="0"/>
      <w:divBdr>
        <w:top w:val="none" w:sz="0" w:space="0" w:color="auto"/>
        <w:left w:val="none" w:sz="0" w:space="0" w:color="auto"/>
        <w:bottom w:val="none" w:sz="0" w:space="0" w:color="auto"/>
        <w:right w:val="none" w:sz="0" w:space="0" w:color="auto"/>
      </w:divBdr>
    </w:div>
    <w:div w:id="195390437">
      <w:bodyDiv w:val="1"/>
      <w:marLeft w:val="0"/>
      <w:marRight w:val="0"/>
      <w:marTop w:val="0"/>
      <w:marBottom w:val="0"/>
      <w:divBdr>
        <w:top w:val="none" w:sz="0" w:space="0" w:color="auto"/>
        <w:left w:val="none" w:sz="0" w:space="0" w:color="auto"/>
        <w:bottom w:val="none" w:sz="0" w:space="0" w:color="auto"/>
        <w:right w:val="none" w:sz="0" w:space="0" w:color="auto"/>
      </w:divBdr>
    </w:div>
    <w:div w:id="195625101">
      <w:bodyDiv w:val="1"/>
      <w:marLeft w:val="0"/>
      <w:marRight w:val="0"/>
      <w:marTop w:val="0"/>
      <w:marBottom w:val="0"/>
      <w:divBdr>
        <w:top w:val="none" w:sz="0" w:space="0" w:color="auto"/>
        <w:left w:val="none" w:sz="0" w:space="0" w:color="auto"/>
        <w:bottom w:val="none" w:sz="0" w:space="0" w:color="auto"/>
        <w:right w:val="none" w:sz="0" w:space="0" w:color="auto"/>
      </w:divBdr>
    </w:div>
    <w:div w:id="195781059">
      <w:bodyDiv w:val="1"/>
      <w:marLeft w:val="0"/>
      <w:marRight w:val="0"/>
      <w:marTop w:val="0"/>
      <w:marBottom w:val="0"/>
      <w:divBdr>
        <w:top w:val="none" w:sz="0" w:space="0" w:color="auto"/>
        <w:left w:val="none" w:sz="0" w:space="0" w:color="auto"/>
        <w:bottom w:val="none" w:sz="0" w:space="0" w:color="auto"/>
        <w:right w:val="none" w:sz="0" w:space="0" w:color="auto"/>
      </w:divBdr>
      <w:divsChild>
        <w:div w:id="1497111784">
          <w:marLeft w:val="360"/>
          <w:marRight w:val="0"/>
          <w:marTop w:val="200"/>
          <w:marBottom w:val="0"/>
          <w:divBdr>
            <w:top w:val="none" w:sz="0" w:space="0" w:color="auto"/>
            <w:left w:val="none" w:sz="0" w:space="0" w:color="auto"/>
            <w:bottom w:val="none" w:sz="0" w:space="0" w:color="auto"/>
            <w:right w:val="none" w:sz="0" w:space="0" w:color="auto"/>
          </w:divBdr>
        </w:div>
      </w:divsChild>
    </w:div>
    <w:div w:id="196622884">
      <w:bodyDiv w:val="1"/>
      <w:marLeft w:val="0"/>
      <w:marRight w:val="0"/>
      <w:marTop w:val="0"/>
      <w:marBottom w:val="0"/>
      <w:divBdr>
        <w:top w:val="none" w:sz="0" w:space="0" w:color="auto"/>
        <w:left w:val="none" w:sz="0" w:space="0" w:color="auto"/>
        <w:bottom w:val="none" w:sz="0" w:space="0" w:color="auto"/>
        <w:right w:val="none" w:sz="0" w:space="0" w:color="auto"/>
      </w:divBdr>
    </w:div>
    <w:div w:id="197746771">
      <w:bodyDiv w:val="1"/>
      <w:marLeft w:val="0"/>
      <w:marRight w:val="0"/>
      <w:marTop w:val="0"/>
      <w:marBottom w:val="0"/>
      <w:divBdr>
        <w:top w:val="none" w:sz="0" w:space="0" w:color="auto"/>
        <w:left w:val="none" w:sz="0" w:space="0" w:color="auto"/>
        <w:bottom w:val="none" w:sz="0" w:space="0" w:color="auto"/>
        <w:right w:val="none" w:sz="0" w:space="0" w:color="auto"/>
      </w:divBdr>
    </w:div>
    <w:div w:id="198126088">
      <w:bodyDiv w:val="1"/>
      <w:marLeft w:val="0"/>
      <w:marRight w:val="0"/>
      <w:marTop w:val="0"/>
      <w:marBottom w:val="0"/>
      <w:divBdr>
        <w:top w:val="none" w:sz="0" w:space="0" w:color="auto"/>
        <w:left w:val="none" w:sz="0" w:space="0" w:color="auto"/>
        <w:bottom w:val="none" w:sz="0" w:space="0" w:color="auto"/>
        <w:right w:val="none" w:sz="0" w:space="0" w:color="auto"/>
      </w:divBdr>
    </w:div>
    <w:div w:id="198394257">
      <w:bodyDiv w:val="1"/>
      <w:marLeft w:val="0"/>
      <w:marRight w:val="0"/>
      <w:marTop w:val="0"/>
      <w:marBottom w:val="0"/>
      <w:divBdr>
        <w:top w:val="none" w:sz="0" w:space="0" w:color="auto"/>
        <w:left w:val="none" w:sz="0" w:space="0" w:color="auto"/>
        <w:bottom w:val="none" w:sz="0" w:space="0" w:color="auto"/>
        <w:right w:val="none" w:sz="0" w:space="0" w:color="auto"/>
      </w:divBdr>
    </w:div>
    <w:div w:id="199512780">
      <w:bodyDiv w:val="1"/>
      <w:marLeft w:val="0"/>
      <w:marRight w:val="0"/>
      <w:marTop w:val="0"/>
      <w:marBottom w:val="0"/>
      <w:divBdr>
        <w:top w:val="none" w:sz="0" w:space="0" w:color="auto"/>
        <w:left w:val="none" w:sz="0" w:space="0" w:color="auto"/>
        <w:bottom w:val="none" w:sz="0" w:space="0" w:color="auto"/>
        <w:right w:val="none" w:sz="0" w:space="0" w:color="auto"/>
      </w:divBdr>
    </w:div>
    <w:div w:id="199900875">
      <w:bodyDiv w:val="1"/>
      <w:marLeft w:val="0"/>
      <w:marRight w:val="0"/>
      <w:marTop w:val="0"/>
      <w:marBottom w:val="0"/>
      <w:divBdr>
        <w:top w:val="none" w:sz="0" w:space="0" w:color="auto"/>
        <w:left w:val="none" w:sz="0" w:space="0" w:color="auto"/>
        <w:bottom w:val="none" w:sz="0" w:space="0" w:color="auto"/>
        <w:right w:val="none" w:sz="0" w:space="0" w:color="auto"/>
      </w:divBdr>
    </w:div>
    <w:div w:id="200630975">
      <w:bodyDiv w:val="1"/>
      <w:marLeft w:val="0"/>
      <w:marRight w:val="0"/>
      <w:marTop w:val="0"/>
      <w:marBottom w:val="0"/>
      <w:divBdr>
        <w:top w:val="none" w:sz="0" w:space="0" w:color="auto"/>
        <w:left w:val="none" w:sz="0" w:space="0" w:color="auto"/>
        <w:bottom w:val="none" w:sz="0" w:space="0" w:color="auto"/>
        <w:right w:val="none" w:sz="0" w:space="0" w:color="auto"/>
      </w:divBdr>
    </w:div>
    <w:div w:id="201401721">
      <w:bodyDiv w:val="1"/>
      <w:marLeft w:val="0"/>
      <w:marRight w:val="0"/>
      <w:marTop w:val="0"/>
      <w:marBottom w:val="0"/>
      <w:divBdr>
        <w:top w:val="none" w:sz="0" w:space="0" w:color="auto"/>
        <w:left w:val="none" w:sz="0" w:space="0" w:color="auto"/>
        <w:bottom w:val="none" w:sz="0" w:space="0" w:color="auto"/>
        <w:right w:val="none" w:sz="0" w:space="0" w:color="auto"/>
      </w:divBdr>
    </w:div>
    <w:div w:id="201602480">
      <w:bodyDiv w:val="1"/>
      <w:marLeft w:val="0"/>
      <w:marRight w:val="0"/>
      <w:marTop w:val="0"/>
      <w:marBottom w:val="0"/>
      <w:divBdr>
        <w:top w:val="none" w:sz="0" w:space="0" w:color="auto"/>
        <w:left w:val="none" w:sz="0" w:space="0" w:color="auto"/>
        <w:bottom w:val="none" w:sz="0" w:space="0" w:color="auto"/>
        <w:right w:val="none" w:sz="0" w:space="0" w:color="auto"/>
      </w:divBdr>
    </w:div>
    <w:div w:id="202061255">
      <w:bodyDiv w:val="1"/>
      <w:marLeft w:val="0"/>
      <w:marRight w:val="0"/>
      <w:marTop w:val="0"/>
      <w:marBottom w:val="0"/>
      <w:divBdr>
        <w:top w:val="none" w:sz="0" w:space="0" w:color="auto"/>
        <w:left w:val="none" w:sz="0" w:space="0" w:color="auto"/>
        <w:bottom w:val="none" w:sz="0" w:space="0" w:color="auto"/>
        <w:right w:val="none" w:sz="0" w:space="0" w:color="auto"/>
      </w:divBdr>
      <w:divsChild>
        <w:div w:id="2128350529">
          <w:marLeft w:val="1166"/>
          <w:marRight w:val="0"/>
          <w:marTop w:val="96"/>
          <w:marBottom w:val="0"/>
          <w:divBdr>
            <w:top w:val="none" w:sz="0" w:space="0" w:color="auto"/>
            <w:left w:val="none" w:sz="0" w:space="0" w:color="auto"/>
            <w:bottom w:val="none" w:sz="0" w:space="0" w:color="auto"/>
            <w:right w:val="none" w:sz="0" w:space="0" w:color="auto"/>
          </w:divBdr>
        </w:div>
      </w:divsChild>
    </w:div>
    <w:div w:id="202714704">
      <w:bodyDiv w:val="1"/>
      <w:marLeft w:val="0"/>
      <w:marRight w:val="0"/>
      <w:marTop w:val="0"/>
      <w:marBottom w:val="0"/>
      <w:divBdr>
        <w:top w:val="none" w:sz="0" w:space="0" w:color="auto"/>
        <w:left w:val="none" w:sz="0" w:space="0" w:color="auto"/>
        <w:bottom w:val="none" w:sz="0" w:space="0" w:color="auto"/>
        <w:right w:val="none" w:sz="0" w:space="0" w:color="auto"/>
      </w:divBdr>
    </w:div>
    <w:div w:id="202864281">
      <w:bodyDiv w:val="1"/>
      <w:marLeft w:val="0"/>
      <w:marRight w:val="0"/>
      <w:marTop w:val="0"/>
      <w:marBottom w:val="0"/>
      <w:divBdr>
        <w:top w:val="none" w:sz="0" w:space="0" w:color="auto"/>
        <w:left w:val="none" w:sz="0" w:space="0" w:color="auto"/>
        <w:bottom w:val="none" w:sz="0" w:space="0" w:color="auto"/>
        <w:right w:val="none" w:sz="0" w:space="0" w:color="auto"/>
      </w:divBdr>
      <w:divsChild>
        <w:div w:id="54478488">
          <w:marLeft w:val="1166"/>
          <w:marRight w:val="0"/>
          <w:marTop w:val="86"/>
          <w:marBottom w:val="0"/>
          <w:divBdr>
            <w:top w:val="none" w:sz="0" w:space="0" w:color="auto"/>
            <w:left w:val="none" w:sz="0" w:space="0" w:color="auto"/>
            <w:bottom w:val="none" w:sz="0" w:space="0" w:color="auto"/>
            <w:right w:val="none" w:sz="0" w:space="0" w:color="auto"/>
          </w:divBdr>
        </w:div>
        <w:div w:id="151912520">
          <w:marLeft w:val="1166"/>
          <w:marRight w:val="0"/>
          <w:marTop w:val="86"/>
          <w:marBottom w:val="0"/>
          <w:divBdr>
            <w:top w:val="none" w:sz="0" w:space="0" w:color="auto"/>
            <w:left w:val="none" w:sz="0" w:space="0" w:color="auto"/>
            <w:bottom w:val="none" w:sz="0" w:space="0" w:color="auto"/>
            <w:right w:val="none" w:sz="0" w:space="0" w:color="auto"/>
          </w:divBdr>
        </w:div>
        <w:div w:id="160238137">
          <w:marLeft w:val="547"/>
          <w:marRight w:val="0"/>
          <w:marTop w:val="96"/>
          <w:marBottom w:val="0"/>
          <w:divBdr>
            <w:top w:val="none" w:sz="0" w:space="0" w:color="auto"/>
            <w:left w:val="none" w:sz="0" w:space="0" w:color="auto"/>
            <w:bottom w:val="none" w:sz="0" w:space="0" w:color="auto"/>
            <w:right w:val="none" w:sz="0" w:space="0" w:color="auto"/>
          </w:divBdr>
        </w:div>
        <w:div w:id="230817940">
          <w:marLeft w:val="2520"/>
          <w:marRight w:val="0"/>
          <w:marTop w:val="67"/>
          <w:marBottom w:val="0"/>
          <w:divBdr>
            <w:top w:val="none" w:sz="0" w:space="0" w:color="auto"/>
            <w:left w:val="none" w:sz="0" w:space="0" w:color="auto"/>
            <w:bottom w:val="none" w:sz="0" w:space="0" w:color="auto"/>
            <w:right w:val="none" w:sz="0" w:space="0" w:color="auto"/>
          </w:divBdr>
        </w:div>
        <w:div w:id="347102378">
          <w:marLeft w:val="547"/>
          <w:marRight w:val="0"/>
          <w:marTop w:val="96"/>
          <w:marBottom w:val="0"/>
          <w:divBdr>
            <w:top w:val="none" w:sz="0" w:space="0" w:color="auto"/>
            <w:left w:val="none" w:sz="0" w:space="0" w:color="auto"/>
            <w:bottom w:val="none" w:sz="0" w:space="0" w:color="auto"/>
            <w:right w:val="none" w:sz="0" w:space="0" w:color="auto"/>
          </w:divBdr>
        </w:div>
        <w:div w:id="910771100">
          <w:marLeft w:val="2520"/>
          <w:marRight w:val="0"/>
          <w:marTop w:val="67"/>
          <w:marBottom w:val="0"/>
          <w:divBdr>
            <w:top w:val="none" w:sz="0" w:space="0" w:color="auto"/>
            <w:left w:val="none" w:sz="0" w:space="0" w:color="auto"/>
            <w:bottom w:val="none" w:sz="0" w:space="0" w:color="auto"/>
            <w:right w:val="none" w:sz="0" w:space="0" w:color="auto"/>
          </w:divBdr>
        </w:div>
        <w:div w:id="1257325955">
          <w:marLeft w:val="547"/>
          <w:marRight w:val="0"/>
          <w:marTop w:val="96"/>
          <w:marBottom w:val="0"/>
          <w:divBdr>
            <w:top w:val="none" w:sz="0" w:space="0" w:color="auto"/>
            <w:left w:val="none" w:sz="0" w:space="0" w:color="auto"/>
            <w:bottom w:val="none" w:sz="0" w:space="0" w:color="auto"/>
            <w:right w:val="none" w:sz="0" w:space="0" w:color="auto"/>
          </w:divBdr>
        </w:div>
        <w:div w:id="1736509513">
          <w:marLeft w:val="1166"/>
          <w:marRight w:val="0"/>
          <w:marTop w:val="86"/>
          <w:marBottom w:val="0"/>
          <w:divBdr>
            <w:top w:val="none" w:sz="0" w:space="0" w:color="auto"/>
            <w:left w:val="none" w:sz="0" w:space="0" w:color="auto"/>
            <w:bottom w:val="none" w:sz="0" w:space="0" w:color="auto"/>
            <w:right w:val="none" w:sz="0" w:space="0" w:color="auto"/>
          </w:divBdr>
        </w:div>
        <w:div w:id="1805930030">
          <w:marLeft w:val="1800"/>
          <w:marRight w:val="0"/>
          <w:marTop w:val="77"/>
          <w:marBottom w:val="0"/>
          <w:divBdr>
            <w:top w:val="none" w:sz="0" w:space="0" w:color="auto"/>
            <w:left w:val="none" w:sz="0" w:space="0" w:color="auto"/>
            <w:bottom w:val="none" w:sz="0" w:space="0" w:color="auto"/>
            <w:right w:val="none" w:sz="0" w:space="0" w:color="auto"/>
          </w:divBdr>
        </w:div>
        <w:div w:id="2099521139">
          <w:marLeft w:val="1800"/>
          <w:marRight w:val="0"/>
          <w:marTop w:val="77"/>
          <w:marBottom w:val="0"/>
          <w:divBdr>
            <w:top w:val="none" w:sz="0" w:space="0" w:color="auto"/>
            <w:left w:val="none" w:sz="0" w:space="0" w:color="auto"/>
            <w:bottom w:val="none" w:sz="0" w:space="0" w:color="auto"/>
            <w:right w:val="none" w:sz="0" w:space="0" w:color="auto"/>
          </w:divBdr>
        </w:div>
      </w:divsChild>
    </w:div>
    <w:div w:id="203100205">
      <w:bodyDiv w:val="1"/>
      <w:marLeft w:val="0"/>
      <w:marRight w:val="0"/>
      <w:marTop w:val="0"/>
      <w:marBottom w:val="0"/>
      <w:divBdr>
        <w:top w:val="none" w:sz="0" w:space="0" w:color="auto"/>
        <w:left w:val="none" w:sz="0" w:space="0" w:color="auto"/>
        <w:bottom w:val="none" w:sz="0" w:space="0" w:color="auto"/>
        <w:right w:val="none" w:sz="0" w:space="0" w:color="auto"/>
      </w:divBdr>
    </w:div>
    <w:div w:id="203718102">
      <w:bodyDiv w:val="1"/>
      <w:marLeft w:val="0"/>
      <w:marRight w:val="0"/>
      <w:marTop w:val="0"/>
      <w:marBottom w:val="0"/>
      <w:divBdr>
        <w:top w:val="none" w:sz="0" w:space="0" w:color="auto"/>
        <w:left w:val="none" w:sz="0" w:space="0" w:color="auto"/>
        <w:bottom w:val="none" w:sz="0" w:space="0" w:color="auto"/>
        <w:right w:val="none" w:sz="0" w:space="0" w:color="auto"/>
      </w:divBdr>
    </w:div>
    <w:div w:id="204103688">
      <w:bodyDiv w:val="1"/>
      <w:marLeft w:val="0"/>
      <w:marRight w:val="0"/>
      <w:marTop w:val="0"/>
      <w:marBottom w:val="0"/>
      <w:divBdr>
        <w:top w:val="none" w:sz="0" w:space="0" w:color="auto"/>
        <w:left w:val="none" w:sz="0" w:space="0" w:color="auto"/>
        <w:bottom w:val="none" w:sz="0" w:space="0" w:color="auto"/>
        <w:right w:val="none" w:sz="0" w:space="0" w:color="auto"/>
      </w:divBdr>
    </w:div>
    <w:div w:id="204678370">
      <w:bodyDiv w:val="1"/>
      <w:marLeft w:val="0"/>
      <w:marRight w:val="0"/>
      <w:marTop w:val="0"/>
      <w:marBottom w:val="0"/>
      <w:divBdr>
        <w:top w:val="none" w:sz="0" w:space="0" w:color="auto"/>
        <w:left w:val="none" w:sz="0" w:space="0" w:color="auto"/>
        <w:bottom w:val="none" w:sz="0" w:space="0" w:color="auto"/>
        <w:right w:val="none" w:sz="0" w:space="0" w:color="auto"/>
      </w:divBdr>
      <w:divsChild>
        <w:div w:id="121732080">
          <w:marLeft w:val="1166"/>
          <w:marRight w:val="0"/>
          <w:marTop w:val="134"/>
          <w:marBottom w:val="0"/>
          <w:divBdr>
            <w:top w:val="none" w:sz="0" w:space="0" w:color="auto"/>
            <w:left w:val="none" w:sz="0" w:space="0" w:color="auto"/>
            <w:bottom w:val="none" w:sz="0" w:space="0" w:color="auto"/>
            <w:right w:val="none" w:sz="0" w:space="0" w:color="auto"/>
          </w:divBdr>
        </w:div>
        <w:div w:id="416247990">
          <w:marLeft w:val="1166"/>
          <w:marRight w:val="0"/>
          <w:marTop w:val="134"/>
          <w:marBottom w:val="0"/>
          <w:divBdr>
            <w:top w:val="none" w:sz="0" w:space="0" w:color="auto"/>
            <w:left w:val="none" w:sz="0" w:space="0" w:color="auto"/>
            <w:bottom w:val="none" w:sz="0" w:space="0" w:color="auto"/>
            <w:right w:val="none" w:sz="0" w:space="0" w:color="auto"/>
          </w:divBdr>
        </w:div>
        <w:div w:id="736971625">
          <w:marLeft w:val="547"/>
          <w:marRight w:val="0"/>
          <w:marTop w:val="173"/>
          <w:marBottom w:val="0"/>
          <w:divBdr>
            <w:top w:val="none" w:sz="0" w:space="0" w:color="auto"/>
            <w:left w:val="none" w:sz="0" w:space="0" w:color="auto"/>
            <w:bottom w:val="none" w:sz="0" w:space="0" w:color="auto"/>
            <w:right w:val="none" w:sz="0" w:space="0" w:color="auto"/>
          </w:divBdr>
        </w:div>
        <w:div w:id="1071388182">
          <w:marLeft w:val="1166"/>
          <w:marRight w:val="0"/>
          <w:marTop w:val="134"/>
          <w:marBottom w:val="0"/>
          <w:divBdr>
            <w:top w:val="none" w:sz="0" w:space="0" w:color="auto"/>
            <w:left w:val="none" w:sz="0" w:space="0" w:color="auto"/>
            <w:bottom w:val="none" w:sz="0" w:space="0" w:color="auto"/>
            <w:right w:val="none" w:sz="0" w:space="0" w:color="auto"/>
          </w:divBdr>
        </w:div>
        <w:div w:id="1115709270">
          <w:marLeft w:val="1166"/>
          <w:marRight w:val="0"/>
          <w:marTop w:val="134"/>
          <w:marBottom w:val="0"/>
          <w:divBdr>
            <w:top w:val="none" w:sz="0" w:space="0" w:color="auto"/>
            <w:left w:val="none" w:sz="0" w:space="0" w:color="auto"/>
            <w:bottom w:val="none" w:sz="0" w:space="0" w:color="auto"/>
            <w:right w:val="none" w:sz="0" w:space="0" w:color="auto"/>
          </w:divBdr>
        </w:div>
        <w:div w:id="1187015016">
          <w:marLeft w:val="1166"/>
          <w:marRight w:val="0"/>
          <w:marTop w:val="134"/>
          <w:marBottom w:val="0"/>
          <w:divBdr>
            <w:top w:val="none" w:sz="0" w:space="0" w:color="auto"/>
            <w:left w:val="none" w:sz="0" w:space="0" w:color="auto"/>
            <w:bottom w:val="none" w:sz="0" w:space="0" w:color="auto"/>
            <w:right w:val="none" w:sz="0" w:space="0" w:color="auto"/>
          </w:divBdr>
        </w:div>
      </w:divsChild>
    </w:div>
    <w:div w:id="204946418">
      <w:bodyDiv w:val="1"/>
      <w:marLeft w:val="0"/>
      <w:marRight w:val="0"/>
      <w:marTop w:val="0"/>
      <w:marBottom w:val="0"/>
      <w:divBdr>
        <w:top w:val="none" w:sz="0" w:space="0" w:color="auto"/>
        <w:left w:val="none" w:sz="0" w:space="0" w:color="auto"/>
        <w:bottom w:val="none" w:sz="0" w:space="0" w:color="auto"/>
        <w:right w:val="none" w:sz="0" w:space="0" w:color="auto"/>
      </w:divBdr>
    </w:div>
    <w:div w:id="207569390">
      <w:bodyDiv w:val="1"/>
      <w:marLeft w:val="0"/>
      <w:marRight w:val="0"/>
      <w:marTop w:val="0"/>
      <w:marBottom w:val="0"/>
      <w:divBdr>
        <w:top w:val="none" w:sz="0" w:space="0" w:color="auto"/>
        <w:left w:val="none" w:sz="0" w:space="0" w:color="auto"/>
        <w:bottom w:val="none" w:sz="0" w:space="0" w:color="auto"/>
        <w:right w:val="none" w:sz="0" w:space="0" w:color="auto"/>
      </w:divBdr>
    </w:div>
    <w:div w:id="208151014">
      <w:bodyDiv w:val="1"/>
      <w:marLeft w:val="0"/>
      <w:marRight w:val="0"/>
      <w:marTop w:val="0"/>
      <w:marBottom w:val="0"/>
      <w:divBdr>
        <w:top w:val="none" w:sz="0" w:space="0" w:color="auto"/>
        <w:left w:val="none" w:sz="0" w:space="0" w:color="auto"/>
        <w:bottom w:val="none" w:sz="0" w:space="0" w:color="auto"/>
        <w:right w:val="none" w:sz="0" w:space="0" w:color="auto"/>
      </w:divBdr>
    </w:div>
    <w:div w:id="208491509">
      <w:bodyDiv w:val="1"/>
      <w:marLeft w:val="0"/>
      <w:marRight w:val="0"/>
      <w:marTop w:val="0"/>
      <w:marBottom w:val="0"/>
      <w:divBdr>
        <w:top w:val="none" w:sz="0" w:space="0" w:color="auto"/>
        <w:left w:val="none" w:sz="0" w:space="0" w:color="auto"/>
        <w:bottom w:val="none" w:sz="0" w:space="0" w:color="auto"/>
        <w:right w:val="none" w:sz="0" w:space="0" w:color="auto"/>
      </w:divBdr>
    </w:div>
    <w:div w:id="209152109">
      <w:bodyDiv w:val="1"/>
      <w:marLeft w:val="0"/>
      <w:marRight w:val="0"/>
      <w:marTop w:val="0"/>
      <w:marBottom w:val="0"/>
      <w:divBdr>
        <w:top w:val="none" w:sz="0" w:space="0" w:color="auto"/>
        <w:left w:val="none" w:sz="0" w:space="0" w:color="auto"/>
        <w:bottom w:val="none" w:sz="0" w:space="0" w:color="auto"/>
        <w:right w:val="none" w:sz="0" w:space="0" w:color="auto"/>
      </w:divBdr>
      <w:divsChild>
        <w:div w:id="839349280">
          <w:marLeft w:val="360"/>
          <w:marRight w:val="0"/>
          <w:marTop w:val="200"/>
          <w:marBottom w:val="0"/>
          <w:divBdr>
            <w:top w:val="none" w:sz="0" w:space="0" w:color="auto"/>
            <w:left w:val="none" w:sz="0" w:space="0" w:color="auto"/>
            <w:bottom w:val="none" w:sz="0" w:space="0" w:color="auto"/>
            <w:right w:val="none" w:sz="0" w:space="0" w:color="auto"/>
          </w:divBdr>
        </w:div>
      </w:divsChild>
    </w:div>
    <w:div w:id="209223265">
      <w:bodyDiv w:val="1"/>
      <w:marLeft w:val="0"/>
      <w:marRight w:val="0"/>
      <w:marTop w:val="0"/>
      <w:marBottom w:val="0"/>
      <w:divBdr>
        <w:top w:val="none" w:sz="0" w:space="0" w:color="auto"/>
        <w:left w:val="none" w:sz="0" w:space="0" w:color="auto"/>
        <w:bottom w:val="none" w:sz="0" w:space="0" w:color="auto"/>
        <w:right w:val="none" w:sz="0" w:space="0" w:color="auto"/>
      </w:divBdr>
    </w:div>
    <w:div w:id="209419688">
      <w:bodyDiv w:val="1"/>
      <w:marLeft w:val="0"/>
      <w:marRight w:val="0"/>
      <w:marTop w:val="0"/>
      <w:marBottom w:val="0"/>
      <w:divBdr>
        <w:top w:val="none" w:sz="0" w:space="0" w:color="auto"/>
        <w:left w:val="none" w:sz="0" w:space="0" w:color="auto"/>
        <w:bottom w:val="none" w:sz="0" w:space="0" w:color="auto"/>
        <w:right w:val="none" w:sz="0" w:space="0" w:color="auto"/>
      </w:divBdr>
    </w:div>
    <w:div w:id="209464294">
      <w:bodyDiv w:val="1"/>
      <w:marLeft w:val="0"/>
      <w:marRight w:val="0"/>
      <w:marTop w:val="0"/>
      <w:marBottom w:val="0"/>
      <w:divBdr>
        <w:top w:val="none" w:sz="0" w:space="0" w:color="auto"/>
        <w:left w:val="none" w:sz="0" w:space="0" w:color="auto"/>
        <w:bottom w:val="none" w:sz="0" w:space="0" w:color="auto"/>
        <w:right w:val="none" w:sz="0" w:space="0" w:color="auto"/>
      </w:divBdr>
    </w:div>
    <w:div w:id="210577217">
      <w:bodyDiv w:val="1"/>
      <w:marLeft w:val="0"/>
      <w:marRight w:val="0"/>
      <w:marTop w:val="0"/>
      <w:marBottom w:val="0"/>
      <w:divBdr>
        <w:top w:val="none" w:sz="0" w:space="0" w:color="auto"/>
        <w:left w:val="none" w:sz="0" w:space="0" w:color="auto"/>
        <w:bottom w:val="none" w:sz="0" w:space="0" w:color="auto"/>
        <w:right w:val="none" w:sz="0" w:space="0" w:color="auto"/>
      </w:divBdr>
    </w:div>
    <w:div w:id="212228932">
      <w:bodyDiv w:val="1"/>
      <w:marLeft w:val="0"/>
      <w:marRight w:val="0"/>
      <w:marTop w:val="0"/>
      <w:marBottom w:val="0"/>
      <w:divBdr>
        <w:top w:val="none" w:sz="0" w:space="0" w:color="auto"/>
        <w:left w:val="none" w:sz="0" w:space="0" w:color="auto"/>
        <w:bottom w:val="none" w:sz="0" w:space="0" w:color="auto"/>
        <w:right w:val="none" w:sz="0" w:space="0" w:color="auto"/>
      </w:divBdr>
    </w:div>
    <w:div w:id="212352136">
      <w:bodyDiv w:val="1"/>
      <w:marLeft w:val="0"/>
      <w:marRight w:val="0"/>
      <w:marTop w:val="0"/>
      <w:marBottom w:val="0"/>
      <w:divBdr>
        <w:top w:val="none" w:sz="0" w:space="0" w:color="auto"/>
        <w:left w:val="none" w:sz="0" w:space="0" w:color="auto"/>
        <w:bottom w:val="none" w:sz="0" w:space="0" w:color="auto"/>
        <w:right w:val="none" w:sz="0" w:space="0" w:color="auto"/>
      </w:divBdr>
    </w:div>
    <w:div w:id="214048166">
      <w:bodyDiv w:val="1"/>
      <w:marLeft w:val="0"/>
      <w:marRight w:val="0"/>
      <w:marTop w:val="0"/>
      <w:marBottom w:val="0"/>
      <w:divBdr>
        <w:top w:val="none" w:sz="0" w:space="0" w:color="auto"/>
        <w:left w:val="none" w:sz="0" w:space="0" w:color="auto"/>
        <w:bottom w:val="none" w:sz="0" w:space="0" w:color="auto"/>
        <w:right w:val="none" w:sz="0" w:space="0" w:color="auto"/>
      </w:divBdr>
      <w:divsChild>
        <w:div w:id="237205773">
          <w:marLeft w:val="2520"/>
          <w:marRight w:val="0"/>
          <w:marTop w:val="96"/>
          <w:marBottom w:val="120"/>
          <w:divBdr>
            <w:top w:val="none" w:sz="0" w:space="0" w:color="auto"/>
            <w:left w:val="none" w:sz="0" w:space="0" w:color="auto"/>
            <w:bottom w:val="none" w:sz="0" w:space="0" w:color="auto"/>
            <w:right w:val="none" w:sz="0" w:space="0" w:color="auto"/>
          </w:divBdr>
        </w:div>
        <w:div w:id="837844541">
          <w:marLeft w:val="2520"/>
          <w:marRight w:val="0"/>
          <w:marTop w:val="96"/>
          <w:marBottom w:val="120"/>
          <w:divBdr>
            <w:top w:val="none" w:sz="0" w:space="0" w:color="auto"/>
            <w:left w:val="none" w:sz="0" w:space="0" w:color="auto"/>
            <w:bottom w:val="none" w:sz="0" w:space="0" w:color="auto"/>
            <w:right w:val="none" w:sz="0" w:space="0" w:color="auto"/>
          </w:divBdr>
        </w:div>
        <w:div w:id="856116096">
          <w:marLeft w:val="1166"/>
          <w:marRight w:val="0"/>
          <w:marTop w:val="134"/>
          <w:marBottom w:val="120"/>
          <w:divBdr>
            <w:top w:val="none" w:sz="0" w:space="0" w:color="auto"/>
            <w:left w:val="none" w:sz="0" w:space="0" w:color="auto"/>
            <w:bottom w:val="none" w:sz="0" w:space="0" w:color="auto"/>
            <w:right w:val="none" w:sz="0" w:space="0" w:color="auto"/>
          </w:divBdr>
        </w:div>
        <w:div w:id="1514565475">
          <w:marLeft w:val="1800"/>
          <w:marRight w:val="0"/>
          <w:marTop w:val="115"/>
          <w:marBottom w:val="120"/>
          <w:divBdr>
            <w:top w:val="none" w:sz="0" w:space="0" w:color="auto"/>
            <w:left w:val="none" w:sz="0" w:space="0" w:color="auto"/>
            <w:bottom w:val="none" w:sz="0" w:space="0" w:color="auto"/>
            <w:right w:val="none" w:sz="0" w:space="0" w:color="auto"/>
          </w:divBdr>
        </w:div>
        <w:div w:id="1774746030">
          <w:marLeft w:val="1800"/>
          <w:marRight w:val="0"/>
          <w:marTop w:val="115"/>
          <w:marBottom w:val="120"/>
          <w:divBdr>
            <w:top w:val="none" w:sz="0" w:space="0" w:color="auto"/>
            <w:left w:val="none" w:sz="0" w:space="0" w:color="auto"/>
            <w:bottom w:val="none" w:sz="0" w:space="0" w:color="auto"/>
            <w:right w:val="none" w:sz="0" w:space="0" w:color="auto"/>
          </w:divBdr>
        </w:div>
        <w:div w:id="1855458948">
          <w:marLeft w:val="2520"/>
          <w:marRight w:val="0"/>
          <w:marTop w:val="96"/>
          <w:marBottom w:val="120"/>
          <w:divBdr>
            <w:top w:val="none" w:sz="0" w:space="0" w:color="auto"/>
            <w:left w:val="none" w:sz="0" w:space="0" w:color="auto"/>
            <w:bottom w:val="none" w:sz="0" w:space="0" w:color="auto"/>
            <w:right w:val="none" w:sz="0" w:space="0" w:color="auto"/>
          </w:divBdr>
        </w:div>
      </w:divsChild>
    </w:div>
    <w:div w:id="216282824">
      <w:bodyDiv w:val="1"/>
      <w:marLeft w:val="0"/>
      <w:marRight w:val="0"/>
      <w:marTop w:val="0"/>
      <w:marBottom w:val="0"/>
      <w:divBdr>
        <w:top w:val="none" w:sz="0" w:space="0" w:color="auto"/>
        <w:left w:val="none" w:sz="0" w:space="0" w:color="auto"/>
        <w:bottom w:val="none" w:sz="0" w:space="0" w:color="auto"/>
        <w:right w:val="none" w:sz="0" w:space="0" w:color="auto"/>
      </w:divBdr>
    </w:div>
    <w:div w:id="216362618">
      <w:bodyDiv w:val="1"/>
      <w:marLeft w:val="0"/>
      <w:marRight w:val="0"/>
      <w:marTop w:val="0"/>
      <w:marBottom w:val="0"/>
      <w:divBdr>
        <w:top w:val="none" w:sz="0" w:space="0" w:color="auto"/>
        <w:left w:val="none" w:sz="0" w:space="0" w:color="auto"/>
        <w:bottom w:val="none" w:sz="0" w:space="0" w:color="auto"/>
        <w:right w:val="none" w:sz="0" w:space="0" w:color="auto"/>
      </w:divBdr>
      <w:divsChild>
        <w:div w:id="114952690">
          <w:marLeft w:val="1166"/>
          <w:marRight w:val="0"/>
          <w:marTop w:val="96"/>
          <w:marBottom w:val="0"/>
          <w:divBdr>
            <w:top w:val="none" w:sz="0" w:space="0" w:color="auto"/>
            <w:left w:val="none" w:sz="0" w:space="0" w:color="auto"/>
            <w:bottom w:val="none" w:sz="0" w:space="0" w:color="auto"/>
            <w:right w:val="none" w:sz="0" w:space="0" w:color="auto"/>
          </w:divBdr>
        </w:div>
      </w:divsChild>
    </w:div>
    <w:div w:id="216942741">
      <w:bodyDiv w:val="1"/>
      <w:marLeft w:val="0"/>
      <w:marRight w:val="0"/>
      <w:marTop w:val="0"/>
      <w:marBottom w:val="0"/>
      <w:divBdr>
        <w:top w:val="none" w:sz="0" w:space="0" w:color="auto"/>
        <w:left w:val="none" w:sz="0" w:space="0" w:color="auto"/>
        <w:bottom w:val="none" w:sz="0" w:space="0" w:color="auto"/>
        <w:right w:val="none" w:sz="0" w:space="0" w:color="auto"/>
      </w:divBdr>
    </w:div>
    <w:div w:id="217667259">
      <w:bodyDiv w:val="1"/>
      <w:marLeft w:val="0"/>
      <w:marRight w:val="0"/>
      <w:marTop w:val="0"/>
      <w:marBottom w:val="0"/>
      <w:divBdr>
        <w:top w:val="none" w:sz="0" w:space="0" w:color="auto"/>
        <w:left w:val="none" w:sz="0" w:space="0" w:color="auto"/>
        <w:bottom w:val="none" w:sz="0" w:space="0" w:color="auto"/>
        <w:right w:val="none" w:sz="0" w:space="0" w:color="auto"/>
      </w:divBdr>
      <w:divsChild>
        <w:div w:id="195050703">
          <w:marLeft w:val="1800"/>
          <w:marRight w:val="0"/>
          <w:marTop w:val="86"/>
          <w:marBottom w:val="0"/>
          <w:divBdr>
            <w:top w:val="none" w:sz="0" w:space="0" w:color="auto"/>
            <w:left w:val="none" w:sz="0" w:space="0" w:color="auto"/>
            <w:bottom w:val="none" w:sz="0" w:space="0" w:color="auto"/>
            <w:right w:val="none" w:sz="0" w:space="0" w:color="auto"/>
          </w:divBdr>
        </w:div>
        <w:div w:id="635645662">
          <w:marLeft w:val="3240"/>
          <w:marRight w:val="0"/>
          <w:marTop w:val="86"/>
          <w:marBottom w:val="0"/>
          <w:divBdr>
            <w:top w:val="none" w:sz="0" w:space="0" w:color="auto"/>
            <w:left w:val="none" w:sz="0" w:space="0" w:color="auto"/>
            <w:bottom w:val="none" w:sz="0" w:space="0" w:color="auto"/>
            <w:right w:val="none" w:sz="0" w:space="0" w:color="auto"/>
          </w:divBdr>
        </w:div>
        <w:div w:id="747926419">
          <w:marLeft w:val="2520"/>
          <w:marRight w:val="0"/>
          <w:marTop w:val="86"/>
          <w:marBottom w:val="0"/>
          <w:divBdr>
            <w:top w:val="none" w:sz="0" w:space="0" w:color="auto"/>
            <w:left w:val="none" w:sz="0" w:space="0" w:color="auto"/>
            <w:bottom w:val="none" w:sz="0" w:space="0" w:color="auto"/>
            <w:right w:val="none" w:sz="0" w:space="0" w:color="auto"/>
          </w:divBdr>
        </w:div>
        <w:div w:id="907308594">
          <w:marLeft w:val="3240"/>
          <w:marRight w:val="0"/>
          <w:marTop w:val="86"/>
          <w:marBottom w:val="0"/>
          <w:divBdr>
            <w:top w:val="none" w:sz="0" w:space="0" w:color="auto"/>
            <w:left w:val="none" w:sz="0" w:space="0" w:color="auto"/>
            <w:bottom w:val="none" w:sz="0" w:space="0" w:color="auto"/>
            <w:right w:val="none" w:sz="0" w:space="0" w:color="auto"/>
          </w:divBdr>
        </w:div>
        <w:div w:id="993870408">
          <w:marLeft w:val="1166"/>
          <w:marRight w:val="0"/>
          <w:marTop w:val="115"/>
          <w:marBottom w:val="0"/>
          <w:divBdr>
            <w:top w:val="none" w:sz="0" w:space="0" w:color="auto"/>
            <w:left w:val="none" w:sz="0" w:space="0" w:color="auto"/>
            <w:bottom w:val="none" w:sz="0" w:space="0" w:color="auto"/>
            <w:right w:val="none" w:sz="0" w:space="0" w:color="auto"/>
          </w:divBdr>
        </w:div>
        <w:div w:id="1178546570">
          <w:marLeft w:val="2520"/>
          <w:marRight w:val="0"/>
          <w:marTop w:val="86"/>
          <w:marBottom w:val="0"/>
          <w:divBdr>
            <w:top w:val="none" w:sz="0" w:space="0" w:color="auto"/>
            <w:left w:val="none" w:sz="0" w:space="0" w:color="auto"/>
            <w:bottom w:val="none" w:sz="0" w:space="0" w:color="auto"/>
            <w:right w:val="none" w:sz="0" w:space="0" w:color="auto"/>
          </w:divBdr>
        </w:div>
        <w:div w:id="1206796787">
          <w:marLeft w:val="547"/>
          <w:marRight w:val="0"/>
          <w:marTop w:val="115"/>
          <w:marBottom w:val="0"/>
          <w:divBdr>
            <w:top w:val="none" w:sz="0" w:space="0" w:color="auto"/>
            <w:left w:val="none" w:sz="0" w:space="0" w:color="auto"/>
            <w:bottom w:val="none" w:sz="0" w:space="0" w:color="auto"/>
            <w:right w:val="none" w:sz="0" w:space="0" w:color="auto"/>
          </w:divBdr>
        </w:div>
        <w:div w:id="2036271451">
          <w:marLeft w:val="1800"/>
          <w:marRight w:val="0"/>
          <w:marTop w:val="86"/>
          <w:marBottom w:val="0"/>
          <w:divBdr>
            <w:top w:val="none" w:sz="0" w:space="0" w:color="auto"/>
            <w:left w:val="none" w:sz="0" w:space="0" w:color="auto"/>
            <w:bottom w:val="none" w:sz="0" w:space="0" w:color="auto"/>
            <w:right w:val="none" w:sz="0" w:space="0" w:color="auto"/>
          </w:divBdr>
        </w:div>
      </w:divsChild>
    </w:div>
    <w:div w:id="218245946">
      <w:bodyDiv w:val="1"/>
      <w:marLeft w:val="0"/>
      <w:marRight w:val="0"/>
      <w:marTop w:val="0"/>
      <w:marBottom w:val="0"/>
      <w:divBdr>
        <w:top w:val="none" w:sz="0" w:space="0" w:color="auto"/>
        <w:left w:val="none" w:sz="0" w:space="0" w:color="auto"/>
        <w:bottom w:val="none" w:sz="0" w:space="0" w:color="auto"/>
        <w:right w:val="none" w:sz="0" w:space="0" w:color="auto"/>
      </w:divBdr>
      <w:divsChild>
        <w:div w:id="126823278">
          <w:marLeft w:val="1080"/>
          <w:marRight w:val="0"/>
          <w:marTop w:val="100"/>
          <w:marBottom w:val="0"/>
          <w:divBdr>
            <w:top w:val="none" w:sz="0" w:space="0" w:color="auto"/>
            <w:left w:val="none" w:sz="0" w:space="0" w:color="auto"/>
            <w:bottom w:val="none" w:sz="0" w:space="0" w:color="auto"/>
            <w:right w:val="none" w:sz="0" w:space="0" w:color="auto"/>
          </w:divBdr>
        </w:div>
        <w:div w:id="511919371">
          <w:marLeft w:val="1080"/>
          <w:marRight w:val="0"/>
          <w:marTop w:val="100"/>
          <w:marBottom w:val="0"/>
          <w:divBdr>
            <w:top w:val="none" w:sz="0" w:space="0" w:color="auto"/>
            <w:left w:val="none" w:sz="0" w:space="0" w:color="auto"/>
            <w:bottom w:val="none" w:sz="0" w:space="0" w:color="auto"/>
            <w:right w:val="none" w:sz="0" w:space="0" w:color="auto"/>
          </w:divBdr>
        </w:div>
        <w:div w:id="1087389798">
          <w:marLeft w:val="360"/>
          <w:marRight w:val="0"/>
          <w:marTop w:val="200"/>
          <w:marBottom w:val="0"/>
          <w:divBdr>
            <w:top w:val="none" w:sz="0" w:space="0" w:color="auto"/>
            <w:left w:val="none" w:sz="0" w:space="0" w:color="auto"/>
            <w:bottom w:val="none" w:sz="0" w:space="0" w:color="auto"/>
            <w:right w:val="none" w:sz="0" w:space="0" w:color="auto"/>
          </w:divBdr>
        </w:div>
        <w:div w:id="1274047109">
          <w:marLeft w:val="1080"/>
          <w:marRight w:val="0"/>
          <w:marTop w:val="100"/>
          <w:marBottom w:val="0"/>
          <w:divBdr>
            <w:top w:val="none" w:sz="0" w:space="0" w:color="auto"/>
            <w:left w:val="none" w:sz="0" w:space="0" w:color="auto"/>
            <w:bottom w:val="none" w:sz="0" w:space="0" w:color="auto"/>
            <w:right w:val="none" w:sz="0" w:space="0" w:color="auto"/>
          </w:divBdr>
        </w:div>
        <w:div w:id="1779519737">
          <w:marLeft w:val="1080"/>
          <w:marRight w:val="0"/>
          <w:marTop w:val="100"/>
          <w:marBottom w:val="0"/>
          <w:divBdr>
            <w:top w:val="none" w:sz="0" w:space="0" w:color="auto"/>
            <w:left w:val="none" w:sz="0" w:space="0" w:color="auto"/>
            <w:bottom w:val="none" w:sz="0" w:space="0" w:color="auto"/>
            <w:right w:val="none" w:sz="0" w:space="0" w:color="auto"/>
          </w:divBdr>
        </w:div>
      </w:divsChild>
    </w:div>
    <w:div w:id="219899970">
      <w:bodyDiv w:val="1"/>
      <w:marLeft w:val="0"/>
      <w:marRight w:val="0"/>
      <w:marTop w:val="0"/>
      <w:marBottom w:val="0"/>
      <w:divBdr>
        <w:top w:val="none" w:sz="0" w:space="0" w:color="auto"/>
        <w:left w:val="none" w:sz="0" w:space="0" w:color="auto"/>
        <w:bottom w:val="none" w:sz="0" w:space="0" w:color="auto"/>
        <w:right w:val="none" w:sz="0" w:space="0" w:color="auto"/>
      </w:divBdr>
    </w:div>
    <w:div w:id="219905641">
      <w:bodyDiv w:val="1"/>
      <w:marLeft w:val="0"/>
      <w:marRight w:val="0"/>
      <w:marTop w:val="0"/>
      <w:marBottom w:val="0"/>
      <w:divBdr>
        <w:top w:val="none" w:sz="0" w:space="0" w:color="auto"/>
        <w:left w:val="none" w:sz="0" w:space="0" w:color="auto"/>
        <w:bottom w:val="none" w:sz="0" w:space="0" w:color="auto"/>
        <w:right w:val="none" w:sz="0" w:space="0" w:color="auto"/>
      </w:divBdr>
    </w:div>
    <w:div w:id="221215407">
      <w:bodyDiv w:val="1"/>
      <w:marLeft w:val="0"/>
      <w:marRight w:val="0"/>
      <w:marTop w:val="0"/>
      <w:marBottom w:val="0"/>
      <w:divBdr>
        <w:top w:val="none" w:sz="0" w:space="0" w:color="auto"/>
        <w:left w:val="none" w:sz="0" w:space="0" w:color="auto"/>
        <w:bottom w:val="none" w:sz="0" w:space="0" w:color="auto"/>
        <w:right w:val="none" w:sz="0" w:space="0" w:color="auto"/>
      </w:divBdr>
    </w:div>
    <w:div w:id="221255523">
      <w:bodyDiv w:val="1"/>
      <w:marLeft w:val="0"/>
      <w:marRight w:val="0"/>
      <w:marTop w:val="0"/>
      <w:marBottom w:val="0"/>
      <w:divBdr>
        <w:top w:val="none" w:sz="0" w:space="0" w:color="auto"/>
        <w:left w:val="none" w:sz="0" w:space="0" w:color="auto"/>
        <w:bottom w:val="none" w:sz="0" w:space="0" w:color="auto"/>
        <w:right w:val="none" w:sz="0" w:space="0" w:color="auto"/>
      </w:divBdr>
    </w:div>
    <w:div w:id="221409214">
      <w:bodyDiv w:val="1"/>
      <w:marLeft w:val="0"/>
      <w:marRight w:val="0"/>
      <w:marTop w:val="0"/>
      <w:marBottom w:val="0"/>
      <w:divBdr>
        <w:top w:val="none" w:sz="0" w:space="0" w:color="auto"/>
        <w:left w:val="none" w:sz="0" w:space="0" w:color="auto"/>
        <w:bottom w:val="none" w:sz="0" w:space="0" w:color="auto"/>
        <w:right w:val="none" w:sz="0" w:space="0" w:color="auto"/>
      </w:divBdr>
    </w:div>
    <w:div w:id="223957138">
      <w:bodyDiv w:val="1"/>
      <w:marLeft w:val="0"/>
      <w:marRight w:val="0"/>
      <w:marTop w:val="0"/>
      <w:marBottom w:val="0"/>
      <w:divBdr>
        <w:top w:val="none" w:sz="0" w:space="0" w:color="auto"/>
        <w:left w:val="none" w:sz="0" w:space="0" w:color="auto"/>
        <w:bottom w:val="none" w:sz="0" w:space="0" w:color="auto"/>
        <w:right w:val="none" w:sz="0" w:space="0" w:color="auto"/>
      </w:divBdr>
    </w:div>
    <w:div w:id="224071860">
      <w:bodyDiv w:val="1"/>
      <w:marLeft w:val="0"/>
      <w:marRight w:val="0"/>
      <w:marTop w:val="0"/>
      <w:marBottom w:val="0"/>
      <w:divBdr>
        <w:top w:val="none" w:sz="0" w:space="0" w:color="auto"/>
        <w:left w:val="none" w:sz="0" w:space="0" w:color="auto"/>
        <w:bottom w:val="none" w:sz="0" w:space="0" w:color="auto"/>
        <w:right w:val="none" w:sz="0" w:space="0" w:color="auto"/>
      </w:divBdr>
    </w:div>
    <w:div w:id="226380498">
      <w:bodyDiv w:val="1"/>
      <w:marLeft w:val="0"/>
      <w:marRight w:val="0"/>
      <w:marTop w:val="0"/>
      <w:marBottom w:val="0"/>
      <w:divBdr>
        <w:top w:val="none" w:sz="0" w:space="0" w:color="auto"/>
        <w:left w:val="none" w:sz="0" w:space="0" w:color="auto"/>
        <w:bottom w:val="none" w:sz="0" w:space="0" w:color="auto"/>
        <w:right w:val="none" w:sz="0" w:space="0" w:color="auto"/>
      </w:divBdr>
    </w:div>
    <w:div w:id="226690811">
      <w:bodyDiv w:val="1"/>
      <w:marLeft w:val="0"/>
      <w:marRight w:val="0"/>
      <w:marTop w:val="0"/>
      <w:marBottom w:val="0"/>
      <w:divBdr>
        <w:top w:val="none" w:sz="0" w:space="0" w:color="auto"/>
        <w:left w:val="none" w:sz="0" w:space="0" w:color="auto"/>
        <w:bottom w:val="none" w:sz="0" w:space="0" w:color="auto"/>
        <w:right w:val="none" w:sz="0" w:space="0" w:color="auto"/>
      </w:divBdr>
      <w:divsChild>
        <w:div w:id="679046704">
          <w:marLeft w:val="1800"/>
          <w:marRight w:val="0"/>
          <w:marTop w:val="96"/>
          <w:marBottom w:val="0"/>
          <w:divBdr>
            <w:top w:val="none" w:sz="0" w:space="0" w:color="auto"/>
            <w:left w:val="none" w:sz="0" w:space="0" w:color="auto"/>
            <w:bottom w:val="none" w:sz="0" w:space="0" w:color="auto"/>
            <w:right w:val="none" w:sz="0" w:space="0" w:color="auto"/>
          </w:divBdr>
        </w:div>
        <w:div w:id="1035539866">
          <w:marLeft w:val="1800"/>
          <w:marRight w:val="0"/>
          <w:marTop w:val="96"/>
          <w:marBottom w:val="0"/>
          <w:divBdr>
            <w:top w:val="none" w:sz="0" w:space="0" w:color="auto"/>
            <w:left w:val="none" w:sz="0" w:space="0" w:color="auto"/>
            <w:bottom w:val="none" w:sz="0" w:space="0" w:color="auto"/>
            <w:right w:val="none" w:sz="0" w:space="0" w:color="auto"/>
          </w:divBdr>
        </w:div>
        <w:div w:id="1410883357">
          <w:marLeft w:val="1166"/>
          <w:marRight w:val="0"/>
          <w:marTop w:val="115"/>
          <w:marBottom w:val="0"/>
          <w:divBdr>
            <w:top w:val="none" w:sz="0" w:space="0" w:color="auto"/>
            <w:left w:val="none" w:sz="0" w:space="0" w:color="auto"/>
            <w:bottom w:val="none" w:sz="0" w:space="0" w:color="auto"/>
            <w:right w:val="none" w:sz="0" w:space="0" w:color="auto"/>
          </w:divBdr>
        </w:div>
        <w:div w:id="1495876961">
          <w:marLeft w:val="1166"/>
          <w:marRight w:val="0"/>
          <w:marTop w:val="115"/>
          <w:marBottom w:val="0"/>
          <w:divBdr>
            <w:top w:val="none" w:sz="0" w:space="0" w:color="auto"/>
            <w:left w:val="none" w:sz="0" w:space="0" w:color="auto"/>
            <w:bottom w:val="none" w:sz="0" w:space="0" w:color="auto"/>
            <w:right w:val="none" w:sz="0" w:space="0" w:color="auto"/>
          </w:divBdr>
        </w:div>
        <w:div w:id="1725639452">
          <w:marLeft w:val="547"/>
          <w:marRight w:val="0"/>
          <w:marTop w:val="134"/>
          <w:marBottom w:val="0"/>
          <w:divBdr>
            <w:top w:val="none" w:sz="0" w:space="0" w:color="auto"/>
            <w:left w:val="none" w:sz="0" w:space="0" w:color="auto"/>
            <w:bottom w:val="none" w:sz="0" w:space="0" w:color="auto"/>
            <w:right w:val="none" w:sz="0" w:space="0" w:color="auto"/>
          </w:divBdr>
        </w:div>
        <w:div w:id="1924293653">
          <w:marLeft w:val="547"/>
          <w:marRight w:val="0"/>
          <w:marTop w:val="134"/>
          <w:marBottom w:val="0"/>
          <w:divBdr>
            <w:top w:val="none" w:sz="0" w:space="0" w:color="auto"/>
            <w:left w:val="none" w:sz="0" w:space="0" w:color="auto"/>
            <w:bottom w:val="none" w:sz="0" w:space="0" w:color="auto"/>
            <w:right w:val="none" w:sz="0" w:space="0" w:color="auto"/>
          </w:divBdr>
        </w:div>
      </w:divsChild>
    </w:div>
    <w:div w:id="227883454">
      <w:bodyDiv w:val="1"/>
      <w:marLeft w:val="0"/>
      <w:marRight w:val="0"/>
      <w:marTop w:val="0"/>
      <w:marBottom w:val="0"/>
      <w:divBdr>
        <w:top w:val="none" w:sz="0" w:space="0" w:color="auto"/>
        <w:left w:val="none" w:sz="0" w:space="0" w:color="auto"/>
        <w:bottom w:val="none" w:sz="0" w:space="0" w:color="auto"/>
        <w:right w:val="none" w:sz="0" w:space="0" w:color="auto"/>
      </w:divBdr>
      <w:divsChild>
        <w:div w:id="369695890">
          <w:marLeft w:val="547"/>
          <w:marRight w:val="0"/>
          <w:marTop w:val="115"/>
          <w:marBottom w:val="0"/>
          <w:divBdr>
            <w:top w:val="none" w:sz="0" w:space="0" w:color="auto"/>
            <w:left w:val="none" w:sz="0" w:space="0" w:color="auto"/>
            <w:bottom w:val="none" w:sz="0" w:space="0" w:color="auto"/>
            <w:right w:val="none" w:sz="0" w:space="0" w:color="auto"/>
          </w:divBdr>
        </w:div>
        <w:div w:id="1333413055">
          <w:marLeft w:val="1166"/>
          <w:marRight w:val="0"/>
          <w:marTop w:val="115"/>
          <w:marBottom w:val="0"/>
          <w:divBdr>
            <w:top w:val="none" w:sz="0" w:space="0" w:color="auto"/>
            <w:left w:val="none" w:sz="0" w:space="0" w:color="auto"/>
            <w:bottom w:val="none" w:sz="0" w:space="0" w:color="auto"/>
            <w:right w:val="none" w:sz="0" w:space="0" w:color="auto"/>
          </w:divBdr>
        </w:div>
        <w:div w:id="1753812684">
          <w:marLeft w:val="1166"/>
          <w:marRight w:val="0"/>
          <w:marTop w:val="115"/>
          <w:marBottom w:val="0"/>
          <w:divBdr>
            <w:top w:val="none" w:sz="0" w:space="0" w:color="auto"/>
            <w:left w:val="none" w:sz="0" w:space="0" w:color="auto"/>
            <w:bottom w:val="none" w:sz="0" w:space="0" w:color="auto"/>
            <w:right w:val="none" w:sz="0" w:space="0" w:color="auto"/>
          </w:divBdr>
        </w:div>
        <w:div w:id="1937978909">
          <w:marLeft w:val="1166"/>
          <w:marRight w:val="0"/>
          <w:marTop w:val="115"/>
          <w:marBottom w:val="0"/>
          <w:divBdr>
            <w:top w:val="none" w:sz="0" w:space="0" w:color="auto"/>
            <w:left w:val="none" w:sz="0" w:space="0" w:color="auto"/>
            <w:bottom w:val="none" w:sz="0" w:space="0" w:color="auto"/>
            <w:right w:val="none" w:sz="0" w:space="0" w:color="auto"/>
          </w:divBdr>
        </w:div>
      </w:divsChild>
    </w:div>
    <w:div w:id="229970649">
      <w:bodyDiv w:val="1"/>
      <w:marLeft w:val="0"/>
      <w:marRight w:val="0"/>
      <w:marTop w:val="0"/>
      <w:marBottom w:val="0"/>
      <w:divBdr>
        <w:top w:val="none" w:sz="0" w:space="0" w:color="auto"/>
        <w:left w:val="none" w:sz="0" w:space="0" w:color="auto"/>
        <w:bottom w:val="none" w:sz="0" w:space="0" w:color="auto"/>
        <w:right w:val="none" w:sz="0" w:space="0" w:color="auto"/>
      </w:divBdr>
    </w:div>
    <w:div w:id="230041131">
      <w:bodyDiv w:val="1"/>
      <w:marLeft w:val="0"/>
      <w:marRight w:val="0"/>
      <w:marTop w:val="0"/>
      <w:marBottom w:val="0"/>
      <w:divBdr>
        <w:top w:val="none" w:sz="0" w:space="0" w:color="auto"/>
        <w:left w:val="none" w:sz="0" w:space="0" w:color="auto"/>
        <w:bottom w:val="none" w:sz="0" w:space="0" w:color="auto"/>
        <w:right w:val="none" w:sz="0" w:space="0" w:color="auto"/>
      </w:divBdr>
    </w:div>
    <w:div w:id="230239984">
      <w:bodyDiv w:val="1"/>
      <w:marLeft w:val="0"/>
      <w:marRight w:val="0"/>
      <w:marTop w:val="0"/>
      <w:marBottom w:val="0"/>
      <w:divBdr>
        <w:top w:val="none" w:sz="0" w:space="0" w:color="auto"/>
        <w:left w:val="none" w:sz="0" w:space="0" w:color="auto"/>
        <w:bottom w:val="none" w:sz="0" w:space="0" w:color="auto"/>
        <w:right w:val="none" w:sz="0" w:space="0" w:color="auto"/>
      </w:divBdr>
    </w:div>
    <w:div w:id="230430297">
      <w:bodyDiv w:val="1"/>
      <w:marLeft w:val="0"/>
      <w:marRight w:val="0"/>
      <w:marTop w:val="0"/>
      <w:marBottom w:val="0"/>
      <w:divBdr>
        <w:top w:val="none" w:sz="0" w:space="0" w:color="auto"/>
        <w:left w:val="none" w:sz="0" w:space="0" w:color="auto"/>
        <w:bottom w:val="none" w:sz="0" w:space="0" w:color="auto"/>
        <w:right w:val="none" w:sz="0" w:space="0" w:color="auto"/>
      </w:divBdr>
    </w:div>
    <w:div w:id="231434191">
      <w:bodyDiv w:val="1"/>
      <w:marLeft w:val="0"/>
      <w:marRight w:val="0"/>
      <w:marTop w:val="0"/>
      <w:marBottom w:val="0"/>
      <w:divBdr>
        <w:top w:val="none" w:sz="0" w:space="0" w:color="auto"/>
        <w:left w:val="none" w:sz="0" w:space="0" w:color="auto"/>
        <w:bottom w:val="none" w:sz="0" w:space="0" w:color="auto"/>
        <w:right w:val="none" w:sz="0" w:space="0" w:color="auto"/>
      </w:divBdr>
    </w:div>
    <w:div w:id="231548615">
      <w:bodyDiv w:val="1"/>
      <w:marLeft w:val="0"/>
      <w:marRight w:val="0"/>
      <w:marTop w:val="0"/>
      <w:marBottom w:val="0"/>
      <w:divBdr>
        <w:top w:val="none" w:sz="0" w:space="0" w:color="auto"/>
        <w:left w:val="none" w:sz="0" w:space="0" w:color="auto"/>
        <w:bottom w:val="none" w:sz="0" w:space="0" w:color="auto"/>
        <w:right w:val="none" w:sz="0" w:space="0" w:color="auto"/>
      </w:divBdr>
      <w:divsChild>
        <w:div w:id="46616135">
          <w:marLeft w:val="360"/>
          <w:marRight w:val="0"/>
          <w:marTop w:val="200"/>
          <w:marBottom w:val="0"/>
          <w:divBdr>
            <w:top w:val="none" w:sz="0" w:space="0" w:color="auto"/>
            <w:left w:val="none" w:sz="0" w:space="0" w:color="auto"/>
            <w:bottom w:val="none" w:sz="0" w:space="0" w:color="auto"/>
            <w:right w:val="none" w:sz="0" w:space="0" w:color="auto"/>
          </w:divBdr>
        </w:div>
        <w:div w:id="667903017">
          <w:marLeft w:val="360"/>
          <w:marRight w:val="0"/>
          <w:marTop w:val="200"/>
          <w:marBottom w:val="0"/>
          <w:divBdr>
            <w:top w:val="none" w:sz="0" w:space="0" w:color="auto"/>
            <w:left w:val="none" w:sz="0" w:space="0" w:color="auto"/>
            <w:bottom w:val="none" w:sz="0" w:space="0" w:color="auto"/>
            <w:right w:val="none" w:sz="0" w:space="0" w:color="auto"/>
          </w:divBdr>
        </w:div>
        <w:div w:id="1970698085">
          <w:marLeft w:val="360"/>
          <w:marRight w:val="0"/>
          <w:marTop w:val="200"/>
          <w:marBottom w:val="0"/>
          <w:divBdr>
            <w:top w:val="none" w:sz="0" w:space="0" w:color="auto"/>
            <w:left w:val="none" w:sz="0" w:space="0" w:color="auto"/>
            <w:bottom w:val="none" w:sz="0" w:space="0" w:color="auto"/>
            <w:right w:val="none" w:sz="0" w:space="0" w:color="auto"/>
          </w:divBdr>
        </w:div>
      </w:divsChild>
    </w:div>
    <w:div w:id="232088125">
      <w:bodyDiv w:val="1"/>
      <w:marLeft w:val="0"/>
      <w:marRight w:val="0"/>
      <w:marTop w:val="0"/>
      <w:marBottom w:val="0"/>
      <w:divBdr>
        <w:top w:val="none" w:sz="0" w:space="0" w:color="auto"/>
        <w:left w:val="none" w:sz="0" w:space="0" w:color="auto"/>
        <w:bottom w:val="none" w:sz="0" w:space="0" w:color="auto"/>
        <w:right w:val="none" w:sz="0" w:space="0" w:color="auto"/>
      </w:divBdr>
    </w:div>
    <w:div w:id="232785295">
      <w:bodyDiv w:val="1"/>
      <w:marLeft w:val="0"/>
      <w:marRight w:val="0"/>
      <w:marTop w:val="0"/>
      <w:marBottom w:val="0"/>
      <w:divBdr>
        <w:top w:val="none" w:sz="0" w:space="0" w:color="auto"/>
        <w:left w:val="none" w:sz="0" w:space="0" w:color="auto"/>
        <w:bottom w:val="none" w:sz="0" w:space="0" w:color="auto"/>
        <w:right w:val="none" w:sz="0" w:space="0" w:color="auto"/>
      </w:divBdr>
      <w:divsChild>
        <w:div w:id="129716730">
          <w:marLeft w:val="274"/>
          <w:marRight w:val="0"/>
          <w:marTop w:val="115"/>
          <w:marBottom w:val="0"/>
          <w:divBdr>
            <w:top w:val="none" w:sz="0" w:space="0" w:color="auto"/>
            <w:left w:val="none" w:sz="0" w:space="0" w:color="auto"/>
            <w:bottom w:val="none" w:sz="0" w:space="0" w:color="auto"/>
            <w:right w:val="none" w:sz="0" w:space="0" w:color="auto"/>
          </w:divBdr>
        </w:div>
        <w:div w:id="407729711">
          <w:marLeft w:val="835"/>
          <w:marRight w:val="0"/>
          <w:marTop w:val="96"/>
          <w:marBottom w:val="0"/>
          <w:divBdr>
            <w:top w:val="none" w:sz="0" w:space="0" w:color="auto"/>
            <w:left w:val="none" w:sz="0" w:space="0" w:color="auto"/>
            <w:bottom w:val="none" w:sz="0" w:space="0" w:color="auto"/>
            <w:right w:val="none" w:sz="0" w:space="0" w:color="auto"/>
          </w:divBdr>
        </w:div>
        <w:div w:id="1121539001">
          <w:marLeft w:val="835"/>
          <w:marRight w:val="0"/>
          <w:marTop w:val="96"/>
          <w:marBottom w:val="0"/>
          <w:divBdr>
            <w:top w:val="none" w:sz="0" w:space="0" w:color="auto"/>
            <w:left w:val="none" w:sz="0" w:space="0" w:color="auto"/>
            <w:bottom w:val="none" w:sz="0" w:space="0" w:color="auto"/>
            <w:right w:val="none" w:sz="0" w:space="0" w:color="auto"/>
          </w:divBdr>
        </w:div>
      </w:divsChild>
    </w:div>
    <w:div w:id="232860596">
      <w:bodyDiv w:val="1"/>
      <w:marLeft w:val="0"/>
      <w:marRight w:val="0"/>
      <w:marTop w:val="0"/>
      <w:marBottom w:val="0"/>
      <w:divBdr>
        <w:top w:val="none" w:sz="0" w:space="0" w:color="auto"/>
        <w:left w:val="none" w:sz="0" w:space="0" w:color="auto"/>
        <w:bottom w:val="none" w:sz="0" w:space="0" w:color="auto"/>
        <w:right w:val="none" w:sz="0" w:space="0" w:color="auto"/>
      </w:divBdr>
    </w:div>
    <w:div w:id="234361618">
      <w:bodyDiv w:val="1"/>
      <w:marLeft w:val="0"/>
      <w:marRight w:val="0"/>
      <w:marTop w:val="0"/>
      <w:marBottom w:val="0"/>
      <w:divBdr>
        <w:top w:val="none" w:sz="0" w:space="0" w:color="auto"/>
        <w:left w:val="none" w:sz="0" w:space="0" w:color="auto"/>
        <w:bottom w:val="none" w:sz="0" w:space="0" w:color="auto"/>
        <w:right w:val="none" w:sz="0" w:space="0" w:color="auto"/>
      </w:divBdr>
      <w:divsChild>
        <w:div w:id="474370460">
          <w:marLeft w:val="1800"/>
          <w:marRight w:val="0"/>
          <w:marTop w:val="77"/>
          <w:marBottom w:val="0"/>
          <w:divBdr>
            <w:top w:val="none" w:sz="0" w:space="0" w:color="auto"/>
            <w:left w:val="none" w:sz="0" w:space="0" w:color="auto"/>
            <w:bottom w:val="none" w:sz="0" w:space="0" w:color="auto"/>
            <w:right w:val="none" w:sz="0" w:space="0" w:color="auto"/>
          </w:divBdr>
        </w:div>
        <w:div w:id="494491723">
          <w:marLeft w:val="1166"/>
          <w:marRight w:val="0"/>
          <w:marTop w:val="96"/>
          <w:marBottom w:val="0"/>
          <w:divBdr>
            <w:top w:val="none" w:sz="0" w:space="0" w:color="auto"/>
            <w:left w:val="none" w:sz="0" w:space="0" w:color="auto"/>
            <w:bottom w:val="none" w:sz="0" w:space="0" w:color="auto"/>
            <w:right w:val="none" w:sz="0" w:space="0" w:color="auto"/>
          </w:divBdr>
        </w:div>
        <w:div w:id="875046312">
          <w:marLeft w:val="547"/>
          <w:marRight w:val="0"/>
          <w:marTop w:val="80"/>
          <w:marBottom w:val="0"/>
          <w:divBdr>
            <w:top w:val="none" w:sz="0" w:space="0" w:color="auto"/>
            <w:left w:val="none" w:sz="0" w:space="0" w:color="auto"/>
            <w:bottom w:val="none" w:sz="0" w:space="0" w:color="auto"/>
            <w:right w:val="none" w:sz="0" w:space="0" w:color="auto"/>
          </w:divBdr>
        </w:div>
        <w:div w:id="1489521027">
          <w:marLeft w:val="1166"/>
          <w:marRight w:val="0"/>
          <w:marTop w:val="96"/>
          <w:marBottom w:val="0"/>
          <w:divBdr>
            <w:top w:val="none" w:sz="0" w:space="0" w:color="auto"/>
            <w:left w:val="none" w:sz="0" w:space="0" w:color="auto"/>
            <w:bottom w:val="none" w:sz="0" w:space="0" w:color="auto"/>
            <w:right w:val="none" w:sz="0" w:space="0" w:color="auto"/>
          </w:divBdr>
        </w:div>
        <w:div w:id="1821729783">
          <w:marLeft w:val="1166"/>
          <w:marRight w:val="0"/>
          <w:marTop w:val="96"/>
          <w:marBottom w:val="0"/>
          <w:divBdr>
            <w:top w:val="none" w:sz="0" w:space="0" w:color="auto"/>
            <w:left w:val="none" w:sz="0" w:space="0" w:color="auto"/>
            <w:bottom w:val="none" w:sz="0" w:space="0" w:color="auto"/>
            <w:right w:val="none" w:sz="0" w:space="0" w:color="auto"/>
          </w:divBdr>
        </w:div>
        <w:div w:id="2110854545">
          <w:marLeft w:val="1800"/>
          <w:marRight w:val="0"/>
          <w:marTop w:val="77"/>
          <w:marBottom w:val="0"/>
          <w:divBdr>
            <w:top w:val="none" w:sz="0" w:space="0" w:color="auto"/>
            <w:left w:val="none" w:sz="0" w:space="0" w:color="auto"/>
            <w:bottom w:val="none" w:sz="0" w:space="0" w:color="auto"/>
            <w:right w:val="none" w:sz="0" w:space="0" w:color="auto"/>
          </w:divBdr>
        </w:div>
      </w:divsChild>
    </w:div>
    <w:div w:id="234510101">
      <w:bodyDiv w:val="1"/>
      <w:marLeft w:val="0"/>
      <w:marRight w:val="0"/>
      <w:marTop w:val="0"/>
      <w:marBottom w:val="0"/>
      <w:divBdr>
        <w:top w:val="none" w:sz="0" w:space="0" w:color="auto"/>
        <w:left w:val="none" w:sz="0" w:space="0" w:color="auto"/>
        <w:bottom w:val="none" w:sz="0" w:space="0" w:color="auto"/>
        <w:right w:val="none" w:sz="0" w:space="0" w:color="auto"/>
      </w:divBdr>
    </w:div>
    <w:div w:id="234515672">
      <w:bodyDiv w:val="1"/>
      <w:marLeft w:val="0"/>
      <w:marRight w:val="0"/>
      <w:marTop w:val="0"/>
      <w:marBottom w:val="0"/>
      <w:divBdr>
        <w:top w:val="none" w:sz="0" w:space="0" w:color="auto"/>
        <w:left w:val="none" w:sz="0" w:space="0" w:color="auto"/>
        <w:bottom w:val="none" w:sz="0" w:space="0" w:color="auto"/>
        <w:right w:val="none" w:sz="0" w:space="0" w:color="auto"/>
      </w:divBdr>
    </w:div>
    <w:div w:id="235481890">
      <w:bodyDiv w:val="1"/>
      <w:marLeft w:val="0"/>
      <w:marRight w:val="0"/>
      <w:marTop w:val="0"/>
      <w:marBottom w:val="0"/>
      <w:divBdr>
        <w:top w:val="none" w:sz="0" w:space="0" w:color="auto"/>
        <w:left w:val="none" w:sz="0" w:space="0" w:color="auto"/>
        <w:bottom w:val="none" w:sz="0" w:space="0" w:color="auto"/>
        <w:right w:val="none" w:sz="0" w:space="0" w:color="auto"/>
      </w:divBdr>
    </w:div>
    <w:div w:id="236324446">
      <w:bodyDiv w:val="1"/>
      <w:marLeft w:val="0"/>
      <w:marRight w:val="0"/>
      <w:marTop w:val="0"/>
      <w:marBottom w:val="0"/>
      <w:divBdr>
        <w:top w:val="none" w:sz="0" w:space="0" w:color="auto"/>
        <w:left w:val="none" w:sz="0" w:space="0" w:color="auto"/>
        <w:bottom w:val="none" w:sz="0" w:space="0" w:color="auto"/>
        <w:right w:val="none" w:sz="0" w:space="0" w:color="auto"/>
      </w:divBdr>
      <w:divsChild>
        <w:div w:id="134030145">
          <w:marLeft w:val="1166"/>
          <w:marRight w:val="0"/>
          <w:marTop w:val="96"/>
          <w:marBottom w:val="0"/>
          <w:divBdr>
            <w:top w:val="none" w:sz="0" w:space="0" w:color="auto"/>
            <w:left w:val="none" w:sz="0" w:space="0" w:color="auto"/>
            <w:bottom w:val="none" w:sz="0" w:space="0" w:color="auto"/>
            <w:right w:val="none" w:sz="0" w:space="0" w:color="auto"/>
          </w:divBdr>
        </w:div>
        <w:div w:id="351347133">
          <w:marLeft w:val="547"/>
          <w:marRight w:val="0"/>
          <w:marTop w:val="115"/>
          <w:marBottom w:val="0"/>
          <w:divBdr>
            <w:top w:val="none" w:sz="0" w:space="0" w:color="auto"/>
            <w:left w:val="none" w:sz="0" w:space="0" w:color="auto"/>
            <w:bottom w:val="none" w:sz="0" w:space="0" w:color="auto"/>
            <w:right w:val="none" w:sz="0" w:space="0" w:color="auto"/>
          </w:divBdr>
        </w:div>
        <w:div w:id="361563582">
          <w:marLeft w:val="1166"/>
          <w:marRight w:val="0"/>
          <w:marTop w:val="96"/>
          <w:marBottom w:val="0"/>
          <w:divBdr>
            <w:top w:val="none" w:sz="0" w:space="0" w:color="auto"/>
            <w:left w:val="none" w:sz="0" w:space="0" w:color="auto"/>
            <w:bottom w:val="none" w:sz="0" w:space="0" w:color="auto"/>
            <w:right w:val="none" w:sz="0" w:space="0" w:color="auto"/>
          </w:divBdr>
        </w:div>
        <w:div w:id="701514274">
          <w:marLeft w:val="547"/>
          <w:marRight w:val="0"/>
          <w:marTop w:val="115"/>
          <w:marBottom w:val="0"/>
          <w:divBdr>
            <w:top w:val="none" w:sz="0" w:space="0" w:color="auto"/>
            <w:left w:val="none" w:sz="0" w:space="0" w:color="auto"/>
            <w:bottom w:val="none" w:sz="0" w:space="0" w:color="auto"/>
            <w:right w:val="none" w:sz="0" w:space="0" w:color="auto"/>
          </w:divBdr>
        </w:div>
        <w:div w:id="1034503130">
          <w:marLeft w:val="1166"/>
          <w:marRight w:val="0"/>
          <w:marTop w:val="96"/>
          <w:marBottom w:val="0"/>
          <w:divBdr>
            <w:top w:val="none" w:sz="0" w:space="0" w:color="auto"/>
            <w:left w:val="none" w:sz="0" w:space="0" w:color="auto"/>
            <w:bottom w:val="none" w:sz="0" w:space="0" w:color="auto"/>
            <w:right w:val="none" w:sz="0" w:space="0" w:color="auto"/>
          </w:divBdr>
        </w:div>
        <w:div w:id="1438677099">
          <w:marLeft w:val="1166"/>
          <w:marRight w:val="0"/>
          <w:marTop w:val="96"/>
          <w:marBottom w:val="0"/>
          <w:divBdr>
            <w:top w:val="none" w:sz="0" w:space="0" w:color="auto"/>
            <w:left w:val="none" w:sz="0" w:space="0" w:color="auto"/>
            <w:bottom w:val="none" w:sz="0" w:space="0" w:color="auto"/>
            <w:right w:val="none" w:sz="0" w:space="0" w:color="auto"/>
          </w:divBdr>
        </w:div>
        <w:div w:id="1768236478">
          <w:marLeft w:val="547"/>
          <w:marRight w:val="0"/>
          <w:marTop w:val="130"/>
          <w:marBottom w:val="0"/>
          <w:divBdr>
            <w:top w:val="none" w:sz="0" w:space="0" w:color="auto"/>
            <w:left w:val="none" w:sz="0" w:space="0" w:color="auto"/>
            <w:bottom w:val="none" w:sz="0" w:space="0" w:color="auto"/>
            <w:right w:val="none" w:sz="0" w:space="0" w:color="auto"/>
          </w:divBdr>
        </w:div>
        <w:div w:id="2037345342">
          <w:marLeft w:val="1166"/>
          <w:marRight w:val="0"/>
          <w:marTop w:val="96"/>
          <w:marBottom w:val="0"/>
          <w:divBdr>
            <w:top w:val="none" w:sz="0" w:space="0" w:color="auto"/>
            <w:left w:val="none" w:sz="0" w:space="0" w:color="auto"/>
            <w:bottom w:val="none" w:sz="0" w:space="0" w:color="auto"/>
            <w:right w:val="none" w:sz="0" w:space="0" w:color="auto"/>
          </w:divBdr>
        </w:div>
      </w:divsChild>
    </w:div>
    <w:div w:id="236399509">
      <w:bodyDiv w:val="1"/>
      <w:marLeft w:val="0"/>
      <w:marRight w:val="0"/>
      <w:marTop w:val="0"/>
      <w:marBottom w:val="0"/>
      <w:divBdr>
        <w:top w:val="none" w:sz="0" w:space="0" w:color="auto"/>
        <w:left w:val="none" w:sz="0" w:space="0" w:color="auto"/>
        <w:bottom w:val="none" w:sz="0" w:space="0" w:color="auto"/>
        <w:right w:val="none" w:sz="0" w:space="0" w:color="auto"/>
      </w:divBdr>
    </w:div>
    <w:div w:id="237254383">
      <w:bodyDiv w:val="1"/>
      <w:marLeft w:val="0"/>
      <w:marRight w:val="0"/>
      <w:marTop w:val="0"/>
      <w:marBottom w:val="0"/>
      <w:divBdr>
        <w:top w:val="none" w:sz="0" w:space="0" w:color="auto"/>
        <w:left w:val="none" w:sz="0" w:space="0" w:color="auto"/>
        <w:bottom w:val="none" w:sz="0" w:space="0" w:color="auto"/>
        <w:right w:val="none" w:sz="0" w:space="0" w:color="auto"/>
      </w:divBdr>
    </w:div>
    <w:div w:id="237449848">
      <w:bodyDiv w:val="1"/>
      <w:marLeft w:val="0"/>
      <w:marRight w:val="0"/>
      <w:marTop w:val="0"/>
      <w:marBottom w:val="0"/>
      <w:divBdr>
        <w:top w:val="none" w:sz="0" w:space="0" w:color="auto"/>
        <w:left w:val="none" w:sz="0" w:space="0" w:color="auto"/>
        <w:bottom w:val="none" w:sz="0" w:space="0" w:color="auto"/>
        <w:right w:val="none" w:sz="0" w:space="0" w:color="auto"/>
      </w:divBdr>
    </w:div>
    <w:div w:id="237861910">
      <w:bodyDiv w:val="1"/>
      <w:marLeft w:val="0"/>
      <w:marRight w:val="0"/>
      <w:marTop w:val="0"/>
      <w:marBottom w:val="0"/>
      <w:divBdr>
        <w:top w:val="none" w:sz="0" w:space="0" w:color="auto"/>
        <w:left w:val="none" w:sz="0" w:space="0" w:color="auto"/>
        <w:bottom w:val="none" w:sz="0" w:space="0" w:color="auto"/>
        <w:right w:val="none" w:sz="0" w:space="0" w:color="auto"/>
      </w:divBdr>
    </w:div>
    <w:div w:id="238487434">
      <w:bodyDiv w:val="1"/>
      <w:marLeft w:val="0"/>
      <w:marRight w:val="0"/>
      <w:marTop w:val="0"/>
      <w:marBottom w:val="0"/>
      <w:divBdr>
        <w:top w:val="none" w:sz="0" w:space="0" w:color="auto"/>
        <w:left w:val="none" w:sz="0" w:space="0" w:color="auto"/>
        <w:bottom w:val="none" w:sz="0" w:space="0" w:color="auto"/>
        <w:right w:val="none" w:sz="0" w:space="0" w:color="auto"/>
      </w:divBdr>
    </w:div>
    <w:div w:id="239952626">
      <w:bodyDiv w:val="1"/>
      <w:marLeft w:val="0"/>
      <w:marRight w:val="0"/>
      <w:marTop w:val="0"/>
      <w:marBottom w:val="0"/>
      <w:divBdr>
        <w:top w:val="none" w:sz="0" w:space="0" w:color="auto"/>
        <w:left w:val="none" w:sz="0" w:space="0" w:color="auto"/>
        <w:bottom w:val="none" w:sz="0" w:space="0" w:color="auto"/>
        <w:right w:val="none" w:sz="0" w:space="0" w:color="auto"/>
      </w:divBdr>
      <w:divsChild>
        <w:div w:id="896552002">
          <w:marLeft w:val="1166"/>
          <w:marRight w:val="0"/>
          <w:marTop w:val="115"/>
          <w:marBottom w:val="0"/>
          <w:divBdr>
            <w:top w:val="none" w:sz="0" w:space="0" w:color="auto"/>
            <w:left w:val="none" w:sz="0" w:space="0" w:color="auto"/>
            <w:bottom w:val="none" w:sz="0" w:space="0" w:color="auto"/>
            <w:right w:val="none" w:sz="0" w:space="0" w:color="auto"/>
          </w:divBdr>
        </w:div>
        <w:div w:id="1025787381">
          <w:marLeft w:val="547"/>
          <w:marRight w:val="0"/>
          <w:marTop w:val="134"/>
          <w:marBottom w:val="0"/>
          <w:divBdr>
            <w:top w:val="none" w:sz="0" w:space="0" w:color="auto"/>
            <w:left w:val="none" w:sz="0" w:space="0" w:color="auto"/>
            <w:bottom w:val="none" w:sz="0" w:space="0" w:color="auto"/>
            <w:right w:val="none" w:sz="0" w:space="0" w:color="auto"/>
          </w:divBdr>
        </w:div>
        <w:div w:id="1283653732">
          <w:marLeft w:val="1166"/>
          <w:marRight w:val="0"/>
          <w:marTop w:val="115"/>
          <w:marBottom w:val="0"/>
          <w:divBdr>
            <w:top w:val="none" w:sz="0" w:space="0" w:color="auto"/>
            <w:left w:val="none" w:sz="0" w:space="0" w:color="auto"/>
            <w:bottom w:val="none" w:sz="0" w:space="0" w:color="auto"/>
            <w:right w:val="none" w:sz="0" w:space="0" w:color="auto"/>
          </w:divBdr>
        </w:div>
      </w:divsChild>
    </w:div>
    <w:div w:id="241257974">
      <w:bodyDiv w:val="1"/>
      <w:marLeft w:val="0"/>
      <w:marRight w:val="0"/>
      <w:marTop w:val="0"/>
      <w:marBottom w:val="0"/>
      <w:divBdr>
        <w:top w:val="none" w:sz="0" w:space="0" w:color="auto"/>
        <w:left w:val="none" w:sz="0" w:space="0" w:color="auto"/>
        <w:bottom w:val="none" w:sz="0" w:space="0" w:color="auto"/>
        <w:right w:val="none" w:sz="0" w:space="0" w:color="auto"/>
      </w:divBdr>
    </w:div>
    <w:div w:id="241989208">
      <w:bodyDiv w:val="1"/>
      <w:marLeft w:val="0"/>
      <w:marRight w:val="0"/>
      <w:marTop w:val="0"/>
      <w:marBottom w:val="0"/>
      <w:divBdr>
        <w:top w:val="none" w:sz="0" w:space="0" w:color="auto"/>
        <w:left w:val="none" w:sz="0" w:space="0" w:color="auto"/>
        <w:bottom w:val="none" w:sz="0" w:space="0" w:color="auto"/>
        <w:right w:val="none" w:sz="0" w:space="0" w:color="auto"/>
      </w:divBdr>
      <w:divsChild>
        <w:div w:id="135687947">
          <w:marLeft w:val="547"/>
          <w:marRight w:val="0"/>
          <w:marTop w:val="101"/>
          <w:marBottom w:val="0"/>
          <w:divBdr>
            <w:top w:val="none" w:sz="0" w:space="0" w:color="auto"/>
            <w:left w:val="none" w:sz="0" w:space="0" w:color="auto"/>
            <w:bottom w:val="none" w:sz="0" w:space="0" w:color="auto"/>
            <w:right w:val="none" w:sz="0" w:space="0" w:color="auto"/>
          </w:divBdr>
        </w:div>
        <w:div w:id="196233802">
          <w:marLeft w:val="1166"/>
          <w:marRight w:val="0"/>
          <w:marTop w:val="101"/>
          <w:marBottom w:val="0"/>
          <w:divBdr>
            <w:top w:val="none" w:sz="0" w:space="0" w:color="auto"/>
            <w:left w:val="none" w:sz="0" w:space="0" w:color="auto"/>
            <w:bottom w:val="none" w:sz="0" w:space="0" w:color="auto"/>
            <w:right w:val="none" w:sz="0" w:space="0" w:color="auto"/>
          </w:divBdr>
        </w:div>
        <w:div w:id="251550223">
          <w:marLeft w:val="547"/>
          <w:marRight w:val="0"/>
          <w:marTop w:val="101"/>
          <w:marBottom w:val="0"/>
          <w:divBdr>
            <w:top w:val="none" w:sz="0" w:space="0" w:color="auto"/>
            <w:left w:val="none" w:sz="0" w:space="0" w:color="auto"/>
            <w:bottom w:val="none" w:sz="0" w:space="0" w:color="auto"/>
            <w:right w:val="none" w:sz="0" w:space="0" w:color="auto"/>
          </w:divBdr>
        </w:div>
        <w:div w:id="553656862">
          <w:marLeft w:val="547"/>
          <w:marRight w:val="0"/>
          <w:marTop w:val="101"/>
          <w:marBottom w:val="0"/>
          <w:divBdr>
            <w:top w:val="none" w:sz="0" w:space="0" w:color="auto"/>
            <w:left w:val="none" w:sz="0" w:space="0" w:color="auto"/>
            <w:bottom w:val="none" w:sz="0" w:space="0" w:color="auto"/>
            <w:right w:val="none" w:sz="0" w:space="0" w:color="auto"/>
          </w:divBdr>
        </w:div>
        <w:div w:id="731931749">
          <w:marLeft w:val="1166"/>
          <w:marRight w:val="0"/>
          <w:marTop w:val="101"/>
          <w:marBottom w:val="0"/>
          <w:divBdr>
            <w:top w:val="none" w:sz="0" w:space="0" w:color="auto"/>
            <w:left w:val="none" w:sz="0" w:space="0" w:color="auto"/>
            <w:bottom w:val="none" w:sz="0" w:space="0" w:color="auto"/>
            <w:right w:val="none" w:sz="0" w:space="0" w:color="auto"/>
          </w:divBdr>
        </w:div>
        <w:div w:id="1042053667">
          <w:marLeft w:val="547"/>
          <w:marRight w:val="0"/>
          <w:marTop w:val="101"/>
          <w:marBottom w:val="0"/>
          <w:divBdr>
            <w:top w:val="none" w:sz="0" w:space="0" w:color="auto"/>
            <w:left w:val="none" w:sz="0" w:space="0" w:color="auto"/>
            <w:bottom w:val="none" w:sz="0" w:space="0" w:color="auto"/>
            <w:right w:val="none" w:sz="0" w:space="0" w:color="auto"/>
          </w:divBdr>
        </w:div>
        <w:div w:id="1648827503">
          <w:marLeft w:val="1166"/>
          <w:marRight w:val="0"/>
          <w:marTop w:val="101"/>
          <w:marBottom w:val="0"/>
          <w:divBdr>
            <w:top w:val="none" w:sz="0" w:space="0" w:color="auto"/>
            <w:left w:val="none" w:sz="0" w:space="0" w:color="auto"/>
            <w:bottom w:val="none" w:sz="0" w:space="0" w:color="auto"/>
            <w:right w:val="none" w:sz="0" w:space="0" w:color="auto"/>
          </w:divBdr>
        </w:div>
        <w:div w:id="1839883174">
          <w:marLeft w:val="547"/>
          <w:marRight w:val="0"/>
          <w:marTop w:val="101"/>
          <w:marBottom w:val="0"/>
          <w:divBdr>
            <w:top w:val="none" w:sz="0" w:space="0" w:color="auto"/>
            <w:left w:val="none" w:sz="0" w:space="0" w:color="auto"/>
            <w:bottom w:val="none" w:sz="0" w:space="0" w:color="auto"/>
            <w:right w:val="none" w:sz="0" w:space="0" w:color="auto"/>
          </w:divBdr>
        </w:div>
      </w:divsChild>
    </w:div>
    <w:div w:id="242491814">
      <w:bodyDiv w:val="1"/>
      <w:marLeft w:val="0"/>
      <w:marRight w:val="0"/>
      <w:marTop w:val="0"/>
      <w:marBottom w:val="0"/>
      <w:divBdr>
        <w:top w:val="none" w:sz="0" w:space="0" w:color="auto"/>
        <w:left w:val="none" w:sz="0" w:space="0" w:color="auto"/>
        <w:bottom w:val="none" w:sz="0" w:space="0" w:color="auto"/>
        <w:right w:val="none" w:sz="0" w:space="0" w:color="auto"/>
      </w:divBdr>
    </w:div>
    <w:div w:id="243996306">
      <w:bodyDiv w:val="1"/>
      <w:marLeft w:val="0"/>
      <w:marRight w:val="0"/>
      <w:marTop w:val="0"/>
      <w:marBottom w:val="0"/>
      <w:divBdr>
        <w:top w:val="none" w:sz="0" w:space="0" w:color="auto"/>
        <w:left w:val="none" w:sz="0" w:space="0" w:color="auto"/>
        <w:bottom w:val="none" w:sz="0" w:space="0" w:color="auto"/>
        <w:right w:val="none" w:sz="0" w:space="0" w:color="auto"/>
      </w:divBdr>
    </w:div>
    <w:div w:id="244925867">
      <w:bodyDiv w:val="1"/>
      <w:marLeft w:val="0"/>
      <w:marRight w:val="0"/>
      <w:marTop w:val="0"/>
      <w:marBottom w:val="0"/>
      <w:divBdr>
        <w:top w:val="none" w:sz="0" w:space="0" w:color="auto"/>
        <w:left w:val="none" w:sz="0" w:space="0" w:color="auto"/>
        <w:bottom w:val="none" w:sz="0" w:space="0" w:color="auto"/>
        <w:right w:val="none" w:sz="0" w:space="0" w:color="auto"/>
      </w:divBdr>
    </w:div>
    <w:div w:id="246811921">
      <w:bodyDiv w:val="1"/>
      <w:marLeft w:val="0"/>
      <w:marRight w:val="0"/>
      <w:marTop w:val="0"/>
      <w:marBottom w:val="0"/>
      <w:divBdr>
        <w:top w:val="none" w:sz="0" w:space="0" w:color="auto"/>
        <w:left w:val="none" w:sz="0" w:space="0" w:color="auto"/>
        <w:bottom w:val="none" w:sz="0" w:space="0" w:color="auto"/>
        <w:right w:val="none" w:sz="0" w:space="0" w:color="auto"/>
      </w:divBdr>
    </w:div>
    <w:div w:id="247085334">
      <w:bodyDiv w:val="1"/>
      <w:marLeft w:val="0"/>
      <w:marRight w:val="0"/>
      <w:marTop w:val="0"/>
      <w:marBottom w:val="0"/>
      <w:divBdr>
        <w:top w:val="none" w:sz="0" w:space="0" w:color="auto"/>
        <w:left w:val="none" w:sz="0" w:space="0" w:color="auto"/>
        <w:bottom w:val="none" w:sz="0" w:space="0" w:color="auto"/>
        <w:right w:val="none" w:sz="0" w:space="0" w:color="auto"/>
      </w:divBdr>
    </w:div>
    <w:div w:id="248193441">
      <w:bodyDiv w:val="1"/>
      <w:marLeft w:val="0"/>
      <w:marRight w:val="0"/>
      <w:marTop w:val="0"/>
      <w:marBottom w:val="0"/>
      <w:divBdr>
        <w:top w:val="none" w:sz="0" w:space="0" w:color="auto"/>
        <w:left w:val="none" w:sz="0" w:space="0" w:color="auto"/>
        <w:bottom w:val="none" w:sz="0" w:space="0" w:color="auto"/>
        <w:right w:val="none" w:sz="0" w:space="0" w:color="auto"/>
      </w:divBdr>
    </w:div>
    <w:div w:id="249311423">
      <w:bodyDiv w:val="1"/>
      <w:marLeft w:val="0"/>
      <w:marRight w:val="0"/>
      <w:marTop w:val="0"/>
      <w:marBottom w:val="0"/>
      <w:divBdr>
        <w:top w:val="none" w:sz="0" w:space="0" w:color="auto"/>
        <w:left w:val="none" w:sz="0" w:space="0" w:color="auto"/>
        <w:bottom w:val="none" w:sz="0" w:space="0" w:color="auto"/>
        <w:right w:val="none" w:sz="0" w:space="0" w:color="auto"/>
      </w:divBdr>
    </w:div>
    <w:div w:id="249776195">
      <w:bodyDiv w:val="1"/>
      <w:marLeft w:val="0"/>
      <w:marRight w:val="0"/>
      <w:marTop w:val="0"/>
      <w:marBottom w:val="0"/>
      <w:divBdr>
        <w:top w:val="none" w:sz="0" w:space="0" w:color="auto"/>
        <w:left w:val="none" w:sz="0" w:space="0" w:color="auto"/>
        <w:bottom w:val="none" w:sz="0" w:space="0" w:color="auto"/>
        <w:right w:val="none" w:sz="0" w:space="0" w:color="auto"/>
      </w:divBdr>
    </w:div>
    <w:div w:id="250550497">
      <w:bodyDiv w:val="1"/>
      <w:marLeft w:val="0"/>
      <w:marRight w:val="0"/>
      <w:marTop w:val="0"/>
      <w:marBottom w:val="0"/>
      <w:divBdr>
        <w:top w:val="none" w:sz="0" w:space="0" w:color="auto"/>
        <w:left w:val="none" w:sz="0" w:space="0" w:color="auto"/>
        <w:bottom w:val="none" w:sz="0" w:space="0" w:color="auto"/>
        <w:right w:val="none" w:sz="0" w:space="0" w:color="auto"/>
      </w:divBdr>
    </w:div>
    <w:div w:id="252009149">
      <w:bodyDiv w:val="1"/>
      <w:marLeft w:val="0"/>
      <w:marRight w:val="0"/>
      <w:marTop w:val="0"/>
      <w:marBottom w:val="0"/>
      <w:divBdr>
        <w:top w:val="none" w:sz="0" w:space="0" w:color="auto"/>
        <w:left w:val="none" w:sz="0" w:space="0" w:color="auto"/>
        <w:bottom w:val="none" w:sz="0" w:space="0" w:color="auto"/>
        <w:right w:val="none" w:sz="0" w:space="0" w:color="auto"/>
      </w:divBdr>
    </w:div>
    <w:div w:id="252322848">
      <w:bodyDiv w:val="1"/>
      <w:marLeft w:val="0"/>
      <w:marRight w:val="0"/>
      <w:marTop w:val="0"/>
      <w:marBottom w:val="0"/>
      <w:divBdr>
        <w:top w:val="none" w:sz="0" w:space="0" w:color="auto"/>
        <w:left w:val="none" w:sz="0" w:space="0" w:color="auto"/>
        <w:bottom w:val="none" w:sz="0" w:space="0" w:color="auto"/>
        <w:right w:val="none" w:sz="0" w:space="0" w:color="auto"/>
      </w:divBdr>
    </w:div>
    <w:div w:id="254099819">
      <w:bodyDiv w:val="1"/>
      <w:marLeft w:val="0"/>
      <w:marRight w:val="0"/>
      <w:marTop w:val="0"/>
      <w:marBottom w:val="0"/>
      <w:divBdr>
        <w:top w:val="none" w:sz="0" w:space="0" w:color="auto"/>
        <w:left w:val="none" w:sz="0" w:space="0" w:color="auto"/>
        <w:bottom w:val="none" w:sz="0" w:space="0" w:color="auto"/>
        <w:right w:val="none" w:sz="0" w:space="0" w:color="auto"/>
      </w:divBdr>
    </w:div>
    <w:div w:id="255482972">
      <w:bodyDiv w:val="1"/>
      <w:marLeft w:val="0"/>
      <w:marRight w:val="0"/>
      <w:marTop w:val="0"/>
      <w:marBottom w:val="0"/>
      <w:divBdr>
        <w:top w:val="none" w:sz="0" w:space="0" w:color="auto"/>
        <w:left w:val="none" w:sz="0" w:space="0" w:color="auto"/>
        <w:bottom w:val="none" w:sz="0" w:space="0" w:color="auto"/>
        <w:right w:val="none" w:sz="0" w:space="0" w:color="auto"/>
      </w:divBdr>
    </w:div>
    <w:div w:id="257447250">
      <w:bodyDiv w:val="1"/>
      <w:marLeft w:val="0"/>
      <w:marRight w:val="0"/>
      <w:marTop w:val="0"/>
      <w:marBottom w:val="0"/>
      <w:divBdr>
        <w:top w:val="none" w:sz="0" w:space="0" w:color="auto"/>
        <w:left w:val="none" w:sz="0" w:space="0" w:color="auto"/>
        <w:bottom w:val="none" w:sz="0" w:space="0" w:color="auto"/>
        <w:right w:val="none" w:sz="0" w:space="0" w:color="auto"/>
      </w:divBdr>
    </w:div>
    <w:div w:id="258368529">
      <w:bodyDiv w:val="1"/>
      <w:marLeft w:val="0"/>
      <w:marRight w:val="0"/>
      <w:marTop w:val="0"/>
      <w:marBottom w:val="0"/>
      <w:divBdr>
        <w:top w:val="none" w:sz="0" w:space="0" w:color="auto"/>
        <w:left w:val="none" w:sz="0" w:space="0" w:color="auto"/>
        <w:bottom w:val="none" w:sz="0" w:space="0" w:color="auto"/>
        <w:right w:val="none" w:sz="0" w:space="0" w:color="auto"/>
      </w:divBdr>
    </w:div>
    <w:div w:id="260452935">
      <w:bodyDiv w:val="1"/>
      <w:marLeft w:val="0"/>
      <w:marRight w:val="0"/>
      <w:marTop w:val="0"/>
      <w:marBottom w:val="0"/>
      <w:divBdr>
        <w:top w:val="none" w:sz="0" w:space="0" w:color="auto"/>
        <w:left w:val="none" w:sz="0" w:space="0" w:color="auto"/>
        <w:bottom w:val="none" w:sz="0" w:space="0" w:color="auto"/>
        <w:right w:val="none" w:sz="0" w:space="0" w:color="auto"/>
      </w:divBdr>
    </w:div>
    <w:div w:id="260989953">
      <w:bodyDiv w:val="1"/>
      <w:marLeft w:val="0"/>
      <w:marRight w:val="0"/>
      <w:marTop w:val="0"/>
      <w:marBottom w:val="0"/>
      <w:divBdr>
        <w:top w:val="none" w:sz="0" w:space="0" w:color="auto"/>
        <w:left w:val="none" w:sz="0" w:space="0" w:color="auto"/>
        <w:bottom w:val="none" w:sz="0" w:space="0" w:color="auto"/>
        <w:right w:val="none" w:sz="0" w:space="0" w:color="auto"/>
      </w:divBdr>
      <w:divsChild>
        <w:div w:id="90708021">
          <w:marLeft w:val="1166"/>
          <w:marRight w:val="0"/>
          <w:marTop w:val="106"/>
          <w:marBottom w:val="0"/>
          <w:divBdr>
            <w:top w:val="none" w:sz="0" w:space="0" w:color="auto"/>
            <w:left w:val="none" w:sz="0" w:space="0" w:color="auto"/>
            <w:bottom w:val="none" w:sz="0" w:space="0" w:color="auto"/>
            <w:right w:val="none" w:sz="0" w:space="0" w:color="auto"/>
          </w:divBdr>
        </w:div>
        <w:div w:id="135997772">
          <w:marLeft w:val="1800"/>
          <w:marRight w:val="0"/>
          <w:marTop w:val="86"/>
          <w:marBottom w:val="0"/>
          <w:divBdr>
            <w:top w:val="none" w:sz="0" w:space="0" w:color="auto"/>
            <w:left w:val="none" w:sz="0" w:space="0" w:color="auto"/>
            <w:bottom w:val="none" w:sz="0" w:space="0" w:color="auto"/>
            <w:right w:val="none" w:sz="0" w:space="0" w:color="auto"/>
          </w:divBdr>
        </w:div>
        <w:div w:id="535123203">
          <w:marLeft w:val="1800"/>
          <w:marRight w:val="0"/>
          <w:marTop w:val="86"/>
          <w:marBottom w:val="0"/>
          <w:divBdr>
            <w:top w:val="none" w:sz="0" w:space="0" w:color="auto"/>
            <w:left w:val="none" w:sz="0" w:space="0" w:color="auto"/>
            <w:bottom w:val="none" w:sz="0" w:space="0" w:color="auto"/>
            <w:right w:val="none" w:sz="0" w:space="0" w:color="auto"/>
          </w:divBdr>
        </w:div>
        <w:div w:id="640228773">
          <w:marLeft w:val="1800"/>
          <w:marRight w:val="0"/>
          <w:marTop w:val="86"/>
          <w:marBottom w:val="0"/>
          <w:divBdr>
            <w:top w:val="none" w:sz="0" w:space="0" w:color="auto"/>
            <w:left w:val="none" w:sz="0" w:space="0" w:color="auto"/>
            <w:bottom w:val="none" w:sz="0" w:space="0" w:color="auto"/>
            <w:right w:val="none" w:sz="0" w:space="0" w:color="auto"/>
          </w:divBdr>
        </w:div>
        <w:div w:id="737746594">
          <w:marLeft w:val="1800"/>
          <w:marRight w:val="0"/>
          <w:marTop w:val="86"/>
          <w:marBottom w:val="0"/>
          <w:divBdr>
            <w:top w:val="none" w:sz="0" w:space="0" w:color="auto"/>
            <w:left w:val="none" w:sz="0" w:space="0" w:color="auto"/>
            <w:bottom w:val="none" w:sz="0" w:space="0" w:color="auto"/>
            <w:right w:val="none" w:sz="0" w:space="0" w:color="auto"/>
          </w:divBdr>
        </w:div>
        <w:div w:id="1274363442">
          <w:marLeft w:val="2520"/>
          <w:marRight w:val="0"/>
          <w:marTop w:val="67"/>
          <w:marBottom w:val="0"/>
          <w:divBdr>
            <w:top w:val="none" w:sz="0" w:space="0" w:color="auto"/>
            <w:left w:val="none" w:sz="0" w:space="0" w:color="auto"/>
            <w:bottom w:val="none" w:sz="0" w:space="0" w:color="auto"/>
            <w:right w:val="none" w:sz="0" w:space="0" w:color="auto"/>
          </w:divBdr>
        </w:div>
        <w:div w:id="1682200800">
          <w:marLeft w:val="2520"/>
          <w:marRight w:val="0"/>
          <w:marTop w:val="67"/>
          <w:marBottom w:val="0"/>
          <w:divBdr>
            <w:top w:val="none" w:sz="0" w:space="0" w:color="auto"/>
            <w:left w:val="none" w:sz="0" w:space="0" w:color="auto"/>
            <w:bottom w:val="none" w:sz="0" w:space="0" w:color="auto"/>
            <w:right w:val="none" w:sz="0" w:space="0" w:color="auto"/>
          </w:divBdr>
        </w:div>
        <w:div w:id="2070300520">
          <w:marLeft w:val="1166"/>
          <w:marRight w:val="0"/>
          <w:marTop w:val="86"/>
          <w:marBottom w:val="0"/>
          <w:divBdr>
            <w:top w:val="none" w:sz="0" w:space="0" w:color="auto"/>
            <w:left w:val="none" w:sz="0" w:space="0" w:color="auto"/>
            <w:bottom w:val="none" w:sz="0" w:space="0" w:color="auto"/>
            <w:right w:val="none" w:sz="0" w:space="0" w:color="auto"/>
          </w:divBdr>
        </w:div>
      </w:divsChild>
    </w:div>
    <w:div w:id="261842018">
      <w:bodyDiv w:val="1"/>
      <w:marLeft w:val="0"/>
      <w:marRight w:val="0"/>
      <w:marTop w:val="0"/>
      <w:marBottom w:val="0"/>
      <w:divBdr>
        <w:top w:val="none" w:sz="0" w:space="0" w:color="auto"/>
        <w:left w:val="none" w:sz="0" w:space="0" w:color="auto"/>
        <w:bottom w:val="none" w:sz="0" w:space="0" w:color="auto"/>
        <w:right w:val="none" w:sz="0" w:space="0" w:color="auto"/>
      </w:divBdr>
    </w:div>
    <w:div w:id="262225219">
      <w:bodyDiv w:val="1"/>
      <w:marLeft w:val="0"/>
      <w:marRight w:val="0"/>
      <w:marTop w:val="0"/>
      <w:marBottom w:val="0"/>
      <w:divBdr>
        <w:top w:val="none" w:sz="0" w:space="0" w:color="auto"/>
        <w:left w:val="none" w:sz="0" w:space="0" w:color="auto"/>
        <w:bottom w:val="none" w:sz="0" w:space="0" w:color="auto"/>
        <w:right w:val="none" w:sz="0" w:space="0" w:color="auto"/>
      </w:divBdr>
    </w:div>
    <w:div w:id="264657441">
      <w:bodyDiv w:val="1"/>
      <w:marLeft w:val="0"/>
      <w:marRight w:val="0"/>
      <w:marTop w:val="0"/>
      <w:marBottom w:val="0"/>
      <w:divBdr>
        <w:top w:val="none" w:sz="0" w:space="0" w:color="auto"/>
        <w:left w:val="none" w:sz="0" w:space="0" w:color="auto"/>
        <w:bottom w:val="none" w:sz="0" w:space="0" w:color="auto"/>
        <w:right w:val="none" w:sz="0" w:space="0" w:color="auto"/>
      </w:divBdr>
    </w:div>
    <w:div w:id="264772465">
      <w:bodyDiv w:val="1"/>
      <w:marLeft w:val="0"/>
      <w:marRight w:val="0"/>
      <w:marTop w:val="0"/>
      <w:marBottom w:val="0"/>
      <w:divBdr>
        <w:top w:val="none" w:sz="0" w:space="0" w:color="auto"/>
        <w:left w:val="none" w:sz="0" w:space="0" w:color="auto"/>
        <w:bottom w:val="none" w:sz="0" w:space="0" w:color="auto"/>
        <w:right w:val="none" w:sz="0" w:space="0" w:color="auto"/>
      </w:divBdr>
      <w:divsChild>
        <w:div w:id="696197866">
          <w:marLeft w:val="547"/>
          <w:marRight w:val="0"/>
          <w:marTop w:val="77"/>
          <w:marBottom w:val="0"/>
          <w:divBdr>
            <w:top w:val="none" w:sz="0" w:space="0" w:color="auto"/>
            <w:left w:val="none" w:sz="0" w:space="0" w:color="auto"/>
            <w:bottom w:val="none" w:sz="0" w:space="0" w:color="auto"/>
            <w:right w:val="none" w:sz="0" w:space="0" w:color="auto"/>
          </w:divBdr>
        </w:div>
      </w:divsChild>
    </w:div>
    <w:div w:id="265161493">
      <w:bodyDiv w:val="1"/>
      <w:marLeft w:val="0"/>
      <w:marRight w:val="0"/>
      <w:marTop w:val="0"/>
      <w:marBottom w:val="0"/>
      <w:divBdr>
        <w:top w:val="none" w:sz="0" w:space="0" w:color="auto"/>
        <w:left w:val="none" w:sz="0" w:space="0" w:color="auto"/>
        <w:bottom w:val="none" w:sz="0" w:space="0" w:color="auto"/>
        <w:right w:val="none" w:sz="0" w:space="0" w:color="auto"/>
      </w:divBdr>
    </w:div>
    <w:div w:id="265431181">
      <w:bodyDiv w:val="1"/>
      <w:marLeft w:val="0"/>
      <w:marRight w:val="0"/>
      <w:marTop w:val="0"/>
      <w:marBottom w:val="0"/>
      <w:divBdr>
        <w:top w:val="none" w:sz="0" w:space="0" w:color="auto"/>
        <w:left w:val="none" w:sz="0" w:space="0" w:color="auto"/>
        <w:bottom w:val="none" w:sz="0" w:space="0" w:color="auto"/>
        <w:right w:val="none" w:sz="0" w:space="0" w:color="auto"/>
      </w:divBdr>
    </w:div>
    <w:div w:id="266237935">
      <w:bodyDiv w:val="1"/>
      <w:marLeft w:val="0"/>
      <w:marRight w:val="0"/>
      <w:marTop w:val="0"/>
      <w:marBottom w:val="0"/>
      <w:divBdr>
        <w:top w:val="none" w:sz="0" w:space="0" w:color="auto"/>
        <w:left w:val="none" w:sz="0" w:space="0" w:color="auto"/>
        <w:bottom w:val="none" w:sz="0" w:space="0" w:color="auto"/>
        <w:right w:val="none" w:sz="0" w:space="0" w:color="auto"/>
      </w:divBdr>
      <w:divsChild>
        <w:div w:id="254169211">
          <w:marLeft w:val="1080"/>
          <w:marRight w:val="0"/>
          <w:marTop w:val="100"/>
          <w:marBottom w:val="0"/>
          <w:divBdr>
            <w:top w:val="none" w:sz="0" w:space="0" w:color="auto"/>
            <w:left w:val="none" w:sz="0" w:space="0" w:color="auto"/>
            <w:bottom w:val="none" w:sz="0" w:space="0" w:color="auto"/>
            <w:right w:val="none" w:sz="0" w:space="0" w:color="auto"/>
          </w:divBdr>
        </w:div>
        <w:div w:id="481234193">
          <w:marLeft w:val="2520"/>
          <w:marRight w:val="0"/>
          <w:marTop w:val="100"/>
          <w:marBottom w:val="0"/>
          <w:divBdr>
            <w:top w:val="none" w:sz="0" w:space="0" w:color="auto"/>
            <w:left w:val="none" w:sz="0" w:space="0" w:color="auto"/>
            <w:bottom w:val="none" w:sz="0" w:space="0" w:color="auto"/>
            <w:right w:val="none" w:sz="0" w:space="0" w:color="auto"/>
          </w:divBdr>
        </w:div>
        <w:div w:id="535124821">
          <w:marLeft w:val="1080"/>
          <w:marRight w:val="0"/>
          <w:marTop w:val="100"/>
          <w:marBottom w:val="0"/>
          <w:divBdr>
            <w:top w:val="none" w:sz="0" w:space="0" w:color="auto"/>
            <w:left w:val="none" w:sz="0" w:space="0" w:color="auto"/>
            <w:bottom w:val="none" w:sz="0" w:space="0" w:color="auto"/>
            <w:right w:val="none" w:sz="0" w:space="0" w:color="auto"/>
          </w:divBdr>
        </w:div>
        <w:div w:id="588150368">
          <w:marLeft w:val="1800"/>
          <w:marRight w:val="0"/>
          <w:marTop w:val="100"/>
          <w:marBottom w:val="0"/>
          <w:divBdr>
            <w:top w:val="none" w:sz="0" w:space="0" w:color="auto"/>
            <w:left w:val="none" w:sz="0" w:space="0" w:color="auto"/>
            <w:bottom w:val="none" w:sz="0" w:space="0" w:color="auto"/>
            <w:right w:val="none" w:sz="0" w:space="0" w:color="auto"/>
          </w:divBdr>
        </w:div>
        <w:div w:id="636567158">
          <w:marLeft w:val="1080"/>
          <w:marRight w:val="0"/>
          <w:marTop w:val="100"/>
          <w:marBottom w:val="0"/>
          <w:divBdr>
            <w:top w:val="none" w:sz="0" w:space="0" w:color="auto"/>
            <w:left w:val="none" w:sz="0" w:space="0" w:color="auto"/>
            <w:bottom w:val="none" w:sz="0" w:space="0" w:color="auto"/>
            <w:right w:val="none" w:sz="0" w:space="0" w:color="auto"/>
          </w:divBdr>
        </w:div>
        <w:div w:id="1298298820">
          <w:marLeft w:val="360"/>
          <w:marRight w:val="0"/>
          <w:marTop w:val="200"/>
          <w:marBottom w:val="0"/>
          <w:divBdr>
            <w:top w:val="none" w:sz="0" w:space="0" w:color="auto"/>
            <w:left w:val="none" w:sz="0" w:space="0" w:color="auto"/>
            <w:bottom w:val="none" w:sz="0" w:space="0" w:color="auto"/>
            <w:right w:val="none" w:sz="0" w:space="0" w:color="auto"/>
          </w:divBdr>
        </w:div>
        <w:div w:id="1326594286">
          <w:marLeft w:val="1080"/>
          <w:marRight w:val="0"/>
          <w:marTop w:val="100"/>
          <w:marBottom w:val="0"/>
          <w:divBdr>
            <w:top w:val="none" w:sz="0" w:space="0" w:color="auto"/>
            <w:left w:val="none" w:sz="0" w:space="0" w:color="auto"/>
            <w:bottom w:val="none" w:sz="0" w:space="0" w:color="auto"/>
            <w:right w:val="none" w:sz="0" w:space="0" w:color="auto"/>
          </w:divBdr>
        </w:div>
        <w:div w:id="1424494142">
          <w:marLeft w:val="1080"/>
          <w:marRight w:val="0"/>
          <w:marTop w:val="100"/>
          <w:marBottom w:val="0"/>
          <w:divBdr>
            <w:top w:val="none" w:sz="0" w:space="0" w:color="auto"/>
            <w:left w:val="none" w:sz="0" w:space="0" w:color="auto"/>
            <w:bottom w:val="none" w:sz="0" w:space="0" w:color="auto"/>
            <w:right w:val="none" w:sz="0" w:space="0" w:color="auto"/>
          </w:divBdr>
        </w:div>
        <w:div w:id="1512838278">
          <w:marLeft w:val="1800"/>
          <w:marRight w:val="0"/>
          <w:marTop w:val="100"/>
          <w:marBottom w:val="0"/>
          <w:divBdr>
            <w:top w:val="none" w:sz="0" w:space="0" w:color="auto"/>
            <w:left w:val="none" w:sz="0" w:space="0" w:color="auto"/>
            <w:bottom w:val="none" w:sz="0" w:space="0" w:color="auto"/>
            <w:right w:val="none" w:sz="0" w:space="0" w:color="auto"/>
          </w:divBdr>
        </w:div>
        <w:div w:id="1757945426">
          <w:marLeft w:val="2520"/>
          <w:marRight w:val="0"/>
          <w:marTop w:val="100"/>
          <w:marBottom w:val="0"/>
          <w:divBdr>
            <w:top w:val="none" w:sz="0" w:space="0" w:color="auto"/>
            <w:left w:val="none" w:sz="0" w:space="0" w:color="auto"/>
            <w:bottom w:val="none" w:sz="0" w:space="0" w:color="auto"/>
            <w:right w:val="none" w:sz="0" w:space="0" w:color="auto"/>
          </w:divBdr>
        </w:div>
        <w:div w:id="2018994801">
          <w:marLeft w:val="1080"/>
          <w:marRight w:val="0"/>
          <w:marTop w:val="100"/>
          <w:marBottom w:val="0"/>
          <w:divBdr>
            <w:top w:val="none" w:sz="0" w:space="0" w:color="auto"/>
            <w:left w:val="none" w:sz="0" w:space="0" w:color="auto"/>
            <w:bottom w:val="none" w:sz="0" w:space="0" w:color="auto"/>
            <w:right w:val="none" w:sz="0" w:space="0" w:color="auto"/>
          </w:divBdr>
        </w:div>
        <w:div w:id="2055805517">
          <w:marLeft w:val="360"/>
          <w:marRight w:val="0"/>
          <w:marTop w:val="200"/>
          <w:marBottom w:val="0"/>
          <w:divBdr>
            <w:top w:val="none" w:sz="0" w:space="0" w:color="auto"/>
            <w:left w:val="none" w:sz="0" w:space="0" w:color="auto"/>
            <w:bottom w:val="none" w:sz="0" w:space="0" w:color="auto"/>
            <w:right w:val="none" w:sz="0" w:space="0" w:color="auto"/>
          </w:divBdr>
        </w:div>
        <w:div w:id="2141995820">
          <w:marLeft w:val="1080"/>
          <w:marRight w:val="0"/>
          <w:marTop w:val="100"/>
          <w:marBottom w:val="0"/>
          <w:divBdr>
            <w:top w:val="none" w:sz="0" w:space="0" w:color="auto"/>
            <w:left w:val="none" w:sz="0" w:space="0" w:color="auto"/>
            <w:bottom w:val="none" w:sz="0" w:space="0" w:color="auto"/>
            <w:right w:val="none" w:sz="0" w:space="0" w:color="auto"/>
          </w:divBdr>
        </w:div>
      </w:divsChild>
    </w:div>
    <w:div w:id="267666778">
      <w:bodyDiv w:val="1"/>
      <w:marLeft w:val="0"/>
      <w:marRight w:val="0"/>
      <w:marTop w:val="0"/>
      <w:marBottom w:val="0"/>
      <w:divBdr>
        <w:top w:val="none" w:sz="0" w:space="0" w:color="auto"/>
        <w:left w:val="none" w:sz="0" w:space="0" w:color="auto"/>
        <w:bottom w:val="none" w:sz="0" w:space="0" w:color="auto"/>
        <w:right w:val="none" w:sz="0" w:space="0" w:color="auto"/>
      </w:divBdr>
    </w:div>
    <w:div w:id="271088730">
      <w:bodyDiv w:val="1"/>
      <w:marLeft w:val="0"/>
      <w:marRight w:val="0"/>
      <w:marTop w:val="0"/>
      <w:marBottom w:val="0"/>
      <w:divBdr>
        <w:top w:val="none" w:sz="0" w:space="0" w:color="auto"/>
        <w:left w:val="none" w:sz="0" w:space="0" w:color="auto"/>
        <w:bottom w:val="none" w:sz="0" w:space="0" w:color="auto"/>
        <w:right w:val="none" w:sz="0" w:space="0" w:color="auto"/>
      </w:divBdr>
    </w:div>
    <w:div w:id="272713810">
      <w:bodyDiv w:val="1"/>
      <w:marLeft w:val="0"/>
      <w:marRight w:val="0"/>
      <w:marTop w:val="0"/>
      <w:marBottom w:val="0"/>
      <w:divBdr>
        <w:top w:val="none" w:sz="0" w:space="0" w:color="auto"/>
        <w:left w:val="none" w:sz="0" w:space="0" w:color="auto"/>
        <w:bottom w:val="none" w:sz="0" w:space="0" w:color="auto"/>
        <w:right w:val="none" w:sz="0" w:space="0" w:color="auto"/>
      </w:divBdr>
    </w:div>
    <w:div w:id="273287630">
      <w:bodyDiv w:val="1"/>
      <w:marLeft w:val="0"/>
      <w:marRight w:val="0"/>
      <w:marTop w:val="0"/>
      <w:marBottom w:val="0"/>
      <w:divBdr>
        <w:top w:val="none" w:sz="0" w:space="0" w:color="auto"/>
        <w:left w:val="none" w:sz="0" w:space="0" w:color="auto"/>
        <w:bottom w:val="none" w:sz="0" w:space="0" w:color="auto"/>
        <w:right w:val="none" w:sz="0" w:space="0" w:color="auto"/>
      </w:divBdr>
    </w:div>
    <w:div w:id="274602564">
      <w:bodyDiv w:val="1"/>
      <w:marLeft w:val="0"/>
      <w:marRight w:val="0"/>
      <w:marTop w:val="0"/>
      <w:marBottom w:val="0"/>
      <w:divBdr>
        <w:top w:val="none" w:sz="0" w:space="0" w:color="auto"/>
        <w:left w:val="none" w:sz="0" w:space="0" w:color="auto"/>
        <w:bottom w:val="none" w:sz="0" w:space="0" w:color="auto"/>
        <w:right w:val="none" w:sz="0" w:space="0" w:color="auto"/>
      </w:divBdr>
      <w:divsChild>
        <w:div w:id="455488937">
          <w:marLeft w:val="1166"/>
          <w:marRight w:val="0"/>
          <w:marTop w:val="125"/>
          <w:marBottom w:val="0"/>
          <w:divBdr>
            <w:top w:val="none" w:sz="0" w:space="0" w:color="auto"/>
            <w:left w:val="none" w:sz="0" w:space="0" w:color="auto"/>
            <w:bottom w:val="none" w:sz="0" w:space="0" w:color="auto"/>
            <w:right w:val="none" w:sz="0" w:space="0" w:color="auto"/>
          </w:divBdr>
        </w:div>
        <w:div w:id="483399855">
          <w:marLeft w:val="1166"/>
          <w:marRight w:val="0"/>
          <w:marTop w:val="125"/>
          <w:marBottom w:val="0"/>
          <w:divBdr>
            <w:top w:val="none" w:sz="0" w:space="0" w:color="auto"/>
            <w:left w:val="none" w:sz="0" w:space="0" w:color="auto"/>
            <w:bottom w:val="none" w:sz="0" w:space="0" w:color="auto"/>
            <w:right w:val="none" w:sz="0" w:space="0" w:color="auto"/>
          </w:divBdr>
        </w:div>
        <w:div w:id="1050232198">
          <w:marLeft w:val="547"/>
          <w:marRight w:val="0"/>
          <w:marTop w:val="144"/>
          <w:marBottom w:val="0"/>
          <w:divBdr>
            <w:top w:val="none" w:sz="0" w:space="0" w:color="auto"/>
            <w:left w:val="none" w:sz="0" w:space="0" w:color="auto"/>
            <w:bottom w:val="none" w:sz="0" w:space="0" w:color="auto"/>
            <w:right w:val="none" w:sz="0" w:space="0" w:color="auto"/>
          </w:divBdr>
        </w:div>
        <w:div w:id="1231621108">
          <w:marLeft w:val="547"/>
          <w:marRight w:val="0"/>
          <w:marTop w:val="144"/>
          <w:marBottom w:val="0"/>
          <w:divBdr>
            <w:top w:val="none" w:sz="0" w:space="0" w:color="auto"/>
            <w:left w:val="none" w:sz="0" w:space="0" w:color="auto"/>
            <w:bottom w:val="none" w:sz="0" w:space="0" w:color="auto"/>
            <w:right w:val="none" w:sz="0" w:space="0" w:color="auto"/>
          </w:divBdr>
        </w:div>
        <w:div w:id="1962229159">
          <w:marLeft w:val="1166"/>
          <w:marRight w:val="0"/>
          <w:marTop w:val="125"/>
          <w:marBottom w:val="0"/>
          <w:divBdr>
            <w:top w:val="none" w:sz="0" w:space="0" w:color="auto"/>
            <w:left w:val="none" w:sz="0" w:space="0" w:color="auto"/>
            <w:bottom w:val="none" w:sz="0" w:space="0" w:color="auto"/>
            <w:right w:val="none" w:sz="0" w:space="0" w:color="auto"/>
          </w:divBdr>
        </w:div>
        <w:div w:id="2026322251">
          <w:marLeft w:val="547"/>
          <w:marRight w:val="0"/>
          <w:marTop w:val="144"/>
          <w:marBottom w:val="0"/>
          <w:divBdr>
            <w:top w:val="none" w:sz="0" w:space="0" w:color="auto"/>
            <w:left w:val="none" w:sz="0" w:space="0" w:color="auto"/>
            <w:bottom w:val="none" w:sz="0" w:space="0" w:color="auto"/>
            <w:right w:val="none" w:sz="0" w:space="0" w:color="auto"/>
          </w:divBdr>
        </w:div>
      </w:divsChild>
    </w:div>
    <w:div w:id="274675873">
      <w:bodyDiv w:val="1"/>
      <w:marLeft w:val="0"/>
      <w:marRight w:val="0"/>
      <w:marTop w:val="0"/>
      <w:marBottom w:val="0"/>
      <w:divBdr>
        <w:top w:val="none" w:sz="0" w:space="0" w:color="auto"/>
        <w:left w:val="none" w:sz="0" w:space="0" w:color="auto"/>
        <w:bottom w:val="none" w:sz="0" w:space="0" w:color="auto"/>
        <w:right w:val="none" w:sz="0" w:space="0" w:color="auto"/>
      </w:divBdr>
    </w:div>
    <w:div w:id="274990361">
      <w:bodyDiv w:val="1"/>
      <w:marLeft w:val="0"/>
      <w:marRight w:val="0"/>
      <w:marTop w:val="0"/>
      <w:marBottom w:val="0"/>
      <w:divBdr>
        <w:top w:val="none" w:sz="0" w:space="0" w:color="auto"/>
        <w:left w:val="none" w:sz="0" w:space="0" w:color="auto"/>
        <w:bottom w:val="none" w:sz="0" w:space="0" w:color="auto"/>
        <w:right w:val="none" w:sz="0" w:space="0" w:color="auto"/>
      </w:divBdr>
    </w:div>
    <w:div w:id="275449066">
      <w:bodyDiv w:val="1"/>
      <w:marLeft w:val="0"/>
      <w:marRight w:val="0"/>
      <w:marTop w:val="0"/>
      <w:marBottom w:val="0"/>
      <w:divBdr>
        <w:top w:val="none" w:sz="0" w:space="0" w:color="auto"/>
        <w:left w:val="none" w:sz="0" w:space="0" w:color="auto"/>
        <w:bottom w:val="none" w:sz="0" w:space="0" w:color="auto"/>
        <w:right w:val="none" w:sz="0" w:space="0" w:color="auto"/>
      </w:divBdr>
    </w:div>
    <w:div w:id="276955964">
      <w:bodyDiv w:val="1"/>
      <w:marLeft w:val="0"/>
      <w:marRight w:val="0"/>
      <w:marTop w:val="0"/>
      <w:marBottom w:val="0"/>
      <w:divBdr>
        <w:top w:val="none" w:sz="0" w:space="0" w:color="auto"/>
        <w:left w:val="none" w:sz="0" w:space="0" w:color="auto"/>
        <w:bottom w:val="none" w:sz="0" w:space="0" w:color="auto"/>
        <w:right w:val="none" w:sz="0" w:space="0" w:color="auto"/>
      </w:divBdr>
      <w:divsChild>
        <w:div w:id="406267870">
          <w:marLeft w:val="1800"/>
          <w:marRight w:val="0"/>
          <w:marTop w:val="96"/>
          <w:marBottom w:val="0"/>
          <w:divBdr>
            <w:top w:val="none" w:sz="0" w:space="0" w:color="auto"/>
            <w:left w:val="none" w:sz="0" w:space="0" w:color="auto"/>
            <w:bottom w:val="none" w:sz="0" w:space="0" w:color="auto"/>
            <w:right w:val="none" w:sz="0" w:space="0" w:color="auto"/>
          </w:divBdr>
        </w:div>
        <w:div w:id="653990510">
          <w:marLeft w:val="1166"/>
          <w:marRight w:val="0"/>
          <w:marTop w:val="115"/>
          <w:marBottom w:val="0"/>
          <w:divBdr>
            <w:top w:val="none" w:sz="0" w:space="0" w:color="auto"/>
            <w:left w:val="none" w:sz="0" w:space="0" w:color="auto"/>
            <w:bottom w:val="none" w:sz="0" w:space="0" w:color="auto"/>
            <w:right w:val="none" w:sz="0" w:space="0" w:color="auto"/>
          </w:divBdr>
        </w:div>
        <w:div w:id="894200086">
          <w:marLeft w:val="1800"/>
          <w:marRight w:val="0"/>
          <w:marTop w:val="96"/>
          <w:marBottom w:val="0"/>
          <w:divBdr>
            <w:top w:val="none" w:sz="0" w:space="0" w:color="auto"/>
            <w:left w:val="none" w:sz="0" w:space="0" w:color="auto"/>
            <w:bottom w:val="none" w:sz="0" w:space="0" w:color="auto"/>
            <w:right w:val="none" w:sz="0" w:space="0" w:color="auto"/>
          </w:divBdr>
        </w:div>
        <w:div w:id="966743185">
          <w:marLeft w:val="1166"/>
          <w:marRight w:val="0"/>
          <w:marTop w:val="115"/>
          <w:marBottom w:val="0"/>
          <w:divBdr>
            <w:top w:val="none" w:sz="0" w:space="0" w:color="auto"/>
            <w:left w:val="none" w:sz="0" w:space="0" w:color="auto"/>
            <w:bottom w:val="none" w:sz="0" w:space="0" w:color="auto"/>
            <w:right w:val="none" w:sz="0" w:space="0" w:color="auto"/>
          </w:divBdr>
        </w:div>
        <w:div w:id="1068961310">
          <w:marLeft w:val="1800"/>
          <w:marRight w:val="0"/>
          <w:marTop w:val="96"/>
          <w:marBottom w:val="0"/>
          <w:divBdr>
            <w:top w:val="none" w:sz="0" w:space="0" w:color="auto"/>
            <w:left w:val="none" w:sz="0" w:space="0" w:color="auto"/>
            <w:bottom w:val="none" w:sz="0" w:space="0" w:color="auto"/>
            <w:right w:val="none" w:sz="0" w:space="0" w:color="auto"/>
          </w:divBdr>
        </w:div>
        <w:div w:id="1135874891">
          <w:marLeft w:val="1166"/>
          <w:marRight w:val="0"/>
          <w:marTop w:val="115"/>
          <w:marBottom w:val="0"/>
          <w:divBdr>
            <w:top w:val="none" w:sz="0" w:space="0" w:color="auto"/>
            <w:left w:val="none" w:sz="0" w:space="0" w:color="auto"/>
            <w:bottom w:val="none" w:sz="0" w:space="0" w:color="auto"/>
            <w:right w:val="none" w:sz="0" w:space="0" w:color="auto"/>
          </w:divBdr>
        </w:div>
        <w:div w:id="1530338501">
          <w:marLeft w:val="547"/>
          <w:marRight w:val="0"/>
          <w:marTop w:val="130"/>
          <w:marBottom w:val="0"/>
          <w:divBdr>
            <w:top w:val="none" w:sz="0" w:space="0" w:color="auto"/>
            <w:left w:val="none" w:sz="0" w:space="0" w:color="auto"/>
            <w:bottom w:val="none" w:sz="0" w:space="0" w:color="auto"/>
            <w:right w:val="none" w:sz="0" w:space="0" w:color="auto"/>
          </w:divBdr>
        </w:div>
        <w:div w:id="1540895514">
          <w:marLeft w:val="1166"/>
          <w:marRight w:val="0"/>
          <w:marTop w:val="115"/>
          <w:marBottom w:val="0"/>
          <w:divBdr>
            <w:top w:val="none" w:sz="0" w:space="0" w:color="auto"/>
            <w:left w:val="none" w:sz="0" w:space="0" w:color="auto"/>
            <w:bottom w:val="none" w:sz="0" w:space="0" w:color="auto"/>
            <w:right w:val="none" w:sz="0" w:space="0" w:color="auto"/>
          </w:divBdr>
        </w:div>
        <w:div w:id="2060546635">
          <w:marLeft w:val="1800"/>
          <w:marRight w:val="0"/>
          <w:marTop w:val="96"/>
          <w:marBottom w:val="0"/>
          <w:divBdr>
            <w:top w:val="none" w:sz="0" w:space="0" w:color="auto"/>
            <w:left w:val="none" w:sz="0" w:space="0" w:color="auto"/>
            <w:bottom w:val="none" w:sz="0" w:space="0" w:color="auto"/>
            <w:right w:val="none" w:sz="0" w:space="0" w:color="auto"/>
          </w:divBdr>
        </w:div>
      </w:divsChild>
    </w:div>
    <w:div w:id="278413676">
      <w:bodyDiv w:val="1"/>
      <w:marLeft w:val="0"/>
      <w:marRight w:val="0"/>
      <w:marTop w:val="0"/>
      <w:marBottom w:val="0"/>
      <w:divBdr>
        <w:top w:val="none" w:sz="0" w:space="0" w:color="auto"/>
        <w:left w:val="none" w:sz="0" w:space="0" w:color="auto"/>
        <w:bottom w:val="none" w:sz="0" w:space="0" w:color="auto"/>
        <w:right w:val="none" w:sz="0" w:space="0" w:color="auto"/>
      </w:divBdr>
    </w:div>
    <w:div w:id="278728080">
      <w:bodyDiv w:val="1"/>
      <w:marLeft w:val="0"/>
      <w:marRight w:val="0"/>
      <w:marTop w:val="0"/>
      <w:marBottom w:val="0"/>
      <w:divBdr>
        <w:top w:val="none" w:sz="0" w:space="0" w:color="auto"/>
        <w:left w:val="none" w:sz="0" w:space="0" w:color="auto"/>
        <w:bottom w:val="none" w:sz="0" w:space="0" w:color="auto"/>
        <w:right w:val="none" w:sz="0" w:space="0" w:color="auto"/>
      </w:divBdr>
    </w:div>
    <w:div w:id="279267383">
      <w:bodyDiv w:val="1"/>
      <w:marLeft w:val="0"/>
      <w:marRight w:val="0"/>
      <w:marTop w:val="0"/>
      <w:marBottom w:val="0"/>
      <w:divBdr>
        <w:top w:val="none" w:sz="0" w:space="0" w:color="auto"/>
        <w:left w:val="none" w:sz="0" w:space="0" w:color="auto"/>
        <w:bottom w:val="none" w:sz="0" w:space="0" w:color="auto"/>
        <w:right w:val="none" w:sz="0" w:space="0" w:color="auto"/>
      </w:divBdr>
    </w:div>
    <w:div w:id="280310314">
      <w:bodyDiv w:val="1"/>
      <w:marLeft w:val="0"/>
      <w:marRight w:val="0"/>
      <w:marTop w:val="0"/>
      <w:marBottom w:val="0"/>
      <w:divBdr>
        <w:top w:val="none" w:sz="0" w:space="0" w:color="auto"/>
        <w:left w:val="none" w:sz="0" w:space="0" w:color="auto"/>
        <w:bottom w:val="none" w:sz="0" w:space="0" w:color="auto"/>
        <w:right w:val="none" w:sz="0" w:space="0" w:color="auto"/>
      </w:divBdr>
      <w:divsChild>
        <w:div w:id="372661210">
          <w:marLeft w:val="1800"/>
          <w:marRight w:val="0"/>
          <w:marTop w:val="96"/>
          <w:marBottom w:val="0"/>
          <w:divBdr>
            <w:top w:val="none" w:sz="0" w:space="0" w:color="auto"/>
            <w:left w:val="none" w:sz="0" w:space="0" w:color="auto"/>
            <w:bottom w:val="none" w:sz="0" w:space="0" w:color="auto"/>
            <w:right w:val="none" w:sz="0" w:space="0" w:color="auto"/>
          </w:divBdr>
        </w:div>
        <w:div w:id="545677987">
          <w:marLeft w:val="2520"/>
          <w:marRight w:val="0"/>
          <w:marTop w:val="82"/>
          <w:marBottom w:val="0"/>
          <w:divBdr>
            <w:top w:val="none" w:sz="0" w:space="0" w:color="auto"/>
            <w:left w:val="none" w:sz="0" w:space="0" w:color="auto"/>
            <w:bottom w:val="none" w:sz="0" w:space="0" w:color="auto"/>
            <w:right w:val="none" w:sz="0" w:space="0" w:color="auto"/>
          </w:divBdr>
        </w:div>
        <w:div w:id="578446323">
          <w:marLeft w:val="1166"/>
          <w:marRight w:val="0"/>
          <w:marTop w:val="115"/>
          <w:marBottom w:val="0"/>
          <w:divBdr>
            <w:top w:val="none" w:sz="0" w:space="0" w:color="auto"/>
            <w:left w:val="none" w:sz="0" w:space="0" w:color="auto"/>
            <w:bottom w:val="none" w:sz="0" w:space="0" w:color="auto"/>
            <w:right w:val="none" w:sz="0" w:space="0" w:color="auto"/>
          </w:divBdr>
        </w:div>
        <w:div w:id="624703743">
          <w:marLeft w:val="547"/>
          <w:marRight w:val="0"/>
          <w:marTop w:val="130"/>
          <w:marBottom w:val="0"/>
          <w:divBdr>
            <w:top w:val="none" w:sz="0" w:space="0" w:color="auto"/>
            <w:left w:val="none" w:sz="0" w:space="0" w:color="auto"/>
            <w:bottom w:val="none" w:sz="0" w:space="0" w:color="auto"/>
            <w:right w:val="none" w:sz="0" w:space="0" w:color="auto"/>
          </w:divBdr>
        </w:div>
        <w:div w:id="962035374">
          <w:marLeft w:val="2520"/>
          <w:marRight w:val="0"/>
          <w:marTop w:val="82"/>
          <w:marBottom w:val="0"/>
          <w:divBdr>
            <w:top w:val="none" w:sz="0" w:space="0" w:color="auto"/>
            <w:left w:val="none" w:sz="0" w:space="0" w:color="auto"/>
            <w:bottom w:val="none" w:sz="0" w:space="0" w:color="auto"/>
            <w:right w:val="none" w:sz="0" w:space="0" w:color="auto"/>
          </w:divBdr>
        </w:div>
        <w:div w:id="1342123972">
          <w:marLeft w:val="2520"/>
          <w:marRight w:val="0"/>
          <w:marTop w:val="82"/>
          <w:marBottom w:val="0"/>
          <w:divBdr>
            <w:top w:val="none" w:sz="0" w:space="0" w:color="auto"/>
            <w:left w:val="none" w:sz="0" w:space="0" w:color="auto"/>
            <w:bottom w:val="none" w:sz="0" w:space="0" w:color="auto"/>
            <w:right w:val="none" w:sz="0" w:space="0" w:color="auto"/>
          </w:divBdr>
        </w:div>
        <w:div w:id="1625649612">
          <w:marLeft w:val="1800"/>
          <w:marRight w:val="0"/>
          <w:marTop w:val="96"/>
          <w:marBottom w:val="0"/>
          <w:divBdr>
            <w:top w:val="none" w:sz="0" w:space="0" w:color="auto"/>
            <w:left w:val="none" w:sz="0" w:space="0" w:color="auto"/>
            <w:bottom w:val="none" w:sz="0" w:space="0" w:color="auto"/>
            <w:right w:val="none" w:sz="0" w:space="0" w:color="auto"/>
          </w:divBdr>
        </w:div>
        <w:div w:id="2092853941">
          <w:marLeft w:val="2520"/>
          <w:marRight w:val="0"/>
          <w:marTop w:val="82"/>
          <w:marBottom w:val="0"/>
          <w:divBdr>
            <w:top w:val="none" w:sz="0" w:space="0" w:color="auto"/>
            <w:left w:val="none" w:sz="0" w:space="0" w:color="auto"/>
            <w:bottom w:val="none" w:sz="0" w:space="0" w:color="auto"/>
            <w:right w:val="none" w:sz="0" w:space="0" w:color="auto"/>
          </w:divBdr>
        </w:div>
        <w:div w:id="2113865095">
          <w:marLeft w:val="547"/>
          <w:marRight w:val="0"/>
          <w:marTop w:val="130"/>
          <w:marBottom w:val="0"/>
          <w:divBdr>
            <w:top w:val="none" w:sz="0" w:space="0" w:color="auto"/>
            <w:left w:val="none" w:sz="0" w:space="0" w:color="auto"/>
            <w:bottom w:val="none" w:sz="0" w:space="0" w:color="auto"/>
            <w:right w:val="none" w:sz="0" w:space="0" w:color="auto"/>
          </w:divBdr>
        </w:div>
      </w:divsChild>
    </w:div>
    <w:div w:id="282469648">
      <w:bodyDiv w:val="1"/>
      <w:marLeft w:val="0"/>
      <w:marRight w:val="0"/>
      <w:marTop w:val="0"/>
      <w:marBottom w:val="0"/>
      <w:divBdr>
        <w:top w:val="none" w:sz="0" w:space="0" w:color="auto"/>
        <w:left w:val="none" w:sz="0" w:space="0" w:color="auto"/>
        <w:bottom w:val="none" w:sz="0" w:space="0" w:color="auto"/>
        <w:right w:val="none" w:sz="0" w:space="0" w:color="auto"/>
      </w:divBdr>
    </w:div>
    <w:div w:id="282537905">
      <w:bodyDiv w:val="1"/>
      <w:marLeft w:val="0"/>
      <w:marRight w:val="0"/>
      <w:marTop w:val="0"/>
      <w:marBottom w:val="0"/>
      <w:divBdr>
        <w:top w:val="none" w:sz="0" w:space="0" w:color="auto"/>
        <w:left w:val="none" w:sz="0" w:space="0" w:color="auto"/>
        <w:bottom w:val="none" w:sz="0" w:space="0" w:color="auto"/>
        <w:right w:val="none" w:sz="0" w:space="0" w:color="auto"/>
      </w:divBdr>
    </w:div>
    <w:div w:id="282855812">
      <w:bodyDiv w:val="1"/>
      <w:marLeft w:val="0"/>
      <w:marRight w:val="0"/>
      <w:marTop w:val="0"/>
      <w:marBottom w:val="0"/>
      <w:divBdr>
        <w:top w:val="none" w:sz="0" w:space="0" w:color="auto"/>
        <w:left w:val="none" w:sz="0" w:space="0" w:color="auto"/>
        <w:bottom w:val="none" w:sz="0" w:space="0" w:color="auto"/>
        <w:right w:val="none" w:sz="0" w:space="0" w:color="auto"/>
      </w:divBdr>
    </w:div>
    <w:div w:id="284165342">
      <w:bodyDiv w:val="1"/>
      <w:marLeft w:val="0"/>
      <w:marRight w:val="0"/>
      <w:marTop w:val="0"/>
      <w:marBottom w:val="0"/>
      <w:divBdr>
        <w:top w:val="none" w:sz="0" w:space="0" w:color="auto"/>
        <w:left w:val="none" w:sz="0" w:space="0" w:color="auto"/>
        <w:bottom w:val="none" w:sz="0" w:space="0" w:color="auto"/>
        <w:right w:val="none" w:sz="0" w:space="0" w:color="auto"/>
      </w:divBdr>
      <w:divsChild>
        <w:div w:id="489249125">
          <w:marLeft w:val="547"/>
          <w:marRight w:val="0"/>
          <w:marTop w:val="115"/>
          <w:marBottom w:val="0"/>
          <w:divBdr>
            <w:top w:val="none" w:sz="0" w:space="0" w:color="auto"/>
            <w:left w:val="none" w:sz="0" w:space="0" w:color="auto"/>
            <w:bottom w:val="none" w:sz="0" w:space="0" w:color="auto"/>
            <w:right w:val="none" w:sz="0" w:space="0" w:color="auto"/>
          </w:divBdr>
        </w:div>
      </w:divsChild>
    </w:div>
    <w:div w:id="285359387">
      <w:bodyDiv w:val="1"/>
      <w:marLeft w:val="0"/>
      <w:marRight w:val="0"/>
      <w:marTop w:val="0"/>
      <w:marBottom w:val="0"/>
      <w:divBdr>
        <w:top w:val="none" w:sz="0" w:space="0" w:color="auto"/>
        <w:left w:val="none" w:sz="0" w:space="0" w:color="auto"/>
        <w:bottom w:val="none" w:sz="0" w:space="0" w:color="auto"/>
        <w:right w:val="none" w:sz="0" w:space="0" w:color="auto"/>
      </w:divBdr>
    </w:div>
    <w:div w:id="285744887">
      <w:bodyDiv w:val="1"/>
      <w:marLeft w:val="0"/>
      <w:marRight w:val="0"/>
      <w:marTop w:val="0"/>
      <w:marBottom w:val="0"/>
      <w:divBdr>
        <w:top w:val="none" w:sz="0" w:space="0" w:color="auto"/>
        <w:left w:val="none" w:sz="0" w:space="0" w:color="auto"/>
        <w:bottom w:val="none" w:sz="0" w:space="0" w:color="auto"/>
        <w:right w:val="none" w:sz="0" w:space="0" w:color="auto"/>
      </w:divBdr>
    </w:div>
    <w:div w:id="286083550">
      <w:bodyDiv w:val="1"/>
      <w:marLeft w:val="0"/>
      <w:marRight w:val="0"/>
      <w:marTop w:val="0"/>
      <w:marBottom w:val="0"/>
      <w:divBdr>
        <w:top w:val="none" w:sz="0" w:space="0" w:color="auto"/>
        <w:left w:val="none" w:sz="0" w:space="0" w:color="auto"/>
        <w:bottom w:val="none" w:sz="0" w:space="0" w:color="auto"/>
        <w:right w:val="none" w:sz="0" w:space="0" w:color="auto"/>
      </w:divBdr>
    </w:div>
    <w:div w:id="286550620">
      <w:bodyDiv w:val="1"/>
      <w:marLeft w:val="0"/>
      <w:marRight w:val="0"/>
      <w:marTop w:val="0"/>
      <w:marBottom w:val="0"/>
      <w:divBdr>
        <w:top w:val="none" w:sz="0" w:space="0" w:color="auto"/>
        <w:left w:val="none" w:sz="0" w:space="0" w:color="auto"/>
        <w:bottom w:val="none" w:sz="0" w:space="0" w:color="auto"/>
        <w:right w:val="none" w:sz="0" w:space="0" w:color="auto"/>
      </w:divBdr>
    </w:div>
    <w:div w:id="286933924">
      <w:bodyDiv w:val="1"/>
      <w:marLeft w:val="0"/>
      <w:marRight w:val="0"/>
      <w:marTop w:val="0"/>
      <w:marBottom w:val="0"/>
      <w:divBdr>
        <w:top w:val="none" w:sz="0" w:space="0" w:color="auto"/>
        <w:left w:val="none" w:sz="0" w:space="0" w:color="auto"/>
        <w:bottom w:val="none" w:sz="0" w:space="0" w:color="auto"/>
        <w:right w:val="none" w:sz="0" w:space="0" w:color="auto"/>
      </w:divBdr>
    </w:div>
    <w:div w:id="287205416">
      <w:bodyDiv w:val="1"/>
      <w:marLeft w:val="0"/>
      <w:marRight w:val="0"/>
      <w:marTop w:val="0"/>
      <w:marBottom w:val="0"/>
      <w:divBdr>
        <w:top w:val="none" w:sz="0" w:space="0" w:color="auto"/>
        <w:left w:val="none" w:sz="0" w:space="0" w:color="auto"/>
        <w:bottom w:val="none" w:sz="0" w:space="0" w:color="auto"/>
        <w:right w:val="none" w:sz="0" w:space="0" w:color="auto"/>
      </w:divBdr>
    </w:div>
    <w:div w:id="287703578">
      <w:bodyDiv w:val="1"/>
      <w:marLeft w:val="0"/>
      <w:marRight w:val="0"/>
      <w:marTop w:val="0"/>
      <w:marBottom w:val="0"/>
      <w:divBdr>
        <w:top w:val="none" w:sz="0" w:space="0" w:color="auto"/>
        <w:left w:val="none" w:sz="0" w:space="0" w:color="auto"/>
        <w:bottom w:val="none" w:sz="0" w:space="0" w:color="auto"/>
        <w:right w:val="none" w:sz="0" w:space="0" w:color="auto"/>
      </w:divBdr>
      <w:divsChild>
        <w:div w:id="62874343">
          <w:marLeft w:val="1166"/>
          <w:marRight w:val="0"/>
          <w:marTop w:val="77"/>
          <w:marBottom w:val="0"/>
          <w:divBdr>
            <w:top w:val="none" w:sz="0" w:space="0" w:color="auto"/>
            <w:left w:val="none" w:sz="0" w:space="0" w:color="auto"/>
            <w:bottom w:val="none" w:sz="0" w:space="0" w:color="auto"/>
            <w:right w:val="none" w:sz="0" w:space="0" w:color="auto"/>
          </w:divBdr>
        </w:div>
        <w:div w:id="274211485">
          <w:marLeft w:val="1166"/>
          <w:marRight w:val="0"/>
          <w:marTop w:val="77"/>
          <w:marBottom w:val="0"/>
          <w:divBdr>
            <w:top w:val="none" w:sz="0" w:space="0" w:color="auto"/>
            <w:left w:val="none" w:sz="0" w:space="0" w:color="auto"/>
            <w:bottom w:val="none" w:sz="0" w:space="0" w:color="auto"/>
            <w:right w:val="none" w:sz="0" w:space="0" w:color="auto"/>
          </w:divBdr>
        </w:div>
        <w:div w:id="476151416">
          <w:marLeft w:val="1166"/>
          <w:marRight w:val="0"/>
          <w:marTop w:val="77"/>
          <w:marBottom w:val="0"/>
          <w:divBdr>
            <w:top w:val="none" w:sz="0" w:space="0" w:color="auto"/>
            <w:left w:val="none" w:sz="0" w:space="0" w:color="auto"/>
            <w:bottom w:val="none" w:sz="0" w:space="0" w:color="auto"/>
            <w:right w:val="none" w:sz="0" w:space="0" w:color="auto"/>
          </w:divBdr>
        </w:div>
        <w:div w:id="563875471">
          <w:marLeft w:val="547"/>
          <w:marRight w:val="0"/>
          <w:marTop w:val="96"/>
          <w:marBottom w:val="0"/>
          <w:divBdr>
            <w:top w:val="none" w:sz="0" w:space="0" w:color="auto"/>
            <w:left w:val="none" w:sz="0" w:space="0" w:color="auto"/>
            <w:bottom w:val="none" w:sz="0" w:space="0" w:color="auto"/>
            <w:right w:val="none" w:sz="0" w:space="0" w:color="auto"/>
          </w:divBdr>
        </w:div>
        <w:div w:id="1309478898">
          <w:marLeft w:val="1166"/>
          <w:marRight w:val="0"/>
          <w:marTop w:val="77"/>
          <w:marBottom w:val="0"/>
          <w:divBdr>
            <w:top w:val="none" w:sz="0" w:space="0" w:color="auto"/>
            <w:left w:val="none" w:sz="0" w:space="0" w:color="auto"/>
            <w:bottom w:val="none" w:sz="0" w:space="0" w:color="auto"/>
            <w:right w:val="none" w:sz="0" w:space="0" w:color="auto"/>
          </w:divBdr>
        </w:div>
        <w:div w:id="1582639334">
          <w:marLeft w:val="1800"/>
          <w:marRight w:val="0"/>
          <w:marTop w:val="86"/>
          <w:marBottom w:val="0"/>
          <w:divBdr>
            <w:top w:val="none" w:sz="0" w:space="0" w:color="auto"/>
            <w:left w:val="none" w:sz="0" w:space="0" w:color="auto"/>
            <w:bottom w:val="none" w:sz="0" w:space="0" w:color="auto"/>
            <w:right w:val="none" w:sz="0" w:space="0" w:color="auto"/>
          </w:divBdr>
        </w:div>
        <w:div w:id="1815873390">
          <w:marLeft w:val="547"/>
          <w:marRight w:val="0"/>
          <w:marTop w:val="96"/>
          <w:marBottom w:val="0"/>
          <w:divBdr>
            <w:top w:val="none" w:sz="0" w:space="0" w:color="auto"/>
            <w:left w:val="none" w:sz="0" w:space="0" w:color="auto"/>
            <w:bottom w:val="none" w:sz="0" w:space="0" w:color="auto"/>
            <w:right w:val="none" w:sz="0" w:space="0" w:color="auto"/>
          </w:divBdr>
        </w:div>
        <w:div w:id="1963804562">
          <w:marLeft w:val="1166"/>
          <w:marRight w:val="0"/>
          <w:marTop w:val="86"/>
          <w:marBottom w:val="0"/>
          <w:divBdr>
            <w:top w:val="none" w:sz="0" w:space="0" w:color="auto"/>
            <w:left w:val="none" w:sz="0" w:space="0" w:color="auto"/>
            <w:bottom w:val="none" w:sz="0" w:space="0" w:color="auto"/>
            <w:right w:val="none" w:sz="0" w:space="0" w:color="auto"/>
          </w:divBdr>
        </w:div>
      </w:divsChild>
    </w:div>
    <w:div w:id="288829146">
      <w:bodyDiv w:val="1"/>
      <w:marLeft w:val="0"/>
      <w:marRight w:val="0"/>
      <w:marTop w:val="0"/>
      <w:marBottom w:val="0"/>
      <w:divBdr>
        <w:top w:val="none" w:sz="0" w:space="0" w:color="auto"/>
        <w:left w:val="none" w:sz="0" w:space="0" w:color="auto"/>
        <w:bottom w:val="none" w:sz="0" w:space="0" w:color="auto"/>
        <w:right w:val="none" w:sz="0" w:space="0" w:color="auto"/>
      </w:divBdr>
    </w:div>
    <w:div w:id="290524025">
      <w:bodyDiv w:val="1"/>
      <w:marLeft w:val="0"/>
      <w:marRight w:val="0"/>
      <w:marTop w:val="0"/>
      <w:marBottom w:val="0"/>
      <w:divBdr>
        <w:top w:val="none" w:sz="0" w:space="0" w:color="auto"/>
        <w:left w:val="none" w:sz="0" w:space="0" w:color="auto"/>
        <w:bottom w:val="none" w:sz="0" w:space="0" w:color="auto"/>
        <w:right w:val="none" w:sz="0" w:space="0" w:color="auto"/>
      </w:divBdr>
    </w:div>
    <w:div w:id="291516477">
      <w:bodyDiv w:val="1"/>
      <w:marLeft w:val="0"/>
      <w:marRight w:val="0"/>
      <w:marTop w:val="0"/>
      <w:marBottom w:val="0"/>
      <w:divBdr>
        <w:top w:val="none" w:sz="0" w:space="0" w:color="auto"/>
        <w:left w:val="none" w:sz="0" w:space="0" w:color="auto"/>
        <w:bottom w:val="none" w:sz="0" w:space="0" w:color="auto"/>
        <w:right w:val="none" w:sz="0" w:space="0" w:color="auto"/>
      </w:divBdr>
    </w:div>
    <w:div w:id="291985800">
      <w:bodyDiv w:val="1"/>
      <w:marLeft w:val="0"/>
      <w:marRight w:val="0"/>
      <w:marTop w:val="0"/>
      <w:marBottom w:val="0"/>
      <w:divBdr>
        <w:top w:val="none" w:sz="0" w:space="0" w:color="auto"/>
        <w:left w:val="none" w:sz="0" w:space="0" w:color="auto"/>
        <w:bottom w:val="none" w:sz="0" w:space="0" w:color="auto"/>
        <w:right w:val="none" w:sz="0" w:space="0" w:color="auto"/>
      </w:divBdr>
    </w:div>
    <w:div w:id="292059180">
      <w:bodyDiv w:val="1"/>
      <w:marLeft w:val="0"/>
      <w:marRight w:val="0"/>
      <w:marTop w:val="0"/>
      <w:marBottom w:val="0"/>
      <w:divBdr>
        <w:top w:val="none" w:sz="0" w:space="0" w:color="auto"/>
        <w:left w:val="none" w:sz="0" w:space="0" w:color="auto"/>
        <w:bottom w:val="none" w:sz="0" w:space="0" w:color="auto"/>
        <w:right w:val="none" w:sz="0" w:space="0" w:color="auto"/>
      </w:divBdr>
    </w:div>
    <w:div w:id="293412268">
      <w:bodyDiv w:val="1"/>
      <w:marLeft w:val="0"/>
      <w:marRight w:val="0"/>
      <w:marTop w:val="0"/>
      <w:marBottom w:val="0"/>
      <w:divBdr>
        <w:top w:val="none" w:sz="0" w:space="0" w:color="auto"/>
        <w:left w:val="none" w:sz="0" w:space="0" w:color="auto"/>
        <w:bottom w:val="none" w:sz="0" w:space="0" w:color="auto"/>
        <w:right w:val="none" w:sz="0" w:space="0" w:color="auto"/>
      </w:divBdr>
    </w:div>
    <w:div w:id="294019723">
      <w:bodyDiv w:val="1"/>
      <w:marLeft w:val="0"/>
      <w:marRight w:val="0"/>
      <w:marTop w:val="0"/>
      <w:marBottom w:val="0"/>
      <w:divBdr>
        <w:top w:val="none" w:sz="0" w:space="0" w:color="auto"/>
        <w:left w:val="none" w:sz="0" w:space="0" w:color="auto"/>
        <w:bottom w:val="none" w:sz="0" w:space="0" w:color="auto"/>
        <w:right w:val="none" w:sz="0" w:space="0" w:color="auto"/>
      </w:divBdr>
      <w:divsChild>
        <w:div w:id="289291065">
          <w:marLeft w:val="547"/>
          <w:marRight w:val="0"/>
          <w:marTop w:val="115"/>
          <w:marBottom w:val="0"/>
          <w:divBdr>
            <w:top w:val="none" w:sz="0" w:space="0" w:color="auto"/>
            <w:left w:val="none" w:sz="0" w:space="0" w:color="auto"/>
            <w:bottom w:val="none" w:sz="0" w:space="0" w:color="auto"/>
            <w:right w:val="none" w:sz="0" w:space="0" w:color="auto"/>
          </w:divBdr>
        </w:div>
        <w:div w:id="558975848">
          <w:marLeft w:val="1166"/>
          <w:marRight w:val="0"/>
          <w:marTop w:val="86"/>
          <w:marBottom w:val="0"/>
          <w:divBdr>
            <w:top w:val="none" w:sz="0" w:space="0" w:color="auto"/>
            <w:left w:val="none" w:sz="0" w:space="0" w:color="auto"/>
            <w:bottom w:val="none" w:sz="0" w:space="0" w:color="auto"/>
            <w:right w:val="none" w:sz="0" w:space="0" w:color="auto"/>
          </w:divBdr>
        </w:div>
        <w:div w:id="656232545">
          <w:marLeft w:val="1166"/>
          <w:marRight w:val="0"/>
          <w:marTop w:val="86"/>
          <w:marBottom w:val="0"/>
          <w:divBdr>
            <w:top w:val="none" w:sz="0" w:space="0" w:color="auto"/>
            <w:left w:val="none" w:sz="0" w:space="0" w:color="auto"/>
            <w:bottom w:val="none" w:sz="0" w:space="0" w:color="auto"/>
            <w:right w:val="none" w:sz="0" w:space="0" w:color="auto"/>
          </w:divBdr>
        </w:div>
        <w:div w:id="905650329">
          <w:marLeft w:val="1166"/>
          <w:marRight w:val="0"/>
          <w:marTop w:val="86"/>
          <w:marBottom w:val="0"/>
          <w:divBdr>
            <w:top w:val="none" w:sz="0" w:space="0" w:color="auto"/>
            <w:left w:val="none" w:sz="0" w:space="0" w:color="auto"/>
            <w:bottom w:val="none" w:sz="0" w:space="0" w:color="auto"/>
            <w:right w:val="none" w:sz="0" w:space="0" w:color="auto"/>
          </w:divBdr>
        </w:div>
        <w:div w:id="1255168038">
          <w:marLeft w:val="1166"/>
          <w:marRight w:val="0"/>
          <w:marTop w:val="77"/>
          <w:marBottom w:val="0"/>
          <w:divBdr>
            <w:top w:val="none" w:sz="0" w:space="0" w:color="auto"/>
            <w:left w:val="none" w:sz="0" w:space="0" w:color="auto"/>
            <w:bottom w:val="none" w:sz="0" w:space="0" w:color="auto"/>
            <w:right w:val="none" w:sz="0" w:space="0" w:color="auto"/>
          </w:divBdr>
        </w:div>
        <w:div w:id="1466502303">
          <w:marLeft w:val="1166"/>
          <w:marRight w:val="0"/>
          <w:marTop w:val="77"/>
          <w:marBottom w:val="0"/>
          <w:divBdr>
            <w:top w:val="none" w:sz="0" w:space="0" w:color="auto"/>
            <w:left w:val="none" w:sz="0" w:space="0" w:color="auto"/>
            <w:bottom w:val="none" w:sz="0" w:space="0" w:color="auto"/>
            <w:right w:val="none" w:sz="0" w:space="0" w:color="auto"/>
          </w:divBdr>
        </w:div>
        <w:div w:id="1788891345">
          <w:marLeft w:val="1166"/>
          <w:marRight w:val="0"/>
          <w:marTop w:val="86"/>
          <w:marBottom w:val="0"/>
          <w:divBdr>
            <w:top w:val="none" w:sz="0" w:space="0" w:color="auto"/>
            <w:left w:val="none" w:sz="0" w:space="0" w:color="auto"/>
            <w:bottom w:val="none" w:sz="0" w:space="0" w:color="auto"/>
            <w:right w:val="none" w:sz="0" w:space="0" w:color="auto"/>
          </w:divBdr>
        </w:div>
      </w:divsChild>
    </w:div>
    <w:div w:id="294483152">
      <w:bodyDiv w:val="1"/>
      <w:marLeft w:val="0"/>
      <w:marRight w:val="0"/>
      <w:marTop w:val="0"/>
      <w:marBottom w:val="0"/>
      <w:divBdr>
        <w:top w:val="none" w:sz="0" w:space="0" w:color="auto"/>
        <w:left w:val="none" w:sz="0" w:space="0" w:color="auto"/>
        <w:bottom w:val="none" w:sz="0" w:space="0" w:color="auto"/>
        <w:right w:val="none" w:sz="0" w:space="0" w:color="auto"/>
      </w:divBdr>
      <w:divsChild>
        <w:div w:id="189268730">
          <w:marLeft w:val="1166"/>
          <w:marRight w:val="0"/>
          <w:marTop w:val="125"/>
          <w:marBottom w:val="0"/>
          <w:divBdr>
            <w:top w:val="none" w:sz="0" w:space="0" w:color="auto"/>
            <w:left w:val="none" w:sz="0" w:space="0" w:color="auto"/>
            <w:bottom w:val="none" w:sz="0" w:space="0" w:color="auto"/>
            <w:right w:val="none" w:sz="0" w:space="0" w:color="auto"/>
          </w:divBdr>
        </w:div>
        <w:div w:id="372048858">
          <w:marLeft w:val="547"/>
          <w:marRight w:val="0"/>
          <w:marTop w:val="144"/>
          <w:marBottom w:val="0"/>
          <w:divBdr>
            <w:top w:val="none" w:sz="0" w:space="0" w:color="auto"/>
            <w:left w:val="none" w:sz="0" w:space="0" w:color="auto"/>
            <w:bottom w:val="none" w:sz="0" w:space="0" w:color="auto"/>
            <w:right w:val="none" w:sz="0" w:space="0" w:color="auto"/>
          </w:divBdr>
        </w:div>
        <w:div w:id="661928017">
          <w:marLeft w:val="547"/>
          <w:marRight w:val="0"/>
          <w:marTop w:val="144"/>
          <w:marBottom w:val="0"/>
          <w:divBdr>
            <w:top w:val="none" w:sz="0" w:space="0" w:color="auto"/>
            <w:left w:val="none" w:sz="0" w:space="0" w:color="auto"/>
            <w:bottom w:val="none" w:sz="0" w:space="0" w:color="auto"/>
            <w:right w:val="none" w:sz="0" w:space="0" w:color="auto"/>
          </w:divBdr>
        </w:div>
        <w:div w:id="1009020342">
          <w:marLeft w:val="547"/>
          <w:marRight w:val="0"/>
          <w:marTop w:val="144"/>
          <w:marBottom w:val="0"/>
          <w:divBdr>
            <w:top w:val="none" w:sz="0" w:space="0" w:color="auto"/>
            <w:left w:val="none" w:sz="0" w:space="0" w:color="auto"/>
            <w:bottom w:val="none" w:sz="0" w:space="0" w:color="auto"/>
            <w:right w:val="none" w:sz="0" w:space="0" w:color="auto"/>
          </w:divBdr>
        </w:div>
        <w:div w:id="1252932512">
          <w:marLeft w:val="547"/>
          <w:marRight w:val="0"/>
          <w:marTop w:val="144"/>
          <w:marBottom w:val="0"/>
          <w:divBdr>
            <w:top w:val="none" w:sz="0" w:space="0" w:color="auto"/>
            <w:left w:val="none" w:sz="0" w:space="0" w:color="auto"/>
            <w:bottom w:val="none" w:sz="0" w:space="0" w:color="auto"/>
            <w:right w:val="none" w:sz="0" w:space="0" w:color="auto"/>
          </w:divBdr>
        </w:div>
      </w:divsChild>
    </w:div>
    <w:div w:id="295111834">
      <w:bodyDiv w:val="1"/>
      <w:marLeft w:val="0"/>
      <w:marRight w:val="0"/>
      <w:marTop w:val="0"/>
      <w:marBottom w:val="0"/>
      <w:divBdr>
        <w:top w:val="none" w:sz="0" w:space="0" w:color="auto"/>
        <w:left w:val="none" w:sz="0" w:space="0" w:color="auto"/>
        <w:bottom w:val="none" w:sz="0" w:space="0" w:color="auto"/>
        <w:right w:val="none" w:sz="0" w:space="0" w:color="auto"/>
      </w:divBdr>
    </w:div>
    <w:div w:id="295378604">
      <w:bodyDiv w:val="1"/>
      <w:marLeft w:val="0"/>
      <w:marRight w:val="0"/>
      <w:marTop w:val="0"/>
      <w:marBottom w:val="0"/>
      <w:divBdr>
        <w:top w:val="none" w:sz="0" w:space="0" w:color="auto"/>
        <w:left w:val="none" w:sz="0" w:space="0" w:color="auto"/>
        <w:bottom w:val="none" w:sz="0" w:space="0" w:color="auto"/>
        <w:right w:val="none" w:sz="0" w:space="0" w:color="auto"/>
      </w:divBdr>
    </w:div>
    <w:div w:id="296373152">
      <w:bodyDiv w:val="1"/>
      <w:marLeft w:val="0"/>
      <w:marRight w:val="0"/>
      <w:marTop w:val="0"/>
      <w:marBottom w:val="0"/>
      <w:divBdr>
        <w:top w:val="none" w:sz="0" w:space="0" w:color="auto"/>
        <w:left w:val="none" w:sz="0" w:space="0" w:color="auto"/>
        <w:bottom w:val="none" w:sz="0" w:space="0" w:color="auto"/>
        <w:right w:val="none" w:sz="0" w:space="0" w:color="auto"/>
      </w:divBdr>
    </w:div>
    <w:div w:id="296451450">
      <w:bodyDiv w:val="1"/>
      <w:marLeft w:val="0"/>
      <w:marRight w:val="0"/>
      <w:marTop w:val="0"/>
      <w:marBottom w:val="0"/>
      <w:divBdr>
        <w:top w:val="none" w:sz="0" w:space="0" w:color="auto"/>
        <w:left w:val="none" w:sz="0" w:space="0" w:color="auto"/>
        <w:bottom w:val="none" w:sz="0" w:space="0" w:color="auto"/>
        <w:right w:val="none" w:sz="0" w:space="0" w:color="auto"/>
      </w:divBdr>
      <w:divsChild>
        <w:div w:id="1482574884">
          <w:marLeft w:val="547"/>
          <w:marRight w:val="0"/>
          <w:marTop w:val="77"/>
          <w:marBottom w:val="0"/>
          <w:divBdr>
            <w:top w:val="none" w:sz="0" w:space="0" w:color="auto"/>
            <w:left w:val="none" w:sz="0" w:space="0" w:color="auto"/>
            <w:bottom w:val="none" w:sz="0" w:space="0" w:color="auto"/>
            <w:right w:val="none" w:sz="0" w:space="0" w:color="auto"/>
          </w:divBdr>
        </w:div>
      </w:divsChild>
    </w:div>
    <w:div w:id="296570663">
      <w:bodyDiv w:val="1"/>
      <w:marLeft w:val="0"/>
      <w:marRight w:val="0"/>
      <w:marTop w:val="0"/>
      <w:marBottom w:val="0"/>
      <w:divBdr>
        <w:top w:val="none" w:sz="0" w:space="0" w:color="auto"/>
        <w:left w:val="none" w:sz="0" w:space="0" w:color="auto"/>
        <w:bottom w:val="none" w:sz="0" w:space="0" w:color="auto"/>
        <w:right w:val="none" w:sz="0" w:space="0" w:color="auto"/>
      </w:divBdr>
    </w:div>
    <w:div w:id="298144929">
      <w:bodyDiv w:val="1"/>
      <w:marLeft w:val="0"/>
      <w:marRight w:val="0"/>
      <w:marTop w:val="0"/>
      <w:marBottom w:val="0"/>
      <w:divBdr>
        <w:top w:val="none" w:sz="0" w:space="0" w:color="auto"/>
        <w:left w:val="none" w:sz="0" w:space="0" w:color="auto"/>
        <w:bottom w:val="none" w:sz="0" w:space="0" w:color="auto"/>
        <w:right w:val="none" w:sz="0" w:space="0" w:color="auto"/>
      </w:divBdr>
    </w:div>
    <w:div w:id="298189909">
      <w:bodyDiv w:val="1"/>
      <w:marLeft w:val="0"/>
      <w:marRight w:val="0"/>
      <w:marTop w:val="0"/>
      <w:marBottom w:val="0"/>
      <w:divBdr>
        <w:top w:val="none" w:sz="0" w:space="0" w:color="auto"/>
        <w:left w:val="none" w:sz="0" w:space="0" w:color="auto"/>
        <w:bottom w:val="none" w:sz="0" w:space="0" w:color="auto"/>
        <w:right w:val="none" w:sz="0" w:space="0" w:color="auto"/>
      </w:divBdr>
      <w:divsChild>
        <w:div w:id="161897882">
          <w:marLeft w:val="1166"/>
          <w:marRight w:val="0"/>
          <w:marTop w:val="115"/>
          <w:marBottom w:val="0"/>
          <w:divBdr>
            <w:top w:val="none" w:sz="0" w:space="0" w:color="auto"/>
            <w:left w:val="none" w:sz="0" w:space="0" w:color="auto"/>
            <w:bottom w:val="none" w:sz="0" w:space="0" w:color="auto"/>
            <w:right w:val="none" w:sz="0" w:space="0" w:color="auto"/>
          </w:divBdr>
        </w:div>
        <w:div w:id="318733704">
          <w:marLeft w:val="547"/>
          <w:marRight w:val="0"/>
          <w:marTop w:val="134"/>
          <w:marBottom w:val="0"/>
          <w:divBdr>
            <w:top w:val="none" w:sz="0" w:space="0" w:color="auto"/>
            <w:left w:val="none" w:sz="0" w:space="0" w:color="auto"/>
            <w:bottom w:val="none" w:sz="0" w:space="0" w:color="auto"/>
            <w:right w:val="none" w:sz="0" w:space="0" w:color="auto"/>
          </w:divBdr>
        </w:div>
        <w:div w:id="1100299260">
          <w:marLeft w:val="1166"/>
          <w:marRight w:val="0"/>
          <w:marTop w:val="115"/>
          <w:marBottom w:val="0"/>
          <w:divBdr>
            <w:top w:val="none" w:sz="0" w:space="0" w:color="auto"/>
            <w:left w:val="none" w:sz="0" w:space="0" w:color="auto"/>
            <w:bottom w:val="none" w:sz="0" w:space="0" w:color="auto"/>
            <w:right w:val="none" w:sz="0" w:space="0" w:color="auto"/>
          </w:divBdr>
        </w:div>
        <w:div w:id="1460152202">
          <w:marLeft w:val="1166"/>
          <w:marRight w:val="0"/>
          <w:marTop w:val="115"/>
          <w:marBottom w:val="0"/>
          <w:divBdr>
            <w:top w:val="none" w:sz="0" w:space="0" w:color="auto"/>
            <w:left w:val="none" w:sz="0" w:space="0" w:color="auto"/>
            <w:bottom w:val="none" w:sz="0" w:space="0" w:color="auto"/>
            <w:right w:val="none" w:sz="0" w:space="0" w:color="auto"/>
          </w:divBdr>
        </w:div>
        <w:div w:id="1478297925">
          <w:marLeft w:val="547"/>
          <w:marRight w:val="0"/>
          <w:marTop w:val="134"/>
          <w:marBottom w:val="0"/>
          <w:divBdr>
            <w:top w:val="none" w:sz="0" w:space="0" w:color="auto"/>
            <w:left w:val="none" w:sz="0" w:space="0" w:color="auto"/>
            <w:bottom w:val="none" w:sz="0" w:space="0" w:color="auto"/>
            <w:right w:val="none" w:sz="0" w:space="0" w:color="auto"/>
          </w:divBdr>
        </w:div>
        <w:div w:id="1923488754">
          <w:marLeft w:val="547"/>
          <w:marRight w:val="0"/>
          <w:marTop w:val="134"/>
          <w:marBottom w:val="0"/>
          <w:divBdr>
            <w:top w:val="none" w:sz="0" w:space="0" w:color="auto"/>
            <w:left w:val="none" w:sz="0" w:space="0" w:color="auto"/>
            <w:bottom w:val="none" w:sz="0" w:space="0" w:color="auto"/>
            <w:right w:val="none" w:sz="0" w:space="0" w:color="auto"/>
          </w:divBdr>
        </w:div>
        <w:div w:id="2147121358">
          <w:marLeft w:val="1166"/>
          <w:marRight w:val="0"/>
          <w:marTop w:val="115"/>
          <w:marBottom w:val="0"/>
          <w:divBdr>
            <w:top w:val="none" w:sz="0" w:space="0" w:color="auto"/>
            <w:left w:val="none" w:sz="0" w:space="0" w:color="auto"/>
            <w:bottom w:val="none" w:sz="0" w:space="0" w:color="auto"/>
            <w:right w:val="none" w:sz="0" w:space="0" w:color="auto"/>
          </w:divBdr>
        </w:div>
      </w:divsChild>
    </w:div>
    <w:div w:id="299042443">
      <w:bodyDiv w:val="1"/>
      <w:marLeft w:val="0"/>
      <w:marRight w:val="0"/>
      <w:marTop w:val="0"/>
      <w:marBottom w:val="0"/>
      <w:divBdr>
        <w:top w:val="none" w:sz="0" w:space="0" w:color="auto"/>
        <w:left w:val="none" w:sz="0" w:space="0" w:color="auto"/>
        <w:bottom w:val="none" w:sz="0" w:space="0" w:color="auto"/>
        <w:right w:val="none" w:sz="0" w:space="0" w:color="auto"/>
      </w:divBdr>
    </w:div>
    <w:div w:id="299464375">
      <w:bodyDiv w:val="1"/>
      <w:marLeft w:val="0"/>
      <w:marRight w:val="0"/>
      <w:marTop w:val="0"/>
      <w:marBottom w:val="0"/>
      <w:divBdr>
        <w:top w:val="none" w:sz="0" w:space="0" w:color="auto"/>
        <w:left w:val="none" w:sz="0" w:space="0" w:color="auto"/>
        <w:bottom w:val="none" w:sz="0" w:space="0" w:color="auto"/>
        <w:right w:val="none" w:sz="0" w:space="0" w:color="auto"/>
      </w:divBdr>
    </w:div>
    <w:div w:id="300886427">
      <w:bodyDiv w:val="1"/>
      <w:marLeft w:val="0"/>
      <w:marRight w:val="0"/>
      <w:marTop w:val="0"/>
      <w:marBottom w:val="0"/>
      <w:divBdr>
        <w:top w:val="none" w:sz="0" w:space="0" w:color="auto"/>
        <w:left w:val="none" w:sz="0" w:space="0" w:color="auto"/>
        <w:bottom w:val="none" w:sz="0" w:space="0" w:color="auto"/>
        <w:right w:val="none" w:sz="0" w:space="0" w:color="auto"/>
      </w:divBdr>
      <w:divsChild>
        <w:div w:id="1083799820">
          <w:marLeft w:val="1080"/>
          <w:marRight w:val="0"/>
          <w:marTop w:val="100"/>
          <w:marBottom w:val="0"/>
          <w:divBdr>
            <w:top w:val="none" w:sz="0" w:space="0" w:color="auto"/>
            <w:left w:val="none" w:sz="0" w:space="0" w:color="auto"/>
            <w:bottom w:val="none" w:sz="0" w:space="0" w:color="auto"/>
            <w:right w:val="none" w:sz="0" w:space="0" w:color="auto"/>
          </w:divBdr>
        </w:div>
        <w:div w:id="1568997915">
          <w:marLeft w:val="360"/>
          <w:marRight w:val="0"/>
          <w:marTop w:val="200"/>
          <w:marBottom w:val="0"/>
          <w:divBdr>
            <w:top w:val="none" w:sz="0" w:space="0" w:color="auto"/>
            <w:left w:val="none" w:sz="0" w:space="0" w:color="auto"/>
            <w:bottom w:val="none" w:sz="0" w:space="0" w:color="auto"/>
            <w:right w:val="none" w:sz="0" w:space="0" w:color="auto"/>
          </w:divBdr>
        </w:div>
        <w:div w:id="1727070232">
          <w:marLeft w:val="1080"/>
          <w:marRight w:val="0"/>
          <w:marTop w:val="100"/>
          <w:marBottom w:val="0"/>
          <w:divBdr>
            <w:top w:val="none" w:sz="0" w:space="0" w:color="auto"/>
            <w:left w:val="none" w:sz="0" w:space="0" w:color="auto"/>
            <w:bottom w:val="none" w:sz="0" w:space="0" w:color="auto"/>
            <w:right w:val="none" w:sz="0" w:space="0" w:color="auto"/>
          </w:divBdr>
        </w:div>
      </w:divsChild>
    </w:div>
    <w:div w:id="301886331">
      <w:bodyDiv w:val="1"/>
      <w:marLeft w:val="0"/>
      <w:marRight w:val="0"/>
      <w:marTop w:val="0"/>
      <w:marBottom w:val="0"/>
      <w:divBdr>
        <w:top w:val="none" w:sz="0" w:space="0" w:color="auto"/>
        <w:left w:val="none" w:sz="0" w:space="0" w:color="auto"/>
        <w:bottom w:val="none" w:sz="0" w:space="0" w:color="auto"/>
        <w:right w:val="none" w:sz="0" w:space="0" w:color="auto"/>
      </w:divBdr>
      <w:divsChild>
        <w:div w:id="74713743">
          <w:marLeft w:val="1166"/>
          <w:marRight w:val="0"/>
          <w:marTop w:val="115"/>
          <w:marBottom w:val="0"/>
          <w:divBdr>
            <w:top w:val="none" w:sz="0" w:space="0" w:color="auto"/>
            <w:left w:val="none" w:sz="0" w:space="0" w:color="auto"/>
            <w:bottom w:val="none" w:sz="0" w:space="0" w:color="auto"/>
            <w:right w:val="none" w:sz="0" w:space="0" w:color="auto"/>
          </w:divBdr>
        </w:div>
        <w:div w:id="703747261">
          <w:marLeft w:val="547"/>
          <w:marRight w:val="0"/>
          <w:marTop w:val="115"/>
          <w:marBottom w:val="0"/>
          <w:divBdr>
            <w:top w:val="none" w:sz="0" w:space="0" w:color="auto"/>
            <w:left w:val="none" w:sz="0" w:space="0" w:color="auto"/>
            <w:bottom w:val="none" w:sz="0" w:space="0" w:color="auto"/>
            <w:right w:val="none" w:sz="0" w:space="0" w:color="auto"/>
          </w:divBdr>
        </w:div>
        <w:div w:id="1664890451">
          <w:marLeft w:val="1166"/>
          <w:marRight w:val="0"/>
          <w:marTop w:val="115"/>
          <w:marBottom w:val="0"/>
          <w:divBdr>
            <w:top w:val="none" w:sz="0" w:space="0" w:color="auto"/>
            <w:left w:val="none" w:sz="0" w:space="0" w:color="auto"/>
            <w:bottom w:val="none" w:sz="0" w:space="0" w:color="auto"/>
            <w:right w:val="none" w:sz="0" w:space="0" w:color="auto"/>
          </w:divBdr>
        </w:div>
        <w:div w:id="1841038565">
          <w:marLeft w:val="1166"/>
          <w:marRight w:val="0"/>
          <w:marTop w:val="115"/>
          <w:marBottom w:val="0"/>
          <w:divBdr>
            <w:top w:val="none" w:sz="0" w:space="0" w:color="auto"/>
            <w:left w:val="none" w:sz="0" w:space="0" w:color="auto"/>
            <w:bottom w:val="none" w:sz="0" w:space="0" w:color="auto"/>
            <w:right w:val="none" w:sz="0" w:space="0" w:color="auto"/>
          </w:divBdr>
        </w:div>
      </w:divsChild>
    </w:div>
    <w:div w:id="303396275">
      <w:bodyDiv w:val="1"/>
      <w:marLeft w:val="0"/>
      <w:marRight w:val="0"/>
      <w:marTop w:val="0"/>
      <w:marBottom w:val="0"/>
      <w:divBdr>
        <w:top w:val="none" w:sz="0" w:space="0" w:color="auto"/>
        <w:left w:val="none" w:sz="0" w:space="0" w:color="auto"/>
        <w:bottom w:val="none" w:sz="0" w:space="0" w:color="auto"/>
        <w:right w:val="none" w:sz="0" w:space="0" w:color="auto"/>
      </w:divBdr>
    </w:div>
    <w:div w:id="303585801">
      <w:bodyDiv w:val="1"/>
      <w:marLeft w:val="0"/>
      <w:marRight w:val="0"/>
      <w:marTop w:val="0"/>
      <w:marBottom w:val="0"/>
      <w:divBdr>
        <w:top w:val="none" w:sz="0" w:space="0" w:color="auto"/>
        <w:left w:val="none" w:sz="0" w:space="0" w:color="auto"/>
        <w:bottom w:val="none" w:sz="0" w:space="0" w:color="auto"/>
        <w:right w:val="none" w:sz="0" w:space="0" w:color="auto"/>
      </w:divBdr>
      <w:divsChild>
        <w:div w:id="473136092">
          <w:marLeft w:val="1166"/>
          <w:marRight w:val="0"/>
          <w:marTop w:val="96"/>
          <w:marBottom w:val="0"/>
          <w:divBdr>
            <w:top w:val="none" w:sz="0" w:space="0" w:color="auto"/>
            <w:left w:val="none" w:sz="0" w:space="0" w:color="auto"/>
            <w:bottom w:val="none" w:sz="0" w:space="0" w:color="auto"/>
            <w:right w:val="none" w:sz="0" w:space="0" w:color="auto"/>
          </w:divBdr>
        </w:div>
        <w:div w:id="794828859">
          <w:marLeft w:val="547"/>
          <w:marRight w:val="0"/>
          <w:marTop w:val="106"/>
          <w:marBottom w:val="0"/>
          <w:divBdr>
            <w:top w:val="none" w:sz="0" w:space="0" w:color="auto"/>
            <w:left w:val="none" w:sz="0" w:space="0" w:color="auto"/>
            <w:bottom w:val="none" w:sz="0" w:space="0" w:color="auto"/>
            <w:right w:val="none" w:sz="0" w:space="0" w:color="auto"/>
          </w:divBdr>
        </w:div>
        <w:div w:id="898593317">
          <w:marLeft w:val="1166"/>
          <w:marRight w:val="0"/>
          <w:marTop w:val="96"/>
          <w:marBottom w:val="0"/>
          <w:divBdr>
            <w:top w:val="none" w:sz="0" w:space="0" w:color="auto"/>
            <w:left w:val="none" w:sz="0" w:space="0" w:color="auto"/>
            <w:bottom w:val="none" w:sz="0" w:space="0" w:color="auto"/>
            <w:right w:val="none" w:sz="0" w:space="0" w:color="auto"/>
          </w:divBdr>
        </w:div>
        <w:div w:id="1006051308">
          <w:marLeft w:val="1166"/>
          <w:marRight w:val="0"/>
          <w:marTop w:val="96"/>
          <w:marBottom w:val="0"/>
          <w:divBdr>
            <w:top w:val="none" w:sz="0" w:space="0" w:color="auto"/>
            <w:left w:val="none" w:sz="0" w:space="0" w:color="auto"/>
            <w:bottom w:val="none" w:sz="0" w:space="0" w:color="auto"/>
            <w:right w:val="none" w:sz="0" w:space="0" w:color="auto"/>
          </w:divBdr>
        </w:div>
        <w:div w:id="1060909383">
          <w:marLeft w:val="1166"/>
          <w:marRight w:val="0"/>
          <w:marTop w:val="96"/>
          <w:marBottom w:val="0"/>
          <w:divBdr>
            <w:top w:val="none" w:sz="0" w:space="0" w:color="auto"/>
            <w:left w:val="none" w:sz="0" w:space="0" w:color="auto"/>
            <w:bottom w:val="none" w:sz="0" w:space="0" w:color="auto"/>
            <w:right w:val="none" w:sz="0" w:space="0" w:color="auto"/>
          </w:divBdr>
        </w:div>
        <w:div w:id="1382560256">
          <w:marLeft w:val="1166"/>
          <w:marRight w:val="0"/>
          <w:marTop w:val="96"/>
          <w:marBottom w:val="0"/>
          <w:divBdr>
            <w:top w:val="none" w:sz="0" w:space="0" w:color="auto"/>
            <w:left w:val="none" w:sz="0" w:space="0" w:color="auto"/>
            <w:bottom w:val="none" w:sz="0" w:space="0" w:color="auto"/>
            <w:right w:val="none" w:sz="0" w:space="0" w:color="auto"/>
          </w:divBdr>
        </w:div>
        <w:div w:id="1431000820">
          <w:marLeft w:val="547"/>
          <w:marRight w:val="0"/>
          <w:marTop w:val="106"/>
          <w:marBottom w:val="0"/>
          <w:divBdr>
            <w:top w:val="none" w:sz="0" w:space="0" w:color="auto"/>
            <w:left w:val="none" w:sz="0" w:space="0" w:color="auto"/>
            <w:bottom w:val="none" w:sz="0" w:space="0" w:color="auto"/>
            <w:right w:val="none" w:sz="0" w:space="0" w:color="auto"/>
          </w:divBdr>
        </w:div>
        <w:div w:id="1562405595">
          <w:marLeft w:val="1166"/>
          <w:marRight w:val="0"/>
          <w:marTop w:val="96"/>
          <w:marBottom w:val="0"/>
          <w:divBdr>
            <w:top w:val="none" w:sz="0" w:space="0" w:color="auto"/>
            <w:left w:val="none" w:sz="0" w:space="0" w:color="auto"/>
            <w:bottom w:val="none" w:sz="0" w:space="0" w:color="auto"/>
            <w:right w:val="none" w:sz="0" w:space="0" w:color="auto"/>
          </w:divBdr>
        </w:div>
      </w:divsChild>
    </w:div>
    <w:div w:id="303896830">
      <w:bodyDiv w:val="1"/>
      <w:marLeft w:val="0"/>
      <w:marRight w:val="0"/>
      <w:marTop w:val="0"/>
      <w:marBottom w:val="0"/>
      <w:divBdr>
        <w:top w:val="none" w:sz="0" w:space="0" w:color="auto"/>
        <w:left w:val="none" w:sz="0" w:space="0" w:color="auto"/>
        <w:bottom w:val="none" w:sz="0" w:space="0" w:color="auto"/>
        <w:right w:val="none" w:sz="0" w:space="0" w:color="auto"/>
      </w:divBdr>
    </w:div>
    <w:div w:id="306013043">
      <w:bodyDiv w:val="1"/>
      <w:marLeft w:val="0"/>
      <w:marRight w:val="0"/>
      <w:marTop w:val="0"/>
      <w:marBottom w:val="0"/>
      <w:divBdr>
        <w:top w:val="none" w:sz="0" w:space="0" w:color="auto"/>
        <w:left w:val="none" w:sz="0" w:space="0" w:color="auto"/>
        <w:bottom w:val="none" w:sz="0" w:space="0" w:color="auto"/>
        <w:right w:val="none" w:sz="0" w:space="0" w:color="auto"/>
      </w:divBdr>
    </w:div>
    <w:div w:id="306595015">
      <w:bodyDiv w:val="1"/>
      <w:marLeft w:val="0"/>
      <w:marRight w:val="0"/>
      <w:marTop w:val="0"/>
      <w:marBottom w:val="0"/>
      <w:divBdr>
        <w:top w:val="none" w:sz="0" w:space="0" w:color="auto"/>
        <w:left w:val="none" w:sz="0" w:space="0" w:color="auto"/>
        <w:bottom w:val="none" w:sz="0" w:space="0" w:color="auto"/>
        <w:right w:val="none" w:sz="0" w:space="0" w:color="auto"/>
      </w:divBdr>
    </w:div>
    <w:div w:id="307786358">
      <w:bodyDiv w:val="1"/>
      <w:marLeft w:val="0"/>
      <w:marRight w:val="0"/>
      <w:marTop w:val="0"/>
      <w:marBottom w:val="0"/>
      <w:divBdr>
        <w:top w:val="none" w:sz="0" w:space="0" w:color="auto"/>
        <w:left w:val="none" w:sz="0" w:space="0" w:color="auto"/>
        <w:bottom w:val="none" w:sz="0" w:space="0" w:color="auto"/>
        <w:right w:val="none" w:sz="0" w:space="0" w:color="auto"/>
      </w:divBdr>
      <w:divsChild>
        <w:div w:id="234556722">
          <w:marLeft w:val="1526"/>
          <w:marRight w:val="0"/>
          <w:marTop w:val="100"/>
          <w:marBottom w:val="0"/>
          <w:divBdr>
            <w:top w:val="none" w:sz="0" w:space="0" w:color="auto"/>
            <w:left w:val="none" w:sz="0" w:space="0" w:color="auto"/>
            <w:bottom w:val="none" w:sz="0" w:space="0" w:color="auto"/>
            <w:right w:val="none" w:sz="0" w:space="0" w:color="auto"/>
          </w:divBdr>
        </w:div>
        <w:div w:id="340279127">
          <w:marLeft w:val="806"/>
          <w:marRight w:val="0"/>
          <w:marTop w:val="200"/>
          <w:marBottom w:val="0"/>
          <w:divBdr>
            <w:top w:val="none" w:sz="0" w:space="0" w:color="auto"/>
            <w:left w:val="none" w:sz="0" w:space="0" w:color="auto"/>
            <w:bottom w:val="none" w:sz="0" w:space="0" w:color="auto"/>
            <w:right w:val="none" w:sz="0" w:space="0" w:color="auto"/>
          </w:divBdr>
        </w:div>
        <w:div w:id="355081560">
          <w:marLeft w:val="360"/>
          <w:marRight w:val="0"/>
          <w:marTop w:val="200"/>
          <w:marBottom w:val="0"/>
          <w:divBdr>
            <w:top w:val="none" w:sz="0" w:space="0" w:color="auto"/>
            <w:left w:val="none" w:sz="0" w:space="0" w:color="auto"/>
            <w:bottom w:val="none" w:sz="0" w:space="0" w:color="auto"/>
            <w:right w:val="none" w:sz="0" w:space="0" w:color="auto"/>
          </w:divBdr>
        </w:div>
        <w:div w:id="1293369267">
          <w:marLeft w:val="806"/>
          <w:marRight w:val="0"/>
          <w:marTop w:val="200"/>
          <w:marBottom w:val="0"/>
          <w:divBdr>
            <w:top w:val="none" w:sz="0" w:space="0" w:color="auto"/>
            <w:left w:val="none" w:sz="0" w:space="0" w:color="auto"/>
            <w:bottom w:val="none" w:sz="0" w:space="0" w:color="auto"/>
            <w:right w:val="none" w:sz="0" w:space="0" w:color="auto"/>
          </w:divBdr>
        </w:div>
        <w:div w:id="1378119630">
          <w:marLeft w:val="1080"/>
          <w:marRight w:val="0"/>
          <w:marTop w:val="100"/>
          <w:marBottom w:val="0"/>
          <w:divBdr>
            <w:top w:val="none" w:sz="0" w:space="0" w:color="auto"/>
            <w:left w:val="none" w:sz="0" w:space="0" w:color="auto"/>
            <w:bottom w:val="none" w:sz="0" w:space="0" w:color="auto"/>
            <w:right w:val="none" w:sz="0" w:space="0" w:color="auto"/>
          </w:divBdr>
        </w:div>
        <w:div w:id="1437750361">
          <w:marLeft w:val="1526"/>
          <w:marRight w:val="0"/>
          <w:marTop w:val="100"/>
          <w:marBottom w:val="0"/>
          <w:divBdr>
            <w:top w:val="none" w:sz="0" w:space="0" w:color="auto"/>
            <w:left w:val="none" w:sz="0" w:space="0" w:color="auto"/>
            <w:bottom w:val="none" w:sz="0" w:space="0" w:color="auto"/>
            <w:right w:val="none" w:sz="0" w:space="0" w:color="auto"/>
          </w:divBdr>
        </w:div>
        <w:div w:id="1478456053">
          <w:marLeft w:val="360"/>
          <w:marRight w:val="0"/>
          <w:marTop w:val="200"/>
          <w:marBottom w:val="0"/>
          <w:divBdr>
            <w:top w:val="none" w:sz="0" w:space="0" w:color="auto"/>
            <w:left w:val="none" w:sz="0" w:space="0" w:color="auto"/>
            <w:bottom w:val="none" w:sz="0" w:space="0" w:color="auto"/>
            <w:right w:val="none" w:sz="0" w:space="0" w:color="auto"/>
          </w:divBdr>
        </w:div>
        <w:div w:id="1514537384">
          <w:marLeft w:val="806"/>
          <w:marRight w:val="0"/>
          <w:marTop w:val="200"/>
          <w:marBottom w:val="0"/>
          <w:divBdr>
            <w:top w:val="none" w:sz="0" w:space="0" w:color="auto"/>
            <w:left w:val="none" w:sz="0" w:space="0" w:color="auto"/>
            <w:bottom w:val="none" w:sz="0" w:space="0" w:color="auto"/>
            <w:right w:val="none" w:sz="0" w:space="0" w:color="auto"/>
          </w:divBdr>
        </w:div>
        <w:div w:id="1823423426">
          <w:marLeft w:val="1080"/>
          <w:marRight w:val="0"/>
          <w:marTop w:val="100"/>
          <w:marBottom w:val="0"/>
          <w:divBdr>
            <w:top w:val="none" w:sz="0" w:space="0" w:color="auto"/>
            <w:left w:val="none" w:sz="0" w:space="0" w:color="auto"/>
            <w:bottom w:val="none" w:sz="0" w:space="0" w:color="auto"/>
            <w:right w:val="none" w:sz="0" w:space="0" w:color="auto"/>
          </w:divBdr>
        </w:div>
        <w:div w:id="1850102505">
          <w:marLeft w:val="1800"/>
          <w:marRight w:val="0"/>
          <w:marTop w:val="100"/>
          <w:marBottom w:val="0"/>
          <w:divBdr>
            <w:top w:val="none" w:sz="0" w:space="0" w:color="auto"/>
            <w:left w:val="none" w:sz="0" w:space="0" w:color="auto"/>
            <w:bottom w:val="none" w:sz="0" w:space="0" w:color="auto"/>
            <w:right w:val="none" w:sz="0" w:space="0" w:color="auto"/>
          </w:divBdr>
        </w:div>
        <w:div w:id="1869487802">
          <w:marLeft w:val="1526"/>
          <w:marRight w:val="0"/>
          <w:marTop w:val="100"/>
          <w:marBottom w:val="0"/>
          <w:divBdr>
            <w:top w:val="none" w:sz="0" w:space="0" w:color="auto"/>
            <w:left w:val="none" w:sz="0" w:space="0" w:color="auto"/>
            <w:bottom w:val="none" w:sz="0" w:space="0" w:color="auto"/>
            <w:right w:val="none" w:sz="0" w:space="0" w:color="auto"/>
          </w:divBdr>
        </w:div>
      </w:divsChild>
    </w:div>
    <w:div w:id="308486865">
      <w:bodyDiv w:val="1"/>
      <w:marLeft w:val="0"/>
      <w:marRight w:val="0"/>
      <w:marTop w:val="0"/>
      <w:marBottom w:val="0"/>
      <w:divBdr>
        <w:top w:val="none" w:sz="0" w:space="0" w:color="auto"/>
        <w:left w:val="none" w:sz="0" w:space="0" w:color="auto"/>
        <w:bottom w:val="none" w:sz="0" w:space="0" w:color="auto"/>
        <w:right w:val="none" w:sz="0" w:space="0" w:color="auto"/>
      </w:divBdr>
    </w:div>
    <w:div w:id="309598036">
      <w:bodyDiv w:val="1"/>
      <w:marLeft w:val="0"/>
      <w:marRight w:val="0"/>
      <w:marTop w:val="0"/>
      <w:marBottom w:val="0"/>
      <w:divBdr>
        <w:top w:val="none" w:sz="0" w:space="0" w:color="auto"/>
        <w:left w:val="none" w:sz="0" w:space="0" w:color="auto"/>
        <w:bottom w:val="none" w:sz="0" w:space="0" w:color="auto"/>
        <w:right w:val="none" w:sz="0" w:space="0" w:color="auto"/>
      </w:divBdr>
    </w:div>
    <w:div w:id="310914026">
      <w:bodyDiv w:val="1"/>
      <w:marLeft w:val="0"/>
      <w:marRight w:val="0"/>
      <w:marTop w:val="0"/>
      <w:marBottom w:val="0"/>
      <w:divBdr>
        <w:top w:val="none" w:sz="0" w:space="0" w:color="auto"/>
        <w:left w:val="none" w:sz="0" w:space="0" w:color="auto"/>
        <w:bottom w:val="none" w:sz="0" w:space="0" w:color="auto"/>
        <w:right w:val="none" w:sz="0" w:space="0" w:color="auto"/>
      </w:divBdr>
      <w:divsChild>
        <w:div w:id="29428120">
          <w:marLeft w:val="1166"/>
          <w:marRight w:val="0"/>
          <w:marTop w:val="96"/>
          <w:marBottom w:val="0"/>
          <w:divBdr>
            <w:top w:val="none" w:sz="0" w:space="0" w:color="auto"/>
            <w:left w:val="none" w:sz="0" w:space="0" w:color="auto"/>
            <w:bottom w:val="none" w:sz="0" w:space="0" w:color="auto"/>
            <w:right w:val="none" w:sz="0" w:space="0" w:color="auto"/>
          </w:divBdr>
        </w:div>
        <w:div w:id="377436314">
          <w:marLeft w:val="1166"/>
          <w:marRight w:val="0"/>
          <w:marTop w:val="96"/>
          <w:marBottom w:val="0"/>
          <w:divBdr>
            <w:top w:val="none" w:sz="0" w:space="0" w:color="auto"/>
            <w:left w:val="none" w:sz="0" w:space="0" w:color="auto"/>
            <w:bottom w:val="none" w:sz="0" w:space="0" w:color="auto"/>
            <w:right w:val="none" w:sz="0" w:space="0" w:color="auto"/>
          </w:divBdr>
        </w:div>
        <w:div w:id="393164541">
          <w:marLeft w:val="1166"/>
          <w:marRight w:val="0"/>
          <w:marTop w:val="96"/>
          <w:marBottom w:val="0"/>
          <w:divBdr>
            <w:top w:val="none" w:sz="0" w:space="0" w:color="auto"/>
            <w:left w:val="none" w:sz="0" w:space="0" w:color="auto"/>
            <w:bottom w:val="none" w:sz="0" w:space="0" w:color="auto"/>
            <w:right w:val="none" w:sz="0" w:space="0" w:color="auto"/>
          </w:divBdr>
        </w:div>
        <w:div w:id="478159073">
          <w:marLeft w:val="1800"/>
          <w:marRight w:val="0"/>
          <w:marTop w:val="96"/>
          <w:marBottom w:val="0"/>
          <w:divBdr>
            <w:top w:val="none" w:sz="0" w:space="0" w:color="auto"/>
            <w:left w:val="none" w:sz="0" w:space="0" w:color="auto"/>
            <w:bottom w:val="none" w:sz="0" w:space="0" w:color="auto"/>
            <w:right w:val="none" w:sz="0" w:space="0" w:color="auto"/>
          </w:divBdr>
        </w:div>
        <w:div w:id="982542124">
          <w:marLeft w:val="1166"/>
          <w:marRight w:val="0"/>
          <w:marTop w:val="96"/>
          <w:marBottom w:val="0"/>
          <w:divBdr>
            <w:top w:val="none" w:sz="0" w:space="0" w:color="auto"/>
            <w:left w:val="none" w:sz="0" w:space="0" w:color="auto"/>
            <w:bottom w:val="none" w:sz="0" w:space="0" w:color="auto"/>
            <w:right w:val="none" w:sz="0" w:space="0" w:color="auto"/>
          </w:divBdr>
        </w:div>
        <w:div w:id="1029799923">
          <w:marLeft w:val="1166"/>
          <w:marRight w:val="0"/>
          <w:marTop w:val="96"/>
          <w:marBottom w:val="0"/>
          <w:divBdr>
            <w:top w:val="none" w:sz="0" w:space="0" w:color="auto"/>
            <w:left w:val="none" w:sz="0" w:space="0" w:color="auto"/>
            <w:bottom w:val="none" w:sz="0" w:space="0" w:color="auto"/>
            <w:right w:val="none" w:sz="0" w:space="0" w:color="auto"/>
          </w:divBdr>
        </w:div>
        <w:div w:id="1366950005">
          <w:marLeft w:val="547"/>
          <w:marRight w:val="0"/>
          <w:marTop w:val="96"/>
          <w:marBottom w:val="0"/>
          <w:divBdr>
            <w:top w:val="none" w:sz="0" w:space="0" w:color="auto"/>
            <w:left w:val="none" w:sz="0" w:space="0" w:color="auto"/>
            <w:bottom w:val="none" w:sz="0" w:space="0" w:color="auto"/>
            <w:right w:val="none" w:sz="0" w:space="0" w:color="auto"/>
          </w:divBdr>
        </w:div>
        <w:div w:id="1413430350">
          <w:marLeft w:val="547"/>
          <w:marRight w:val="0"/>
          <w:marTop w:val="96"/>
          <w:marBottom w:val="0"/>
          <w:divBdr>
            <w:top w:val="none" w:sz="0" w:space="0" w:color="auto"/>
            <w:left w:val="none" w:sz="0" w:space="0" w:color="auto"/>
            <w:bottom w:val="none" w:sz="0" w:space="0" w:color="auto"/>
            <w:right w:val="none" w:sz="0" w:space="0" w:color="auto"/>
          </w:divBdr>
        </w:div>
        <w:div w:id="2106799710">
          <w:marLeft w:val="547"/>
          <w:marRight w:val="0"/>
          <w:marTop w:val="96"/>
          <w:marBottom w:val="0"/>
          <w:divBdr>
            <w:top w:val="none" w:sz="0" w:space="0" w:color="auto"/>
            <w:left w:val="none" w:sz="0" w:space="0" w:color="auto"/>
            <w:bottom w:val="none" w:sz="0" w:space="0" w:color="auto"/>
            <w:right w:val="none" w:sz="0" w:space="0" w:color="auto"/>
          </w:divBdr>
        </w:div>
      </w:divsChild>
    </w:div>
    <w:div w:id="311105654">
      <w:bodyDiv w:val="1"/>
      <w:marLeft w:val="0"/>
      <w:marRight w:val="0"/>
      <w:marTop w:val="0"/>
      <w:marBottom w:val="0"/>
      <w:divBdr>
        <w:top w:val="none" w:sz="0" w:space="0" w:color="auto"/>
        <w:left w:val="none" w:sz="0" w:space="0" w:color="auto"/>
        <w:bottom w:val="none" w:sz="0" w:space="0" w:color="auto"/>
        <w:right w:val="none" w:sz="0" w:space="0" w:color="auto"/>
      </w:divBdr>
    </w:div>
    <w:div w:id="314724318">
      <w:bodyDiv w:val="1"/>
      <w:marLeft w:val="0"/>
      <w:marRight w:val="0"/>
      <w:marTop w:val="0"/>
      <w:marBottom w:val="0"/>
      <w:divBdr>
        <w:top w:val="none" w:sz="0" w:space="0" w:color="auto"/>
        <w:left w:val="none" w:sz="0" w:space="0" w:color="auto"/>
        <w:bottom w:val="none" w:sz="0" w:space="0" w:color="auto"/>
        <w:right w:val="none" w:sz="0" w:space="0" w:color="auto"/>
      </w:divBdr>
    </w:div>
    <w:div w:id="315231234">
      <w:bodyDiv w:val="1"/>
      <w:marLeft w:val="0"/>
      <w:marRight w:val="0"/>
      <w:marTop w:val="0"/>
      <w:marBottom w:val="0"/>
      <w:divBdr>
        <w:top w:val="none" w:sz="0" w:space="0" w:color="auto"/>
        <w:left w:val="none" w:sz="0" w:space="0" w:color="auto"/>
        <w:bottom w:val="none" w:sz="0" w:space="0" w:color="auto"/>
        <w:right w:val="none" w:sz="0" w:space="0" w:color="auto"/>
      </w:divBdr>
    </w:div>
    <w:div w:id="315572226">
      <w:bodyDiv w:val="1"/>
      <w:marLeft w:val="0"/>
      <w:marRight w:val="0"/>
      <w:marTop w:val="0"/>
      <w:marBottom w:val="0"/>
      <w:divBdr>
        <w:top w:val="none" w:sz="0" w:space="0" w:color="auto"/>
        <w:left w:val="none" w:sz="0" w:space="0" w:color="auto"/>
        <w:bottom w:val="none" w:sz="0" w:space="0" w:color="auto"/>
        <w:right w:val="none" w:sz="0" w:space="0" w:color="auto"/>
      </w:divBdr>
    </w:div>
    <w:div w:id="317154761">
      <w:bodyDiv w:val="1"/>
      <w:marLeft w:val="0"/>
      <w:marRight w:val="0"/>
      <w:marTop w:val="0"/>
      <w:marBottom w:val="0"/>
      <w:divBdr>
        <w:top w:val="none" w:sz="0" w:space="0" w:color="auto"/>
        <w:left w:val="none" w:sz="0" w:space="0" w:color="auto"/>
        <w:bottom w:val="none" w:sz="0" w:space="0" w:color="auto"/>
        <w:right w:val="none" w:sz="0" w:space="0" w:color="auto"/>
      </w:divBdr>
    </w:div>
    <w:div w:id="317349266">
      <w:bodyDiv w:val="1"/>
      <w:marLeft w:val="0"/>
      <w:marRight w:val="0"/>
      <w:marTop w:val="0"/>
      <w:marBottom w:val="0"/>
      <w:divBdr>
        <w:top w:val="none" w:sz="0" w:space="0" w:color="auto"/>
        <w:left w:val="none" w:sz="0" w:space="0" w:color="auto"/>
        <w:bottom w:val="none" w:sz="0" w:space="0" w:color="auto"/>
        <w:right w:val="none" w:sz="0" w:space="0" w:color="auto"/>
      </w:divBdr>
    </w:div>
    <w:div w:id="317416777">
      <w:bodyDiv w:val="1"/>
      <w:marLeft w:val="0"/>
      <w:marRight w:val="0"/>
      <w:marTop w:val="0"/>
      <w:marBottom w:val="0"/>
      <w:divBdr>
        <w:top w:val="none" w:sz="0" w:space="0" w:color="auto"/>
        <w:left w:val="none" w:sz="0" w:space="0" w:color="auto"/>
        <w:bottom w:val="none" w:sz="0" w:space="0" w:color="auto"/>
        <w:right w:val="none" w:sz="0" w:space="0" w:color="auto"/>
      </w:divBdr>
    </w:div>
    <w:div w:id="317734284">
      <w:bodyDiv w:val="1"/>
      <w:marLeft w:val="0"/>
      <w:marRight w:val="0"/>
      <w:marTop w:val="0"/>
      <w:marBottom w:val="0"/>
      <w:divBdr>
        <w:top w:val="none" w:sz="0" w:space="0" w:color="auto"/>
        <w:left w:val="none" w:sz="0" w:space="0" w:color="auto"/>
        <w:bottom w:val="none" w:sz="0" w:space="0" w:color="auto"/>
        <w:right w:val="none" w:sz="0" w:space="0" w:color="auto"/>
      </w:divBdr>
    </w:div>
    <w:div w:id="318460300">
      <w:bodyDiv w:val="1"/>
      <w:marLeft w:val="0"/>
      <w:marRight w:val="0"/>
      <w:marTop w:val="0"/>
      <w:marBottom w:val="0"/>
      <w:divBdr>
        <w:top w:val="none" w:sz="0" w:space="0" w:color="auto"/>
        <w:left w:val="none" w:sz="0" w:space="0" w:color="auto"/>
        <w:bottom w:val="none" w:sz="0" w:space="0" w:color="auto"/>
        <w:right w:val="none" w:sz="0" w:space="0" w:color="auto"/>
      </w:divBdr>
    </w:div>
    <w:div w:id="318772636">
      <w:bodyDiv w:val="1"/>
      <w:marLeft w:val="0"/>
      <w:marRight w:val="0"/>
      <w:marTop w:val="0"/>
      <w:marBottom w:val="0"/>
      <w:divBdr>
        <w:top w:val="none" w:sz="0" w:space="0" w:color="auto"/>
        <w:left w:val="none" w:sz="0" w:space="0" w:color="auto"/>
        <w:bottom w:val="none" w:sz="0" w:space="0" w:color="auto"/>
        <w:right w:val="none" w:sz="0" w:space="0" w:color="auto"/>
      </w:divBdr>
    </w:div>
    <w:div w:id="319113452">
      <w:bodyDiv w:val="1"/>
      <w:marLeft w:val="0"/>
      <w:marRight w:val="0"/>
      <w:marTop w:val="0"/>
      <w:marBottom w:val="0"/>
      <w:divBdr>
        <w:top w:val="none" w:sz="0" w:space="0" w:color="auto"/>
        <w:left w:val="none" w:sz="0" w:space="0" w:color="auto"/>
        <w:bottom w:val="none" w:sz="0" w:space="0" w:color="auto"/>
        <w:right w:val="none" w:sz="0" w:space="0" w:color="auto"/>
      </w:divBdr>
    </w:div>
    <w:div w:id="320543495">
      <w:bodyDiv w:val="1"/>
      <w:marLeft w:val="0"/>
      <w:marRight w:val="0"/>
      <w:marTop w:val="0"/>
      <w:marBottom w:val="0"/>
      <w:divBdr>
        <w:top w:val="none" w:sz="0" w:space="0" w:color="auto"/>
        <w:left w:val="none" w:sz="0" w:space="0" w:color="auto"/>
        <w:bottom w:val="none" w:sz="0" w:space="0" w:color="auto"/>
        <w:right w:val="none" w:sz="0" w:space="0" w:color="auto"/>
      </w:divBdr>
    </w:div>
    <w:div w:id="320888293">
      <w:bodyDiv w:val="1"/>
      <w:marLeft w:val="0"/>
      <w:marRight w:val="0"/>
      <w:marTop w:val="0"/>
      <w:marBottom w:val="0"/>
      <w:divBdr>
        <w:top w:val="none" w:sz="0" w:space="0" w:color="auto"/>
        <w:left w:val="none" w:sz="0" w:space="0" w:color="auto"/>
        <w:bottom w:val="none" w:sz="0" w:space="0" w:color="auto"/>
        <w:right w:val="none" w:sz="0" w:space="0" w:color="auto"/>
      </w:divBdr>
    </w:div>
    <w:div w:id="321202319">
      <w:bodyDiv w:val="1"/>
      <w:marLeft w:val="0"/>
      <w:marRight w:val="0"/>
      <w:marTop w:val="0"/>
      <w:marBottom w:val="0"/>
      <w:divBdr>
        <w:top w:val="none" w:sz="0" w:space="0" w:color="auto"/>
        <w:left w:val="none" w:sz="0" w:space="0" w:color="auto"/>
        <w:bottom w:val="none" w:sz="0" w:space="0" w:color="auto"/>
        <w:right w:val="none" w:sz="0" w:space="0" w:color="auto"/>
      </w:divBdr>
    </w:div>
    <w:div w:id="321465580">
      <w:bodyDiv w:val="1"/>
      <w:marLeft w:val="0"/>
      <w:marRight w:val="0"/>
      <w:marTop w:val="0"/>
      <w:marBottom w:val="0"/>
      <w:divBdr>
        <w:top w:val="none" w:sz="0" w:space="0" w:color="auto"/>
        <w:left w:val="none" w:sz="0" w:space="0" w:color="auto"/>
        <w:bottom w:val="none" w:sz="0" w:space="0" w:color="auto"/>
        <w:right w:val="none" w:sz="0" w:space="0" w:color="auto"/>
      </w:divBdr>
      <w:divsChild>
        <w:div w:id="457456651">
          <w:marLeft w:val="547"/>
          <w:marRight w:val="0"/>
          <w:marTop w:val="0"/>
          <w:marBottom w:val="0"/>
          <w:divBdr>
            <w:top w:val="none" w:sz="0" w:space="0" w:color="auto"/>
            <w:left w:val="none" w:sz="0" w:space="0" w:color="auto"/>
            <w:bottom w:val="none" w:sz="0" w:space="0" w:color="auto"/>
            <w:right w:val="none" w:sz="0" w:space="0" w:color="auto"/>
          </w:divBdr>
        </w:div>
        <w:div w:id="713233375">
          <w:marLeft w:val="1166"/>
          <w:marRight w:val="0"/>
          <w:marTop w:val="0"/>
          <w:marBottom w:val="0"/>
          <w:divBdr>
            <w:top w:val="none" w:sz="0" w:space="0" w:color="auto"/>
            <w:left w:val="none" w:sz="0" w:space="0" w:color="auto"/>
            <w:bottom w:val="none" w:sz="0" w:space="0" w:color="auto"/>
            <w:right w:val="none" w:sz="0" w:space="0" w:color="auto"/>
          </w:divBdr>
        </w:div>
        <w:div w:id="1008826579">
          <w:marLeft w:val="547"/>
          <w:marRight w:val="0"/>
          <w:marTop w:val="0"/>
          <w:marBottom w:val="0"/>
          <w:divBdr>
            <w:top w:val="none" w:sz="0" w:space="0" w:color="auto"/>
            <w:left w:val="none" w:sz="0" w:space="0" w:color="auto"/>
            <w:bottom w:val="none" w:sz="0" w:space="0" w:color="auto"/>
            <w:right w:val="none" w:sz="0" w:space="0" w:color="auto"/>
          </w:divBdr>
        </w:div>
        <w:div w:id="1546988650">
          <w:marLeft w:val="1166"/>
          <w:marRight w:val="0"/>
          <w:marTop w:val="0"/>
          <w:marBottom w:val="0"/>
          <w:divBdr>
            <w:top w:val="none" w:sz="0" w:space="0" w:color="auto"/>
            <w:left w:val="none" w:sz="0" w:space="0" w:color="auto"/>
            <w:bottom w:val="none" w:sz="0" w:space="0" w:color="auto"/>
            <w:right w:val="none" w:sz="0" w:space="0" w:color="auto"/>
          </w:divBdr>
        </w:div>
        <w:div w:id="1692491470">
          <w:marLeft w:val="547"/>
          <w:marRight w:val="0"/>
          <w:marTop w:val="0"/>
          <w:marBottom w:val="0"/>
          <w:divBdr>
            <w:top w:val="none" w:sz="0" w:space="0" w:color="auto"/>
            <w:left w:val="none" w:sz="0" w:space="0" w:color="auto"/>
            <w:bottom w:val="none" w:sz="0" w:space="0" w:color="auto"/>
            <w:right w:val="none" w:sz="0" w:space="0" w:color="auto"/>
          </w:divBdr>
        </w:div>
      </w:divsChild>
    </w:div>
    <w:div w:id="322124406">
      <w:bodyDiv w:val="1"/>
      <w:marLeft w:val="0"/>
      <w:marRight w:val="0"/>
      <w:marTop w:val="0"/>
      <w:marBottom w:val="0"/>
      <w:divBdr>
        <w:top w:val="none" w:sz="0" w:space="0" w:color="auto"/>
        <w:left w:val="none" w:sz="0" w:space="0" w:color="auto"/>
        <w:bottom w:val="none" w:sz="0" w:space="0" w:color="auto"/>
        <w:right w:val="none" w:sz="0" w:space="0" w:color="auto"/>
      </w:divBdr>
    </w:div>
    <w:div w:id="324406727">
      <w:bodyDiv w:val="1"/>
      <w:marLeft w:val="0"/>
      <w:marRight w:val="0"/>
      <w:marTop w:val="0"/>
      <w:marBottom w:val="0"/>
      <w:divBdr>
        <w:top w:val="none" w:sz="0" w:space="0" w:color="auto"/>
        <w:left w:val="none" w:sz="0" w:space="0" w:color="auto"/>
        <w:bottom w:val="none" w:sz="0" w:space="0" w:color="auto"/>
        <w:right w:val="none" w:sz="0" w:space="0" w:color="auto"/>
      </w:divBdr>
    </w:div>
    <w:div w:id="324554242">
      <w:bodyDiv w:val="1"/>
      <w:marLeft w:val="0"/>
      <w:marRight w:val="0"/>
      <w:marTop w:val="0"/>
      <w:marBottom w:val="0"/>
      <w:divBdr>
        <w:top w:val="none" w:sz="0" w:space="0" w:color="auto"/>
        <w:left w:val="none" w:sz="0" w:space="0" w:color="auto"/>
        <w:bottom w:val="none" w:sz="0" w:space="0" w:color="auto"/>
        <w:right w:val="none" w:sz="0" w:space="0" w:color="auto"/>
      </w:divBdr>
      <w:divsChild>
        <w:div w:id="891842041">
          <w:marLeft w:val="547"/>
          <w:marRight w:val="0"/>
          <w:marTop w:val="134"/>
          <w:marBottom w:val="0"/>
          <w:divBdr>
            <w:top w:val="none" w:sz="0" w:space="0" w:color="auto"/>
            <w:left w:val="none" w:sz="0" w:space="0" w:color="auto"/>
            <w:bottom w:val="none" w:sz="0" w:space="0" w:color="auto"/>
            <w:right w:val="none" w:sz="0" w:space="0" w:color="auto"/>
          </w:divBdr>
        </w:div>
        <w:div w:id="1018432556">
          <w:marLeft w:val="547"/>
          <w:marRight w:val="0"/>
          <w:marTop w:val="134"/>
          <w:marBottom w:val="0"/>
          <w:divBdr>
            <w:top w:val="none" w:sz="0" w:space="0" w:color="auto"/>
            <w:left w:val="none" w:sz="0" w:space="0" w:color="auto"/>
            <w:bottom w:val="none" w:sz="0" w:space="0" w:color="auto"/>
            <w:right w:val="none" w:sz="0" w:space="0" w:color="auto"/>
          </w:divBdr>
        </w:div>
      </w:divsChild>
    </w:div>
    <w:div w:id="326592123">
      <w:bodyDiv w:val="1"/>
      <w:marLeft w:val="0"/>
      <w:marRight w:val="0"/>
      <w:marTop w:val="0"/>
      <w:marBottom w:val="0"/>
      <w:divBdr>
        <w:top w:val="none" w:sz="0" w:space="0" w:color="auto"/>
        <w:left w:val="none" w:sz="0" w:space="0" w:color="auto"/>
        <w:bottom w:val="none" w:sz="0" w:space="0" w:color="auto"/>
        <w:right w:val="none" w:sz="0" w:space="0" w:color="auto"/>
      </w:divBdr>
    </w:div>
    <w:div w:id="327054870">
      <w:bodyDiv w:val="1"/>
      <w:marLeft w:val="0"/>
      <w:marRight w:val="0"/>
      <w:marTop w:val="0"/>
      <w:marBottom w:val="0"/>
      <w:divBdr>
        <w:top w:val="none" w:sz="0" w:space="0" w:color="auto"/>
        <w:left w:val="none" w:sz="0" w:space="0" w:color="auto"/>
        <w:bottom w:val="none" w:sz="0" w:space="0" w:color="auto"/>
        <w:right w:val="none" w:sz="0" w:space="0" w:color="auto"/>
      </w:divBdr>
    </w:div>
    <w:div w:id="327096972">
      <w:bodyDiv w:val="1"/>
      <w:marLeft w:val="0"/>
      <w:marRight w:val="0"/>
      <w:marTop w:val="0"/>
      <w:marBottom w:val="0"/>
      <w:divBdr>
        <w:top w:val="none" w:sz="0" w:space="0" w:color="auto"/>
        <w:left w:val="none" w:sz="0" w:space="0" w:color="auto"/>
        <w:bottom w:val="none" w:sz="0" w:space="0" w:color="auto"/>
        <w:right w:val="none" w:sz="0" w:space="0" w:color="auto"/>
      </w:divBdr>
    </w:div>
    <w:div w:id="327712757">
      <w:bodyDiv w:val="1"/>
      <w:marLeft w:val="0"/>
      <w:marRight w:val="0"/>
      <w:marTop w:val="0"/>
      <w:marBottom w:val="0"/>
      <w:divBdr>
        <w:top w:val="none" w:sz="0" w:space="0" w:color="auto"/>
        <w:left w:val="none" w:sz="0" w:space="0" w:color="auto"/>
        <w:bottom w:val="none" w:sz="0" w:space="0" w:color="auto"/>
        <w:right w:val="none" w:sz="0" w:space="0" w:color="auto"/>
      </w:divBdr>
    </w:div>
    <w:div w:id="328027224">
      <w:bodyDiv w:val="1"/>
      <w:marLeft w:val="0"/>
      <w:marRight w:val="0"/>
      <w:marTop w:val="0"/>
      <w:marBottom w:val="0"/>
      <w:divBdr>
        <w:top w:val="none" w:sz="0" w:space="0" w:color="auto"/>
        <w:left w:val="none" w:sz="0" w:space="0" w:color="auto"/>
        <w:bottom w:val="none" w:sz="0" w:space="0" w:color="auto"/>
        <w:right w:val="none" w:sz="0" w:space="0" w:color="auto"/>
      </w:divBdr>
    </w:div>
    <w:div w:id="328100642">
      <w:bodyDiv w:val="1"/>
      <w:marLeft w:val="0"/>
      <w:marRight w:val="0"/>
      <w:marTop w:val="0"/>
      <w:marBottom w:val="0"/>
      <w:divBdr>
        <w:top w:val="none" w:sz="0" w:space="0" w:color="auto"/>
        <w:left w:val="none" w:sz="0" w:space="0" w:color="auto"/>
        <w:bottom w:val="none" w:sz="0" w:space="0" w:color="auto"/>
        <w:right w:val="none" w:sz="0" w:space="0" w:color="auto"/>
      </w:divBdr>
      <w:divsChild>
        <w:div w:id="27805441">
          <w:marLeft w:val="0"/>
          <w:marRight w:val="0"/>
          <w:marTop w:val="0"/>
          <w:marBottom w:val="0"/>
          <w:divBdr>
            <w:top w:val="none" w:sz="0" w:space="0" w:color="auto"/>
            <w:left w:val="none" w:sz="0" w:space="0" w:color="auto"/>
            <w:bottom w:val="none" w:sz="0" w:space="0" w:color="auto"/>
            <w:right w:val="none" w:sz="0" w:space="0" w:color="auto"/>
          </w:divBdr>
        </w:div>
      </w:divsChild>
    </w:div>
    <w:div w:id="329413786">
      <w:bodyDiv w:val="1"/>
      <w:marLeft w:val="0"/>
      <w:marRight w:val="0"/>
      <w:marTop w:val="0"/>
      <w:marBottom w:val="0"/>
      <w:divBdr>
        <w:top w:val="none" w:sz="0" w:space="0" w:color="auto"/>
        <w:left w:val="none" w:sz="0" w:space="0" w:color="auto"/>
        <w:bottom w:val="none" w:sz="0" w:space="0" w:color="auto"/>
        <w:right w:val="none" w:sz="0" w:space="0" w:color="auto"/>
      </w:divBdr>
    </w:div>
    <w:div w:id="332269623">
      <w:bodyDiv w:val="1"/>
      <w:marLeft w:val="0"/>
      <w:marRight w:val="0"/>
      <w:marTop w:val="0"/>
      <w:marBottom w:val="0"/>
      <w:divBdr>
        <w:top w:val="none" w:sz="0" w:space="0" w:color="auto"/>
        <w:left w:val="none" w:sz="0" w:space="0" w:color="auto"/>
        <w:bottom w:val="none" w:sz="0" w:space="0" w:color="auto"/>
        <w:right w:val="none" w:sz="0" w:space="0" w:color="auto"/>
      </w:divBdr>
    </w:div>
    <w:div w:id="332489819">
      <w:bodyDiv w:val="1"/>
      <w:marLeft w:val="0"/>
      <w:marRight w:val="0"/>
      <w:marTop w:val="0"/>
      <w:marBottom w:val="0"/>
      <w:divBdr>
        <w:top w:val="none" w:sz="0" w:space="0" w:color="auto"/>
        <w:left w:val="none" w:sz="0" w:space="0" w:color="auto"/>
        <w:bottom w:val="none" w:sz="0" w:space="0" w:color="auto"/>
        <w:right w:val="none" w:sz="0" w:space="0" w:color="auto"/>
      </w:divBdr>
    </w:div>
    <w:div w:id="332999309">
      <w:bodyDiv w:val="1"/>
      <w:marLeft w:val="0"/>
      <w:marRight w:val="0"/>
      <w:marTop w:val="0"/>
      <w:marBottom w:val="0"/>
      <w:divBdr>
        <w:top w:val="none" w:sz="0" w:space="0" w:color="auto"/>
        <w:left w:val="none" w:sz="0" w:space="0" w:color="auto"/>
        <w:bottom w:val="none" w:sz="0" w:space="0" w:color="auto"/>
        <w:right w:val="none" w:sz="0" w:space="0" w:color="auto"/>
      </w:divBdr>
    </w:div>
    <w:div w:id="333581141">
      <w:bodyDiv w:val="1"/>
      <w:marLeft w:val="0"/>
      <w:marRight w:val="0"/>
      <w:marTop w:val="0"/>
      <w:marBottom w:val="0"/>
      <w:divBdr>
        <w:top w:val="none" w:sz="0" w:space="0" w:color="auto"/>
        <w:left w:val="none" w:sz="0" w:space="0" w:color="auto"/>
        <w:bottom w:val="none" w:sz="0" w:space="0" w:color="auto"/>
        <w:right w:val="none" w:sz="0" w:space="0" w:color="auto"/>
      </w:divBdr>
    </w:div>
    <w:div w:id="334655066">
      <w:bodyDiv w:val="1"/>
      <w:marLeft w:val="0"/>
      <w:marRight w:val="0"/>
      <w:marTop w:val="0"/>
      <w:marBottom w:val="0"/>
      <w:divBdr>
        <w:top w:val="none" w:sz="0" w:space="0" w:color="auto"/>
        <w:left w:val="none" w:sz="0" w:space="0" w:color="auto"/>
        <w:bottom w:val="none" w:sz="0" w:space="0" w:color="auto"/>
        <w:right w:val="none" w:sz="0" w:space="0" w:color="auto"/>
      </w:divBdr>
      <w:divsChild>
        <w:div w:id="33779040">
          <w:marLeft w:val="1267"/>
          <w:marRight w:val="0"/>
          <w:marTop w:val="77"/>
          <w:marBottom w:val="0"/>
          <w:divBdr>
            <w:top w:val="none" w:sz="0" w:space="0" w:color="auto"/>
            <w:left w:val="none" w:sz="0" w:space="0" w:color="auto"/>
            <w:bottom w:val="none" w:sz="0" w:space="0" w:color="auto"/>
            <w:right w:val="none" w:sz="0" w:space="0" w:color="auto"/>
          </w:divBdr>
        </w:div>
        <w:div w:id="297954822">
          <w:marLeft w:val="432"/>
          <w:marRight w:val="0"/>
          <w:marTop w:val="86"/>
          <w:marBottom w:val="0"/>
          <w:divBdr>
            <w:top w:val="none" w:sz="0" w:space="0" w:color="auto"/>
            <w:left w:val="none" w:sz="0" w:space="0" w:color="auto"/>
            <w:bottom w:val="none" w:sz="0" w:space="0" w:color="auto"/>
            <w:right w:val="none" w:sz="0" w:space="0" w:color="auto"/>
          </w:divBdr>
        </w:div>
        <w:div w:id="323095554">
          <w:marLeft w:val="850"/>
          <w:marRight w:val="0"/>
          <w:marTop w:val="77"/>
          <w:marBottom w:val="0"/>
          <w:divBdr>
            <w:top w:val="none" w:sz="0" w:space="0" w:color="auto"/>
            <w:left w:val="none" w:sz="0" w:space="0" w:color="auto"/>
            <w:bottom w:val="none" w:sz="0" w:space="0" w:color="auto"/>
            <w:right w:val="none" w:sz="0" w:space="0" w:color="auto"/>
          </w:divBdr>
        </w:div>
        <w:div w:id="488181007">
          <w:marLeft w:val="850"/>
          <w:marRight w:val="0"/>
          <w:marTop w:val="77"/>
          <w:marBottom w:val="0"/>
          <w:divBdr>
            <w:top w:val="none" w:sz="0" w:space="0" w:color="auto"/>
            <w:left w:val="none" w:sz="0" w:space="0" w:color="auto"/>
            <w:bottom w:val="none" w:sz="0" w:space="0" w:color="auto"/>
            <w:right w:val="none" w:sz="0" w:space="0" w:color="auto"/>
          </w:divBdr>
        </w:div>
        <w:div w:id="635455588">
          <w:marLeft w:val="850"/>
          <w:marRight w:val="0"/>
          <w:marTop w:val="77"/>
          <w:marBottom w:val="0"/>
          <w:divBdr>
            <w:top w:val="none" w:sz="0" w:space="0" w:color="auto"/>
            <w:left w:val="none" w:sz="0" w:space="0" w:color="auto"/>
            <w:bottom w:val="none" w:sz="0" w:space="0" w:color="auto"/>
            <w:right w:val="none" w:sz="0" w:space="0" w:color="auto"/>
          </w:divBdr>
        </w:div>
        <w:div w:id="661083813">
          <w:marLeft w:val="850"/>
          <w:marRight w:val="0"/>
          <w:marTop w:val="77"/>
          <w:marBottom w:val="0"/>
          <w:divBdr>
            <w:top w:val="none" w:sz="0" w:space="0" w:color="auto"/>
            <w:left w:val="none" w:sz="0" w:space="0" w:color="auto"/>
            <w:bottom w:val="none" w:sz="0" w:space="0" w:color="auto"/>
            <w:right w:val="none" w:sz="0" w:space="0" w:color="auto"/>
          </w:divBdr>
        </w:div>
        <w:div w:id="762457707">
          <w:marLeft w:val="850"/>
          <w:marRight w:val="0"/>
          <w:marTop w:val="77"/>
          <w:marBottom w:val="0"/>
          <w:divBdr>
            <w:top w:val="none" w:sz="0" w:space="0" w:color="auto"/>
            <w:left w:val="none" w:sz="0" w:space="0" w:color="auto"/>
            <w:bottom w:val="none" w:sz="0" w:space="0" w:color="auto"/>
            <w:right w:val="none" w:sz="0" w:space="0" w:color="auto"/>
          </w:divBdr>
        </w:div>
        <w:div w:id="1357735561">
          <w:marLeft w:val="850"/>
          <w:marRight w:val="0"/>
          <w:marTop w:val="77"/>
          <w:marBottom w:val="0"/>
          <w:divBdr>
            <w:top w:val="none" w:sz="0" w:space="0" w:color="auto"/>
            <w:left w:val="none" w:sz="0" w:space="0" w:color="auto"/>
            <w:bottom w:val="none" w:sz="0" w:space="0" w:color="auto"/>
            <w:right w:val="none" w:sz="0" w:space="0" w:color="auto"/>
          </w:divBdr>
        </w:div>
        <w:div w:id="1475025292">
          <w:marLeft w:val="850"/>
          <w:marRight w:val="0"/>
          <w:marTop w:val="77"/>
          <w:marBottom w:val="0"/>
          <w:divBdr>
            <w:top w:val="none" w:sz="0" w:space="0" w:color="auto"/>
            <w:left w:val="none" w:sz="0" w:space="0" w:color="auto"/>
            <w:bottom w:val="none" w:sz="0" w:space="0" w:color="auto"/>
            <w:right w:val="none" w:sz="0" w:space="0" w:color="auto"/>
          </w:divBdr>
        </w:div>
        <w:div w:id="1711880465">
          <w:marLeft w:val="850"/>
          <w:marRight w:val="0"/>
          <w:marTop w:val="77"/>
          <w:marBottom w:val="0"/>
          <w:divBdr>
            <w:top w:val="none" w:sz="0" w:space="0" w:color="auto"/>
            <w:left w:val="none" w:sz="0" w:space="0" w:color="auto"/>
            <w:bottom w:val="none" w:sz="0" w:space="0" w:color="auto"/>
            <w:right w:val="none" w:sz="0" w:space="0" w:color="auto"/>
          </w:divBdr>
        </w:div>
        <w:div w:id="1971324527">
          <w:marLeft w:val="850"/>
          <w:marRight w:val="0"/>
          <w:marTop w:val="77"/>
          <w:marBottom w:val="0"/>
          <w:divBdr>
            <w:top w:val="none" w:sz="0" w:space="0" w:color="auto"/>
            <w:left w:val="none" w:sz="0" w:space="0" w:color="auto"/>
            <w:bottom w:val="none" w:sz="0" w:space="0" w:color="auto"/>
            <w:right w:val="none" w:sz="0" w:space="0" w:color="auto"/>
          </w:divBdr>
        </w:div>
        <w:div w:id="2117551583">
          <w:marLeft w:val="850"/>
          <w:marRight w:val="0"/>
          <w:marTop w:val="77"/>
          <w:marBottom w:val="0"/>
          <w:divBdr>
            <w:top w:val="none" w:sz="0" w:space="0" w:color="auto"/>
            <w:left w:val="none" w:sz="0" w:space="0" w:color="auto"/>
            <w:bottom w:val="none" w:sz="0" w:space="0" w:color="auto"/>
            <w:right w:val="none" w:sz="0" w:space="0" w:color="auto"/>
          </w:divBdr>
        </w:div>
      </w:divsChild>
    </w:div>
    <w:div w:id="335809579">
      <w:bodyDiv w:val="1"/>
      <w:marLeft w:val="0"/>
      <w:marRight w:val="0"/>
      <w:marTop w:val="0"/>
      <w:marBottom w:val="0"/>
      <w:divBdr>
        <w:top w:val="none" w:sz="0" w:space="0" w:color="auto"/>
        <w:left w:val="none" w:sz="0" w:space="0" w:color="auto"/>
        <w:bottom w:val="none" w:sz="0" w:space="0" w:color="auto"/>
        <w:right w:val="none" w:sz="0" w:space="0" w:color="auto"/>
      </w:divBdr>
    </w:div>
    <w:div w:id="336225573">
      <w:bodyDiv w:val="1"/>
      <w:marLeft w:val="0"/>
      <w:marRight w:val="0"/>
      <w:marTop w:val="0"/>
      <w:marBottom w:val="0"/>
      <w:divBdr>
        <w:top w:val="none" w:sz="0" w:space="0" w:color="auto"/>
        <w:left w:val="none" w:sz="0" w:space="0" w:color="auto"/>
        <w:bottom w:val="none" w:sz="0" w:space="0" w:color="auto"/>
        <w:right w:val="none" w:sz="0" w:space="0" w:color="auto"/>
      </w:divBdr>
    </w:div>
    <w:div w:id="336736400">
      <w:bodyDiv w:val="1"/>
      <w:marLeft w:val="0"/>
      <w:marRight w:val="0"/>
      <w:marTop w:val="0"/>
      <w:marBottom w:val="0"/>
      <w:divBdr>
        <w:top w:val="none" w:sz="0" w:space="0" w:color="auto"/>
        <w:left w:val="none" w:sz="0" w:space="0" w:color="auto"/>
        <w:bottom w:val="none" w:sz="0" w:space="0" w:color="auto"/>
        <w:right w:val="none" w:sz="0" w:space="0" w:color="auto"/>
      </w:divBdr>
    </w:div>
    <w:div w:id="337080135">
      <w:bodyDiv w:val="1"/>
      <w:marLeft w:val="0"/>
      <w:marRight w:val="0"/>
      <w:marTop w:val="0"/>
      <w:marBottom w:val="0"/>
      <w:divBdr>
        <w:top w:val="none" w:sz="0" w:space="0" w:color="auto"/>
        <w:left w:val="none" w:sz="0" w:space="0" w:color="auto"/>
        <w:bottom w:val="none" w:sz="0" w:space="0" w:color="auto"/>
        <w:right w:val="none" w:sz="0" w:space="0" w:color="auto"/>
      </w:divBdr>
      <w:divsChild>
        <w:div w:id="2782281">
          <w:marLeft w:val="360"/>
          <w:marRight w:val="0"/>
          <w:marTop w:val="200"/>
          <w:marBottom w:val="0"/>
          <w:divBdr>
            <w:top w:val="none" w:sz="0" w:space="0" w:color="auto"/>
            <w:left w:val="none" w:sz="0" w:space="0" w:color="auto"/>
            <w:bottom w:val="none" w:sz="0" w:space="0" w:color="auto"/>
            <w:right w:val="none" w:sz="0" w:space="0" w:color="auto"/>
          </w:divBdr>
        </w:div>
        <w:div w:id="2081562206">
          <w:marLeft w:val="1080"/>
          <w:marRight w:val="0"/>
          <w:marTop w:val="100"/>
          <w:marBottom w:val="0"/>
          <w:divBdr>
            <w:top w:val="none" w:sz="0" w:space="0" w:color="auto"/>
            <w:left w:val="none" w:sz="0" w:space="0" w:color="auto"/>
            <w:bottom w:val="none" w:sz="0" w:space="0" w:color="auto"/>
            <w:right w:val="none" w:sz="0" w:space="0" w:color="auto"/>
          </w:divBdr>
        </w:div>
      </w:divsChild>
    </w:div>
    <w:div w:id="341249279">
      <w:bodyDiv w:val="1"/>
      <w:marLeft w:val="0"/>
      <w:marRight w:val="0"/>
      <w:marTop w:val="0"/>
      <w:marBottom w:val="0"/>
      <w:divBdr>
        <w:top w:val="none" w:sz="0" w:space="0" w:color="auto"/>
        <w:left w:val="none" w:sz="0" w:space="0" w:color="auto"/>
        <w:bottom w:val="none" w:sz="0" w:space="0" w:color="auto"/>
        <w:right w:val="none" w:sz="0" w:space="0" w:color="auto"/>
      </w:divBdr>
    </w:div>
    <w:div w:id="341318773">
      <w:bodyDiv w:val="1"/>
      <w:marLeft w:val="0"/>
      <w:marRight w:val="0"/>
      <w:marTop w:val="0"/>
      <w:marBottom w:val="0"/>
      <w:divBdr>
        <w:top w:val="none" w:sz="0" w:space="0" w:color="auto"/>
        <w:left w:val="none" w:sz="0" w:space="0" w:color="auto"/>
        <w:bottom w:val="none" w:sz="0" w:space="0" w:color="auto"/>
        <w:right w:val="none" w:sz="0" w:space="0" w:color="auto"/>
      </w:divBdr>
      <w:divsChild>
        <w:div w:id="1985769233">
          <w:marLeft w:val="0"/>
          <w:marRight w:val="0"/>
          <w:marTop w:val="0"/>
          <w:marBottom w:val="0"/>
          <w:divBdr>
            <w:top w:val="none" w:sz="0" w:space="0" w:color="auto"/>
            <w:left w:val="none" w:sz="0" w:space="0" w:color="auto"/>
            <w:bottom w:val="none" w:sz="0" w:space="0" w:color="auto"/>
            <w:right w:val="none" w:sz="0" w:space="0" w:color="auto"/>
          </w:divBdr>
        </w:div>
      </w:divsChild>
    </w:div>
    <w:div w:id="342703385">
      <w:bodyDiv w:val="1"/>
      <w:marLeft w:val="0"/>
      <w:marRight w:val="0"/>
      <w:marTop w:val="0"/>
      <w:marBottom w:val="0"/>
      <w:divBdr>
        <w:top w:val="none" w:sz="0" w:space="0" w:color="auto"/>
        <w:left w:val="none" w:sz="0" w:space="0" w:color="auto"/>
        <w:bottom w:val="none" w:sz="0" w:space="0" w:color="auto"/>
        <w:right w:val="none" w:sz="0" w:space="0" w:color="auto"/>
      </w:divBdr>
      <w:divsChild>
        <w:div w:id="137770565">
          <w:marLeft w:val="360"/>
          <w:marRight w:val="0"/>
          <w:marTop w:val="200"/>
          <w:marBottom w:val="0"/>
          <w:divBdr>
            <w:top w:val="none" w:sz="0" w:space="0" w:color="auto"/>
            <w:left w:val="none" w:sz="0" w:space="0" w:color="auto"/>
            <w:bottom w:val="none" w:sz="0" w:space="0" w:color="auto"/>
            <w:right w:val="none" w:sz="0" w:space="0" w:color="auto"/>
          </w:divBdr>
        </w:div>
        <w:div w:id="283119471">
          <w:marLeft w:val="1080"/>
          <w:marRight w:val="0"/>
          <w:marTop w:val="100"/>
          <w:marBottom w:val="0"/>
          <w:divBdr>
            <w:top w:val="none" w:sz="0" w:space="0" w:color="auto"/>
            <w:left w:val="none" w:sz="0" w:space="0" w:color="auto"/>
            <w:bottom w:val="none" w:sz="0" w:space="0" w:color="auto"/>
            <w:right w:val="none" w:sz="0" w:space="0" w:color="auto"/>
          </w:divBdr>
        </w:div>
        <w:div w:id="514730557">
          <w:marLeft w:val="360"/>
          <w:marRight w:val="0"/>
          <w:marTop w:val="200"/>
          <w:marBottom w:val="0"/>
          <w:divBdr>
            <w:top w:val="none" w:sz="0" w:space="0" w:color="auto"/>
            <w:left w:val="none" w:sz="0" w:space="0" w:color="auto"/>
            <w:bottom w:val="none" w:sz="0" w:space="0" w:color="auto"/>
            <w:right w:val="none" w:sz="0" w:space="0" w:color="auto"/>
          </w:divBdr>
        </w:div>
        <w:div w:id="1412391699">
          <w:marLeft w:val="360"/>
          <w:marRight w:val="0"/>
          <w:marTop w:val="200"/>
          <w:marBottom w:val="0"/>
          <w:divBdr>
            <w:top w:val="none" w:sz="0" w:space="0" w:color="auto"/>
            <w:left w:val="none" w:sz="0" w:space="0" w:color="auto"/>
            <w:bottom w:val="none" w:sz="0" w:space="0" w:color="auto"/>
            <w:right w:val="none" w:sz="0" w:space="0" w:color="auto"/>
          </w:divBdr>
        </w:div>
        <w:div w:id="1586381444">
          <w:marLeft w:val="360"/>
          <w:marRight w:val="0"/>
          <w:marTop w:val="200"/>
          <w:marBottom w:val="0"/>
          <w:divBdr>
            <w:top w:val="none" w:sz="0" w:space="0" w:color="auto"/>
            <w:left w:val="none" w:sz="0" w:space="0" w:color="auto"/>
            <w:bottom w:val="none" w:sz="0" w:space="0" w:color="auto"/>
            <w:right w:val="none" w:sz="0" w:space="0" w:color="auto"/>
          </w:divBdr>
        </w:div>
        <w:div w:id="1670407492">
          <w:marLeft w:val="360"/>
          <w:marRight w:val="0"/>
          <w:marTop w:val="200"/>
          <w:marBottom w:val="0"/>
          <w:divBdr>
            <w:top w:val="none" w:sz="0" w:space="0" w:color="auto"/>
            <w:left w:val="none" w:sz="0" w:space="0" w:color="auto"/>
            <w:bottom w:val="none" w:sz="0" w:space="0" w:color="auto"/>
            <w:right w:val="none" w:sz="0" w:space="0" w:color="auto"/>
          </w:divBdr>
        </w:div>
      </w:divsChild>
    </w:div>
    <w:div w:id="342824800">
      <w:bodyDiv w:val="1"/>
      <w:marLeft w:val="0"/>
      <w:marRight w:val="0"/>
      <w:marTop w:val="0"/>
      <w:marBottom w:val="0"/>
      <w:divBdr>
        <w:top w:val="none" w:sz="0" w:space="0" w:color="auto"/>
        <w:left w:val="none" w:sz="0" w:space="0" w:color="auto"/>
        <w:bottom w:val="none" w:sz="0" w:space="0" w:color="auto"/>
        <w:right w:val="none" w:sz="0" w:space="0" w:color="auto"/>
      </w:divBdr>
    </w:div>
    <w:div w:id="342899701">
      <w:bodyDiv w:val="1"/>
      <w:marLeft w:val="0"/>
      <w:marRight w:val="0"/>
      <w:marTop w:val="0"/>
      <w:marBottom w:val="0"/>
      <w:divBdr>
        <w:top w:val="none" w:sz="0" w:space="0" w:color="auto"/>
        <w:left w:val="none" w:sz="0" w:space="0" w:color="auto"/>
        <w:bottom w:val="none" w:sz="0" w:space="0" w:color="auto"/>
        <w:right w:val="none" w:sz="0" w:space="0" w:color="auto"/>
      </w:divBdr>
    </w:div>
    <w:div w:id="343750876">
      <w:bodyDiv w:val="1"/>
      <w:marLeft w:val="0"/>
      <w:marRight w:val="0"/>
      <w:marTop w:val="0"/>
      <w:marBottom w:val="0"/>
      <w:divBdr>
        <w:top w:val="none" w:sz="0" w:space="0" w:color="auto"/>
        <w:left w:val="none" w:sz="0" w:space="0" w:color="auto"/>
        <w:bottom w:val="none" w:sz="0" w:space="0" w:color="auto"/>
        <w:right w:val="none" w:sz="0" w:space="0" w:color="auto"/>
      </w:divBdr>
      <w:divsChild>
        <w:div w:id="99615721">
          <w:marLeft w:val="360"/>
          <w:marRight w:val="0"/>
          <w:marTop w:val="200"/>
          <w:marBottom w:val="0"/>
          <w:divBdr>
            <w:top w:val="none" w:sz="0" w:space="0" w:color="auto"/>
            <w:left w:val="none" w:sz="0" w:space="0" w:color="auto"/>
            <w:bottom w:val="none" w:sz="0" w:space="0" w:color="auto"/>
            <w:right w:val="none" w:sz="0" w:space="0" w:color="auto"/>
          </w:divBdr>
        </w:div>
        <w:div w:id="559361741">
          <w:marLeft w:val="360"/>
          <w:marRight w:val="0"/>
          <w:marTop w:val="200"/>
          <w:marBottom w:val="0"/>
          <w:divBdr>
            <w:top w:val="none" w:sz="0" w:space="0" w:color="auto"/>
            <w:left w:val="none" w:sz="0" w:space="0" w:color="auto"/>
            <w:bottom w:val="none" w:sz="0" w:space="0" w:color="auto"/>
            <w:right w:val="none" w:sz="0" w:space="0" w:color="auto"/>
          </w:divBdr>
        </w:div>
        <w:div w:id="731541067">
          <w:marLeft w:val="360"/>
          <w:marRight w:val="0"/>
          <w:marTop w:val="200"/>
          <w:marBottom w:val="0"/>
          <w:divBdr>
            <w:top w:val="none" w:sz="0" w:space="0" w:color="auto"/>
            <w:left w:val="none" w:sz="0" w:space="0" w:color="auto"/>
            <w:bottom w:val="none" w:sz="0" w:space="0" w:color="auto"/>
            <w:right w:val="none" w:sz="0" w:space="0" w:color="auto"/>
          </w:divBdr>
        </w:div>
        <w:div w:id="1004014032">
          <w:marLeft w:val="1080"/>
          <w:marRight w:val="0"/>
          <w:marTop w:val="100"/>
          <w:marBottom w:val="0"/>
          <w:divBdr>
            <w:top w:val="none" w:sz="0" w:space="0" w:color="auto"/>
            <w:left w:val="none" w:sz="0" w:space="0" w:color="auto"/>
            <w:bottom w:val="none" w:sz="0" w:space="0" w:color="auto"/>
            <w:right w:val="none" w:sz="0" w:space="0" w:color="auto"/>
          </w:divBdr>
        </w:div>
        <w:div w:id="1145006001">
          <w:marLeft w:val="1080"/>
          <w:marRight w:val="0"/>
          <w:marTop w:val="100"/>
          <w:marBottom w:val="0"/>
          <w:divBdr>
            <w:top w:val="none" w:sz="0" w:space="0" w:color="auto"/>
            <w:left w:val="none" w:sz="0" w:space="0" w:color="auto"/>
            <w:bottom w:val="none" w:sz="0" w:space="0" w:color="auto"/>
            <w:right w:val="none" w:sz="0" w:space="0" w:color="auto"/>
          </w:divBdr>
        </w:div>
      </w:divsChild>
    </w:div>
    <w:div w:id="344668772">
      <w:bodyDiv w:val="1"/>
      <w:marLeft w:val="0"/>
      <w:marRight w:val="0"/>
      <w:marTop w:val="0"/>
      <w:marBottom w:val="0"/>
      <w:divBdr>
        <w:top w:val="none" w:sz="0" w:space="0" w:color="auto"/>
        <w:left w:val="none" w:sz="0" w:space="0" w:color="auto"/>
        <w:bottom w:val="none" w:sz="0" w:space="0" w:color="auto"/>
        <w:right w:val="none" w:sz="0" w:space="0" w:color="auto"/>
      </w:divBdr>
    </w:div>
    <w:div w:id="345139500">
      <w:bodyDiv w:val="1"/>
      <w:marLeft w:val="0"/>
      <w:marRight w:val="0"/>
      <w:marTop w:val="0"/>
      <w:marBottom w:val="0"/>
      <w:divBdr>
        <w:top w:val="none" w:sz="0" w:space="0" w:color="auto"/>
        <w:left w:val="none" w:sz="0" w:space="0" w:color="auto"/>
        <w:bottom w:val="none" w:sz="0" w:space="0" w:color="auto"/>
        <w:right w:val="none" w:sz="0" w:space="0" w:color="auto"/>
      </w:divBdr>
    </w:div>
    <w:div w:id="345448850">
      <w:bodyDiv w:val="1"/>
      <w:marLeft w:val="0"/>
      <w:marRight w:val="0"/>
      <w:marTop w:val="0"/>
      <w:marBottom w:val="0"/>
      <w:divBdr>
        <w:top w:val="none" w:sz="0" w:space="0" w:color="auto"/>
        <w:left w:val="none" w:sz="0" w:space="0" w:color="auto"/>
        <w:bottom w:val="none" w:sz="0" w:space="0" w:color="auto"/>
        <w:right w:val="none" w:sz="0" w:space="0" w:color="auto"/>
      </w:divBdr>
    </w:div>
    <w:div w:id="345717198">
      <w:bodyDiv w:val="1"/>
      <w:marLeft w:val="0"/>
      <w:marRight w:val="0"/>
      <w:marTop w:val="0"/>
      <w:marBottom w:val="0"/>
      <w:divBdr>
        <w:top w:val="none" w:sz="0" w:space="0" w:color="auto"/>
        <w:left w:val="none" w:sz="0" w:space="0" w:color="auto"/>
        <w:bottom w:val="none" w:sz="0" w:space="0" w:color="auto"/>
        <w:right w:val="none" w:sz="0" w:space="0" w:color="auto"/>
      </w:divBdr>
    </w:div>
    <w:div w:id="347146059">
      <w:bodyDiv w:val="1"/>
      <w:marLeft w:val="0"/>
      <w:marRight w:val="0"/>
      <w:marTop w:val="0"/>
      <w:marBottom w:val="0"/>
      <w:divBdr>
        <w:top w:val="none" w:sz="0" w:space="0" w:color="auto"/>
        <w:left w:val="none" w:sz="0" w:space="0" w:color="auto"/>
        <w:bottom w:val="none" w:sz="0" w:space="0" w:color="auto"/>
        <w:right w:val="none" w:sz="0" w:space="0" w:color="auto"/>
      </w:divBdr>
    </w:div>
    <w:div w:id="348065968">
      <w:bodyDiv w:val="1"/>
      <w:marLeft w:val="0"/>
      <w:marRight w:val="0"/>
      <w:marTop w:val="0"/>
      <w:marBottom w:val="0"/>
      <w:divBdr>
        <w:top w:val="none" w:sz="0" w:space="0" w:color="auto"/>
        <w:left w:val="none" w:sz="0" w:space="0" w:color="auto"/>
        <w:bottom w:val="none" w:sz="0" w:space="0" w:color="auto"/>
        <w:right w:val="none" w:sz="0" w:space="0" w:color="auto"/>
      </w:divBdr>
    </w:div>
    <w:div w:id="348915345">
      <w:bodyDiv w:val="1"/>
      <w:marLeft w:val="0"/>
      <w:marRight w:val="0"/>
      <w:marTop w:val="0"/>
      <w:marBottom w:val="0"/>
      <w:divBdr>
        <w:top w:val="none" w:sz="0" w:space="0" w:color="auto"/>
        <w:left w:val="none" w:sz="0" w:space="0" w:color="auto"/>
        <w:bottom w:val="none" w:sz="0" w:space="0" w:color="auto"/>
        <w:right w:val="none" w:sz="0" w:space="0" w:color="auto"/>
      </w:divBdr>
    </w:div>
    <w:div w:id="349139081">
      <w:bodyDiv w:val="1"/>
      <w:marLeft w:val="0"/>
      <w:marRight w:val="0"/>
      <w:marTop w:val="0"/>
      <w:marBottom w:val="0"/>
      <w:divBdr>
        <w:top w:val="none" w:sz="0" w:space="0" w:color="auto"/>
        <w:left w:val="none" w:sz="0" w:space="0" w:color="auto"/>
        <w:bottom w:val="none" w:sz="0" w:space="0" w:color="auto"/>
        <w:right w:val="none" w:sz="0" w:space="0" w:color="auto"/>
      </w:divBdr>
    </w:div>
    <w:div w:id="349528494">
      <w:bodyDiv w:val="1"/>
      <w:marLeft w:val="0"/>
      <w:marRight w:val="0"/>
      <w:marTop w:val="0"/>
      <w:marBottom w:val="0"/>
      <w:divBdr>
        <w:top w:val="none" w:sz="0" w:space="0" w:color="auto"/>
        <w:left w:val="none" w:sz="0" w:space="0" w:color="auto"/>
        <w:bottom w:val="none" w:sz="0" w:space="0" w:color="auto"/>
        <w:right w:val="none" w:sz="0" w:space="0" w:color="auto"/>
      </w:divBdr>
    </w:div>
    <w:div w:id="351419651">
      <w:bodyDiv w:val="1"/>
      <w:marLeft w:val="0"/>
      <w:marRight w:val="0"/>
      <w:marTop w:val="0"/>
      <w:marBottom w:val="0"/>
      <w:divBdr>
        <w:top w:val="none" w:sz="0" w:space="0" w:color="auto"/>
        <w:left w:val="none" w:sz="0" w:space="0" w:color="auto"/>
        <w:bottom w:val="none" w:sz="0" w:space="0" w:color="auto"/>
        <w:right w:val="none" w:sz="0" w:space="0" w:color="auto"/>
      </w:divBdr>
      <w:divsChild>
        <w:div w:id="457573147">
          <w:marLeft w:val="1166"/>
          <w:marRight w:val="0"/>
          <w:marTop w:val="96"/>
          <w:marBottom w:val="0"/>
          <w:divBdr>
            <w:top w:val="none" w:sz="0" w:space="0" w:color="auto"/>
            <w:left w:val="none" w:sz="0" w:space="0" w:color="auto"/>
            <w:bottom w:val="none" w:sz="0" w:space="0" w:color="auto"/>
            <w:right w:val="none" w:sz="0" w:space="0" w:color="auto"/>
          </w:divBdr>
        </w:div>
        <w:div w:id="1163737971">
          <w:marLeft w:val="1166"/>
          <w:marRight w:val="0"/>
          <w:marTop w:val="96"/>
          <w:marBottom w:val="0"/>
          <w:divBdr>
            <w:top w:val="none" w:sz="0" w:space="0" w:color="auto"/>
            <w:left w:val="none" w:sz="0" w:space="0" w:color="auto"/>
            <w:bottom w:val="none" w:sz="0" w:space="0" w:color="auto"/>
            <w:right w:val="none" w:sz="0" w:space="0" w:color="auto"/>
          </w:divBdr>
        </w:div>
        <w:div w:id="1175342304">
          <w:marLeft w:val="1166"/>
          <w:marRight w:val="0"/>
          <w:marTop w:val="96"/>
          <w:marBottom w:val="0"/>
          <w:divBdr>
            <w:top w:val="none" w:sz="0" w:space="0" w:color="auto"/>
            <w:left w:val="none" w:sz="0" w:space="0" w:color="auto"/>
            <w:bottom w:val="none" w:sz="0" w:space="0" w:color="auto"/>
            <w:right w:val="none" w:sz="0" w:space="0" w:color="auto"/>
          </w:divBdr>
        </w:div>
        <w:div w:id="1698891867">
          <w:marLeft w:val="1166"/>
          <w:marRight w:val="0"/>
          <w:marTop w:val="96"/>
          <w:marBottom w:val="0"/>
          <w:divBdr>
            <w:top w:val="none" w:sz="0" w:space="0" w:color="auto"/>
            <w:left w:val="none" w:sz="0" w:space="0" w:color="auto"/>
            <w:bottom w:val="none" w:sz="0" w:space="0" w:color="auto"/>
            <w:right w:val="none" w:sz="0" w:space="0" w:color="auto"/>
          </w:divBdr>
        </w:div>
        <w:div w:id="2009138767">
          <w:marLeft w:val="547"/>
          <w:marRight w:val="0"/>
          <w:marTop w:val="115"/>
          <w:marBottom w:val="0"/>
          <w:divBdr>
            <w:top w:val="none" w:sz="0" w:space="0" w:color="auto"/>
            <w:left w:val="none" w:sz="0" w:space="0" w:color="auto"/>
            <w:bottom w:val="none" w:sz="0" w:space="0" w:color="auto"/>
            <w:right w:val="none" w:sz="0" w:space="0" w:color="auto"/>
          </w:divBdr>
        </w:div>
      </w:divsChild>
    </w:div>
    <w:div w:id="352268481">
      <w:bodyDiv w:val="1"/>
      <w:marLeft w:val="0"/>
      <w:marRight w:val="0"/>
      <w:marTop w:val="0"/>
      <w:marBottom w:val="0"/>
      <w:divBdr>
        <w:top w:val="none" w:sz="0" w:space="0" w:color="auto"/>
        <w:left w:val="none" w:sz="0" w:space="0" w:color="auto"/>
        <w:bottom w:val="none" w:sz="0" w:space="0" w:color="auto"/>
        <w:right w:val="none" w:sz="0" w:space="0" w:color="auto"/>
      </w:divBdr>
    </w:div>
    <w:div w:id="352339548">
      <w:bodyDiv w:val="1"/>
      <w:marLeft w:val="0"/>
      <w:marRight w:val="0"/>
      <w:marTop w:val="0"/>
      <w:marBottom w:val="0"/>
      <w:divBdr>
        <w:top w:val="none" w:sz="0" w:space="0" w:color="auto"/>
        <w:left w:val="none" w:sz="0" w:space="0" w:color="auto"/>
        <w:bottom w:val="none" w:sz="0" w:space="0" w:color="auto"/>
        <w:right w:val="none" w:sz="0" w:space="0" w:color="auto"/>
      </w:divBdr>
    </w:div>
    <w:div w:id="353196314">
      <w:bodyDiv w:val="1"/>
      <w:marLeft w:val="0"/>
      <w:marRight w:val="0"/>
      <w:marTop w:val="0"/>
      <w:marBottom w:val="0"/>
      <w:divBdr>
        <w:top w:val="none" w:sz="0" w:space="0" w:color="auto"/>
        <w:left w:val="none" w:sz="0" w:space="0" w:color="auto"/>
        <w:bottom w:val="none" w:sz="0" w:space="0" w:color="auto"/>
        <w:right w:val="none" w:sz="0" w:space="0" w:color="auto"/>
      </w:divBdr>
    </w:div>
    <w:div w:id="354623468">
      <w:bodyDiv w:val="1"/>
      <w:marLeft w:val="0"/>
      <w:marRight w:val="0"/>
      <w:marTop w:val="0"/>
      <w:marBottom w:val="0"/>
      <w:divBdr>
        <w:top w:val="none" w:sz="0" w:space="0" w:color="auto"/>
        <w:left w:val="none" w:sz="0" w:space="0" w:color="auto"/>
        <w:bottom w:val="none" w:sz="0" w:space="0" w:color="auto"/>
        <w:right w:val="none" w:sz="0" w:space="0" w:color="auto"/>
      </w:divBdr>
    </w:div>
    <w:div w:id="355078902">
      <w:bodyDiv w:val="1"/>
      <w:marLeft w:val="0"/>
      <w:marRight w:val="0"/>
      <w:marTop w:val="0"/>
      <w:marBottom w:val="0"/>
      <w:divBdr>
        <w:top w:val="none" w:sz="0" w:space="0" w:color="auto"/>
        <w:left w:val="none" w:sz="0" w:space="0" w:color="auto"/>
        <w:bottom w:val="none" w:sz="0" w:space="0" w:color="auto"/>
        <w:right w:val="none" w:sz="0" w:space="0" w:color="auto"/>
      </w:divBdr>
    </w:div>
    <w:div w:id="355228807">
      <w:bodyDiv w:val="1"/>
      <w:marLeft w:val="0"/>
      <w:marRight w:val="0"/>
      <w:marTop w:val="0"/>
      <w:marBottom w:val="0"/>
      <w:divBdr>
        <w:top w:val="none" w:sz="0" w:space="0" w:color="auto"/>
        <w:left w:val="none" w:sz="0" w:space="0" w:color="auto"/>
        <w:bottom w:val="none" w:sz="0" w:space="0" w:color="auto"/>
        <w:right w:val="none" w:sz="0" w:space="0" w:color="auto"/>
      </w:divBdr>
    </w:div>
    <w:div w:id="355236954">
      <w:bodyDiv w:val="1"/>
      <w:marLeft w:val="0"/>
      <w:marRight w:val="0"/>
      <w:marTop w:val="0"/>
      <w:marBottom w:val="0"/>
      <w:divBdr>
        <w:top w:val="none" w:sz="0" w:space="0" w:color="auto"/>
        <w:left w:val="none" w:sz="0" w:space="0" w:color="auto"/>
        <w:bottom w:val="none" w:sz="0" w:space="0" w:color="auto"/>
        <w:right w:val="none" w:sz="0" w:space="0" w:color="auto"/>
      </w:divBdr>
    </w:div>
    <w:div w:id="358748787">
      <w:bodyDiv w:val="1"/>
      <w:marLeft w:val="0"/>
      <w:marRight w:val="0"/>
      <w:marTop w:val="0"/>
      <w:marBottom w:val="0"/>
      <w:divBdr>
        <w:top w:val="none" w:sz="0" w:space="0" w:color="auto"/>
        <w:left w:val="none" w:sz="0" w:space="0" w:color="auto"/>
        <w:bottom w:val="none" w:sz="0" w:space="0" w:color="auto"/>
        <w:right w:val="none" w:sz="0" w:space="0" w:color="auto"/>
      </w:divBdr>
    </w:div>
    <w:div w:id="359596425">
      <w:bodyDiv w:val="1"/>
      <w:marLeft w:val="0"/>
      <w:marRight w:val="0"/>
      <w:marTop w:val="0"/>
      <w:marBottom w:val="0"/>
      <w:divBdr>
        <w:top w:val="none" w:sz="0" w:space="0" w:color="auto"/>
        <w:left w:val="none" w:sz="0" w:space="0" w:color="auto"/>
        <w:bottom w:val="none" w:sz="0" w:space="0" w:color="auto"/>
        <w:right w:val="none" w:sz="0" w:space="0" w:color="auto"/>
      </w:divBdr>
    </w:div>
    <w:div w:id="359817690">
      <w:bodyDiv w:val="1"/>
      <w:marLeft w:val="0"/>
      <w:marRight w:val="0"/>
      <w:marTop w:val="0"/>
      <w:marBottom w:val="0"/>
      <w:divBdr>
        <w:top w:val="none" w:sz="0" w:space="0" w:color="auto"/>
        <w:left w:val="none" w:sz="0" w:space="0" w:color="auto"/>
        <w:bottom w:val="none" w:sz="0" w:space="0" w:color="auto"/>
        <w:right w:val="none" w:sz="0" w:space="0" w:color="auto"/>
      </w:divBdr>
    </w:div>
    <w:div w:id="360131440">
      <w:bodyDiv w:val="1"/>
      <w:marLeft w:val="0"/>
      <w:marRight w:val="0"/>
      <w:marTop w:val="0"/>
      <w:marBottom w:val="0"/>
      <w:divBdr>
        <w:top w:val="none" w:sz="0" w:space="0" w:color="auto"/>
        <w:left w:val="none" w:sz="0" w:space="0" w:color="auto"/>
        <w:bottom w:val="none" w:sz="0" w:space="0" w:color="auto"/>
        <w:right w:val="none" w:sz="0" w:space="0" w:color="auto"/>
      </w:divBdr>
    </w:div>
    <w:div w:id="361639711">
      <w:bodyDiv w:val="1"/>
      <w:marLeft w:val="0"/>
      <w:marRight w:val="0"/>
      <w:marTop w:val="0"/>
      <w:marBottom w:val="0"/>
      <w:divBdr>
        <w:top w:val="none" w:sz="0" w:space="0" w:color="auto"/>
        <w:left w:val="none" w:sz="0" w:space="0" w:color="auto"/>
        <w:bottom w:val="none" w:sz="0" w:space="0" w:color="auto"/>
        <w:right w:val="none" w:sz="0" w:space="0" w:color="auto"/>
      </w:divBdr>
    </w:div>
    <w:div w:id="364672501">
      <w:bodyDiv w:val="1"/>
      <w:marLeft w:val="0"/>
      <w:marRight w:val="0"/>
      <w:marTop w:val="0"/>
      <w:marBottom w:val="0"/>
      <w:divBdr>
        <w:top w:val="none" w:sz="0" w:space="0" w:color="auto"/>
        <w:left w:val="none" w:sz="0" w:space="0" w:color="auto"/>
        <w:bottom w:val="none" w:sz="0" w:space="0" w:color="auto"/>
        <w:right w:val="none" w:sz="0" w:space="0" w:color="auto"/>
      </w:divBdr>
      <w:divsChild>
        <w:div w:id="433522773">
          <w:marLeft w:val="547"/>
          <w:marRight w:val="0"/>
          <w:marTop w:val="115"/>
          <w:marBottom w:val="0"/>
          <w:divBdr>
            <w:top w:val="none" w:sz="0" w:space="0" w:color="auto"/>
            <w:left w:val="none" w:sz="0" w:space="0" w:color="auto"/>
            <w:bottom w:val="none" w:sz="0" w:space="0" w:color="auto"/>
            <w:right w:val="none" w:sz="0" w:space="0" w:color="auto"/>
          </w:divBdr>
        </w:div>
        <w:div w:id="611716313">
          <w:marLeft w:val="1166"/>
          <w:marRight w:val="0"/>
          <w:marTop w:val="96"/>
          <w:marBottom w:val="0"/>
          <w:divBdr>
            <w:top w:val="none" w:sz="0" w:space="0" w:color="auto"/>
            <w:left w:val="none" w:sz="0" w:space="0" w:color="auto"/>
            <w:bottom w:val="none" w:sz="0" w:space="0" w:color="auto"/>
            <w:right w:val="none" w:sz="0" w:space="0" w:color="auto"/>
          </w:divBdr>
        </w:div>
        <w:div w:id="724986154">
          <w:marLeft w:val="1166"/>
          <w:marRight w:val="0"/>
          <w:marTop w:val="96"/>
          <w:marBottom w:val="0"/>
          <w:divBdr>
            <w:top w:val="none" w:sz="0" w:space="0" w:color="auto"/>
            <w:left w:val="none" w:sz="0" w:space="0" w:color="auto"/>
            <w:bottom w:val="none" w:sz="0" w:space="0" w:color="auto"/>
            <w:right w:val="none" w:sz="0" w:space="0" w:color="auto"/>
          </w:divBdr>
        </w:div>
        <w:div w:id="1307124319">
          <w:marLeft w:val="1800"/>
          <w:marRight w:val="0"/>
          <w:marTop w:val="86"/>
          <w:marBottom w:val="0"/>
          <w:divBdr>
            <w:top w:val="none" w:sz="0" w:space="0" w:color="auto"/>
            <w:left w:val="none" w:sz="0" w:space="0" w:color="auto"/>
            <w:bottom w:val="none" w:sz="0" w:space="0" w:color="auto"/>
            <w:right w:val="none" w:sz="0" w:space="0" w:color="auto"/>
          </w:divBdr>
        </w:div>
        <w:div w:id="1441873361">
          <w:marLeft w:val="1166"/>
          <w:marRight w:val="0"/>
          <w:marTop w:val="96"/>
          <w:marBottom w:val="0"/>
          <w:divBdr>
            <w:top w:val="none" w:sz="0" w:space="0" w:color="auto"/>
            <w:left w:val="none" w:sz="0" w:space="0" w:color="auto"/>
            <w:bottom w:val="none" w:sz="0" w:space="0" w:color="auto"/>
            <w:right w:val="none" w:sz="0" w:space="0" w:color="auto"/>
          </w:divBdr>
        </w:div>
        <w:div w:id="1521356298">
          <w:marLeft w:val="1166"/>
          <w:marRight w:val="0"/>
          <w:marTop w:val="96"/>
          <w:marBottom w:val="0"/>
          <w:divBdr>
            <w:top w:val="none" w:sz="0" w:space="0" w:color="auto"/>
            <w:left w:val="none" w:sz="0" w:space="0" w:color="auto"/>
            <w:bottom w:val="none" w:sz="0" w:space="0" w:color="auto"/>
            <w:right w:val="none" w:sz="0" w:space="0" w:color="auto"/>
          </w:divBdr>
        </w:div>
        <w:div w:id="1775007515">
          <w:marLeft w:val="1166"/>
          <w:marRight w:val="0"/>
          <w:marTop w:val="96"/>
          <w:marBottom w:val="0"/>
          <w:divBdr>
            <w:top w:val="none" w:sz="0" w:space="0" w:color="auto"/>
            <w:left w:val="none" w:sz="0" w:space="0" w:color="auto"/>
            <w:bottom w:val="none" w:sz="0" w:space="0" w:color="auto"/>
            <w:right w:val="none" w:sz="0" w:space="0" w:color="auto"/>
          </w:divBdr>
        </w:div>
        <w:div w:id="1827167086">
          <w:marLeft w:val="1166"/>
          <w:marRight w:val="0"/>
          <w:marTop w:val="96"/>
          <w:marBottom w:val="0"/>
          <w:divBdr>
            <w:top w:val="none" w:sz="0" w:space="0" w:color="auto"/>
            <w:left w:val="none" w:sz="0" w:space="0" w:color="auto"/>
            <w:bottom w:val="none" w:sz="0" w:space="0" w:color="auto"/>
            <w:right w:val="none" w:sz="0" w:space="0" w:color="auto"/>
          </w:divBdr>
        </w:div>
        <w:div w:id="1885360854">
          <w:marLeft w:val="1166"/>
          <w:marRight w:val="0"/>
          <w:marTop w:val="96"/>
          <w:marBottom w:val="0"/>
          <w:divBdr>
            <w:top w:val="none" w:sz="0" w:space="0" w:color="auto"/>
            <w:left w:val="none" w:sz="0" w:space="0" w:color="auto"/>
            <w:bottom w:val="none" w:sz="0" w:space="0" w:color="auto"/>
            <w:right w:val="none" w:sz="0" w:space="0" w:color="auto"/>
          </w:divBdr>
        </w:div>
        <w:div w:id="1895238743">
          <w:marLeft w:val="547"/>
          <w:marRight w:val="0"/>
          <w:marTop w:val="115"/>
          <w:marBottom w:val="0"/>
          <w:divBdr>
            <w:top w:val="none" w:sz="0" w:space="0" w:color="auto"/>
            <w:left w:val="none" w:sz="0" w:space="0" w:color="auto"/>
            <w:bottom w:val="none" w:sz="0" w:space="0" w:color="auto"/>
            <w:right w:val="none" w:sz="0" w:space="0" w:color="auto"/>
          </w:divBdr>
        </w:div>
        <w:div w:id="2136944607">
          <w:marLeft w:val="1166"/>
          <w:marRight w:val="0"/>
          <w:marTop w:val="96"/>
          <w:marBottom w:val="0"/>
          <w:divBdr>
            <w:top w:val="none" w:sz="0" w:space="0" w:color="auto"/>
            <w:left w:val="none" w:sz="0" w:space="0" w:color="auto"/>
            <w:bottom w:val="none" w:sz="0" w:space="0" w:color="auto"/>
            <w:right w:val="none" w:sz="0" w:space="0" w:color="auto"/>
          </w:divBdr>
        </w:div>
      </w:divsChild>
    </w:div>
    <w:div w:id="364718135">
      <w:bodyDiv w:val="1"/>
      <w:marLeft w:val="0"/>
      <w:marRight w:val="0"/>
      <w:marTop w:val="0"/>
      <w:marBottom w:val="0"/>
      <w:divBdr>
        <w:top w:val="none" w:sz="0" w:space="0" w:color="auto"/>
        <w:left w:val="none" w:sz="0" w:space="0" w:color="auto"/>
        <w:bottom w:val="none" w:sz="0" w:space="0" w:color="auto"/>
        <w:right w:val="none" w:sz="0" w:space="0" w:color="auto"/>
      </w:divBdr>
      <w:divsChild>
        <w:div w:id="103158762">
          <w:marLeft w:val="1166"/>
          <w:marRight w:val="0"/>
          <w:marTop w:val="96"/>
          <w:marBottom w:val="0"/>
          <w:divBdr>
            <w:top w:val="none" w:sz="0" w:space="0" w:color="auto"/>
            <w:left w:val="none" w:sz="0" w:space="0" w:color="auto"/>
            <w:bottom w:val="none" w:sz="0" w:space="0" w:color="auto"/>
            <w:right w:val="none" w:sz="0" w:space="0" w:color="auto"/>
          </w:divBdr>
        </w:div>
        <w:div w:id="317347590">
          <w:marLeft w:val="547"/>
          <w:marRight w:val="0"/>
          <w:marTop w:val="115"/>
          <w:marBottom w:val="0"/>
          <w:divBdr>
            <w:top w:val="none" w:sz="0" w:space="0" w:color="auto"/>
            <w:left w:val="none" w:sz="0" w:space="0" w:color="auto"/>
            <w:bottom w:val="none" w:sz="0" w:space="0" w:color="auto"/>
            <w:right w:val="none" w:sz="0" w:space="0" w:color="auto"/>
          </w:divBdr>
        </w:div>
        <w:div w:id="548615155">
          <w:marLeft w:val="547"/>
          <w:marRight w:val="0"/>
          <w:marTop w:val="115"/>
          <w:marBottom w:val="0"/>
          <w:divBdr>
            <w:top w:val="none" w:sz="0" w:space="0" w:color="auto"/>
            <w:left w:val="none" w:sz="0" w:space="0" w:color="auto"/>
            <w:bottom w:val="none" w:sz="0" w:space="0" w:color="auto"/>
            <w:right w:val="none" w:sz="0" w:space="0" w:color="auto"/>
          </w:divBdr>
        </w:div>
        <w:div w:id="561672305">
          <w:marLeft w:val="547"/>
          <w:marRight w:val="0"/>
          <w:marTop w:val="115"/>
          <w:marBottom w:val="0"/>
          <w:divBdr>
            <w:top w:val="none" w:sz="0" w:space="0" w:color="auto"/>
            <w:left w:val="none" w:sz="0" w:space="0" w:color="auto"/>
            <w:bottom w:val="none" w:sz="0" w:space="0" w:color="auto"/>
            <w:right w:val="none" w:sz="0" w:space="0" w:color="auto"/>
          </w:divBdr>
        </w:div>
        <w:div w:id="836456434">
          <w:marLeft w:val="547"/>
          <w:marRight w:val="0"/>
          <w:marTop w:val="115"/>
          <w:marBottom w:val="0"/>
          <w:divBdr>
            <w:top w:val="none" w:sz="0" w:space="0" w:color="auto"/>
            <w:left w:val="none" w:sz="0" w:space="0" w:color="auto"/>
            <w:bottom w:val="none" w:sz="0" w:space="0" w:color="auto"/>
            <w:right w:val="none" w:sz="0" w:space="0" w:color="auto"/>
          </w:divBdr>
        </w:div>
        <w:div w:id="1162156732">
          <w:marLeft w:val="1166"/>
          <w:marRight w:val="0"/>
          <w:marTop w:val="96"/>
          <w:marBottom w:val="0"/>
          <w:divBdr>
            <w:top w:val="none" w:sz="0" w:space="0" w:color="auto"/>
            <w:left w:val="none" w:sz="0" w:space="0" w:color="auto"/>
            <w:bottom w:val="none" w:sz="0" w:space="0" w:color="auto"/>
            <w:right w:val="none" w:sz="0" w:space="0" w:color="auto"/>
          </w:divBdr>
        </w:div>
      </w:divsChild>
    </w:div>
    <w:div w:id="364909035">
      <w:bodyDiv w:val="1"/>
      <w:marLeft w:val="0"/>
      <w:marRight w:val="0"/>
      <w:marTop w:val="0"/>
      <w:marBottom w:val="0"/>
      <w:divBdr>
        <w:top w:val="none" w:sz="0" w:space="0" w:color="auto"/>
        <w:left w:val="none" w:sz="0" w:space="0" w:color="auto"/>
        <w:bottom w:val="none" w:sz="0" w:space="0" w:color="auto"/>
        <w:right w:val="none" w:sz="0" w:space="0" w:color="auto"/>
      </w:divBdr>
      <w:divsChild>
        <w:div w:id="1366248015">
          <w:marLeft w:val="1166"/>
          <w:marRight w:val="0"/>
          <w:marTop w:val="96"/>
          <w:marBottom w:val="0"/>
          <w:divBdr>
            <w:top w:val="none" w:sz="0" w:space="0" w:color="auto"/>
            <w:left w:val="none" w:sz="0" w:space="0" w:color="auto"/>
            <w:bottom w:val="none" w:sz="0" w:space="0" w:color="auto"/>
            <w:right w:val="none" w:sz="0" w:space="0" w:color="auto"/>
          </w:divBdr>
        </w:div>
        <w:div w:id="1521972356">
          <w:marLeft w:val="1166"/>
          <w:marRight w:val="0"/>
          <w:marTop w:val="96"/>
          <w:marBottom w:val="0"/>
          <w:divBdr>
            <w:top w:val="none" w:sz="0" w:space="0" w:color="auto"/>
            <w:left w:val="none" w:sz="0" w:space="0" w:color="auto"/>
            <w:bottom w:val="none" w:sz="0" w:space="0" w:color="auto"/>
            <w:right w:val="none" w:sz="0" w:space="0" w:color="auto"/>
          </w:divBdr>
        </w:div>
        <w:div w:id="1560748163">
          <w:marLeft w:val="547"/>
          <w:marRight w:val="0"/>
          <w:marTop w:val="115"/>
          <w:marBottom w:val="0"/>
          <w:divBdr>
            <w:top w:val="none" w:sz="0" w:space="0" w:color="auto"/>
            <w:left w:val="none" w:sz="0" w:space="0" w:color="auto"/>
            <w:bottom w:val="none" w:sz="0" w:space="0" w:color="auto"/>
            <w:right w:val="none" w:sz="0" w:space="0" w:color="auto"/>
          </w:divBdr>
        </w:div>
      </w:divsChild>
    </w:div>
    <w:div w:id="365911366">
      <w:bodyDiv w:val="1"/>
      <w:marLeft w:val="0"/>
      <w:marRight w:val="0"/>
      <w:marTop w:val="0"/>
      <w:marBottom w:val="0"/>
      <w:divBdr>
        <w:top w:val="none" w:sz="0" w:space="0" w:color="auto"/>
        <w:left w:val="none" w:sz="0" w:space="0" w:color="auto"/>
        <w:bottom w:val="none" w:sz="0" w:space="0" w:color="auto"/>
        <w:right w:val="none" w:sz="0" w:space="0" w:color="auto"/>
      </w:divBdr>
    </w:div>
    <w:div w:id="367880916">
      <w:bodyDiv w:val="1"/>
      <w:marLeft w:val="0"/>
      <w:marRight w:val="0"/>
      <w:marTop w:val="0"/>
      <w:marBottom w:val="0"/>
      <w:divBdr>
        <w:top w:val="none" w:sz="0" w:space="0" w:color="auto"/>
        <w:left w:val="none" w:sz="0" w:space="0" w:color="auto"/>
        <w:bottom w:val="none" w:sz="0" w:space="0" w:color="auto"/>
        <w:right w:val="none" w:sz="0" w:space="0" w:color="auto"/>
      </w:divBdr>
    </w:div>
    <w:div w:id="368799666">
      <w:bodyDiv w:val="1"/>
      <w:marLeft w:val="0"/>
      <w:marRight w:val="0"/>
      <w:marTop w:val="0"/>
      <w:marBottom w:val="0"/>
      <w:divBdr>
        <w:top w:val="none" w:sz="0" w:space="0" w:color="auto"/>
        <w:left w:val="none" w:sz="0" w:space="0" w:color="auto"/>
        <w:bottom w:val="none" w:sz="0" w:space="0" w:color="auto"/>
        <w:right w:val="none" w:sz="0" w:space="0" w:color="auto"/>
      </w:divBdr>
    </w:div>
    <w:div w:id="369036392">
      <w:bodyDiv w:val="1"/>
      <w:marLeft w:val="0"/>
      <w:marRight w:val="0"/>
      <w:marTop w:val="0"/>
      <w:marBottom w:val="0"/>
      <w:divBdr>
        <w:top w:val="none" w:sz="0" w:space="0" w:color="auto"/>
        <w:left w:val="none" w:sz="0" w:space="0" w:color="auto"/>
        <w:bottom w:val="none" w:sz="0" w:space="0" w:color="auto"/>
        <w:right w:val="none" w:sz="0" w:space="0" w:color="auto"/>
      </w:divBdr>
    </w:div>
    <w:div w:id="369184579">
      <w:bodyDiv w:val="1"/>
      <w:marLeft w:val="0"/>
      <w:marRight w:val="0"/>
      <w:marTop w:val="0"/>
      <w:marBottom w:val="0"/>
      <w:divBdr>
        <w:top w:val="none" w:sz="0" w:space="0" w:color="auto"/>
        <w:left w:val="none" w:sz="0" w:space="0" w:color="auto"/>
        <w:bottom w:val="none" w:sz="0" w:space="0" w:color="auto"/>
        <w:right w:val="none" w:sz="0" w:space="0" w:color="auto"/>
      </w:divBdr>
      <w:divsChild>
        <w:div w:id="4405716">
          <w:marLeft w:val="547"/>
          <w:marRight w:val="0"/>
          <w:marTop w:val="120"/>
          <w:marBottom w:val="120"/>
          <w:divBdr>
            <w:top w:val="none" w:sz="0" w:space="0" w:color="auto"/>
            <w:left w:val="none" w:sz="0" w:space="0" w:color="auto"/>
            <w:bottom w:val="none" w:sz="0" w:space="0" w:color="auto"/>
            <w:right w:val="none" w:sz="0" w:space="0" w:color="auto"/>
          </w:divBdr>
        </w:div>
        <w:div w:id="76249361">
          <w:marLeft w:val="1800"/>
          <w:marRight w:val="0"/>
          <w:marTop w:val="120"/>
          <w:marBottom w:val="120"/>
          <w:divBdr>
            <w:top w:val="none" w:sz="0" w:space="0" w:color="auto"/>
            <w:left w:val="none" w:sz="0" w:space="0" w:color="auto"/>
            <w:bottom w:val="none" w:sz="0" w:space="0" w:color="auto"/>
            <w:right w:val="none" w:sz="0" w:space="0" w:color="auto"/>
          </w:divBdr>
        </w:div>
        <w:div w:id="502090264">
          <w:marLeft w:val="547"/>
          <w:marRight w:val="0"/>
          <w:marTop w:val="115"/>
          <w:marBottom w:val="0"/>
          <w:divBdr>
            <w:top w:val="none" w:sz="0" w:space="0" w:color="auto"/>
            <w:left w:val="none" w:sz="0" w:space="0" w:color="auto"/>
            <w:bottom w:val="none" w:sz="0" w:space="0" w:color="auto"/>
            <w:right w:val="none" w:sz="0" w:space="0" w:color="auto"/>
          </w:divBdr>
        </w:div>
        <w:div w:id="573662467">
          <w:marLeft w:val="2520"/>
          <w:marRight w:val="0"/>
          <w:marTop w:val="120"/>
          <w:marBottom w:val="120"/>
          <w:divBdr>
            <w:top w:val="none" w:sz="0" w:space="0" w:color="auto"/>
            <w:left w:val="none" w:sz="0" w:space="0" w:color="auto"/>
            <w:bottom w:val="none" w:sz="0" w:space="0" w:color="auto"/>
            <w:right w:val="none" w:sz="0" w:space="0" w:color="auto"/>
          </w:divBdr>
        </w:div>
        <w:div w:id="1079521011">
          <w:marLeft w:val="1800"/>
          <w:marRight w:val="0"/>
          <w:marTop w:val="120"/>
          <w:marBottom w:val="120"/>
          <w:divBdr>
            <w:top w:val="none" w:sz="0" w:space="0" w:color="auto"/>
            <w:left w:val="none" w:sz="0" w:space="0" w:color="auto"/>
            <w:bottom w:val="none" w:sz="0" w:space="0" w:color="auto"/>
            <w:right w:val="none" w:sz="0" w:space="0" w:color="auto"/>
          </w:divBdr>
        </w:div>
        <w:div w:id="1197280291">
          <w:marLeft w:val="1800"/>
          <w:marRight w:val="0"/>
          <w:marTop w:val="120"/>
          <w:marBottom w:val="120"/>
          <w:divBdr>
            <w:top w:val="none" w:sz="0" w:space="0" w:color="auto"/>
            <w:left w:val="none" w:sz="0" w:space="0" w:color="auto"/>
            <w:bottom w:val="none" w:sz="0" w:space="0" w:color="auto"/>
            <w:right w:val="none" w:sz="0" w:space="0" w:color="auto"/>
          </w:divBdr>
        </w:div>
        <w:div w:id="1233396341">
          <w:marLeft w:val="1800"/>
          <w:marRight w:val="0"/>
          <w:marTop w:val="120"/>
          <w:marBottom w:val="120"/>
          <w:divBdr>
            <w:top w:val="none" w:sz="0" w:space="0" w:color="auto"/>
            <w:left w:val="none" w:sz="0" w:space="0" w:color="auto"/>
            <w:bottom w:val="none" w:sz="0" w:space="0" w:color="auto"/>
            <w:right w:val="none" w:sz="0" w:space="0" w:color="auto"/>
          </w:divBdr>
        </w:div>
        <w:div w:id="1350137719">
          <w:marLeft w:val="1166"/>
          <w:marRight w:val="0"/>
          <w:marTop w:val="96"/>
          <w:marBottom w:val="0"/>
          <w:divBdr>
            <w:top w:val="none" w:sz="0" w:space="0" w:color="auto"/>
            <w:left w:val="none" w:sz="0" w:space="0" w:color="auto"/>
            <w:bottom w:val="none" w:sz="0" w:space="0" w:color="auto"/>
            <w:right w:val="none" w:sz="0" w:space="0" w:color="auto"/>
          </w:divBdr>
        </w:div>
        <w:div w:id="1519467567">
          <w:marLeft w:val="2520"/>
          <w:marRight w:val="0"/>
          <w:marTop w:val="120"/>
          <w:marBottom w:val="120"/>
          <w:divBdr>
            <w:top w:val="none" w:sz="0" w:space="0" w:color="auto"/>
            <w:left w:val="none" w:sz="0" w:space="0" w:color="auto"/>
            <w:bottom w:val="none" w:sz="0" w:space="0" w:color="auto"/>
            <w:right w:val="none" w:sz="0" w:space="0" w:color="auto"/>
          </w:divBdr>
        </w:div>
        <w:div w:id="1604920962">
          <w:marLeft w:val="1800"/>
          <w:marRight w:val="0"/>
          <w:marTop w:val="120"/>
          <w:marBottom w:val="120"/>
          <w:divBdr>
            <w:top w:val="none" w:sz="0" w:space="0" w:color="auto"/>
            <w:left w:val="none" w:sz="0" w:space="0" w:color="auto"/>
            <w:bottom w:val="none" w:sz="0" w:space="0" w:color="auto"/>
            <w:right w:val="none" w:sz="0" w:space="0" w:color="auto"/>
          </w:divBdr>
        </w:div>
      </w:divsChild>
    </w:div>
    <w:div w:id="369645879">
      <w:bodyDiv w:val="1"/>
      <w:marLeft w:val="0"/>
      <w:marRight w:val="0"/>
      <w:marTop w:val="0"/>
      <w:marBottom w:val="0"/>
      <w:divBdr>
        <w:top w:val="none" w:sz="0" w:space="0" w:color="auto"/>
        <w:left w:val="none" w:sz="0" w:space="0" w:color="auto"/>
        <w:bottom w:val="none" w:sz="0" w:space="0" w:color="auto"/>
        <w:right w:val="none" w:sz="0" w:space="0" w:color="auto"/>
      </w:divBdr>
    </w:div>
    <w:div w:id="370426350">
      <w:bodyDiv w:val="1"/>
      <w:marLeft w:val="0"/>
      <w:marRight w:val="0"/>
      <w:marTop w:val="0"/>
      <w:marBottom w:val="0"/>
      <w:divBdr>
        <w:top w:val="none" w:sz="0" w:space="0" w:color="auto"/>
        <w:left w:val="none" w:sz="0" w:space="0" w:color="auto"/>
        <w:bottom w:val="none" w:sz="0" w:space="0" w:color="auto"/>
        <w:right w:val="none" w:sz="0" w:space="0" w:color="auto"/>
      </w:divBdr>
    </w:div>
    <w:div w:id="371031191">
      <w:bodyDiv w:val="1"/>
      <w:marLeft w:val="0"/>
      <w:marRight w:val="0"/>
      <w:marTop w:val="0"/>
      <w:marBottom w:val="0"/>
      <w:divBdr>
        <w:top w:val="none" w:sz="0" w:space="0" w:color="auto"/>
        <w:left w:val="none" w:sz="0" w:space="0" w:color="auto"/>
        <w:bottom w:val="none" w:sz="0" w:space="0" w:color="auto"/>
        <w:right w:val="none" w:sz="0" w:space="0" w:color="auto"/>
      </w:divBdr>
      <w:divsChild>
        <w:div w:id="18745674">
          <w:marLeft w:val="1080"/>
          <w:marRight w:val="0"/>
          <w:marTop w:val="100"/>
          <w:marBottom w:val="0"/>
          <w:divBdr>
            <w:top w:val="none" w:sz="0" w:space="0" w:color="auto"/>
            <w:left w:val="none" w:sz="0" w:space="0" w:color="auto"/>
            <w:bottom w:val="none" w:sz="0" w:space="0" w:color="auto"/>
            <w:right w:val="none" w:sz="0" w:space="0" w:color="auto"/>
          </w:divBdr>
        </w:div>
        <w:div w:id="92751959">
          <w:marLeft w:val="1080"/>
          <w:marRight w:val="0"/>
          <w:marTop w:val="100"/>
          <w:marBottom w:val="0"/>
          <w:divBdr>
            <w:top w:val="none" w:sz="0" w:space="0" w:color="auto"/>
            <w:left w:val="none" w:sz="0" w:space="0" w:color="auto"/>
            <w:bottom w:val="none" w:sz="0" w:space="0" w:color="auto"/>
            <w:right w:val="none" w:sz="0" w:space="0" w:color="auto"/>
          </w:divBdr>
        </w:div>
        <w:div w:id="575676654">
          <w:marLeft w:val="1080"/>
          <w:marRight w:val="0"/>
          <w:marTop w:val="100"/>
          <w:marBottom w:val="0"/>
          <w:divBdr>
            <w:top w:val="none" w:sz="0" w:space="0" w:color="auto"/>
            <w:left w:val="none" w:sz="0" w:space="0" w:color="auto"/>
            <w:bottom w:val="none" w:sz="0" w:space="0" w:color="auto"/>
            <w:right w:val="none" w:sz="0" w:space="0" w:color="auto"/>
          </w:divBdr>
        </w:div>
        <w:div w:id="1530756753">
          <w:marLeft w:val="1800"/>
          <w:marRight w:val="0"/>
          <w:marTop w:val="100"/>
          <w:marBottom w:val="0"/>
          <w:divBdr>
            <w:top w:val="none" w:sz="0" w:space="0" w:color="auto"/>
            <w:left w:val="none" w:sz="0" w:space="0" w:color="auto"/>
            <w:bottom w:val="none" w:sz="0" w:space="0" w:color="auto"/>
            <w:right w:val="none" w:sz="0" w:space="0" w:color="auto"/>
          </w:divBdr>
        </w:div>
        <w:div w:id="1606497448">
          <w:marLeft w:val="1800"/>
          <w:marRight w:val="0"/>
          <w:marTop w:val="100"/>
          <w:marBottom w:val="0"/>
          <w:divBdr>
            <w:top w:val="none" w:sz="0" w:space="0" w:color="auto"/>
            <w:left w:val="none" w:sz="0" w:space="0" w:color="auto"/>
            <w:bottom w:val="none" w:sz="0" w:space="0" w:color="auto"/>
            <w:right w:val="none" w:sz="0" w:space="0" w:color="auto"/>
          </w:divBdr>
        </w:div>
        <w:div w:id="1647737758">
          <w:marLeft w:val="1800"/>
          <w:marRight w:val="0"/>
          <w:marTop w:val="100"/>
          <w:marBottom w:val="0"/>
          <w:divBdr>
            <w:top w:val="none" w:sz="0" w:space="0" w:color="auto"/>
            <w:left w:val="none" w:sz="0" w:space="0" w:color="auto"/>
            <w:bottom w:val="none" w:sz="0" w:space="0" w:color="auto"/>
            <w:right w:val="none" w:sz="0" w:space="0" w:color="auto"/>
          </w:divBdr>
        </w:div>
        <w:div w:id="1657494618">
          <w:marLeft w:val="360"/>
          <w:marRight w:val="0"/>
          <w:marTop w:val="200"/>
          <w:marBottom w:val="0"/>
          <w:divBdr>
            <w:top w:val="none" w:sz="0" w:space="0" w:color="auto"/>
            <w:left w:val="none" w:sz="0" w:space="0" w:color="auto"/>
            <w:bottom w:val="none" w:sz="0" w:space="0" w:color="auto"/>
            <w:right w:val="none" w:sz="0" w:space="0" w:color="auto"/>
          </w:divBdr>
        </w:div>
        <w:div w:id="1770000458">
          <w:marLeft w:val="1800"/>
          <w:marRight w:val="0"/>
          <w:marTop w:val="100"/>
          <w:marBottom w:val="0"/>
          <w:divBdr>
            <w:top w:val="none" w:sz="0" w:space="0" w:color="auto"/>
            <w:left w:val="none" w:sz="0" w:space="0" w:color="auto"/>
            <w:bottom w:val="none" w:sz="0" w:space="0" w:color="auto"/>
            <w:right w:val="none" w:sz="0" w:space="0" w:color="auto"/>
          </w:divBdr>
        </w:div>
        <w:div w:id="2089425344">
          <w:marLeft w:val="1080"/>
          <w:marRight w:val="0"/>
          <w:marTop w:val="100"/>
          <w:marBottom w:val="0"/>
          <w:divBdr>
            <w:top w:val="none" w:sz="0" w:space="0" w:color="auto"/>
            <w:left w:val="none" w:sz="0" w:space="0" w:color="auto"/>
            <w:bottom w:val="none" w:sz="0" w:space="0" w:color="auto"/>
            <w:right w:val="none" w:sz="0" w:space="0" w:color="auto"/>
          </w:divBdr>
        </w:div>
      </w:divsChild>
    </w:div>
    <w:div w:id="371544418">
      <w:bodyDiv w:val="1"/>
      <w:marLeft w:val="0"/>
      <w:marRight w:val="0"/>
      <w:marTop w:val="0"/>
      <w:marBottom w:val="0"/>
      <w:divBdr>
        <w:top w:val="none" w:sz="0" w:space="0" w:color="auto"/>
        <w:left w:val="none" w:sz="0" w:space="0" w:color="auto"/>
        <w:bottom w:val="none" w:sz="0" w:space="0" w:color="auto"/>
        <w:right w:val="none" w:sz="0" w:space="0" w:color="auto"/>
      </w:divBdr>
      <w:divsChild>
        <w:div w:id="52395106">
          <w:marLeft w:val="360"/>
          <w:marRight w:val="0"/>
          <w:marTop w:val="200"/>
          <w:marBottom w:val="0"/>
          <w:divBdr>
            <w:top w:val="none" w:sz="0" w:space="0" w:color="auto"/>
            <w:left w:val="none" w:sz="0" w:space="0" w:color="auto"/>
            <w:bottom w:val="none" w:sz="0" w:space="0" w:color="auto"/>
            <w:right w:val="none" w:sz="0" w:space="0" w:color="auto"/>
          </w:divBdr>
        </w:div>
        <w:div w:id="1606769474">
          <w:marLeft w:val="1080"/>
          <w:marRight w:val="0"/>
          <w:marTop w:val="100"/>
          <w:marBottom w:val="0"/>
          <w:divBdr>
            <w:top w:val="none" w:sz="0" w:space="0" w:color="auto"/>
            <w:left w:val="none" w:sz="0" w:space="0" w:color="auto"/>
            <w:bottom w:val="none" w:sz="0" w:space="0" w:color="auto"/>
            <w:right w:val="none" w:sz="0" w:space="0" w:color="auto"/>
          </w:divBdr>
        </w:div>
        <w:div w:id="1956716391">
          <w:marLeft w:val="360"/>
          <w:marRight w:val="0"/>
          <w:marTop w:val="200"/>
          <w:marBottom w:val="0"/>
          <w:divBdr>
            <w:top w:val="none" w:sz="0" w:space="0" w:color="auto"/>
            <w:left w:val="none" w:sz="0" w:space="0" w:color="auto"/>
            <w:bottom w:val="none" w:sz="0" w:space="0" w:color="auto"/>
            <w:right w:val="none" w:sz="0" w:space="0" w:color="auto"/>
          </w:divBdr>
        </w:div>
      </w:divsChild>
    </w:div>
    <w:div w:id="371852548">
      <w:bodyDiv w:val="1"/>
      <w:marLeft w:val="0"/>
      <w:marRight w:val="0"/>
      <w:marTop w:val="0"/>
      <w:marBottom w:val="0"/>
      <w:divBdr>
        <w:top w:val="none" w:sz="0" w:space="0" w:color="auto"/>
        <w:left w:val="none" w:sz="0" w:space="0" w:color="auto"/>
        <w:bottom w:val="none" w:sz="0" w:space="0" w:color="auto"/>
        <w:right w:val="none" w:sz="0" w:space="0" w:color="auto"/>
      </w:divBdr>
    </w:div>
    <w:div w:id="372390499">
      <w:bodyDiv w:val="1"/>
      <w:marLeft w:val="0"/>
      <w:marRight w:val="0"/>
      <w:marTop w:val="0"/>
      <w:marBottom w:val="0"/>
      <w:divBdr>
        <w:top w:val="none" w:sz="0" w:space="0" w:color="auto"/>
        <w:left w:val="none" w:sz="0" w:space="0" w:color="auto"/>
        <w:bottom w:val="none" w:sz="0" w:space="0" w:color="auto"/>
        <w:right w:val="none" w:sz="0" w:space="0" w:color="auto"/>
      </w:divBdr>
      <w:divsChild>
        <w:div w:id="10617566">
          <w:marLeft w:val="274"/>
          <w:marRight w:val="0"/>
          <w:marTop w:val="0"/>
          <w:marBottom w:val="0"/>
          <w:divBdr>
            <w:top w:val="none" w:sz="0" w:space="0" w:color="auto"/>
            <w:left w:val="none" w:sz="0" w:space="0" w:color="auto"/>
            <w:bottom w:val="none" w:sz="0" w:space="0" w:color="auto"/>
            <w:right w:val="none" w:sz="0" w:space="0" w:color="auto"/>
          </w:divBdr>
        </w:div>
        <w:div w:id="142157832">
          <w:marLeft w:val="274"/>
          <w:marRight w:val="0"/>
          <w:marTop w:val="0"/>
          <w:marBottom w:val="0"/>
          <w:divBdr>
            <w:top w:val="none" w:sz="0" w:space="0" w:color="auto"/>
            <w:left w:val="none" w:sz="0" w:space="0" w:color="auto"/>
            <w:bottom w:val="none" w:sz="0" w:space="0" w:color="auto"/>
            <w:right w:val="none" w:sz="0" w:space="0" w:color="auto"/>
          </w:divBdr>
        </w:div>
        <w:div w:id="362442599">
          <w:marLeft w:val="274"/>
          <w:marRight w:val="0"/>
          <w:marTop w:val="0"/>
          <w:marBottom w:val="0"/>
          <w:divBdr>
            <w:top w:val="none" w:sz="0" w:space="0" w:color="auto"/>
            <w:left w:val="none" w:sz="0" w:space="0" w:color="auto"/>
            <w:bottom w:val="none" w:sz="0" w:space="0" w:color="auto"/>
            <w:right w:val="none" w:sz="0" w:space="0" w:color="auto"/>
          </w:divBdr>
        </w:div>
        <w:div w:id="506136486">
          <w:marLeft w:val="274"/>
          <w:marRight w:val="0"/>
          <w:marTop w:val="0"/>
          <w:marBottom w:val="0"/>
          <w:divBdr>
            <w:top w:val="none" w:sz="0" w:space="0" w:color="auto"/>
            <w:left w:val="none" w:sz="0" w:space="0" w:color="auto"/>
            <w:bottom w:val="none" w:sz="0" w:space="0" w:color="auto"/>
            <w:right w:val="none" w:sz="0" w:space="0" w:color="auto"/>
          </w:divBdr>
        </w:div>
        <w:div w:id="511921459">
          <w:marLeft w:val="274"/>
          <w:marRight w:val="0"/>
          <w:marTop w:val="0"/>
          <w:marBottom w:val="0"/>
          <w:divBdr>
            <w:top w:val="none" w:sz="0" w:space="0" w:color="auto"/>
            <w:left w:val="none" w:sz="0" w:space="0" w:color="auto"/>
            <w:bottom w:val="none" w:sz="0" w:space="0" w:color="auto"/>
            <w:right w:val="none" w:sz="0" w:space="0" w:color="auto"/>
          </w:divBdr>
        </w:div>
        <w:div w:id="741834736">
          <w:marLeft w:val="274"/>
          <w:marRight w:val="0"/>
          <w:marTop w:val="0"/>
          <w:marBottom w:val="0"/>
          <w:divBdr>
            <w:top w:val="none" w:sz="0" w:space="0" w:color="auto"/>
            <w:left w:val="none" w:sz="0" w:space="0" w:color="auto"/>
            <w:bottom w:val="none" w:sz="0" w:space="0" w:color="auto"/>
            <w:right w:val="none" w:sz="0" w:space="0" w:color="auto"/>
          </w:divBdr>
        </w:div>
        <w:div w:id="894588021">
          <w:marLeft w:val="850"/>
          <w:marRight w:val="0"/>
          <w:marTop w:val="0"/>
          <w:marBottom w:val="0"/>
          <w:divBdr>
            <w:top w:val="none" w:sz="0" w:space="0" w:color="auto"/>
            <w:left w:val="none" w:sz="0" w:space="0" w:color="auto"/>
            <w:bottom w:val="none" w:sz="0" w:space="0" w:color="auto"/>
            <w:right w:val="none" w:sz="0" w:space="0" w:color="auto"/>
          </w:divBdr>
        </w:div>
        <w:div w:id="949705693">
          <w:marLeft w:val="274"/>
          <w:marRight w:val="0"/>
          <w:marTop w:val="0"/>
          <w:marBottom w:val="0"/>
          <w:divBdr>
            <w:top w:val="none" w:sz="0" w:space="0" w:color="auto"/>
            <w:left w:val="none" w:sz="0" w:space="0" w:color="auto"/>
            <w:bottom w:val="none" w:sz="0" w:space="0" w:color="auto"/>
            <w:right w:val="none" w:sz="0" w:space="0" w:color="auto"/>
          </w:divBdr>
        </w:div>
        <w:div w:id="996802683">
          <w:marLeft w:val="274"/>
          <w:marRight w:val="0"/>
          <w:marTop w:val="0"/>
          <w:marBottom w:val="0"/>
          <w:divBdr>
            <w:top w:val="none" w:sz="0" w:space="0" w:color="auto"/>
            <w:left w:val="none" w:sz="0" w:space="0" w:color="auto"/>
            <w:bottom w:val="none" w:sz="0" w:space="0" w:color="auto"/>
            <w:right w:val="none" w:sz="0" w:space="0" w:color="auto"/>
          </w:divBdr>
        </w:div>
        <w:div w:id="1138374508">
          <w:marLeft w:val="274"/>
          <w:marRight w:val="0"/>
          <w:marTop w:val="0"/>
          <w:marBottom w:val="0"/>
          <w:divBdr>
            <w:top w:val="none" w:sz="0" w:space="0" w:color="auto"/>
            <w:left w:val="none" w:sz="0" w:space="0" w:color="auto"/>
            <w:bottom w:val="none" w:sz="0" w:space="0" w:color="auto"/>
            <w:right w:val="none" w:sz="0" w:space="0" w:color="auto"/>
          </w:divBdr>
        </w:div>
        <w:div w:id="1181972473">
          <w:marLeft w:val="274"/>
          <w:marRight w:val="0"/>
          <w:marTop w:val="0"/>
          <w:marBottom w:val="0"/>
          <w:divBdr>
            <w:top w:val="none" w:sz="0" w:space="0" w:color="auto"/>
            <w:left w:val="none" w:sz="0" w:space="0" w:color="auto"/>
            <w:bottom w:val="none" w:sz="0" w:space="0" w:color="auto"/>
            <w:right w:val="none" w:sz="0" w:space="0" w:color="auto"/>
          </w:divBdr>
        </w:div>
        <w:div w:id="1449422794">
          <w:marLeft w:val="274"/>
          <w:marRight w:val="0"/>
          <w:marTop w:val="0"/>
          <w:marBottom w:val="0"/>
          <w:divBdr>
            <w:top w:val="none" w:sz="0" w:space="0" w:color="auto"/>
            <w:left w:val="none" w:sz="0" w:space="0" w:color="auto"/>
            <w:bottom w:val="none" w:sz="0" w:space="0" w:color="auto"/>
            <w:right w:val="none" w:sz="0" w:space="0" w:color="auto"/>
          </w:divBdr>
        </w:div>
        <w:div w:id="1481917516">
          <w:marLeft w:val="274"/>
          <w:marRight w:val="0"/>
          <w:marTop w:val="0"/>
          <w:marBottom w:val="0"/>
          <w:divBdr>
            <w:top w:val="none" w:sz="0" w:space="0" w:color="auto"/>
            <w:left w:val="none" w:sz="0" w:space="0" w:color="auto"/>
            <w:bottom w:val="none" w:sz="0" w:space="0" w:color="auto"/>
            <w:right w:val="none" w:sz="0" w:space="0" w:color="auto"/>
          </w:divBdr>
        </w:div>
        <w:div w:id="1562985501">
          <w:marLeft w:val="274"/>
          <w:marRight w:val="0"/>
          <w:marTop w:val="0"/>
          <w:marBottom w:val="0"/>
          <w:divBdr>
            <w:top w:val="none" w:sz="0" w:space="0" w:color="auto"/>
            <w:left w:val="none" w:sz="0" w:space="0" w:color="auto"/>
            <w:bottom w:val="none" w:sz="0" w:space="0" w:color="auto"/>
            <w:right w:val="none" w:sz="0" w:space="0" w:color="auto"/>
          </w:divBdr>
        </w:div>
        <w:div w:id="1592546784">
          <w:marLeft w:val="274"/>
          <w:marRight w:val="0"/>
          <w:marTop w:val="0"/>
          <w:marBottom w:val="0"/>
          <w:divBdr>
            <w:top w:val="none" w:sz="0" w:space="0" w:color="auto"/>
            <w:left w:val="none" w:sz="0" w:space="0" w:color="auto"/>
            <w:bottom w:val="none" w:sz="0" w:space="0" w:color="auto"/>
            <w:right w:val="none" w:sz="0" w:space="0" w:color="auto"/>
          </w:divBdr>
        </w:div>
        <w:div w:id="1891840810">
          <w:marLeft w:val="850"/>
          <w:marRight w:val="0"/>
          <w:marTop w:val="0"/>
          <w:marBottom w:val="0"/>
          <w:divBdr>
            <w:top w:val="none" w:sz="0" w:space="0" w:color="auto"/>
            <w:left w:val="none" w:sz="0" w:space="0" w:color="auto"/>
            <w:bottom w:val="none" w:sz="0" w:space="0" w:color="auto"/>
            <w:right w:val="none" w:sz="0" w:space="0" w:color="auto"/>
          </w:divBdr>
        </w:div>
        <w:div w:id="1896696151">
          <w:marLeft w:val="274"/>
          <w:marRight w:val="0"/>
          <w:marTop w:val="0"/>
          <w:marBottom w:val="0"/>
          <w:divBdr>
            <w:top w:val="none" w:sz="0" w:space="0" w:color="auto"/>
            <w:left w:val="none" w:sz="0" w:space="0" w:color="auto"/>
            <w:bottom w:val="none" w:sz="0" w:space="0" w:color="auto"/>
            <w:right w:val="none" w:sz="0" w:space="0" w:color="auto"/>
          </w:divBdr>
        </w:div>
        <w:div w:id="2099908906">
          <w:marLeft w:val="274"/>
          <w:marRight w:val="0"/>
          <w:marTop w:val="0"/>
          <w:marBottom w:val="0"/>
          <w:divBdr>
            <w:top w:val="none" w:sz="0" w:space="0" w:color="auto"/>
            <w:left w:val="none" w:sz="0" w:space="0" w:color="auto"/>
            <w:bottom w:val="none" w:sz="0" w:space="0" w:color="auto"/>
            <w:right w:val="none" w:sz="0" w:space="0" w:color="auto"/>
          </w:divBdr>
        </w:div>
      </w:divsChild>
    </w:div>
    <w:div w:id="373235545">
      <w:bodyDiv w:val="1"/>
      <w:marLeft w:val="0"/>
      <w:marRight w:val="0"/>
      <w:marTop w:val="0"/>
      <w:marBottom w:val="0"/>
      <w:divBdr>
        <w:top w:val="none" w:sz="0" w:space="0" w:color="auto"/>
        <w:left w:val="none" w:sz="0" w:space="0" w:color="auto"/>
        <w:bottom w:val="none" w:sz="0" w:space="0" w:color="auto"/>
        <w:right w:val="none" w:sz="0" w:space="0" w:color="auto"/>
      </w:divBdr>
    </w:div>
    <w:div w:id="375129362">
      <w:bodyDiv w:val="1"/>
      <w:marLeft w:val="0"/>
      <w:marRight w:val="0"/>
      <w:marTop w:val="0"/>
      <w:marBottom w:val="0"/>
      <w:divBdr>
        <w:top w:val="none" w:sz="0" w:space="0" w:color="auto"/>
        <w:left w:val="none" w:sz="0" w:space="0" w:color="auto"/>
        <w:bottom w:val="none" w:sz="0" w:space="0" w:color="auto"/>
        <w:right w:val="none" w:sz="0" w:space="0" w:color="auto"/>
      </w:divBdr>
      <w:divsChild>
        <w:div w:id="1498308712">
          <w:marLeft w:val="1166"/>
          <w:marRight w:val="0"/>
          <w:marTop w:val="96"/>
          <w:marBottom w:val="0"/>
          <w:divBdr>
            <w:top w:val="none" w:sz="0" w:space="0" w:color="auto"/>
            <w:left w:val="none" w:sz="0" w:space="0" w:color="auto"/>
            <w:bottom w:val="none" w:sz="0" w:space="0" w:color="auto"/>
            <w:right w:val="none" w:sz="0" w:space="0" w:color="auto"/>
          </w:divBdr>
        </w:div>
      </w:divsChild>
    </w:div>
    <w:div w:id="375353858">
      <w:bodyDiv w:val="1"/>
      <w:marLeft w:val="0"/>
      <w:marRight w:val="0"/>
      <w:marTop w:val="0"/>
      <w:marBottom w:val="0"/>
      <w:divBdr>
        <w:top w:val="none" w:sz="0" w:space="0" w:color="auto"/>
        <w:left w:val="none" w:sz="0" w:space="0" w:color="auto"/>
        <w:bottom w:val="none" w:sz="0" w:space="0" w:color="auto"/>
        <w:right w:val="none" w:sz="0" w:space="0" w:color="auto"/>
      </w:divBdr>
    </w:div>
    <w:div w:id="376466416">
      <w:bodyDiv w:val="1"/>
      <w:marLeft w:val="0"/>
      <w:marRight w:val="0"/>
      <w:marTop w:val="0"/>
      <w:marBottom w:val="0"/>
      <w:divBdr>
        <w:top w:val="none" w:sz="0" w:space="0" w:color="auto"/>
        <w:left w:val="none" w:sz="0" w:space="0" w:color="auto"/>
        <w:bottom w:val="none" w:sz="0" w:space="0" w:color="auto"/>
        <w:right w:val="none" w:sz="0" w:space="0" w:color="auto"/>
      </w:divBdr>
    </w:div>
    <w:div w:id="377363982">
      <w:bodyDiv w:val="1"/>
      <w:marLeft w:val="0"/>
      <w:marRight w:val="0"/>
      <w:marTop w:val="0"/>
      <w:marBottom w:val="0"/>
      <w:divBdr>
        <w:top w:val="none" w:sz="0" w:space="0" w:color="auto"/>
        <w:left w:val="none" w:sz="0" w:space="0" w:color="auto"/>
        <w:bottom w:val="none" w:sz="0" w:space="0" w:color="auto"/>
        <w:right w:val="none" w:sz="0" w:space="0" w:color="auto"/>
      </w:divBdr>
    </w:div>
    <w:div w:id="377507410">
      <w:bodyDiv w:val="1"/>
      <w:marLeft w:val="0"/>
      <w:marRight w:val="0"/>
      <w:marTop w:val="0"/>
      <w:marBottom w:val="0"/>
      <w:divBdr>
        <w:top w:val="none" w:sz="0" w:space="0" w:color="auto"/>
        <w:left w:val="none" w:sz="0" w:space="0" w:color="auto"/>
        <w:bottom w:val="none" w:sz="0" w:space="0" w:color="auto"/>
        <w:right w:val="none" w:sz="0" w:space="0" w:color="auto"/>
      </w:divBdr>
    </w:div>
    <w:div w:id="378167829">
      <w:bodyDiv w:val="1"/>
      <w:marLeft w:val="0"/>
      <w:marRight w:val="0"/>
      <w:marTop w:val="0"/>
      <w:marBottom w:val="0"/>
      <w:divBdr>
        <w:top w:val="none" w:sz="0" w:space="0" w:color="auto"/>
        <w:left w:val="none" w:sz="0" w:space="0" w:color="auto"/>
        <w:bottom w:val="none" w:sz="0" w:space="0" w:color="auto"/>
        <w:right w:val="none" w:sz="0" w:space="0" w:color="auto"/>
      </w:divBdr>
      <w:divsChild>
        <w:div w:id="488719303">
          <w:marLeft w:val="1166"/>
          <w:marRight w:val="0"/>
          <w:marTop w:val="96"/>
          <w:marBottom w:val="0"/>
          <w:divBdr>
            <w:top w:val="none" w:sz="0" w:space="0" w:color="auto"/>
            <w:left w:val="none" w:sz="0" w:space="0" w:color="auto"/>
            <w:bottom w:val="none" w:sz="0" w:space="0" w:color="auto"/>
            <w:right w:val="none" w:sz="0" w:space="0" w:color="auto"/>
          </w:divBdr>
        </w:div>
        <w:div w:id="514225303">
          <w:marLeft w:val="547"/>
          <w:marRight w:val="0"/>
          <w:marTop w:val="115"/>
          <w:marBottom w:val="0"/>
          <w:divBdr>
            <w:top w:val="none" w:sz="0" w:space="0" w:color="auto"/>
            <w:left w:val="none" w:sz="0" w:space="0" w:color="auto"/>
            <w:bottom w:val="none" w:sz="0" w:space="0" w:color="auto"/>
            <w:right w:val="none" w:sz="0" w:space="0" w:color="auto"/>
          </w:divBdr>
        </w:div>
        <w:div w:id="1048532679">
          <w:marLeft w:val="1800"/>
          <w:marRight w:val="0"/>
          <w:marTop w:val="77"/>
          <w:marBottom w:val="0"/>
          <w:divBdr>
            <w:top w:val="none" w:sz="0" w:space="0" w:color="auto"/>
            <w:left w:val="none" w:sz="0" w:space="0" w:color="auto"/>
            <w:bottom w:val="none" w:sz="0" w:space="0" w:color="auto"/>
            <w:right w:val="none" w:sz="0" w:space="0" w:color="auto"/>
          </w:divBdr>
        </w:div>
        <w:div w:id="1077285983">
          <w:marLeft w:val="1800"/>
          <w:marRight w:val="0"/>
          <w:marTop w:val="77"/>
          <w:marBottom w:val="0"/>
          <w:divBdr>
            <w:top w:val="none" w:sz="0" w:space="0" w:color="auto"/>
            <w:left w:val="none" w:sz="0" w:space="0" w:color="auto"/>
            <w:bottom w:val="none" w:sz="0" w:space="0" w:color="auto"/>
            <w:right w:val="none" w:sz="0" w:space="0" w:color="auto"/>
          </w:divBdr>
        </w:div>
        <w:div w:id="1471553543">
          <w:marLeft w:val="1800"/>
          <w:marRight w:val="0"/>
          <w:marTop w:val="77"/>
          <w:marBottom w:val="0"/>
          <w:divBdr>
            <w:top w:val="none" w:sz="0" w:space="0" w:color="auto"/>
            <w:left w:val="none" w:sz="0" w:space="0" w:color="auto"/>
            <w:bottom w:val="none" w:sz="0" w:space="0" w:color="auto"/>
            <w:right w:val="none" w:sz="0" w:space="0" w:color="auto"/>
          </w:divBdr>
        </w:div>
        <w:div w:id="1471703983">
          <w:marLeft w:val="1800"/>
          <w:marRight w:val="0"/>
          <w:marTop w:val="77"/>
          <w:marBottom w:val="0"/>
          <w:divBdr>
            <w:top w:val="none" w:sz="0" w:space="0" w:color="auto"/>
            <w:left w:val="none" w:sz="0" w:space="0" w:color="auto"/>
            <w:bottom w:val="none" w:sz="0" w:space="0" w:color="auto"/>
            <w:right w:val="none" w:sz="0" w:space="0" w:color="auto"/>
          </w:divBdr>
        </w:div>
        <w:div w:id="1978027476">
          <w:marLeft w:val="1166"/>
          <w:marRight w:val="0"/>
          <w:marTop w:val="96"/>
          <w:marBottom w:val="0"/>
          <w:divBdr>
            <w:top w:val="none" w:sz="0" w:space="0" w:color="auto"/>
            <w:left w:val="none" w:sz="0" w:space="0" w:color="auto"/>
            <w:bottom w:val="none" w:sz="0" w:space="0" w:color="auto"/>
            <w:right w:val="none" w:sz="0" w:space="0" w:color="auto"/>
          </w:divBdr>
        </w:div>
      </w:divsChild>
    </w:div>
    <w:div w:id="378747636">
      <w:bodyDiv w:val="1"/>
      <w:marLeft w:val="0"/>
      <w:marRight w:val="0"/>
      <w:marTop w:val="0"/>
      <w:marBottom w:val="0"/>
      <w:divBdr>
        <w:top w:val="none" w:sz="0" w:space="0" w:color="auto"/>
        <w:left w:val="none" w:sz="0" w:space="0" w:color="auto"/>
        <w:bottom w:val="none" w:sz="0" w:space="0" w:color="auto"/>
        <w:right w:val="none" w:sz="0" w:space="0" w:color="auto"/>
      </w:divBdr>
    </w:div>
    <w:div w:id="379330733">
      <w:bodyDiv w:val="1"/>
      <w:marLeft w:val="0"/>
      <w:marRight w:val="0"/>
      <w:marTop w:val="0"/>
      <w:marBottom w:val="0"/>
      <w:divBdr>
        <w:top w:val="none" w:sz="0" w:space="0" w:color="auto"/>
        <w:left w:val="none" w:sz="0" w:space="0" w:color="auto"/>
        <w:bottom w:val="none" w:sz="0" w:space="0" w:color="auto"/>
        <w:right w:val="none" w:sz="0" w:space="0" w:color="auto"/>
      </w:divBdr>
      <w:divsChild>
        <w:div w:id="23679025">
          <w:marLeft w:val="1800"/>
          <w:marRight w:val="0"/>
          <w:marTop w:val="96"/>
          <w:marBottom w:val="0"/>
          <w:divBdr>
            <w:top w:val="none" w:sz="0" w:space="0" w:color="auto"/>
            <w:left w:val="none" w:sz="0" w:space="0" w:color="auto"/>
            <w:bottom w:val="none" w:sz="0" w:space="0" w:color="auto"/>
            <w:right w:val="none" w:sz="0" w:space="0" w:color="auto"/>
          </w:divBdr>
        </w:div>
        <w:div w:id="447117818">
          <w:marLeft w:val="547"/>
          <w:marRight w:val="0"/>
          <w:marTop w:val="96"/>
          <w:marBottom w:val="0"/>
          <w:divBdr>
            <w:top w:val="none" w:sz="0" w:space="0" w:color="auto"/>
            <w:left w:val="none" w:sz="0" w:space="0" w:color="auto"/>
            <w:bottom w:val="none" w:sz="0" w:space="0" w:color="auto"/>
            <w:right w:val="none" w:sz="0" w:space="0" w:color="auto"/>
          </w:divBdr>
        </w:div>
        <w:div w:id="514148034">
          <w:marLeft w:val="1800"/>
          <w:marRight w:val="0"/>
          <w:marTop w:val="96"/>
          <w:marBottom w:val="0"/>
          <w:divBdr>
            <w:top w:val="none" w:sz="0" w:space="0" w:color="auto"/>
            <w:left w:val="none" w:sz="0" w:space="0" w:color="auto"/>
            <w:bottom w:val="none" w:sz="0" w:space="0" w:color="auto"/>
            <w:right w:val="none" w:sz="0" w:space="0" w:color="auto"/>
          </w:divBdr>
        </w:div>
        <w:div w:id="904293895">
          <w:marLeft w:val="1166"/>
          <w:marRight w:val="0"/>
          <w:marTop w:val="96"/>
          <w:marBottom w:val="0"/>
          <w:divBdr>
            <w:top w:val="none" w:sz="0" w:space="0" w:color="auto"/>
            <w:left w:val="none" w:sz="0" w:space="0" w:color="auto"/>
            <w:bottom w:val="none" w:sz="0" w:space="0" w:color="auto"/>
            <w:right w:val="none" w:sz="0" w:space="0" w:color="auto"/>
          </w:divBdr>
        </w:div>
        <w:div w:id="1409420408">
          <w:marLeft w:val="547"/>
          <w:marRight w:val="0"/>
          <w:marTop w:val="96"/>
          <w:marBottom w:val="0"/>
          <w:divBdr>
            <w:top w:val="none" w:sz="0" w:space="0" w:color="auto"/>
            <w:left w:val="none" w:sz="0" w:space="0" w:color="auto"/>
            <w:bottom w:val="none" w:sz="0" w:space="0" w:color="auto"/>
            <w:right w:val="none" w:sz="0" w:space="0" w:color="auto"/>
          </w:divBdr>
        </w:div>
        <w:div w:id="1522165729">
          <w:marLeft w:val="547"/>
          <w:marRight w:val="0"/>
          <w:marTop w:val="96"/>
          <w:marBottom w:val="0"/>
          <w:divBdr>
            <w:top w:val="none" w:sz="0" w:space="0" w:color="auto"/>
            <w:left w:val="none" w:sz="0" w:space="0" w:color="auto"/>
            <w:bottom w:val="none" w:sz="0" w:space="0" w:color="auto"/>
            <w:right w:val="none" w:sz="0" w:space="0" w:color="auto"/>
          </w:divBdr>
        </w:div>
        <w:div w:id="1522747046">
          <w:marLeft w:val="1166"/>
          <w:marRight w:val="0"/>
          <w:marTop w:val="96"/>
          <w:marBottom w:val="0"/>
          <w:divBdr>
            <w:top w:val="none" w:sz="0" w:space="0" w:color="auto"/>
            <w:left w:val="none" w:sz="0" w:space="0" w:color="auto"/>
            <w:bottom w:val="none" w:sz="0" w:space="0" w:color="auto"/>
            <w:right w:val="none" w:sz="0" w:space="0" w:color="auto"/>
          </w:divBdr>
        </w:div>
      </w:divsChild>
    </w:div>
    <w:div w:id="379715997">
      <w:bodyDiv w:val="1"/>
      <w:marLeft w:val="0"/>
      <w:marRight w:val="0"/>
      <w:marTop w:val="0"/>
      <w:marBottom w:val="0"/>
      <w:divBdr>
        <w:top w:val="none" w:sz="0" w:space="0" w:color="auto"/>
        <w:left w:val="none" w:sz="0" w:space="0" w:color="auto"/>
        <w:bottom w:val="none" w:sz="0" w:space="0" w:color="auto"/>
        <w:right w:val="none" w:sz="0" w:space="0" w:color="auto"/>
      </w:divBdr>
    </w:div>
    <w:div w:id="380786554">
      <w:bodyDiv w:val="1"/>
      <w:marLeft w:val="0"/>
      <w:marRight w:val="0"/>
      <w:marTop w:val="0"/>
      <w:marBottom w:val="0"/>
      <w:divBdr>
        <w:top w:val="none" w:sz="0" w:space="0" w:color="auto"/>
        <w:left w:val="none" w:sz="0" w:space="0" w:color="auto"/>
        <w:bottom w:val="none" w:sz="0" w:space="0" w:color="auto"/>
        <w:right w:val="none" w:sz="0" w:space="0" w:color="auto"/>
      </w:divBdr>
    </w:div>
    <w:div w:id="381099982">
      <w:bodyDiv w:val="1"/>
      <w:marLeft w:val="0"/>
      <w:marRight w:val="0"/>
      <w:marTop w:val="0"/>
      <w:marBottom w:val="0"/>
      <w:divBdr>
        <w:top w:val="none" w:sz="0" w:space="0" w:color="auto"/>
        <w:left w:val="none" w:sz="0" w:space="0" w:color="auto"/>
        <w:bottom w:val="none" w:sz="0" w:space="0" w:color="auto"/>
        <w:right w:val="none" w:sz="0" w:space="0" w:color="auto"/>
      </w:divBdr>
    </w:div>
    <w:div w:id="381905977">
      <w:bodyDiv w:val="1"/>
      <w:marLeft w:val="0"/>
      <w:marRight w:val="0"/>
      <w:marTop w:val="0"/>
      <w:marBottom w:val="0"/>
      <w:divBdr>
        <w:top w:val="none" w:sz="0" w:space="0" w:color="auto"/>
        <w:left w:val="none" w:sz="0" w:space="0" w:color="auto"/>
        <w:bottom w:val="none" w:sz="0" w:space="0" w:color="auto"/>
        <w:right w:val="none" w:sz="0" w:space="0" w:color="auto"/>
      </w:divBdr>
    </w:div>
    <w:div w:id="383336611">
      <w:bodyDiv w:val="1"/>
      <w:marLeft w:val="0"/>
      <w:marRight w:val="0"/>
      <w:marTop w:val="0"/>
      <w:marBottom w:val="0"/>
      <w:divBdr>
        <w:top w:val="none" w:sz="0" w:space="0" w:color="auto"/>
        <w:left w:val="none" w:sz="0" w:space="0" w:color="auto"/>
        <w:bottom w:val="none" w:sz="0" w:space="0" w:color="auto"/>
        <w:right w:val="none" w:sz="0" w:space="0" w:color="auto"/>
      </w:divBdr>
    </w:div>
    <w:div w:id="383524621">
      <w:bodyDiv w:val="1"/>
      <w:marLeft w:val="0"/>
      <w:marRight w:val="0"/>
      <w:marTop w:val="0"/>
      <w:marBottom w:val="0"/>
      <w:divBdr>
        <w:top w:val="none" w:sz="0" w:space="0" w:color="auto"/>
        <w:left w:val="none" w:sz="0" w:space="0" w:color="auto"/>
        <w:bottom w:val="none" w:sz="0" w:space="0" w:color="auto"/>
        <w:right w:val="none" w:sz="0" w:space="0" w:color="auto"/>
      </w:divBdr>
    </w:div>
    <w:div w:id="383598761">
      <w:bodyDiv w:val="1"/>
      <w:marLeft w:val="0"/>
      <w:marRight w:val="0"/>
      <w:marTop w:val="0"/>
      <w:marBottom w:val="0"/>
      <w:divBdr>
        <w:top w:val="none" w:sz="0" w:space="0" w:color="auto"/>
        <w:left w:val="none" w:sz="0" w:space="0" w:color="auto"/>
        <w:bottom w:val="none" w:sz="0" w:space="0" w:color="auto"/>
        <w:right w:val="none" w:sz="0" w:space="0" w:color="auto"/>
      </w:divBdr>
    </w:div>
    <w:div w:id="383915891">
      <w:bodyDiv w:val="1"/>
      <w:marLeft w:val="0"/>
      <w:marRight w:val="0"/>
      <w:marTop w:val="0"/>
      <w:marBottom w:val="0"/>
      <w:divBdr>
        <w:top w:val="none" w:sz="0" w:space="0" w:color="auto"/>
        <w:left w:val="none" w:sz="0" w:space="0" w:color="auto"/>
        <w:bottom w:val="none" w:sz="0" w:space="0" w:color="auto"/>
        <w:right w:val="none" w:sz="0" w:space="0" w:color="auto"/>
      </w:divBdr>
    </w:div>
    <w:div w:id="384262020">
      <w:bodyDiv w:val="1"/>
      <w:marLeft w:val="0"/>
      <w:marRight w:val="0"/>
      <w:marTop w:val="0"/>
      <w:marBottom w:val="0"/>
      <w:divBdr>
        <w:top w:val="none" w:sz="0" w:space="0" w:color="auto"/>
        <w:left w:val="none" w:sz="0" w:space="0" w:color="auto"/>
        <w:bottom w:val="none" w:sz="0" w:space="0" w:color="auto"/>
        <w:right w:val="none" w:sz="0" w:space="0" w:color="auto"/>
      </w:divBdr>
      <w:divsChild>
        <w:div w:id="445392604">
          <w:marLeft w:val="1166"/>
          <w:marRight w:val="0"/>
          <w:marTop w:val="115"/>
          <w:marBottom w:val="0"/>
          <w:divBdr>
            <w:top w:val="none" w:sz="0" w:space="0" w:color="auto"/>
            <w:left w:val="none" w:sz="0" w:space="0" w:color="auto"/>
            <w:bottom w:val="none" w:sz="0" w:space="0" w:color="auto"/>
            <w:right w:val="none" w:sz="0" w:space="0" w:color="auto"/>
          </w:divBdr>
        </w:div>
        <w:div w:id="593828710">
          <w:marLeft w:val="547"/>
          <w:marRight w:val="0"/>
          <w:marTop w:val="130"/>
          <w:marBottom w:val="0"/>
          <w:divBdr>
            <w:top w:val="none" w:sz="0" w:space="0" w:color="auto"/>
            <w:left w:val="none" w:sz="0" w:space="0" w:color="auto"/>
            <w:bottom w:val="none" w:sz="0" w:space="0" w:color="auto"/>
            <w:right w:val="none" w:sz="0" w:space="0" w:color="auto"/>
          </w:divBdr>
        </w:div>
        <w:div w:id="893126584">
          <w:marLeft w:val="547"/>
          <w:marRight w:val="0"/>
          <w:marTop w:val="130"/>
          <w:marBottom w:val="0"/>
          <w:divBdr>
            <w:top w:val="none" w:sz="0" w:space="0" w:color="auto"/>
            <w:left w:val="none" w:sz="0" w:space="0" w:color="auto"/>
            <w:bottom w:val="none" w:sz="0" w:space="0" w:color="auto"/>
            <w:right w:val="none" w:sz="0" w:space="0" w:color="auto"/>
          </w:divBdr>
        </w:div>
        <w:div w:id="1336423280">
          <w:marLeft w:val="1166"/>
          <w:marRight w:val="0"/>
          <w:marTop w:val="115"/>
          <w:marBottom w:val="0"/>
          <w:divBdr>
            <w:top w:val="none" w:sz="0" w:space="0" w:color="auto"/>
            <w:left w:val="none" w:sz="0" w:space="0" w:color="auto"/>
            <w:bottom w:val="none" w:sz="0" w:space="0" w:color="auto"/>
            <w:right w:val="none" w:sz="0" w:space="0" w:color="auto"/>
          </w:divBdr>
        </w:div>
        <w:div w:id="1813787939">
          <w:marLeft w:val="1166"/>
          <w:marRight w:val="0"/>
          <w:marTop w:val="115"/>
          <w:marBottom w:val="0"/>
          <w:divBdr>
            <w:top w:val="none" w:sz="0" w:space="0" w:color="auto"/>
            <w:left w:val="none" w:sz="0" w:space="0" w:color="auto"/>
            <w:bottom w:val="none" w:sz="0" w:space="0" w:color="auto"/>
            <w:right w:val="none" w:sz="0" w:space="0" w:color="auto"/>
          </w:divBdr>
        </w:div>
        <w:div w:id="1895778260">
          <w:marLeft w:val="1166"/>
          <w:marRight w:val="0"/>
          <w:marTop w:val="115"/>
          <w:marBottom w:val="0"/>
          <w:divBdr>
            <w:top w:val="none" w:sz="0" w:space="0" w:color="auto"/>
            <w:left w:val="none" w:sz="0" w:space="0" w:color="auto"/>
            <w:bottom w:val="none" w:sz="0" w:space="0" w:color="auto"/>
            <w:right w:val="none" w:sz="0" w:space="0" w:color="auto"/>
          </w:divBdr>
        </w:div>
      </w:divsChild>
    </w:div>
    <w:div w:id="384303494">
      <w:bodyDiv w:val="1"/>
      <w:marLeft w:val="0"/>
      <w:marRight w:val="0"/>
      <w:marTop w:val="0"/>
      <w:marBottom w:val="0"/>
      <w:divBdr>
        <w:top w:val="none" w:sz="0" w:space="0" w:color="auto"/>
        <w:left w:val="none" w:sz="0" w:space="0" w:color="auto"/>
        <w:bottom w:val="none" w:sz="0" w:space="0" w:color="auto"/>
        <w:right w:val="none" w:sz="0" w:space="0" w:color="auto"/>
      </w:divBdr>
    </w:div>
    <w:div w:id="386147579">
      <w:bodyDiv w:val="1"/>
      <w:marLeft w:val="0"/>
      <w:marRight w:val="0"/>
      <w:marTop w:val="0"/>
      <w:marBottom w:val="0"/>
      <w:divBdr>
        <w:top w:val="none" w:sz="0" w:space="0" w:color="auto"/>
        <w:left w:val="none" w:sz="0" w:space="0" w:color="auto"/>
        <w:bottom w:val="none" w:sz="0" w:space="0" w:color="auto"/>
        <w:right w:val="none" w:sz="0" w:space="0" w:color="auto"/>
      </w:divBdr>
    </w:div>
    <w:div w:id="386612499">
      <w:bodyDiv w:val="1"/>
      <w:marLeft w:val="0"/>
      <w:marRight w:val="0"/>
      <w:marTop w:val="0"/>
      <w:marBottom w:val="0"/>
      <w:divBdr>
        <w:top w:val="none" w:sz="0" w:space="0" w:color="auto"/>
        <w:left w:val="none" w:sz="0" w:space="0" w:color="auto"/>
        <w:bottom w:val="none" w:sz="0" w:space="0" w:color="auto"/>
        <w:right w:val="none" w:sz="0" w:space="0" w:color="auto"/>
      </w:divBdr>
    </w:div>
    <w:div w:id="387610539">
      <w:bodyDiv w:val="1"/>
      <w:marLeft w:val="0"/>
      <w:marRight w:val="0"/>
      <w:marTop w:val="0"/>
      <w:marBottom w:val="0"/>
      <w:divBdr>
        <w:top w:val="none" w:sz="0" w:space="0" w:color="auto"/>
        <w:left w:val="none" w:sz="0" w:space="0" w:color="auto"/>
        <w:bottom w:val="none" w:sz="0" w:space="0" w:color="auto"/>
        <w:right w:val="none" w:sz="0" w:space="0" w:color="auto"/>
      </w:divBdr>
    </w:div>
    <w:div w:id="387998587">
      <w:bodyDiv w:val="1"/>
      <w:marLeft w:val="0"/>
      <w:marRight w:val="0"/>
      <w:marTop w:val="0"/>
      <w:marBottom w:val="0"/>
      <w:divBdr>
        <w:top w:val="none" w:sz="0" w:space="0" w:color="auto"/>
        <w:left w:val="none" w:sz="0" w:space="0" w:color="auto"/>
        <w:bottom w:val="none" w:sz="0" w:space="0" w:color="auto"/>
        <w:right w:val="none" w:sz="0" w:space="0" w:color="auto"/>
      </w:divBdr>
      <w:divsChild>
        <w:div w:id="143546171">
          <w:marLeft w:val="1166"/>
          <w:marRight w:val="0"/>
          <w:marTop w:val="86"/>
          <w:marBottom w:val="0"/>
          <w:divBdr>
            <w:top w:val="none" w:sz="0" w:space="0" w:color="auto"/>
            <w:left w:val="none" w:sz="0" w:space="0" w:color="auto"/>
            <w:bottom w:val="none" w:sz="0" w:space="0" w:color="auto"/>
            <w:right w:val="none" w:sz="0" w:space="0" w:color="auto"/>
          </w:divBdr>
        </w:div>
        <w:div w:id="225070506">
          <w:marLeft w:val="547"/>
          <w:marRight w:val="0"/>
          <w:marTop w:val="115"/>
          <w:marBottom w:val="0"/>
          <w:divBdr>
            <w:top w:val="none" w:sz="0" w:space="0" w:color="auto"/>
            <w:left w:val="none" w:sz="0" w:space="0" w:color="auto"/>
            <w:bottom w:val="none" w:sz="0" w:space="0" w:color="auto"/>
            <w:right w:val="none" w:sz="0" w:space="0" w:color="auto"/>
          </w:divBdr>
        </w:div>
        <w:div w:id="365301928">
          <w:marLeft w:val="547"/>
          <w:marRight w:val="0"/>
          <w:marTop w:val="115"/>
          <w:marBottom w:val="0"/>
          <w:divBdr>
            <w:top w:val="none" w:sz="0" w:space="0" w:color="auto"/>
            <w:left w:val="none" w:sz="0" w:space="0" w:color="auto"/>
            <w:bottom w:val="none" w:sz="0" w:space="0" w:color="auto"/>
            <w:right w:val="none" w:sz="0" w:space="0" w:color="auto"/>
          </w:divBdr>
        </w:div>
        <w:div w:id="569774532">
          <w:marLeft w:val="1800"/>
          <w:marRight w:val="0"/>
          <w:marTop w:val="96"/>
          <w:marBottom w:val="0"/>
          <w:divBdr>
            <w:top w:val="none" w:sz="0" w:space="0" w:color="auto"/>
            <w:left w:val="none" w:sz="0" w:space="0" w:color="auto"/>
            <w:bottom w:val="none" w:sz="0" w:space="0" w:color="auto"/>
            <w:right w:val="none" w:sz="0" w:space="0" w:color="auto"/>
          </w:divBdr>
        </w:div>
        <w:div w:id="574241660">
          <w:marLeft w:val="1166"/>
          <w:marRight w:val="0"/>
          <w:marTop w:val="86"/>
          <w:marBottom w:val="0"/>
          <w:divBdr>
            <w:top w:val="none" w:sz="0" w:space="0" w:color="auto"/>
            <w:left w:val="none" w:sz="0" w:space="0" w:color="auto"/>
            <w:bottom w:val="none" w:sz="0" w:space="0" w:color="auto"/>
            <w:right w:val="none" w:sz="0" w:space="0" w:color="auto"/>
          </w:divBdr>
        </w:div>
        <w:div w:id="601647324">
          <w:marLeft w:val="1800"/>
          <w:marRight w:val="0"/>
          <w:marTop w:val="77"/>
          <w:marBottom w:val="0"/>
          <w:divBdr>
            <w:top w:val="none" w:sz="0" w:space="0" w:color="auto"/>
            <w:left w:val="none" w:sz="0" w:space="0" w:color="auto"/>
            <w:bottom w:val="none" w:sz="0" w:space="0" w:color="auto"/>
            <w:right w:val="none" w:sz="0" w:space="0" w:color="auto"/>
          </w:divBdr>
        </w:div>
        <w:div w:id="1677419638">
          <w:marLeft w:val="1166"/>
          <w:marRight w:val="0"/>
          <w:marTop w:val="86"/>
          <w:marBottom w:val="0"/>
          <w:divBdr>
            <w:top w:val="none" w:sz="0" w:space="0" w:color="auto"/>
            <w:left w:val="none" w:sz="0" w:space="0" w:color="auto"/>
            <w:bottom w:val="none" w:sz="0" w:space="0" w:color="auto"/>
            <w:right w:val="none" w:sz="0" w:space="0" w:color="auto"/>
          </w:divBdr>
        </w:div>
      </w:divsChild>
    </w:div>
    <w:div w:id="388915825">
      <w:bodyDiv w:val="1"/>
      <w:marLeft w:val="0"/>
      <w:marRight w:val="0"/>
      <w:marTop w:val="0"/>
      <w:marBottom w:val="0"/>
      <w:divBdr>
        <w:top w:val="none" w:sz="0" w:space="0" w:color="auto"/>
        <w:left w:val="none" w:sz="0" w:space="0" w:color="auto"/>
        <w:bottom w:val="none" w:sz="0" w:space="0" w:color="auto"/>
        <w:right w:val="none" w:sz="0" w:space="0" w:color="auto"/>
      </w:divBdr>
    </w:div>
    <w:div w:id="390009417">
      <w:bodyDiv w:val="1"/>
      <w:marLeft w:val="0"/>
      <w:marRight w:val="0"/>
      <w:marTop w:val="0"/>
      <w:marBottom w:val="0"/>
      <w:divBdr>
        <w:top w:val="none" w:sz="0" w:space="0" w:color="auto"/>
        <w:left w:val="none" w:sz="0" w:space="0" w:color="auto"/>
        <w:bottom w:val="none" w:sz="0" w:space="0" w:color="auto"/>
        <w:right w:val="none" w:sz="0" w:space="0" w:color="auto"/>
      </w:divBdr>
    </w:div>
    <w:div w:id="390422050">
      <w:bodyDiv w:val="1"/>
      <w:marLeft w:val="0"/>
      <w:marRight w:val="0"/>
      <w:marTop w:val="0"/>
      <w:marBottom w:val="0"/>
      <w:divBdr>
        <w:top w:val="none" w:sz="0" w:space="0" w:color="auto"/>
        <w:left w:val="none" w:sz="0" w:space="0" w:color="auto"/>
        <w:bottom w:val="none" w:sz="0" w:space="0" w:color="auto"/>
        <w:right w:val="none" w:sz="0" w:space="0" w:color="auto"/>
      </w:divBdr>
      <w:divsChild>
        <w:div w:id="1259406200">
          <w:marLeft w:val="547"/>
          <w:marRight w:val="0"/>
          <w:marTop w:val="96"/>
          <w:marBottom w:val="0"/>
          <w:divBdr>
            <w:top w:val="none" w:sz="0" w:space="0" w:color="auto"/>
            <w:left w:val="none" w:sz="0" w:space="0" w:color="auto"/>
            <w:bottom w:val="none" w:sz="0" w:space="0" w:color="auto"/>
            <w:right w:val="none" w:sz="0" w:space="0" w:color="auto"/>
          </w:divBdr>
        </w:div>
      </w:divsChild>
    </w:div>
    <w:div w:id="392121430">
      <w:bodyDiv w:val="1"/>
      <w:marLeft w:val="0"/>
      <w:marRight w:val="0"/>
      <w:marTop w:val="0"/>
      <w:marBottom w:val="0"/>
      <w:divBdr>
        <w:top w:val="none" w:sz="0" w:space="0" w:color="auto"/>
        <w:left w:val="none" w:sz="0" w:space="0" w:color="auto"/>
        <w:bottom w:val="none" w:sz="0" w:space="0" w:color="auto"/>
        <w:right w:val="none" w:sz="0" w:space="0" w:color="auto"/>
      </w:divBdr>
    </w:div>
    <w:div w:id="392435901">
      <w:bodyDiv w:val="1"/>
      <w:marLeft w:val="0"/>
      <w:marRight w:val="0"/>
      <w:marTop w:val="0"/>
      <w:marBottom w:val="0"/>
      <w:divBdr>
        <w:top w:val="none" w:sz="0" w:space="0" w:color="auto"/>
        <w:left w:val="none" w:sz="0" w:space="0" w:color="auto"/>
        <w:bottom w:val="none" w:sz="0" w:space="0" w:color="auto"/>
        <w:right w:val="none" w:sz="0" w:space="0" w:color="auto"/>
      </w:divBdr>
      <w:divsChild>
        <w:div w:id="205801729">
          <w:marLeft w:val="1080"/>
          <w:marRight w:val="0"/>
          <w:marTop w:val="100"/>
          <w:marBottom w:val="0"/>
          <w:divBdr>
            <w:top w:val="none" w:sz="0" w:space="0" w:color="auto"/>
            <w:left w:val="none" w:sz="0" w:space="0" w:color="auto"/>
            <w:bottom w:val="none" w:sz="0" w:space="0" w:color="auto"/>
            <w:right w:val="none" w:sz="0" w:space="0" w:color="auto"/>
          </w:divBdr>
        </w:div>
        <w:div w:id="1239487124">
          <w:marLeft w:val="360"/>
          <w:marRight w:val="0"/>
          <w:marTop w:val="200"/>
          <w:marBottom w:val="0"/>
          <w:divBdr>
            <w:top w:val="none" w:sz="0" w:space="0" w:color="auto"/>
            <w:left w:val="none" w:sz="0" w:space="0" w:color="auto"/>
            <w:bottom w:val="none" w:sz="0" w:space="0" w:color="auto"/>
            <w:right w:val="none" w:sz="0" w:space="0" w:color="auto"/>
          </w:divBdr>
        </w:div>
        <w:div w:id="1362124054">
          <w:marLeft w:val="360"/>
          <w:marRight w:val="0"/>
          <w:marTop w:val="200"/>
          <w:marBottom w:val="0"/>
          <w:divBdr>
            <w:top w:val="none" w:sz="0" w:space="0" w:color="auto"/>
            <w:left w:val="none" w:sz="0" w:space="0" w:color="auto"/>
            <w:bottom w:val="none" w:sz="0" w:space="0" w:color="auto"/>
            <w:right w:val="none" w:sz="0" w:space="0" w:color="auto"/>
          </w:divBdr>
        </w:div>
        <w:div w:id="1750155035">
          <w:marLeft w:val="360"/>
          <w:marRight w:val="0"/>
          <w:marTop w:val="200"/>
          <w:marBottom w:val="0"/>
          <w:divBdr>
            <w:top w:val="none" w:sz="0" w:space="0" w:color="auto"/>
            <w:left w:val="none" w:sz="0" w:space="0" w:color="auto"/>
            <w:bottom w:val="none" w:sz="0" w:space="0" w:color="auto"/>
            <w:right w:val="none" w:sz="0" w:space="0" w:color="auto"/>
          </w:divBdr>
        </w:div>
      </w:divsChild>
    </w:div>
    <w:div w:id="392777198">
      <w:bodyDiv w:val="1"/>
      <w:marLeft w:val="0"/>
      <w:marRight w:val="0"/>
      <w:marTop w:val="0"/>
      <w:marBottom w:val="0"/>
      <w:divBdr>
        <w:top w:val="none" w:sz="0" w:space="0" w:color="auto"/>
        <w:left w:val="none" w:sz="0" w:space="0" w:color="auto"/>
        <w:bottom w:val="none" w:sz="0" w:space="0" w:color="auto"/>
        <w:right w:val="none" w:sz="0" w:space="0" w:color="auto"/>
      </w:divBdr>
      <w:divsChild>
        <w:div w:id="173961305">
          <w:marLeft w:val="1166"/>
          <w:marRight w:val="0"/>
          <w:marTop w:val="125"/>
          <w:marBottom w:val="0"/>
          <w:divBdr>
            <w:top w:val="none" w:sz="0" w:space="0" w:color="auto"/>
            <w:left w:val="none" w:sz="0" w:space="0" w:color="auto"/>
            <w:bottom w:val="none" w:sz="0" w:space="0" w:color="auto"/>
            <w:right w:val="none" w:sz="0" w:space="0" w:color="auto"/>
          </w:divBdr>
        </w:div>
        <w:div w:id="404840749">
          <w:marLeft w:val="1166"/>
          <w:marRight w:val="0"/>
          <w:marTop w:val="125"/>
          <w:marBottom w:val="0"/>
          <w:divBdr>
            <w:top w:val="none" w:sz="0" w:space="0" w:color="auto"/>
            <w:left w:val="none" w:sz="0" w:space="0" w:color="auto"/>
            <w:bottom w:val="none" w:sz="0" w:space="0" w:color="auto"/>
            <w:right w:val="none" w:sz="0" w:space="0" w:color="auto"/>
          </w:divBdr>
        </w:div>
        <w:div w:id="1097478395">
          <w:marLeft w:val="547"/>
          <w:marRight w:val="0"/>
          <w:marTop w:val="144"/>
          <w:marBottom w:val="0"/>
          <w:divBdr>
            <w:top w:val="none" w:sz="0" w:space="0" w:color="auto"/>
            <w:left w:val="none" w:sz="0" w:space="0" w:color="auto"/>
            <w:bottom w:val="none" w:sz="0" w:space="0" w:color="auto"/>
            <w:right w:val="none" w:sz="0" w:space="0" w:color="auto"/>
          </w:divBdr>
        </w:div>
      </w:divsChild>
    </w:div>
    <w:div w:id="393234075">
      <w:bodyDiv w:val="1"/>
      <w:marLeft w:val="0"/>
      <w:marRight w:val="0"/>
      <w:marTop w:val="0"/>
      <w:marBottom w:val="0"/>
      <w:divBdr>
        <w:top w:val="none" w:sz="0" w:space="0" w:color="auto"/>
        <w:left w:val="none" w:sz="0" w:space="0" w:color="auto"/>
        <w:bottom w:val="none" w:sz="0" w:space="0" w:color="auto"/>
        <w:right w:val="none" w:sz="0" w:space="0" w:color="auto"/>
      </w:divBdr>
    </w:div>
    <w:div w:id="395007477">
      <w:bodyDiv w:val="1"/>
      <w:marLeft w:val="0"/>
      <w:marRight w:val="0"/>
      <w:marTop w:val="0"/>
      <w:marBottom w:val="0"/>
      <w:divBdr>
        <w:top w:val="none" w:sz="0" w:space="0" w:color="auto"/>
        <w:left w:val="none" w:sz="0" w:space="0" w:color="auto"/>
        <w:bottom w:val="none" w:sz="0" w:space="0" w:color="auto"/>
        <w:right w:val="none" w:sz="0" w:space="0" w:color="auto"/>
      </w:divBdr>
      <w:divsChild>
        <w:div w:id="1988778494">
          <w:marLeft w:val="1080"/>
          <w:marRight w:val="0"/>
          <w:marTop w:val="100"/>
          <w:marBottom w:val="0"/>
          <w:divBdr>
            <w:top w:val="none" w:sz="0" w:space="0" w:color="auto"/>
            <w:left w:val="none" w:sz="0" w:space="0" w:color="auto"/>
            <w:bottom w:val="none" w:sz="0" w:space="0" w:color="auto"/>
            <w:right w:val="none" w:sz="0" w:space="0" w:color="auto"/>
          </w:divBdr>
        </w:div>
      </w:divsChild>
    </w:div>
    <w:div w:id="395128781">
      <w:bodyDiv w:val="1"/>
      <w:marLeft w:val="0"/>
      <w:marRight w:val="0"/>
      <w:marTop w:val="0"/>
      <w:marBottom w:val="0"/>
      <w:divBdr>
        <w:top w:val="none" w:sz="0" w:space="0" w:color="auto"/>
        <w:left w:val="none" w:sz="0" w:space="0" w:color="auto"/>
        <w:bottom w:val="none" w:sz="0" w:space="0" w:color="auto"/>
        <w:right w:val="none" w:sz="0" w:space="0" w:color="auto"/>
      </w:divBdr>
    </w:div>
    <w:div w:id="395276116">
      <w:bodyDiv w:val="1"/>
      <w:marLeft w:val="0"/>
      <w:marRight w:val="0"/>
      <w:marTop w:val="0"/>
      <w:marBottom w:val="0"/>
      <w:divBdr>
        <w:top w:val="none" w:sz="0" w:space="0" w:color="auto"/>
        <w:left w:val="none" w:sz="0" w:space="0" w:color="auto"/>
        <w:bottom w:val="none" w:sz="0" w:space="0" w:color="auto"/>
        <w:right w:val="none" w:sz="0" w:space="0" w:color="auto"/>
      </w:divBdr>
      <w:divsChild>
        <w:div w:id="690566842">
          <w:marLeft w:val="547"/>
          <w:marRight w:val="0"/>
          <w:marTop w:val="0"/>
          <w:marBottom w:val="0"/>
          <w:divBdr>
            <w:top w:val="none" w:sz="0" w:space="0" w:color="auto"/>
            <w:left w:val="none" w:sz="0" w:space="0" w:color="auto"/>
            <w:bottom w:val="none" w:sz="0" w:space="0" w:color="auto"/>
            <w:right w:val="none" w:sz="0" w:space="0" w:color="auto"/>
          </w:divBdr>
        </w:div>
        <w:div w:id="1655598481">
          <w:marLeft w:val="1166"/>
          <w:marRight w:val="0"/>
          <w:marTop w:val="0"/>
          <w:marBottom w:val="0"/>
          <w:divBdr>
            <w:top w:val="none" w:sz="0" w:space="0" w:color="auto"/>
            <w:left w:val="none" w:sz="0" w:space="0" w:color="auto"/>
            <w:bottom w:val="none" w:sz="0" w:space="0" w:color="auto"/>
            <w:right w:val="none" w:sz="0" w:space="0" w:color="auto"/>
          </w:divBdr>
        </w:div>
        <w:div w:id="1705909607">
          <w:marLeft w:val="1166"/>
          <w:marRight w:val="0"/>
          <w:marTop w:val="0"/>
          <w:marBottom w:val="0"/>
          <w:divBdr>
            <w:top w:val="none" w:sz="0" w:space="0" w:color="auto"/>
            <w:left w:val="none" w:sz="0" w:space="0" w:color="auto"/>
            <w:bottom w:val="none" w:sz="0" w:space="0" w:color="auto"/>
            <w:right w:val="none" w:sz="0" w:space="0" w:color="auto"/>
          </w:divBdr>
        </w:div>
      </w:divsChild>
    </w:div>
    <w:div w:id="395668873">
      <w:bodyDiv w:val="1"/>
      <w:marLeft w:val="0"/>
      <w:marRight w:val="0"/>
      <w:marTop w:val="0"/>
      <w:marBottom w:val="0"/>
      <w:divBdr>
        <w:top w:val="none" w:sz="0" w:space="0" w:color="auto"/>
        <w:left w:val="none" w:sz="0" w:space="0" w:color="auto"/>
        <w:bottom w:val="none" w:sz="0" w:space="0" w:color="auto"/>
        <w:right w:val="none" w:sz="0" w:space="0" w:color="auto"/>
      </w:divBdr>
    </w:div>
    <w:div w:id="396636357">
      <w:bodyDiv w:val="1"/>
      <w:marLeft w:val="0"/>
      <w:marRight w:val="0"/>
      <w:marTop w:val="0"/>
      <w:marBottom w:val="0"/>
      <w:divBdr>
        <w:top w:val="none" w:sz="0" w:space="0" w:color="auto"/>
        <w:left w:val="none" w:sz="0" w:space="0" w:color="auto"/>
        <w:bottom w:val="none" w:sz="0" w:space="0" w:color="auto"/>
        <w:right w:val="none" w:sz="0" w:space="0" w:color="auto"/>
      </w:divBdr>
    </w:div>
    <w:div w:id="397242792">
      <w:bodyDiv w:val="1"/>
      <w:marLeft w:val="0"/>
      <w:marRight w:val="0"/>
      <w:marTop w:val="0"/>
      <w:marBottom w:val="0"/>
      <w:divBdr>
        <w:top w:val="none" w:sz="0" w:space="0" w:color="auto"/>
        <w:left w:val="none" w:sz="0" w:space="0" w:color="auto"/>
        <w:bottom w:val="none" w:sz="0" w:space="0" w:color="auto"/>
        <w:right w:val="none" w:sz="0" w:space="0" w:color="auto"/>
      </w:divBdr>
    </w:div>
    <w:div w:id="398749414">
      <w:bodyDiv w:val="1"/>
      <w:marLeft w:val="0"/>
      <w:marRight w:val="0"/>
      <w:marTop w:val="0"/>
      <w:marBottom w:val="0"/>
      <w:divBdr>
        <w:top w:val="none" w:sz="0" w:space="0" w:color="auto"/>
        <w:left w:val="none" w:sz="0" w:space="0" w:color="auto"/>
        <w:bottom w:val="none" w:sz="0" w:space="0" w:color="auto"/>
        <w:right w:val="none" w:sz="0" w:space="0" w:color="auto"/>
      </w:divBdr>
    </w:div>
    <w:div w:id="398864463">
      <w:bodyDiv w:val="1"/>
      <w:marLeft w:val="0"/>
      <w:marRight w:val="0"/>
      <w:marTop w:val="0"/>
      <w:marBottom w:val="0"/>
      <w:divBdr>
        <w:top w:val="none" w:sz="0" w:space="0" w:color="auto"/>
        <w:left w:val="none" w:sz="0" w:space="0" w:color="auto"/>
        <w:bottom w:val="none" w:sz="0" w:space="0" w:color="auto"/>
        <w:right w:val="none" w:sz="0" w:space="0" w:color="auto"/>
      </w:divBdr>
    </w:div>
    <w:div w:id="399518865">
      <w:bodyDiv w:val="1"/>
      <w:marLeft w:val="0"/>
      <w:marRight w:val="0"/>
      <w:marTop w:val="0"/>
      <w:marBottom w:val="0"/>
      <w:divBdr>
        <w:top w:val="none" w:sz="0" w:space="0" w:color="auto"/>
        <w:left w:val="none" w:sz="0" w:space="0" w:color="auto"/>
        <w:bottom w:val="none" w:sz="0" w:space="0" w:color="auto"/>
        <w:right w:val="none" w:sz="0" w:space="0" w:color="auto"/>
      </w:divBdr>
    </w:div>
    <w:div w:id="399862290">
      <w:bodyDiv w:val="1"/>
      <w:marLeft w:val="0"/>
      <w:marRight w:val="0"/>
      <w:marTop w:val="0"/>
      <w:marBottom w:val="0"/>
      <w:divBdr>
        <w:top w:val="none" w:sz="0" w:space="0" w:color="auto"/>
        <w:left w:val="none" w:sz="0" w:space="0" w:color="auto"/>
        <w:bottom w:val="none" w:sz="0" w:space="0" w:color="auto"/>
        <w:right w:val="none" w:sz="0" w:space="0" w:color="auto"/>
      </w:divBdr>
      <w:divsChild>
        <w:div w:id="70549206">
          <w:marLeft w:val="547"/>
          <w:marRight w:val="0"/>
          <w:marTop w:val="125"/>
          <w:marBottom w:val="0"/>
          <w:divBdr>
            <w:top w:val="none" w:sz="0" w:space="0" w:color="auto"/>
            <w:left w:val="none" w:sz="0" w:space="0" w:color="auto"/>
            <w:bottom w:val="none" w:sz="0" w:space="0" w:color="auto"/>
            <w:right w:val="none" w:sz="0" w:space="0" w:color="auto"/>
          </w:divBdr>
        </w:div>
        <w:div w:id="507914187">
          <w:marLeft w:val="1166"/>
          <w:marRight w:val="0"/>
          <w:marTop w:val="106"/>
          <w:marBottom w:val="0"/>
          <w:divBdr>
            <w:top w:val="none" w:sz="0" w:space="0" w:color="auto"/>
            <w:left w:val="none" w:sz="0" w:space="0" w:color="auto"/>
            <w:bottom w:val="none" w:sz="0" w:space="0" w:color="auto"/>
            <w:right w:val="none" w:sz="0" w:space="0" w:color="auto"/>
          </w:divBdr>
        </w:div>
        <w:div w:id="734746646">
          <w:marLeft w:val="547"/>
          <w:marRight w:val="0"/>
          <w:marTop w:val="125"/>
          <w:marBottom w:val="0"/>
          <w:divBdr>
            <w:top w:val="none" w:sz="0" w:space="0" w:color="auto"/>
            <w:left w:val="none" w:sz="0" w:space="0" w:color="auto"/>
            <w:bottom w:val="none" w:sz="0" w:space="0" w:color="auto"/>
            <w:right w:val="none" w:sz="0" w:space="0" w:color="auto"/>
          </w:divBdr>
        </w:div>
        <w:div w:id="1075780147">
          <w:marLeft w:val="1166"/>
          <w:marRight w:val="0"/>
          <w:marTop w:val="106"/>
          <w:marBottom w:val="0"/>
          <w:divBdr>
            <w:top w:val="none" w:sz="0" w:space="0" w:color="auto"/>
            <w:left w:val="none" w:sz="0" w:space="0" w:color="auto"/>
            <w:bottom w:val="none" w:sz="0" w:space="0" w:color="auto"/>
            <w:right w:val="none" w:sz="0" w:space="0" w:color="auto"/>
          </w:divBdr>
        </w:div>
        <w:div w:id="1142238466">
          <w:marLeft w:val="1166"/>
          <w:marRight w:val="0"/>
          <w:marTop w:val="106"/>
          <w:marBottom w:val="0"/>
          <w:divBdr>
            <w:top w:val="none" w:sz="0" w:space="0" w:color="auto"/>
            <w:left w:val="none" w:sz="0" w:space="0" w:color="auto"/>
            <w:bottom w:val="none" w:sz="0" w:space="0" w:color="auto"/>
            <w:right w:val="none" w:sz="0" w:space="0" w:color="auto"/>
          </w:divBdr>
        </w:div>
        <w:div w:id="1390493320">
          <w:marLeft w:val="547"/>
          <w:marRight w:val="0"/>
          <w:marTop w:val="125"/>
          <w:marBottom w:val="0"/>
          <w:divBdr>
            <w:top w:val="none" w:sz="0" w:space="0" w:color="auto"/>
            <w:left w:val="none" w:sz="0" w:space="0" w:color="auto"/>
            <w:bottom w:val="none" w:sz="0" w:space="0" w:color="auto"/>
            <w:right w:val="none" w:sz="0" w:space="0" w:color="auto"/>
          </w:divBdr>
        </w:div>
        <w:div w:id="1467626929">
          <w:marLeft w:val="1166"/>
          <w:marRight w:val="0"/>
          <w:marTop w:val="106"/>
          <w:marBottom w:val="0"/>
          <w:divBdr>
            <w:top w:val="none" w:sz="0" w:space="0" w:color="auto"/>
            <w:left w:val="none" w:sz="0" w:space="0" w:color="auto"/>
            <w:bottom w:val="none" w:sz="0" w:space="0" w:color="auto"/>
            <w:right w:val="none" w:sz="0" w:space="0" w:color="auto"/>
          </w:divBdr>
        </w:div>
      </w:divsChild>
    </w:div>
    <w:div w:id="401217612">
      <w:bodyDiv w:val="1"/>
      <w:marLeft w:val="0"/>
      <w:marRight w:val="0"/>
      <w:marTop w:val="0"/>
      <w:marBottom w:val="0"/>
      <w:divBdr>
        <w:top w:val="none" w:sz="0" w:space="0" w:color="auto"/>
        <w:left w:val="none" w:sz="0" w:space="0" w:color="auto"/>
        <w:bottom w:val="none" w:sz="0" w:space="0" w:color="auto"/>
        <w:right w:val="none" w:sz="0" w:space="0" w:color="auto"/>
      </w:divBdr>
      <w:divsChild>
        <w:div w:id="809513204">
          <w:marLeft w:val="1166"/>
          <w:marRight w:val="0"/>
          <w:marTop w:val="115"/>
          <w:marBottom w:val="0"/>
          <w:divBdr>
            <w:top w:val="none" w:sz="0" w:space="0" w:color="auto"/>
            <w:left w:val="none" w:sz="0" w:space="0" w:color="auto"/>
            <w:bottom w:val="none" w:sz="0" w:space="0" w:color="auto"/>
            <w:right w:val="none" w:sz="0" w:space="0" w:color="auto"/>
          </w:divBdr>
        </w:div>
        <w:div w:id="1083986115">
          <w:marLeft w:val="1166"/>
          <w:marRight w:val="0"/>
          <w:marTop w:val="115"/>
          <w:marBottom w:val="0"/>
          <w:divBdr>
            <w:top w:val="none" w:sz="0" w:space="0" w:color="auto"/>
            <w:left w:val="none" w:sz="0" w:space="0" w:color="auto"/>
            <w:bottom w:val="none" w:sz="0" w:space="0" w:color="auto"/>
            <w:right w:val="none" w:sz="0" w:space="0" w:color="auto"/>
          </w:divBdr>
        </w:div>
        <w:div w:id="1111051036">
          <w:marLeft w:val="547"/>
          <w:marRight w:val="0"/>
          <w:marTop w:val="134"/>
          <w:marBottom w:val="0"/>
          <w:divBdr>
            <w:top w:val="none" w:sz="0" w:space="0" w:color="auto"/>
            <w:left w:val="none" w:sz="0" w:space="0" w:color="auto"/>
            <w:bottom w:val="none" w:sz="0" w:space="0" w:color="auto"/>
            <w:right w:val="none" w:sz="0" w:space="0" w:color="auto"/>
          </w:divBdr>
        </w:div>
        <w:div w:id="1372657457">
          <w:marLeft w:val="1166"/>
          <w:marRight w:val="0"/>
          <w:marTop w:val="115"/>
          <w:marBottom w:val="0"/>
          <w:divBdr>
            <w:top w:val="none" w:sz="0" w:space="0" w:color="auto"/>
            <w:left w:val="none" w:sz="0" w:space="0" w:color="auto"/>
            <w:bottom w:val="none" w:sz="0" w:space="0" w:color="auto"/>
            <w:right w:val="none" w:sz="0" w:space="0" w:color="auto"/>
          </w:divBdr>
        </w:div>
        <w:div w:id="1870412379">
          <w:marLeft w:val="1166"/>
          <w:marRight w:val="0"/>
          <w:marTop w:val="115"/>
          <w:marBottom w:val="0"/>
          <w:divBdr>
            <w:top w:val="none" w:sz="0" w:space="0" w:color="auto"/>
            <w:left w:val="none" w:sz="0" w:space="0" w:color="auto"/>
            <w:bottom w:val="none" w:sz="0" w:space="0" w:color="auto"/>
            <w:right w:val="none" w:sz="0" w:space="0" w:color="auto"/>
          </w:divBdr>
        </w:div>
      </w:divsChild>
    </w:div>
    <w:div w:id="401801568">
      <w:bodyDiv w:val="1"/>
      <w:marLeft w:val="0"/>
      <w:marRight w:val="0"/>
      <w:marTop w:val="0"/>
      <w:marBottom w:val="0"/>
      <w:divBdr>
        <w:top w:val="none" w:sz="0" w:space="0" w:color="auto"/>
        <w:left w:val="none" w:sz="0" w:space="0" w:color="auto"/>
        <w:bottom w:val="none" w:sz="0" w:space="0" w:color="auto"/>
        <w:right w:val="none" w:sz="0" w:space="0" w:color="auto"/>
      </w:divBdr>
    </w:div>
    <w:div w:id="402021274">
      <w:bodyDiv w:val="1"/>
      <w:marLeft w:val="0"/>
      <w:marRight w:val="0"/>
      <w:marTop w:val="0"/>
      <w:marBottom w:val="0"/>
      <w:divBdr>
        <w:top w:val="none" w:sz="0" w:space="0" w:color="auto"/>
        <w:left w:val="none" w:sz="0" w:space="0" w:color="auto"/>
        <w:bottom w:val="none" w:sz="0" w:space="0" w:color="auto"/>
        <w:right w:val="none" w:sz="0" w:space="0" w:color="auto"/>
      </w:divBdr>
      <w:divsChild>
        <w:div w:id="42675897">
          <w:marLeft w:val="1166"/>
          <w:marRight w:val="0"/>
          <w:marTop w:val="96"/>
          <w:marBottom w:val="0"/>
          <w:divBdr>
            <w:top w:val="none" w:sz="0" w:space="0" w:color="auto"/>
            <w:left w:val="none" w:sz="0" w:space="0" w:color="auto"/>
            <w:bottom w:val="none" w:sz="0" w:space="0" w:color="auto"/>
            <w:right w:val="none" w:sz="0" w:space="0" w:color="auto"/>
          </w:divBdr>
        </w:div>
        <w:div w:id="537816125">
          <w:marLeft w:val="547"/>
          <w:marRight w:val="0"/>
          <w:marTop w:val="115"/>
          <w:marBottom w:val="0"/>
          <w:divBdr>
            <w:top w:val="none" w:sz="0" w:space="0" w:color="auto"/>
            <w:left w:val="none" w:sz="0" w:space="0" w:color="auto"/>
            <w:bottom w:val="none" w:sz="0" w:space="0" w:color="auto"/>
            <w:right w:val="none" w:sz="0" w:space="0" w:color="auto"/>
          </w:divBdr>
        </w:div>
        <w:div w:id="805859647">
          <w:marLeft w:val="1166"/>
          <w:marRight w:val="0"/>
          <w:marTop w:val="96"/>
          <w:marBottom w:val="0"/>
          <w:divBdr>
            <w:top w:val="none" w:sz="0" w:space="0" w:color="auto"/>
            <w:left w:val="none" w:sz="0" w:space="0" w:color="auto"/>
            <w:bottom w:val="none" w:sz="0" w:space="0" w:color="auto"/>
            <w:right w:val="none" w:sz="0" w:space="0" w:color="auto"/>
          </w:divBdr>
        </w:div>
        <w:div w:id="1185441891">
          <w:marLeft w:val="547"/>
          <w:marRight w:val="0"/>
          <w:marTop w:val="115"/>
          <w:marBottom w:val="0"/>
          <w:divBdr>
            <w:top w:val="none" w:sz="0" w:space="0" w:color="auto"/>
            <w:left w:val="none" w:sz="0" w:space="0" w:color="auto"/>
            <w:bottom w:val="none" w:sz="0" w:space="0" w:color="auto"/>
            <w:right w:val="none" w:sz="0" w:space="0" w:color="auto"/>
          </w:divBdr>
        </w:div>
        <w:div w:id="1275750377">
          <w:marLeft w:val="1166"/>
          <w:marRight w:val="0"/>
          <w:marTop w:val="96"/>
          <w:marBottom w:val="0"/>
          <w:divBdr>
            <w:top w:val="none" w:sz="0" w:space="0" w:color="auto"/>
            <w:left w:val="none" w:sz="0" w:space="0" w:color="auto"/>
            <w:bottom w:val="none" w:sz="0" w:space="0" w:color="auto"/>
            <w:right w:val="none" w:sz="0" w:space="0" w:color="auto"/>
          </w:divBdr>
        </w:div>
        <w:div w:id="1342901912">
          <w:marLeft w:val="1166"/>
          <w:marRight w:val="0"/>
          <w:marTop w:val="96"/>
          <w:marBottom w:val="0"/>
          <w:divBdr>
            <w:top w:val="none" w:sz="0" w:space="0" w:color="auto"/>
            <w:left w:val="none" w:sz="0" w:space="0" w:color="auto"/>
            <w:bottom w:val="none" w:sz="0" w:space="0" w:color="auto"/>
            <w:right w:val="none" w:sz="0" w:space="0" w:color="auto"/>
          </w:divBdr>
        </w:div>
        <w:div w:id="1479881734">
          <w:marLeft w:val="1166"/>
          <w:marRight w:val="0"/>
          <w:marTop w:val="96"/>
          <w:marBottom w:val="0"/>
          <w:divBdr>
            <w:top w:val="none" w:sz="0" w:space="0" w:color="auto"/>
            <w:left w:val="none" w:sz="0" w:space="0" w:color="auto"/>
            <w:bottom w:val="none" w:sz="0" w:space="0" w:color="auto"/>
            <w:right w:val="none" w:sz="0" w:space="0" w:color="auto"/>
          </w:divBdr>
        </w:div>
        <w:div w:id="1654023039">
          <w:marLeft w:val="1166"/>
          <w:marRight w:val="0"/>
          <w:marTop w:val="96"/>
          <w:marBottom w:val="0"/>
          <w:divBdr>
            <w:top w:val="none" w:sz="0" w:space="0" w:color="auto"/>
            <w:left w:val="none" w:sz="0" w:space="0" w:color="auto"/>
            <w:bottom w:val="none" w:sz="0" w:space="0" w:color="auto"/>
            <w:right w:val="none" w:sz="0" w:space="0" w:color="auto"/>
          </w:divBdr>
        </w:div>
      </w:divsChild>
    </w:div>
    <w:div w:id="402413375">
      <w:bodyDiv w:val="1"/>
      <w:marLeft w:val="0"/>
      <w:marRight w:val="0"/>
      <w:marTop w:val="0"/>
      <w:marBottom w:val="0"/>
      <w:divBdr>
        <w:top w:val="none" w:sz="0" w:space="0" w:color="auto"/>
        <w:left w:val="none" w:sz="0" w:space="0" w:color="auto"/>
        <w:bottom w:val="none" w:sz="0" w:space="0" w:color="auto"/>
        <w:right w:val="none" w:sz="0" w:space="0" w:color="auto"/>
      </w:divBdr>
    </w:div>
    <w:div w:id="402526314">
      <w:bodyDiv w:val="1"/>
      <w:marLeft w:val="0"/>
      <w:marRight w:val="0"/>
      <w:marTop w:val="0"/>
      <w:marBottom w:val="0"/>
      <w:divBdr>
        <w:top w:val="none" w:sz="0" w:space="0" w:color="auto"/>
        <w:left w:val="none" w:sz="0" w:space="0" w:color="auto"/>
        <w:bottom w:val="none" w:sz="0" w:space="0" w:color="auto"/>
        <w:right w:val="none" w:sz="0" w:space="0" w:color="auto"/>
      </w:divBdr>
    </w:div>
    <w:div w:id="402797910">
      <w:bodyDiv w:val="1"/>
      <w:marLeft w:val="0"/>
      <w:marRight w:val="0"/>
      <w:marTop w:val="0"/>
      <w:marBottom w:val="0"/>
      <w:divBdr>
        <w:top w:val="none" w:sz="0" w:space="0" w:color="auto"/>
        <w:left w:val="none" w:sz="0" w:space="0" w:color="auto"/>
        <w:bottom w:val="none" w:sz="0" w:space="0" w:color="auto"/>
        <w:right w:val="none" w:sz="0" w:space="0" w:color="auto"/>
      </w:divBdr>
    </w:div>
    <w:div w:id="402917843">
      <w:bodyDiv w:val="1"/>
      <w:marLeft w:val="0"/>
      <w:marRight w:val="0"/>
      <w:marTop w:val="0"/>
      <w:marBottom w:val="0"/>
      <w:divBdr>
        <w:top w:val="none" w:sz="0" w:space="0" w:color="auto"/>
        <w:left w:val="none" w:sz="0" w:space="0" w:color="auto"/>
        <w:bottom w:val="none" w:sz="0" w:space="0" w:color="auto"/>
        <w:right w:val="none" w:sz="0" w:space="0" w:color="auto"/>
      </w:divBdr>
    </w:div>
    <w:div w:id="404107097">
      <w:bodyDiv w:val="1"/>
      <w:marLeft w:val="0"/>
      <w:marRight w:val="0"/>
      <w:marTop w:val="0"/>
      <w:marBottom w:val="0"/>
      <w:divBdr>
        <w:top w:val="none" w:sz="0" w:space="0" w:color="auto"/>
        <w:left w:val="none" w:sz="0" w:space="0" w:color="auto"/>
        <w:bottom w:val="none" w:sz="0" w:space="0" w:color="auto"/>
        <w:right w:val="none" w:sz="0" w:space="0" w:color="auto"/>
      </w:divBdr>
    </w:div>
    <w:div w:id="404258053">
      <w:bodyDiv w:val="1"/>
      <w:marLeft w:val="0"/>
      <w:marRight w:val="0"/>
      <w:marTop w:val="0"/>
      <w:marBottom w:val="0"/>
      <w:divBdr>
        <w:top w:val="none" w:sz="0" w:space="0" w:color="auto"/>
        <w:left w:val="none" w:sz="0" w:space="0" w:color="auto"/>
        <w:bottom w:val="none" w:sz="0" w:space="0" w:color="auto"/>
        <w:right w:val="none" w:sz="0" w:space="0" w:color="auto"/>
      </w:divBdr>
      <w:divsChild>
        <w:div w:id="405497857">
          <w:marLeft w:val="547"/>
          <w:marRight w:val="0"/>
          <w:marTop w:val="77"/>
          <w:marBottom w:val="0"/>
          <w:divBdr>
            <w:top w:val="none" w:sz="0" w:space="0" w:color="auto"/>
            <w:left w:val="none" w:sz="0" w:space="0" w:color="auto"/>
            <w:bottom w:val="none" w:sz="0" w:space="0" w:color="auto"/>
            <w:right w:val="none" w:sz="0" w:space="0" w:color="auto"/>
          </w:divBdr>
        </w:div>
        <w:div w:id="445658845">
          <w:marLeft w:val="547"/>
          <w:marRight w:val="0"/>
          <w:marTop w:val="77"/>
          <w:marBottom w:val="0"/>
          <w:divBdr>
            <w:top w:val="none" w:sz="0" w:space="0" w:color="auto"/>
            <w:left w:val="none" w:sz="0" w:space="0" w:color="auto"/>
            <w:bottom w:val="none" w:sz="0" w:space="0" w:color="auto"/>
            <w:right w:val="none" w:sz="0" w:space="0" w:color="auto"/>
          </w:divBdr>
        </w:div>
      </w:divsChild>
    </w:div>
    <w:div w:id="404494601">
      <w:bodyDiv w:val="1"/>
      <w:marLeft w:val="0"/>
      <w:marRight w:val="0"/>
      <w:marTop w:val="0"/>
      <w:marBottom w:val="0"/>
      <w:divBdr>
        <w:top w:val="none" w:sz="0" w:space="0" w:color="auto"/>
        <w:left w:val="none" w:sz="0" w:space="0" w:color="auto"/>
        <w:bottom w:val="none" w:sz="0" w:space="0" w:color="auto"/>
        <w:right w:val="none" w:sz="0" w:space="0" w:color="auto"/>
      </w:divBdr>
    </w:div>
    <w:div w:id="404769069">
      <w:bodyDiv w:val="1"/>
      <w:marLeft w:val="0"/>
      <w:marRight w:val="0"/>
      <w:marTop w:val="0"/>
      <w:marBottom w:val="0"/>
      <w:divBdr>
        <w:top w:val="none" w:sz="0" w:space="0" w:color="auto"/>
        <w:left w:val="none" w:sz="0" w:space="0" w:color="auto"/>
        <w:bottom w:val="none" w:sz="0" w:space="0" w:color="auto"/>
        <w:right w:val="none" w:sz="0" w:space="0" w:color="auto"/>
      </w:divBdr>
    </w:div>
    <w:div w:id="404836342">
      <w:bodyDiv w:val="1"/>
      <w:marLeft w:val="0"/>
      <w:marRight w:val="0"/>
      <w:marTop w:val="0"/>
      <w:marBottom w:val="0"/>
      <w:divBdr>
        <w:top w:val="none" w:sz="0" w:space="0" w:color="auto"/>
        <w:left w:val="none" w:sz="0" w:space="0" w:color="auto"/>
        <w:bottom w:val="none" w:sz="0" w:space="0" w:color="auto"/>
        <w:right w:val="none" w:sz="0" w:space="0" w:color="auto"/>
      </w:divBdr>
    </w:div>
    <w:div w:id="404838768">
      <w:bodyDiv w:val="1"/>
      <w:marLeft w:val="0"/>
      <w:marRight w:val="0"/>
      <w:marTop w:val="0"/>
      <w:marBottom w:val="0"/>
      <w:divBdr>
        <w:top w:val="none" w:sz="0" w:space="0" w:color="auto"/>
        <w:left w:val="none" w:sz="0" w:space="0" w:color="auto"/>
        <w:bottom w:val="none" w:sz="0" w:space="0" w:color="auto"/>
        <w:right w:val="none" w:sz="0" w:space="0" w:color="auto"/>
      </w:divBdr>
    </w:div>
    <w:div w:id="405032333">
      <w:bodyDiv w:val="1"/>
      <w:marLeft w:val="0"/>
      <w:marRight w:val="0"/>
      <w:marTop w:val="0"/>
      <w:marBottom w:val="0"/>
      <w:divBdr>
        <w:top w:val="none" w:sz="0" w:space="0" w:color="auto"/>
        <w:left w:val="none" w:sz="0" w:space="0" w:color="auto"/>
        <w:bottom w:val="none" w:sz="0" w:space="0" w:color="auto"/>
        <w:right w:val="none" w:sz="0" w:space="0" w:color="auto"/>
      </w:divBdr>
    </w:div>
    <w:div w:id="405685235">
      <w:bodyDiv w:val="1"/>
      <w:marLeft w:val="0"/>
      <w:marRight w:val="0"/>
      <w:marTop w:val="0"/>
      <w:marBottom w:val="0"/>
      <w:divBdr>
        <w:top w:val="none" w:sz="0" w:space="0" w:color="auto"/>
        <w:left w:val="none" w:sz="0" w:space="0" w:color="auto"/>
        <w:bottom w:val="none" w:sz="0" w:space="0" w:color="auto"/>
        <w:right w:val="none" w:sz="0" w:space="0" w:color="auto"/>
      </w:divBdr>
    </w:div>
    <w:div w:id="407846166">
      <w:bodyDiv w:val="1"/>
      <w:marLeft w:val="0"/>
      <w:marRight w:val="0"/>
      <w:marTop w:val="0"/>
      <w:marBottom w:val="0"/>
      <w:divBdr>
        <w:top w:val="none" w:sz="0" w:space="0" w:color="auto"/>
        <w:left w:val="none" w:sz="0" w:space="0" w:color="auto"/>
        <w:bottom w:val="none" w:sz="0" w:space="0" w:color="auto"/>
        <w:right w:val="none" w:sz="0" w:space="0" w:color="auto"/>
      </w:divBdr>
    </w:div>
    <w:div w:id="408963798">
      <w:bodyDiv w:val="1"/>
      <w:marLeft w:val="0"/>
      <w:marRight w:val="0"/>
      <w:marTop w:val="0"/>
      <w:marBottom w:val="0"/>
      <w:divBdr>
        <w:top w:val="none" w:sz="0" w:space="0" w:color="auto"/>
        <w:left w:val="none" w:sz="0" w:space="0" w:color="auto"/>
        <w:bottom w:val="none" w:sz="0" w:space="0" w:color="auto"/>
        <w:right w:val="none" w:sz="0" w:space="0" w:color="auto"/>
      </w:divBdr>
    </w:div>
    <w:div w:id="409278524">
      <w:bodyDiv w:val="1"/>
      <w:marLeft w:val="0"/>
      <w:marRight w:val="0"/>
      <w:marTop w:val="0"/>
      <w:marBottom w:val="0"/>
      <w:divBdr>
        <w:top w:val="none" w:sz="0" w:space="0" w:color="auto"/>
        <w:left w:val="none" w:sz="0" w:space="0" w:color="auto"/>
        <w:bottom w:val="none" w:sz="0" w:space="0" w:color="auto"/>
        <w:right w:val="none" w:sz="0" w:space="0" w:color="auto"/>
      </w:divBdr>
      <w:divsChild>
        <w:div w:id="867183833">
          <w:marLeft w:val="1166"/>
          <w:marRight w:val="0"/>
          <w:marTop w:val="96"/>
          <w:marBottom w:val="0"/>
          <w:divBdr>
            <w:top w:val="none" w:sz="0" w:space="0" w:color="auto"/>
            <w:left w:val="none" w:sz="0" w:space="0" w:color="auto"/>
            <w:bottom w:val="none" w:sz="0" w:space="0" w:color="auto"/>
            <w:right w:val="none" w:sz="0" w:space="0" w:color="auto"/>
          </w:divBdr>
        </w:div>
        <w:div w:id="1939873845">
          <w:marLeft w:val="1166"/>
          <w:marRight w:val="0"/>
          <w:marTop w:val="96"/>
          <w:marBottom w:val="0"/>
          <w:divBdr>
            <w:top w:val="none" w:sz="0" w:space="0" w:color="auto"/>
            <w:left w:val="none" w:sz="0" w:space="0" w:color="auto"/>
            <w:bottom w:val="none" w:sz="0" w:space="0" w:color="auto"/>
            <w:right w:val="none" w:sz="0" w:space="0" w:color="auto"/>
          </w:divBdr>
        </w:div>
        <w:div w:id="1951930160">
          <w:marLeft w:val="547"/>
          <w:marRight w:val="0"/>
          <w:marTop w:val="106"/>
          <w:marBottom w:val="0"/>
          <w:divBdr>
            <w:top w:val="none" w:sz="0" w:space="0" w:color="auto"/>
            <w:left w:val="none" w:sz="0" w:space="0" w:color="auto"/>
            <w:bottom w:val="none" w:sz="0" w:space="0" w:color="auto"/>
            <w:right w:val="none" w:sz="0" w:space="0" w:color="auto"/>
          </w:divBdr>
        </w:div>
      </w:divsChild>
    </w:div>
    <w:div w:id="410464723">
      <w:bodyDiv w:val="1"/>
      <w:marLeft w:val="0"/>
      <w:marRight w:val="0"/>
      <w:marTop w:val="0"/>
      <w:marBottom w:val="0"/>
      <w:divBdr>
        <w:top w:val="none" w:sz="0" w:space="0" w:color="auto"/>
        <w:left w:val="none" w:sz="0" w:space="0" w:color="auto"/>
        <w:bottom w:val="none" w:sz="0" w:space="0" w:color="auto"/>
        <w:right w:val="none" w:sz="0" w:space="0" w:color="auto"/>
      </w:divBdr>
    </w:div>
    <w:div w:id="411507769">
      <w:bodyDiv w:val="1"/>
      <w:marLeft w:val="0"/>
      <w:marRight w:val="0"/>
      <w:marTop w:val="0"/>
      <w:marBottom w:val="0"/>
      <w:divBdr>
        <w:top w:val="none" w:sz="0" w:space="0" w:color="auto"/>
        <w:left w:val="none" w:sz="0" w:space="0" w:color="auto"/>
        <w:bottom w:val="none" w:sz="0" w:space="0" w:color="auto"/>
        <w:right w:val="none" w:sz="0" w:space="0" w:color="auto"/>
      </w:divBdr>
    </w:div>
    <w:div w:id="411658541">
      <w:bodyDiv w:val="1"/>
      <w:marLeft w:val="0"/>
      <w:marRight w:val="0"/>
      <w:marTop w:val="0"/>
      <w:marBottom w:val="0"/>
      <w:divBdr>
        <w:top w:val="none" w:sz="0" w:space="0" w:color="auto"/>
        <w:left w:val="none" w:sz="0" w:space="0" w:color="auto"/>
        <w:bottom w:val="none" w:sz="0" w:space="0" w:color="auto"/>
        <w:right w:val="none" w:sz="0" w:space="0" w:color="auto"/>
      </w:divBdr>
    </w:div>
    <w:div w:id="413090624">
      <w:bodyDiv w:val="1"/>
      <w:marLeft w:val="0"/>
      <w:marRight w:val="0"/>
      <w:marTop w:val="0"/>
      <w:marBottom w:val="0"/>
      <w:divBdr>
        <w:top w:val="none" w:sz="0" w:space="0" w:color="auto"/>
        <w:left w:val="none" w:sz="0" w:space="0" w:color="auto"/>
        <w:bottom w:val="none" w:sz="0" w:space="0" w:color="auto"/>
        <w:right w:val="none" w:sz="0" w:space="0" w:color="auto"/>
      </w:divBdr>
      <w:divsChild>
        <w:div w:id="2134209912">
          <w:marLeft w:val="547"/>
          <w:marRight w:val="0"/>
          <w:marTop w:val="115"/>
          <w:marBottom w:val="0"/>
          <w:divBdr>
            <w:top w:val="none" w:sz="0" w:space="0" w:color="auto"/>
            <w:left w:val="none" w:sz="0" w:space="0" w:color="auto"/>
            <w:bottom w:val="none" w:sz="0" w:space="0" w:color="auto"/>
            <w:right w:val="none" w:sz="0" w:space="0" w:color="auto"/>
          </w:divBdr>
        </w:div>
      </w:divsChild>
    </w:div>
    <w:div w:id="413935956">
      <w:bodyDiv w:val="1"/>
      <w:marLeft w:val="0"/>
      <w:marRight w:val="0"/>
      <w:marTop w:val="0"/>
      <w:marBottom w:val="0"/>
      <w:divBdr>
        <w:top w:val="none" w:sz="0" w:space="0" w:color="auto"/>
        <w:left w:val="none" w:sz="0" w:space="0" w:color="auto"/>
        <w:bottom w:val="none" w:sz="0" w:space="0" w:color="auto"/>
        <w:right w:val="none" w:sz="0" w:space="0" w:color="auto"/>
      </w:divBdr>
      <w:divsChild>
        <w:div w:id="120151030">
          <w:marLeft w:val="2520"/>
          <w:marRight w:val="0"/>
          <w:marTop w:val="77"/>
          <w:marBottom w:val="0"/>
          <w:divBdr>
            <w:top w:val="none" w:sz="0" w:space="0" w:color="auto"/>
            <w:left w:val="none" w:sz="0" w:space="0" w:color="auto"/>
            <w:bottom w:val="none" w:sz="0" w:space="0" w:color="auto"/>
            <w:right w:val="none" w:sz="0" w:space="0" w:color="auto"/>
          </w:divBdr>
        </w:div>
        <w:div w:id="685250937">
          <w:marLeft w:val="1166"/>
          <w:marRight w:val="0"/>
          <w:marTop w:val="96"/>
          <w:marBottom w:val="0"/>
          <w:divBdr>
            <w:top w:val="none" w:sz="0" w:space="0" w:color="auto"/>
            <w:left w:val="none" w:sz="0" w:space="0" w:color="auto"/>
            <w:bottom w:val="none" w:sz="0" w:space="0" w:color="auto"/>
            <w:right w:val="none" w:sz="0" w:space="0" w:color="auto"/>
          </w:divBdr>
        </w:div>
        <w:div w:id="1313832729">
          <w:marLeft w:val="1166"/>
          <w:marRight w:val="0"/>
          <w:marTop w:val="96"/>
          <w:marBottom w:val="0"/>
          <w:divBdr>
            <w:top w:val="none" w:sz="0" w:space="0" w:color="auto"/>
            <w:left w:val="none" w:sz="0" w:space="0" w:color="auto"/>
            <w:bottom w:val="none" w:sz="0" w:space="0" w:color="auto"/>
            <w:right w:val="none" w:sz="0" w:space="0" w:color="auto"/>
          </w:divBdr>
        </w:div>
        <w:div w:id="1772819308">
          <w:marLeft w:val="3240"/>
          <w:marRight w:val="0"/>
          <w:marTop w:val="67"/>
          <w:marBottom w:val="0"/>
          <w:divBdr>
            <w:top w:val="none" w:sz="0" w:space="0" w:color="auto"/>
            <w:left w:val="none" w:sz="0" w:space="0" w:color="auto"/>
            <w:bottom w:val="none" w:sz="0" w:space="0" w:color="auto"/>
            <w:right w:val="none" w:sz="0" w:space="0" w:color="auto"/>
          </w:divBdr>
        </w:div>
        <w:div w:id="2048262643">
          <w:marLeft w:val="547"/>
          <w:marRight w:val="0"/>
          <w:marTop w:val="115"/>
          <w:marBottom w:val="0"/>
          <w:divBdr>
            <w:top w:val="none" w:sz="0" w:space="0" w:color="auto"/>
            <w:left w:val="none" w:sz="0" w:space="0" w:color="auto"/>
            <w:bottom w:val="none" w:sz="0" w:space="0" w:color="auto"/>
            <w:right w:val="none" w:sz="0" w:space="0" w:color="auto"/>
          </w:divBdr>
        </w:div>
        <w:div w:id="2080205749">
          <w:marLeft w:val="1166"/>
          <w:marRight w:val="0"/>
          <w:marTop w:val="96"/>
          <w:marBottom w:val="0"/>
          <w:divBdr>
            <w:top w:val="none" w:sz="0" w:space="0" w:color="auto"/>
            <w:left w:val="none" w:sz="0" w:space="0" w:color="auto"/>
            <w:bottom w:val="none" w:sz="0" w:space="0" w:color="auto"/>
            <w:right w:val="none" w:sz="0" w:space="0" w:color="auto"/>
          </w:divBdr>
        </w:div>
      </w:divsChild>
    </w:div>
    <w:div w:id="414253332">
      <w:bodyDiv w:val="1"/>
      <w:marLeft w:val="0"/>
      <w:marRight w:val="0"/>
      <w:marTop w:val="0"/>
      <w:marBottom w:val="0"/>
      <w:divBdr>
        <w:top w:val="none" w:sz="0" w:space="0" w:color="auto"/>
        <w:left w:val="none" w:sz="0" w:space="0" w:color="auto"/>
        <w:bottom w:val="none" w:sz="0" w:space="0" w:color="auto"/>
        <w:right w:val="none" w:sz="0" w:space="0" w:color="auto"/>
      </w:divBdr>
    </w:div>
    <w:div w:id="414405490">
      <w:bodyDiv w:val="1"/>
      <w:marLeft w:val="0"/>
      <w:marRight w:val="0"/>
      <w:marTop w:val="0"/>
      <w:marBottom w:val="0"/>
      <w:divBdr>
        <w:top w:val="none" w:sz="0" w:space="0" w:color="auto"/>
        <w:left w:val="none" w:sz="0" w:space="0" w:color="auto"/>
        <w:bottom w:val="none" w:sz="0" w:space="0" w:color="auto"/>
        <w:right w:val="none" w:sz="0" w:space="0" w:color="auto"/>
      </w:divBdr>
    </w:div>
    <w:div w:id="415368475">
      <w:bodyDiv w:val="1"/>
      <w:marLeft w:val="0"/>
      <w:marRight w:val="0"/>
      <w:marTop w:val="0"/>
      <w:marBottom w:val="0"/>
      <w:divBdr>
        <w:top w:val="none" w:sz="0" w:space="0" w:color="auto"/>
        <w:left w:val="none" w:sz="0" w:space="0" w:color="auto"/>
        <w:bottom w:val="none" w:sz="0" w:space="0" w:color="auto"/>
        <w:right w:val="none" w:sz="0" w:space="0" w:color="auto"/>
      </w:divBdr>
    </w:div>
    <w:div w:id="416631410">
      <w:bodyDiv w:val="1"/>
      <w:marLeft w:val="0"/>
      <w:marRight w:val="0"/>
      <w:marTop w:val="0"/>
      <w:marBottom w:val="0"/>
      <w:divBdr>
        <w:top w:val="none" w:sz="0" w:space="0" w:color="auto"/>
        <w:left w:val="none" w:sz="0" w:space="0" w:color="auto"/>
        <w:bottom w:val="none" w:sz="0" w:space="0" w:color="auto"/>
        <w:right w:val="none" w:sz="0" w:space="0" w:color="auto"/>
      </w:divBdr>
      <w:divsChild>
        <w:div w:id="971059261">
          <w:marLeft w:val="547"/>
          <w:marRight w:val="0"/>
          <w:marTop w:val="240"/>
          <w:marBottom w:val="0"/>
          <w:divBdr>
            <w:top w:val="none" w:sz="0" w:space="0" w:color="auto"/>
            <w:left w:val="none" w:sz="0" w:space="0" w:color="auto"/>
            <w:bottom w:val="none" w:sz="0" w:space="0" w:color="auto"/>
            <w:right w:val="none" w:sz="0" w:space="0" w:color="auto"/>
          </w:divBdr>
        </w:div>
      </w:divsChild>
    </w:div>
    <w:div w:id="419521753">
      <w:bodyDiv w:val="1"/>
      <w:marLeft w:val="0"/>
      <w:marRight w:val="0"/>
      <w:marTop w:val="0"/>
      <w:marBottom w:val="0"/>
      <w:divBdr>
        <w:top w:val="none" w:sz="0" w:space="0" w:color="auto"/>
        <w:left w:val="none" w:sz="0" w:space="0" w:color="auto"/>
        <w:bottom w:val="none" w:sz="0" w:space="0" w:color="auto"/>
        <w:right w:val="none" w:sz="0" w:space="0" w:color="auto"/>
      </w:divBdr>
    </w:div>
    <w:div w:id="419525916">
      <w:bodyDiv w:val="1"/>
      <w:marLeft w:val="0"/>
      <w:marRight w:val="0"/>
      <w:marTop w:val="0"/>
      <w:marBottom w:val="0"/>
      <w:divBdr>
        <w:top w:val="none" w:sz="0" w:space="0" w:color="auto"/>
        <w:left w:val="none" w:sz="0" w:space="0" w:color="auto"/>
        <w:bottom w:val="none" w:sz="0" w:space="0" w:color="auto"/>
        <w:right w:val="none" w:sz="0" w:space="0" w:color="auto"/>
      </w:divBdr>
    </w:div>
    <w:div w:id="420181143">
      <w:bodyDiv w:val="1"/>
      <w:marLeft w:val="0"/>
      <w:marRight w:val="0"/>
      <w:marTop w:val="0"/>
      <w:marBottom w:val="0"/>
      <w:divBdr>
        <w:top w:val="none" w:sz="0" w:space="0" w:color="auto"/>
        <w:left w:val="none" w:sz="0" w:space="0" w:color="auto"/>
        <w:bottom w:val="none" w:sz="0" w:space="0" w:color="auto"/>
        <w:right w:val="none" w:sz="0" w:space="0" w:color="auto"/>
      </w:divBdr>
    </w:div>
    <w:div w:id="421879087">
      <w:bodyDiv w:val="1"/>
      <w:marLeft w:val="0"/>
      <w:marRight w:val="0"/>
      <w:marTop w:val="0"/>
      <w:marBottom w:val="0"/>
      <w:divBdr>
        <w:top w:val="none" w:sz="0" w:space="0" w:color="auto"/>
        <w:left w:val="none" w:sz="0" w:space="0" w:color="auto"/>
        <w:bottom w:val="none" w:sz="0" w:space="0" w:color="auto"/>
        <w:right w:val="none" w:sz="0" w:space="0" w:color="auto"/>
      </w:divBdr>
    </w:div>
    <w:div w:id="422996497">
      <w:bodyDiv w:val="1"/>
      <w:marLeft w:val="0"/>
      <w:marRight w:val="0"/>
      <w:marTop w:val="0"/>
      <w:marBottom w:val="0"/>
      <w:divBdr>
        <w:top w:val="none" w:sz="0" w:space="0" w:color="auto"/>
        <w:left w:val="none" w:sz="0" w:space="0" w:color="auto"/>
        <w:bottom w:val="none" w:sz="0" w:space="0" w:color="auto"/>
        <w:right w:val="none" w:sz="0" w:space="0" w:color="auto"/>
      </w:divBdr>
      <w:divsChild>
        <w:div w:id="2124602">
          <w:marLeft w:val="547"/>
          <w:marRight w:val="0"/>
          <w:marTop w:val="134"/>
          <w:marBottom w:val="0"/>
          <w:divBdr>
            <w:top w:val="none" w:sz="0" w:space="0" w:color="auto"/>
            <w:left w:val="none" w:sz="0" w:space="0" w:color="auto"/>
            <w:bottom w:val="none" w:sz="0" w:space="0" w:color="auto"/>
            <w:right w:val="none" w:sz="0" w:space="0" w:color="auto"/>
          </w:divBdr>
        </w:div>
        <w:div w:id="232277616">
          <w:marLeft w:val="1166"/>
          <w:marRight w:val="0"/>
          <w:marTop w:val="134"/>
          <w:marBottom w:val="0"/>
          <w:divBdr>
            <w:top w:val="none" w:sz="0" w:space="0" w:color="auto"/>
            <w:left w:val="none" w:sz="0" w:space="0" w:color="auto"/>
            <w:bottom w:val="none" w:sz="0" w:space="0" w:color="auto"/>
            <w:right w:val="none" w:sz="0" w:space="0" w:color="auto"/>
          </w:divBdr>
        </w:div>
        <w:div w:id="1838226665">
          <w:marLeft w:val="1166"/>
          <w:marRight w:val="0"/>
          <w:marTop w:val="115"/>
          <w:marBottom w:val="0"/>
          <w:divBdr>
            <w:top w:val="none" w:sz="0" w:space="0" w:color="auto"/>
            <w:left w:val="none" w:sz="0" w:space="0" w:color="auto"/>
            <w:bottom w:val="none" w:sz="0" w:space="0" w:color="auto"/>
            <w:right w:val="none" w:sz="0" w:space="0" w:color="auto"/>
          </w:divBdr>
        </w:div>
        <w:div w:id="2088961149">
          <w:marLeft w:val="1800"/>
          <w:marRight w:val="0"/>
          <w:marTop w:val="96"/>
          <w:marBottom w:val="0"/>
          <w:divBdr>
            <w:top w:val="none" w:sz="0" w:space="0" w:color="auto"/>
            <w:left w:val="none" w:sz="0" w:space="0" w:color="auto"/>
            <w:bottom w:val="none" w:sz="0" w:space="0" w:color="auto"/>
            <w:right w:val="none" w:sz="0" w:space="0" w:color="auto"/>
          </w:divBdr>
        </w:div>
      </w:divsChild>
    </w:div>
    <w:div w:id="423496745">
      <w:bodyDiv w:val="1"/>
      <w:marLeft w:val="0"/>
      <w:marRight w:val="0"/>
      <w:marTop w:val="0"/>
      <w:marBottom w:val="0"/>
      <w:divBdr>
        <w:top w:val="none" w:sz="0" w:space="0" w:color="auto"/>
        <w:left w:val="none" w:sz="0" w:space="0" w:color="auto"/>
        <w:bottom w:val="none" w:sz="0" w:space="0" w:color="auto"/>
        <w:right w:val="none" w:sz="0" w:space="0" w:color="auto"/>
      </w:divBdr>
    </w:div>
    <w:div w:id="424301971">
      <w:bodyDiv w:val="1"/>
      <w:marLeft w:val="0"/>
      <w:marRight w:val="0"/>
      <w:marTop w:val="0"/>
      <w:marBottom w:val="0"/>
      <w:divBdr>
        <w:top w:val="none" w:sz="0" w:space="0" w:color="auto"/>
        <w:left w:val="none" w:sz="0" w:space="0" w:color="auto"/>
        <w:bottom w:val="none" w:sz="0" w:space="0" w:color="auto"/>
        <w:right w:val="none" w:sz="0" w:space="0" w:color="auto"/>
      </w:divBdr>
    </w:div>
    <w:div w:id="425426886">
      <w:bodyDiv w:val="1"/>
      <w:marLeft w:val="0"/>
      <w:marRight w:val="0"/>
      <w:marTop w:val="0"/>
      <w:marBottom w:val="0"/>
      <w:divBdr>
        <w:top w:val="none" w:sz="0" w:space="0" w:color="auto"/>
        <w:left w:val="none" w:sz="0" w:space="0" w:color="auto"/>
        <w:bottom w:val="none" w:sz="0" w:space="0" w:color="auto"/>
        <w:right w:val="none" w:sz="0" w:space="0" w:color="auto"/>
      </w:divBdr>
      <w:divsChild>
        <w:div w:id="13070668">
          <w:marLeft w:val="547"/>
          <w:marRight w:val="0"/>
          <w:marTop w:val="134"/>
          <w:marBottom w:val="120"/>
          <w:divBdr>
            <w:top w:val="none" w:sz="0" w:space="0" w:color="auto"/>
            <w:left w:val="none" w:sz="0" w:space="0" w:color="auto"/>
            <w:bottom w:val="none" w:sz="0" w:space="0" w:color="auto"/>
            <w:right w:val="none" w:sz="0" w:space="0" w:color="auto"/>
          </w:divBdr>
        </w:div>
      </w:divsChild>
    </w:div>
    <w:div w:id="427582392">
      <w:bodyDiv w:val="1"/>
      <w:marLeft w:val="0"/>
      <w:marRight w:val="0"/>
      <w:marTop w:val="0"/>
      <w:marBottom w:val="0"/>
      <w:divBdr>
        <w:top w:val="none" w:sz="0" w:space="0" w:color="auto"/>
        <w:left w:val="none" w:sz="0" w:space="0" w:color="auto"/>
        <w:bottom w:val="none" w:sz="0" w:space="0" w:color="auto"/>
        <w:right w:val="none" w:sz="0" w:space="0" w:color="auto"/>
      </w:divBdr>
    </w:div>
    <w:div w:id="428429907">
      <w:bodyDiv w:val="1"/>
      <w:marLeft w:val="0"/>
      <w:marRight w:val="0"/>
      <w:marTop w:val="0"/>
      <w:marBottom w:val="0"/>
      <w:divBdr>
        <w:top w:val="none" w:sz="0" w:space="0" w:color="auto"/>
        <w:left w:val="none" w:sz="0" w:space="0" w:color="auto"/>
        <w:bottom w:val="none" w:sz="0" w:space="0" w:color="auto"/>
        <w:right w:val="none" w:sz="0" w:space="0" w:color="auto"/>
      </w:divBdr>
    </w:div>
    <w:div w:id="429552073">
      <w:bodyDiv w:val="1"/>
      <w:marLeft w:val="0"/>
      <w:marRight w:val="0"/>
      <w:marTop w:val="0"/>
      <w:marBottom w:val="0"/>
      <w:divBdr>
        <w:top w:val="none" w:sz="0" w:space="0" w:color="auto"/>
        <w:left w:val="none" w:sz="0" w:space="0" w:color="auto"/>
        <w:bottom w:val="none" w:sz="0" w:space="0" w:color="auto"/>
        <w:right w:val="none" w:sz="0" w:space="0" w:color="auto"/>
      </w:divBdr>
    </w:div>
    <w:div w:id="429661629">
      <w:bodyDiv w:val="1"/>
      <w:marLeft w:val="0"/>
      <w:marRight w:val="0"/>
      <w:marTop w:val="0"/>
      <w:marBottom w:val="0"/>
      <w:divBdr>
        <w:top w:val="none" w:sz="0" w:space="0" w:color="auto"/>
        <w:left w:val="none" w:sz="0" w:space="0" w:color="auto"/>
        <w:bottom w:val="none" w:sz="0" w:space="0" w:color="auto"/>
        <w:right w:val="none" w:sz="0" w:space="0" w:color="auto"/>
      </w:divBdr>
    </w:div>
    <w:div w:id="430782960">
      <w:bodyDiv w:val="1"/>
      <w:marLeft w:val="0"/>
      <w:marRight w:val="0"/>
      <w:marTop w:val="0"/>
      <w:marBottom w:val="0"/>
      <w:divBdr>
        <w:top w:val="none" w:sz="0" w:space="0" w:color="auto"/>
        <w:left w:val="none" w:sz="0" w:space="0" w:color="auto"/>
        <w:bottom w:val="none" w:sz="0" w:space="0" w:color="auto"/>
        <w:right w:val="none" w:sz="0" w:space="0" w:color="auto"/>
      </w:divBdr>
    </w:div>
    <w:div w:id="431167634">
      <w:bodyDiv w:val="1"/>
      <w:marLeft w:val="0"/>
      <w:marRight w:val="0"/>
      <w:marTop w:val="0"/>
      <w:marBottom w:val="0"/>
      <w:divBdr>
        <w:top w:val="none" w:sz="0" w:space="0" w:color="auto"/>
        <w:left w:val="none" w:sz="0" w:space="0" w:color="auto"/>
        <w:bottom w:val="none" w:sz="0" w:space="0" w:color="auto"/>
        <w:right w:val="none" w:sz="0" w:space="0" w:color="auto"/>
      </w:divBdr>
    </w:div>
    <w:div w:id="434055199">
      <w:bodyDiv w:val="1"/>
      <w:marLeft w:val="0"/>
      <w:marRight w:val="0"/>
      <w:marTop w:val="0"/>
      <w:marBottom w:val="0"/>
      <w:divBdr>
        <w:top w:val="none" w:sz="0" w:space="0" w:color="auto"/>
        <w:left w:val="none" w:sz="0" w:space="0" w:color="auto"/>
        <w:bottom w:val="none" w:sz="0" w:space="0" w:color="auto"/>
        <w:right w:val="none" w:sz="0" w:space="0" w:color="auto"/>
      </w:divBdr>
    </w:div>
    <w:div w:id="434059828">
      <w:bodyDiv w:val="1"/>
      <w:marLeft w:val="0"/>
      <w:marRight w:val="0"/>
      <w:marTop w:val="0"/>
      <w:marBottom w:val="0"/>
      <w:divBdr>
        <w:top w:val="none" w:sz="0" w:space="0" w:color="auto"/>
        <w:left w:val="none" w:sz="0" w:space="0" w:color="auto"/>
        <w:bottom w:val="none" w:sz="0" w:space="0" w:color="auto"/>
        <w:right w:val="none" w:sz="0" w:space="0" w:color="auto"/>
      </w:divBdr>
    </w:div>
    <w:div w:id="434520168">
      <w:bodyDiv w:val="1"/>
      <w:marLeft w:val="0"/>
      <w:marRight w:val="0"/>
      <w:marTop w:val="0"/>
      <w:marBottom w:val="0"/>
      <w:divBdr>
        <w:top w:val="none" w:sz="0" w:space="0" w:color="auto"/>
        <w:left w:val="none" w:sz="0" w:space="0" w:color="auto"/>
        <w:bottom w:val="none" w:sz="0" w:space="0" w:color="auto"/>
        <w:right w:val="none" w:sz="0" w:space="0" w:color="auto"/>
      </w:divBdr>
      <w:divsChild>
        <w:div w:id="1015839809">
          <w:marLeft w:val="1166"/>
          <w:marRight w:val="0"/>
          <w:marTop w:val="115"/>
          <w:marBottom w:val="0"/>
          <w:divBdr>
            <w:top w:val="none" w:sz="0" w:space="0" w:color="auto"/>
            <w:left w:val="none" w:sz="0" w:space="0" w:color="auto"/>
            <w:bottom w:val="none" w:sz="0" w:space="0" w:color="auto"/>
            <w:right w:val="none" w:sz="0" w:space="0" w:color="auto"/>
          </w:divBdr>
        </w:div>
        <w:div w:id="1216746120">
          <w:marLeft w:val="547"/>
          <w:marRight w:val="0"/>
          <w:marTop w:val="134"/>
          <w:marBottom w:val="0"/>
          <w:divBdr>
            <w:top w:val="none" w:sz="0" w:space="0" w:color="auto"/>
            <w:left w:val="none" w:sz="0" w:space="0" w:color="auto"/>
            <w:bottom w:val="none" w:sz="0" w:space="0" w:color="auto"/>
            <w:right w:val="none" w:sz="0" w:space="0" w:color="auto"/>
          </w:divBdr>
        </w:div>
        <w:div w:id="1633095450">
          <w:marLeft w:val="1166"/>
          <w:marRight w:val="0"/>
          <w:marTop w:val="115"/>
          <w:marBottom w:val="0"/>
          <w:divBdr>
            <w:top w:val="none" w:sz="0" w:space="0" w:color="auto"/>
            <w:left w:val="none" w:sz="0" w:space="0" w:color="auto"/>
            <w:bottom w:val="none" w:sz="0" w:space="0" w:color="auto"/>
            <w:right w:val="none" w:sz="0" w:space="0" w:color="auto"/>
          </w:divBdr>
        </w:div>
        <w:div w:id="1704864205">
          <w:marLeft w:val="1166"/>
          <w:marRight w:val="0"/>
          <w:marTop w:val="115"/>
          <w:marBottom w:val="0"/>
          <w:divBdr>
            <w:top w:val="none" w:sz="0" w:space="0" w:color="auto"/>
            <w:left w:val="none" w:sz="0" w:space="0" w:color="auto"/>
            <w:bottom w:val="none" w:sz="0" w:space="0" w:color="auto"/>
            <w:right w:val="none" w:sz="0" w:space="0" w:color="auto"/>
          </w:divBdr>
        </w:div>
        <w:div w:id="1846703009">
          <w:marLeft w:val="1800"/>
          <w:marRight w:val="0"/>
          <w:marTop w:val="86"/>
          <w:marBottom w:val="0"/>
          <w:divBdr>
            <w:top w:val="none" w:sz="0" w:space="0" w:color="auto"/>
            <w:left w:val="none" w:sz="0" w:space="0" w:color="auto"/>
            <w:bottom w:val="none" w:sz="0" w:space="0" w:color="auto"/>
            <w:right w:val="none" w:sz="0" w:space="0" w:color="auto"/>
          </w:divBdr>
        </w:div>
        <w:div w:id="1947806576">
          <w:marLeft w:val="1800"/>
          <w:marRight w:val="0"/>
          <w:marTop w:val="86"/>
          <w:marBottom w:val="0"/>
          <w:divBdr>
            <w:top w:val="none" w:sz="0" w:space="0" w:color="auto"/>
            <w:left w:val="none" w:sz="0" w:space="0" w:color="auto"/>
            <w:bottom w:val="none" w:sz="0" w:space="0" w:color="auto"/>
            <w:right w:val="none" w:sz="0" w:space="0" w:color="auto"/>
          </w:divBdr>
        </w:div>
        <w:div w:id="1958758401">
          <w:marLeft w:val="547"/>
          <w:marRight w:val="0"/>
          <w:marTop w:val="134"/>
          <w:marBottom w:val="0"/>
          <w:divBdr>
            <w:top w:val="none" w:sz="0" w:space="0" w:color="auto"/>
            <w:left w:val="none" w:sz="0" w:space="0" w:color="auto"/>
            <w:bottom w:val="none" w:sz="0" w:space="0" w:color="auto"/>
            <w:right w:val="none" w:sz="0" w:space="0" w:color="auto"/>
          </w:divBdr>
        </w:div>
        <w:div w:id="1979333842">
          <w:marLeft w:val="1800"/>
          <w:marRight w:val="0"/>
          <w:marTop w:val="86"/>
          <w:marBottom w:val="0"/>
          <w:divBdr>
            <w:top w:val="none" w:sz="0" w:space="0" w:color="auto"/>
            <w:left w:val="none" w:sz="0" w:space="0" w:color="auto"/>
            <w:bottom w:val="none" w:sz="0" w:space="0" w:color="auto"/>
            <w:right w:val="none" w:sz="0" w:space="0" w:color="auto"/>
          </w:divBdr>
        </w:div>
      </w:divsChild>
    </w:div>
    <w:div w:id="434786135">
      <w:bodyDiv w:val="1"/>
      <w:marLeft w:val="0"/>
      <w:marRight w:val="0"/>
      <w:marTop w:val="0"/>
      <w:marBottom w:val="0"/>
      <w:divBdr>
        <w:top w:val="none" w:sz="0" w:space="0" w:color="auto"/>
        <w:left w:val="none" w:sz="0" w:space="0" w:color="auto"/>
        <w:bottom w:val="none" w:sz="0" w:space="0" w:color="auto"/>
        <w:right w:val="none" w:sz="0" w:space="0" w:color="auto"/>
      </w:divBdr>
    </w:div>
    <w:div w:id="435517717">
      <w:bodyDiv w:val="1"/>
      <w:marLeft w:val="0"/>
      <w:marRight w:val="0"/>
      <w:marTop w:val="0"/>
      <w:marBottom w:val="0"/>
      <w:divBdr>
        <w:top w:val="none" w:sz="0" w:space="0" w:color="auto"/>
        <w:left w:val="none" w:sz="0" w:space="0" w:color="auto"/>
        <w:bottom w:val="none" w:sz="0" w:space="0" w:color="auto"/>
        <w:right w:val="none" w:sz="0" w:space="0" w:color="auto"/>
      </w:divBdr>
    </w:div>
    <w:div w:id="436024941">
      <w:bodyDiv w:val="1"/>
      <w:marLeft w:val="0"/>
      <w:marRight w:val="0"/>
      <w:marTop w:val="0"/>
      <w:marBottom w:val="0"/>
      <w:divBdr>
        <w:top w:val="none" w:sz="0" w:space="0" w:color="auto"/>
        <w:left w:val="none" w:sz="0" w:space="0" w:color="auto"/>
        <w:bottom w:val="none" w:sz="0" w:space="0" w:color="auto"/>
        <w:right w:val="none" w:sz="0" w:space="0" w:color="auto"/>
      </w:divBdr>
    </w:div>
    <w:div w:id="439035094">
      <w:bodyDiv w:val="1"/>
      <w:marLeft w:val="0"/>
      <w:marRight w:val="0"/>
      <w:marTop w:val="0"/>
      <w:marBottom w:val="0"/>
      <w:divBdr>
        <w:top w:val="none" w:sz="0" w:space="0" w:color="auto"/>
        <w:left w:val="none" w:sz="0" w:space="0" w:color="auto"/>
        <w:bottom w:val="none" w:sz="0" w:space="0" w:color="auto"/>
        <w:right w:val="none" w:sz="0" w:space="0" w:color="auto"/>
      </w:divBdr>
    </w:div>
    <w:div w:id="439299574">
      <w:bodyDiv w:val="1"/>
      <w:marLeft w:val="0"/>
      <w:marRight w:val="0"/>
      <w:marTop w:val="0"/>
      <w:marBottom w:val="0"/>
      <w:divBdr>
        <w:top w:val="none" w:sz="0" w:space="0" w:color="auto"/>
        <w:left w:val="none" w:sz="0" w:space="0" w:color="auto"/>
        <w:bottom w:val="none" w:sz="0" w:space="0" w:color="auto"/>
        <w:right w:val="none" w:sz="0" w:space="0" w:color="auto"/>
      </w:divBdr>
    </w:div>
    <w:div w:id="439421649">
      <w:bodyDiv w:val="1"/>
      <w:marLeft w:val="0"/>
      <w:marRight w:val="0"/>
      <w:marTop w:val="0"/>
      <w:marBottom w:val="0"/>
      <w:divBdr>
        <w:top w:val="none" w:sz="0" w:space="0" w:color="auto"/>
        <w:left w:val="none" w:sz="0" w:space="0" w:color="auto"/>
        <w:bottom w:val="none" w:sz="0" w:space="0" w:color="auto"/>
        <w:right w:val="none" w:sz="0" w:space="0" w:color="auto"/>
      </w:divBdr>
    </w:div>
    <w:div w:id="440300876">
      <w:bodyDiv w:val="1"/>
      <w:marLeft w:val="0"/>
      <w:marRight w:val="0"/>
      <w:marTop w:val="0"/>
      <w:marBottom w:val="0"/>
      <w:divBdr>
        <w:top w:val="none" w:sz="0" w:space="0" w:color="auto"/>
        <w:left w:val="none" w:sz="0" w:space="0" w:color="auto"/>
        <w:bottom w:val="none" w:sz="0" w:space="0" w:color="auto"/>
        <w:right w:val="none" w:sz="0" w:space="0" w:color="auto"/>
      </w:divBdr>
    </w:div>
    <w:div w:id="440691077">
      <w:bodyDiv w:val="1"/>
      <w:marLeft w:val="0"/>
      <w:marRight w:val="0"/>
      <w:marTop w:val="0"/>
      <w:marBottom w:val="0"/>
      <w:divBdr>
        <w:top w:val="none" w:sz="0" w:space="0" w:color="auto"/>
        <w:left w:val="none" w:sz="0" w:space="0" w:color="auto"/>
        <w:bottom w:val="none" w:sz="0" w:space="0" w:color="auto"/>
        <w:right w:val="none" w:sz="0" w:space="0" w:color="auto"/>
      </w:divBdr>
    </w:div>
    <w:div w:id="441657207">
      <w:bodyDiv w:val="1"/>
      <w:marLeft w:val="0"/>
      <w:marRight w:val="0"/>
      <w:marTop w:val="0"/>
      <w:marBottom w:val="0"/>
      <w:divBdr>
        <w:top w:val="none" w:sz="0" w:space="0" w:color="auto"/>
        <w:left w:val="none" w:sz="0" w:space="0" w:color="auto"/>
        <w:bottom w:val="none" w:sz="0" w:space="0" w:color="auto"/>
        <w:right w:val="none" w:sz="0" w:space="0" w:color="auto"/>
      </w:divBdr>
    </w:div>
    <w:div w:id="441807042">
      <w:bodyDiv w:val="1"/>
      <w:marLeft w:val="0"/>
      <w:marRight w:val="0"/>
      <w:marTop w:val="0"/>
      <w:marBottom w:val="0"/>
      <w:divBdr>
        <w:top w:val="none" w:sz="0" w:space="0" w:color="auto"/>
        <w:left w:val="none" w:sz="0" w:space="0" w:color="auto"/>
        <w:bottom w:val="none" w:sz="0" w:space="0" w:color="auto"/>
        <w:right w:val="none" w:sz="0" w:space="0" w:color="auto"/>
      </w:divBdr>
    </w:div>
    <w:div w:id="442924226">
      <w:bodyDiv w:val="1"/>
      <w:marLeft w:val="0"/>
      <w:marRight w:val="0"/>
      <w:marTop w:val="0"/>
      <w:marBottom w:val="0"/>
      <w:divBdr>
        <w:top w:val="none" w:sz="0" w:space="0" w:color="auto"/>
        <w:left w:val="none" w:sz="0" w:space="0" w:color="auto"/>
        <w:bottom w:val="none" w:sz="0" w:space="0" w:color="auto"/>
        <w:right w:val="none" w:sz="0" w:space="0" w:color="auto"/>
      </w:divBdr>
    </w:div>
    <w:div w:id="442962341">
      <w:bodyDiv w:val="1"/>
      <w:marLeft w:val="0"/>
      <w:marRight w:val="0"/>
      <w:marTop w:val="0"/>
      <w:marBottom w:val="0"/>
      <w:divBdr>
        <w:top w:val="none" w:sz="0" w:space="0" w:color="auto"/>
        <w:left w:val="none" w:sz="0" w:space="0" w:color="auto"/>
        <w:bottom w:val="none" w:sz="0" w:space="0" w:color="auto"/>
        <w:right w:val="none" w:sz="0" w:space="0" w:color="auto"/>
      </w:divBdr>
    </w:div>
    <w:div w:id="443616321">
      <w:bodyDiv w:val="1"/>
      <w:marLeft w:val="0"/>
      <w:marRight w:val="0"/>
      <w:marTop w:val="0"/>
      <w:marBottom w:val="0"/>
      <w:divBdr>
        <w:top w:val="none" w:sz="0" w:space="0" w:color="auto"/>
        <w:left w:val="none" w:sz="0" w:space="0" w:color="auto"/>
        <w:bottom w:val="none" w:sz="0" w:space="0" w:color="auto"/>
        <w:right w:val="none" w:sz="0" w:space="0" w:color="auto"/>
      </w:divBdr>
      <w:divsChild>
        <w:div w:id="83500794">
          <w:marLeft w:val="1800"/>
          <w:marRight w:val="0"/>
          <w:marTop w:val="91"/>
          <w:marBottom w:val="0"/>
          <w:divBdr>
            <w:top w:val="none" w:sz="0" w:space="0" w:color="auto"/>
            <w:left w:val="none" w:sz="0" w:space="0" w:color="auto"/>
            <w:bottom w:val="none" w:sz="0" w:space="0" w:color="auto"/>
            <w:right w:val="none" w:sz="0" w:space="0" w:color="auto"/>
          </w:divBdr>
        </w:div>
        <w:div w:id="329405852">
          <w:marLeft w:val="1800"/>
          <w:marRight w:val="0"/>
          <w:marTop w:val="91"/>
          <w:marBottom w:val="0"/>
          <w:divBdr>
            <w:top w:val="none" w:sz="0" w:space="0" w:color="auto"/>
            <w:left w:val="none" w:sz="0" w:space="0" w:color="auto"/>
            <w:bottom w:val="none" w:sz="0" w:space="0" w:color="auto"/>
            <w:right w:val="none" w:sz="0" w:space="0" w:color="auto"/>
          </w:divBdr>
        </w:div>
        <w:div w:id="595098519">
          <w:marLeft w:val="2520"/>
          <w:marRight w:val="0"/>
          <w:marTop w:val="77"/>
          <w:marBottom w:val="0"/>
          <w:divBdr>
            <w:top w:val="none" w:sz="0" w:space="0" w:color="auto"/>
            <w:left w:val="none" w:sz="0" w:space="0" w:color="auto"/>
            <w:bottom w:val="none" w:sz="0" w:space="0" w:color="auto"/>
            <w:right w:val="none" w:sz="0" w:space="0" w:color="auto"/>
          </w:divBdr>
        </w:div>
        <w:div w:id="778835750">
          <w:marLeft w:val="1800"/>
          <w:marRight w:val="0"/>
          <w:marTop w:val="91"/>
          <w:marBottom w:val="0"/>
          <w:divBdr>
            <w:top w:val="none" w:sz="0" w:space="0" w:color="auto"/>
            <w:left w:val="none" w:sz="0" w:space="0" w:color="auto"/>
            <w:bottom w:val="none" w:sz="0" w:space="0" w:color="auto"/>
            <w:right w:val="none" w:sz="0" w:space="0" w:color="auto"/>
          </w:divBdr>
        </w:div>
        <w:div w:id="834490237">
          <w:marLeft w:val="1800"/>
          <w:marRight w:val="0"/>
          <w:marTop w:val="91"/>
          <w:marBottom w:val="0"/>
          <w:divBdr>
            <w:top w:val="none" w:sz="0" w:space="0" w:color="auto"/>
            <w:left w:val="none" w:sz="0" w:space="0" w:color="auto"/>
            <w:bottom w:val="none" w:sz="0" w:space="0" w:color="auto"/>
            <w:right w:val="none" w:sz="0" w:space="0" w:color="auto"/>
          </w:divBdr>
        </w:div>
        <w:div w:id="896554606">
          <w:marLeft w:val="2520"/>
          <w:marRight w:val="0"/>
          <w:marTop w:val="77"/>
          <w:marBottom w:val="0"/>
          <w:divBdr>
            <w:top w:val="none" w:sz="0" w:space="0" w:color="auto"/>
            <w:left w:val="none" w:sz="0" w:space="0" w:color="auto"/>
            <w:bottom w:val="none" w:sz="0" w:space="0" w:color="auto"/>
            <w:right w:val="none" w:sz="0" w:space="0" w:color="auto"/>
          </w:divBdr>
        </w:div>
        <w:div w:id="1215581715">
          <w:marLeft w:val="2520"/>
          <w:marRight w:val="0"/>
          <w:marTop w:val="77"/>
          <w:marBottom w:val="0"/>
          <w:divBdr>
            <w:top w:val="none" w:sz="0" w:space="0" w:color="auto"/>
            <w:left w:val="none" w:sz="0" w:space="0" w:color="auto"/>
            <w:bottom w:val="none" w:sz="0" w:space="0" w:color="auto"/>
            <w:right w:val="none" w:sz="0" w:space="0" w:color="auto"/>
          </w:divBdr>
        </w:div>
        <w:div w:id="1390226403">
          <w:marLeft w:val="2520"/>
          <w:marRight w:val="0"/>
          <w:marTop w:val="77"/>
          <w:marBottom w:val="0"/>
          <w:divBdr>
            <w:top w:val="none" w:sz="0" w:space="0" w:color="auto"/>
            <w:left w:val="none" w:sz="0" w:space="0" w:color="auto"/>
            <w:bottom w:val="none" w:sz="0" w:space="0" w:color="auto"/>
            <w:right w:val="none" w:sz="0" w:space="0" w:color="auto"/>
          </w:divBdr>
        </w:div>
        <w:div w:id="1394039905">
          <w:marLeft w:val="1800"/>
          <w:marRight w:val="0"/>
          <w:marTop w:val="91"/>
          <w:marBottom w:val="0"/>
          <w:divBdr>
            <w:top w:val="none" w:sz="0" w:space="0" w:color="auto"/>
            <w:left w:val="none" w:sz="0" w:space="0" w:color="auto"/>
            <w:bottom w:val="none" w:sz="0" w:space="0" w:color="auto"/>
            <w:right w:val="none" w:sz="0" w:space="0" w:color="auto"/>
          </w:divBdr>
        </w:div>
        <w:div w:id="1711956278">
          <w:marLeft w:val="547"/>
          <w:marRight w:val="0"/>
          <w:marTop w:val="120"/>
          <w:marBottom w:val="0"/>
          <w:divBdr>
            <w:top w:val="none" w:sz="0" w:space="0" w:color="auto"/>
            <w:left w:val="none" w:sz="0" w:space="0" w:color="auto"/>
            <w:bottom w:val="none" w:sz="0" w:space="0" w:color="auto"/>
            <w:right w:val="none" w:sz="0" w:space="0" w:color="auto"/>
          </w:divBdr>
        </w:div>
        <w:div w:id="1750301797">
          <w:marLeft w:val="1800"/>
          <w:marRight w:val="0"/>
          <w:marTop w:val="91"/>
          <w:marBottom w:val="0"/>
          <w:divBdr>
            <w:top w:val="none" w:sz="0" w:space="0" w:color="auto"/>
            <w:left w:val="none" w:sz="0" w:space="0" w:color="auto"/>
            <w:bottom w:val="none" w:sz="0" w:space="0" w:color="auto"/>
            <w:right w:val="none" w:sz="0" w:space="0" w:color="auto"/>
          </w:divBdr>
        </w:div>
        <w:div w:id="1960911495">
          <w:marLeft w:val="2520"/>
          <w:marRight w:val="0"/>
          <w:marTop w:val="77"/>
          <w:marBottom w:val="0"/>
          <w:divBdr>
            <w:top w:val="none" w:sz="0" w:space="0" w:color="auto"/>
            <w:left w:val="none" w:sz="0" w:space="0" w:color="auto"/>
            <w:bottom w:val="none" w:sz="0" w:space="0" w:color="auto"/>
            <w:right w:val="none" w:sz="0" w:space="0" w:color="auto"/>
          </w:divBdr>
        </w:div>
        <w:div w:id="2131195744">
          <w:marLeft w:val="2520"/>
          <w:marRight w:val="0"/>
          <w:marTop w:val="77"/>
          <w:marBottom w:val="0"/>
          <w:divBdr>
            <w:top w:val="none" w:sz="0" w:space="0" w:color="auto"/>
            <w:left w:val="none" w:sz="0" w:space="0" w:color="auto"/>
            <w:bottom w:val="none" w:sz="0" w:space="0" w:color="auto"/>
            <w:right w:val="none" w:sz="0" w:space="0" w:color="auto"/>
          </w:divBdr>
        </w:div>
      </w:divsChild>
    </w:div>
    <w:div w:id="443959859">
      <w:bodyDiv w:val="1"/>
      <w:marLeft w:val="0"/>
      <w:marRight w:val="0"/>
      <w:marTop w:val="0"/>
      <w:marBottom w:val="0"/>
      <w:divBdr>
        <w:top w:val="none" w:sz="0" w:space="0" w:color="auto"/>
        <w:left w:val="none" w:sz="0" w:space="0" w:color="auto"/>
        <w:bottom w:val="none" w:sz="0" w:space="0" w:color="auto"/>
        <w:right w:val="none" w:sz="0" w:space="0" w:color="auto"/>
      </w:divBdr>
    </w:div>
    <w:div w:id="444275554">
      <w:bodyDiv w:val="1"/>
      <w:marLeft w:val="0"/>
      <w:marRight w:val="0"/>
      <w:marTop w:val="0"/>
      <w:marBottom w:val="0"/>
      <w:divBdr>
        <w:top w:val="none" w:sz="0" w:space="0" w:color="auto"/>
        <w:left w:val="none" w:sz="0" w:space="0" w:color="auto"/>
        <w:bottom w:val="none" w:sz="0" w:space="0" w:color="auto"/>
        <w:right w:val="none" w:sz="0" w:space="0" w:color="auto"/>
      </w:divBdr>
    </w:div>
    <w:div w:id="444883540">
      <w:bodyDiv w:val="1"/>
      <w:marLeft w:val="0"/>
      <w:marRight w:val="0"/>
      <w:marTop w:val="0"/>
      <w:marBottom w:val="0"/>
      <w:divBdr>
        <w:top w:val="none" w:sz="0" w:space="0" w:color="auto"/>
        <w:left w:val="none" w:sz="0" w:space="0" w:color="auto"/>
        <w:bottom w:val="none" w:sz="0" w:space="0" w:color="auto"/>
        <w:right w:val="none" w:sz="0" w:space="0" w:color="auto"/>
      </w:divBdr>
    </w:div>
    <w:div w:id="445345372">
      <w:bodyDiv w:val="1"/>
      <w:marLeft w:val="0"/>
      <w:marRight w:val="0"/>
      <w:marTop w:val="0"/>
      <w:marBottom w:val="0"/>
      <w:divBdr>
        <w:top w:val="none" w:sz="0" w:space="0" w:color="auto"/>
        <w:left w:val="none" w:sz="0" w:space="0" w:color="auto"/>
        <w:bottom w:val="none" w:sz="0" w:space="0" w:color="auto"/>
        <w:right w:val="none" w:sz="0" w:space="0" w:color="auto"/>
      </w:divBdr>
    </w:div>
    <w:div w:id="446313377">
      <w:bodyDiv w:val="1"/>
      <w:marLeft w:val="0"/>
      <w:marRight w:val="0"/>
      <w:marTop w:val="0"/>
      <w:marBottom w:val="0"/>
      <w:divBdr>
        <w:top w:val="none" w:sz="0" w:space="0" w:color="auto"/>
        <w:left w:val="none" w:sz="0" w:space="0" w:color="auto"/>
        <w:bottom w:val="none" w:sz="0" w:space="0" w:color="auto"/>
        <w:right w:val="none" w:sz="0" w:space="0" w:color="auto"/>
      </w:divBdr>
    </w:div>
    <w:div w:id="446317263">
      <w:bodyDiv w:val="1"/>
      <w:marLeft w:val="0"/>
      <w:marRight w:val="0"/>
      <w:marTop w:val="0"/>
      <w:marBottom w:val="0"/>
      <w:divBdr>
        <w:top w:val="none" w:sz="0" w:space="0" w:color="auto"/>
        <w:left w:val="none" w:sz="0" w:space="0" w:color="auto"/>
        <w:bottom w:val="none" w:sz="0" w:space="0" w:color="auto"/>
        <w:right w:val="none" w:sz="0" w:space="0" w:color="auto"/>
      </w:divBdr>
      <w:divsChild>
        <w:div w:id="81462346">
          <w:marLeft w:val="547"/>
          <w:marRight w:val="0"/>
          <w:marTop w:val="96"/>
          <w:marBottom w:val="0"/>
          <w:divBdr>
            <w:top w:val="none" w:sz="0" w:space="0" w:color="auto"/>
            <w:left w:val="none" w:sz="0" w:space="0" w:color="auto"/>
            <w:bottom w:val="none" w:sz="0" w:space="0" w:color="auto"/>
            <w:right w:val="none" w:sz="0" w:space="0" w:color="auto"/>
          </w:divBdr>
        </w:div>
      </w:divsChild>
    </w:div>
    <w:div w:id="446581912">
      <w:bodyDiv w:val="1"/>
      <w:marLeft w:val="0"/>
      <w:marRight w:val="0"/>
      <w:marTop w:val="0"/>
      <w:marBottom w:val="0"/>
      <w:divBdr>
        <w:top w:val="none" w:sz="0" w:space="0" w:color="auto"/>
        <w:left w:val="none" w:sz="0" w:space="0" w:color="auto"/>
        <w:bottom w:val="none" w:sz="0" w:space="0" w:color="auto"/>
        <w:right w:val="none" w:sz="0" w:space="0" w:color="auto"/>
      </w:divBdr>
    </w:div>
    <w:div w:id="447359819">
      <w:bodyDiv w:val="1"/>
      <w:marLeft w:val="0"/>
      <w:marRight w:val="0"/>
      <w:marTop w:val="0"/>
      <w:marBottom w:val="0"/>
      <w:divBdr>
        <w:top w:val="none" w:sz="0" w:space="0" w:color="auto"/>
        <w:left w:val="none" w:sz="0" w:space="0" w:color="auto"/>
        <w:bottom w:val="none" w:sz="0" w:space="0" w:color="auto"/>
        <w:right w:val="none" w:sz="0" w:space="0" w:color="auto"/>
      </w:divBdr>
    </w:div>
    <w:div w:id="447772610">
      <w:bodyDiv w:val="1"/>
      <w:marLeft w:val="0"/>
      <w:marRight w:val="0"/>
      <w:marTop w:val="0"/>
      <w:marBottom w:val="0"/>
      <w:divBdr>
        <w:top w:val="none" w:sz="0" w:space="0" w:color="auto"/>
        <w:left w:val="none" w:sz="0" w:space="0" w:color="auto"/>
        <w:bottom w:val="none" w:sz="0" w:space="0" w:color="auto"/>
        <w:right w:val="none" w:sz="0" w:space="0" w:color="auto"/>
      </w:divBdr>
    </w:div>
    <w:div w:id="448858488">
      <w:bodyDiv w:val="1"/>
      <w:marLeft w:val="0"/>
      <w:marRight w:val="0"/>
      <w:marTop w:val="0"/>
      <w:marBottom w:val="0"/>
      <w:divBdr>
        <w:top w:val="none" w:sz="0" w:space="0" w:color="auto"/>
        <w:left w:val="none" w:sz="0" w:space="0" w:color="auto"/>
        <w:bottom w:val="none" w:sz="0" w:space="0" w:color="auto"/>
        <w:right w:val="none" w:sz="0" w:space="0" w:color="auto"/>
      </w:divBdr>
    </w:div>
    <w:div w:id="449055168">
      <w:bodyDiv w:val="1"/>
      <w:marLeft w:val="0"/>
      <w:marRight w:val="0"/>
      <w:marTop w:val="0"/>
      <w:marBottom w:val="0"/>
      <w:divBdr>
        <w:top w:val="none" w:sz="0" w:space="0" w:color="auto"/>
        <w:left w:val="none" w:sz="0" w:space="0" w:color="auto"/>
        <w:bottom w:val="none" w:sz="0" w:space="0" w:color="auto"/>
        <w:right w:val="none" w:sz="0" w:space="0" w:color="auto"/>
      </w:divBdr>
    </w:div>
    <w:div w:id="449709705">
      <w:bodyDiv w:val="1"/>
      <w:marLeft w:val="0"/>
      <w:marRight w:val="0"/>
      <w:marTop w:val="0"/>
      <w:marBottom w:val="0"/>
      <w:divBdr>
        <w:top w:val="none" w:sz="0" w:space="0" w:color="auto"/>
        <w:left w:val="none" w:sz="0" w:space="0" w:color="auto"/>
        <w:bottom w:val="none" w:sz="0" w:space="0" w:color="auto"/>
        <w:right w:val="none" w:sz="0" w:space="0" w:color="auto"/>
      </w:divBdr>
    </w:div>
    <w:div w:id="449713803">
      <w:bodyDiv w:val="1"/>
      <w:marLeft w:val="0"/>
      <w:marRight w:val="0"/>
      <w:marTop w:val="0"/>
      <w:marBottom w:val="0"/>
      <w:divBdr>
        <w:top w:val="none" w:sz="0" w:space="0" w:color="auto"/>
        <w:left w:val="none" w:sz="0" w:space="0" w:color="auto"/>
        <w:bottom w:val="none" w:sz="0" w:space="0" w:color="auto"/>
        <w:right w:val="none" w:sz="0" w:space="0" w:color="auto"/>
      </w:divBdr>
      <w:divsChild>
        <w:div w:id="629097494">
          <w:marLeft w:val="1080"/>
          <w:marRight w:val="0"/>
          <w:marTop w:val="100"/>
          <w:marBottom w:val="0"/>
          <w:divBdr>
            <w:top w:val="none" w:sz="0" w:space="0" w:color="auto"/>
            <w:left w:val="none" w:sz="0" w:space="0" w:color="auto"/>
            <w:bottom w:val="none" w:sz="0" w:space="0" w:color="auto"/>
            <w:right w:val="none" w:sz="0" w:space="0" w:color="auto"/>
          </w:divBdr>
        </w:div>
        <w:div w:id="1021974647">
          <w:marLeft w:val="360"/>
          <w:marRight w:val="0"/>
          <w:marTop w:val="200"/>
          <w:marBottom w:val="0"/>
          <w:divBdr>
            <w:top w:val="none" w:sz="0" w:space="0" w:color="auto"/>
            <w:left w:val="none" w:sz="0" w:space="0" w:color="auto"/>
            <w:bottom w:val="none" w:sz="0" w:space="0" w:color="auto"/>
            <w:right w:val="none" w:sz="0" w:space="0" w:color="auto"/>
          </w:divBdr>
        </w:div>
        <w:div w:id="1444373935">
          <w:marLeft w:val="360"/>
          <w:marRight w:val="0"/>
          <w:marTop w:val="200"/>
          <w:marBottom w:val="0"/>
          <w:divBdr>
            <w:top w:val="none" w:sz="0" w:space="0" w:color="auto"/>
            <w:left w:val="none" w:sz="0" w:space="0" w:color="auto"/>
            <w:bottom w:val="none" w:sz="0" w:space="0" w:color="auto"/>
            <w:right w:val="none" w:sz="0" w:space="0" w:color="auto"/>
          </w:divBdr>
        </w:div>
      </w:divsChild>
    </w:div>
    <w:div w:id="450058419">
      <w:bodyDiv w:val="1"/>
      <w:marLeft w:val="0"/>
      <w:marRight w:val="0"/>
      <w:marTop w:val="0"/>
      <w:marBottom w:val="0"/>
      <w:divBdr>
        <w:top w:val="none" w:sz="0" w:space="0" w:color="auto"/>
        <w:left w:val="none" w:sz="0" w:space="0" w:color="auto"/>
        <w:bottom w:val="none" w:sz="0" w:space="0" w:color="auto"/>
        <w:right w:val="none" w:sz="0" w:space="0" w:color="auto"/>
      </w:divBdr>
      <w:divsChild>
        <w:div w:id="57217982">
          <w:marLeft w:val="1800"/>
          <w:marRight w:val="0"/>
          <w:marTop w:val="67"/>
          <w:marBottom w:val="0"/>
          <w:divBdr>
            <w:top w:val="none" w:sz="0" w:space="0" w:color="auto"/>
            <w:left w:val="none" w:sz="0" w:space="0" w:color="auto"/>
            <w:bottom w:val="none" w:sz="0" w:space="0" w:color="auto"/>
            <w:right w:val="none" w:sz="0" w:space="0" w:color="auto"/>
          </w:divBdr>
        </w:div>
        <w:div w:id="78719129">
          <w:marLeft w:val="1800"/>
          <w:marRight w:val="0"/>
          <w:marTop w:val="67"/>
          <w:marBottom w:val="0"/>
          <w:divBdr>
            <w:top w:val="none" w:sz="0" w:space="0" w:color="auto"/>
            <w:left w:val="none" w:sz="0" w:space="0" w:color="auto"/>
            <w:bottom w:val="none" w:sz="0" w:space="0" w:color="auto"/>
            <w:right w:val="none" w:sz="0" w:space="0" w:color="auto"/>
          </w:divBdr>
        </w:div>
        <w:div w:id="386301188">
          <w:marLeft w:val="1800"/>
          <w:marRight w:val="0"/>
          <w:marTop w:val="67"/>
          <w:marBottom w:val="0"/>
          <w:divBdr>
            <w:top w:val="none" w:sz="0" w:space="0" w:color="auto"/>
            <w:left w:val="none" w:sz="0" w:space="0" w:color="auto"/>
            <w:bottom w:val="none" w:sz="0" w:space="0" w:color="auto"/>
            <w:right w:val="none" w:sz="0" w:space="0" w:color="auto"/>
          </w:divBdr>
        </w:div>
        <w:div w:id="573012684">
          <w:marLeft w:val="547"/>
          <w:marRight w:val="0"/>
          <w:marTop w:val="96"/>
          <w:marBottom w:val="0"/>
          <w:divBdr>
            <w:top w:val="none" w:sz="0" w:space="0" w:color="auto"/>
            <w:left w:val="none" w:sz="0" w:space="0" w:color="auto"/>
            <w:bottom w:val="none" w:sz="0" w:space="0" w:color="auto"/>
            <w:right w:val="none" w:sz="0" w:space="0" w:color="auto"/>
          </w:divBdr>
        </w:div>
        <w:div w:id="581525389">
          <w:marLeft w:val="1166"/>
          <w:marRight w:val="0"/>
          <w:marTop w:val="86"/>
          <w:marBottom w:val="0"/>
          <w:divBdr>
            <w:top w:val="none" w:sz="0" w:space="0" w:color="auto"/>
            <w:left w:val="none" w:sz="0" w:space="0" w:color="auto"/>
            <w:bottom w:val="none" w:sz="0" w:space="0" w:color="auto"/>
            <w:right w:val="none" w:sz="0" w:space="0" w:color="auto"/>
          </w:divBdr>
        </w:div>
        <w:div w:id="967273950">
          <w:marLeft w:val="1166"/>
          <w:marRight w:val="0"/>
          <w:marTop w:val="86"/>
          <w:marBottom w:val="0"/>
          <w:divBdr>
            <w:top w:val="none" w:sz="0" w:space="0" w:color="auto"/>
            <w:left w:val="none" w:sz="0" w:space="0" w:color="auto"/>
            <w:bottom w:val="none" w:sz="0" w:space="0" w:color="auto"/>
            <w:right w:val="none" w:sz="0" w:space="0" w:color="auto"/>
          </w:divBdr>
        </w:div>
        <w:div w:id="987906143">
          <w:marLeft w:val="1800"/>
          <w:marRight w:val="0"/>
          <w:marTop w:val="67"/>
          <w:marBottom w:val="0"/>
          <w:divBdr>
            <w:top w:val="none" w:sz="0" w:space="0" w:color="auto"/>
            <w:left w:val="none" w:sz="0" w:space="0" w:color="auto"/>
            <w:bottom w:val="none" w:sz="0" w:space="0" w:color="auto"/>
            <w:right w:val="none" w:sz="0" w:space="0" w:color="auto"/>
          </w:divBdr>
        </w:div>
        <w:div w:id="1355424427">
          <w:marLeft w:val="2520"/>
          <w:marRight w:val="0"/>
          <w:marTop w:val="67"/>
          <w:marBottom w:val="0"/>
          <w:divBdr>
            <w:top w:val="none" w:sz="0" w:space="0" w:color="auto"/>
            <w:left w:val="none" w:sz="0" w:space="0" w:color="auto"/>
            <w:bottom w:val="none" w:sz="0" w:space="0" w:color="auto"/>
            <w:right w:val="none" w:sz="0" w:space="0" w:color="auto"/>
          </w:divBdr>
        </w:div>
        <w:div w:id="1760365622">
          <w:marLeft w:val="2520"/>
          <w:marRight w:val="0"/>
          <w:marTop w:val="67"/>
          <w:marBottom w:val="0"/>
          <w:divBdr>
            <w:top w:val="none" w:sz="0" w:space="0" w:color="auto"/>
            <w:left w:val="none" w:sz="0" w:space="0" w:color="auto"/>
            <w:bottom w:val="none" w:sz="0" w:space="0" w:color="auto"/>
            <w:right w:val="none" w:sz="0" w:space="0" w:color="auto"/>
          </w:divBdr>
        </w:div>
        <w:div w:id="1931425148">
          <w:marLeft w:val="2520"/>
          <w:marRight w:val="0"/>
          <w:marTop w:val="67"/>
          <w:marBottom w:val="0"/>
          <w:divBdr>
            <w:top w:val="none" w:sz="0" w:space="0" w:color="auto"/>
            <w:left w:val="none" w:sz="0" w:space="0" w:color="auto"/>
            <w:bottom w:val="none" w:sz="0" w:space="0" w:color="auto"/>
            <w:right w:val="none" w:sz="0" w:space="0" w:color="auto"/>
          </w:divBdr>
        </w:div>
        <w:div w:id="1941067329">
          <w:marLeft w:val="547"/>
          <w:marRight w:val="0"/>
          <w:marTop w:val="96"/>
          <w:marBottom w:val="0"/>
          <w:divBdr>
            <w:top w:val="none" w:sz="0" w:space="0" w:color="auto"/>
            <w:left w:val="none" w:sz="0" w:space="0" w:color="auto"/>
            <w:bottom w:val="none" w:sz="0" w:space="0" w:color="auto"/>
            <w:right w:val="none" w:sz="0" w:space="0" w:color="auto"/>
          </w:divBdr>
        </w:div>
        <w:div w:id="1962954032">
          <w:marLeft w:val="1800"/>
          <w:marRight w:val="0"/>
          <w:marTop w:val="67"/>
          <w:marBottom w:val="0"/>
          <w:divBdr>
            <w:top w:val="none" w:sz="0" w:space="0" w:color="auto"/>
            <w:left w:val="none" w:sz="0" w:space="0" w:color="auto"/>
            <w:bottom w:val="none" w:sz="0" w:space="0" w:color="auto"/>
            <w:right w:val="none" w:sz="0" w:space="0" w:color="auto"/>
          </w:divBdr>
        </w:div>
        <w:div w:id="2057315921">
          <w:marLeft w:val="1166"/>
          <w:marRight w:val="0"/>
          <w:marTop w:val="77"/>
          <w:marBottom w:val="0"/>
          <w:divBdr>
            <w:top w:val="none" w:sz="0" w:space="0" w:color="auto"/>
            <w:left w:val="none" w:sz="0" w:space="0" w:color="auto"/>
            <w:bottom w:val="none" w:sz="0" w:space="0" w:color="auto"/>
            <w:right w:val="none" w:sz="0" w:space="0" w:color="auto"/>
          </w:divBdr>
        </w:div>
      </w:divsChild>
    </w:div>
    <w:div w:id="450174223">
      <w:bodyDiv w:val="1"/>
      <w:marLeft w:val="0"/>
      <w:marRight w:val="0"/>
      <w:marTop w:val="0"/>
      <w:marBottom w:val="0"/>
      <w:divBdr>
        <w:top w:val="none" w:sz="0" w:space="0" w:color="auto"/>
        <w:left w:val="none" w:sz="0" w:space="0" w:color="auto"/>
        <w:bottom w:val="none" w:sz="0" w:space="0" w:color="auto"/>
        <w:right w:val="none" w:sz="0" w:space="0" w:color="auto"/>
      </w:divBdr>
    </w:div>
    <w:div w:id="450830697">
      <w:bodyDiv w:val="1"/>
      <w:marLeft w:val="0"/>
      <w:marRight w:val="0"/>
      <w:marTop w:val="0"/>
      <w:marBottom w:val="0"/>
      <w:divBdr>
        <w:top w:val="none" w:sz="0" w:space="0" w:color="auto"/>
        <w:left w:val="none" w:sz="0" w:space="0" w:color="auto"/>
        <w:bottom w:val="none" w:sz="0" w:space="0" w:color="auto"/>
        <w:right w:val="none" w:sz="0" w:space="0" w:color="auto"/>
      </w:divBdr>
      <w:divsChild>
        <w:div w:id="889343423">
          <w:marLeft w:val="547"/>
          <w:marRight w:val="0"/>
          <w:marTop w:val="77"/>
          <w:marBottom w:val="0"/>
          <w:divBdr>
            <w:top w:val="none" w:sz="0" w:space="0" w:color="auto"/>
            <w:left w:val="none" w:sz="0" w:space="0" w:color="auto"/>
            <w:bottom w:val="none" w:sz="0" w:space="0" w:color="auto"/>
            <w:right w:val="none" w:sz="0" w:space="0" w:color="auto"/>
          </w:divBdr>
        </w:div>
        <w:div w:id="2034182598">
          <w:marLeft w:val="1166"/>
          <w:marRight w:val="0"/>
          <w:marTop w:val="58"/>
          <w:marBottom w:val="0"/>
          <w:divBdr>
            <w:top w:val="none" w:sz="0" w:space="0" w:color="auto"/>
            <w:left w:val="none" w:sz="0" w:space="0" w:color="auto"/>
            <w:bottom w:val="none" w:sz="0" w:space="0" w:color="auto"/>
            <w:right w:val="none" w:sz="0" w:space="0" w:color="auto"/>
          </w:divBdr>
        </w:div>
      </w:divsChild>
    </w:div>
    <w:div w:id="451175479">
      <w:bodyDiv w:val="1"/>
      <w:marLeft w:val="0"/>
      <w:marRight w:val="0"/>
      <w:marTop w:val="0"/>
      <w:marBottom w:val="0"/>
      <w:divBdr>
        <w:top w:val="none" w:sz="0" w:space="0" w:color="auto"/>
        <w:left w:val="none" w:sz="0" w:space="0" w:color="auto"/>
        <w:bottom w:val="none" w:sz="0" w:space="0" w:color="auto"/>
        <w:right w:val="none" w:sz="0" w:space="0" w:color="auto"/>
      </w:divBdr>
    </w:div>
    <w:div w:id="451285557">
      <w:bodyDiv w:val="1"/>
      <w:marLeft w:val="0"/>
      <w:marRight w:val="0"/>
      <w:marTop w:val="0"/>
      <w:marBottom w:val="0"/>
      <w:divBdr>
        <w:top w:val="none" w:sz="0" w:space="0" w:color="auto"/>
        <w:left w:val="none" w:sz="0" w:space="0" w:color="auto"/>
        <w:bottom w:val="none" w:sz="0" w:space="0" w:color="auto"/>
        <w:right w:val="none" w:sz="0" w:space="0" w:color="auto"/>
      </w:divBdr>
      <w:divsChild>
        <w:div w:id="206644768">
          <w:marLeft w:val="1800"/>
          <w:marRight w:val="0"/>
          <w:marTop w:val="100"/>
          <w:marBottom w:val="0"/>
          <w:divBdr>
            <w:top w:val="none" w:sz="0" w:space="0" w:color="auto"/>
            <w:left w:val="none" w:sz="0" w:space="0" w:color="auto"/>
            <w:bottom w:val="none" w:sz="0" w:space="0" w:color="auto"/>
            <w:right w:val="none" w:sz="0" w:space="0" w:color="auto"/>
          </w:divBdr>
        </w:div>
        <w:div w:id="2096438419">
          <w:marLeft w:val="1080"/>
          <w:marRight w:val="0"/>
          <w:marTop w:val="100"/>
          <w:marBottom w:val="0"/>
          <w:divBdr>
            <w:top w:val="none" w:sz="0" w:space="0" w:color="auto"/>
            <w:left w:val="none" w:sz="0" w:space="0" w:color="auto"/>
            <w:bottom w:val="none" w:sz="0" w:space="0" w:color="auto"/>
            <w:right w:val="none" w:sz="0" w:space="0" w:color="auto"/>
          </w:divBdr>
        </w:div>
      </w:divsChild>
    </w:div>
    <w:div w:id="452288023">
      <w:bodyDiv w:val="1"/>
      <w:marLeft w:val="0"/>
      <w:marRight w:val="0"/>
      <w:marTop w:val="0"/>
      <w:marBottom w:val="0"/>
      <w:divBdr>
        <w:top w:val="none" w:sz="0" w:space="0" w:color="auto"/>
        <w:left w:val="none" w:sz="0" w:space="0" w:color="auto"/>
        <w:bottom w:val="none" w:sz="0" w:space="0" w:color="auto"/>
        <w:right w:val="none" w:sz="0" w:space="0" w:color="auto"/>
      </w:divBdr>
      <w:divsChild>
        <w:div w:id="257717121">
          <w:marLeft w:val="1166"/>
          <w:marRight w:val="0"/>
          <w:marTop w:val="125"/>
          <w:marBottom w:val="0"/>
          <w:divBdr>
            <w:top w:val="none" w:sz="0" w:space="0" w:color="auto"/>
            <w:left w:val="none" w:sz="0" w:space="0" w:color="auto"/>
            <w:bottom w:val="none" w:sz="0" w:space="0" w:color="auto"/>
            <w:right w:val="none" w:sz="0" w:space="0" w:color="auto"/>
          </w:divBdr>
        </w:div>
        <w:div w:id="382870695">
          <w:marLeft w:val="2520"/>
          <w:marRight w:val="0"/>
          <w:marTop w:val="91"/>
          <w:marBottom w:val="0"/>
          <w:divBdr>
            <w:top w:val="none" w:sz="0" w:space="0" w:color="auto"/>
            <w:left w:val="none" w:sz="0" w:space="0" w:color="auto"/>
            <w:bottom w:val="none" w:sz="0" w:space="0" w:color="auto"/>
            <w:right w:val="none" w:sz="0" w:space="0" w:color="auto"/>
          </w:divBdr>
        </w:div>
        <w:div w:id="450713272">
          <w:marLeft w:val="2520"/>
          <w:marRight w:val="0"/>
          <w:marTop w:val="91"/>
          <w:marBottom w:val="0"/>
          <w:divBdr>
            <w:top w:val="none" w:sz="0" w:space="0" w:color="auto"/>
            <w:left w:val="none" w:sz="0" w:space="0" w:color="auto"/>
            <w:bottom w:val="none" w:sz="0" w:space="0" w:color="auto"/>
            <w:right w:val="none" w:sz="0" w:space="0" w:color="auto"/>
          </w:divBdr>
        </w:div>
        <w:div w:id="464274253">
          <w:marLeft w:val="547"/>
          <w:marRight w:val="0"/>
          <w:marTop w:val="144"/>
          <w:marBottom w:val="0"/>
          <w:divBdr>
            <w:top w:val="none" w:sz="0" w:space="0" w:color="auto"/>
            <w:left w:val="none" w:sz="0" w:space="0" w:color="auto"/>
            <w:bottom w:val="none" w:sz="0" w:space="0" w:color="auto"/>
            <w:right w:val="none" w:sz="0" w:space="0" w:color="auto"/>
          </w:divBdr>
        </w:div>
        <w:div w:id="985477154">
          <w:marLeft w:val="1800"/>
          <w:marRight w:val="0"/>
          <w:marTop w:val="106"/>
          <w:marBottom w:val="0"/>
          <w:divBdr>
            <w:top w:val="none" w:sz="0" w:space="0" w:color="auto"/>
            <w:left w:val="none" w:sz="0" w:space="0" w:color="auto"/>
            <w:bottom w:val="none" w:sz="0" w:space="0" w:color="auto"/>
            <w:right w:val="none" w:sz="0" w:space="0" w:color="auto"/>
          </w:divBdr>
        </w:div>
        <w:div w:id="1571186965">
          <w:marLeft w:val="1800"/>
          <w:marRight w:val="0"/>
          <w:marTop w:val="106"/>
          <w:marBottom w:val="0"/>
          <w:divBdr>
            <w:top w:val="none" w:sz="0" w:space="0" w:color="auto"/>
            <w:left w:val="none" w:sz="0" w:space="0" w:color="auto"/>
            <w:bottom w:val="none" w:sz="0" w:space="0" w:color="auto"/>
            <w:right w:val="none" w:sz="0" w:space="0" w:color="auto"/>
          </w:divBdr>
        </w:div>
        <w:div w:id="2056927620">
          <w:marLeft w:val="2520"/>
          <w:marRight w:val="0"/>
          <w:marTop w:val="91"/>
          <w:marBottom w:val="0"/>
          <w:divBdr>
            <w:top w:val="none" w:sz="0" w:space="0" w:color="auto"/>
            <w:left w:val="none" w:sz="0" w:space="0" w:color="auto"/>
            <w:bottom w:val="none" w:sz="0" w:space="0" w:color="auto"/>
            <w:right w:val="none" w:sz="0" w:space="0" w:color="auto"/>
          </w:divBdr>
        </w:div>
      </w:divsChild>
    </w:div>
    <w:div w:id="452869198">
      <w:bodyDiv w:val="1"/>
      <w:marLeft w:val="0"/>
      <w:marRight w:val="0"/>
      <w:marTop w:val="0"/>
      <w:marBottom w:val="0"/>
      <w:divBdr>
        <w:top w:val="none" w:sz="0" w:space="0" w:color="auto"/>
        <w:left w:val="none" w:sz="0" w:space="0" w:color="auto"/>
        <w:bottom w:val="none" w:sz="0" w:space="0" w:color="auto"/>
        <w:right w:val="none" w:sz="0" w:space="0" w:color="auto"/>
      </w:divBdr>
    </w:div>
    <w:div w:id="454176226">
      <w:bodyDiv w:val="1"/>
      <w:marLeft w:val="0"/>
      <w:marRight w:val="0"/>
      <w:marTop w:val="0"/>
      <w:marBottom w:val="0"/>
      <w:divBdr>
        <w:top w:val="none" w:sz="0" w:space="0" w:color="auto"/>
        <w:left w:val="none" w:sz="0" w:space="0" w:color="auto"/>
        <w:bottom w:val="none" w:sz="0" w:space="0" w:color="auto"/>
        <w:right w:val="none" w:sz="0" w:space="0" w:color="auto"/>
      </w:divBdr>
    </w:div>
    <w:div w:id="454254271">
      <w:bodyDiv w:val="1"/>
      <w:marLeft w:val="0"/>
      <w:marRight w:val="0"/>
      <w:marTop w:val="0"/>
      <w:marBottom w:val="0"/>
      <w:divBdr>
        <w:top w:val="none" w:sz="0" w:space="0" w:color="auto"/>
        <w:left w:val="none" w:sz="0" w:space="0" w:color="auto"/>
        <w:bottom w:val="none" w:sz="0" w:space="0" w:color="auto"/>
        <w:right w:val="none" w:sz="0" w:space="0" w:color="auto"/>
      </w:divBdr>
    </w:div>
    <w:div w:id="455294106">
      <w:bodyDiv w:val="1"/>
      <w:marLeft w:val="0"/>
      <w:marRight w:val="0"/>
      <w:marTop w:val="0"/>
      <w:marBottom w:val="0"/>
      <w:divBdr>
        <w:top w:val="none" w:sz="0" w:space="0" w:color="auto"/>
        <w:left w:val="none" w:sz="0" w:space="0" w:color="auto"/>
        <w:bottom w:val="none" w:sz="0" w:space="0" w:color="auto"/>
        <w:right w:val="none" w:sz="0" w:space="0" w:color="auto"/>
      </w:divBdr>
      <w:divsChild>
        <w:div w:id="52656421">
          <w:marLeft w:val="720"/>
          <w:marRight w:val="0"/>
          <w:marTop w:val="0"/>
          <w:marBottom w:val="0"/>
          <w:divBdr>
            <w:top w:val="none" w:sz="0" w:space="0" w:color="auto"/>
            <w:left w:val="none" w:sz="0" w:space="0" w:color="auto"/>
            <w:bottom w:val="none" w:sz="0" w:space="0" w:color="auto"/>
            <w:right w:val="none" w:sz="0" w:space="0" w:color="auto"/>
          </w:divBdr>
        </w:div>
        <w:div w:id="420219254">
          <w:marLeft w:val="1440"/>
          <w:marRight w:val="0"/>
          <w:marTop w:val="0"/>
          <w:marBottom w:val="0"/>
          <w:divBdr>
            <w:top w:val="none" w:sz="0" w:space="0" w:color="auto"/>
            <w:left w:val="none" w:sz="0" w:space="0" w:color="auto"/>
            <w:bottom w:val="none" w:sz="0" w:space="0" w:color="auto"/>
            <w:right w:val="none" w:sz="0" w:space="0" w:color="auto"/>
          </w:divBdr>
        </w:div>
        <w:div w:id="524444471">
          <w:marLeft w:val="1440"/>
          <w:marRight w:val="0"/>
          <w:marTop w:val="0"/>
          <w:marBottom w:val="0"/>
          <w:divBdr>
            <w:top w:val="none" w:sz="0" w:space="0" w:color="auto"/>
            <w:left w:val="none" w:sz="0" w:space="0" w:color="auto"/>
            <w:bottom w:val="none" w:sz="0" w:space="0" w:color="auto"/>
            <w:right w:val="none" w:sz="0" w:space="0" w:color="auto"/>
          </w:divBdr>
        </w:div>
        <w:div w:id="933586079">
          <w:marLeft w:val="720"/>
          <w:marRight w:val="0"/>
          <w:marTop w:val="0"/>
          <w:marBottom w:val="0"/>
          <w:divBdr>
            <w:top w:val="none" w:sz="0" w:space="0" w:color="auto"/>
            <w:left w:val="none" w:sz="0" w:space="0" w:color="auto"/>
            <w:bottom w:val="none" w:sz="0" w:space="0" w:color="auto"/>
            <w:right w:val="none" w:sz="0" w:space="0" w:color="auto"/>
          </w:divBdr>
        </w:div>
        <w:div w:id="1103113692">
          <w:marLeft w:val="2160"/>
          <w:marRight w:val="0"/>
          <w:marTop w:val="0"/>
          <w:marBottom w:val="0"/>
          <w:divBdr>
            <w:top w:val="none" w:sz="0" w:space="0" w:color="auto"/>
            <w:left w:val="none" w:sz="0" w:space="0" w:color="auto"/>
            <w:bottom w:val="none" w:sz="0" w:space="0" w:color="auto"/>
            <w:right w:val="none" w:sz="0" w:space="0" w:color="auto"/>
          </w:divBdr>
        </w:div>
        <w:div w:id="1227642040">
          <w:marLeft w:val="2160"/>
          <w:marRight w:val="0"/>
          <w:marTop w:val="0"/>
          <w:marBottom w:val="0"/>
          <w:divBdr>
            <w:top w:val="none" w:sz="0" w:space="0" w:color="auto"/>
            <w:left w:val="none" w:sz="0" w:space="0" w:color="auto"/>
            <w:bottom w:val="none" w:sz="0" w:space="0" w:color="auto"/>
            <w:right w:val="none" w:sz="0" w:space="0" w:color="auto"/>
          </w:divBdr>
        </w:div>
        <w:div w:id="1327049198">
          <w:marLeft w:val="2160"/>
          <w:marRight w:val="0"/>
          <w:marTop w:val="0"/>
          <w:marBottom w:val="0"/>
          <w:divBdr>
            <w:top w:val="none" w:sz="0" w:space="0" w:color="auto"/>
            <w:left w:val="none" w:sz="0" w:space="0" w:color="auto"/>
            <w:bottom w:val="none" w:sz="0" w:space="0" w:color="auto"/>
            <w:right w:val="none" w:sz="0" w:space="0" w:color="auto"/>
          </w:divBdr>
        </w:div>
        <w:div w:id="1424643928">
          <w:marLeft w:val="2160"/>
          <w:marRight w:val="0"/>
          <w:marTop w:val="0"/>
          <w:marBottom w:val="0"/>
          <w:divBdr>
            <w:top w:val="none" w:sz="0" w:space="0" w:color="auto"/>
            <w:left w:val="none" w:sz="0" w:space="0" w:color="auto"/>
            <w:bottom w:val="none" w:sz="0" w:space="0" w:color="auto"/>
            <w:right w:val="none" w:sz="0" w:space="0" w:color="auto"/>
          </w:divBdr>
        </w:div>
        <w:div w:id="1438867834">
          <w:marLeft w:val="720"/>
          <w:marRight w:val="0"/>
          <w:marTop w:val="0"/>
          <w:marBottom w:val="0"/>
          <w:divBdr>
            <w:top w:val="none" w:sz="0" w:space="0" w:color="auto"/>
            <w:left w:val="none" w:sz="0" w:space="0" w:color="auto"/>
            <w:bottom w:val="none" w:sz="0" w:space="0" w:color="auto"/>
            <w:right w:val="none" w:sz="0" w:space="0" w:color="auto"/>
          </w:divBdr>
        </w:div>
        <w:div w:id="1725367143">
          <w:marLeft w:val="1440"/>
          <w:marRight w:val="0"/>
          <w:marTop w:val="0"/>
          <w:marBottom w:val="0"/>
          <w:divBdr>
            <w:top w:val="none" w:sz="0" w:space="0" w:color="auto"/>
            <w:left w:val="none" w:sz="0" w:space="0" w:color="auto"/>
            <w:bottom w:val="none" w:sz="0" w:space="0" w:color="auto"/>
            <w:right w:val="none" w:sz="0" w:space="0" w:color="auto"/>
          </w:divBdr>
        </w:div>
        <w:div w:id="1885408757">
          <w:marLeft w:val="2160"/>
          <w:marRight w:val="0"/>
          <w:marTop w:val="0"/>
          <w:marBottom w:val="0"/>
          <w:divBdr>
            <w:top w:val="none" w:sz="0" w:space="0" w:color="auto"/>
            <w:left w:val="none" w:sz="0" w:space="0" w:color="auto"/>
            <w:bottom w:val="none" w:sz="0" w:space="0" w:color="auto"/>
            <w:right w:val="none" w:sz="0" w:space="0" w:color="auto"/>
          </w:divBdr>
        </w:div>
        <w:div w:id="1902599118">
          <w:marLeft w:val="1440"/>
          <w:marRight w:val="0"/>
          <w:marTop w:val="0"/>
          <w:marBottom w:val="0"/>
          <w:divBdr>
            <w:top w:val="none" w:sz="0" w:space="0" w:color="auto"/>
            <w:left w:val="none" w:sz="0" w:space="0" w:color="auto"/>
            <w:bottom w:val="none" w:sz="0" w:space="0" w:color="auto"/>
            <w:right w:val="none" w:sz="0" w:space="0" w:color="auto"/>
          </w:divBdr>
        </w:div>
        <w:div w:id="2012828219">
          <w:marLeft w:val="2160"/>
          <w:marRight w:val="0"/>
          <w:marTop w:val="0"/>
          <w:marBottom w:val="0"/>
          <w:divBdr>
            <w:top w:val="none" w:sz="0" w:space="0" w:color="auto"/>
            <w:left w:val="none" w:sz="0" w:space="0" w:color="auto"/>
            <w:bottom w:val="none" w:sz="0" w:space="0" w:color="auto"/>
            <w:right w:val="none" w:sz="0" w:space="0" w:color="auto"/>
          </w:divBdr>
        </w:div>
      </w:divsChild>
    </w:div>
    <w:div w:id="455493119">
      <w:bodyDiv w:val="1"/>
      <w:marLeft w:val="0"/>
      <w:marRight w:val="0"/>
      <w:marTop w:val="0"/>
      <w:marBottom w:val="0"/>
      <w:divBdr>
        <w:top w:val="none" w:sz="0" w:space="0" w:color="auto"/>
        <w:left w:val="none" w:sz="0" w:space="0" w:color="auto"/>
        <w:bottom w:val="none" w:sz="0" w:space="0" w:color="auto"/>
        <w:right w:val="none" w:sz="0" w:space="0" w:color="auto"/>
      </w:divBdr>
    </w:div>
    <w:div w:id="457454202">
      <w:bodyDiv w:val="1"/>
      <w:marLeft w:val="0"/>
      <w:marRight w:val="0"/>
      <w:marTop w:val="0"/>
      <w:marBottom w:val="0"/>
      <w:divBdr>
        <w:top w:val="none" w:sz="0" w:space="0" w:color="auto"/>
        <w:left w:val="none" w:sz="0" w:space="0" w:color="auto"/>
        <w:bottom w:val="none" w:sz="0" w:space="0" w:color="auto"/>
        <w:right w:val="none" w:sz="0" w:space="0" w:color="auto"/>
      </w:divBdr>
    </w:div>
    <w:div w:id="457652797">
      <w:bodyDiv w:val="1"/>
      <w:marLeft w:val="0"/>
      <w:marRight w:val="0"/>
      <w:marTop w:val="0"/>
      <w:marBottom w:val="0"/>
      <w:divBdr>
        <w:top w:val="none" w:sz="0" w:space="0" w:color="auto"/>
        <w:left w:val="none" w:sz="0" w:space="0" w:color="auto"/>
        <w:bottom w:val="none" w:sz="0" w:space="0" w:color="auto"/>
        <w:right w:val="none" w:sz="0" w:space="0" w:color="auto"/>
      </w:divBdr>
    </w:div>
    <w:div w:id="457996676">
      <w:bodyDiv w:val="1"/>
      <w:marLeft w:val="0"/>
      <w:marRight w:val="0"/>
      <w:marTop w:val="0"/>
      <w:marBottom w:val="0"/>
      <w:divBdr>
        <w:top w:val="none" w:sz="0" w:space="0" w:color="auto"/>
        <w:left w:val="none" w:sz="0" w:space="0" w:color="auto"/>
        <w:bottom w:val="none" w:sz="0" w:space="0" w:color="auto"/>
        <w:right w:val="none" w:sz="0" w:space="0" w:color="auto"/>
      </w:divBdr>
    </w:div>
    <w:div w:id="459962723">
      <w:bodyDiv w:val="1"/>
      <w:marLeft w:val="0"/>
      <w:marRight w:val="0"/>
      <w:marTop w:val="0"/>
      <w:marBottom w:val="0"/>
      <w:divBdr>
        <w:top w:val="none" w:sz="0" w:space="0" w:color="auto"/>
        <w:left w:val="none" w:sz="0" w:space="0" w:color="auto"/>
        <w:bottom w:val="none" w:sz="0" w:space="0" w:color="auto"/>
        <w:right w:val="none" w:sz="0" w:space="0" w:color="auto"/>
      </w:divBdr>
    </w:div>
    <w:div w:id="460073432">
      <w:bodyDiv w:val="1"/>
      <w:marLeft w:val="0"/>
      <w:marRight w:val="0"/>
      <w:marTop w:val="0"/>
      <w:marBottom w:val="0"/>
      <w:divBdr>
        <w:top w:val="none" w:sz="0" w:space="0" w:color="auto"/>
        <w:left w:val="none" w:sz="0" w:space="0" w:color="auto"/>
        <w:bottom w:val="none" w:sz="0" w:space="0" w:color="auto"/>
        <w:right w:val="none" w:sz="0" w:space="0" w:color="auto"/>
      </w:divBdr>
    </w:div>
    <w:div w:id="460342359">
      <w:bodyDiv w:val="1"/>
      <w:marLeft w:val="0"/>
      <w:marRight w:val="0"/>
      <w:marTop w:val="0"/>
      <w:marBottom w:val="0"/>
      <w:divBdr>
        <w:top w:val="none" w:sz="0" w:space="0" w:color="auto"/>
        <w:left w:val="none" w:sz="0" w:space="0" w:color="auto"/>
        <w:bottom w:val="none" w:sz="0" w:space="0" w:color="auto"/>
        <w:right w:val="none" w:sz="0" w:space="0" w:color="auto"/>
      </w:divBdr>
    </w:div>
    <w:div w:id="461196968">
      <w:bodyDiv w:val="1"/>
      <w:marLeft w:val="0"/>
      <w:marRight w:val="0"/>
      <w:marTop w:val="0"/>
      <w:marBottom w:val="0"/>
      <w:divBdr>
        <w:top w:val="none" w:sz="0" w:space="0" w:color="auto"/>
        <w:left w:val="none" w:sz="0" w:space="0" w:color="auto"/>
        <w:bottom w:val="none" w:sz="0" w:space="0" w:color="auto"/>
        <w:right w:val="none" w:sz="0" w:space="0" w:color="auto"/>
      </w:divBdr>
      <w:divsChild>
        <w:div w:id="84570675">
          <w:marLeft w:val="1080"/>
          <w:marRight w:val="0"/>
          <w:marTop w:val="100"/>
          <w:marBottom w:val="0"/>
          <w:divBdr>
            <w:top w:val="none" w:sz="0" w:space="0" w:color="auto"/>
            <w:left w:val="none" w:sz="0" w:space="0" w:color="auto"/>
            <w:bottom w:val="none" w:sz="0" w:space="0" w:color="auto"/>
            <w:right w:val="none" w:sz="0" w:space="0" w:color="auto"/>
          </w:divBdr>
        </w:div>
        <w:div w:id="1697195811">
          <w:marLeft w:val="360"/>
          <w:marRight w:val="0"/>
          <w:marTop w:val="200"/>
          <w:marBottom w:val="0"/>
          <w:divBdr>
            <w:top w:val="none" w:sz="0" w:space="0" w:color="auto"/>
            <w:left w:val="none" w:sz="0" w:space="0" w:color="auto"/>
            <w:bottom w:val="none" w:sz="0" w:space="0" w:color="auto"/>
            <w:right w:val="none" w:sz="0" w:space="0" w:color="auto"/>
          </w:divBdr>
        </w:div>
        <w:div w:id="1741900285">
          <w:marLeft w:val="1080"/>
          <w:marRight w:val="0"/>
          <w:marTop w:val="100"/>
          <w:marBottom w:val="0"/>
          <w:divBdr>
            <w:top w:val="none" w:sz="0" w:space="0" w:color="auto"/>
            <w:left w:val="none" w:sz="0" w:space="0" w:color="auto"/>
            <w:bottom w:val="none" w:sz="0" w:space="0" w:color="auto"/>
            <w:right w:val="none" w:sz="0" w:space="0" w:color="auto"/>
          </w:divBdr>
        </w:div>
        <w:div w:id="1775589245">
          <w:marLeft w:val="360"/>
          <w:marRight w:val="0"/>
          <w:marTop w:val="200"/>
          <w:marBottom w:val="0"/>
          <w:divBdr>
            <w:top w:val="none" w:sz="0" w:space="0" w:color="auto"/>
            <w:left w:val="none" w:sz="0" w:space="0" w:color="auto"/>
            <w:bottom w:val="none" w:sz="0" w:space="0" w:color="auto"/>
            <w:right w:val="none" w:sz="0" w:space="0" w:color="auto"/>
          </w:divBdr>
        </w:div>
        <w:div w:id="1824854362">
          <w:marLeft w:val="1800"/>
          <w:marRight w:val="0"/>
          <w:marTop w:val="100"/>
          <w:marBottom w:val="0"/>
          <w:divBdr>
            <w:top w:val="none" w:sz="0" w:space="0" w:color="auto"/>
            <w:left w:val="none" w:sz="0" w:space="0" w:color="auto"/>
            <w:bottom w:val="none" w:sz="0" w:space="0" w:color="auto"/>
            <w:right w:val="none" w:sz="0" w:space="0" w:color="auto"/>
          </w:divBdr>
        </w:div>
        <w:div w:id="1931113219">
          <w:marLeft w:val="1080"/>
          <w:marRight w:val="0"/>
          <w:marTop w:val="100"/>
          <w:marBottom w:val="0"/>
          <w:divBdr>
            <w:top w:val="none" w:sz="0" w:space="0" w:color="auto"/>
            <w:left w:val="none" w:sz="0" w:space="0" w:color="auto"/>
            <w:bottom w:val="none" w:sz="0" w:space="0" w:color="auto"/>
            <w:right w:val="none" w:sz="0" w:space="0" w:color="auto"/>
          </w:divBdr>
        </w:div>
      </w:divsChild>
    </w:div>
    <w:div w:id="462507356">
      <w:bodyDiv w:val="1"/>
      <w:marLeft w:val="0"/>
      <w:marRight w:val="0"/>
      <w:marTop w:val="0"/>
      <w:marBottom w:val="0"/>
      <w:divBdr>
        <w:top w:val="none" w:sz="0" w:space="0" w:color="auto"/>
        <w:left w:val="none" w:sz="0" w:space="0" w:color="auto"/>
        <w:bottom w:val="none" w:sz="0" w:space="0" w:color="auto"/>
        <w:right w:val="none" w:sz="0" w:space="0" w:color="auto"/>
      </w:divBdr>
    </w:div>
    <w:div w:id="462966201">
      <w:bodyDiv w:val="1"/>
      <w:marLeft w:val="0"/>
      <w:marRight w:val="0"/>
      <w:marTop w:val="0"/>
      <w:marBottom w:val="0"/>
      <w:divBdr>
        <w:top w:val="none" w:sz="0" w:space="0" w:color="auto"/>
        <w:left w:val="none" w:sz="0" w:space="0" w:color="auto"/>
        <w:bottom w:val="none" w:sz="0" w:space="0" w:color="auto"/>
        <w:right w:val="none" w:sz="0" w:space="0" w:color="auto"/>
      </w:divBdr>
    </w:div>
    <w:div w:id="463423480">
      <w:bodyDiv w:val="1"/>
      <w:marLeft w:val="0"/>
      <w:marRight w:val="0"/>
      <w:marTop w:val="0"/>
      <w:marBottom w:val="0"/>
      <w:divBdr>
        <w:top w:val="none" w:sz="0" w:space="0" w:color="auto"/>
        <w:left w:val="none" w:sz="0" w:space="0" w:color="auto"/>
        <w:bottom w:val="none" w:sz="0" w:space="0" w:color="auto"/>
        <w:right w:val="none" w:sz="0" w:space="0" w:color="auto"/>
      </w:divBdr>
      <w:divsChild>
        <w:div w:id="250968571">
          <w:marLeft w:val="547"/>
          <w:marRight w:val="0"/>
          <w:marTop w:val="0"/>
          <w:marBottom w:val="120"/>
          <w:divBdr>
            <w:top w:val="none" w:sz="0" w:space="0" w:color="auto"/>
            <w:left w:val="none" w:sz="0" w:space="0" w:color="auto"/>
            <w:bottom w:val="none" w:sz="0" w:space="0" w:color="auto"/>
            <w:right w:val="none" w:sz="0" w:space="0" w:color="auto"/>
          </w:divBdr>
        </w:div>
        <w:div w:id="625550611">
          <w:marLeft w:val="547"/>
          <w:marRight w:val="0"/>
          <w:marTop w:val="0"/>
          <w:marBottom w:val="120"/>
          <w:divBdr>
            <w:top w:val="none" w:sz="0" w:space="0" w:color="auto"/>
            <w:left w:val="none" w:sz="0" w:space="0" w:color="auto"/>
            <w:bottom w:val="none" w:sz="0" w:space="0" w:color="auto"/>
            <w:right w:val="none" w:sz="0" w:space="0" w:color="auto"/>
          </w:divBdr>
        </w:div>
        <w:div w:id="1161316880">
          <w:marLeft w:val="1166"/>
          <w:marRight w:val="0"/>
          <w:marTop w:val="0"/>
          <w:marBottom w:val="120"/>
          <w:divBdr>
            <w:top w:val="none" w:sz="0" w:space="0" w:color="auto"/>
            <w:left w:val="none" w:sz="0" w:space="0" w:color="auto"/>
            <w:bottom w:val="none" w:sz="0" w:space="0" w:color="auto"/>
            <w:right w:val="none" w:sz="0" w:space="0" w:color="auto"/>
          </w:divBdr>
        </w:div>
        <w:div w:id="1486508806">
          <w:marLeft w:val="547"/>
          <w:marRight w:val="0"/>
          <w:marTop w:val="0"/>
          <w:marBottom w:val="120"/>
          <w:divBdr>
            <w:top w:val="none" w:sz="0" w:space="0" w:color="auto"/>
            <w:left w:val="none" w:sz="0" w:space="0" w:color="auto"/>
            <w:bottom w:val="none" w:sz="0" w:space="0" w:color="auto"/>
            <w:right w:val="none" w:sz="0" w:space="0" w:color="auto"/>
          </w:divBdr>
        </w:div>
        <w:div w:id="1584534562">
          <w:marLeft w:val="1166"/>
          <w:marRight w:val="0"/>
          <w:marTop w:val="0"/>
          <w:marBottom w:val="120"/>
          <w:divBdr>
            <w:top w:val="none" w:sz="0" w:space="0" w:color="auto"/>
            <w:left w:val="none" w:sz="0" w:space="0" w:color="auto"/>
            <w:bottom w:val="none" w:sz="0" w:space="0" w:color="auto"/>
            <w:right w:val="none" w:sz="0" w:space="0" w:color="auto"/>
          </w:divBdr>
        </w:div>
        <w:div w:id="1938518929">
          <w:marLeft w:val="1166"/>
          <w:marRight w:val="0"/>
          <w:marTop w:val="0"/>
          <w:marBottom w:val="120"/>
          <w:divBdr>
            <w:top w:val="none" w:sz="0" w:space="0" w:color="auto"/>
            <w:left w:val="none" w:sz="0" w:space="0" w:color="auto"/>
            <w:bottom w:val="none" w:sz="0" w:space="0" w:color="auto"/>
            <w:right w:val="none" w:sz="0" w:space="0" w:color="auto"/>
          </w:divBdr>
        </w:div>
      </w:divsChild>
    </w:div>
    <w:div w:id="464350690">
      <w:bodyDiv w:val="1"/>
      <w:marLeft w:val="0"/>
      <w:marRight w:val="0"/>
      <w:marTop w:val="0"/>
      <w:marBottom w:val="0"/>
      <w:divBdr>
        <w:top w:val="none" w:sz="0" w:space="0" w:color="auto"/>
        <w:left w:val="none" w:sz="0" w:space="0" w:color="auto"/>
        <w:bottom w:val="none" w:sz="0" w:space="0" w:color="auto"/>
        <w:right w:val="none" w:sz="0" w:space="0" w:color="auto"/>
      </w:divBdr>
    </w:div>
    <w:div w:id="465004549">
      <w:bodyDiv w:val="1"/>
      <w:marLeft w:val="0"/>
      <w:marRight w:val="0"/>
      <w:marTop w:val="0"/>
      <w:marBottom w:val="0"/>
      <w:divBdr>
        <w:top w:val="none" w:sz="0" w:space="0" w:color="auto"/>
        <w:left w:val="none" w:sz="0" w:space="0" w:color="auto"/>
        <w:bottom w:val="none" w:sz="0" w:space="0" w:color="auto"/>
        <w:right w:val="none" w:sz="0" w:space="0" w:color="auto"/>
      </w:divBdr>
    </w:div>
    <w:div w:id="465201285">
      <w:bodyDiv w:val="1"/>
      <w:marLeft w:val="0"/>
      <w:marRight w:val="0"/>
      <w:marTop w:val="0"/>
      <w:marBottom w:val="0"/>
      <w:divBdr>
        <w:top w:val="none" w:sz="0" w:space="0" w:color="auto"/>
        <w:left w:val="none" w:sz="0" w:space="0" w:color="auto"/>
        <w:bottom w:val="none" w:sz="0" w:space="0" w:color="auto"/>
        <w:right w:val="none" w:sz="0" w:space="0" w:color="auto"/>
      </w:divBdr>
    </w:div>
    <w:div w:id="465783247">
      <w:bodyDiv w:val="1"/>
      <w:marLeft w:val="0"/>
      <w:marRight w:val="0"/>
      <w:marTop w:val="0"/>
      <w:marBottom w:val="0"/>
      <w:divBdr>
        <w:top w:val="none" w:sz="0" w:space="0" w:color="auto"/>
        <w:left w:val="none" w:sz="0" w:space="0" w:color="auto"/>
        <w:bottom w:val="none" w:sz="0" w:space="0" w:color="auto"/>
        <w:right w:val="none" w:sz="0" w:space="0" w:color="auto"/>
      </w:divBdr>
    </w:div>
    <w:div w:id="466582363">
      <w:bodyDiv w:val="1"/>
      <w:marLeft w:val="0"/>
      <w:marRight w:val="0"/>
      <w:marTop w:val="0"/>
      <w:marBottom w:val="0"/>
      <w:divBdr>
        <w:top w:val="none" w:sz="0" w:space="0" w:color="auto"/>
        <w:left w:val="none" w:sz="0" w:space="0" w:color="auto"/>
        <w:bottom w:val="none" w:sz="0" w:space="0" w:color="auto"/>
        <w:right w:val="none" w:sz="0" w:space="0" w:color="auto"/>
      </w:divBdr>
    </w:div>
    <w:div w:id="466776553">
      <w:bodyDiv w:val="1"/>
      <w:marLeft w:val="0"/>
      <w:marRight w:val="0"/>
      <w:marTop w:val="0"/>
      <w:marBottom w:val="0"/>
      <w:divBdr>
        <w:top w:val="none" w:sz="0" w:space="0" w:color="auto"/>
        <w:left w:val="none" w:sz="0" w:space="0" w:color="auto"/>
        <w:bottom w:val="none" w:sz="0" w:space="0" w:color="auto"/>
        <w:right w:val="none" w:sz="0" w:space="0" w:color="auto"/>
      </w:divBdr>
    </w:div>
    <w:div w:id="467474030">
      <w:bodyDiv w:val="1"/>
      <w:marLeft w:val="0"/>
      <w:marRight w:val="0"/>
      <w:marTop w:val="0"/>
      <w:marBottom w:val="0"/>
      <w:divBdr>
        <w:top w:val="none" w:sz="0" w:space="0" w:color="auto"/>
        <w:left w:val="none" w:sz="0" w:space="0" w:color="auto"/>
        <w:bottom w:val="none" w:sz="0" w:space="0" w:color="auto"/>
        <w:right w:val="none" w:sz="0" w:space="0" w:color="auto"/>
      </w:divBdr>
    </w:div>
    <w:div w:id="467628415">
      <w:bodyDiv w:val="1"/>
      <w:marLeft w:val="0"/>
      <w:marRight w:val="0"/>
      <w:marTop w:val="0"/>
      <w:marBottom w:val="0"/>
      <w:divBdr>
        <w:top w:val="none" w:sz="0" w:space="0" w:color="auto"/>
        <w:left w:val="none" w:sz="0" w:space="0" w:color="auto"/>
        <w:bottom w:val="none" w:sz="0" w:space="0" w:color="auto"/>
        <w:right w:val="none" w:sz="0" w:space="0" w:color="auto"/>
      </w:divBdr>
    </w:div>
    <w:div w:id="468398821">
      <w:bodyDiv w:val="1"/>
      <w:marLeft w:val="0"/>
      <w:marRight w:val="0"/>
      <w:marTop w:val="0"/>
      <w:marBottom w:val="0"/>
      <w:divBdr>
        <w:top w:val="none" w:sz="0" w:space="0" w:color="auto"/>
        <w:left w:val="none" w:sz="0" w:space="0" w:color="auto"/>
        <w:bottom w:val="none" w:sz="0" w:space="0" w:color="auto"/>
        <w:right w:val="none" w:sz="0" w:space="0" w:color="auto"/>
      </w:divBdr>
    </w:div>
    <w:div w:id="469203708">
      <w:bodyDiv w:val="1"/>
      <w:marLeft w:val="0"/>
      <w:marRight w:val="0"/>
      <w:marTop w:val="0"/>
      <w:marBottom w:val="0"/>
      <w:divBdr>
        <w:top w:val="none" w:sz="0" w:space="0" w:color="auto"/>
        <w:left w:val="none" w:sz="0" w:space="0" w:color="auto"/>
        <w:bottom w:val="none" w:sz="0" w:space="0" w:color="auto"/>
        <w:right w:val="none" w:sz="0" w:space="0" w:color="auto"/>
      </w:divBdr>
      <w:divsChild>
        <w:div w:id="540020962">
          <w:marLeft w:val="547"/>
          <w:marRight w:val="0"/>
          <w:marTop w:val="115"/>
          <w:marBottom w:val="0"/>
          <w:divBdr>
            <w:top w:val="none" w:sz="0" w:space="0" w:color="auto"/>
            <w:left w:val="none" w:sz="0" w:space="0" w:color="auto"/>
            <w:bottom w:val="none" w:sz="0" w:space="0" w:color="auto"/>
            <w:right w:val="none" w:sz="0" w:space="0" w:color="auto"/>
          </w:divBdr>
        </w:div>
        <w:div w:id="777724955">
          <w:marLeft w:val="1166"/>
          <w:marRight w:val="0"/>
          <w:marTop w:val="115"/>
          <w:marBottom w:val="0"/>
          <w:divBdr>
            <w:top w:val="none" w:sz="0" w:space="0" w:color="auto"/>
            <w:left w:val="none" w:sz="0" w:space="0" w:color="auto"/>
            <w:bottom w:val="none" w:sz="0" w:space="0" w:color="auto"/>
            <w:right w:val="none" w:sz="0" w:space="0" w:color="auto"/>
          </w:divBdr>
        </w:div>
        <w:div w:id="919943903">
          <w:marLeft w:val="1166"/>
          <w:marRight w:val="0"/>
          <w:marTop w:val="115"/>
          <w:marBottom w:val="0"/>
          <w:divBdr>
            <w:top w:val="none" w:sz="0" w:space="0" w:color="auto"/>
            <w:left w:val="none" w:sz="0" w:space="0" w:color="auto"/>
            <w:bottom w:val="none" w:sz="0" w:space="0" w:color="auto"/>
            <w:right w:val="none" w:sz="0" w:space="0" w:color="auto"/>
          </w:divBdr>
        </w:div>
      </w:divsChild>
    </w:div>
    <w:div w:id="469516567">
      <w:bodyDiv w:val="1"/>
      <w:marLeft w:val="0"/>
      <w:marRight w:val="0"/>
      <w:marTop w:val="0"/>
      <w:marBottom w:val="0"/>
      <w:divBdr>
        <w:top w:val="none" w:sz="0" w:space="0" w:color="auto"/>
        <w:left w:val="none" w:sz="0" w:space="0" w:color="auto"/>
        <w:bottom w:val="none" w:sz="0" w:space="0" w:color="auto"/>
        <w:right w:val="none" w:sz="0" w:space="0" w:color="auto"/>
      </w:divBdr>
    </w:div>
    <w:div w:id="470295459">
      <w:bodyDiv w:val="1"/>
      <w:marLeft w:val="0"/>
      <w:marRight w:val="0"/>
      <w:marTop w:val="0"/>
      <w:marBottom w:val="0"/>
      <w:divBdr>
        <w:top w:val="none" w:sz="0" w:space="0" w:color="auto"/>
        <w:left w:val="none" w:sz="0" w:space="0" w:color="auto"/>
        <w:bottom w:val="none" w:sz="0" w:space="0" w:color="auto"/>
        <w:right w:val="none" w:sz="0" w:space="0" w:color="auto"/>
      </w:divBdr>
    </w:div>
    <w:div w:id="470563740">
      <w:bodyDiv w:val="1"/>
      <w:marLeft w:val="0"/>
      <w:marRight w:val="0"/>
      <w:marTop w:val="0"/>
      <w:marBottom w:val="0"/>
      <w:divBdr>
        <w:top w:val="none" w:sz="0" w:space="0" w:color="auto"/>
        <w:left w:val="none" w:sz="0" w:space="0" w:color="auto"/>
        <w:bottom w:val="none" w:sz="0" w:space="0" w:color="auto"/>
        <w:right w:val="none" w:sz="0" w:space="0" w:color="auto"/>
      </w:divBdr>
    </w:div>
    <w:div w:id="470633811">
      <w:bodyDiv w:val="1"/>
      <w:marLeft w:val="0"/>
      <w:marRight w:val="0"/>
      <w:marTop w:val="0"/>
      <w:marBottom w:val="0"/>
      <w:divBdr>
        <w:top w:val="none" w:sz="0" w:space="0" w:color="auto"/>
        <w:left w:val="none" w:sz="0" w:space="0" w:color="auto"/>
        <w:bottom w:val="none" w:sz="0" w:space="0" w:color="auto"/>
        <w:right w:val="none" w:sz="0" w:space="0" w:color="auto"/>
      </w:divBdr>
    </w:div>
    <w:div w:id="471290839">
      <w:bodyDiv w:val="1"/>
      <w:marLeft w:val="0"/>
      <w:marRight w:val="0"/>
      <w:marTop w:val="0"/>
      <w:marBottom w:val="0"/>
      <w:divBdr>
        <w:top w:val="none" w:sz="0" w:space="0" w:color="auto"/>
        <w:left w:val="none" w:sz="0" w:space="0" w:color="auto"/>
        <w:bottom w:val="none" w:sz="0" w:space="0" w:color="auto"/>
        <w:right w:val="none" w:sz="0" w:space="0" w:color="auto"/>
      </w:divBdr>
    </w:div>
    <w:div w:id="471673574">
      <w:bodyDiv w:val="1"/>
      <w:marLeft w:val="0"/>
      <w:marRight w:val="0"/>
      <w:marTop w:val="0"/>
      <w:marBottom w:val="0"/>
      <w:divBdr>
        <w:top w:val="none" w:sz="0" w:space="0" w:color="auto"/>
        <w:left w:val="none" w:sz="0" w:space="0" w:color="auto"/>
        <w:bottom w:val="none" w:sz="0" w:space="0" w:color="auto"/>
        <w:right w:val="none" w:sz="0" w:space="0" w:color="auto"/>
      </w:divBdr>
    </w:div>
    <w:div w:id="471757452">
      <w:bodyDiv w:val="1"/>
      <w:marLeft w:val="0"/>
      <w:marRight w:val="0"/>
      <w:marTop w:val="0"/>
      <w:marBottom w:val="0"/>
      <w:divBdr>
        <w:top w:val="none" w:sz="0" w:space="0" w:color="auto"/>
        <w:left w:val="none" w:sz="0" w:space="0" w:color="auto"/>
        <w:bottom w:val="none" w:sz="0" w:space="0" w:color="auto"/>
        <w:right w:val="none" w:sz="0" w:space="0" w:color="auto"/>
      </w:divBdr>
    </w:div>
    <w:div w:id="473180829">
      <w:bodyDiv w:val="1"/>
      <w:marLeft w:val="0"/>
      <w:marRight w:val="0"/>
      <w:marTop w:val="0"/>
      <w:marBottom w:val="0"/>
      <w:divBdr>
        <w:top w:val="none" w:sz="0" w:space="0" w:color="auto"/>
        <w:left w:val="none" w:sz="0" w:space="0" w:color="auto"/>
        <w:bottom w:val="none" w:sz="0" w:space="0" w:color="auto"/>
        <w:right w:val="none" w:sz="0" w:space="0" w:color="auto"/>
      </w:divBdr>
      <w:divsChild>
        <w:div w:id="17659685">
          <w:marLeft w:val="2520"/>
          <w:marRight w:val="0"/>
          <w:marTop w:val="77"/>
          <w:marBottom w:val="0"/>
          <w:divBdr>
            <w:top w:val="none" w:sz="0" w:space="0" w:color="auto"/>
            <w:left w:val="none" w:sz="0" w:space="0" w:color="auto"/>
            <w:bottom w:val="none" w:sz="0" w:space="0" w:color="auto"/>
            <w:right w:val="none" w:sz="0" w:space="0" w:color="auto"/>
          </w:divBdr>
        </w:div>
        <w:div w:id="46805488">
          <w:marLeft w:val="1800"/>
          <w:marRight w:val="0"/>
          <w:marTop w:val="77"/>
          <w:marBottom w:val="0"/>
          <w:divBdr>
            <w:top w:val="none" w:sz="0" w:space="0" w:color="auto"/>
            <w:left w:val="none" w:sz="0" w:space="0" w:color="auto"/>
            <w:bottom w:val="none" w:sz="0" w:space="0" w:color="auto"/>
            <w:right w:val="none" w:sz="0" w:space="0" w:color="auto"/>
          </w:divBdr>
        </w:div>
        <w:div w:id="166291682">
          <w:marLeft w:val="1166"/>
          <w:marRight w:val="0"/>
          <w:marTop w:val="77"/>
          <w:marBottom w:val="0"/>
          <w:divBdr>
            <w:top w:val="none" w:sz="0" w:space="0" w:color="auto"/>
            <w:left w:val="none" w:sz="0" w:space="0" w:color="auto"/>
            <w:bottom w:val="none" w:sz="0" w:space="0" w:color="auto"/>
            <w:right w:val="none" w:sz="0" w:space="0" w:color="auto"/>
          </w:divBdr>
        </w:div>
        <w:div w:id="788662797">
          <w:marLeft w:val="1800"/>
          <w:marRight w:val="0"/>
          <w:marTop w:val="77"/>
          <w:marBottom w:val="0"/>
          <w:divBdr>
            <w:top w:val="none" w:sz="0" w:space="0" w:color="auto"/>
            <w:left w:val="none" w:sz="0" w:space="0" w:color="auto"/>
            <w:bottom w:val="none" w:sz="0" w:space="0" w:color="auto"/>
            <w:right w:val="none" w:sz="0" w:space="0" w:color="auto"/>
          </w:divBdr>
        </w:div>
        <w:div w:id="938104291">
          <w:marLeft w:val="1166"/>
          <w:marRight w:val="0"/>
          <w:marTop w:val="77"/>
          <w:marBottom w:val="0"/>
          <w:divBdr>
            <w:top w:val="none" w:sz="0" w:space="0" w:color="auto"/>
            <w:left w:val="none" w:sz="0" w:space="0" w:color="auto"/>
            <w:bottom w:val="none" w:sz="0" w:space="0" w:color="auto"/>
            <w:right w:val="none" w:sz="0" w:space="0" w:color="auto"/>
          </w:divBdr>
        </w:div>
        <w:div w:id="1345126801">
          <w:marLeft w:val="1166"/>
          <w:marRight w:val="0"/>
          <w:marTop w:val="77"/>
          <w:marBottom w:val="0"/>
          <w:divBdr>
            <w:top w:val="none" w:sz="0" w:space="0" w:color="auto"/>
            <w:left w:val="none" w:sz="0" w:space="0" w:color="auto"/>
            <w:bottom w:val="none" w:sz="0" w:space="0" w:color="auto"/>
            <w:right w:val="none" w:sz="0" w:space="0" w:color="auto"/>
          </w:divBdr>
        </w:div>
        <w:div w:id="1380743189">
          <w:marLeft w:val="547"/>
          <w:marRight w:val="0"/>
          <w:marTop w:val="96"/>
          <w:marBottom w:val="0"/>
          <w:divBdr>
            <w:top w:val="none" w:sz="0" w:space="0" w:color="auto"/>
            <w:left w:val="none" w:sz="0" w:space="0" w:color="auto"/>
            <w:bottom w:val="none" w:sz="0" w:space="0" w:color="auto"/>
            <w:right w:val="none" w:sz="0" w:space="0" w:color="auto"/>
          </w:divBdr>
        </w:div>
        <w:div w:id="1572543826">
          <w:marLeft w:val="1166"/>
          <w:marRight w:val="0"/>
          <w:marTop w:val="77"/>
          <w:marBottom w:val="0"/>
          <w:divBdr>
            <w:top w:val="none" w:sz="0" w:space="0" w:color="auto"/>
            <w:left w:val="none" w:sz="0" w:space="0" w:color="auto"/>
            <w:bottom w:val="none" w:sz="0" w:space="0" w:color="auto"/>
            <w:right w:val="none" w:sz="0" w:space="0" w:color="auto"/>
          </w:divBdr>
        </w:div>
        <w:div w:id="1617635674">
          <w:marLeft w:val="1166"/>
          <w:marRight w:val="0"/>
          <w:marTop w:val="77"/>
          <w:marBottom w:val="0"/>
          <w:divBdr>
            <w:top w:val="none" w:sz="0" w:space="0" w:color="auto"/>
            <w:left w:val="none" w:sz="0" w:space="0" w:color="auto"/>
            <w:bottom w:val="none" w:sz="0" w:space="0" w:color="auto"/>
            <w:right w:val="none" w:sz="0" w:space="0" w:color="auto"/>
          </w:divBdr>
        </w:div>
        <w:div w:id="1676767730">
          <w:marLeft w:val="1800"/>
          <w:marRight w:val="0"/>
          <w:marTop w:val="77"/>
          <w:marBottom w:val="0"/>
          <w:divBdr>
            <w:top w:val="none" w:sz="0" w:space="0" w:color="auto"/>
            <w:left w:val="none" w:sz="0" w:space="0" w:color="auto"/>
            <w:bottom w:val="none" w:sz="0" w:space="0" w:color="auto"/>
            <w:right w:val="none" w:sz="0" w:space="0" w:color="auto"/>
          </w:divBdr>
        </w:div>
        <w:div w:id="1772896557">
          <w:marLeft w:val="1166"/>
          <w:marRight w:val="0"/>
          <w:marTop w:val="77"/>
          <w:marBottom w:val="0"/>
          <w:divBdr>
            <w:top w:val="none" w:sz="0" w:space="0" w:color="auto"/>
            <w:left w:val="none" w:sz="0" w:space="0" w:color="auto"/>
            <w:bottom w:val="none" w:sz="0" w:space="0" w:color="auto"/>
            <w:right w:val="none" w:sz="0" w:space="0" w:color="auto"/>
          </w:divBdr>
        </w:div>
        <w:div w:id="1802378823">
          <w:marLeft w:val="1166"/>
          <w:marRight w:val="0"/>
          <w:marTop w:val="77"/>
          <w:marBottom w:val="0"/>
          <w:divBdr>
            <w:top w:val="none" w:sz="0" w:space="0" w:color="auto"/>
            <w:left w:val="none" w:sz="0" w:space="0" w:color="auto"/>
            <w:bottom w:val="none" w:sz="0" w:space="0" w:color="auto"/>
            <w:right w:val="none" w:sz="0" w:space="0" w:color="auto"/>
          </w:divBdr>
        </w:div>
        <w:div w:id="1947151827">
          <w:marLeft w:val="547"/>
          <w:marRight w:val="0"/>
          <w:marTop w:val="96"/>
          <w:marBottom w:val="0"/>
          <w:divBdr>
            <w:top w:val="none" w:sz="0" w:space="0" w:color="auto"/>
            <w:left w:val="none" w:sz="0" w:space="0" w:color="auto"/>
            <w:bottom w:val="none" w:sz="0" w:space="0" w:color="auto"/>
            <w:right w:val="none" w:sz="0" w:space="0" w:color="auto"/>
          </w:divBdr>
        </w:div>
      </w:divsChild>
    </w:div>
    <w:div w:id="473260797">
      <w:bodyDiv w:val="1"/>
      <w:marLeft w:val="0"/>
      <w:marRight w:val="0"/>
      <w:marTop w:val="0"/>
      <w:marBottom w:val="0"/>
      <w:divBdr>
        <w:top w:val="none" w:sz="0" w:space="0" w:color="auto"/>
        <w:left w:val="none" w:sz="0" w:space="0" w:color="auto"/>
        <w:bottom w:val="none" w:sz="0" w:space="0" w:color="auto"/>
        <w:right w:val="none" w:sz="0" w:space="0" w:color="auto"/>
      </w:divBdr>
      <w:divsChild>
        <w:div w:id="22172188">
          <w:marLeft w:val="1166"/>
          <w:marRight w:val="0"/>
          <w:marTop w:val="106"/>
          <w:marBottom w:val="0"/>
          <w:divBdr>
            <w:top w:val="none" w:sz="0" w:space="0" w:color="auto"/>
            <w:left w:val="none" w:sz="0" w:space="0" w:color="auto"/>
            <w:bottom w:val="none" w:sz="0" w:space="0" w:color="auto"/>
            <w:right w:val="none" w:sz="0" w:space="0" w:color="auto"/>
          </w:divBdr>
        </w:div>
        <w:div w:id="182523866">
          <w:marLeft w:val="547"/>
          <w:marRight w:val="0"/>
          <w:marTop w:val="120"/>
          <w:marBottom w:val="0"/>
          <w:divBdr>
            <w:top w:val="none" w:sz="0" w:space="0" w:color="auto"/>
            <w:left w:val="none" w:sz="0" w:space="0" w:color="auto"/>
            <w:bottom w:val="none" w:sz="0" w:space="0" w:color="auto"/>
            <w:right w:val="none" w:sz="0" w:space="0" w:color="auto"/>
          </w:divBdr>
        </w:div>
        <w:div w:id="217136023">
          <w:marLeft w:val="1166"/>
          <w:marRight w:val="0"/>
          <w:marTop w:val="106"/>
          <w:marBottom w:val="0"/>
          <w:divBdr>
            <w:top w:val="none" w:sz="0" w:space="0" w:color="auto"/>
            <w:left w:val="none" w:sz="0" w:space="0" w:color="auto"/>
            <w:bottom w:val="none" w:sz="0" w:space="0" w:color="auto"/>
            <w:right w:val="none" w:sz="0" w:space="0" w:color="auto"/>
          </w:divBdr>
        </w:div>
        <w:div w:id="733746076">
          <w:marLeft w:val="1166"/>
          <w:marRight w:val="0"/>
          <w:marTop w:val="106"/>
          <w:marBottom w:val="0"/>
          <w:divBdr>
            <w:top w:val="none" w:sz="0" w:space="0" w:color="auto"/>
            <w:left w:val="none" w:sz="0" w:space="0" w:color="auto"/>
            <w:bottom w:val="none" w:sz="0" w:space="0" w:color="auto"/>
            <w:right w:val="none" w:sz="0" w:space="0" w:color="auto"/>
          </w:divBdr>
        </w:div>
        <w:div w:id="761534159">
          <w:marLeft w:val="1166"/>
          <w:marRight w:val="0"/>
          <w:marTop w:val="106"/>
          <w:marBottom w:val="0"/>
          <w:divBdr>
            <w:top w:val="none" w:sz="0" w:space="0" w:color="auto"/>
            <w:left w:val="none" w:sz="0" w:space="0" w:color="auto"/>
            <w:bottom w:val="none" w:sz="0" w:space="0" w:color="auto"/>
            <w:right w:val="none" w:sz="0" w:space="0" w:color="auto"/>
          </w:divBdr>
        </w:div>
        <w:div w:id="1015763615">
          <w:marLeft w:val="1800"/>
          <w:marRight w:val="0"/>
          <w:marTop w:val="91"/>
          <w:marBottom w:val="0"/>
          <w:divBdr>
            <w:top w:val="none" w:sz="0" w:space="0" w:color="auto"/>
            <w:left w:val="none" w:sz="0" w:space="0" w:color="auto"/>
            <w:bottom w:val="none" w:sz="0" w:space="0" w:color="auto"/>
            <w:right w:val="none" w:sz="0" w:space="0" w:color="auto"/>
          </w:divBdr>
        </w:div>
        <w:div w:id="1615091065">
          <w:marLeft w:val="547"/>
          <w:marRight w:val="0"/>
          <w:marTop w:val="120"/>
          <w:marBottom w:val="0"/>
          <w:divBdr>
            <w:top w:val="none" w:sz="0" w:space="0" w:color="auto"/>
            <w:left w:val="none" w:sz="0" w:space="0" w:color="auto"/>
            <w:bottom w:val="none" w:sz="0" w:space="0" w:color="auto"/>
            <w:right w:val="none" w:sz="0" w:space="0" w:color="auto"/>
          </w:divBdr>
        </w:div>
        <w:div w:id="1942176706">
          <w:marLeft w:val="1166"/>
          <w:marRight w:val="0"/>
          <w:marTop w:val="106"/>
          <w:marBottom w:val="0"/>
          <w:divBdr>
            <w:top w:val="none" w:sz="0" w:space="0" w:color="auto"/>
            <w:left w:val="none" w:sz="0" w:space="0" w:color="auto"/>
            <w:bottom w:val="none" w:sz="0" w:space="0" w:color="auto"/>
            <w:right w:val="none" w:sz="0" w:space="0" w:color="auto"/>
          </w:divBdr>
        </w:div>
        <w:div w:id="2006081584">
          <w:marLeft w:val="1166"/>
          <w:marRight w:val="0"/>
          <w:marTop w:val="106"/>
          <w:marBottom w:val="0"/>
          <w:divBdr>
            <w:top w:val="none" w:sz="0" w:space="0" w:color="auto"/>
            <w:left w:val="none" w:sz="0" w:space="0" w:color="auto"/>
            <w:bottom w:val="none" w:sz="0" w:space="0" w:color="auto"/>
            <w:right w:val="none" w:sz="0" w:space="0" w:color="auto"/>
          </w:divBdr>
        </w:div>
      </w:divsChild>
    </w:div>
    <w:div w:id="474221398">
      <w:bodyDiv w:val="1"/>
      <w:marLeft w:val="0"/>
      <w:marRight w:val="0"/>
      <w:marTop w:val="0"/>
      <w:marBottom w:val="0"/>
      <w:divBdr>
        <w:top w:val="none" w:sz="0" w:space="0" w:color="auto"/>
        <w:left w:val="none" w:sz="0" w:space="0" w:color="auto"/>
        <w:bottom w:val="none" w:sz="0" w:space="0" w:color="auto"/>
        <w:right w:val="none" w:sz="0" w:space="0" w:color="auto"/>
      </w:divBdr>
      <w:divsChild>
        <w:div w:id="69697369">
          <w:marLeft w:val="1800"/>
          <w:marRight w:val="0"/>
          <w:marTop w:val="120"/>
          <w:marBottom w:val="120"/>
          <w:divBdr>
            <w:top w:val="none" w:sz="0" w:space="0" w:color="auto"/>
            <w:left w:val="none" w:sz="0" w:space="0" w:color="auto"/>
            <w:bottom w:val="none" w:sz="0" w:space="0" w:color="auto"/>
            <w:right w:val="none" w:sz="0" w:space="0" w:color="auto"/>
          </w:divBdr>
        </w:div>
        <w:div w:id="122702163">
          <w:marLeft w:val="1166"/>
          <w:marRight w:val="0"/>
          <w:marTop w:val="120"/>
          <w:marBottom w:val="120"/>
          <w:divBdr>
            <w:top w:val="none" w:sz="0" w:space="0" w:color="auto"/>
            <w:left w:val="none" w:sz="0" w:space="0" w:color="auto"/>
            <w:bottom w:val="none" w:sz="0" w:space="0" w:color="auto"/>
            <w:right w:val="none" w:sz="0" w:space="0" w:color="auto"/>
          </w:divBdr>
        </w:div>
        <w:div w:id="256057411">
          <w:marLeft w:val="1166"/>
          <w:marRight w:val="0"/>
          <w:marTop w:val="120"/>
          <w:marBottom w:val="120"/>
          <w:divBdr>
            <w:top w:val="none" w:sz="0" w:space="0" w:color="auto"/>
            <w:left w:val="none" w:sz="0" w:space="0" w:color="auto"/>
            <w:bottom w:val="none" w:sz="0" w:space="0" w:color="auto"/>
            <w:right w:val="none" w:sz="0" w:space="0" w:color="auto"/>
          </w:divBdr>
        </w:div>
        <w:div w:id="347488905">
          <w:marLeft w:val="1166"/>
          <w:marRight w:val="0"/>
          <w:marTop w:val="120"/>
          <w:marBottom w:val="120"/>
          <w:divBdr>
            <w:top w:val="none" w:sz="0" w:space="0" w:color="auto"/>
            <w:left w:val="none" w:sz="0" w:space="0" w:color="auto"/>
            <w:bottom w:val="none" w:sz="0" w:space="0" w:color="auto"/>
            <w:right w:val="none" w:sz="0" w:space="0" w:color="auto"/>
          </w:divBdr>
        </w:div>
        <w:div w:id="367293046">
          <w:marLeft w:val="1166"/>
          <w:marRight w:val="0"/>
          <w:marTop w:val="120"/>
          <w:marBottom w:val="120"/>
          <w:divBdr>
            <w:top w:val="none" w:sz="0" w:space="0" w:color="auto"/>
            <w:left w:val="none" w:sz="0" w:space="0" w:color="auto"/>
            <w:bottom w:val="none" w:sz="0" w:space="0" w:color="auto"/>
            <w:right w:val="none" w:sz="0" w:space="0" w:color="auto"/>
          </w:divBdr>
        </w:div>
        <w:div w:id="524057681">
          <w:marLeft w:val="1800"/>
          <w:marRight w:val="0"/>
          <w:marTop w:val="120"/>
          <w:marBottom w:val="120"/>
          <w:divBdr>
            <w:top w:val="none" w:sz="0" w:space="0" w:color="auto"/>
            <w:left w:val="none" w:sz="0" w:space="0" w:color="auto"/>
            <w:bottom w:val="none" w:sz="0" w:space="0" w:color="auto"/>
            <w:right w:val="none" w:sz="0" w:space="0" w:color="auto"/>
          </w:divBdr>
        </w:div>
        <w:div w:id="577204593">
          <w:marLeft w:val="1800"/>
          <w:marRight w:val="0"/>
          <w:marTop w:val="120"/>
          <w:marBottom w:val="120"/>
          <w:divBdr>
            <w:top w:val="none" w:sz="0" w:space="0" w:color="auto"/>
            <w:left w:val="none" w:sz="0" w:space="0" w:color="auto"/>
            <w:bottom w:val="none" w:sz="0" w:space="0" w:color="auto"/>
            <w:right w:val="none" w:sz="0" w:space="0" w:color="auto"/>
          </w:divBdr>
        </w:div>
        <w:div w:id="820972909">
          <w:marLeft w:val="1800"/>
          <w:marRight w:val="0"/>
          <w:marTop w:val="120"/>
          <w:marBottom w:val="120"/>
          <w:divBdr>
            <w:top w:val="none" w:sz="0" w:space="0" w:color="auto"/>
            <w:left w:val="none" w:sz="0" w:space="0" w:color="auto"/>
            <w:bottom w:val="none" w:sz="0" w:space="0" w:color="auto"/>
            <w:right w:val="none" w:sz="0" w:space="0" w:color="auto"/>
          </w:divBdr>
        </w:div>
        <w:div w:id="928930901">
          <w:marLeft w:val="1800"/>
          <w:marRight w:val="0"/>
          <w:marTop w:val="120"/>
          <w:marBottom w:val="120"/>
          <w:divBdr>
            <w:top w:val="none" w:sz="0" w:space="0" w:color="auto"/>
            <w:left w:val="none" w:sz="0" w:space="0" w:color="auto"/>
            <w:bottom w:val="none" w:sz="0" w:space="0" w:color="auto"/>
            <w:right w:val="none" w:sz="0" w:space="0" w:color="auto"/>
          </w:divBdr>
        </w:div>
        <w:div w:id="1118186777">
          <w:marLeft w:val="1800"/>
          <w:marRight w:val="0"/>
          <w:marTop w:val="120"/>
          <w:marBottom w:val="120"/>
          <w:divBdr>
            <w:top w:val="none" w:sz="0" w:space="0" w:color="auto"/>
            <w:left w:val="none" w:sz="0" w:space="0" w:color="auto"/>
            <w:bottom w:val="none" w:sz="0" w:space="0" w:color="auto"/>
            <w:right w:val="none" w:sz="0" w:space="0" w:color="auto"/>
          </w:divBdr>
        </w:div>
        <w:div w:id="1124498535">
          <w:marLeft w:val="1800"/>
          <w:marRight w:val="0"/>
          <w:marTop w:val="120"/>
          <w:marBottom w:val="120"/>
          <w:divBdr>
            <w:top w:val="none" w:sz="0" w:space="0" w:color="auto"/>
            <w:left w:val="none" w:sz="0" w:space="0" w:color="auto"/>
            <w:bottom w:val="none" w:sz="0" w:space="0" w:color="auto"/>
            <w:right w:val="none" w:sz="0" w:space="0" w:color="auto"/>
          </w:divBdr>
        </w:div>
        <w:div w:id="1247226159">
          <w:marLeft w:val="547"/>
          <w:marRight w:val="0"/>
          <w:marTop w:val="120"/>
          <w:marBottom w:val="120"/>
          <w:divBdr>
            <w:top w:val="none" w:sz="0" w:space="0" w:color="auto"/>
            <w:left w:val="none" w:sz="0" w:space="0" w:color="auto"/>
            <w:bottom w:val="none" w:sz="0" w:space="0" w:color="auto"/>
            <w:right w:val="none" w:sz="0" w:space="0" w:color="auto"/>
          </w:divBdr>
        </w:div>
        <w:div w:id="1388455781">
          <w:marLeft w:val="1800"/>
          <w:marRight w:val="0"/>
          <w:marTop w:val="120"/>
          <w:marBottom w:val="120"/>
          <w:divBdr>
            <w:top w:val="none" w:sz="0" w:space="0" w:color="auto"/>
            <w:left w:val="none" w:sz="0" w:space="0" w:color="auto"/>
            <w:bottom w:val="none" w:sz="0" w:space="0" w:color="auto"/>
            <w:right w:val="none" w:sz="0" w:space="0" w:color="auto"/>
          </w:divBdr>
        </w:div>
      </w:divsChild>
    </w:div>
    <w:div w:id="474874166">
      <w:bodyDiv w:val="1"/>
      <w:marLeft w:val="0"/>
      <w:marRight w:val="0"/>
      <w:marTop w:val="0"/>
      <w:marBottom w:val="0"/>
      <w:divBdr>
        <w:top w:val="none" w:sz="0" w:space="0" w:color="auto"/>
        <w:left w:val="none" w:sz="0" w:space="0" w:color="auto"/>
        <w:bottom w:val="none" w:sz="0" w:space="0" w:color="auto"/>
        <w:right w:val="none" w:sz="0" w:space="0" w:color="auto"/>
      </w:divBdr>
    </w:div>
    <w:div w:id="475729424">
      <w:bodyDiv w:val="1"/>
      <w:marLeft w:val="0"/>
      <w:marRight w:val="0"/>
      <w:marTop w:val="0"/>
      <w:marBottom w:val="0"/>
      <w:divBdr>
        <w:top w:val="none" w:sz="0" w:space="0" w:color="auto"/>
        <w:left w:val="none" w:sz="0" w:space="0" w:color="auto"/>
        <w:bottom w:val="none" w:sz="0" w:space="0" w:color="auto"/>
        <w:right w:val="none" w:sz="0" w:space="0" w:color="auto"/>
      </w:divBdr>
    </w:div>
    <w:div w:id="476072611">
      <w:bodyDiv w:val="1"/>
      <w:marLeft w:val="0"/>
      <w:marRight w:val="0"/>
      <w:marTop w:val="0"/>
      <w:marBottom w:val="0"/>
      <w:divBdr>
        <w:top w:val="none" w:sz="0" w:space="0" w:color="auto"/>
        <w:left w:val="none" w:sz="0" w:space="0" w:color="auto"/>
        <w:bottom w:val="none" w:sz="0" w:space="0" w:color="auto"/>
        <w:right w:val="none" w:sz="0" w:space="0" w:color="auto"/>
      </w:divBdr>
    </w:div>
    <w:div w:id="477187492">
      <w:bodyDiv w:val="1"/>
      <w:marLeft w:val="0"/>
      <w:marRight w:val="0"/>
      <w:marTop w:val="0"/>
      <w:marBottom w:val="0"/>
      <w:divBdr>
        <w:top w:val="none" w:sz="0" w:space="0" w:color="auto"/>
        <w:left w:val="none" w:sz="0" w:space="0" w:color="auto"/>
        <w:bottom w:val="none" w:sz="0" w:space="0" w:color="auto"/>
        <w:right w:val="none" w:sz="0" w:space="0" w:color="auto"/>
      </w:divBdr>
      <w:divsChild>
        <w:div w:id="1667395549">
          <w:marLeft w:val="547"/>
          <w:marRight w:val="0"/>
          <w:marTop w:val="240"/>
          <w:marBottom w:val="0"/>
          <w:divBdr>
            <w:top w:val="none" w:sz="0" w:space="0" w:color="auto"/>
            <w:left w:val="none" w:sz="0" w:space="0" w:color="auto"/>
            <w:bottom w:val="none" w:sz="0" w:space="0" w:color="auto"/>
            <w:right w:val="none" w:sz="0" w:space="0" w:color="auto"/>
          </w:divBdr>
        </w:div>
      </w:divsChild>
    </w:div>
    <w:div w:id="477914827">
      <w:bodyDiv w:val="1"/>
      <w:marLeft w:val="0"/>
      <w:marRight w:val="0"/>
      <w:marTop w:val="0"/>
      <w:marBottom w:val="0"/>
      <w:divBdr>
        <w:top w:val="none" w:sz="0" w:space="0" w:color="auto"/>
        <w:left w:val="none" w:sz="0" w:space="0" w:color="auto"/>
        <w:bottom w:val="none" w:sz="0" w:space="0" w:color="auto"/>
        <w:right w:val="none" w:sz="0" w:space="0" w:color="auto"/>
      </w:divBdr>
    </w:div>
    <w:div w:id="479422832">
      <w:bodyDiv w:val="1"/>
      <w:marLeft w:val="0"/>
      <w:marRight w:val="0"/>
      <w:marTop w:val="0"/>
      <w:marBottom w:val="0"/>
      <w:divBdr>
        <w:top w:val="none" w:sz="0" w:space="0" w:color="auto"/>
        <w:left w:val="none" w:sz="0" w:space="0" w:color="auto"/>
        <w:bottom w:val="none" w:sz="0" w:space="0" w:color="auto"/>
        <w:right w:val="none" w:sz="0" w:space="0" w:color="auto"/>
      </w:divBdr>
    </w:div>
    <w:div w:id="479809462">
      <w:bodyDiv w:val="1"/>
      <w:marLeft w:val="0"/>
      <w:marRight w:val="0"/>
      <w:marTop w:val="0"/>
      <w:marBottom w:val="0"/>
      <w:divBdr>
        <w:top w:val="none" w:sz="0" w:space="0" w:color="auto"/>
        <w:left w:val="none" w:sz="0" w:space="0" w:color="auto"/>
        <w:bottom w:val="none" w:sz="0" w:space="0" w:color="auto"/>
        <w:right w:val="none" w:sz="0" w:space="0" w:color="auto"/>
      </w:divBdr>
    </w:div>
    <w:div w:id="480587539">
      <w:bodyDiv w:val="1"/>
      <w:marLeft w:val="0"/>
      <w:marRight w:val="0"/>
      <w:marTop w:val="0"/>
      <w:marBottom w:val="0"/>
      <w:divBdr>
        <w:top w:val="none" w:sz="0" w:space="0" w:color="auto"/>
        <w:left w:val="none" w:sz="0" w:space="0" w:color="auto"/>
        <w:bottom w:val="none" w:sz="0" w:space="0" w:color="auto"/>
        <w:right w:val="none" w:sz="0" w:space="0" w:color="auto"/>
      </w:divBdr>
      <w:divsChild>
        <w:div w:id="680474702">
          <w:marLeft w:val="1166"/>
          <w:marRight w:val="0"/>
          <w:marTop w:val="240"/>
          <w:marBottom w:val="0"/>
          <w:divBdr>
            <w:top w:val="none" w:sz="0" w:space="0" w:color="auto"/>
            <w:left w:val="none" w:sz="0" w:space="0" w:color="auto"/>
            <w:bottom w:val="none" w:sz="0" w:space="0" w:color="auto"/>
            <w:right w:val="none" w:sz="0" w:space="0" w:color="auto"/>
          </w:divBdr>
        </w:div>
      </w:divsChild>
    </w:div>
    <w:div w:id="481508906">
      <w:bodyDiv w:val="1"/>
      <w:marLeft w:val="0"/>
      <w:marRight w:val="0"/>
      <w:marTop w:val="0"/>
      <w:marBottom w:val="0"/>
      <w:divBdr>
        <w:top w:val="none" w:sz="0" w:space="0" w:color="auto"/>
        <w:left w:val="none" w:sz="0" w:space="0" w:color="auto"/>
        <w:bottom w:val="none" w:sz="0" w:space="0" w:color="auto"/>
        <w:right w:val="none" w:sz="0" w:space="0" w:color="auto"/>
      </w:divBdr>
      <w:divsChild>
        <w:div w:id="934995">
          <w:marLeft w:val="547"/>
          <w:marRight w:val="0"/>
          <w:marTop w:val="96"/>
          <w:marBottom w:val="0"/>
          <w:divBdr>
            <w:top w:val="none" w:sz="0" w:space="0" w:color="auto"/>
            <w:left w:val="none" w:sz="0" w:space="0" w:color="auto"/>
            <w:bottom w:val="none" w:sz="0" w:space="0" w:color="auto"/>
            <w:right w:val="none" w:sz="0" w:space="0" w:color="auto"/>
          </w:divBdr>
        </w:div>
        <w:div w:id="654341016">
          <w:marLeft w:val="1166"/>
          <w:marRight w:val="0"/>
          <w:marTop w:val="86"/>
          <w:marBottom w:val="0"/>
          <w:divBdr>
            <w:top w:val="none" w:sz="0" w:space="0" w:color="auto"/>
            <w:left w:val="none" w:sz="0" w:space="0" w:color="auto"/>
            <w:bottom w:val="none" w:sz="0" w:space="0" w:color="auto"/>
            <w:right w:val="none" w:sz="0" w:space="0" w:color="auto"/>
          </w:divBdr>
        </w:div>
        <w:div w:id="771784603">
          <w:marLeft w:val="1166"/>
          <w:marRight w:val="0"/>
          <w:marTop w:val="86"/>
          <w:marBottom w:val="0"/>
          <w:divBdr>
            <w:top w:val="none" w:sz="0" w:space="0" w:color="auto"/>
            <w:left w:val="none" w:sz="0" w:space="0" w:color="auto"/>
            <w:bottom w:val="none" w:sz="0" w:space="0" w:color="auto"/>
            <w:right w:val="none" w:sz="0" w:space="0" w:color="auto"/>
          </w:divBdr>
        </w:div>
        <w:div w:id="778838944">
          <w:marLeft w:val="1166"/>
          <w:marRight w:val="0"/>
          <w:marTop w:val="86"/>
          <w:marBottom w:val="0"/>
          <w:divBdr>
            <w:top w:val="none" w:sz="0" w:space="0" w:color="auto"/>
            <w:left w:val="none" w:sz="0" w:space="0" w:color="auto"/>
            <w:bottom w:val="none" w:sz="0" w:space="0" w:color="auto"/>
            <w:right w:val="none" w:sz="0" w:space="0" w:color="auto"/>
          </w:divBdr>
        </w:div>
        <w:div w:id="1423917193">
          <w:marLeft w:val="547"/>
          <w:marRight w:val="0"/>
          <w:marTop w:val="106"/>
          <w:marBottom w:val="0"/>
          <w:divBdr>
            <w:top w:val="none" w:sz="0" w:space="0" w:color="auto"/>
            <w:left w:val="none" w:sz="0" w:space="0" w:color="auto"/>
            <w:bottom w:val="none" w:sz="0" w:space="0" w:color="auto"/>
            <w:right w:val="none" w:sz="0" w:space="0" w:color="auto"/>
          </w:divBdr>
        </w:div>
        <w:div w:id="1483278262">
          <w:marLeft w:val="1166"/>
          <w:marRight w:val="0"/>
          <w:marTop w:val="86"/>
          <w:marBottom w:val="0"/>
          <w:divBdr>
            <w:top w:val="none" w:sz="0" w:space="0" w:color="auto"/>
            <w:left w:val="none" w:sz="0" w:space="0" w:color="auto"/>
            <w:bottom w:val="none" w:sz="0" w:space="0" w:color="auto"/>
            <w:right w:val="none" w:sz="0" w:space="0" w:color="auto"/>
          </w:divBdr>
        </w:div>
      </w:divsChild>
    </w:div>
    <w:div w:id="481821988">
      <w:bodyDiv w:val="1"/>
      <w:marLeft w:val="0"/>
      <w:marRight w:val="0"/>
      <w:marTop w:val="0"/>
      <w:marBottom w:val="0"/>
      <w:divBdr>
        <w:top w:val="none" w:sz="0" w:space="0" w:color="auto"/>
        <w:left w:val="none" w:sz="0" w:space="0" w:color="auto"/>
        <w:bottom w:val="none" w:sz="0" w:space="0" w:color="auto"/>
        <w:right w:val="none" w:sz="0" w:space="0" w:color="auto"/>
      </w:divBdr>
    </w:div>
    <w:div w:id="482233215">
      <w:bodyDiv w:val="1"/>
      <w:marLeft w:val="0"/>
      <w:marRight w:val="0"/>
      <w:marTop w:val="0"/>
      <w:marBottom w:val="0"/>
      <w:divBdr>
        <w:top w:val="none" w:sz="0" w:space="0" w:color="auto"/>
        <w:left w:val="none" w:sz="0" w:space="0" w:color="auto"/>
        <w:bottom w:val="none" w:sz="0" w:space="0" w:color="auto"/>
        <w:right w:val="none" w:sz="0" w:space="0" w:color="auto"/>
      </w:divBdr>
    </w:div>
    <w:div w:id="482308828">
      <w:bodyDiv w:val="1"/>
      <w:marLeft w:val="0"/>
      <w:marRight w:val="0"/>
      <w:marTop w:val="0"/>
      <w:marBottom w:val="0"/>
      <w:divBdr>
        <w:top w:val="none" w:sz="0" w:space="0" w:color="auto"/>
        <w:left w:val="none" w:sz="0" w:space="0" w:color="auto"/>
        <w:bottom w:val="none" w:sz="0" w:space="0" w:color="auto"/>
        <w:right w:val="none" w:sz="0" w:space="0" w:color="auto"/>
      </w:divBdr>
    </w:div>
    <w:div w:id="483352267">
      <w:bodyDiv w:val="1"/>
      <w:marLeft w:val="0"/>
      <w:marRight w:val="0"/>
      <w:marTop w:val="0"/>
      <w:marBottom w:val="0"/>
      <w:divBdr>
        <w:top w:val="none" w:sz="0" w:space="0" w:color="auto"/>
        <w:left w:val="none" w:sz="0" w:space="0" w:color="auto"/>
        <w:bottom w:val="none" w:sz="0" w:space="0" w:color="auto"/>
        <w:right w:val="none" w:sz="0" w:space="0" w:color="auto"/>
      </w:divBdr>
      <w:divsChild>
        <w:div w:id="144516634">
          <w:marLeft w:val="1800"/>
          <w:marRight w:val="0"/>
          <w:marTop w:val="100"/>
          <w:marBottom w:val="0"/>
          <w:divBdr>
            <w:top w:val="none" w:sz="0" w:space="0" w:color="auto"/>
            <w:left w:val="none" w:sz="0" w:space="0" w:color="auto"/>
            <w:bottom w:val="none" w:sz="0" w:space="0" w:color="auto"/>
            <w:right w:val="none" w:sz="0" w:space="0" w:color="auto"/>
          </w:divBdr>
        </w:div>
        <w:div w:id="383255832">
          <w:marLeft w:val="1800"/>
          <w:marRight w:val="0"/>
          <w:marTop w:val="100"/>
          <w:marBottom w:val="0"/>
          <w:divBdr>
            <w:top w:val="none" w:sz="0" w:space="0" w:color="auto"/>
            <w:left w:val="none" w:sz="0" w:space="0" w:color="auto"/>
            <w:bottom w:val="none" w:sz="0" w:space="0" w:color="auto"/>
            <w:right w:val="none" w:sz="0" w:space="0" w:color="auto"/>
          </w:divBdr>
        </w:div>
        <w:div w:id="469832836">
          <w:marLeft w:val="1080"/>
          <w:marRight w:val="0"/>
          <w:marTop w:val="100"/>
          <w:marBottom w:val="0"/>
          <w:divBdr>
            <w:top w:val="none" w:sz="0" w:space="0" w:color="auto"/>
            <w:left w:val="none" w:sz="0" w:space="0" w:color="auto"/>
            <w:bottom w:val="none" w:sz="0" w:space="0" w:color="auto"/>
            <w:right w:val="none" w:sz="0" w:space="0" w:color="auto"/>
          </w:divBdr>
        </w:div>
        <w:div w:id="722024800">
          <w:marLeft w:val="2520"/>
          <w:marRight w:val="0"/>
          <w:marTop w:val="100"/>
          <w:marBottom w:val="0"/>
          <w:divBdr>
            <w:top w:val="none" w:sz="0" w:space="0" w:color="auto"/>
            <w:left w:val="none" w:sz="0" w:space="0" w:color="auto"/>
            <w:bottom w:val="none" w:sz="0" w:space="0" w:color="auto"/>
            <w:right w:val="none" w:sz="0" w:space="0" w:color="auto"/>
          </w:divBdr>
        </w:div>
        <w:div w:id="727342507">
          <w:marLeft w:val="360"/>
          <w:marRight w:val="0"/>
          <w:marTop w:val="200"/>
          <w:marBottom w:val="0"/>
          <w:divBdr>
            <w:top w:val="none" w:sz="0" w:space="0" w:color="auto"/>
            <w:left w:val="none" w:sz="0" w:space="0" w:color="auto"/>
            <w:bottom w:val="none" w:sz="0" w:space="0" w:color="auto"/>
            <w:right w:val="none" w:sz="0" w:space="0" w:color="auto"/>
          </w:divBdr>
        </w:div>
        <w:div w:id="866525890">
          <w:marLeft w:val="1080"/>
          <w:marRight w:val="0"/>
          <w:marTop w:val="100"/>
          <w:marBottom w:val="0"/>
          <w:divBdr>
            <w:top w:val="none" w:sz="0" w:space="0" w:color="auto"/>
            <w:left w:val="none" w:sz="0" w:space="0" w:color="auto"/>
            <w:bottom w:val="none" w:sz="0" w:space="0" w:color="auto"/>
            <w:right w:val="none" w:sz="0" w:space="0" w:color="auto"/>
          </w:divBdr>
        </w:div>
      </w:divsChild>
    </w:div>
    <w:div w:id="483394552">
      <w:bodyDiv w:val="1"/>
      <w:marLeft w:val="0"/>
      <w:marRight w:val="0"/>
      <w:marTop w:val="0"/>
      <w:marBottom w:val="0"/>
      <w:divBdr>
        <w:top w:val="none" w:sz="0" w:space="0" w:color="auto"/>
        <w:left w:val="none" w:sz="0" w:space="0" w:color="auto"/>
        <w:bottom w:val="none" w:sz="0" w:space="0" w:color="auto"/>
        <w:right w:val="none" w:sz="0" w:space="0" w:color="auto"/>
      </w:divBdr>
      <w:divsChild>
        <w:div w:id="722825321">
          <w:marLeft w:val="547"/>
          <w:marRight w:val="0"/>
          <w:marTop w:val="0"/>
          <w:marBottom w:val="0"/>
          <w:divBdr>
            <w:top w:val="none" w:sz="0" w:space="0" w:color="auto"/>
            <w:left w:val="none" w:sz="0" w:space="0" w:color="auto"/>
            <w:bottom w:val="none" w:sz="0" w:space="0" w:color="auto"/>
            <w:right w:val="none" w:sz="0" w:space="0" w:color="auto"/>
          </w:divBdr>
        </w:div>
      </w:divsChild>
    </w:div>
    <w:div w:id="483550119">
      <w:bodyDiv w:val="1"/>
      <w:marLeft w:val="0"/>
      <w:marRight w:val="0"/>
      <w:marTop w:val="0"/>
      <w:marBottom w:val="0"/>
      <w:divBdr>
        <w:top w:val="none" w:sz="0" w:space="0" w:color="auto"/>
        <w:left w:val="none" w:sz="0" w:space="0" w:color="auto"/>
        <w:bottom w:val="none" w:sz="0" w:space="0" w:color="auto"/>
        <w:right w:val="none" w:sz="0" w:space="0" w:color="auto"/>
      </w:divBdr>
    </w:div>
    <w:div w:id="483929785">
      <w:bodyDiv w:val="1"/>
      <w:marLeft w:val="0"/>
      <w:marRight w:val="0"/>
      <w:marTop w:val="0"/>
      <w:marBottom w:val="0"/>
      <w:divBdr>
        <w:top w:val="none" w:sz="0" w:space="0" w:color="auto"/>
        <w:left w:val="none" w:sz="0" w:space="0" w:color="auto"/>
        <w:bottom w:val="none" w:sz="0" w:space="0" w:color="auto"/>
        <w:right w:val="none" w:sz="0" w:space="0" w:color="auto"/>
      </w:divBdr>
      <w:divsChild>
        <w:div w:id="374626229">
          <w:marLeft w:val="547"/>
          <w:marRight w:val="0"/>
          <w:marTop w:val="115"/>
          <w:marBottom w:val="0"/>
          <w:divBdr>
            <w:top w:val="none" w:sz="0" w:space="0" w:color="auto"/>
            <w:left w:val="none" w:sz="0" w:space="0" w:color="auto"/>
            <w:bottom w:val="none" w:sz="0" w:space="0" w:color="auto"/>
            <w:right w:val="none" w:sz="0" w:space="0" w:color="auto"/>
          </w:divBdr>
        </w:div>
        <w:div w:id="525602711">
          <w:marLeft w:val="1166"/>
          <w:marRight w:val="0"/>
          <w:marTop w:val="96"/>
          <w:marBottom w:val="0"/>
          <w:divBdr>
            <w:top w:val="none" w:sz="0" w:space="0" w:color="auto"/>
            <w:left w:val="none" w:sz="0" w:space="0" w:color="auto"/>
            <w:bottom w:val="none" w:sz="0" w:space="0" w:color="auto"/>
            <w:right w:val="none" w:sz="0" w:space="0" w:color="auto"/>
          </w:divBdr>
        </w:div>
        <w:div w:id="609747596">
          <w:marLeft w:val="1166"/>
          <w:marRight w:val="0"/>
          <w:marTop w:val="96"/>
          <w:marBottom w:val="0"/>
          <w:divBdr>
            <w:top w:val="none" w:sz="0" w:space="0" w:color="auto"/>
            <w:left w:val="none" w:sz="0" w:space="0" w:color="auto"/>
            <w:bottom w:val="none" w:sz="0" w:space="0" w:color="auto"/>
            <w:right w:val="none" w:sz="0" w:space="0" w:color="auto"/>
          </w:divBdr>
        </w:div>
        <w:div w:id="732509841">
          <w:marLeft w:val="1166"/>
          <w:marRight w:val="0"/>
          <w:marTop w:val="96"/>
          <w:marBottom w:val="0"/>
          <w:divBdr>
            <w:top w:val="none" w:sz="0" w:space="0" w:color="auto"/>
            <w:left w:val="none" w:sz="0" w:space="0" w:color="auto"/>
            <w:bottom w:val="none" w:sz="0" w:space="0" w:color="auto"/>
            <w:right w:val="none" w:sz="0" w:space="0" w:color="auto"/>
          </w:divBdr>
        </w:div>
        <w:div w:id="932857156">
          <w:marLeft w:val="1166"/>
          <w:marRight w:val="0"/>
          <w:marTop w:val="96"/>
          <w:marBottom w:val="0"/>
          <w:divBdr>
            <w:top w:val="none" w:sz="0" w:space="0" w:color="auto"/>
            <w:left w:val="none" w:sz="0" w:space="0" w:color="auto"/>
            <w:bottom w:val="none" w:sz="0" w:space="0" w:color="auto"/>
            <w:right w:val="none" w:sz="0" w:space="0" w:color="auto"/>
          </w:divBdr>
        </w:div>
        <w:div w:id="1456216800">
          <w:marLeft w:val="547"/>
          <w:marRight w:val="0"/>
          <w:marTop w:val="115"/>
          <w:marBottom w:val="0"/>
          <w:divBdr>
            <w:top w:val="none" w:sz="0" w:space="0" w:color="auto"/>
            <w:left w:val="none" w:sz="0" w:space="0" w:color="auto"/>
            <w:bottom w:val="none" w:sz="0" w:space="0" w:color="auto"/>
            <w:right w:val="none" w:sz="0" w:space="0" w:color="auto"/>
          </w:divBdr>
        </w:div>
        <w:div w:id="1793594374">
          <w:marLeft w:val="1166"/>
          <w:marRight w:val="0"/>
          <w:marTop w:val="96"/>
          <w:marBottom w:val="0"/>
          <w:divBdr>
            <w:top w:val="none" w:sz="0" w:space="0" w:color="auto"/>
            <w:left w:val="none" w:sz="0" w:space="0" w:color="auto"/>
            <w:bottom w:val="none" w:sz="0" w:space="0" w:color="auto"/>
            <w:right w:val="none" w:sz="0" w:space="0" w:color="auto"/>
          </w:divBdr>
        </w:div>
      </w:divsChild>
    </w:div>
    <w:div w:id="484009294">
      <w:bodyDiv w:val="1"/>
      <w:marLeft w:val="0"/>
      <w:marRight w:val="0"/>
      <w:marTop w:val="0"/>
      <w:marBottom w:val="0"/>
      <w:divBdr>
        <w:top w:val="none" w:sz="0" w:space="0" w:color="auto"/>
        <w:left w:val="none" w:sz="0" w:space="0" w:color="auto"/>
        <w:bottom w:val="none" w:sz="0" w:space="0" w:color="auto"/>
        <w:right w:val="none" w:sz="0" w:space="0" w:color="auto"/>
      </w:divBdr>
    </w:div>
    <w:div w:id="485123182">
      <w:bodyDiv w:val="1"/>
      <w:marLeft w:val="0"/>
      <w:marRight w:val="0"/>
      <w:marTop w:val="0"/>
      <w:marBottom w:val="0"/>
      <w:divBdr>
        <w:top w:val="none" w:sz="0" w:space="0" w:color="auto"/>
        <w:left w:val="none" w:sz="0" w:space="0" w:color="auto"/>
        <w:bottom w:val="none" w:sz="0" w:space="0" w:color="auto"/>
        <w:right w:val="none" w:sz="0" w:space="0" w:color="auto"/>
      </w:divBdr>
    </w:div>
    <w:div w:id="488251622">
      <w:bodyDiv w:val="1"/>
      <w:marLeft w:val="0"/>
      <w:marRight w:val="0"/>
      <w:marTop w:val="0"/>
      <w:marBottom w:val="0"/>
      <w:divBdr>
        <w:top w:val="none" w:sz="0" w:space="0" w:color="auto"/>
        <w:left w:val="none" w:sz="0" w:space="0" w:color="auto"/>
        <w:bottom w:val="none" w:sz="0" w:space="0" w:color="auto"/>
        <w:right w:val="none" w:sz="0" w:space="0" w:color="auto"/>
      </w:divBdr>
      <w:divsChild>
        <w:div w:id="1211650958">
          <w:marLeft w:val="1166"/>
          <w:marRight w:val="0"/>
          <w:marTop w:val="96"/>
          <w:marBottom w:val="120"/>
          <w:divBdr>
            <w:top w:val="none" w:sz="0" w:space="0" w:color="auto"/>
            <w:left w:val="none" w:sz="0" w:space="0" w:color="auto"/>
            <w:bottom w:val="none" w:sz="0" w:space="0" w:color="auto"/>
            <w:right w:val="none" w:sz="0" w:space="0" w:color="auto"/>
          </w:divBdr>
        </w:div>
        <w:div w:id="2146849587">
          <w:marLeft w:val="547"/>
          <w:marRight w:val="0"/>
          <w:marTop w:val="115"/>
          <w:marBottom w:val="120"/>
          <w:divBdr>
            <w:top w:val="none" w:sz="0" w:space="0" w:color="auto"/>
            <w:left w:val="none" w:sz="0" w:space="0" w:color="auto"/>
            <w:bottom w:val="none" w:sz="0" w:space="0" w:color="auto"/>
            <w:right w:val="none" w:sz="0" w:space="0" w:color="auto"/>
          </w:divBdr>
        </w:div>
      </w:divsChild>
    </w:div>
    <w:div w:id="493187371">
      <w:bodyDiv w:val="1"/>
      <w:marLeft w:val="0"/>
      <w:marRight w:val="0"/>
      <w:marTop w:val="0"/>
      <w:marBottom w:val="0"/>
      <w:divBdr>
        <w:top w:val="none" w:sz="0" w:space="0" w:color="auto"/>
        <w:left w:val="none" w:sz="0" w:space="0" w:color="auto"/>
        <w:bottom w:val="none" w:sz="0" w:space="0" w:color="auto"/>
        <w:right w:val="none" w:sz="0" w:space="0" w:color="auto"/>
      </w:divBdr>
      <w:divsChild>
        <w:div w:id="1305619089">
          <w:marLeft w:val="274"/>
          <w:marRight w:val="0"/>
          <w:marTop w:val="115"/>
          <w:marBottom w:val="0"/>
          <w:divBdr>
            <w:top w:val="none" w:sz="0" w:space="0" w:color="auto"/>
            <w:left w:val="none" w:sz="0" w:space="0" w:color="auto"/>
            <w:bottom w:val="none" w:sz="0" w:space="0" w:color="auto"/>
            <w:right w:val="none" w:sz="0" w:space="0" w:color="auto"/>
          </w:divBdr>
        </w:div>
      </w:divsChild>
    </w:div>
    <w:div w:id="493960018">
      <w:bodyDiv w:val="1"/>
      <w:marLeft w:val="0"/>
      <w:marRight w:val="0"/>
      <w:marTop w:val="0"/>
      <w:marBottom w:val="0"/>
      <w:divBdr>
        <w:top w:val="none" w:sz="0" w:space="0" w:color="auto"/>
        <w:left w:val="none" w:sz="0" w:space="0" w:color="auto"/>
        <w:bottom w:val="none" w:sz="0" w:space="0" w:color="auto"/>
        <w:right w:val="none" w:sz="0" w:space="0" w:color="auto"/>
      </w:divBdr>
      <w:divsChild>
        <w:div w:id="283581774">
          <w:marLeft w:val="1800"/>
          <w:marRight w:val="0"/>
          <w:marTop w:val="115"/>
          <w:marBottom w:val="0"/>
          <w:divBdr>
            <w:top w:val="none" w:sz="0" w:space="0" w:color="auto"/>
            <w:left w:val="none" w:sz="0" w:space="0" w:color="auto"/>
            <w:bottom w:val="none" w:sz="0" w:space="0" w:color="auto"/>
            <w:right w:val="none" w:sz="0" w:space="0" w:color="auto"/>
          </w:divBdr>
        </w:div>
        <w:div w:id="286131741">
          <w:marLeft w:val="1166"/>
          <w:marRight w:val="0"/>
          <w:marTop w:val="134"/>
          <w:marBottom w:val="0"/>
          <w:divBdr>
            <w:top w:val="none" w:sz="0" w:space="0" w:color="auto"/>
            <w:left w:val="none" w:sz="0" w:space="0" w:color="auto"/>
            <w:bottom w:val="none" w:sz="0" w:space="0" w:color="auto"/>
            <w:right w:val="none" w:sz="0" w:space="0" w:color="auto"/>
          </w:divBdr>
        </w:div>
        <w:div w:id="763262609">
          <w:marLeft w:val="547"/>
          <w:marRight w:val="0"/>
          <w:marTop w:val="154"/>
          <w:marBottom w:val="0"/>
          <w:divBdr>
            <w:top w:val="none" w:sz="0" w:space="0" w:color="auto"/>
            <w:left w:val="none" w:sz="0" w:space="0" w:color="auto"/>
            <w:bottom w:val="none" w:sz="0" w:space="0" w:color="auto"/>
            <w:right w:val="none" w:sz="0" w:space="0" w:color="auto"/>
          </w:divBdr>
        </w:div>
        <w:div w:id="923413555">
          <w:marLeft w:val="1800"/>
          <w:marRight w:val="0"/>
          <w:marTop w:val="115"/>
          <w:marBottom w:val="0"/>
          <w:divBdr>
            <w:top w:val="none" w:sz="0" w:space="0" w:color="auto"/>
            <w:left w:val="none" w:sz="0" w:space="0" w:color="auto"/>
            <w:bottom w:val="none" w:sz="0" w:space="0" w:color="auto"/>
            <w:right w:val="none" w:sz="0" w:space="0" w:color="auto"/>
          </w:divBdr>
        </w:div>
        <w:div w:id="1264995925">
          <w:marLeft w:val="1166"/>
          <w:marRight w:val="0"/>
          <w:marTop w:val="134"/>
          <w:marBottom w:val="0"/>
          <w:divBdr>
            <w:top w:val="none" w:sz="0" w:space="0" w:color="auto"/>
            <w:left w:val="none" w:sz="0" w:space="0" w:color="auto"/>
            <w:bottom w:val="none" w:sz="0" w:space="0" w:color="auto"/>
            <w:right w:val="none" w:sz="0" w:space="0" w:color="auto"/>
          </w:divBdr>
        </w:div>
        <w:div w:id="1956715559">
          <w:marLeft w:val="1800"/>
          <w:marRight w:val="0"/>
          <w:marTop w:val="115"/>
          <w:marBottom w:val="0"/>
          <w:divBdr>
            <w:top w:val="none" w:sz="0" w:space="0" w:color="auto"/>
            <w:left w:val="none" w:sz="0" w:space="0" w:color="auto"/>
            <w:bottom w:val="none" w:sz="0" w:space="0" w:color="auto"/>
            <w:right w:val="none" w:sz="0" w:space="0" w:color="auto"/>
          </w:divBdr>
        </w:div>
      </w:divsChild>
    </w:div>
    <w:div w:id="494301115">
      <w:bodyDiv w:val="1"/>
      <w:marLeft w:val="0"/>
      <w:marRight w:val="0"/>
      <w:marTop w:val="0"/>
      <w:marBottom w:val="0"/>
      <w:divBdr>
        <w:top w:val="none" w:sz="0" w:space="0" w:color="auto"/>
        <w:left w:val="none" w:sz="0" w:space="0" w:color="auto"/>
        <w:bottom w:val="none" w:sz="0" w:space="0" w:color="auto"/>
        <w:right w:val="none" w:sz="0" w:space="0" w:color="auto"/>
      </w:divBdr>
    </w:div>
    <w:div w:id="494302705">
      <w:bodyDiv w:val="1"/>
      <w:marLeft w:val="0"/>
      <w:marRight w:val="0"/>
      <w:marTop w:val="0"/>
      <w:marBottom w:val="0"/>
      <w:divBdr>
        <w:top w:val="none" w:sz="0" w:space="0" w:color="auto"/>
        <w:left w:val="none" w:sz="0" w:space="0" w:color="auto"/>
        <w:bottom w:val="none" w:sz="0" w:space="0" w:color="auto"/>
        <w:right w:val="none" w:sz="0" w:space="0" w:color="auto"/>
      </w:divBdr>
    </w:div>
    <w:div w:id="495535212">
      <w:bodyDiv w:val="1"/>
      <w:marLeft w:val="0"/>
      <w:marRight w:val="0"/>
      <w:marTop w:val="0"/>
      <w:marBottom w:val="0"/>
      <w:divBdr>
        <w:top w:val="none" w:sz="0" w:space="0" w:color="auto"/>
        <w:left w:val="none" w:sz="0" w:space="0" w:color="auto"/>
        <w:bottom w:val="none" w:sz="0" w:space="0" w:color="auto"/>
        <w:right w:val="none" w:sz="0" w:space="0" w:color="auto"/>
      </w:divBdr>
    </w:div>
    <w:div w:id="496960510">
      <w:bodyDiv w:val="1"/>
      <w:marLeft w:val="0"/>
      <w:marRight w:val="0"/>
      <w:marTop w:val="0"/>
      <w:marBottom w:val="0"/>
      <w:divBdr>
        <w:top w:val="none" w:sz="0" w:space="0" w:color="auto"/>
        <w:left w:val="none" w:sz="0" w:space="0" w:color="auto"/>
        <w:bottom w:val="none" w:sz="0" w:space="0" w:color="auto"/>
        <w:right w:val="none" w:sz="0" w:space="0" w:color="auto"/>
      </w:divBdr>
    </w:div>
    <w:div w:id="497498401">
      <w:bodyDiv w:val="1"/>
      <w:marLeft w:val="0"/>
      <w:marRight w:val="0"/>
      <w:marTop w:val="0"/>
      <w:marBottom w:val="0"/>
      <w:divBdr>
        <w:top w:val="none" w:sz="0" w:space="0" w:color="auto"/>
        <w:left w:val="none" w:sz="0" w:space="0" w:color="auto"/>
        <w:bottom w:val="none" w:sz="0" w:space="0" w:color="auto"/>
        <w:right w:val="none" w:sz="0" w:space="0" w:color="auto"/>
      </w:divBdr>
      <w:divsChild>
        <w:div w:id="940718962">
          <w:marLeft w:val="0"/>
          <w:marRight w:val="0"/>
          <w:marTop w:val="0"/>
          <w:marBottom w:val="0"/>
          <w:divBdr>
            <w:top w:val="none" w:sz="0" w:space="0" w:color="auto"/>
            <w:left w:val="none" w:sz="0" w:space="0" w:color="auto"/>
            <w:bottom w:val="none" w:sz="0" w:space="0" w:color="auto"/>
            <w:right w:val="none" w:sz="0" w:space="0" w:color="auto"/>
          </w:divBdr>
          <w:divsChild>
            <w:div w:id="1994064898">
              <w:marLeft w:val="0"/>
              <w:marRight w:val="0"/>
              <w:marTop w:val="0"/>
              <w:marBottom w:val="0"/>
              <w:divBdr>
                <w:top w:val="none" w:sz="0" w:space="0" w:color="auto"/>
                <w:left w:val="none" w:sz="0" w:space="0" w:color="auto"/>
                <w:bottom w:val="none" w:sz="0" w:space="0" w:color="auto"/>
                <w:right w:val="none" w:sz="0" w:space="0" w:color="auto"/>
              </w:divBdr>
              <w:divsChild>
                <w:div w:id="1073503975">
                  <w:marLeft w:val="0"/>
                  <w:marRight w:val="0"/>
                  <w:marTop w:val="0"/>
                  <w:marBottom w:val="0"/>
                  <w:divBdr>
                    <w:top w:val="none" w:sz="0" w:space="0" w:color="auto"/>
                    <w:left w:val="none" w:sz="0" w:space="0" w:color="auto"/>
                    <w:bottom w:val="none" w:sz="0" w:space="0" w:color="auto"/>
                    <w:right w:val="none" w:sz="0" w:space="0" w:color="auto"/>
                  </w:divBdr>
                  <w:divsChild>
                    <w:div w:id="774593087">
                      <w:marLeft w:val="0"/>
                      <w:marRight w:val="0"/>
                      <w:marTop w:val="0"/>
                      <w:marBottom w:val="0"/>
                      <w:divBdr>
                        <w:top w:val="none" w:sz="0" w:space="0" w:color="auto"/>
                        <w:left w:val="none" w:sz="0" w:space="0" w:color="auto"/>
                        <w:bottom w:val="none" w:sz="0" w:space="0" w:color="auto"/>
                        <w:right w:val="none" w:sz="0" w:space="0" w:color="auto"/>
                      </w:divBdr>
                      <w:divsChild>
                        <w:div w:id="1933199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1284510">
                  <w:marLeft w:val="0"/>
                  <w:marRight w:val="0"/>
                  <w:marTop w:val="0"/>
                  <w:marBottom w:val="0"/>
                  <w:divBdr>
                    <w:top w:val="none" w:sz="0" w:space="0" w:color="auto"/>
                    <w:left w:val="none" w:sz="0" w:space="0" w:color="auto"/>
                    <w:bottom w:val="none" w:sz="0" w:space="0" w:color="auto"/>
                    <w:right w:val="none" w:sz="0" w:space="0" w:color="auto"/>
                  </w:divBdr>
                  <w:divsChild>
                    <w:div w:id="2050294720">
                      <w:marLeft w:val="0"/>
                      <w:marRight w:val="0"/>
                      <w:marTop w:val="0"/>
                      <w:marBottom w:val="0"/>
                      <w:divBdr>
                        <w:top w:val="none" w:sz="0" w:space="0" w:color="auto"/>
                        <w:left w:val="none" w:sz="0" w:space="0" w:color="auto"/>
                        <w:bottom w:val="none" w:sz="0" w:space="0" w:color="auto"/>
                        <w:right w:val="none" w:sz="0" w:space="0" w:color="auto"/>
                      </w:divBdr>
                      <w:divsChild>
                        <w:div w:id="1317879755">
                          <w:marLeft w:val="0"/>
                          <w:marRight w:val="0"/>
                          <w:marTop w:val="0"/>
                          <w:marBottom w:val="0"/>
                          <w:divBdr>
                            <w:top w:val="none" w:sz="0" w:space="0" w:color="auto"/>
                            <w:left w:val="none" w:sz="0" w:space="0" w:color="auto"/>
                            <w:bottom w:val="none" w:sz="0" w:space="0" w:color="auto"/>
                            <w:right w:val="none" w:sz="0" w:space="0" w:color="auto"/>
                          </w:divBdr>
                          <w:divsChild>
                            <w:div w:id="1395273049">
                              <w:marLeft w:val="0"/>
                              <w:marRight w:val="0"/>
                              <w:marTop w:val="0"/>
                              <w:marBottom w:val="0"/>
                              <w:divBdr>
                                <w:top w:val="none" w:sz="0" w:space="0" w:color="auto"/>
                                <w:left w:val="none" w:sz="0" w:space="0" w:color="auto"/>
                                <w:bottom w:val="none" w:sz="0" w:space="0" w:color="auto"/>
                                <w:right w:val="none" w:sz="0" w:space="0" w:color="auto"/>
                              </w:divBdr>
                              <w:divsChild>
                                <w:div w:id="985470186">
                                  <w:marLeft w:val="0"/>
                                  <w:marRight w:val="0"/>
                                  <w:marTop w:val="0"/>
                                  <w:marBottom w:val="0"/>
                                  <w:divBdr>
                                    <w:top w:val="none" w:sz="0" w:space="0" w:color="auto"/>
                                    <w:left w:val="none" w:sz="0" w:space="0" w:color="auto"/>
                                    <w:bottom w:val="none" w:sz="0" w:space="0" w:color="auto"/>
                                    <w:right w:val="none" w:sz="0" w:space="0" w:color="auto"/>
                                  </w:divBdr>
                                  <w:divsChild>
                                    <w:div w:id="2139838258">
                                      <w:marLeft w:val="0"/>
                                      <w:marRight w:val="0"/>
                                      <w:marTop w:val="0"/>
                                      <w:marBottom w:val="0"/>
                                      <w:divBdr>
                                        <w:top w:val="none" w:sz="0" w:space="0" w:color="auto"/>
                                        <w:left w:val="none" w:sz="0" w:space="0" w:color="auto"/>
                                        <w:bottom w:val="none" w:sz="0" w:space="0" w:color="auto"/>
                                        <w:right w:val="none" w:sz="0" w:space="0" w:color="auto"/>
                                      </w:divBdr>
                                      <w:divsChild>
                                        <w:div w:id="804736779">
                                          <w:marLeft w:val="0"/>
                                          <w:marRight w:val="0"/>
                                          <w:marTop w:val="0"/>
                                          <w:marBottom w:val="0"/>
                                          <w:divBdr>
                                            <w:top w:val="none" w:sz="0" w:space="0" w:color="auto"/>
                                            <w:left w:val="none" w:sz="0" w:space="0" w:color="auto"/>
                                            <w:bottom w:val="none" w:sz="0" w:space="0" w:color="auto"/>
                                            <w:right w:val="none" w:sz="0" w:space="0" w:color="auto"/>
                                          </w:divBdr>
                                          <w:divsChild>
                                            <w:div w:id="1806850159">
                                              <w:marLeft w:val="0"/>
                                              <w:marRight w:val="0"/>
                                              <w:marTop w:val="0"/>
                                              <w:marBottom w:val="0"/>
                                              <w:divBdr>
                                                <w:top w:val="none" w:sz="0" w:space="0" w:color="auto"/>
                                                <w:left w:val="none" w:sz="0" w:space="0" w:color="auto"/>
                                                <w:bottom w:val="none" w:sz="0" w:space="0" w:color="auto"/>
                                                <w:right w:val="none" w:sz="0" w:space="0" w:color="auto"/>
                                              </w:divBdr>
                                              <w:divsChild>
                                                <w:div w:id="456685651">
                                                  <w:marLeft w:val="0"/>
                                                  <w:marRight w:val="0"/>
                                                  <w:marTop w:val="0"/>
                                                  <w:marBottom w:val="0"/>
                                                  <w:divBdr>
                                                    <w:top w:val="none" w:sz="0" w:space="0" w:color="auto"/>
                                                    <w:left w:val="none" w:sz="0" w:space="0" w:color="auto"/>
                                                    <w:bottom w:val="none" w:sz="0" w:space="0" w:color="auto"/>
                                                    <w:right w:val="none" w:sz="0" w:space="0" w:color="auto"/>
                                                  </w:divBdr>
                                                  <w:divsChild>
                                                    <w:div w:id="865560460">
                                                      <w:marLeft w:val="0"/>
                                                      <w:marRight w:val="0"/>
                                                      <w:marTop w:val="0"/>
                                                      <w:marBottom w:val="0"/>
                                                      <w:divBdr>
                                                        <w:top w:val="none" w:sz="0" w:space="0" w:color="auto"/>
                                                        <w:left w:val="none" w:sz="0" w:space="0" w:color="auto"/>
                                                        <w:bottom w:val="none" w:sz="0" w:space="0" w:color="auto"/>
                                                        <w:right w:val="none" w:sz="0" w:space="0" w:color="auto"/>
                                                      </w:divBdr>
                                                      <w:divsChild>
                                                        <w:div w:id="1089276006">
                                                          <w:marLeft w:val="0"/>
                                                          <w:marRight w:val="0"/>
                                                          <w:marTop w:val="0"/>
                                                          <w:marBottom w:val="0"/>
                                                          <w:divBdr>
                                                            <w:top w:val="none" w:sz="0" w:space="0" w:color="auto"/>
                                                            <w:left w:val="none" w:sz="0" w:space="0" w:color="auto"/>
                                                            <w:bottom w:val="none" w:sz="0" w:space="0" w:color="auto"/>
                                                            <w:right w:val="none" w:sz="0" w:space="0" w:color="auto"/>
                                                          </w:divBdr>
                                                          <w:divsChild>
                                                            <w:div w:id="931471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9911107">
                                                  <w:marLeft w:val="0"/>
                                                  <w:marRight w:val="0"/>
                                                  <w:marTop w:val="0"/>
                                                  <w:marBottom w:val="0"/>
                                                  <w:divBdr>
                                                    <w:top w:val="none" w:sz="0" w:space="0" w:color="auto"/>
                                                    <w:left w:val="none" w:sz="0" w:space="0" w:color="auto"/>
                                                    <w:bottom w:val="none" w:sz="0" w:space="0" w:color="auto"/>
                                                    <w:right w:val="none" w:sz="0" w:space="0" w:color="auto"/>
                                                  </w:divBdr>
                                                  <w:divsChild>
                                                    <w:div w:id="2062359538">
                                                      <w:marLeft w:val="0"/>
                                                      <w:marRight w:val="0"/>
                                                      <w:marTop w:val="0"/>
                                                      <w:marBottom w:val="0"/>
                                                      <w:divBdr>
                                                        <w:top w:val="none" w:sz="0" w:space="0" w:color="auto"/>
                                                        <w:left w:val="none" w:sz="0" w:space="0" w:color="auto"/>
                                                        <w:bottom w:val="none" w:sz="0" w:space="0" w:color="auto"/>
                                                        <w:right w:val="none" w:sz="0" w:space="0" w:color="auto"/>
                                                      </w:divBdr>
                                                      <w:divsChild>
                                                        <w:div w:id="1790128141">
                                                          <w:marLeft w:val="0"/>
                                                          <w:marRight w:val="0"/>
                                                          <w:marTop w:val="0"/>
                                                          <w:marBottom w:val="0"/>
                                                          <w:divBdr>
                                                            <w:top w:val="none" w:sz="0" w:space="0" w:color="auto"/>
                                                            <w:left w:val="none" w:sz="0" w:space="0" w:color="auto"/>
                                                            <w:bottom w:val="none" w:sz="0" w:space="0" w:color="auto"/>
                                                            <w:right w:val="none" w:sz="0" w:space="0" w:color="auto"/>
                                                          </w:divBdr>
                                                          <w:divsChild>
                                                            <w:div w:id="761486142">
                                                              <w:marLeft w:val="0"/>
                                                              <w:marRight w:val="0"/>
                                                              <w:marTop w:val="0"/>
                                                              <w:marBottom w:val="0"/>
                                                              <w:divBdr>
                                                                <w:top w:val="none" w:sz="0" w:space="0" w:color="auto"/>
                                                                <w:left w:val="none" w:sz="0" w:space="0" w:color="auto"/>
                                                                <w:bottom w:val="none" w:sz="0" w:space="0" w:color="auto"/>
                                                                <w:right w:val="none" w:sz="0" w:space="0" w:color="auto"/>
                                                              </w:divBdr>
                                                              <w:divsChild>
                                                                <w:div w:id="1762677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6671819">
                                                  <w:marLeft w:val="0"/>
                                                  <w:marRight w:val="0"/>
                                                  <w:marTop w:val="0"/>
                                                  <w:marBottom w:val="0"/>
                                                  <w:divBdr>
                                                    <w:top w:val="none" w:sz="0" w:space="0" w:color="auto"/>
                                                    <w:left w:val="none" w:sz="0" w:space="0" w:color="auto"/>
                                                    <w:bottom w:val="none" w:sz="0" w:space="0" w:color="auto"/>
                                                    <w:right w:val="none" w:sz="0" w:space="0" w:color="auto"/>
                                                  </w:divBdr>
                                                  <w:divsChild>
                                                    <w:div w:id="1367296957">
                                                      <w:marLeft w:val="0"/>
                                                      <w:marRight w:val="0"/>
                                                      <w:marTop w:val="0"/>
                                                      <w:marBottom w:val="0"/>
                                                      <w:divBdr>
                                                        <w:top w:val="none" w:sz="0" w:space="0" w:color="auto"/>
                                                        <w:left w:val="none" w:sz="0" w:space="0" w:color="auto"/>
                                                        <w:bottom w:val="none" w:sz="0" w:space="0" w:color="auto"/>
                                                        <w:right w:val="none" w:sz="0" w:space="0" w:color="auto"/>
                                                      </w:divBdr>
                                                      <w:divsChild>
                                                        <w:div w:id="82000542">
                                                          <w:marLeft w:val="0"/>
                                                          <w:marRight w:val="0"/>
                                                          <w:marTop w:val="0"/>
                                                          <w:marBottom w:val="0"/>
                                                          <w:divBdr>
                                                            <w:top w:val="none" w:sz="0" w:space="0" w:color="auto"/>
                                                            <w:left w:val="none" w:sz="0" w:space="0" w:color="auto"/>
                                                            <w:bottom w:val="none" w:sz="0" w:space="0" w:color="auto"/>
                                                            <w:right w:val="none" w:sz="0" w:space="0" w:color="auto"/>
                                                          </w:divBdr>
                                                          <w:divsChild>
                                                            <w:div w:id="986514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7607938">
                                                  <w:marLeft w:val="0"/>
                                                  <w:marRight w:val="0"/>
                                                  <w:marTop w:val="0"/>
                                                  <w:marBottom w:val="0"/>
                                                  <w:divBdr>
                                                    <w:top w:val="none" w:sz="0" w:space="0" w:color="auto"/>
                                                    <w:left w:val="none" w:sz="0" w:space="0" w:color="auto"/>
                                                    <w:bottom w:val="none" w:sz="0" w:space="0" w:color="auto"/>
                                                    <w:right w:val="none" w:sz="0" w:space="0" w:color="auto"/>
                                                  </w:divBdr>
                                                  <w:divsChild>
                                                    <w:div w:id="1619334450">
                                                      <w:marLeft w:val="0"/>
                                                      <w:marRight w:val="0"/>
                                                      <w:marTop w:val="0"/>
                                                      <w:marBottom w:val="0"/>
                                                      <w:divBdr>
                                                        <w:top w:val="none" w:sz="0" w:space="0" w:color="auto"/>
                                                        <w:left w:val="none" w:sz="0" w:space="0" w:color="auto"/>
                                                        <w:bottom w:val="none" w:sz="0" w:space="0" w:color="auto"/>
                                                        <w:right w:val="none" w:sz="0" w:space="0" w:color="auto"/>
                                                      </w:divBdr>
                                                      <w:divsChild>
                                                        <w:div w:id="366413717">
                                                          <w:marLeft w:val="0"/>
                                                          <w:marRight w:val="0"/>
                                                          <w:marTop w:val="0"/>
                                                          <w:marBottom w:val="0"/>
                                                          <w:divBdr>
                                                            <w:top w:val="none" w:sz="0" w:space="0" w:color="auto"/>
                                                            <w:left w:val="none" w:sz="0" w:space="0" w:color="auto"/>
                                                            <w:bottom w:val="none" w:sz="0" w:space="0" w:color="auto"/>
                                                            <w:right w:val="none" w:sz="0" w:space="0" w:color="auto"/>
                                                          </w:divBdr>
                                                          <w:divsChild>
                                                            <w:div w:id="1894611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5798571">
                                                  <w:marLeft w:val="0"/>
                                                  <w:marRight w:val="0"/>
                                                  <w:marTop w:val="0"/>
                                                  <w:marBottom w:val="0"/>
                                                  <w:divBdr>
                                                    <w:top w:val="none" w:sz="0" w:space="0" w:color="auto"/>
                                                    <w:left w:val="none" w:sz="0" w:space="0" w:color="auto"/>
                                                    <w:bottom w:val="none" w:sz="0" w:space="0" w:color="auto"/>
                                                    <w:right w:val="none" w:sz="0" w:space="0" w:color="auto"/>
                                                  </w:divBdr>
                                                  <w:divsChild>
                                                    <w:div w:id="217129245">
                                                      <w:marLeft w:val="0"/>
                                                      <w:marRight w:val="0"/>
                                                      <w:marTop w:val="0"/>
                                                      <w:marBottom w:val="0"/>
                                                      <w:divBdr>
                                                        <w:top w:val="none" w:sz="0" w:space="0" w:color="auto"/>
                                                        <w:left w:val="none" w:sz="0" w:space="0" w:color="auto"/>
                                                        <w:bottom w:val="none" w:sz="0" w:space="0" w:color="auto"/>
                                                        <w:right w:val="none" w:sz="0" w:space="0" w:color="auto"/>
                                                      </w:divBdr>
                                                      <w:divsChild>
                                                        <w:div w:id="209462822">
                                                          <w:marLeft w:val="0"/>
                                                          <w:marRight w:val="0"/>
                                                          <w:marTop w:val="0"/>
                                                          <w:marBottom w:val="0"/>
                                                          <w:divBdr>
                                                            <w:top w:val="none" w:sz="0" w:space="0" w:color="auto"/>
                                                            <w:left w:val="none" w:sz="0" w:space="0" w:color="auto"/>
                                                            <w:bottom w:val="none" w:sz="0" w:space="0" w:color="auto"/>
                                                            <w:right w:val="none" w:sz="0" w:space="0" w:color="auto"/>
                                                          </w:divBdr>
                                                          <w:divsChild>
                                                            <w:div w:id="766267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6974256">
                                                  <w:marLeft w:val="0"/>
                                                  <w:marRight w:val="0"/>
                                                  <w:marTop w:val="0"/>
                                                  <w:marBottom w:val="0"/>
                                                  <w:divBdr>
                                                    <w:top w:val="none" w:sz="0" w:space="0" w:color="auto"/>
                                                    <w:left w:val="none" w:sz="0" w:space="0" w:color="auto"/>
                                                    <w:bottom w:val="none" w:sz="0" w:space="0" w:color="auto"/>
                                                    <w:right w:val="none" w:sz="0" w:space="0" w:color="auto"/>
                                                  </w:divBdr>
                                                  <w:divsChild>
                                                    <w:div w:id="1736781523">
                                                      <w:marLeft w:val="0"/>
                                                      <w:marRight w:val="0"/>
                                                      <w:marTop w:val="0"/>
                                                      <w:marBottom w:val="0"/>
                                                      <w:divBdr>
                                                        <w:top w:val="none" w:sz="0" w:space="0" w:color="auto"/>
                                                        <w:left w:val="none" w:sz="0" w:space="0" w:color="auto"/>
                                                        <w:bottom w:val="none" w:sz="0" w:space="0" w:color="auto"/>
                                                        <w:right w:val="none" w:sz="0" w:space="0" w:color="auto"/>
                                                      </w:divBdr>
                                                      <w:divsChild>
                                                        <w:div w:id="806318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0768703">
                                                  <w:marLeft w:val="0"/>
                                                  <w:marRight w:val="0"/>
                                                  <w:marTop w:val="0"/>
                                                  <w:marBottom w:val="0"/>
                                                  <w:divBdr>
                                                    <w:top w:val="none" w:sz="0" w:space="0" w:color="auto"/>
                                                    <w:left w:val="none" w:sz="0" w:space="0" w:color="auto"/>
                                                    <w:bottom w:val="none" w:sz="0" w:space="0" w:color="auto"/>
                                                    <w:right w:val="none" w:sz="0" w:space="0" w:color="auto"/>
                                                  </w:divBdr>
                                                  <w:divsChild>
                                                    <w:div w:id="216210784">
                                                      <w:marLeft w:val="0"/>
                                                      <w:marRight w:val="0"/>
                                                      <w:marTop w:val="0"/>
                                                      <w:marBottom w:val="0"/>
                                                      <w:divBdr>
                                                        <w:top w:val="none" w:sz="0" w:space="0" w:color="auto"/>
                                                        <w:left w:val="none" w:sz="0" w:space="0" w:color="auto"/>
                                                        <w:bottom w:val="none" w:sz="0" w:space="0" w:color="auto"/>
                                                        <w:right w:val="none" w:sz="0" w:space="0" w:color="auto"/>
                                                      </w:divBdr>
                                                      <w:divsChild>
                                                        <w:div w:id="449324191">
                                                          <w:marLeft w:val="0"/>
                                                          <w:marRight w:val="0"/>
                                                          <w:marTop w:val="0"/>
                                                          <w:marBottom w:val="0"/>
                                                          <w:divBdr>
                                                            <w:top w:val="none" w:sz="0" w:space="0" w:color="auto"/>
                                                            <w:left w:val="none" w:sz="0" w:space="0" w:color="auto"/>
                                                            <w:bottom w:val="none" w:sz="0" w:space="0" w:color="auto"/>
                                                            <w:right w:val="none" w:sz="0" w:space="0" w:color="auto"/>
                                                          </w:divBdr>
                                                          <w:divsChild>
                                                            <w:div w:id="1763337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17070123">
                  <w:marLeft w:val="0"/>
                  <w:marRight w:val="0"/>
                  <w:marTop w:val="0"/>
                  <w:marBottom w:val="0"/>
                  <w:divBdr>
                    <w:top w:val="none" w:sz="0" w:space="0" w:color="auto"/>
                    <w:left w:val="none" w:sz="0" w:space="0" w:color="auto"/>
                    <w:bottom w:val="none" w:sz="0" w:space="0" w:color="auto"/>
                    <w:right w:val="none" w:sz="0" w:space="0" w:color="auto"/>
                  </w:divBdr>
                  <w:divsChild>
                    <w:div w:id="354503591">
                      <w:marLeft w:val="0"/>
                      <w:marRight w:val="0"/>
                      <w:marTop w:val="0"/>
                      <w:marBottom w:val="0"/>
                      <w:divBdr>
                        <w:top w:val="none" w:sz="0" w:space="0" w:color="auto"/>
                        <w:left w:val="none" w:sz="0" w:space="0" w:color="auto"/>
                        <w:bottom w:val="none" w:sz="0" w:space="0" w:color="auto"/>
                        <w:right w:val="none" w:sz="0" w:space="0" w:color="auto"/>
                      </w:divBdr>
                      <w:divsChild>
                        <w:div w:id="1628897404">
                          <w:marLeft w:val="0"/>
                          <w:marRight w:val="0"/>
                          <w:marTop w:val="0"/>
                          <w:marBottom w:val="0"/>
                          <w:divBdr>
                            <w:top w:val="none" w:sz="0" w:space="0" w:color="auto"/>
                            <w:left w:val="none" w:sz="0" w:space="0" w:color="auto"/>
                            <w:bottom w:val="none" w:sz="0" w:space="0" w:color="auto"/>
                            <w:right w:val="none" w:sz="0" w:space="0" w:color="auto"/>
                          </w:divBdr>
                          <w:divsChild>
                            <w:div w:id="1934581219">
                              <w:marLeft w:val="0"/>
                              <w:marRight w:val="0"/>
                              <w:marTop w:val="0"/>
                              <w:marBottom w:val="0"/>
                              <w:divBdr>
                                <w:top w:val="none" w:sz="0" w:space="0" w:color="auto"/>
                                <w:left w:val="none" w:sz="0" w:space="0" w:color="auto"/>
                                <w:bottom w:val="none" w:sz="0" w:space="0" w:color="auto"/>
                                <w:right w:val="none" w:sz="0" w:space="0" w:color="auto"/>
                              </w:divBdr>
                              <w:divsChild>
                                <w:div w:id="1336690589">
                                  <w:marLeft w:val="0"/>
                                  <w:marRight w:val="0"/>
                                  <w:marTop w:val="0"/>
                                  <w:marBottom w:val="0"/>
                                  <w:divBdr>
                                    <w:top w:val="none" w:sz="0" w:space="0" w:color="auto"/>
                                    <w:left w:val="none" w:sz="0" w:space="0" w:color="auto"/>
                                    <w:bottom w:val="none" w:sz="0" w:space="0" w:color="auto"/>
                                    <w:right w:val="none" w:sz="0" w:space="0" w:color="auto"/>
                                  </w:divBdr>
                                  <w:divsChild>
                                    <w:div w:id="38212361">
                                      <w:marLeft w:val="0"/>
                                      <w:marRight w:val="0"/>
                                      <w:marTop w:val="0"/>
                                      <w:marBottom w:val="0"/>
                                      <w:divBdr>
                                        <w:top w:val="none" w:sz="0" w:space="0" w:color="auto"/>
                                        <w:left w:val="none" w:sz="0" w:space="0" w:color="auto"/>
                                        <w:bottom w:val="none" w:sz="0" w:space="0" w:color="auto"/>
                                        <w:right w:val="none" w:sz="0" w:space="0" w:color="auto"/>
                                      </w:divBdr>
                                    </w:div>
                                    <w:div w:id="52198634">
                                      <w:marLeft w:val="0"/>
                                      <w:marRight w:val="0"/>
                                      <w:marTop w:val="0"/>
                                      <w:marBottom w:val="0"/>
                                      <w:divBdr>
                                        <w:top w:val="none" w:sz="0" w:space="0" w:color="auto"/>
                                        <w:left w:val="none" w:sz="0" w:space="0" w:color="auto"/>
                                        <w:bottom w:val="none" w:sz="0" w:space="0" w:color="auto"/>
                                        <w:right w:val="none" w:sz="0" w:space="0" w:color="auto"/>
                                      </w:divBdr>
                                    </w:div>
                                    <w:div w:id="92945490">
                                      <w:marLeft w:val="0"/>
                                      <w:marRight w:val="0"/>
                                      <w:marTop w:val="0"/>
                                      <w:marBottom w:val="0"/>
                                      <w:divBdr>
                                        <w:top w:val="none" w:sz="0" w:space="0" w:color="auto"/>
                                        <w:left w:val="none" w:sz="0" w:space="0" w:color="auto"/>
                                        <w:bottom w:val="none" w:sz="0" w:space="0" w:color="auto"/>
                                        <w:right w:val="none" w:sz="0" w:space="0" w:color="auto"/>
                                      </w:divBdr>
                                    </w:div>
                                    <w:div w:id="133107077">
                                      <w:marLeft w:val="0"/>
                                      <w:marRight w:val="0"/>
                                      <w:marTop w:val="0"/>
                                      <w:marBottom w:val="0"/>
                                      <w:divBdr>
                                        <w:top w:val="none" w:sz="0" w:space="0" w:color="auto"/>
                                        <w:left w:val="none" w:sz="0" w:space="0" w:color="auto"/>
                                        <w:bottom w:val="none" w:sz="0" w:space="0" w:color="auto"/>
                                        <w:right w:val="none" w:sz="0" w:space="0" w:color="auto"/>
                                      </w:divBdr>
                                    </w:div>
                                    <w:div w:id="160201050">
                                      <w:marLeft w:val="0"/>
                                      <w:marRight w:val="0"/>
                                      <w:marTop w:val="0"/>
                                      <w:marBottom w:val="0"/>
                                      <w:divBdr>
                                        <w:top w:val="none" w:sz="0" w:space="0" w:color="auto"/>
                                        <w:left w:val="none" w:sz="0" w:space="0" w:color="auto"/>
                                        <w:bottom w:val="none" w:sz="0" w:space="0" w:color="auto"/>
                                        <w:right w:val="none" w:sz="0" w:space="0" w:color="auto"/>
                                      </w:divBdr>
                                    </w:div>
                                    <w:div w:id="196242356">
                                      <w:marLeft w:val="0"/>
                                      <w:marRight w:val="0"/>
                                      <w:marTop w:val="0"/>
                                      <w:marBottom w:val="0"/>
                                      <w:divBdr>
                                        <w:top w:val="none" w:sz="0" w:space="0" w:color="auto"/>
                                        <w:left w:val="none" w:sz="0" w:space="0" w:color="auto"/>
                                        <w:bottom w:val="none" w:sz="0" w:space="0" w:color="auto"/>
                                        <w:right w:val="none" w:sz="0" w:space="0" w:color="auto"/>
                                      </w:divBdr>
                                    </w:div>
                                    <w:div w:id="448670841">
                                      <w:marLeft w:val="0"/>
                                      <w:marRight w:val="0"/>
                                      <w:marTop w:val="0"/>
                                      <w:marBottom w:val="0"/>
                                      <w:divBdr>
                                        <w:top w:val="none" w:sz="0" w:space="0" w:color="auto"/>
                                        <w:left w:val="none" w:sz="0" w:space="0" w:color="auto"/>
                                        <w:bottom w:val="none" w:sz="0" w:space="0" w:color="auto"/>
                                        <w:right w:val="none" w:sz="0" w:space="0" w:color="auto"/>
                                      </w:divBdr>
                                    </w:div>
                                    <w:div w:id="590940581">
                                      <w:marLeft w:val="0"/>
                                      <w:marRight w:val="0"/>
                                      <w:marTop w:val="0"/>
                                      <w:marBottom w:val="0"/>
                                      <w:divBdr>
                                        <w:top w:val="none" w:sz="0" w:space="0" w:color="auto"/>
                                        <w:left w:val="none" w:sz="0" w:space="0" w:color="auto"/>
                                        <w:bottom w:val="none" w:sz="0" w:space="0" w:color="auto"/>
                                        <w:right w:val="none" w:sz="0" w:space="0" w:color="auto"/>
                                      </w:divBdr>
                                    </w:div>
                                    <w:div w:id="652678243">
                                      <w:marLeft w:val="0"/>
                                      <w:marRight w:val="0"/>
                                      <w:marTop w:val="0"/>
                                      <w:marBottom w:val="0"/>
                                      <w:divBdr>
                                        <w:top w:val="none" w:sz="0" w:space="0" w:color="auto"/>
                                        <w:left w:val="none" w:sz="0" w:space="0" w:color="auto"/>
                                        <w:bottom w:val="none" w:sz="0" w:space="0" w:color="auto"/>
                                        <w:right w:val="none" w:sz="0" w:space="0" w:color="auto"/>
                                      </w:divBdr>
                                    </w:div>
                                    <w:div w:id="667177361">
                                      <w:marLeft w:val="0"/>
                                      <w:marRight w:val="0"/>
                                      <w:marTop w:val="0"/>
                                      <w:marBottom w:val="0"/>
                                      <w:divBdr>
                                        <w:top w:val="none" w:sz="0" w:space="0" w:color="auto"/>
                                        <w:left w:val="none" w:sz="0" w:space="0" w:color="auto"/>
                                        <w:bottom w:val="none" w:sz="0" w:space="0" w:color="auto"/>
                                        <w:right w:val="none" w:sz="0" w:space="0" w:color="auto"/>
                                      </w:divBdr>
                                    </w:div>
                                    <w:div w:id="669910892">
                                      <w:marLeft w:val="0"/>
                                      <w:marRight w:val="0"/>
                                      <w:marTop w:val="0"/>
                                      <w:marBottom w:val="0"/>
                                      <w:divBdr>
                                        <w:top w:val="none" w:sz="0" w:space="0" w:color="auto"/>
                                        <w:left w:val="none" w:sz="0" w:space="0" w:color="auto"/>
                                        <w:bottom w:val="none" w:sz="0" w:space="0" w:color="auto"/>
                                        <w:right w:val="none" w:sz="0" w:space="0" w:color="auto"/>
                                      </w:divBdr>
                                    </w:div>
                                    <w:div w:id="770854276">
                                      <w:marLeft w:val="0"/>
                                      <w:marRight w:val="0"/>
                                      <w:marTop w:val="0"/>
                                      <w:marBottom w:val="0"/>
                                      <w:divBdr>
                                        <w:top w:val="none" w:sz="0" w:space="0" w:color="auto"/>
                                        <w:left w:val="none" w:sz="0" w:space="0" w:color="auto"/>
                                        <w:bottom w:val="none" w:sz="0" w:space="0" w:color="auto"/>
                                        <w:right w:val="none" w:sz="0" w:space="0" w:color="auto"/>
                                      </w:divBdr>
                                    </w:div>
                                    <w:div w:id="1016151167">
                                      <w:marLeft w:val="0"/>
                                      <w:marRight w:val="0"/>
                                      <w:marTop w:val="0"/>
                                      <w:marBottom w:val="0"/>
                                      <w:divBdr>
                                        <w:top w:val="none" w:sz="0" w:space="0" w:color="auto"/>
                                        <w:left w:val="none" w:sz="0" w:space="0" w:color="auto"/>
                                        <w:bottom w:val="none" w:sz="0" w:space="0" w:color="auto"/>
                                        <w:right w:val="none" w:sz="0" w:space="0" w:color="auto"/>
                                      </w:divBdr>
                                    </w:div>
                                    <w:div w:id="1046249180">
                                      <w:marLeft w:val="0"/>
                                      <w:marRight w:val="0"/>
                                      <w:marTop w:val="0"/>
                                      <w:marBottom w:val="0"/>
                                      <w:divBdr>
                                        <w:top w:val="none" w:sz="0" w:space="0" w:color="auto"/>
                                        <w:left w:val="none" w:sz="0" w:space="0" w:color="auto"/>
                                        <w:bottom w:val="none" w:sz="0" w:space="0" w:color="auto"/>
                                        <w:right w:val="none" w:sz="0" w:space="0" w:color="auto"/>
                                      </w:divBdr>
                                    </w:div>
                                    <w:div w:id="1220746318">
                                      <w:marLeft w:val="0"/>
                                      <w:marRight w:val="0"/>
                                      <w:marTop w:val="0"/>
                                      <w:marBottom w:val="0"/>
                                      <w:divBdr>
                                        <w:top w:val="none" w:sz="0" w:space="0" w:color="auto"/>
                                        <w:left w:val="none" w:sz="0" w:space="0" w:color="auto"/>
                                        <w:bottom w:val="none" w:sz="0" w:space="0" w:color="auto"/>
                                        <w:right w:val="none" w:sz="0" w:space="0" w:color="auto"/>
                                      </w:divBdr>
                                    </w:div>
                                    <w:div w:id="1222863536">
                                      <w:marLeft w:val="0"/>
                                      <w:marRight w:val="0"/>
                                      <w:marTop w:val="0"/>
                                      <w:marBottom w:val="0"/>
                                      <w:divBdr>
                                        <w:top w:val="none" w:sz="0" w:space="0" w:color="auto"/>
                                        <w:left w:val="none" w:sz="0" w:space="0" w:color="auto"/>
                                        <w:bottom w:val="none" w:sz="0" w:space="0" w:color="auto"/>
                                        <w:right w:val="none" w:sz="0" w:space="0" w:color="auto"/>
                                      </w:divBdr>
                                    </w:div>
                                    <w:div w:id="1354767752">
                                      <w:marLeft w:val="0"/>
                                      <w:marRight w:val="0"/>
                                      <w:marTop w:val="0"/>
                                      <w:marBottom w:val="0"/>
                                      <w:divBdr>
                                        <w:top w:val="none" w:sz="0" w:space="0" w:color="auto"/>
                                        <w:left w:val="none" w:sz="0" w:space="0" w:color="auto"/>
                                        <w:bottom w:val="none" w:sz="0" w:space="0" w:color="auto"/>
                                        <w:right w:val="none" w:sz="0" w:space="0" w:color="auto"/>
                                      </w:divBdr>
                                    </w:div>
                                    <w:div w:id="1436364453">
                                      <w:marLeft w:val="0"/>
                                      <w:marRight w:val="0"/>
                                      <w:marTop w:val="0"/>
                                      <w:marBottom w:val="0"/>
                                      <w:divBdr>
                                        <w:top w:val="none" w:sz="0" w:space="0" w:color="auto"/>
                                        <w:left w:val="none" w:sz="0" w:space="0" w:color="auto"/>
                                        <w:bottom w:val="none" w:sz="0" w:space="0" w:color="auto"/>
                                        <w:right w:val="none" w:sz="0" w:space="0" w:color="auto"/>
                                      </w:divBdr>
                                    </w:div>
                                    <w:div w:id="1477138854">
                                      <w:marLeft w:val="0"/>
                                      <w:marRight w:val="0"/>
                                      <w:marTop w:val="0"/>
                                      <w:marBottom w:val="0"/>
                                      <w:divBdr>
                                        <w:top w:val="none" w:sz="0" w:space="0" w:color="auto"/>
                                        <w:left w:val="none" w:sz="0" w:space="0" w:color="auto"/>
                                        <w:bottom w:val="none" w:sz="0" w:space="0" w:color="auto"/>
                                        <w:right w:val="none" w:sz="0" w:space="0" w:color="auto"/>
                                      </w:divBdr>
                                    </w:div>
                                    <w:div w:id="1689987692">
                                      <w:marLeft w:val="0"/>
                                      <w:marRight w:val="0"/>
                                      <w:marTop w:val="0"/>
                                      <w:marBottom w:val="0"/>
                                      <w:divBdr>
                                        <w:top w:val="none" w:sz="0" w:space="0" w:color="auto"/>
                                        <w:left w:val="none" w:sz="0" w:space="0" w:color="auto"/>
                                        <w:bottom w:val="none" w:sz="0" w:space="0" w:color="auto"/>
                                        <w:right w:val="none" w:sz="0" w:space="0" w:color="auto"/>
                                      </w:divBdr>
                                    </w:div>
                                    <w:div w:id="1712027236">
                                      <w:marLeft w:val="0"/>
                                      <w:marRight w:val="0"/>
                                      <w:marTop w:val="0"/>
                                      <w:marBottom w:val="0"/>
                                      <w:divBdr>
                                        <w:top w:val="none" w:sz="0" w:space="0" w:color="auto"/>
                                        <w:left w:val="none" w:sz="0" w:space="0" w:color="auto"/>
                                        <w:bottom w:val="none" w:sz="0" w:space="0" w:color="auto"/>
                                        <w:right w:val="none" w:sz="0" w:space="0" w:color="auto"/>
                                      </w:divBdr>
                                    </w:div>
                                    <w:div w:id="1773891756">
                                      <w:marLeft w:val="0"/>
                                      <w:marRight w:val="0"/>
                                      <w:marTop w:val="0"/>
                                      <w:marBottom w:val="0"/>
                                      <w:divBdr>
                                        <w:top w:val="none" w:sz="0" w:space="0" w:color="auto"/>
                                        <w:left w:val="none" w:sz="0" w:space="0" w:color="auto"/>
                                        <w:bottom w:val="none" w:sz="0" w:space="0" w:color="auto"/>
                                        <w:right w:val="none" w:sz="0" w:space="0" w:color="auto"/>
                                      </w:divBdr>
                                    </w:div>
                                    <w:div w:id="1911499162">
                                      <w:marLeft w:val="0"/>
                                      <w:marRight w:val="0"/>
                                      <w:marTop w:val="0"/>
                                      <w:marBottom w:val="0"/>
                                      <w:divBdr>
                                        <w:top w:val="none" w:sz="0" w:space="0" w:color="auto"/>
                                        <w:left w:val="none" w:sz="0" w:space="0" w:color="auto"/>
                                        <w:bottom w:val="none" w:sz="0" w:space="0" w:color="auto"/>
                                        <w:right w:val="none" w:sz="0" w:space="0" w:color="auto"/>
                                      </w:divBdr>
                                    </w:div>
                                    <w:div w:id="1991471414">
                                      <w:marLeft w:val="0"/>
                                      <w:marRight w:val="0"/>
                                      <w:marTop w:val="0"/>
                                      <w:marBottom w:val="0"/>
                                      <w:divBdr>
                                        <w:top w:val="none" w:sz="0" w:space="0" w:color="auto"/>
                                        <w:left w:val="none" w:sz="0" w:space="0" w:color="auto"/>
                                        <w:bottom w:val="none" w:sz="0" w:space="0" w:color="auto"/>
                                        <w:right w:val="none" w:sz="0" w:space="0" w:color="auto"/>
                                      </w:divBdr>
                                    </w:div>
                                    <w:div w:id="1998729794">
                                      <w:marLeft w:val="0"/>
                                      <w:marRight w:val="0"/>
                                      <w:marTop w:val="0"/>
                                      <w:marBottom w:val="0"/>
                                      <w:divBdr>
                                        <w:top w:val="none" w:sz="0" w:space="0" w:color="auto"/>
                                        <w:left w:val="none" w:sz="0" w:space="0" w:color="auto"/>
                                        <w:bottom w:val="none" w:sz="0" w:space="0" w:color="auto"/>
                                        <w:right w:val="none" w:sz="0" w:space="0" w:color="auto"/>
                                      </w:divBdr>
                                    </w:div>
                                    <w:div w:id="2112776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63826729">
          <w:marLeft w:val="0"/>
          <w:marRight w:val="0"/>
          <w:marTop w:val="0"/>
          <w:marBottom w:val="0"/>
          <w:divBdr>
            <w:top w:val="none" w:sz="0" w:space="0" w:color="auto"/>
            <w:left w:val="none" w:sz="0" w:space="0" w:color="auto"/>
            <w:bottom w:val="none" w:sz="0" w:space="0" w:color="auto"/>
            <w:right w:val="none" w:sz="0" w:space="0" w:color="auto"/>
          </w:divBdr>
          <w:divsChild>
            <w:div w:id="384183165">
              <w:marLeft w:val="0"/>
              <w:marRight w:val="0"/>
              <w:marTop w:val="0"/>
              <w:marBottom w:val="0"/>
              <w:divBdr>
                <w:top w:val="none" w:sz="0" w:space="0" w:color="auto"/>
                <w:left w:val="none" w:sz="0" w:space="0" w:color="auto"/>
                <w:bottom w:val="none" w:sz="0" w:space="0" w:color="auto"/>
                <w:right w:val="none" w:sz="0" w:space="0" w:color="auto"/>
              </w:divBdr>
              <w:divsChild>
                <w:div w:id="486169920">
                  <w:marLeft w:val="0"/>
                  <w:marRight w:val="0"/>
                  <w:marTop w:val="0"/>
                  <w:marBottom w:val="0"/>
                  <w:divBdr>
                    <w:top w:val="none" w:sz="0" w:space="0" w:color="auto"/>
                    <w:left w:val="none" w:sz="0" w:space="0" w:color="auto"/>
                    <w:bottom w:val="none" w:sz="0" w:space="0" w:color="auto"/>
                    <w:right w:val="none" w:sz="0" w:space="0" w:color="auto"/>
                  </w:divBdr>
                  <w:divsChild>
                    <w:div w:id="1167012855">
                      <w:marLeft w:val="0"/>
                      <w:marRight w:val="0"/>
                      <w:marTop w:val="0"/>
                      <w:marBottom w:val="0"/>
                      <w:divBdr>
                        <w:top w:val="none" w:sz="0" w:space="0" w:color="auto"/>
                        <w:left w:val="none" w:sz="0" w:space="0" w:color="auto"/>
                        <w:bottom w:val="none" w:sz="0" w:space="0" w:color="auto"/>
                        <w:right w:val="none" w:sz="0" w:space="0" w:color="auto"/>
                      </w:divBdr>
                      <w:divsChild>
                        <w:div w:id="513885234">
                          <w:marLeft w:val="0"/>
                          <w:marRight w:val="0"/>
                          <w:marTop w:val="0"/>
                          <w:marBottom w:val="0"/>
                          <w:divBdr>
                            <w:top w:val="none" w:sz="0" w:space="0" w:color="auto"/>
                            <w:left w:val="none" w:sz="0" w:space="0" w:color="auto"/>
                            <w:bottom w:val="none" w:sz="0" w:space="0" w:color="auto"/>
                            <w:right w:val="none" w:sz="0" w:space="0" w:color="auto"/>
                          </w:divBdr>
                          <w:divsChild>
                            <w:div w:id="1141654553">
                              <w:marLeft w:val="0"/>
                              <w:marRight w:val="0"/>
                              <w:marTop w:val="0"/>
                              <w:marBottom w:val="0"/>
                              <w:divBdr>
                                <w:top w:val="none" w:sz="0" w:space="0" w:color="auto"/>
                                <w:left w:val="none" w:sz="0" w:space="0" w:color="auto"/>
                                <w:bottom w:val="none" w:sz="0" w:space="0" w:color="auto"/>
                                <w:right w:val="none" w:sz="0" w:space="0" w:color="auto"/>
                              </w:divBdr>
                              <w:divsChild>
                                <w:div w:id="1167942588">
                                  <w:marLeft w:val="0"/>
                                  <w:marRight w:val="0"/>
                                  <w:marTop w:val="0"/>
                                  <w:marBottom w:val="0"/>
                                  <w:divBdr>
                                    <w:top w:val="none" w:sz="0" w:space="0" w:color="auto"/>
                                    <w:left w:val="none" w:sz="0" w:space="0" w:color="auto"/>
                                    <w:bottom w:val="none" w:sz="0" w:space="0" w:color="auto"/>
                                    <w:right w:val="none" w:sz="0" w:space="0" w:color="auto"/>
                                  </w:divBdr>
                                  <w:divsChild>
                                    <w:div w:id="1705473381">
                                      <w:marLeft w:val="0"/>
                                      <w:marRight w:val="0"/>
                                      <w:marTop w:val="0"/>
                                      <w:marBottom w:val="0"/>
                                      <w:divBdr>
                                        <w:top w:val="none" w:sz="0" w:space="0" w:color="auto"/>
                                        <w:left w:val="none" w:sz="0" w:space="0" w:color="auto"/>
                                        <w:bottom w:val="none" w:sz="0" w:space="0" w:color="auto"/>
                                        <w:right w:val="none" w:sz="0" w:space="0" w:color="auto"/>
                                      </w:divBdr>
                                      <w:divsChild>
                                        <w:div w:id="541599896">
                                          <w:marLeft w:val="0"/>
                                          <w:marRight w:val="0"/>
                                          <w:marTop w:val="0"/>
                                          <w:marBottom w:val="0"/>
                                          <w:divBdr>
                                            <w:top w:val="none" w:sz="0" w:space="0" w:color="auto"/>
                                            <w:left w:val="none" w:sz="0" w:space="0" w:color="auto"/>
                                            <w:bottom w:val="none" w:sz="0" w:space="0" w:color="auto"/>
                                            <w:right w:val="none" w:sz="0" w:space="0" w:color="auto"/>
                                          </w:divBdr>
                                          <w:divsChild>
                                            <w:div w:id="413091489">
                                              <w:marLeft w:val="0"/>
                                              <w:marRight w:val="0"/>
                                              <w:marTop w:val="0"/>
                                              <w:marBottom w:val="0"/>
                                              <w:divBdr>
                                                <w:top w:val="none" w:sz="0" w:space="0" w:color="auto"/>
                                                <w:left w:val="none" w:sz="0" w:space="0" w:color="auto"/>
                                                <w:bottom w:val="none" w:sz="0" w:space="0" w:color="auto"/>
                                                <w:right w:val="none" w:sz="0" w:space="0" w:color="auto"/>
                                              </w:divBdr>
                                              <w:divsChild>
                                                <w:div w:id="290014397">
                                                  <w:marLeft w:val="0"/>
                                                  <w:marRight w:val="0"/>
                                                  <w:marTop w:val="0"/>
                                                  <w:marBottom w:val="0"/>
                                                  <w:divBdr>
                                                    <w:top w:val="none" w:sz="0" w:space="0" w:color="auto"/>
                                                    <w:left w:val="none" w:sz="0" w:space="0" w:color="auto"/>
                                                    <w:bottom w:val="none" w:sz="0" w:space="0" w:color="auto"/>
                                                    <w:right w:val="none" w:sz="0" w:space="0" w:color="auto"/>
                                                  </w:divBdr>
                                                  <w:divsChild>
                                                    <w:div w:id="1584875685">
                                                      <w:marLeft w:val="0"/>
                                                      <w:marRight w:val="0"/>
                                                      <w:marTop w:val="0"/>
                                                      <w:marBottom w:val="0"/>
                                                      <w:divBdr>
                                                        <w:top w:val="none" w:sz="0" w:space="0" w:color="auto"/>
                                                        <w:left w:val="none" w:sz="0" w:space="0" w:color="auto"/>
                                                        <w:bottom w:val="none" w:sz="0" w:space="0" w:color="auto"/>
                                                        <w:right w:val="none" w:sz="0" w:space="0" w:color="auto"/>
                                                      </w:divBdr>
                                                      <w:divsChild>
                                                        <w:div w:id="158722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020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223845">
                                          <w:marLeft w:val="0"/>
                                          <w:marRight w:val="0"/>
                                          <w:marTop w:val="0"/>
                                          <w:marBottom w:val="0"/>
                                          <w:divBdr>
                                            <w:top w:val="none" w:sz="0" w:space="0" w:color="auto"/>
                                            <w:left w:val="none" w:sz="0" w:space="0" w:color="auto"/>
                                            <w:bottom w:val="none" w:sz="0" w:space="0" w:color="auto"/>
                                            <w:right w:val="none" w:sz="0" w:space="0" w:color="auto"/>
                                          </w:divBdr>
                                          <w:divsChild>
                                            <w:div w:id="2075279706">
                                              <w:marLeft w:val="0"/>
                                              <w:marRight w:val="0"/>
                                              <w:marTop w:val="0"/>
                                              <w:marBottom w:val="0"/>
                                              <w:divBdr>
                                                <w:top w:val="none" w:sz="0" w:space="0" w:color="auto"/>
                                                <w:left w:val="none" w:sz="0" w:space="0" w:color="auto"/>
                                                <w:bottom w:val="none" w:sz="0" w:space="0" w:color="auto"/>
                                                <w:right w:val="none" w:sz="0" w:space="0" w:color="auto"/>
                                              </w:divBdr>
                                              <w:divsChild>
                                                <w:div w:id="835803879">
                                                  <w:marLeft w:val="0"/>
                                                  <w:marRight w:val="0"/>
                                                  <w:marTop w:val="0"/>
                                                  <w:marBottom w:val="0"/>
                                                  <w:divBdr>
                                                    <w:top w:val="none" w:sz="0" w:space="0" w:color="auto"/>
                                                    <w:left w:val="none" w:sz="0" w:space="0" w:color="auto"/>
                                                    <w:bottom w:val="none" w:sz="0" w:space="0" w:color="auto"/>
                                                    <w:right w:val="none" w:sz="0" w:space="0" w:color="auto"/>
                                                  </w:divBdr>
                                                  <w:divsChild>
                                                    <w:div w:id="709838673">
                                                      <w:marLeft w:val="0"/>
                                                      <w:marRight w:val="0"/>
                                                      <w:marTop w:val="0"/>
                                                      <w:marBottom w:val="0"/>
                                                      <w:divBdr>
                                                        <w:top w:val="none" w:sz="0" w:space="0" w:color="auto"/>
                                                        <w:left w:val="none" w:sz="0" w:space="0" w:color="auto"/>
                                                        <w:bottom w:val="none" w:sz="0" w:space="0" w:color="auto"/>
                                                        <w:right w:val="none" w:sz="0" w:space="0" w:color="auto"/>
                                                      </w:divBdr>
                                                      <w:divsChild>
                                                        <w:div w:id="2122065660">
                                                          <w:marLeft w:val="0"/>
                                                          <w:marRight w:val="0"/>
                                                          <w:marTop w:val="0"/>
                                                          <w:marBottom w:val="0"/>
                                                          <w:divBdr>
                                                            <w:top w:val="none" w:sz="0" w:space="0" w:color="auto"/>
                                                            <w:left w:val="none" w:sz="0" w:space="0" w:color="auto"/>
                                                            <w:bottom w:val="none" w:sz="0" w:space="0" w:color="auto"/>
                                                            <w:right w:val="none" w:sz="0" w:space="0" w:color="auto"/>
                                                          </w:divBdr>
                                                          <w:divsChild>
                                                            <w:div w:id="1839535149">
                                                              <w:marLeft w:val="0"/>
                                                              <w:marRight w:val="0"/>
                                                              <w:marTop w:val="0"/>
                                                              <w:marBottom w:val="0"/>
                                                              <w:divBdr>
                                                                <w:top w:val="none" w:sz="0" w:space="0" w:color="auto"/>
                                                                <w:left w:val="none" w:sz="0" w:space="0" w:color="auto"/>
                                                                <w:bottom w:val="none" w:sz="0" w:space="0" w:color="auto"/>
                                                                <w:right w:val="none" w:sz="0" w:space="0" w:color="auto"/>
                                                              </w:divBdr>
                                                              <w:divsChild>
                                                                <w:div w:id="535043927">
                                                                  <w:marLeft w:val="0"/>
                                                                  <w:marRight w:val="0"/>
                                                                  <w:marTop w:val="0"/>
                                                                  <w:marBottom w:val="0"/>
                                                                  <w:divBdr>
                                                                    <w:top w:val="none" w:sz="0" w:space="0" w:color="auto"/>
                                                                    <w:left w:val="none" w:sz="0" w:space="0" w:color="auto"/>
                                                                    <w:bottom w:val="none" w:sz="0" w:space="0" w:color="auto"/>
                                                                    <w:right w:val="none" w:sz="0" w:space="0" w:color="auto"/>
                                                                  </w:divBdr>
                                                                  <w:divsChild>
                                                                    <w:div w:id="144709931">
                                                                      <w:marLeft w:val="0"/>
                                                                      <w:marRight w:val="0"/>
                                                                      <w:marTop w:val="0"/>
                                                                      <w:marBottom w:val="0"/>
                                                                      <w:divBdr>
                                                                        <w:top w:val="none" w:sz="0" w:space="0" w:color="auto"/>
                                                                        <w:left w:val="none" w:sz="0" w:space="0" w:color="auto"/>
                                                                        <w:bottom w:val="none" w:sz="0" w:space="0" w:color="auto"/>
                                                                        <w:right w:val="none" w:sz="0" w:space="0" w:color="auto"/>
                                                                      </w:divBdr>
                                                                    </w:div>
                                                                    <w:div w:id="606349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6508581">
                                                      <w:marLeft w:val="0"/>
                                                      <w:marRight w:val="0"/>
                                                      <w:marTop w:val="0"/>
                                                      <w:marBottom w:val="0"/>
                                                      <w:divBdr>
                                                        <w:top w:val="none" w:sz="0" w:space="0" w:color="auto"/>
                                                        <w:left w:val="none" w:sz="0" w:space="0" w:color="auto"/>
                                                        <w:bottom w:val="none" w:sz="0" w:space="0" w:color="auto"/>
                                                        <w:right w:val="none" w:sz="0" w:space="0" w:color="auto"/>
                                                      </w:divBdr>
                                                      <w:divsChild>
                                                        <w:div w:id="1599022732">
                                                          <w:marLeft w:val="0"/>
                                                          <w:marRight w:val="0"/>
                                                          <w:marTop w:val="0"/>
                                                          <w:marBottom w:val="0"/>
                                                          <w:divBdr>
                                                            <w:top w:val="none" w:sz="0" w:space="0" w:color="auto"/>
                                                            <w:left w:val="none" w:sz="0" w:space="0" w:color="auto"/>
                                                            <w:bottom w:val="none" w:sz="0" w:space="0" w:color="auto"/>
                                                            <w:right w:val="none" w:sz="0" w:space="0" w:color="auto"/>
                                                          </w:divBdr>
                                                          <w:divsChild>
                                                            <w:div w:id="1172914393">
                                                              <w:marLeft w:val="0"/>
                                                              <w:marRight w:val="0"/>
                                                              <w:marTop w:val="0"/>
                                                              <w:marBottom w:val="0"/>
                                                              <w:divBdr>
                                                                <w:top w:val="none" w:sz="0" w:space="0" w:color="auto"/>
                                                                <w:left w:val="none" w:sz="0" w:space="0" w:color="auto"/>
                                                                <w:bottom w:val="none" w:sz="0" w:space="0" w:color="auto"/>
                                                                <w:right w:val="none" w:sz="0" w:space="0" w:color="auto"/>
                                                              </w:divBdr>
                                                              <w:divsChild>
                                                                <w:div w:id="726145444">
                                                                  <w:marLeft w:val="0"/>
                                                                  <w:marRight w:val="0"/>
                                                                  <w:marTop w:val="0"/>
                                                                  <w:marBottom w:val="0"/>
                                                                  <w:divBdr>
                                                                    <w:top w:val="none" w:sz="0" w:space="0" w:color="auto"/>
                                                                    <w:left w:val="none" w:sz="0" w:space="0" w:color="auto"/>
                                                                    <w:bottom w:val="none" w:sz="0" w:space="0" w:color="auto"/>
                                                                    <w:right w:val="none" w:sz="0" w:space="0" w:color="auto"/>
                                                                  </w:divBdr>
                                                                  <w:divsChild>
                                                                    <w:div w:id="581377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2819513">
                                                      <w:marLeft w:val="0"/>
                                                      <w:marRight w:val="0"/>
                                                      <w:marTop w:val="0"/>
                                                      <w:marBottom w:val="0"/>
                                                      <w:divBdr>
                                                        <w:top w:val="none" w:sz="0" w:space="0" w:color="auto"/>
                                                        <w:left w:val="none" w:sz="0" w:space="0" w:color="auto"/>
                                                        <w:bottom w:val="none" w:sz="0" w:space="0" w:color="auto"/>
                                                        <w:right w:val="none" w:sz="0" w:space="0" w:color="auto"/>
                                                      </w:divBdr>
                                                      <w:divsChild>
                                                        <w:div w:id="627930930">
                                                          <w:marLeft w:val="0"/>
                                                          <w:marRight w:val="0"/>
                                                          <w:marTop w:val="0"/>
                                                          <w:marBottom w:val="0"/>
                                                          <w:divBdr>
                                                            <w:top w:val="none" w:sz="0" w:space="0" w:color="auto"/>
                                                            <w:left w:val="none" w:sz="0" w:space="0" w:color="auto"/>
                                                            <w:bottom w:val="none" w:sz="0" w:space="0" w:color="auto"/>
                                                            <w:right w:val="none" w:sz="0" w:space="0" w:color="auto"/>
                                                          </w:divBdr>
                                                          <w:divsChild>
                                                            <w:div w:id="1059279889">
                                                              <w:marLeft w:val="0"/>
                                                              <w:marRight w:val="0"/>
                                                              <w:marTop w:val="0"/>
                                                              <w:marBottom w:val="0"/>
                                                              <w:divBdr>
                                                                <w:top w:val="none" w:sz="0" w:space="0" w:color="auto"/>
                                                                <w:left w:val="none" w:sz="0" w:space="0" w:color="auto"/>
                                                                <w:bottom w:val="none" w:sz="0" w:space="0" w:color="auto"/>
                                                                <w:right w:val="none" w:sz="0" w:space="0" w:color="auto"/>
                                                              </w:divBdr>
                                                              <w:divsChild>
                                                                <w:div w:id="172498634">
                                                                  <w:marLeft w:val="0"/>
                                                                  <w:marRight w:val="0"/>
                                                                  <w:marTop w:val="0"/>
                                                                  <w:marBottom w:val="0"/>
                                                                  <w:divBdr>
                                                                    <w:top w:val="none" w:sz="0" w:space="0" w:color="auto"/>
                                                                    <w:left w:val="none" w:sz="0" w:space="0" w:color="auto"/>
                                                                    <w:bottom w:val="none" w:sz="0" w:space="0" w:color="auto"/>
                                                                    <w:right w:val="none" w:sz="0" w:space="0" w:color="auto"/>
                                                                  </w:divBdr>
                                                                  <w:divsChild>
                                                                    <w:div w:id="69500437">
                                                                      <w:marLeft w:val="0"/>
                                                                      <w:marRight w:val="0"/>
                                                                      <w:marTop w:val="0"/>
                                                                      <w:marBottom w:val="0"/>
                                                                      <w:divBdr>
                                                                        <w:top w:val="none" w:sz="0" w:space="0" w:color="auto"/>
                                                                        <w:left w:val="none" w:sz="0" w:space="0" w:color="auto"/>
                                                                        <w:bottom w:val="none" w:sz="0" w:space="0" w:color="auto"/>
                                                                        <w:right w:val="none" w:sz="0" w:space="0" w:color="auto"/>
                                                                      </w:divBdr>
                                                                    </w:div>
                                                                    <w:div w:id="342585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76056803">
              <w:marLeft w:val="0"/>
              <w:marRight w:val="0"/>
              <w:marTop w:val="0"/>
              <w:marBottom w:val="0"/>
              <w:divBdr>
                <w:top w:val="none" w:sz="0" w:space="0" w:color="auto"/>
                <w:left w:val="none" w:sz="0" w:space="0" w:color="auto"/>
                <w:bottom w:val="none" w:sz="0" w:space="0" w:color="auto"/>
                <w:right w:val="none" w:sz="0" w:space="0" w:color="auto"/>
              </w:divBdr>
              <w:divsChild>
                <w:div w:id="2020623069">
                  <w:marLeft w:val="0"/>
                  <w:marRight w:val="0"/>
                  <w:marTop w:val="0"/>
                  <w:marBottom w:val="0"/>
                  <w:divBdr>
                    <w:top w:val="none" w:sz="0" w:space="0" w:color="auto"/>
                    <w:left w:val="none" w:sz="0" w:space="0" w:color="auto"/>
                    <w:bottom w:val="none" w:sz="0" w:space="0" w:color="auto"/>
                    <w:right w:val="none" w:sz="0" w:space="0" w:color="auto"/>
                  </w:divBdr>
                  <w:divsChild>
                    <w:div w:id="1583686832">
                      <w:marLeft w:val="0"/>
                      <w:marRight w:val="0"/>
                      <w:marTop w:val="0"/>
                      <w:marBottom w:val="0"/>
                      <w:divBdr>
                        <w:top w:val="none" w:sz="0" w:space="0" w:color="auto"/>
                        <w:left w:val="none" w:sz="0" w:space="0" w:color="auto"/>
                        <w:bottom w:val="none" w:sz="0" w:space="0" w:color="auto"/>
                        <w:right w:val="none" w:sz="0" w:space="0" w:color="auto"/>
                      </w:divBdr>
                    </w:div>
                    <w:div w:id="1630235144">
                      <w:marLeft w:val="0"/>
                      <w:marRight w:val="0"/>
                      <w:marTop w:val="0"/>
                      <w:marBottom w:val="0"/>
                      <w:divBdr>
                        <w:top w:val="none" w:sz="0" w:space="0" w:color="auto"/>
                        <w:left w:val="none" w:sz="0" w:space="0" w:color="auto"/>
                        <w:bottom w:val="none" w:sz="0" w:space="0" w:color="auto"/>
                        <w:right w:val="none" w:sz="0" w:space="0" w:color="auto"/>
                      </w:divBdr>
                      <w:divsChild>
                        <w:div w:id="204879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98275708">
      <w:bodyDiv w:val="1"/>
      <w:marLeft w:val="0"/>
      <w:marRight w:val="0"/>
      <w:marTop w:val="0"/>
      <w:marBottom w:val="0"/>
      <w:divBdr>
        <w:top w:val="none" w:sz="0" w:space="0" w:color="auto"/>
        <w:left w:val="none" w:sz="0" w:space="0" w:color="auto"/>
        <w:bottom w:val="none" w:sz="0" w:space="0" w:color="auto"/>
        <w:right w:val="none" w:sz="0" w:space="0" w:color="auto"/>
      </w:divBdr>
    </w:div>
    <w:div w:id="498278333">
      <w:bodyDiv w:val="1"/>
      <w:marLeft w:val="0"/>
      <w:marRight w:val="0"/>
      <w:marTop w:val="0"/>
      <w:marBottom w:val="0"/>
      <w:divBdr>
        <w:top w:val="none" w:sz="0" w:space="0" w:color="auto"/>
        <w:left w:val="none" w:sz="0" w:space="0" w:color="auto"/>
        <w:bottom w:val="none" w:sz="0" w:space="0" w:color="auto"/>
        <w:right w:val="none" w:sz="0" w:space="0" w:color="auto"/>
      </w:divBdr>
    </w:div>
    <w:div w:id="498353464">
      <w:bodyDiv w:val="1"/>
      <w:marLeft w:val="0"/>
      <w:marRight w:val="0"/>
      <w:marTop w:val="0"/>
      <w:marBottom w:val="0"/>
      <w:divBdr>
        <w:top w:val="none" w:sz="0" w:space="0" w:color="auto"/>
        <w:left w:val="none" w:sz="0" w:space="0" w:color="auto"/>
        <w:bottom w:val="none" w:sz="0" w:space="0" w:color="auto"/>
        <w:right w:val="none" w:sz="0" w:space="0" w:color="auto"/>
      </w:divBdr>
    </w:div>
    <w:div w:id="498545283">
      <w:bodyDiv w:val="1"/>
      <w:marLeft w:val="0"/>
      <w:marRight w:val="0"/>
      <w:marTop w:val="0"/>
      <w:marBottom w:val="0"/>
      <w:divBdr>
        <w:top w:val="none" w:sz="0" w:space="0" w:color="auto"/>
        <w:left w:val="none" w:sz="0" w:space="0" w:color="auto"/>
        <w:bottom w:val="none" w:sz="0" w:space="0" w:color="auto"/>
        <w:right w:val="none" w:sz="0" w:space="0" w:color="auto"/>
      </w:divBdr>
    </w:div>
    <w:div w:id="498808050">
      <w:bodyDiv w:val="1"/>
      <w:marLeft w:val="0"/>
      <w:marRight w:val="0"/>
      <w:marTop w:val="0"/>
      <w:marBottom w:val="0"/>
      <w:divBdr>
        <w:top w:val="none" w:sz="0" w:space="0" w:color="auto"/>
        <w:left w:val="none" w:sz="0" w:space="0" w:color="auto"/>
        <w:bottom w:val="none" w:sz="0" w:space="0" w:color="auto"/>
        <w:right w:val="none" w:sz="0" w:space="0" w:color="auto"/>
      </w:divBdr>
    </w:div>
    <w:div w:id="500973252">
      <w:bodyDiv w:val="1"/>
      <w:marLeft w:val="0"/>
      <w:marRight w:val="0"/>
      <w:marTop w:val="0"/>
      <w:marBottom w:val="0"/>
      <w:divBdr>
        <w:top w:val="none" w:sz="0" w:space="0" w:color="auto"/>
        <w:left w:val="none" w:sz="0" w:space="0" w:color="auto"/>
        <w:bottom w:val="none" w:sz="0" w:space="0" w:color="auto"/>
        <w:right w:val="none" w:sz="0" w:space="0" w:color="auto"/>
      </w:divBdr>
    </w:div>
    <w:div w:id="501438287">
      <w:bodyDiv w:val="1"/>
      <w:marLeft w:val="0"/>
      <w:marRight w:val="0"/>
      <w:marTop w:val="0"/>
      <w:marBottom w:val="0"/>
      <w:divBdr>
        <w:top w:val="none" w:sz="0" w:space="0" w:color="auto"/>
        <w:left w:val="none" w:sz="0" w:space="0" w:color="auto"/>
        <w:bottom w:val="none" w:sz="0" w:space="0" w:color="auto"/>
        <w:right w:val="none" w:sz="0" w:space="0" w:color="auto"/>
      </w:divBdr>
    </w:div>
    <w:div w:id="504057221">
      <w:bodyDiv w:val="1"/>
      <w:marLeft w:val="0"/>
      <w:marRight w:val="0"/>
      <w:marTop w:val="0"/>
      <w:marBottom w:val="0"/>
      <w:divBdr>
        <w:top w:val="none" w:sz="0" w:space="0" w:color="auto"/>
        <w:left w:val="none" w:sz="0" w:space="0" w:color="auto"/>
        <w:bottom w:val="none" w:sz="0" w:space="0" w:color="auto"/>
        <w:right w:val="none" w:sz="0" w:space="0" w:color="auto"/>
      </w:divBdr>
    </w:div>
    <w:div w:id="505756227">
      <w:bodyDiv w:val="1"/>
      <w:marLeft w:val="0"/>
      <w:marRight w:val="0"/>
      <w:marTop w:val="0"/>
      <w:marBottom w:val="0"/>
      <w:divBdr>
        <w:top w:val="none" w:sz="0" w:space="0" w:color="auto"/>
        <w:left w:val="none" w:sz="0" w:space="0" w:color="auto"/>
        <w:bottom w:val="none" w:sz="0" w:space="0" w:color="auto"/>
        <w:right w:val="none" w:sz="0" w:space="0" w:color="auto"/>
      </w:divBdr>
    </w:div>
    <w:div w:id="506022314">
      <w:bodyDiv w:val="1"/>
      <w:marLeft w:val="0"/>
      <w:marRight w:val="0"/>
      <w:marTop w:val="0"/>
      <w:marBottom w:val="0"/>
      <w:divBdr>
        <w:top w:val="none" w:sz="0" w:space="0" w:color="auto"/>
        <w:left w:val="none" w:sz="0" w:space="0" w:color="auto"/>
        <w:bottom w:val="none" w:sz="0" w:space="0" w:color="auto"/>
        <w:right w:val="none" w:sz="0" w:space="0" w:color="auto"/>
      </w:divBdr>
    </w:div>
    <w:div w:id="507671527">
      <w:bodyDiv w:val="1"/>
      <w:marLeft w:val="0"/>
      <w:marRight w:val="0"/>
      <w:marTop w:val="0"/>
      <w:marBottom w:val="0"/>
      <w:divBdr>
        <w:top w:val="none" w:sz="0" w:space="0" w:color="auto"/>
        <w:left w:val="none" w:sz="0" w:space="0" w:color="auto"/>
        <w:bottom w:val="none" w:sz="0" w:space="0" w:color="auto"/>
        <w:right w:val="none" w:sz="0" w:space="0" w:color="auto"/>
      </w:divBdr>
    </w:div>
    <w:div w:id="507866500">
      <w:bodyDiv w:val="1"/>
      <w:marLeft w:val="0"/>
      <w:marRight w:val="0"/>
      <w:marTop w:val="0"/>
      <w:marBottom w:val="0"/>
      <w:divBdr>
        <w:top w:val="none" w:sz="0" w:space="0" w:color="auto"/>
        <w:left w:val="none" w:sz="0" w:space="0" w:color="auto"/>
        <w:bottom w:val="none" w:sz="0" w:space="0" w:color="auto"/>
        <w:right w:val="none" w:sz="0" w:space="0" w:color="auto"/>
      </w:divBdr>
      <w:divsChild>
        <w:div w:id="312222055">
          <w:marLeft w:val="1166"/>
          <w:marRight w:val="0"/>
          <w:marTop w:val="115"/>
          <w:marBottom w:val="0"/>
          <w:divBdr>
            <w:top w:val="none" w:sz="0" w:space="0" w:color="auto"/>
            <w:left w:val="none" w:sz="0" w:space="0" w:color="auto"/>
            <w:bottom w:val="none" w:sz="0" w:space="0" w:color="auto"/>
            <w:right w:val="none" w:sz="0" w:space="0" w:color="auto"/>
          </w:divBdr>
        </w:div>
        <w:div w:id="382484009">
          <w:marLeft w:val="547"/>
          <w:marRight w:val="0"/>
          <w:marTop w:val="134"/>
          <w:marBottom w:val="0"/>
          <w:divBdr>
            <w:top w:val="none" w:sz="0" w:space="0" w:color="auto"/>
            <w:left w:val="none" w:sz="0" w:space="0" w:color="auto"/>
            <w:bottom w:val="none" w:sz="0" w:space="0" w:color="auto"/>
            <w:right w:val="none" w:sz="0" w:space="0" w:color="auto"/>
          </w:divBdr>
        </w:div>
        <w:div w:id="1076633946">
          <w:marLeft w:val="1800"/>
          <w:marRight w:val="0"/>
          <w:marTop w:val="96"/>
          <w:marBottom w:val="0"/>
          <w:divBdr>
            <w:top w:val="none" w:sz="0" w:space="0" w:color="auto"/>
            <w:left w:val="none" w:sz="0" w:space="0" w:color="auto"/>
            <w:bottom w:val="none" w:sz="0" w:space="0" w:color="auto"/>
            <w:right w:val="none" w:sz="0" w:space="0" w:color="auto"/>
          </w:divBdr>
        </w:div>
      </w:divsChild>
    </w:div>
    <w:div w:id="507909189">
      <w:bodyDiv w:val="1"/>
      <w:marLeft w:val="0"/>
      <w:marRight w:val="0"/>
      <w:marTop w:val="0"/>
      <w:marBottom w:val="0"/>
      <w:divBdr>
        <w:top w:val="none" w:sz="0" w:space="0" w:color="auto"/>
        <w:left w:val="none" w:sz="0" w:space="0" w:color="auto"/>
        <w:bottom w:val="none" w:sz="0" w:space="0" w:color="auto"/>
        <w:right w:val="none" w:sz="0" w:space="0" w:color="auto"/>
      </w:divBdr>
    </w:div>
    <w:div w:id="508102481">
      <w:bodyDiv w:val="1"/>
      <w:marLeft w:val="0"/>
      <w:marRight w:val="0"/>
      <w:marTop w:val="0"/>
      <w:marBottom w:val="0"/>
      <w:divBdr>
        <w:top w:val="none" w:sz="0" w:space="0" w:color="auto"/>
        <w:left w:val="none" w:sz="0" w:space="0" w:color="auto"/>
        <w:bottom w:val="none" w:sz="0" w:space="0" w:color="auto"/>
        <w:right w:val="none" w:sz="0" w:space="0" w:color="auto"/>
      </w:divBdr>
      <w:divsChild>
        <w:div w:id="213852873">
          <w:marLeft w:val="1080"/>
          <w:marRight w:val="0"/>
          <w:marTop w:val="100"/>
          <w:marBottom w:val="0"/>
          <w:divBdr>
            <w:top w:val="none" w:sz="0" w:space="0" w:color="auto"/>
            <w:left w:val="none" w:sz="0" w:space="0" w:color="auto"/>
            <w:bottom w:val="none" w:sz="0" w:space="0" w:color="auto"/>
            <w:right w:val="none" w:sz="0" w:space="0" w:color="auto"/>
          </w:divBdr>
        </w:div>
        <w:div w:id="1566715961">
          <w:marLeft w:val="360"/>
          <w:marRight w:val="0"/>
          <w:marTop w:val="200"/>
          <w:marBottom w:val="0"/>
          <w:divBdr>
            <w:top w:val="none" w:sz="0" w:space="0" w:color="auto"/>
            <w:left w:val="none" w:sz="0" w:space="0" w:color="auto"/>
            <w:bottom w:val="none" w:sz="0" w:space="0" w:color="auto"/>
            <w:right w:val="none" w:sz="0" w:space="0" w:color="auto"/>
          </w:divBdr>
        </w:div>
        <w:div w:id="1688479664">
          <w:marLeft w:val="1080"/>
          <w:marRight w:val="0"/>
          <w:marTop w:val="100"/>
          <w:marBottom w:val="0"/>
          <w:divBdr>
            <w:top w:val="none" w:sz="0" w:space="0" w:color="auto"/>
            <w:left w:val="none" w:sz="0" w:space="0" w:color="auto"/>
            <w:bottom w:val="none" w:sz="0" w:space="0" w:color="auto"/>
            <w:right w:val="none" w:sz="0" w:space="0" w:color="auto"/>
          </w:divBdr>
        </w:div>
      </w:divsChild>
    </w:div>
    <w:div w:id="508300235">
      <w:bodyDiv w:val="1"/>
      <w:marLeft w:val="0"/>
      <w:marRight w:val="0"/>
      <w:marTop w:val="0"/>
      <w:marBottom w:val="0"/>
      <w:divBdr>
        <w:top w:val="none" w:sz="0" w:space="0" w:color="auto"/>
        <w:left w:val="none" w:sz="0" w:space="0" w:color="auto"/>
        <w:bottom w:val="none" w:sz="0" w:space="0" w:color="auto"/>
        <w:right w:val="none" w:sz="0" w:space="0" w:color="auto"/>
      </w:divBdr>
      <w:divsChild>
        <w:div w:id="785924506">
          <w:marLeft w:val="1166"/>
          <w:marRight w:val="0"/>
          <w:marTop w:val="115"/>
          <w:marBottom w:val="0"/>
          <w:divBdr>
            <w:top w:val="none" w:sz="0" w:space="0" w:color="auto"/>
            <w:left w:val="none" w:sz="0" w:space="0" w:color="auto"/>
            <w:bottom w:val="none" w:sz="0" w:space="0" w:color="auto"/>
            <w:right w:val="none" w:sz="0" w:space="0" w:color="auto"/>
          </w:divBdr>
        </w:div>
        <w:div w:id="1729182698">
          <w:marLeft w:val="1166"/>
          <w:marRight w:val="0"/>
          <w:marTop w:val="115"/>
          <w:marBottom w:val="0"/>
          <w:divBdr>
            <w:top w:val="none" w:sz="0" w:space="0" w:color="auto"/>
            <w:left w:val="none" w:sz="0" w:space="0" w:color="auto"/>
            <w:bottom w:val="none" w:sz="0" w:space="0" w:color="auto"/>
            <w:right w:val="none" w:sz="0" w:space="0" w:color="auto"/>
          </w:divBdr>
        </w:div>
        <w:div w:id="1925990883">
          <w:marLeft w:val="547"/>
          <w:marRight w:val="0"/>
          <w:marTop w:val="134"/>
          <w:marBottom w:val="0"/>
          <w:divBdr>
            <w:top w:val="none" w:sz="0" w:space="0" w:color="auto"/>
            <w:left w:val="none" w:sz="0" w:space="0" w:color="auto"/>
            <w:bottom w:val="none" w:sz="0" w:space="0" w:color="auto"/>
            <w:right w:val="none" w:sz="0" w:space="0" w:color="auto"/>
          </w:divBdr>
        </w:div>
      </w:divsChild>
    </w:div>
    <w:div w:id="508368538">
      <w:bodyDiv w:val="1"/>
      <w:marLeft w:val="0"/>
      <w:marRight w:val="0"/>
      <w:marTop w:val="0"/>
      <w:marBottom w:val="0"/>
      <w:divBdr>
        <w:top w:val="none" w:sz="0" w:space="0" w:color="auto"/>
        <w:left w:val="none" w:sz="0" w:space="0" w:color="auto"/>
        <w:bottom w:val="none" w:sz="0" w:space="0" w:color="auto"/>
        <w:right w:val="none" w:sz="0" w:space="0" w:color="auto"/>
      </w:divBdr>
    </w:div>
    <w:div w:id="508759418">
      <w:bodyDiv w:val="1"/>
      <w:marLeft w:val="0"/>
      <w:marRight w:val="0"/>
      <w:marTop w:val="0"/>
      <w:marBottom w:val="0"/>
      <w:divBdr>
        <w:top w:val="none" w:sz="0" w:space="0" w:color="auto"/>
        <w:left w:val="none" w:sz="0" w:space="0" w:color="auto"/>
        <w:bottom w:val="none" w:sz="0" w:space="0" w:color="auto"/>
        <w:right w:val="none" w:sz="0" w:space="0" w:color="auto"/>
      </w:divBdr>
    </w:div>
    <w:div w:id="508985280">
      <w:bodyDiv w:val="1"/>
      <w:marLeft w:val="0"/>
      <w:marRight w:val="0"/>
      <w:marTop w:val="0"/>
      <w:marBottom w:val="0"/>
      <w:divBdr>
        <w:top w:val="none" w:sz="0" w:space="0" w:color="auto"/>
        <w:left w:val="none" w:sz="0" w:space="0" w:color="auto"/>
        <w:bottom w:val="none" w:sz="0" w:space="0" w:color="auto"/>
        <w:right w:val="none" w:sz="0" w:space="0" w:color="auto"/>
      </w:divBdr>
    </w:div>
    <w:div w:id="509418376">
      <w:bodyDiv w:val="1"/>
      <w:marLeft w:val="0"/>
      <w:marRight w:val="0"/>
      <w:marTop w:val="0"/>
      <w:marBottom w:val="0"/>
      <w:divBdr>
        <w:top w:val="none" w:sz="0" w:space="0" w:color="auto"/>
        <w:left w:val="none" w:sz="0" w:space="0" w:color="auto"/>
        <w:bottom w:val="none" w:sz="0" w:space="0" w:color="auto"/>
        <w:right w:val="none" w:sz="0" w:space="0" w:color="auto"/>
      </w:divBdr>
    </w:div>
    <w:div w:id="509830610">
      <w:bodyDiv w:val="1"/>
      <w:marLeft w:val="0"/>
      <w:marRight w:val="0"/>
      <w:marTop w:val="0"/>
      <w:marBottom w:val="0"/>
      <w:divBdr>
        <w:top w:val="none" w:sz="0" w:space="0" w:color="auto"/>
        <w:left w:val="none" w:sz="0" w:space="0" w:color="auto"/>
        <w:bottom w:val="none" w:sz="0" w:space="0" w:color="auto"/>
        <w:right w:val="none" w:sz="0" w:space="0" w:color="auto"/>
      </w:divBdr>
    </w:div>
    <w:div w:id="510266816">
      <w:bodyDiv w:val="1"/>
      <w:marLeft w:val="0"/>
      <w:marRight w:val="0"/>
      <w:marTop w:val="0"/>
      <w:marBottom w:val="0"/>
      <w:divBdr>
        <w:top w:val="none" w:sz="0" w:space="0" w:color="auto"/>
        <w:left w:val="none" w:sz="0" w:space="0" w:color="auto"/>
        <w:bottom w:val="none" w:sz="0" w:space="0" w:color="auto"/>
        <w:right w:val="none" w:sz="0" w:space="0" w:color="auto"/>
      </w:divBdr>
      <w:divsChild>
        <w:div w:id="32074663">
          <w:marLeft w:val="1166"/>
          <w:marRight w:val="0"/>
          <w:marTop w:val="134"/>
          <w:marBottom w:val="0"/>
          <w:divBdr>
            <w:top w:val="none" w:sz="0" w:space="0" w:color="auto"/>
            <w:left w:val="none" w:sz="0" w:space="0" w:color="auto"/>
            <w:bottom w:val="none" w:sz="0" w:space="0" w:color="auto"/>
            <w:right w:val="none" w:sz="0" w:space="0" w:color="auto"/>
          </w:divBdr>
        </w:div>
        <w:div w:id="499198924">
          <w:marLeft w:val="547"/>
          <w:marRight w:val="0"/>
          <w:marTop w:val="154"/>
          <w:marBottom w:val="0"/>
          <w:divBdr>
            <w:top w:val="none" w:sz="0" w:space="0" w:color="auto"/>
            <w:left w:val="none" w:sz="0" w:space="0" w:color="auto"/>
            <w:bottom w:val="none" w:sz="0" w:space="0" w:color="auto"/>
            <w:right w:val="none" w:sz="0" w:space="0" w:color="auto"/>
          </w:divBdr>
        </w:div>
        <w:div w:id="515728357">
          <w:marLeft w:val="547"/>
          <w:marRight w:val="0"/>
          <w:marTop w:val="154"/>
          <w:marBottom w:val="0"/>
          <w:divBdr>
            <w:top w:val="none" w:sz="0" w:space="0" w:color="auto"/>
            <w:left w:val="none" w:sz="0" w:space="0" w:color="auto"/>
            <w:bottom w:val="none" w:sz="0" w:space="0" w:color="auto"/>
            <w:right w:val="none" w:sz="0" w:space="0" w:color="auto"/>
          </w:divBdr>
        </w:div>
        <w:div w:id="596332901">
          <w:marLeft w:val="1166"/>
          <w:marRight w:val="0"/>
          <w:marTop w:val="134"/>
          <w:marBottom w:val="0"/>
          <w:divBdr>
            <w:top w:val="none" w:sz="0" w:space="0" w:color="auto"/>
            <w:left w:val="none" w:sz="0" w:space="0" w:color="auto"/>
            <w:bottom w:val="none" w:sz="0" w:space="0" w:color="auto"/>
            <w:right w:val="none" w:sz="0" w:space="0" w:color="auto"/>
          </w:divBdr>
        </w:div>
        <w:div w:id="680399987">
          <w:marLeft w:val="547"/>
          <w:marRight w:val="0"/>
          <w:marTop w:val="154"/>
          <w:marBottom w:val="0"/>
          <w:divBdr>
            <w:top w:val="none" w:sz="0" w:space="0" w:color="auto"/>
            <w:left w:val="none" w:sz="0" w:space="0" w:color="auto"/>
            <w:bottom w:val="none" w:sz="0" w:space="0" w:color="auto"/>
            <w:right w:val="none" w:sz="0" w:space="0" w:color="auto"/>
          </w:divBdr>
        </w:div>
      </w:divsChild>
    </w:div>
    <w:div w:id="511340994">
      <w:bodyDiv w:val="1"/>
      <w:marLeft w:val="0"/>
      <w:marRight w:val="0"/>
      <w:marTop w:val="0"/>
      <w:marBottom w:val="0"/>
      <w:divBdr>
        <w:top w:val="none" w:sz="0" w:space="0" w:color="auto"/>
        <w:left w:val="none" w:sz="0" w:space="0" w:color="auto"/>
        <w:bottom w:val="none" w:sz="0" w:space="0" w:color="auto"/>
        <w:right w:val="none" w:sz="0" w:space="0" w:color="auto"/>
      </w:divBdr>
    </w:div>
    <w:div w:id="512257753">
      <w:bodyDiv w:val="1"/>
      <w:marLeft w:val="0"/>
      <w:marRight w:val="0"/>
      <w:marTop w:val="0"/>
      <w:marBottom w:val="0"/>
      <w:divBdr>
        <w:top w:val="none" w:sz="0" w:space="0" w:color="auto"/>
        <w:left w:val="none" w:sz="0" w:space="0" w:color="auto"/>
        <w:bottom w:val="none" w:sz="0" w:space="0" w:color="auto"/>
        <w:right w:val="none" w:sz="0" w:space="0" w:color="auto"/>
      </w:divBdr>
    </w:div>
    <w:div w:id="513761570">
      <w:bodyDiv w:val="1"/>
      <w:marLeft w:val="0"/>
      <w:marRight w:val="0"/>
      <w:marTop w:val="0"/>
      <w:marBottom w:val="0"/>
      <w:divBdr>
        <w:top w:val="none" w:sz="0" w:space="0" w:color="auto"/>
        <w:left w:val="none" w:sz="0" w:space="0" w:color="auto"/>
        <w:bottom w:val="none" w:sz="0" w:space="0" w:color="auto"/>
        <w:right w:val="none" w:sz="0" w:space="0" w:color="auto"/>
      </w:divBdr>
    </w:div>
    <w:div w:id="513879699">
      <w:bodyDiv w:val="1"/>
      <w:marLeft w:val="0"/>
      <w:marRight w:val="0"/>
      <w:marTop w:val="0"/>
      <w:marBottom w:val="0"/>
      <w:divBdr>
        <w:top w:val="none" w:sz="0" w:space="0" w:color="auto"/>
        <w:left w:val="none" w:sz="0" w:space="0" w:color="auto"/>
        <w:bottom w:val="none" w:sz="0" w:space="0" w:color="auto"/>
        <w:right w:val="none" w:sz="0" w:space="0" w:color="auto"/>
      </w:divBdr>
    </w:div>
    <w:div w:id="514612895">
      <w:bodyDiv w:val="1"/>
      <w:marLeft w:val="0"/>
      <w:marRight w:val="0"/>
      <w:marTop w:val="0"/>
      <w:marBottom w:val="0"/>
      <w:divBdr>
        <w:top w:val="none" w:sz="0" w:space="0" w:color="auto"/>
        <w:left w:val="none" w:sz="0" w:space="0" w:color="auto"/>
        <w:bottom w:val="none" w:sz="0" w:space="0" w:color="auto"/>
        <w:right w:val="none" w:sz="0" w:space="0" w:color="auto"/>
      </w:divBdr>
    </w:div>
    <w:div w:id="515730248">
      <w:bodyDiv w:val="1"/>
      <w:marLeft w:val="0"/>
      <w:marRight w:val="0"/>
      <w:marTop w:val="0"/>
      <w:marBottom w:val="0"/>
      <w:divBdr>
        <w:top w:val="none" w:sz="0" w:space="0" w:color="auto"/>
        <w:left w:val="none" w:sz="0" w:space="0" w:color="auto"/>
        <w:bottom w:val="none" w:sz="0" w:space="0" w:color="auto"/>
        <w:right w:val="none" w:sz="0" w:space="0" w:color="auto"/>
      </w:divBdr>
    </w:div>
    <w:div w:id="516233173">
      <w:bodyDiv w:val="1"/>
      <w:marLeft w:val="0"/>
      <w:marRight w:val="0"/>
      <w:marTop w:val="0"/>
      <w:marBottom w:val="0"/>
      <w:divBdr>
        <w:top w:val="none" w:sz="0" w:space="0" w:color="auto"/>
        <w:left w:val="none" w:sz="0" w:space="0" w:color="auto"/>
        <w:bottom w:val="none" w:sz="0" w:space="0" w:color="auto"/>
        <w:right w:val="none" w:sz="0" w:space="0" w:color="auto"/>
      </w:divBdr>
    </w:div>
    <w:div w:id="516358388">
      <w:bodyDiv w:val="1"/>
      <w:marLeft w:val="0"/>
      <w:marRight w:val="0"/>
      <w:marTop w:val="0"/>
      <w:marBottom w:val="0"/>
      <w:divBdr>
        <w:top w:val="none" w:sz="0" w:space="0" w:color="auto"/>
        <w:left w:val="none" w:sz="0" w:space="0" w:color="auto"/>
        <w:bottom w:val="none" w:sz="0" w:space="0" w:color="auto"/>
        <w:right w:val="none" w:sz="0" w:space="0" w:color="auto"/>
      </w:divBdr>
    </w:div>
    <w:div w:id="517545165">
      <w:bodyDiv w:val="1"/>
      <w:marLeft w:val="0"/>
      <w:marRight w:val="0"/>
      <w:marTop w:val="0"/>
      <w:marBottom w:val="0"/>
      <w:divBdr>
        <w:top w:val="none" w:sz="0" w:space="0" w:color="auto"/>
        <w:left w:val="none" w:sz="0" w:space="0" w:color="auto"/>
        <w:bottom w:val="none" w:sz="0" w:space="0" w:color="auto"/>
        <w:right w:val="none" w:sz="0" w:space="0" w:color="auto"/>
      </w:divBdr>
    </w:div>
    <w:div w:id="518130091">
      <w:bodyDiv w:val="1"/>
      <w:marLeft w:val="0"/>
      <w:marRight w:val="0"/>
      <w:marTop w:val="0"/>
      <w:marBottom w:val="0"/>
      <w:divBdr>
        <w:top w:val="none" w:sz="0" w:space="0" w:color="auto"/>
        <w:left w:val="none" w:sz="0" w:space="0" w:color="auto"/>
        <w:bottom w:val="none" w:sz="0" w:space="0" w:color="auto"/>
        <w:right w:val="none" w:sz="0" w:space="0" w:color="auto"/>
      </w:divBdr>
    </w:div>
    <w:div w:id="519664627">
      <w:bodyDiv w:val="1"/>
      <w:marLeft w:val="0"/>
      <w:marRight w:val="0"/>
      <w:marTop w:val="0"/>
      <w:marBottom w:val="0"/>
      <w:divBdr>
        <w:top w:val="none" w:sz="0" w:space="0" w:color="auto"/>
        <w:left w:val="none" w:sz="0" w:space="0" w:color="auto"/>
        <w:bottom w:val="none" w:sz="0" w:space="0" w:color="auto"/>
        <w:right w:val="none" w:sz="0" w:space="0" w:color="auto"/>
      </w:divBdr>
    </w:div>
    <w:div w:id="520708799">
      <w:bodyDiv w:val="1"/>
      <w:marLeft w:val="0"/>
      <w:marRight w:val="0"/>
      <w:marTop w:val="0"/>
      <w:marBottom w:val="0"/>
      <w:divBdr>
        <w:top w:val="none" w:sz="0" w:space="0" w:color="auto"/>
        <w:left w:val="none" w:sz="0" w:space="0" w:color="auto"/>
        <w:bottom w:val="none" w:sz="0" w:space="0" w:color="auto"/>
        <w:right w:val="none" w:sz="0" w:space="0" w:color="auto"/>
      </w:divBdr>
      <w:divsChild>
        <w:div w:id="1151795580">
          <w:marLeft w:val="547"/>
          <w:marRight w:val="0"/>
          <w:marTop w:val="115"/>
          <w:marBottom w:val="0"/>
          <w:divBdr>
            <w:top w:val="none" w:sz="0" w:space="0" w:color="auto"/>
            <w:left w:val="none" w:sz="0" w:space="0" w:color="auto"/>
            <w:bottom w:val="none" w:sz="0" w:space="0" w:color="auto"/>
            <w:right w:val="none" w:sz="0" w:space="0" w:color="auto"/>
          </w:divBdr>
        </w:div>
        <w:div w:id="1821723694">
          <w:marLeft w:val="1166"/>
          <w:marRight w:val="0"/>
          <w:marTop w:val="96"/>
          <w:marBottom w:val="0"/>
          <w:divBdr>
            <w:top w:val="none" w:sz="0" w:space="0" w:color="auto"/>
            <w:left w:val="none" w:sz="0" w:space="0" w:color="auto"/>
            <w:bottom w:val="none" w:sz="0" w:space="0" w:color="auto"/>
            <w:right w:val="none" w:sz="0" w:space="0" w:color="auto"/>
          </w:divBdr>
        </w:div>
        <w:div w:id="1986661572">
          <w:marLeft w:val="1166"/>
          <w:marRight w:val="0"/>
          <w:marTop w:val="96"/>
          <w:marBottom w:val="0"/>
          <w:divBdr>
            <w:top w:val="none" w:sz="0" w:space="0" w:color="auto"/>
            <w:left w:val="none" w:sz="0" w:space="0" w:color="auto"/>
            <w:bottom w:val="none" w:sz="0" w:space="0" w:color="auto"/>
            <w:right w:val="none" w:sz="0" w:space="0" w:color="auto"/>
          </w:divBdr>
        </w:div>
        <w:div w:id="2004970892">
          <w:marLeft w:val="547"/>
          <w:marRight w:val="0"/>
          <w:marTop w:val="115"/>
          <w:marBottom w:val="0"/>
          <w:divBdr>
            <w:top w:val="none" w:sz="0" w:space="0" w:color="auto"/>
            <w:left w:val="none" w:sz="0" w:space="0" w:color="auto"/>
            <w:bottom w:val="none" w:sz="0" w:space="0" w:color="auto"/>
            <w:right w:val="none" w:sz="0" w:space="0" w:color="auto"/>
          </w:divBdr>
        </w:div>
      </w:divsChild>
    </w:div>
    <w:div w:id="520775665">
      <w:bodyDiv w:val="1"/>
      <w:marLeft w:val="0"/>
      <w:marRight w:val="0"/>
      <w:marTop w:val="0"/>
      <w:marBottom w:val="0"/>
      <w:divBdr>
        <w:top w:val="none" w:sz="0" w:space="0" w:color="auto"/>
        <w:left w:val="none" w:sz="0" w:space="0" w:color="auto"/>
        <w:bottom w:val="none" w:sz="0" w:space="0" w:color="auto"/>
        <w:right w:val="none" w:sz="0" w:space="0" w:color="auto"/>
      </w:divBdr>
    </w:div>
    <w:div w:id="520902530">
      <w:bodyDiv w:val="1"/>
      <w:marLeft w:val="0"/>
      <w:marRight w:val="0"/>
      <w:marTop w:val="0"/>
      <w:marBottom w:val="0"/>
      <w:divBdr>
        <w:top w:val="none" w:sz="0" w:space="0" w:color="auto"/>
        <w:left w:val="none" w:sz="0" w:space="0" w:color="auto"/>
        <w:bottom w:val="none" w:sz="0" w:space="0" w:color="auto"/>
        <w:right w:val="none" w:sz="0" w:space="0" w:color="auto"/>
      </w:divBdr>
    </w:div>
    <w:div w:id="521164425">
      <w:bodyDiv w:val="1"/>
      <w:marLeft w:val="0"/>
      <w:marRight w:val="0"/>
      <w:marTop w:val="0"/>
      <w:marBottom w:val="0"/>
      <w:divBdr>
        <w:top w:val="none" w:sz="0" w:space="0" w:color="auto"/>
        <w:left w:val="none" w:sz="0" w:space="0" w:color="auto"/>
        <w:bottom w:val="none" w:sz="0" w:space="0" w:color="auto"/>
        <w:right w:val="none" w:sz="0" w:space="0" w:color="auto"/>
      </w:divBdr>
    </w:div>
    <w:div w:id="521209771">
      <w:bodyDiv w:val="1"/>
      <w:marLeft w:val="0"/>
      <w:marRight w:val="0"/>
      <w:marTop w:val="0"/>
      <w:marBottom w:val="0"/>
      <w:divBdr>
        <w:top w:val="none" w:sz="0" w:space="0" w:color="auto"/>
        <w:left w:val="none" w:sz="0" w:space="0" w:color="auto"/>
        <w:bottom w:val="none" w:sz="0" w:space="0" w:color="auto"/>
        <w:right w:val="none" w:sz="0" w:space="0" w:color="auto"/>
      </w:divBdr>
      <w:divsChild>
        <w:div w:id="112020961">
          <w:marLeft w:val="547"/>
          <w:marRight w:val="0"/>
          <w:marTop w:val="115"/>
          <w:marBottom w:val="0"/>
          <w:divBdr>
            <w:top w:val="none" w:sz="0" w:space="0" w:color="auto"/>
            <w:left w:val="none" w:sz="0" w:space="0" w:color="auto"/>
            <w:bottom w:val="none" w:sz="0" w:space="0" w:color="auto"/>
            <w:right w:val="none" w:sz="0" w:space="0" w:color="auto"/>
          </w:divBdr>
        </w:div>
        <w:div w:id="317881858">
          <w:marLeft w:val="1166"/>
          <w:marRight w:val="0"/>
          <w:marTop w:val="86"/>
          <w:marBottom w:val="0"/>
          <w:divBdr>
            <w:top w:val="none" w:sz="0" w:space="0" w:color="auto"/>
            <w:left w:val="none" w:sz="0" w:space="0" w:color="auto"/>
            <w:bottom w:val="none" w:sz="0" w:space="0" w:color="auto"/>
            <w:right w:val="none" w:sz="0" w:space="0" w:color="auto"/>
          </w:divBdr>
        </w:div>
        <w:div w:id="352264349">
          <w:marLeft w:val="1800"/>
          <w:marRight w:val="0"/>
          <w:marTop w:val="67"/>
          <w:marBottom w:val="0"/>
          <w:divBdr>
            <w:top w:val="none" w:sz="0" w:space="0" w:color="auto"/>
            <w:left w:val="none" w:sz="0" w:space="0" w:color="auto"/>
            <w:bottom w:val="none" w:sz="0" w:space="0" w:color="auto"/>
            <w:right w:val="none" w:sz="0" w:space="0" w:color="auto"/>
          </w:divBdr>
        </w:div>
        <w:div w:id="583802404">
          <w:marLeft w:val="1166"/>
          <w:marRight w:val="0"/>
          <w:marTop w:val="86"/>
          <w:marBottom w:val="0"/>
          <w:divBdr>
            <w:top w:val="none" w:sz="0" w:space="0" w:color="auto"/>
            <w:left w:val="none" w:sz="0" w:space="0" w:color="auto"/>
            <w:bottom w:val="none" w:sz="0" w:space="0" w:color="auto"/>
            <w:right w:val="none" w:sz="0" w:space="0" w:color="auto"/>
          </w:divBdr>
        </w:div>
        <w:div w:id="823006022">
          <w:marLeft w:val="1166"/>
          <w:marRight w:val="0"/>
          <w:marTop w:val="86"/>
          <w:marBottom w:val="0"/>
          <w:divBdr>
            <w:top w:val="none" w:sz="0" w:space="0" w:color="auto"/>
            <w:left w:val="none" w:sz="0" w:space="0" w:color="auto"/>
            <w:bottom w:val="none" w:sz="0" w:space="0" w:color="auto"/>
            <w:right w:val="none" w:sz="0" w:space="0" w:color="auto"/>
          </w:divBdr>
        </w:div>
        <w:div w:id="870921657">
          <w:marLeft w:val="1800"/>
          <w:marRight w:val="0"/>
          <w:marTop w:val="67"/>
          <w:marBottom w:val="0"/>
          <w:divBdr>
            <w:top w:val="none" w:sz="0" w:space="0" w:color="auto"/>
            <w:left w:val="none" w:sz="0" w:space="0" w:color="auto"/>
            <w:bottom w:val="none" w:sz="0" w:space="0" w:color="auto"/>
            <w:right w:val="none" w:sz="0" w:space="0" w:color="auto"/>
          </w:divBdr>
        </w:div>
        <w:div w:id="963081965">
          <w:marLeft w:val="1800"/>
          <w:marRight w:val="0"/>
          <w:marTop w:val="67"/>
          <w:marBottom w:val="0"/>
          <w:divBdr>
            <w:top w:val="none" w:sz="0" w:space="0" w:color="auto"/>
            <w:left w:val="none" w:sz="0" w:space="0" w:color="auto"/>
            <w:bottom w:val="none" w:sz="0" w:space="0" w:color="auto"/>
            <w:right w:val="none" w:sz="0" w:space="0" w:color="auto"/>
          </w:divBdr>
        </w:div>
        <w:div w:id="1258095716">
          <w:marLeft w:val="1800"/>
          <w:marRight w:val="0"/>
          <w:marTop w:val="67"/>
          <w:marBottom w:val="0"/>
          <w:divBdr>
            <w:top w:val="none" w:sz="0" w:space="0" w:color="auto"/>
            <w:left w:val="none" w:sz="0" w:space="0" w:color="auto"/>
            <w:bottom w:val="none" w:sz="0" w:space="0" w:color="auto"/>
            <w:right w:val="none" w:sz="0" w:space="0" w:color="auto"/>
          </w:divBdr>
        </w:div>
        <w:div w:id="1707833924">
          <w:marLeft w:val="1166"/>
          <w:marRight w:val="0"/>
          <w:marTop w:val="86"/>
          <w:marBottom w:val="0"/>
          <w:divBdr>
            <w:top w:val="none" w:sz="0" w:space="0" w:color="auto"/>
            <w:left w:val="none" w:sz="0" w:space="0" w:color="auto"/>
            <w:bottom w:val="none" w:sz="0" w:space="0" w:color="auto"/>
            <w:right w:val="none" w:sz="0" w:space="0" w:color="auto"/>
          </w:divBdr>
        </w:div>
        <w:div w:id="1737825089">
          <w:marLeft w:val="1166"/>
          <w:marRight w:val="0"/>
          <w:marTop w:val="86"/>
          <w:marBottom w:val="0"/>
          <w:divBdr>
            <w:top w:val="none" w:sz="0" w:space="0" w:color="auto"/>
            <w:left w:val="none" w:sz="0" w:space="0" w:color="auto"/>
            <w:bottom w:val="none" w:sz="0" w:space="0" w:color="auto"/>
            <w:right w:val="none" w:sz="0" w:space="0" w:color="auto"/>
          </w:divBdr>
        </w:div>
        <w:div w:id="2091349759">
          <w:marLeft w:val="1166"/>
          <w:marRight w:val="0"/>
          <w:marTop w:val="86"/>
          <w:marBottom w:val="0"/>
          <w:divBdr>
            <w:top w:val="none" w:sz="0" w:space="0" w:color="auto"/>
            <w:left w:val="none" w:sz="0" w:space="0" w:color="auto"/>
            <w:bottom w:val="none" w:sz="0" w:space="0" w:color="auto"/>
            <w:right w:val="none" w:sz="0" w:space="0" w:color="auto"/>
          </w:divBdr>
        </w:div>
        <w:div w:id="2109889651">
          <w:marLeft w:val="1166"/>
          <w:marRight w:val="0"/>
          <w:marTop w:val="86"/>
          <w:marBottom w:val="0"/>
          <w:divBdr>
            <w:top w:val="none" w:sz="0" w:space="0" w:color="auto"/>
            <w:left w:val="none" w:sz="0" w:space="0" w:color="auto"/>
            <w:bottom w:val="none" w:sz="0" w:space="0" w:color="auto"/>
            <w:right w:val="none" w:sz="0" w:space="0" w:color="auto"/>
          </w:divBdr>
        </w:div>
      </w:divsChild>
    </w:div>
    <w:div w:id="521742745">
      <w:bodyDiv w:val="1"/>
      <w:marLeft w:val="0"/>
      <w:marRight w:val="0"/>
      <w:marTop w:val="0"/>
      <w:marBottom w:val="0"/>
      <w:divBdr>
        <w:top w:val="none" w:sz="0" w:space="0" w:color="auto"/>
        <w:left w:val="none" w:sz="0" w:space="0" w:color="auto"/>
        <w:bottom w:val="none" w:sz="0" w:space="0" w:color="auto"/>
        <w:right w:val="none" w:sz="0" w:space="0" w:color="auto"/>
      </w:divBdr>
    </w:div>
    <w:div w:id="522548123">
      <w:bodyDiv w:val="1"/>
      <w:marLeft w:val="0"/>
      <w:marRight w:val="0"/>
      <w:marTop w:val="0"/>
      <w:marBottom w:val="0"/>
      <w:divBdr>
        <w:top w:val="none" w:sz="0" w:space="0" w:color="auto"/>
        <w:left w:val="none" w:sz="0" w:space="0" w:color="auto"/>
        <w:bottom w:val="none" w:sz="0" w:space="0" w:color="auto"/>
        <w:right w:val="none" w:sz="0" w:space="0" w:color="auto"/>
      </w:divBdr>
    </w:div>
    <w:div w:id="524028343">
      <w:bodyDiv w:val="1"/>
      <w:marLeft w:val="0"/>
      <w:marRight w:val="0"/>
      <w:marTop w:val="0"/>
      <w:marBottom w:val="0"/>
      <w:divBdr>
        <w:top w:val="none" w:sz="0" w:space="0" w:color="auto"/>
        <w:left w:val="none" w:sz="0" w:space="0" w:color="auto"/>
        <w:bottom w:val="none" w:sz="0" w:space="0" w:color="auto"/>
        <w:right w:val="none" w:sz="0" w:space="0" w:color="auto"/>
      </w:divBdr>
    </w:div>
    <w:div w:id="524946680">
      <w:bodyDiv w:val="1"/>
      <w:marLeft w:val="0"/>
      <w:marRight w:val="0"/>
      <w:marTop w:val="0"/>
      <w:marBottom w:val="0"/>
      <w:divBdr>
        <w:top w:val="none" w:sz="0" w:space="0" w:color="auto"/>
        <w:left w:val="none" w:sz="0" w:space="0" w:color="auto"/>
        <w:bottom w:val="none" w:sz="0" w:space="0" w:color="auto"/>
        <w:right w:val="none" w:sz="0" w:space="0" w:color="auto"/>
      </w:divBdr>
    </w:div>
    <w:div w:id="525993652">
      <w:bodyDiv w:val="1"/>
      <w:marLeft w:val="0"/>
      <w:marRight w:val="0"/>
      <w:marTop w:val="0"/>
      <w:marBottom w:val="0"/>
      <w:divBdr>
        <w:top w:val="none" w:sz="0" w:space="0" w:color="auto"/>
        <w:left w:val="none" w:sz="0" w:space="0" w:color="auto"/>
        <w:bottom w:val="none" w:sz="0" w:space="0" w:color="auto"/>
        <w:right w:val="none" w:sz="0" w:space="0" w:color="auto"/>
      </w:divBdr>
    </w:div>
    <w:div w:id="527137536">
      <w:bodyDiv w:val="1"/>
      <w:marLeft w:val="0"/>
      <w:marRight w:val="0"/>
      <w:marTop w:val="0"/>
      <w:marBottom w:val="0"/>
      <w:divBdr>
        <w:top w:val="none" w:sz="0" w:space="0" w:color="auto"/>
        <w:left w:val="none" w:sz="0" w:space="0" w:color="auto"/>
        <w:bottom w:val="none" w:sz="0" w:space="0" w:color="auto"/>
        <w:right w:val="none" w:sz="0" w:space="0" w:color="auto"/>
      </w:divBdr>
    </w:div>
    <w:div w:id="527185304">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8418856">
      <w:bodyDiv w:val="1"/>
      <w:marLeft w:val="0"/>
      <w:marRight w:val="0"/>
      <w:marTop w:val="0"/>
      <w:marBottom w:val="0"/>
      <w:divBdr>
        <w:top w:val="none" w:sz="0" w:space="0" w:color="auto"/>
        <w:left w:val="none" w:sz="0" w:space="0" w:color="auto"/>
        <w:bottom w:val="none" w:sz="0" w:space="0" w:color="auto"/>
        <w:right w:val="none" w:sz="0" w:space="0" w:color="auto"/>
      </w:divBdr>
    </w:div>
    <w:div w:id="529497024">
      <w:bodyDiv w:val="1"/>
      <w:marLeft w:val="0"/>
      <w:marRight w:val="0"/>
      <w:marTop w:val="0"/>
      <w:marBottom w:val="0"/>
      <w:divBdr>
        <w:top w:val="none" w:sz="0" w:space="0" w:color="auto"/>
        <w:left w:val="none" w:sz="0" w:space="0" w:color="auto"/>
        <w:bottom w:val="none" w:sz="0" w:space="0" w:color="auto"/>
        <w:right w:val="none" w:sz="0" w:space="0" w:color="auto"/>
      </w:divBdr>
    </w:div>
    <w:div w:id="529799953">
      <w:bodyDiv w:val="1"/>
      <w:marLeft w:val="0"/>
      <w:marRight w:val="0"/>
      <w:marTop w:val="0"/>
      <w:marBottom w:val="0"/>
      <w:divBdr>
        <w:top w:val="none" w:sz="0" w:space="0" w:color="auto"/>
        <w:left w:val="none" w:sz="0" w:space="0" w:color="auto"/>
        <w:bottom w:val="none" w:sz="0" w:space="0" w:color="auto"/>
        <w:right w:val="none" w:sz="0" w:space="0" w:color="auto"/>
      </w:divBdr>
    </w:div>
    <w:div w:id="530651587">
      <w:bodyDiv w:val="1"/>
      <w:marLeft w:val="0"/>
      <w:marRight w:val="0"/>
      <w:marTop w:val="0"/>
      <w:marBottom w:val="0"/>
      <w:divBdr>
        <w:top w:val="none" w:sz="0" w:space="0" w:color="auto"/>
        <w:left w:val="none" w:sz="0" w:space="0" w:color="auto"/>
        <w:bottom w:val="none" w:sz="0" w:space="0" w:color="auto"/>
        <w:right w:val="none" w:sz="0" w:space="0" w:color="auto"/>
      </w:divBdr>
      <w:divsChild>
        <w:div w:id="232352331">
          <w:marLeft w:val="2074"/>
          <w:marRight w:val="0"/>
          <w:marTop w:val="53"/>
          <w:marBottom w:val="0"/>
          <w:divBdr>
            <w:top w:val="none" w:sz="0" w:space="0" w:color="auto"/>
            <w:left w:val="none" w:sz="0" w:space="0" w:color="auto"/>
            <w:bottom w:val="none" w:sz="0" w:space="0" w:color="auto"/>
            <w:right w:val="none" w:sz="0" w:space="0" w:color="auto"/>
          </w:divBdr>
        </w:div>
        <w:div w:id="248971314">
          <w:marLeft w:val="1354"/>
          <w:marRight w:val="0"/>
          <w:marTop w:val="77"/>
          <w:marBottom w:val="0"/>
          <w:divBdr>
            <w:top w:val="none" w:sz="0" w:space="0" w:color="auto"/>
            <w:left w:val="none" w:sz="0" w:space="0" w:color="auto"/>
            <w:bottom w:val="none" w:sz="0" w:space="0" w:color="auto"/>
            <w:right w:val="none" w:sz="0" w:space="0" w:color="auto"/>
          </w:divBdr>
        </w:div>
        <w:div w:id="718018956">
          <w:marLeft w:val="720"/>
          <w:marRight w:val="0"/>
          <w:marTop w:val="86"/>
          <w:marBottom w:val="0"/>
          <w:divBdr>
            <w:top w:val="none" w:sz="0" w:space="0" w:color="auto"/>
            <w:left w:val="none" w:sz="0" w:space="0" w:color="auto"/>
            <w:bottom w:val="none" w:sz="0" w:space="0" w:color="auto"/>
            <w:right w:val="none" w:sz="0" w:space="0" w:color="auto"/>
          </w:divBdr>
        </w:div>
        <w:div w:id="1554580724">
          <w:marLeft w:val="2074"/>
          <w:marRight w:val="0"/>
          <w:marTop w:val="53"/>
          <w:marBottom w:val="0"/>
          <w:divBdr>
            <w:top w:val="none" w:sz="0" w:space="0" w:color="auto"/>
            <w:left w:val="none" w:sz="0" w:space="0" w:color="auto"/>
            <w:bottom w:val="none" w:sz="0" w:space="0" w:color="auto"/>
            <w:right w:val="none" w:sz="0" w:space="0" w:color="auto"/>
          </w:divBdr>
        </w:div>
        <w:div w:id="1740710943">
          <w:marLeft w:val="1354"/>
          <w:marRight w:val="0"/>
          <w:marTop w:val="77"/>
          <w:marBottom w:val="0"/>
          <w:divBdr>
            <w:top w:val="none" w:sz="0" w:space="0" w:color="auto"/>
            <w:left w:val="none" w:sz="0" w:space="0" w:color="auto"/>
            <w:bottom w:val="none" w:sz="0" w:space="0" w:color="auto"/>
            <w:right w:val="none" w:sz="0" w:space="0" w:color="auto"/>
          </w:divBdr>
        </w:div>
      </w:divsChild>
    </w:div>
    <w:div w:id="530805565">
      <w:bodyDiv w:val="1"/>
      <w:marLeft w:val="0"/>
      <w:marRight w:val="0"/>
      <w:marTop w:val="0"/>
      <w:marBottom w:val="0"/>
      <w:divBdr>
        <w:top w:val="none" w:sz="0" w:space="0" w:color="auto"/>
        <w:left w:val="none" w:sz="0" w:space="0" w:color="auto"/>
        <w:bottom w:val="none" w:sz="0" w:space="0" w:color="auto"/>
        <w:right w:val="none" w:sz="0" w:space="0" w:color="auto"/>
      </w:divBdr>
    </w:div>
    <w:div w:id="531653188">
      <w:bodyDiv w:val="1"/>
      <w:marLeft w:val="0"/>
      <w:marRight w:val="0"/>
      <w:marTop w:val="0"/>
      <w:marBottom w:val="0"/>
      <w:divBdr>
        <w:top w:val="none" w:sz="0" w:space="0" w:color="auto"/>
        <w:left w:val="none" w:sz="0" w:space="0" w:color="auto"/>
        <w:bottom w:val="none" w:sz="0" w:space="0" w:color="auto"/>
        <w:right w:val="none" w:sz="0" w:space="0" w:color="auto"/>
      </w:divBdr>
    </w:div>
    <w:div w:id="532496972">
      <w:bodyDiv w:val="1"/>
      <w:marLeft w:val="0"/>
      <w:marRight w:val="0"/>
      <w:marTop w:val="0"/>
      <w:marBottom w:val="0"/>
      <w:divBdr>
        <w:top w:val="none" w:sz="0" w:space="0" w:color="auto"/>
        <w:left w:val="none" w:sz="0" w:space="0" w:color="auto"/>
        <w:bottom w:val="none" w:sz="0" w:space="0" w:color="auto"/>
        <w:right w:val="none" w:sz="0" w:space="0" w:color="auto"/>
      </w:divBdr>
    </w:div>
    <w:div w:id="533619433">
      <w:bodyDiv w:val="1"/>
      <w:marLeft w:val="0"/>
      <w:marRight w:val="0"/>
      <w:marTop w:val="0"/>
      <w:marBottom w:val="0"/>
      <w:divBdr>
        <w:top w:val="none" w:sz="0" w:space="0" w:color="auto"/>
        <w:left w:val="none" w:sz="0" w:space="0" w:color="auto"/>
        <w:bottom w:val="none" w:sz="0" w:space="0" w:color="auto"/>
        <w:right w:val="none" w:sz="0" w:space="0" w:color="auto"/>
      </w:divBdr>
    </w:div>
    <w:div w:id="533691950">
      <w:bodyDiv w:val="1"/>
      <w:marLeft w:val="0"/>
      <w:marRight w:val="0"/>
      <w:marTop w:val="0"/>
      <w:marBottom w:val="0"/>
      <w:divBdr>
        <w:top w:val="none" w:sz="0" w:space="0" w:color="auto"/>
        <w:left w:val="none" w:sz="0" w:space="0" w:color="auto"/>
        <w:bottom w:val="none" w:sz="0" w:space="0" w:color="auto"/>
        <w:right w:val="none" w:sz="0" w:space="0" w:color="auto"/>
      </w:divBdr>
    </w:div>
    <w:div w:id="533733176">
      <w:bodyDiv w:val="1"/>
      <w:marLeft w:val="0"/>
      <w:marRight w:val="0"/>
      <w:marTop w:val="0"/>
      <w:marBottom w:val="0"/>
      <w:divBdr>
        <w:top w:val="none" w:sz="0" w:space="0" w:color="auto"/>
        <w:left w:val="none" w:sz="0" w:space="0" w:color="auto"/>
        <w:bottom w:val="none" w:sz="0" w:space="0" w:color="auto"/>
        <w:right w:val="none" w:sz="0" w:space="0" w:color="auto"/>
      </w:divBdr>
    </w:div>
    <w:div w:id="533887658">
      <w:bodyDiv w:val="1"/>
      <w:marLeft w:val="0"/>
      <w:marRight w:val="0"/>
      <w:marTop w:val="0"/>
      <w:marBottom w:val="0"/>
      <w:divBdr>
        <w:top w:val="none" w:sz="0" w:space="0" w:color="auto"/>
        <w:left w:val="none" w:sz="0" w:space="0" w:color="auto"/>
        <w:bottom w:val="none" w:sz="0" w:space="0" w:color="auto"/>
        <w:right w:val="none" w:sz="0" w:space="0" w:color="auto"/>
      </w:divBdr>
      <w:divsChild>
        <w:div w:id="466244325">
          <w:marLeft w:val="547"/>
          <w:marRight w:val="0"/>
          <w:marTop w:val="173"/>
          <w:marBottom w:val="0"/>
          <w:divBdr>
            <w:top w:val="none" w:sz="0" w:space="0" w:color="auto"/>
            <w:left w:val="none" w:sz="0" w:space="0" w:color="auto"/>
            <w:bottom w:val="none" w:sz="0" w:space="0" w:color="auto"/>
            <w:right w:val="none" w:sz="0" w:space="0" w:color="auto"/>
          </w:divBdr>
        </w:div>
        <w:div w:id="994651981">
          <w:marLeft w:val="1800"/>
          <w:marRight w:val="0"/>
          <w:marTop w:val="115"/>
          <w:marBottom w:val="0"/>
          <w:divBdr>
            <w:top w:val="none" w:sz="0" w:space="0" w:color="auto"/>
            <w:left w:val="none" w:sz="0" w:space="0" w:color="auto"/>
            <w:bottom w:val="none" w:sz="0" w:space="0" w:color="auto"/>
            <w:right w:val="none" w:sz="0" w:space="0" w:color="auto"/>
          </w:divBdr>
        </w:div>
        <w:div w:id="1154026684">
          <w:marLeft w:val="1166"/>
          <w:marRight w:val="0"/>
          <w:marTop w:val="134"/>
          <w:marBottom w:val="0"/>
          <w:divBdr>
            <w:top w:val="none" w:sz="0" w:space="0" w:color="auto"/>
            <w:left w:val="none" w:sz="0" w:space="0" w:color="auto"/>
            <w:bottom w:val="none" w:sz="0" w:space="0" w:color="auto"/>
            <w:right w:val="none" w:sz="0" w:space="0" w:color="auto"/>
          </w:divBdr>
        </w:div>
        <w:div w:id="1471435319">
          <w:marLeft w:val="547"/>
          <w:marRight w:val="0"/>
          <w:marTop w:val="173"/>
          <w:marBottom w:val="0"/>
          <w:divBdr>
            <w:top w:val="none" w:sz="0" w:space="0" w:color="auto"/>
            <w:left w:val="none" w:sz="0" w:space="0" w:color="auto"/>
            <w:bottom w:val="none" w:sz="0" w:space="0" w:color="auto"/>
            <w:right w:val="none" w:sz="0" w:space="0" w:color="auto"/>
          </w:divBdr>
        </w:div>
        <w:div w:id="1544253017">
          <w:marLeft w:val="1800"/>
          <w:marRight w:val="0"/>
          <w:marTop w:val="115"/>
          <w:marBottom w:val="0"/>
          <w:divBdr>
            <w:top w:val="none" w:sz="0" w:space="0" w:color="auto"/>
            <w:left w:val="none" w:sz="0" w:space="0" w:color="auto"/>
            <w:bottom w:val="none" w:sz="0" w:space="0" w:color="auto"/>
            <w:right w:val="none" w:sz="0" w:space="0" w:color="auto"/>
          </w:divBdr>
        </w:div>
        <w:div w:id="1670668243">
          <w:marLeft w:val="1800"/>
          <w:marRight w:val="0"/>
          <w:marTop w:val="115"/>
          <w:marBottom w:val="0"/>
          <w:divBdr>
            <w:top w:val="none" w:sz="0" w:space="0" w:color="auto"/>
            <w:left w:val="none" w:sz="0" w:space="0" w:color="auto"/>
            <w:bottom w:val="none" w:sz="0" w:space="0" w:color="auto"/>
            <w:right w:val="none" w:sz="0" w:space="0" w:color="auto"/>
          </w:divBdr>
        </w:div>
        <w:div w:id="1793287457">
          <w:marLeft w:val="1800"/>
          <w:marRight w:val="0"/>
          <w:marTop w:val="115"/>
          <w:marBottom w:val="0"/>
          <w:divBdr>
            <w:top w:val="none" w:sz="0" w:space="0" w:color="auto"/>
            <w:left w:val="none" w:sz="0" w:space="0" w:color="auto"/>
            <w:bottom w:val="none" w:sz="0" w:space="0" w:color="auto"/>
            <w:right w:val="none" w:sz="0" w:space="0" w:color="auto"/>
          </w:divBdr>
        </w:div>
      </w:divsChild>
    </w:div>
    <w:div w:id="534854129">
      <w:bodyDiv w:val="1"/>
      <w:marLeft w:val="0"/>
      <w:marRight w:val="0"/>
      <w:marTop w:val="0"/>
      <w:marBottom w:val="0"/>
      <w:divBdr>
        <w:top w:val="none" w:sz="0" w:space="0" w:color="auto"/>
        <w:left w:val="none" w:sz="0" w:space="0" w:color="auto"/>
        <w:bottom w:val="none" w:sz="0" w:space="0" w:color="auto"/>
        <w:right w:val="none" w:sz="0" w:space="0" w:color="auto"/>
      </w:divBdr>
    </w:div>
    <w:div w:id="535121502">
      <w:bodyDiv w:val="1"/>
      <w:marLeft w:val="0"/>
      <w:marRight w:val="0"/>
      <w:marTop w:val="0"/>
      <w:marBottom w:val="0"/>
      <w:divBdr>
        <w:top w:val="none" w:sz="0" w:space="0" w:color="auto"/>
        <w:left w:val="none" w:sz="0" w:space="0" w:color="auto"/>
        <w:bottom w:val="none" w:sz="0" w:space="0" w:color="auto"/>
        <w:right w:val="none" w:sz="0" w:space="0" w:color="auto"/>
      </w:divBdr>
    </w:div>
    <w:div w:id="535582214">
      <w:bodyDiv w:val="1"/>
      <w:marLeft w:val="0"/>
      <w:marRight w:val="0"/>
      <w:marTop w:val="0"/>
      <w:marBottom w:val="0"/>
      <w:divBdr>
        <w:top w:val="none" w:sz="0" w:space="0" w:color="auto"/>
        <w:left w:val="none" w:sz="0" w:space="0" w:color="auto"/>
        <w:bottom w:val="none" w:sz="0" w:space="0" w:color="auto"/>
        <w:right w:val="none" w:sz="0" w:space="0" w:color="auto"/>
      </w:divBdr>
    </w:div>
    <w:div w:id="536351209">
      <w:bodyDiv w:val="1"/>
      <w:marLeft w:val="0"/>
      <w:marRight w:val="0"/>
      <w:marTop w:val="0"/>
      <w:marBottom w:val="0"/>
      <w:divBdr>
        <w:top w:val="none" w:sz="0" w:space="0" w:color="auto"/>
        <w:left w:val="none" w:sz="0" w:space="0" w:color="auto"/>
        <w:bottom w:val="none" w:sz="0" w:space="0" w:color="auto"/>
        <w:right w:val="none" w:sz="0" w:space="0" w:color="auto"/>
      </w:divBdr>
    </w:div>
    <w:div w:id="536547513">
      <w:bodyDiv w:val="1"/>
      <w:marLeft w:val="0"/>
      <w:marRight w:val="0"/>
      <w:marTop w:val="0"/>
      <w:marBottom w:val="0"/>
      <w:divBdr>
        <w:top w:val="none" w:sz="0" w:space="0" w:color="auto"/>
        <w:left w:val="none" w:sz="0" w:space="0" w:color="auto"/>
        <w:bottom w:val="none" w:sz="0" w:space="0" w:color="auto"/>
        <w:right w:val="none" w:sz="0" w:space="0" w:color="auto"/>
      </w:divBdr>
    </w:div>
    <w:div w:id="536771368">
      <w:bodyDiv w:val="1"/>
      <w:marLeft w:val="0"/>
      <w:marRight w:val="0"/>
      <w:marTop w:val="0"/>
      <w:marBottom w:val="0"/>
      <w:divBdr>
        <w:top w:val="none" w:sz="0" w:space="0" w:color="auto"/>
        <w:left w:val="none" w:sz="0" w:space="0" w:color="auto"/>
        <w:bottom w:val="none" w:sz="0" w:space="0" w:color="auto"/>
        <w:right w:val="none" w:sz="0" w:space="0" w:color="auto"/>
      </w:divBdr>
    </w:div>
    <w:div w:id="537620149">
      <w:bodyDiv w:val="1"/>
      <w:marLeft w:val="0"/>
      <w:marRight w:val="0"/>
      <w:marTop w:val="0"/>
      <w:marBottom w:val="0"/>
      <w:divBdr>
        <w:top w:val="none" w:sz="0" w:space="0" w:color="auto"/>
        <w:left w:val="none" w:sz="0" w:space="0" w:color="auto"/>
        <w:bottom w:val="none" w:sz="0" w:space="0" w:color="auto"/>
        <w:right w:val="none" w:sz="0" w:space="0" w:color="auto"/>
      </w:divBdr>
    </w:div>
    <w:div w:id="538012882">
      <w:bodyDiv w:val="1"/>
      <w:marLeft w:val="0"/>
      <w:marRight w:val="0"/>
      <w:marTop w:val="0"/>
      <w:marBottom w:val="0"/>
      <w:divBdr>
        <w:top w:val="none" w:sz="0" w:space="0" w:color="auto"/>
        <w:left w:val="none" w:sz="0" w:space="0" w:color="auto"/>
        <w:bottom w:val="none" w:sz="0" w:space="0" w:color="auto"/>
        <w:right w:val="none" w:sz="0" w:space="0" w:color="auto"/>
      </w:divBdr>
    </w:div>
    <w:div w:id="538250216">
      <w:bodyDiv w:val="1"/>
      <w:marLeft w:val="0"/>
      <w:marRight w:val="0"/>
      <w:marTop w:val="0"/>
      <w:marBottom w:val="0"/>
      <w:divBdr>
        <w:top w:val="none" w:sz="0" w:space="0" w:color="auto"/>
        <w:left w:val="none" w:sz="0" w:space="0" w:color="auto"/>
        <w:bottom w:val="none" w:sz="0" w:space="0" w:color="auto"/>
        <w:right w:val="none" w:sz="0" w:space="0" w:color="auto"/>
      </w:divBdr>
    </w:div>
    <w:div w:id="538468404">
      <w:bodyDiv w:val="1"/>
      <w:marLeft w:val="0"/>
      <w:marRight w:val="0"/>
      <w:marTop w:val="0"/>
      <w:marBottom w:val="0"/>
      <w:divBdr>
        <w:top w:val="none" w:sz="0" w:space="0" w:color="auto"/>
        <w:left w:val="none" w:sz="0" w:space="0" w:color="auto"/>
        <w:bottom w:val="none" w:sz="0" w:space="0" w:color="auto"/>
        <w:right w:val="none" w:sz="0" w:space="0" w:color="auto"/>
      </w:divBdr>
    </w:div>
    <w:div w:id="538591809">
      <w:bodyDiv w:val="1"/>
      <w:marLeft w:val="0"/>
      <w:marRight w:val="0"/>
      <w:marTop w:val="0"/>
      <w:marBottom w:val="0"/>
      <w:divBdr>
        <w:top w:val="none" w:sz="0" w:space="0" w:color="auto"/>
        <w:left w:val="none" w:sz="0" w:space="0" w:color="auto"/>
        <w:bottom w:val="none" w:sz="0" w:space="0" w:color="auto"/>
        <w:right w:val="none" w:sz="0" w:space="0" w:color="auto"/>
      </w:divBdr>
    </w:div>
    <w:div w:id="539559034">
      <w:bodyDiv w:val="1"/>
      <w:marLeft w:val="0"/>
      <w:marRight w:val="0"/>
      <w:marTop w:val="0"/>
      <w:marBottom w:val="0"/>
      <w:divBdr>
        <w:top w:val="none" w:sz="0" w:space="0" w:color="auto"/>
        <w:left w:val="none" w:sz="0" w:space="0" w:color="auto"/>
        <w:bottom w:val="none" w:sz="0" w:space="0" w:color="auto"/>
        <w:right w:val="none" w:sz="0" w:space="0" w:color="auto"/>
      </w:divBdr>
    </w:div>
    <w:div w:id="539629947">
      <w:bodyDiv w:val="1"/>
      <w:marLeft w:val="0"/>
      <w:marRight w:val="0"/>
      <w:marTop w:val="0"/>
      <w:marBottom w:val="0"/>
      <w:divBdr>
        <w:top w:val="none" w:sz="0" w:space="0" w:color="auto"/>
        <w:left w:val="none" w:sz="0" w:space="0" w:color="auto"/>
        <w:bottom w:val="none" w:sz="0" w:space="0" w:color="auto"/>
        <w:right w:val="none" w:sz="0" w:space="0" w:color="auto"/>
      </w:divBdr>
    </w:div>
    <w:div w:id="539829401">
      <w:bodyDiv w:val="1"/>
      <w:marLeft w:val="0"/>
      <w:marRight w:val="0"/>
      <w:marTop w:val="0"/>
      <w:marBottom w:val="0"/>
      <w:divBdr>
        <w:top w:val="none" w:sz="0" w:space="0" w:color="auto"/>
        <w:left w:val="none" w:sz="0" w:space="0" w:color="auto"/>
        <w:bottom w:val="none" w:sz="0" w:space="0" w:color="auto"/>
        <w:right w:val="none" w:sz="0" w:space="0" w:color="auto"/>
      </w:divBdr>
    </w:div>
    <w:div w:id="540216192">
      <w:bodyDiv w:val="1"/>
      <w:marLeft w:val="0"/>
      <w:marRight w:val="0"/>
      <w:marTop w:val="0"/>
      <w:marBottom w:val="0"/>
      <w:divBdr>
        <w:top w:val="none" w:sz="0" w:space="0" w:color="auto"/>
        <w:left w:val="none" w:sz="0" w:space="0" w:color="auto"/>
        <w:bottom w:val="none" w:sz="0" w:space="0" w:color="auto"/>
        <w:right w:val="none" w:sz="0" w:space="0" w:color="auto"/>
      </w:divBdr>
    </w:div>
    <w:div w:id="540746086">
      <w:bodyDiv w:val="1"/>
      <w:marLeft w:val="0"/>
      <w:marRight w:val="0"/>
      <w:marTop w:val="0"/>
      <w:marBottom w:val="0"/>
      <w:divBdr>
        <w:top w:val="none" w:sz="0" w:space="0" w:color="auto"/>
        <w:left w:val="none" w:sz="0" w:space="0" w:color="auto"/>
        <w:bottom w:val="none" w:sz="0" w:space="0" w:color="auto"/>
        <w:right w:val="none" w:sz="0" w:space="0" w:color="auto"/>
      </w:divBdr>
      <w:divsChild>
        <w:div w:id="87579033">
          <w:marLeft w:val="1800"/>
          <w:marRight w:val="0"/>
          <w:marTop w:val="86"/>
          <w:marBottom w:val="0"/>
          <w:divBdr>
            <w:top w:val="none" w:sz="0" w:space="0" w:color="auto"/>
            <w:left w:val="none" w:sz="0" w:space="0" w:color="auto"/>
            <w:bottom w:val="none" w:sz="0" w:space="0" w:color="auto"/>
            <w:right w:val="none" w:sz="0" w:space="0" w:color="auto"/>
          </w:divBdr>
        </w:div>
        <w:div w:id="292716147">
          <w:marLeft w:val="1800"/>
          <w:marRight w:val="0"/>
          <w:marTop w:val="86"/>
          <w:marBottom w:val="0"/>
          <w:divBdr>
            <w:top w:val="none" w:sz="0" w:space="0" w:color="auto"/>
            <w:left w:val="none" w:sz="0" w:space="0" w:color="auto"/>
            <w:bottom w:val="none" w:sz="0" w:space="0" w:color="auto"/>
            <w:right w:val="none" w:sz="0" w:space="0" w:color="auto"/>
          </w:divBdr>
        </w:div>
        <w:div w:id="421872960">
          <w:marLeft w:val="1166"/>
          <w:marRight w:val="0"/>
          <w:marTop w:val="115"/>
          <w:marBottom w:val="0"/>
          <w:divBdr>
            <w:top w:val="none" w:sz="0" w:space="0" w:color="auto"/>
            <w:left w:val="none" w:sz="0" w:space="0" w:color="auto"/>
            <w:bottom w:val="none" w:sz="0" w:space="0" w:color="auto"/>
            <w:right w:val="none" w:sz="0" w:space="0" w:color="auto"/>
          </w:divBdr>
        </w:div>
        <w:div w:id="460999469">
          <w:marLeft w:val="1800"/>
          <w:marRight w:val="0"/>
          <w:marTop w:val="86"/>
          <w:marBottom w:val="0"/>
          <w:divBdr>
            <w:top w:val="none" w:sz="0" w:space="0" w:color="auto"/>
            <w:left w:val="none" w:sz="0" w:space="0" w:color="auto"/>
            <w:bottom w:val="none" w:sz="0" w:space="0" w:color="auto"/>
            <w:right w:val="none" w:sz="0" w:space="0" w:color="auto"/>
          </w:divBdr>
        </w:div>
        <w:div w:id="476343537">
          <w:marLeft w:val="1800"/>
          <w:marRight w:val="0"/>
          <w:marTop w:val="86"/>
          <w:marBottom w:val="0"/>
          <w:divBdr>
            <w:top w:val="none" w:sz="0" w:space="0" w:color="auto"/>
            <w:left w:val="none" w:sz="0" w:space="0" w:color="auto"/>
            <w:bottom w:val="none" w:sz="0" w:space="0" w:color="auto"/>
            <w:right w:val="none" w:sz="0" w:space="0" w:color="auto"/>
          </w:divBdr>
        </w:div>
        <w:div w:id="684792807">
          <w:marLeft w:val="1800"/>
          <w:marRight w:val="0"/>
          <w:marTop w:val="86"/>
          <w:marBottom w:val="0"/>
          <w:divBdr>
            <w:top w:val="none" w:sz="0" w:space="0" w:color="auto"/>
            <w:left w:val="none" w:sz="0" w:space="0" w:color="auto"/>
            <w:bottom w:val="none" w:sz="0" w:space="0" w:color="auto"/>
            <w:right w:val="none" w:sz="0" w:space="0" w:color="auto"/>
          </w:divBdr>
        </w:div>
        <w:div w:id="942223677">
          <w:marLeft w:val="1166"/>
          <w:marRight w:val="0"/>
          <w:marTop w:val="115"/>
          <w:marBottom w:val="0"/>
          <w:divBdr>
            <w:top w:val="none" w:sz="0" w:space="0" w:color="auto"/>
            <w:left w:val="none" w:sz="0" w:space="0" w:color="auto"/>
            <w:bottom w:val="none" w:sz="0" w:space="0" w:color="auto"/>
            <w:right w:val="none" w:sz="0" w:space="0" w:color="auto"/>
          </w:divBdr>
        </w:div>
        <w:div w:id="999505932">
          <w:marLeft w:val="1166"/>
          <w:marRight w:val="0"/>
          <w:marTop w:val="115"/>
          <w:marBottom w:val="0"/>
          <w:divBdr>
            <w:top w:val="none" w:sz="0" w:space="0" w:color="auto"/>
            <w:left w:val="none" w:sz="0" w:space="0" w:color="auto"/>
            <w:bottom w:val="none" w:sz="0" w:space="0" w:color="auto"/>
            <w:right w:val="none" w:sz="0" w:space="0" w:color="auto"/>
          </w:divBdr>
        </w:div>
        <w:div w:id="1250500466">
          <w:marLeft w:val="547"/>
          <w:marRight w:val="0"/>
          <w:marTop w:val="134"/>
          <w:marBottom w:val="0"/>
          <w:divBdr>
            <w:top w:val="none" w:sz="0" w:space="0" w:color="auto"/>
            <w:left w:val="none" w:sz="0" w:space="0" w:color="auto"/>
            <w:bottom w:val="none" w:sz="0" w:space="0" w:color="auto"/>
            <w:right w:val="none" w:sz="0" w:space="0" w:color="auto"/>
          </w:divBdr>
        </w:div>
      </w:divsChild>
    </w:div>
    <w:div w:id="543636368">
      <w:bodyDiv w:val="1"/>
      <w:marLeft w:val="0"/>
      <w:marRight w:val="0"/>
      <w:marTop w:val="0"/>
      <w:marBottom w:val="0"/>
      <w:divBdr>
        <w:top w:val="none" w:sz="0" w:space="0" w:color="auto"/>
        <w:left w:val="none" w:sz="0" w:space="0" w:color="auto"/>
        <w:bottom w:val="none" w:sz="0" w:space="0" w:color="auto"/>
        <w:right w:val="none" w:sz="0" w:space="0" w:color="auto"/>
      </w:divBdr>
    </w:div>
    <w:div w:id="543710080">
      <w:bodyDiv w:val="1"/>
      <w:marLeft w:val="0"/>
      <w:marRight w:val="0"/>
      <w:marTop w:val="0"/>
      <w:marBottom w:val="0"/>
      <w:divBdr>
        <w:top w:val="none" w:sz="0" w:space="0" w:color="auto"/>
        <w:left w:val="none" w:sz="0" w:space="0" w:color="auto"/>
        <w:bottom w:val="none" w:sz="0" w:space="0" w:color="auto"/>
        <w:right w:val="none" w:sz="0" w:space="0" w:color="auto"/>
      </w:divBdr>
      <w:divsChild>
        <w:div w:id="497817225">
          <w:marLeft w:val="360"/>
          <w:marRight w:val="0"/>
          <w:marTop w:val="200"/>
          <w:marBottom w:val="0"/>
          <w:divBdr>
            <w:top w:val="none" w:sz="0" w:space="0" w:color="auto"/>
            <w:left w:val="none" w:sz="0" w:space="0" w:color="auto"/>
            <w:bottom w:val="none" w:sz="0" w:space="0" w:color="auto"/>
            <w:right w:val="none" w:sz="0" w:space="0" w:color="auto"/>
          </w:divBdr>
        </w:div>
        <w:div w:id="585771562">
          <w:marLeft w:val="1080"/>
          <w:marRight w:val="0"/>
          <w:marTop w:val="100"/>
          <w:marBottom w:val="0"/>
          <w:divBdr>
            <w:top w:val="none" w:sz="0" w:space="0" w:color="auto"/>
            <w:left w:val="none" w:sz="0" w:space="0" w:color="auto"/>
            <w:bottom w:val="none" w:sz="0" w:space="0" w:color="auto"/>
            <w:right w:val="none" w:sz="0" w:space="0" w:color="auto"/>
          </w:divBdr>
        </w:div>
        <w:div w:id="1508906810">
          <w:marLeft w:val="1080"/>
          <w:marRight w:val="0"/>
          <w:marTop w:val="100"/>
          <w:marBottom w:val="0"/>
          <w:divBdr>
            <w:top w:val="none" w:sz="0" w:space="0" w:color="auto"/>
            <w:left w:val="none" w:sz="0" w:space="0" w:color="auto"/>
            <w:bottom w:val="none" w:sz="0" w:space="0" w:color="auto"/>
            <w:right w:val="none" w:sz="0" w:space="0" w:color="auto"/>
          </w:divBdr>
        </w:div>
        <w:div w:id="1604264546">
          <w:marLeft w:val="1080"/>
          <w:marRight w:val="0"/>
          <w:marTop w:val="100"/>
          <w:marBottom w:val="0"/>
          <w:divBdr>
            <w:top w:val="none" w:sz="0" w:space="0" w:color="auto"/>
            <w:left w:val="none" w:sz="0" w:space="0" w:color="auto"/>
            <w:bottom w:val="none" w:sz="0" w:space="0" w:color="auto"/>
            <w:right w:val="none" w:sz="0" w:space="0" w:color="auto"/>
          </w:divBdr>
        </w:div>
      </w:divsChild>
    </w:div>
    <w:div w:id="544411200">
      <w:bodyDiv w:val="1"/>
      <w:marLeft w:val="0"/>
      <w:marRight w:val="0"/>
      <w:marTop w:val="0"/>
      <w:marBottom w:val="0"/>
      <w:divBdr>
        <w:top w:val="none" w:sz="0" w:space="0" w:color="auto"/>
        <w:left w:val="none" w:sz="0" w:space="0" w:color="auto"/>
        <w:bottom w:val="none" w:sz="0" w:space="0" w:color="auto"/>
        <w:right w:val="none" w:sz="0" w:space="0" w:color="auto"/>
      </w:divBdr>
    </w:div>
    <w:div w:id="548491873">
      <w:bodyDiv w:val="1"/>
      <w:marLeft w:val="0"/>
      <w:marRight w:val="0"/>
      <w:marTop w:val="0"/>
      <w:marBottom w:val="0"/>
      <w:divBdr>
        <w:top w:val="none" w:sz="0" w:space="0" w:color="auto"/>
        <w:left w:val="none" w:sz="0" w:space="0" w:color="auto"/>
        <w:bottom w:val="none" w:sz="0" w:space="0" w:color="auto"/>
        <w:right w:val="none" w:sz="0" w:space="0" w:color="auto"/>
      </w:divBdr>
    </w:div>
    <w:div w:id="548565602">
      <w:bodyDiv w:val="1"/>
      <w:marLeft w:val="0"/>
      <w:marRight w:val="0"/>
      <w:marTop w:val="0"/>
      <w:marBottom w:val="0"/>
      <w:divBdr>
        <w:top w:val="none" w:sz="0" w:space="0" w:color="auto"/>
        <w:left w:val="none" w:sz="0" w:space="0" w:color="auto"/>
        <w:bottom w:val="none" w:sz="0" w:space="0" w:color="auto"/>
        <w:right w:val="none" w:sz="0" w:space="0" w:color="auto"/>
      </w:divBdr>
      <w:divsChild>
        <w:div w:id="556165255">
          <w:marLeft w:val="1267"/>
          <w:marRight w:val="0"/>
          <w:marTop w:val="120"/>
          <w:marBottom w:val="0"/>
          <w:divBdr>
            <w:top w:val="none" w:sz="0" w:space="0" w:color="auto"/>
            <w:left w:val="none" w:sz="0" w:space="0" w:color="auto"/>
            <w:bottom w:val="none" w:sz="0" w:space="0" w:color="auto"/>
            <w:right w:val="none" w:sz="0" w:space="0" w:color="auto"/>
          </w:divBdr>
        </w:div>
        <w:div w:id="856892787">
          <w:marLeft w:val="1267"/>
          <w:marRight w:val="0"/>
          <w:marTop w:val="120"/>
          <w:marBottom w:val="0"/>
          <w:divBdr>
            <w:top w:val="none" w:sz="0" w:space="0" w:color="auto"/>
            <w:left w:val="none" w:sz="0" w:space="0" w:color="auto"/>
            <w:bottom w:val="none" w:sz="0" w:space="0" w:color="auto"/>
            <w:right w:val="none" w:sz="0" w:space="0" w:color="auto"/>
          </w:divBdr>
        </w:div>
        <w:div w:id="1228372863">
          <w:marLeft w:val="1987"/>
          <w:marRight w:val="0"/>
          <w:marTop w:val="120"/>
          <w:marBottom w:val="0"/>
          <w:divBdr>
            <w:top w:val="none" w:sz="0" w:space="0" w:color="auto"/>
            <w:left w:val="none" w:sz="0" w:space="0" w:color="auto"/>
            <w:bottom w:val="none" w:sz="0" w:space="0" w:color="auto"/>
            <w:right w:val="none" w:sz="0" w:space="0" w:color="auto"/>
          </w:divBdr>
        </w:div>
        <w:div w:id="1291473918">
          <w:marLeft w:val="1987"/>
          <w:marRight w:val="0"/>
          <w:marTop w:val="120"/>
          <w:marBottom w:val="0"/>
          <w:divBdr>
            <w:top w:val="none" w:sz="0" w:space="0" w:color="auto"/>
            <w:left w:val="none" w:sz="0" w:space="0" w:color="auto"/>
            <w:bottom w:val="none" w:sz="0" w:space="0" w:color="auto"/>
            <w:right w:val="none" w:sz="0" w:space="0" w:color="auto"/>
          </w:divBdr>
        </w:div>
        <w:div w:id="1435131441">
          <w:marLeft w:val="1267"/>
          <w:marRight w:val="0"/>
          <w:marTop w:val="120"/>
          <w:marBottom w:val="0"/>
          <w:divBdr>
            <w:top w:val="none" w:sz="0" w:space="0" w:color="auto"/>
            <w:left w:val="none" w:sz="0" w:space="0" w:color="auto"/>
            <w:bottom w:val="none" w:sz="0" w:space="0" w:color="auto"/>
            <w:right w:val="none" w:sz="0" w:space="0" w:color="auto"/>
          </w:divBdr>
        </w:div>
        <w:div w:id="1688404436">
          <w:marLeft w:val="1987"/>
          <w:marRight w:val="0"/>
          <w:marTop w:val="120"/>
          <w:marBottom w:val="0"/>
          <w:divBdr>
            <w:top w:val="none" w:sz="0" w:space="0" w:color="auto"/>
            <w:left w:val="none" w:sz="0" w:space="0" w:color="auto"/>
            <w:bottom w:val="none" w:sz="0" w:space="0" w:color="auto"/>
            <w:right w:val="none" w:sz="0" w:space="0" w:color="auto"/>
          </w:divBdr>
        </w:div>
        <w:div w:id="1826580710">
          <w:marLeft w:val="547"/>
          <w:marRight w:val="0"/>
          <w:marTop w:val="120"/>
          <w:marBottom w:val="0"/>
          <w:divBdr>
            <w:top w:val="none" w:sz="0" w:space="0" w:color="auto"/>
            <w:left w:val="none" w:sz="0" w:space="0" w:color="auto"/>
            <w:bottom w:val="none" w:sz="0" w:space="0" w:color="auto"/>
            <w:right w:val="none" w:sz="0" w:space="0" w:color="auto"/>
          </w:divBdr>
        </w:div>
      </w:divsChild>
    </w:div>
    <w:div w:id="548687520">
      <w:bodyDiv w:val="1"/>
      <w:marLeft w:val="0"/>
      <w:marRight w:val="0"/>
      <w:marTop w:val="0"/>
      <w:marBottom w:val="0"/>
      <w:divBdr>
        <w:top w:val="none" w:sz="0" w:space="0" w:color="auto"/>
        <w:left w:val="none" w:sz="0" w:space="0" w:color="auto"/>
        <w:bottom w:val="none" w:sz="0" w:space="0" w:color="auto"/>
        <w:right w:val="none" w:sz="0" w:space="0" w:color="auto"/>
      </w:divBdr>
    </w:div>
    <w:div w:id="550844310">
      <w:bodyDiv w:val="1"/>
      <w:marLeft w:val="0"/>
      <w:marRight w:val="0"/>
      <w:marTop w:val="0"/>
      <w:marBottom w:val="0"/>
      <w:divBdr>
        <w:top w:val="none" w:sz="0" w:space="0" w:color="auto"/>
        <w:left w:val="none" w:sz="0" w:space="0" w:color="auto"/>
        <w:bottom w:val="none" w:sz="0" w:space="0" w:color="auto"/>
        <w:right w:val="none" w:sz="0" w:space="0" w:color="auto"/>
      </w:divBdr>
      <w:divsChild>
        <w:div w:id="876702533">
          <w:marLeft w:val="3240"/>
          <w:marRight w:val="0"/>
          <w:marTop w:val="77"/>
          <w:marBottom w:val="0"/>
          <w:divBdr>
            <w:top w:val="none" w:sz="0" w:space="0" w:color="auto"/>
            <w:left w:val="none" w:sz="0" w:space="0" w:color="auto"/>
            <w:bottom w:val="none" w:sz="0" w:space="0" w:color="auto"/>
            <w:right w:val="none" w:sz="0" w:space="0" w:color="auto"/>
          </w:divBdr>
        </w:div>
        <w:div w:id="1166168317">
          <w:marLeft w:val="2520"/>
          <w:marRight w:val="0"/>
          <w:marTop w:val="77"/>
          <w:marBottom w:val="0"/>
          <w:divBdr>
            <w:top w:val="none" w:sz="0" w:space="0" w:color="auto"/>
            <w:left w:val="none" w:sz="0" w:space="0" w:color="auto"/>
            <w:bottom w:val="none" w:sz="0" w:space="0" w:color="auto"/>
            <w:right w:val="none" w:sz="0" w:space="0" w:color="auto"/>
          </w:divBdr>
        </w:div>
        <w:div w:id="1225336228">
          <w:marLeft w:val="1800"/>
          <w:marRight w:val="0"/>
          <w:marTop w:val="96"/>
          <w:marBottom w:val="0"/>
          <w:divBdr>
            <w:top w:val="none" w:sz="0" w:space="0" w:color="auto"/>
            <w:left w:val="none" w:sz="0" w:space="0" w:color="auto"/>
            <w:bottom w:val="none" w:sz="0" w:space="0" w:color="auto"/>
            <w:right w:val="none" w:sz="0" w:space="0" w:color="auto"/>
          </w:divBdr>
        </w:div>
        <w:div w:id="1904834576">
          <w:marLeft w:val="1800"/>
          <w:marRight w:val="0"/>
          <w:marTop w:val="96"/>
          <w:marBottom w:val="0"/>
          <w:divBdr>
            <w:top w:val="none" w:sz="0" w:space="0" w:color="auto"/>
            <w:left w:val="none" w:sz="0" w:space="0" w:color="auto"/>
            <w:bottom w:val="none" w:sz="0" w:space="0" w:color="auto"/>
            <w:right w:val="none" w:sz="0" w:space="0" w:color="auto"/>
          </w:divBdr>
        </w:div>
      </w:divsChild>
    </w:div>
    <w:div w:id="551229643">
      <w:bodyDiv w:val="1"/>
      <w:marLeft w:val="0"/>
      <w:marRight w:val="0"/>
      <w:marTop w:val="0"/>
      <w:marBottom w:val="0"/>
      <w:divBdr>
        <w:top w:val="none" w:sz="0" w:space="0" w:color="auto"/>
        <w:left w:val="none" w:sz="0" w:space="0" w:color="auto"/>
        <w:bottom w:val="none" w:sz="0" w:space="0" w:color="auto"/>
        <w:right w:val="none" w:sz="0" w:space="0" w:color="auto"/>
      </w:divBdr>
      <w:divsChild>
        <w:div w:id="344402028">
          <w:marLeft w:val="360"/>
          <w:marRight w:val="0"/>
          <w:marTop w:val="200"/>
          <w:marBottom w:val="0"/>
          <w:divBdr>
            <w:top w:val="none" w:sz="0" w:space="0" w:color="auto"/>
            <w:left w:val="none" w:sz="0" w:space="0" w:color="auto"/>
            <w:bottom w:val="none" w:sz="0" w:space="0" w:color="auto"/>
            <w:right w:val="none" w:sz="0" w:space="0" w:color="auto"/>
          </w:divBdr>
        </w:div>
        <w:div w:id="666708228">
          <w:marLeft w:val="360"/>
          <w:marRight w:val="0"/>
          <w:marTop w:val="200"/>
          <w:marBottom w:val="0"/>
          <w:divBdr>
            <w:top w:val="none" w:sz="0" w:space="0" w:color="auto"/>
            <w:left w:val="none" w:sz="0" w:space="0" w:color="auto"/>
            <w:bottom w:val="none" w:sz="0" w:space="0" w:color="auto"/>
            <w:right w:val="none" w:sz="0" w:space="0" w:color="auto"/>
          </w:divBdr>
        </w:div>
      </w:divsChild>
    </w:div>
    <w:div w:id="551648586">
      <w:bodyDiv w:val="1"/>
      <w:marLeft w:val="0"/>
      <w:marRight w:val="0"/>
      <w:marTop w:val="0"/>
      <w:marBottom w:val="0"/>
      <w:divBdr>
        <w:top w:val="none" w:sz="0" w:space="0" w:color="auto"/>
        <w:left w:val="none" w:sz="0" w:space="0" w:color="auto"/>
        <w:bottom w:val="none" w:sz="0" w:space="0" w:color="auto"/>
        <w:right w:val="none" w:sz="0" w:space="0" w:color="auto"/>
      </w:divBdr>
    </w:div>
    <w:div w:id="551817598">
      <w:bodyDiv w:val="1"/>
      <w:marLeft w:val="0"/>
      <w:marRight w:val="0"/>
      <w:marTop w:val="0"/>
      <w:marBottom w:val="0"/>
      <w:divBdr>
        <w:top w:val="none" w:sz="0" w:space="0" w:color="auto"/>
        <w:left w:val="none" w:sz="0" w:space="0" w:color="auto"/>
        <w:bottom w:val="none" w:sz="0" w:space="0" w:color="auto"/>
        <w:right w:val="none" w:sz="0" w:space="0" w:color="auto"/>
      </w:divBdr>
    </w:div>
    <w:div w:id="551817740">
      <w:bodyDiv w:val="1"/>
      <w:marLeft w:val="0"/>
      <w:marRight w:val="0"/>
      <w:marTop w:val="0"/>
      <w:marBottom w:val="0"/>
      <w:divBdr>
        <w:top w:val="none" w:sz="0" w:space="0" w:color="auto"/>
        <w:left w:val="none" w:sz="0" w:space="0" w:color="auto"/>
        <w:bottom w:val="none" w:sz="0" w:space="0" w:color="auto"/>
        <w:right w:val="none" w:sz="0" w:space="0" w:color="auto"/>
      </w:divBdr>
      <w:divsChild>
        <w:div w:id="2091006140">
          <w:marLeft w:val="360"/>
          <w:marRight w:val="0"/>
          <w:marTop w:val="200"/>
          <w:marBottom w:val="0"/>
          <w:divBdr>
            <w:top w:val="none" w:sz="0" w:space="0" w:color="auto"/>
            <w:left w:val="none" w:sz="0" w:space="0" w:color="auto"/>
            <w:bottom w:val="none" w:sz="0" w:space="0" w:color="auto"/>
            <w:right w:val="none" w:sz="0" w:space="0" w:color="auto"/>
          </w:divBdr>
        </w:div>
      </w:divsChild>
    </w:div>
    <w:div w:id="552742219">
      <w:bodyDiv w:val="1"/>
      <w:marLeft w:val="0"/>
      <w:marRight w:val="0"/>
      <w:marTop w:val="0"/>
      <w:marBottom w:val="0"/>
      <w:divBdr>
        <w:top w:val="none" w:sz="0" w:space="0" w:color="auto"/>
        <w:left w:val="none" w:sz="0" w:space="0" w:color="auto"/>
        <w:bottom w:val="none" w:sz="0" w:space="0" w:color="auto"/>
        <w:right w:val="none" w:sz="0" w:space="0" w:color="auto"/>
      </w:divBdr>
      <w:divsChild>
        <w:div w:id="40985296">
          <w:marLeft w:val="1080"/>
          <w:marRight w:val="0"/>
          <w:marTop w:val="100"/>
          <w:marBottom w:val="0"/>
          <w:divBdr>
            <w:top w:val="none" w:sz="0" w:space="0" w:color="auto"/>
            <w:left w:val="none" w:sz="0" w:space="0" w:color="auto"/>
            <w:bottom w:val="none" w:sz="0" w:space="0" w:color="auto"/>
            <w:right w:val="none" w:sz="0" w:space="0" w:color="auto"/>
          </w:divBdr>
        </w:div>
        <w:div w:id="671958108">
          <w:marLeft w:val="1080"/>
          <w:marRight w:val="0"/>
          <w:marTop w:val="100"/>
          <w:marBottom w:val="0"/>
          <w:divBdr>
            <w:top w:val="none" w:sz="0" w:space="0" w:color="auto"/>
            <w:left w:val="none" w:sz="0" w:space="0" w:color="auto"/>
            <w:bottom w:val="none" w:sz="0" w:space="0" w:color="auto"/>
            <w:right w:val="none" w:sz="0" w:space="0" w:color="auto"/>
          </w:divBdr>
        </w:div>
        <w:div w:id="928854342">
          <w:marLeft w:val="360"/>
          <w:marRight w:val="0"/>
          <w:marTop w:val="200"/>
          <w:marBottom w:val="0"/>
          <w:divBdr>
            <w:top w:val="none" w:sz="0" w:space="0" w:color="auto"/>
            <w:left w:val="none" w:sz="0" w:space="0" w:color="auto"/>
            <w:bottom w:val="none" w:sz="0" w:space="0" w:color="auto"/>
            <w:right w:val="none" w:sz="0" w:space="0" w:color="auto"/>
          </w:divBdr>
        </w:div>
        <w:div w:id="1332248145">
          <w:marLeft w:val="1800"/>
          <w:marRight w:val="0"/>
          <w:marTop w:val="100"/>
          <w:marBottom w:val="0"/>
          <w:divBdr>
            <w:top w:val="none" w:sz="0" w:space="0" w:color="auto"/>
            <w:left w:val="none" w:sz="0" w:space="0" w:color="auto"/>
            <w:bottom w:val="none" w:sz="0" w:space="0" w:color="auto"/>
            <w:right w:val="none" w:sz="0" w:space="0" w:color="auto"/>
          </w:divBdr>
        </w:div>
        <w:div w:id="1424298700">
          <w:marLeft w:val="1080"/>
          <w:marRight w:val="0"/>
          <w:marTop w:val="100"/>
          <w:marBottom w:val="0"/>
          <w:divBdr>
            <w:top w:val="none" w:sz="0" w:space="0" w:color="auto"/>
            <w:left w:val="none" w:sz="0" w:space="0" w:color="auto"/>
            <w:bottom w:val="none" w:sz="0" w:space="0" w:color="auto"/>
            <w:right w:val="none" w:sz="0" w:space="0" w:color="auto"/>
          </w:divBdr>
        </w:div>
        <w:div w:id="1489398149">
          <w:marLeft w:val="1080"/>
          <w:marRight w:val="0"/>
          <w:marTop w:val="100"/>
          <w:marBottom w:val="0"/>
          <w:divBdr>
            <w:top w:val="none" w:sz="0" w:space="0" w:color="auto"/>
            <w:left w:val="none" w:sz="0" w:space="0" w:color="auto"/>
            <w:bottom w:val="none" w:sz="0" w:space="0" w:color="auto"/>
            <w:right w:val="none" w:sz="0" w:space="0" w:color="auto"/>
          </w:divBdr>
        </w:div>
        <w:div w:id="2010055635">
          <w:marLeft w:val="1080"/>
          <w:marRight w:val="0"/>
          <w:marTop w:val="100"/>
          <w:marBottom w:val="0"/>
          <w:divBdr>
            <w:top w:val="none" w:sz="0" w:space="0" w:color="auto"/>
            <w:left w:val="none" w:sz="0" w:space="0" w:color="auto"/>
            <w:bottom w:val="none" w:sz="0" w:space="0" w:color="auto"/>
            <w:right w:val="none" w:sz="0" w:space="0" w:color="auto"/>
          </w:divBdr>
        </w:div>
        <w:div w:id="2099524178">
          <w:marLeft w:val="1800"/>
          <w:marRight w:val="0"/>
          <w:marTop w:val="100"/>
          <w:marBottom w:val="0"/>
          <w:divBdr>
            <w:top w:val="none" w:sz="0" w:space="0" w:color="auto"/>
            <w:left w:val="none" w:sz="0" w:space="0" w:color="auto"/>
            <w:bottom w:val="none" w:sz="0" w:space="0" w:color="auto"/>
            <w:right w:val="none" w:sz="0" w:space="0" w:color="auto"/>
          </w:divBdr>
        </w:div>
      </w:divsChild>
    </w:div>
    <w:div w:id="553584285">
      <w:bodyDiv w:val="1"/>
      <w:marLeft w:val="0"/>
      <w:marRight w:val="0"/>
      <w:marTop w:val="0"/>
      <w:marBottom w:val="0"/>
      <w:divBdr>
        <w:top w:val="none" w:sz="0" w:space="0" w:color="auto"/>
        <w:left w:val="none" w:sz="0" w:space="0" w:color="auto"/>
        <w:bottom w:val="none" w:sz="0" w:space="0" w:color="auto"/>
        <w:right w:val="none" w:sz="0" w:space="0" w:color="auto"/>
      </w:divBdr>
    </w:div>
    <w:div w:id="554894701">
      <w:bodyDiv w:val="1"/>
      <w:marLeft w:val="0"/>
      <w:marRight w:val="0"/>
      <w:marTop w:val="0"/>
      <w:marBottom w:val="0"/>
      <w:divBdr>
        <w:top w:val="none" w:sz="0" w:space="0" w:color="auto"/>
        <w:left w:val="none" w:sz="0" w:space="0" w:color="auto"/>
        <w:bottom w:val="none" w:sz="0" w:space="0" w:color="auto"/>
        <w:right w:val="none" w:sz="0" w:space="0" w:color="auto"/>
      </w:divBdr>
    </w:div>
    <w:div w:id="555244075">
      <w:bodyDiv w:val="1"/>
      <w:marLeft w:val="0"/>
      <w:marRight w:val="0"/>
      <w:marTop w:val="0"/>
      <w:marBottom w:val="0"/>
      <w:divBdr>
        <w:top w:val="none" w:sz="0" w:space="0" w:color="auto"/>
        <w:left w:val="none" w:sz="0" w:space="0" w:color="auto"/>
        <w:bottom w:val="none" w:sz="0" w:space="0" w:color="auto"/>
        <w:right w:val="none" w:sz="0" w:space="0" w:color="auto"/>
      </w:divBdr>
      <w:divsChild>
        <w:div w:id="1467578864">
          <w:marLeft w:val="547"/>
          <w:marRight w:val="0"/>
          <w:marTop w:val="134"/>
          <w:marBottom w:val="0"/>
          <w:divBdr>
            <w:top w:val="none" w:sz="0" w:space="0" w:color="auto"/>
            <w:left w:val="none" w:sz="0" w:space="0" w:color="auto"/>
            <w:bottom w:val="none" w:sz="0" w:space="0" w:color="auto"/>
            <w:right w:val="none" w:sz="0" w:space="0" w:color="auto"/>
          </w:divBdr>
        </w:div>
      </w:divsChild>
    </w:div>
    <w:div w:id="556167415">
      <w:bodyDiv w:val="1"/>
      <w:marLeft w:val="0"/>
      <w:marRight w:val="0"/>
      <w:marTop w:val="0"/>
      <w:marBottom w:val="0"/>
      <w:divBdr>
        <w:top w:val="none" w:sz="0" w:space="0" w:color="auto"/>
        <w:left w:val="none" w:sz="0" w:space="0" w:color="auto"/>
        <w:bottom w:val="none" w:sz="0" w:space="0" w:color="auto"/>
        <w:right w:val="none" w:sz="0" w:space="0" w:color="auto"/>
      </w:divBdr>
    </w:div>
    <w:div w:id="556623783">
      <w:bodyDiv w:val="1"/>
      <w:marLeft w:val="0"/>
      <w:marRight w:val="0"/>
      <w:marTop w:val="0"/>
      <w:marBottom w:val="0"/>
      <w:divBdr>
        <w:top w:val="none" w:sz="0" w:space="0" w:color="auto"/>
        <w:left w:val="none" w:sz="0" w:space="0" w:color="auto"/>
        <w:bottom w:val="none" w:sz="0" w:space="0" w:color="auto"/>
        <w:right w:val="none" w:sz="0" w:space="0" w:color="auto"/>
      </w:divBdr>
    </w:div>
    <w:div w:id="557203925">
      <w:bodyDiv w:val="1"/>
      <w:marLeft w:val="0"/>
      <w:marRight w:val="0"/>
      <w:marTop w:val="0"/>
      <w:marBottom w:val="0"/>
      <w:divBdr>
        <w:top w:val="none" w:sz="0" w:space="0" w:color="auto"/>
        <w:left w:val="none" w:sz="0" w:space="0" w:color="auto"/>
        <w:bottom w:val="none" w:sz="0" w:space="0" w:color="auto"/>
        <w:right w:val="none" w:sz="0" w:space="0" w:color="auto"/>
      </w:divBdr>
    </w:div>
    <w:div w:id="560100546">
      <w:bodyDiv w:val="1"/>
      <w:marLeft w:val="0"/>
      <w:marRight w:val="0"/>
      <w:marTop w:val="0"/>
      <w:marBottom w:val="0"/>
      <w:divBdr>
        <w:top w:val="none" w:sz="0" w:space="0" w:color="auto"/>
        <w:left w:val="none" w:sz="0" w:space="0" w:color="auto"/>
        <w:bottom w:val="none" w:sz="0" w:space="0" w:color="auto"/>
        <w:right w:val="none" w:sz="0" w:space="0" w:color="auto"/>
      </w:divBdr>
    </w:div>
    <w:div w:id="560823136">
      <w:bodyDiv w:val="1"/>
      <w:marLeft w:val="0"/>
      <w:marRight w:val="0"/>
      <w:marTop w:val="0"/>
      <w:marBottom w:val="0"/>
      <w:divBdr>
        <w:top w:val="none" w:sz="0" w:space="0" w:color="auto"/>
        <w:left w:val="none" w:sz="0" w:space="0" w:color="auto"/>
        <w:bottom w:val="none" w:sz="0" w:space="0" w:color="auto"/>
        <w:right w:val="none" w:sz="0" w:space="0" w:color="auto"/>
      </w:divBdr>
      <w:divsChild>
        <w:div w:id="275333944">
          <w:marLeft w:val="547"/>
          <w:marRight w:val="0"/>
          <w:marTop w:val="0"/>
          <w:marBottom w:val="0"/>
          <w:divBdr>
            <w:top w:val="none" w:sz="0" w:space="0" w:color="auto"/>
            <w:left w:val="none" w:sz="0" w:space="0" w:color="auto"/>
            <w:bottom w:val="none" w:sz="0" w:space="0" w:color="auto"/>
            <w:right w:val="none" w:sz="0" w:space="0" w:color="auto"/>
          </w:divBdr>
        </w:div>
        <w:div w:id="1453210799">
          <w:marLeft w:val="1166"/>
          <w:marRight w:val="0"/>
          <w:marTop w:val="0"/>
          <w:marBottom w:val="0"/>
          <w:divBdr>
            <w:top w:val="none" w:sz="0" w:space="0" w:color="auto"/>
            <w:left w:val="none" w:sz="0" w:space="0" w:color="auto"/>
            <w:bottom w:val="none" w:sz="0" w:space="0" w:color="auto"/>
            <w:right w:val="none" w:sz="0" w:space="0" w:color="auto"/>
          </w:divBdr>
        </w:div>
      </w:divsChild>
    </w:div>
    <w:div w:id="561523397">
      <w:bodyDiv w:val="1"/>
      <w:marLeft w:val="0"/>
      <w:marRight w:val="0"/>
      <w:marTop w:val="0"/>
      <w:marBottom w:val="0"/>
      <w:divBdr>
        <w:top w:val="none" w:sz="0" w:space="0" w:color="auto"/>
        <w:left w:val="none" w:sz="0" w:space="0" w:color="auto"/>
        <w:bottom w:val="none" w:sz="0" w:space="0" w:color="auto"/>
        <w:right w:val="none" w:sz="0" w:space="0" w:color="auto"/>
      </w:divBdr>
    </w:div>
    <w:div w:id="562061711">
      <w:bodyDiv w:val="1"/>
      <w:marLeft w:val="0"/>
      <w:marRight w:val="0"/>
      <w:marTop w:val="0"/>
      <w:marBottom w:val="0"/>
      <w:divBdr>
        <w:top w:val="none" w:sz="0" w:space="0" w:color="auto"/>
        <w:left w:val="none" w:sz="0" w:space="0" w:color="auto"/>
        <w:bottom w:val="none" w:sz="0" w:space="0" w:color="auto"/>
        <w:right w:val="none" w:sz="0" w:space="0" w:color="auto"/>
      </w:divBdr>
    </w:div>
    <w:div w:id="562568577">
      <w:bodyDiv w:val="1"/>
      <w:marLeft w:val="0"/>
      <w:marRight w:val="0"/>
      <w:marTop w:val="0"/>
      <w:marBottom w:val="0"/>
      <w:divBdr>
        <w:top w:val="none" w:sz="0" w:space="0" w:color="auto"/>
        <w:left w:val="none" w:sz="0" w:space="0" w:color="auto"/>
        <w:bottom w:val="none" w:sz="0" w:space="0" w:color="auto"/>
        <w:right w:val="none" w:sz="0" w:space="0" w:color="auto"/>
      </w:divBdr>
    </w:div>
    <w:div w:id="563106358">
      <w:bodyDiv w:val="1"/>
      <w:marLeft w:val="0"/>
      <w:marRight w:val="0"/>
      <w:marTop w:val="0"/>
      <w:marBottom w:val="0"/>
      <w:divBdr>
        <w:top w:val="none" w:sz="0" w:space="0" w:color="auto"/>
        <w:left w:val="none" w:sz="0" w:space="0" w:color="auto"/>
        <w:bottom w:val="none" w:sz="0" w:space="0" w:color="auto"/>
        <w:right w:val="none" w:sz="0" w:space="0" w:color="auto"/>
      </w:divBdr>
    </w:div>
    <w:div w:id="563376821">
      <w:bodyDiv w:val="1"/>
      <w:marLeft w:val="0"/>
      <w:marRight w:val="0"/>
      <w:marTop w:val="0"/>
      <w:marBottom w:val="0"/>
      <w:divBdr>
        <w:top w:val="none" w:sz="0" w:space="0" w:color="auto"/>
        <w:left w:val="none" w:sz="0" w:space="0" w:color="auto"/>
        <w:bottom w:val="none" w:sz="0" w:space="0" w:color="auto"/>
        <w:right w:val="none" w:sz="0" w:space="0" w:color="auto"/>
      </w:divBdr>
    </w:div>
    <w:div w:id="563761922">
      <w:bodyDiv w:val="1"/>
      <w:marLeft w:val="0"/>
      <w:marRight w:val="0"/>
      <w:marTop w:val="0"/>
      <w:marBottom w:val="0"/>
      <w:divBdr>
        <w:top w:val="none" w:sz="0" w:space="0" w:color="auto"/>
        <w:left w:val="none" w:sz="0" w:space="0" w:color="auto"/>
        <w:bottom w:val="none" w:sz="0" w:space="0" w:color="auto"/>
        <w:right w:val="none" w:sz="0" w:space="0" w:color="auto"/>
      </w:divBdr>
    </w:div>
    <w:div w:id="565797026">
      <w:bodyDiv w:val="1"/>
      <w:marLeft w:val="0"/>
      <w:marRight w:val="0"/>
      <w:marTop w:val="0"/>
      <w:marBottom w:val="0"/>
      <w:divBdr>
        <w:top w:val="none" w:sz="0" w:space="0" w:color="auto"/>
        <w:left w:val="none" w:sz="0" w:space="0" w:color="auto"/>
        <w:bottom w:val="none" w:sz="0" w:space="0" w:color="auto"/>
        <w:right w:val="none" w:sz="0" w:space="0" w:color="auto"/>
      </w:divBdr>
    </w:div>
    <w:div w:id="566497215">
      <w:bodyDiv w:val="1"/>
      <w:marLeft w:val="0"/>
      <w:marRight w:val="0"/>
      <w:marTop w:val="0"/>
      <w:marBottom w:val="0"/>
      <w:divBdr>
        <w:top w:val="none" w:sz="0" w:space="0" w:color="auto"/>
        <w:left w:val="none" w:sz="0" w:space="0" w:color="auto"/>
        <w:bottom w:val="none" w:sz="0" w:space="0" w:color="auto"/>
        <w:right w:val="none" w:sz="0" w:space="0" w:color="auto"/>
      </w:divBdr>
    </w:div>
    <w:div w:id="567227233">
      <w:bodyDiv w:val="1"/>
      <w:marLeft w:val="0"/>
      <w:marRight w:val="0"/>
      <w:marTop w:val="0"/>
      <w:marBottom w:val="0"/>
      <w:divBdr>
        <w:top w:val="none" w:sz="0" w:space="0" w:color="auto"/>
        <w:left w:val="none" w:sz="0" w:space="0" w:color="auto"/>
        <w:bottom w:val="none" w:sz="0" w:space="0" w:color="auto"/>
        <w:right w:val="none" w:sz="0" w:space="0" w:color="auto"/>
      </w:divBdr>
    </w:div>
    <w:div w:id="568150481">
      <w:bodyDiv w:val="1"/>
      <w:marLeft w:val="0"/>
      <w:marRight w:val="0"/>
      <w:marTop w:val="0"/>
      <w:marBottom w:val="0"/>
      <w:divBdr>
        <w:top w:val="none" w:sz="0" w:space="0" w:color="auto"/>
        <w:left w:val="none" w:sz="0" w:space="0" w:color="auto"/>
        <w:bottom w:val="none" w:sz="0" w:space="0" w:color="auto"/>
        <w:right w:val="none" w:sz="0" w:space="0" w:color="auto"/>
      </w:divBdr>
    </w:div>
    <w:div w:id="568197983">
      <w:bodyDiv w:val="1"/>
      <w:marLeft w:val="0"/>
      <w:marRight w:val="0"/>
      <w:marTop w:val="0"/>
      <w:marBottom w:val="0"/>
      <w:divBdr>
        <w:top w:val="none" w:sz="0" w:space="0" w:color="auto"/>
        <w:left w:val="none" w:sz="0" w:space="0" w:color="auto"/>
        <w:bottom w:val="none" w:sz="0" w:space="0" w:color="auto"/>
        <w:right w:val="none" w:sz="0" w:space="0" w:color="auto"/>
      </w:divBdr>
    </w:div>
    <w:div w:id="570846854">
      <w:bodyDiv w:val="1"/>
      <w:marLeft w:val="0"/>
      <w:marRight w:val="0"/>
      <w:marTop w:val="0"/>
      <w:marBottom w:val="0"/>
      <w:divBdr>
        <w:top w:val="none" w:sz="0" w:space="0" w:color="auto"/>
        <w:left w:val="none" w:sz="0" w:space="0" w:color="auto"/>
        <w:bottom w:val="none" w:sz="0" w:space="0" w:color="auto"/>
        <w:right w:val="none" w:sz="0" w:space="0" w:color="auto"/>
      </w:divBdr>
    </w:div>
    <w:div w:id="571088485">
      <w:bodyDiv w:val="1"/>
      <w:marLeft w:val="0"/>
      <w:marRight w:val="0"/>
      <w:marTop w:val="0"/>
      <w:marBottom w:val="0"/>
      <w:divBdr>
        <w:top w:val="none" w:sz="0" w:space="0" w:color="auto"/>
        <w:left w:val="none" w:sz="0" w:space="0" w:color="auto"/>
        <w:bottom w:val="none" w:sz="0" w:space="0" w:color="auto"/>
        <w:right w:val="none" w:sz="0" w:space="0" w:color="auto"/>
      </w:divBdr>
    </w:div>
    <w:div w:id="571737126">
      <w:bodyDiv w:val="1"/>
      <w:marLeft w:val="0"/>
      <w:marRight w:val="0"/>
      <w:marTop w:val="0"/>
      <w:marBottom w:val="0"/>
      <w:divBdr>
        <w:top w:val="none" w:sz="0" w:space="0" w:color="auto"/>
        <w:left w:val="none" w:sz="0" w:space="0" w:color="auto"/>
        <w:bottom w:val="none" w:sz="0" w:space="0" w:color="auto"/>
        <w:right w:val="none" w:sz="0" w:space="0" w:color="auto"/>
      </w:divBdr>
    </w:div>
    <w:div w:id="571743400">
      <w:bodyDiv w:val="1"/>
      <w:marLeft w:val="0"/>
      <w:marRight w:val="0"/>
      <w:marTop w:val="0"/>
      <w:marBottom w:val="0"/>
      <w:divBdr>
        <w:top w:val="none" w:sz="0" w:space="0" w:color="auto"/>
        <w:left w:val="none" w:sz="0" w:space="0" w:color="auto"/>
        <w:bottom w:val="none" w:sz="0" w:space="0" w:color="auto"/>
        <w:right w:val="none" w:sz="0" w:space="0" w:color="auto"/>
      </w:divBdr>
    </w:div>
    <w:div w:id="573048424">
      <w:bodyDiv w:val="1"/>
      <w:marLeft w:val="0"/>
      <w:marRight w:val="0"/>
      <w:marTop w:val="0"/>
      <w:marBottom w:val="0"/>
      <w:divBdr>
        <w:top w:val="none" w:sz="0" w:space="0" w:color="auto"/>
        <w:left w:val="none" w:sz="0" w:space="0" w:color="auto"/>
        <w:bottom w:val="none" w:sz="0" w:space="0" w:color="auto"/>
        <w:right w:val="none" w:sz="0" w:space="0" w:color="auto"/>
      </w:divBdr>
    </w:div>
    <w:div w:id="573051262">
      <w:bodyDiv w:val="1"/>
      <w:marLeft w:val="0"/>
      <w:marRight w:val="0"/>
      <w:marTop w:val="0"/>
      <w:marBottom w:val="0"/>
      <w:divBdr>
        <w:top w:val="none" w:sz="0" w:space="0" w:color="auto"/>
        <w:left w:val="none" w:sz="0" w:space="0" w:color="auto"/>
        <w:bottom w:val="none" w:sz="0" w:space="0" w:color="auto"/>
        <w:right w:val="none" w:sz="0" w:space="0" w:color="auto"/>
      </w:divBdr>
    </w:div>
    <w:div w:id="575359962">
      <w:bodyDiv w:val="1"/>
      <w:marLeft w:val="0"/>
      <w:marRight w:val="0"/>
      <w:marTop w:val="0"/>
      <w:marBottom w:val="0"/>
      <w:divBdr>
        <w:top w:val="none" w:sz="0" w:space="0" w:color="auto"/>
        <w:left w:val="none" w:sz="0" w:space="0" w:color="auto"/>
        <w:bottom w:val="none" w:sz="0" w:space="0" w:color="auto"/>
        <w:right w:val="none" w:sz="0" w:space="0" w:color="auto"/>
      </w:divBdr>
    </w:div>
    <w:div w:id="575627721">
      <w:bodyDiv w:val="1"/>
      <w:marLeft w:val="0"/>
      <w:marRight w:val="0"/>
      <w:marTop w:val="0"/>
      <w:marBottom w:val="0"/>
      <w:divBdr>
        <w:top w:val="none" w:sz="0" w:space="0" w:color="auto"/>
        <w:left w:val="none" w:sz="0" w:space="0" w:color="auto"/>
        <w:bottom w:val="none" w:sz="0" w:space="0" w:color="auto"/>
        <w:right w:val="none" w:sz="0" w:space="0" w:color="auto"/>
      </w:divBdr>
    </w:div>
    <w:div w:id="576982902">
      <w:bodyDiv w:val="1"/>
      <w:marLeft w:val="0"/>
      <w:marRight w:val="0"/>
      <w:marTop w:val="0"/>
      <w:marBottom w:val="0"/>
      <w:divBdr>
        <w:top w:val="none" w:sz="0" w:space="0" w:color="auto"/>
        <w:left w:val="none" w:sz="0" w:space="0" w:color="auto"/>
        <w:bottom w:val="none" w:sz="0" w:space="0" w:color="auto"/>
        <w:right w:val="none" w:sz="0" w:space="0" w:color="auto"/>
      </w:divBdr>
    </w:div>
    <w:div w:id="577059179">
      <w:bodyDiv w:val="1"/>
      <w:marLeft w:val="0"/>
      <w:marRight w:val="0"/>
      <w:marTop w:val="0"/>
      <w:marBottom w:val="0"/>
      <w:divBdr>
        <w:top w:val="none" w:sz="0" w:space="0" w:color="auto"/>
        <w:left w:val="none" w:sz="0" w:space="0" w:color="auto"/>
        <w:bottom w:val="none" w:sz="0" w:space="0" w:color="auto"/>
        <w:right w:val="none" w:sz="0" w:space="0" w:color="auto"/>
      </w:divBdr>
      <w:divsChild>
        <w:div w:id="67578066">
          <w:marLeft w:val="1166"/>
          <w:marRight w:val="0"/>
          <w:marTop w:val="67"/>
          <w:marBottom w:val="0"/>
          <w:divBdr>
            <w:top w:val="none" w:sz="0" w:space="0" w:color="auto"/>
            <w:left w:val="none" w:sz="0" w:space="0" w:color="auto"/>
            <w:bottom w:val="none" w:sz="0" w:space="0" w:color="auto"/>
            <w:right w:val="none" w:sz="0" w:space="0" w:color="auto"/>
          </w:divBdr>
        </w:div>
        <w:div w:id="118768877">
          <w:marLeft w:val="1800"/>
          <w:marRight w:val="0"/>
          <w:marTop w:val="67"/>
          <w:marBottom w:val="0"/>
          <w:divBdr>
            <w:top w:val="none" w:sz="0" w:space="0" w:color="auto"/>
            <w:left w:val="none" w:sz="0" w:space="0" w:color="auto"/>
            <w:bottom w:val="none" w:sz="0" w:space="0" w:color="auto"/>
            <w:right w:val="none" w:sz="0" w:space="0" w:color="auto"/>
          </w:divBdr>
        </w:div>
        <w:div w:id="161241220">
          <w:marLeft w:val="1166"/>
          <w:marRight w:val="0"/>
          <w:marTop w:val="67"/>
          <w:marBottom w:val="0"/>
          <w:divBdr>
            <w:top w:val="none" w:sz="0" w:space="0" w:color="auto"/>
            <w:left w:val="none" w:sz="0" w:space="0" w:color="auto"/>
            <w:bottom w:val="none" w:sz="0" w:space="0" w:color="auto"/>
            <w:right w:val="none" w:sz="0" w:space="0" w:color="auto"/>
          </w:divBdr>
        </w:div>
        <w:div w:id="262887221">
          <w:marLeft w:val="1166"/>
          <w:marRight w:val="0"/>
          <w:marTop w:val="67"/>
          <w:marBottom w:val="0"/>
          <w:divBdr>
            <w:top w:val="none" w:sz="0" w:space="0" w:color="auto"/>
            <w:left w:val="none" w:sz="0" w:space="0" w:color="auto"/>
            <w:bottom w:val="none" w:sz="0" w:space="0" w:color="auto"/>
            <w:right w:val="none" w:sz="0" w:space="0" w:color="auto"/>
          </w:divBdr>
        </w:div>
        <w:div w:id="387193445">
          <w:marLeft w:val="1800"/>
          <w:marRight w:val="0"/>
          <w:marTop w:val="67"/>
          <w:marBottom w:val="0"/>
          <w:divBdr>
            <w:top w:val="none" w:sz="0" w:space="0" w:color="auto"/>
            <w:left w:val="none" w:sz="0" w:space="0" w:color="auto"/>
            <w:bottom w:val="none" w:sz="0" w:space="0" w:color="auto"/>
            <w:right w:val="none" w:sz="0" w:space="0" w:color="auto"/>
          </w:divBdr>
        </w:div>
        <w:div w:id="503668289">
          <w:marLeft w:val="1800"/>
          <w:marRight w:val="0"/>
          <w:marTop w:val="58"/>
          <w:marBottom w:val="0"/>
          <w:divBdr>
            <w:top w:val="none" w:sz="0" w:space="0" w:color="auto"/>
            <w:left w:val="none" w:sz="0" w:space="0" w:color="auto"/>
            <w:bottom w:val="none" w:sz="0" w:space="0" w:color="auto"/>
            <w:right w:val="none" w:sz="0" w:space="0" w:color="auto"/>
          </w:divBdr>
        </w:div>
        <w:div w:id="673385485">
          <w:marLeft w:val="1166"/>
          <w:marRight w:val="0"/>
          <w:marTop w:val="67"/>
          <w:marBottom w:val="0"/>
          <w:divBdr>
            <w:top w:val="none" w:sz="0" w:space="0" w:color="auto"/>
            <w:left w:val="none" w:sz="0" w:space="0" w:color="auto"/>
            <w:bottom w:val="none" w:sz="0" w:space="0" w:color="auto"/>
            <w:right w:val="none" w:sz="0" w:space="0" w:color="auto"/>
          </w:divBdr>
        </w:div>
        <w:div w:id="924846018">
          <w:marLeft w:val="1800"/>
          <w:marRight w:val="0"/>
          <w:marTop w:val="67"/>
          <w:marBottom w:val="0"/>
          <w:divBdr>
            <w:top w:val="none" w:sz="0" w:space="0" w:color="auto"/>
            <w:left w:val="none" w:sz="0" w:space="0" w:color="auto"/>
            <w:bottom w:val="none" w:sz="0" w:space="0" w:color="auto"/>
            <w:right w:val="none" w:sz="0" w:space="0" w:color="auto"/>
          </w:divBdr>
        </w:div>
        <w:div w:id="1217619134">
          <w:marLeft w:val="1800"/>
          <w:marRight w:val="0"/>
          <w:marTop w:val="58"/>
          <w:marBottom w:val="0"/>
          <w:divBdr>
            <w:top w:val="none" w:sz="0" w:space="0" w:color="auto"/>
            <w:left w:val="none" w:sz="0" w:space="0" w:color="auto"/>
            <w:bottom w:val="none" w:sz="0" w:space="0" w:color="auto"/>
            <w:right w:val="none" w:sz="0" w:space="0" w:color="auto"/>
          </w:divBdr>
        </w:div>
        <w:div w:id="1438597601">
          <w:marLeft w:val="1800"/>
          <w:marRight w:val="0"/>
          <w:marTop w:val="67"/>
          <w:marBottom w:val="0"/>
          <w:divBdr>
            <w:top w:val="none" w:sz="0" w:space="0" w:color="auto"/>
            <w:left w:val="none" w:sz="0" w:space="0" w:color="auto"/>
            <w:bottom w:val="none" w:sz="0" w:space="0" w:color="auto"/>
            <w:right w:val="none" w:sz="0" w:space="0" w:color="auto"/>
          </w:divBdr>
        </w:div>
        <w:div w:id="1474365996">
          <w:marLeft w:val="1800"/>
          <w:marRight w:val="0"/>
          <w:marTop w:val="67"/>
          <w:marBottom w:val="0"/>
          <w:divBdr>
            <w:top w:val="none" w:sz="0" w:space="0" w:color="auto"/>
            <w:left w:val="none" w:sz="0" w:space="0" w:color="auto"/>
            <w:bottom w:val="none" w:sz="0" w:space="0" w:color="auto"/>
            <w:right w:val="none" w:sz="0" w:space="0" w:color="auto"/>
          </w:divBdr>
        </w:div>
        <w:div w:id="1495296661">
          <w:marLeft w:val="1166"/>
          <w:marRight w:val="0"/>
          <w:marTop w:val="67"/>
          <w:marBottom w:val="0"/>
          <w:divBdr>
            <w:top w:val="none" w:sz="0" w:space="0" w:color="auto"/>
            <w:left w:val="none" w:sz="0" w:space="0" w:color="auto"/>
            <w:bottom w:val="none" w:sz="0" w:space="0" w:color="auto"/>
            <w:right w:val="none" w:sz="0" w:space="0" w:color="auto"/>
          </w:divBdr>
        </w:div>
        <w:div w:id="1525629718">
          <w:marLeft w:val="1166"/>
          <w:marRight w:val="0"/>
          <w:marTop w:val="67"/>
          <w:marBottom w:val="0"/>
          <w:divBdr>
            <w:top w:val="none" w:sz="0" w:space="0" w:color="auto"/>
            <w:left w:val="none" w:sz="0" w:space="0" w:color="auto"/>
            <w:bottom w:val="none" w:sz="0" w:space="0" w:color="auto"/>
            <w:right w:val="none" w:sz="0" w:space="0" w:color="auto"/>
          </w:divBdr>
        </w:div>
        <w:div w:id="1623535054">
          <w:marLeft w:val="1800"/>
          <w:marRight w:val="0"/>
          <w:marTop w:val="58"/>
          <w:marBottom w:val="0"/>
          <w:divBdr>
            <w:top w:val="none" w:sz="0" w:space="0" w:color="auto"/>
            <w:left w:val="none" w:sz="0" w:space="0" w:color="auto"/>
            <w:bottom w:val="none" w:sz="0" w:space="0" w:color="auto"/>
            <w:right w:val="none" w:sz="0" w:space="0" w:color="auto"/>
          </w:divBdr>
        </w:div>
        <w:div w:id="1740244846">
          <w:marLeft w:val="1166"/>
          <w:marRight w:val="0"/>
          <w:marTop w:val="67"/>
          <w:marBottom w:val="0"/>
          <w:divBdr>
            <w:top w:val="none" w:sz="0" w:space="0" w:color="auto"/>
            <w:left w:val="none" w:sz="0" w:space="0" w:color="auto"/>
            <w:bottom w:val="none" w:sz="0" w:space="0" w:color="auto"/>
            <w:right w:val="none" w:sz="0" w:space="0" w:color="auto"/>
          </w:divBdr>
        </w:div>
        <w:div w:id="1935939050">
          <w:marLeft w:val="547"/>
          <w:marRight w:val="0"/>
          <w:marTop w:val="86"/>
          <w:marBottom w:val="0"/>
          <w:divBdr>
            <w:top w:val="none" w:sz="0" w:space="0" w:color="auto"/>
            <w:left w:val="none" w:sz="0" w:space="0" w:color="auto"/>
            <w:bottom w:val="none" w:sz="0" w:space="0" w:color="auto"/>
            <w:right w:val="none" w:sz="0" w:space="0" w:color="auto"/>
          </w:divBdr>
        </w:div>
        <w:div w:id="2067024902">
          <w:marLeft w:val="547"/>
          <w:marRight w:val="0"/>
          <w:marTop w:val="86"/>
          <w:marBottom w:val="0"/>
          <w:divBdr>
            <w:top w:val="none" w:sz="0" w:space="0" w:color="auto"/>
            <w:left w:val="none" w:sz="0" w:space="0" w:color="auto"/>
            <w:bottom w:val="none" w:sz="0" w:space="0" w:color="auto"/>
            <w:right w:val="none" w:sz="0" w:space="0" w:color="auto"/>
          </w:divBdr>
        </w:div>
      </w:divsChild>
    </w:div>
    <w:div w:id="580602781">
      <w:bodyDiv w:val="1"/>
      <w:marLeft w:val="0"/>
      <w:marRight w:val="0"/>
      <w:marTop w:val="0"/>
      <w:marBottom w:val="0"/>
      <w:divBdr>
        <w:top w:val="none" w:sz="0" w:space="0" w:color="auto"/>
        <w:left w:val="none" w:sz="0" w:space="0" w:color="auto"/>
        <w:bottom w:val="none" w:sz="0" w:space="0" w:color="auto"/>
        <w:right w:val="none" w:sz="0" w:space="0" w:color="auto"/>
      </w:divBdr>
    </w:div>
    <w:div w:id="580797037">
      <w:bodyDiv w:val="1"/>
      <w:marLeft w:val="0"/>
      <w:marRight w:val="0"/>
      <w:marTop w:val="0"/>
      <w:marBottom w:val="0"/>
      <w:divBdr>
        <w:top w:val="none" w:sz="0" w:space="0" w:color="auto"/>
        <w:left w:val="none" w:sz="0" w:space="0" w:color="auto"/>
        <w:bottom w:val="none" w:sz="0" w:space="0" w:color="auto"/>
        <w:right w:val="none" w:sz="0" w:space="0" w:color="auto"/>
      </w:divBdr>
    </w:div>
    <w:div w:id="580873111">
      <w:bodyDiv w:val="1"/>
      <w:marLeft w:val="0"/>
      <w:marRight w:val="0"/>
      <w:marTop w:val="0"/>
      <w:marBottom w:val="0"/>
      <w:divBdr>
        <w:top w:val="none" w:sz="0" w:space="0" w:color="auto"/>
        <w:left w:val="none" w:sz="0" w:space="0" w:color="auto"/>
        <w:bottom w:val="none" w:sz="0" w:space="0" w:color="auto"/>
        <w:right w:val="none" w:sz="0" w:space="0" w:color="auto"/>
      </w:divBdr>
      <w:divsChild>
        <w:div w:id="154223911">
          <w:marLeft w:val="1800"/>
          <w:marRight w:val="0"/>
          <w:marTop w:val="77"/>
          <w:marBottom w:val="0"/>
          <w:divBdr>
            <w:top w:val="none" w:sz="0" w:space="0" w:color="auto"/>
            <w:left w:val="none" w:sz="0" w:space="0" w:color="auto"/>
            <w:bottom w:val="none" w:sz="0" w:space="0" w:color="auto"/>
            <w:right w:val="none" w:sz="0" w:space="0" w:color="auto"/>
          </w:divBdr>
        </w:div>
        <w:div w:id="211314266">
          <w:marLeft w:val="1800"/>
          <w:marRight w:val="0"/>
          <w:marTop w:val="77"/>
          <w:marBottom w:val="0"/>
          <w:divBdr>
            <w:top w:val="none" w:sz="0" w:space="0" w:color="auto"/>
            <w:left w:val="none" w:sz="0" w:space="0" w:color="auto"/>
            <w:bottom w:val="none" w:sz="0" w:space="0" w:color="auto"/>
            <w:right w:val="none" w:sz="0" w:space="0" w:color="auto"/>
          </w:divBdr>
        </w:div>
        <w:div w:id="270282780">
          <w:marLeft w:val="1800"/>
          <w:marRight w:val="0"/>
          <w:marTop w:val="77"/>
          <w:marBottom w:val="0"/>
          <w:divBdr>
            <w:top w:val="none" w:sz="0" w:space="0" w:color="auto"/>
            <w:left w:val="none" w:sz="0" w:space="0" w:color="auto"/>
            <w:bottom w:val="none" w:sz="0" w:space="0" w:color="auto"/>
            <w:right w:val="none" w:sz="0" w:space="0" w:color="auto"/>
          </w:divBdr>
        </w:div>
        <w:div w:id="507524150">
          <w:marLeft w:val="1800"/>
          <w:marRight w:val="0"/>
          <w:marTop w:val="77"/>
          <w:marBottom w:val="0"/>
          <w:divBdr>
            <w:top w:val="none" w:sz="0" w:space="0" w:color="auto"/>
            <w:left w:val="none" w:sz="0" w:space="0" w:color="auto"/>
            <w:bottom w:val="none" w:sz="0" w:space="0" w:color="auto"/>
            <w:right w:val="none" w:sz="0" w:space="0" w:color="auto"/>
          </w:divBdr>
        </w:div>
        <w:div w:id="763723714">
          <w:marLeft w:val="547"/>
          <w:marRight w:val="0"/>
          <w:marTop w:val="86"/>
          <w:marBottom w:val="0"/>
          <w:divBdr>
            <w:top w:val="none" w:sz="0" w:space="0" w:color="auto"/>
            <w:left w:val="none" w:sz="0" w:space="0" w:color="auto"/>
            <w:bottom w:val="none" w:sz="0" w:space="0" w:color="auto"/>
            <w:right w:val="none" w:sz="0" w:space="0" w:color="auto"/>
          </w:divBdr>
        </w:div>
        <w:div w:id="950893516">
          <w:marLeft w:val="1166"/>
          <w:marRight w:val="0"/>
          <w:marTop w:val="86"/>
          <w:marBottom w:val="0"/>
          <w:divBdr>
            <w:top w:val="none" w:sz="0" w:space="0" w:color="auto"/>
            <w:left w:val="none" w:sz="0" w:space="0" w:color="auto"/>
            <w:bottom w:val="none" w:sz="0" w:space="0" w:color="auto"/>
            <w:right w:val="none" w:sz="0" w:space="0" w:color="auto"/>
          </w:divBdr>
        </w:div>
        <w:div w:id="1033963121">
          <w:marLeft w:val="1800"/>
          <w:marRight w:val="0"/>
          <w:marTop w:val="77"/>
          <w:marBottom w:val="0"/>
          <w:divBdr>
            <w:top w:val="none" w:sz="0" w:space="0" w:color="auto"/>
            <w:left w:val="none" w:sz="0" w:space="0" w:color="auto"/>
            <w:bottom w:val="none" w:sz="0" w:space="0" w:color="auto"/>
            <w:right w:val="none" w:sz="0" w:space="0" w:color="auto"/>
          </w:divBdr>
        </w:div>
        <w:div w:id="1188254800">
          <w:marLeft w:val="1800"/>
          <w:marRight w:val="0"/>
          <w:marTop w:val="77"/>
          <w:marBottom w:val="0"/>
          <w:divBdr>
            <w:top w:val="none" w:sz="0" w:space="0" w:color="auto"/>
            <w:left w:val="none" w:sz="0" w:space="0" w:color="auto"/>
            <w:bottom w:val="none" w:sz="0" w:space="0" w:color="auto"/>
            <w:right w:val="none" w:sz="0" w:space="0" w:color="auto"/>
          </w:divBdr>
        </w:div>
        <w:div w:id="1539775218">
          <w:marLeft w:val="1166"/>
          <w:marRight w:val="0"/>
          <w:marTop w:val="86"/>
          <w:marBottom w:val="0"/>
          <w:divBdr>
            <w:top w:val="none" w:sz="0" w:space="0" w:color="auto"/>
            <w:left w:val="none" w:sz="0" w:space="0" w:color="auto"/>
            <w:bottom w:val="none" w:sz="0" w:space="0" w:color="auto"/>
            <w:right w:val="none" w:sz="0" w:space="0" w:color="auto"/>
          </w:divBdr>
        </w:div>
        <w:div w:id="1613825267">
          <w:marLeft w:val="547"/>
          <w:marRight w:val="0"/>
          <w:marTop w:val="86"/>
          <w:marBottom w:val="0"/>
          <w:divBdr>
            <w:top w:val="none" w:sz="0" w:space="0" w:color="auto"/>
            <w:left w:val="none" w:sz="0" w:space="0" w:color="auto"/>
            <w:bottom w:val="none" w:sz="0" w:space="0" w:color="auto"/>
            <w:right w:val="none" w:sz="0" w:space="0" w:color="auto"/>
          </w:divBdr>
        </w:div>
        <w:div w:id="1633629155">
          <w:marLeft w:val="2520"/>
          <w:marRight w:val="0"/>
          <w:marTop w:val="67"/>
          <w:marBottom w:val="0"/>
          <w:divBdr>
            <w:top w:val="none" w:sz="0" w:space="0" w:color="auto"/>
            <w:left w:val="none" w:sz="0" w:space="0" w:color="auto"/>
            <w:bottom w:val="none" w:sz="0" w:space="0" w:color="auto"/>
            <w:right w:val="none" w:sz="0" w:space="0" w:color="auto"/>
          </w:divBdr>
        </w:div>
      </w:divsChild>
    </w:div>
    <w:div w:id="582421564">
      <w:bodyDiv w:val="1"/>
      <w:marLeft w:val="0"/>
      <w:marRight w:val="0"/>
      <w:marTop w:val="0"/>
      <w:marBottom w:val="0"/>
      <w:divBdr>
        <w:top w:val="none" w:sz="0" w:space="0" w:color="auto"/>
        <w:left w:val="none" w:sz="0" w:space="0" w:color="auto"/>
        <w:bottom w:val="none" w:sz="0" w:space="0" w:color="auto"/>
        <w:right w:val="none" w:sz="0" w:space="0" w:color="auto"/>
      </w:divBdr>
      <w:divsChild>
        <w:div w:id="297414487">
          <w:marLeft w:val="547"/>
          <w:marRight w:val="0"/>
          <w:marTop w:val="134"/>
          <w:marBottom w:val="0"/>
          <w:divBdr>
            <w:top w:val="none" w:sz="0" w:space="0" w:color="auto"/>
            <w:left w:val="none" w:sz="0" w:space="0" w:color="auto"/>
            <w:bottom w:val="none" w:sz="0" w:space="0" w:color="auto"/>
            <w:right w:val="none" w:sz="0" w:space="0" w:color="auto"/>
          </w:divBdr>
        </w:div>
      </w:divsChild>
    </w:div>
    <w:div w:id="582565776">
      <w:bodyDiv w:val="1"/>
      <w:marLeft w:val="0"/>
      <w:marRight w:val="0"/>
      <w:marTop w:val="0"/>
      <w:marBottom w:val="0"/>
      <w:divBdr>
        <w:top w:val="none" w:sz="0" w:space="0" w:color="auto"/>
        <w:left w:val="none" w:sz="0" w:space="0" w:color="auto"/>
        <w:bottom w:val="none" w:sz="0" w:space="0" w:color="auto"/>
        <w:right w:val="none" w:sz="0" w:space="0" w:color="auto"/>
      </w:divBdr>
      <w:divsChild>
        <w:div w:id="26611146">
          <w:marLeft w:val="547"/>
          <w:marRight w:val="0"/>
          <w:marTop w:val="86"/>
          <w:marBottom w:val="0"/>
          <w:divBdr>
            <w:top w:val="none" w:sz="0" w:space="0" w:color="auto"/>
            <w:left w:val="none" w:sz="0" w:space="0" w:color="auto"/>
            <w:bottom w:val="none" w:sz="0" w:space="0" w:color="auto"/>
            <w:right w:val="none" w:sz="0" w:space="0" w:color="auto"/>
          </w:divBdr>
        </w:div>
        <w:div w:id="39789347">
          <w:marLeft w:val="547"/>
          <w:marRight w:val="0"/>
          <w:marTop w:val="86"/>
          <w:marBottom w:val="0"/>
          <w:divBdr>
            <w:top w:val="none" w:sz="0" w:space="0" w:color="auto"/>
            <w:left w:val="none" w:sz="0" w:space="0" w:color="auto"/>
            <w:bottom w:val="none" w:sz="0" w:space="0" w:color="auto"/>
            <w:right w:val="none" w:sz="0" w:space="0" w:color="auto"/>
          </w:divBdr>
        </w:div>
        <w:div w:id="173883820">
          <w:marLeft w:val="1800"/>
          <w:marRight w:val="0"/>
          <w:marTop w:val="67"/>
          <w:marBottom w:val="0"/>
          <w:divBdr>
            <w:top w:val="none" w:sz="0" w:space="0" w:color="auto"/>
            <w:left w:val="none" w:sz="0" w:space="0" w:color="auto"/>
            <w:bottom w:val="none" w:sz="0" w:space="0" w:color="auto"/>
            <w:right w:val="none" w:sz="0" w:space="0" w:color="auto"/>
          </w:divBdr>
        </w:div>
        <w:div w:id="212734755">
          <w:marLeft w:val="1166"/>
          <w:marRight w:val="0"/>
          <w:marTop w:val="77"/>
          <w:marBottom w:val="0"/>
          <w:divBdr>
            <w:top w:val="none" w:sz="0" w:space="0" w:color="auto"/>
            <w:left w:val="none" w:sz="0" w:space="0" w:color="auto"/>
            <w:bottom w:val="none" w:sz="0" w:space="0" w:color="auto"/>
            <w:right w:val="none" w:sz="0" w:space="0" w:color="auto"/>
          </w:divBdr>
        </w:div>
        <w:div w:id="274557626">
          <w:marLeft w:val="2520"/>
          <w:marRight w:val="0"/>
          <w:marTop w:val="58"/>
          <w:marBottom w:val="0"/>
          <w:divBdr>
            <w:top w:val="none" w:sz="0" w:space="0" w:color="auto"/>
            <w:left w:val="none" w:sz="0" w:space="0" w:color="auto"/>
            <w:bottom w:val="none" w:sz="0" w:space="0" w:color="auto"/>
            <w:right w:val="none" w:sz="0" w:space="0" w:color="auto"/>
          </w:divBdr>
        </w:div>
        <w:div w:id="608437752">
          <w:marLeft w:val="1800"/>
          <w:marRight w:val="0"/>
          <w:marTop w:val="67"/>
          <w:marBottom w:val="0"/>
          <w:divBdr>
            <w:top w:val="none" w:sz="0" w:space="0" w:color="auto"/>
            <w:left w:val="none" w:sz="0" w:space="0" w:color="auto"/>
            <w:bottom w:val="none" w:sz="0" w:space="0" w:color="auto"/>
            <w:right w:val="none" w:sz="0" w:space="0" w:color="auto"/>
          </w:divBdr>
        </w:div>
        <w:div w:id="1058090762">
          <w:marLeft w:val="2520"/>
          <w:marRight w:val="0"/>
          <w:marTop w:val="58"/>
          <w:marBottom w:val="0"/>
          <w:divBdr>
            <w:top w:val="none" w:sz="0" w:space="0" w:color="auto"/>
            <w:left w:val="none" w:sz="0" w:space="0" w:color="auto"/>
            <w:bottom w:val="none" w:sz="0" w:space="0" w:color="auto"/>
            <w:right w:val="none" w:sz="0" w:space="0" w:color="auto"/>
          </w:divBdr>
        </w:div>
        <w:div w:id="1998531844">
          <w:marLeft w:val="1166"/>
          <w:marRight w:val="0"/>
          <w:marTop w:val="77"/>
          <w:marBottom w:val="0"/>
          <w:divBdr>
            <w:top w:val="none" w:sz="0" w:space="0" w:color="auto"/>
            <w:left w:val="none" w:sz="0" w:space="0" w:color="auto"/>
            <w:bottom w:val="none" w:sz="0" w:space="0" w:color="auto"/>
            <w:right w:val="none" w:sz="0" w:space="0" w:color="auto"/>
          </w:divBdr>
        </w:div>
        <w:div w:id="2018386572">
          <w:marLeft w:val="1166"/>
          <w:marRight w:val="0"/>
          <w:marTop w:val="77"/>
          <w:marBottom w:val="0"/>
          <w:divBdr>
            <w:top w:val="none" w:sz="0" w:space="0" w:color="auto"/>
            <w:left w:val="none" w:sz="0" w:space="0" w:color="auto"/>
            <w:bottom w:val="none" w:sz="0" w:space="0" w:color="auto"/>
            <w:right w:val="none" w:sz="0" w:space="0" w:color="auto"/>
          </w:divBdr>
        </w:div>
        <w:div w:id="2021659738">
          <w:marLeft w:val="2520"/>
          <w:marRight w:val="0"/>
          <w:marTop w:val="58"/>
          <w:marBottom w:val="0"/>
          <w:divBdr>
            <w:top w:val="none" w:sz="0" w:space="0" w:color="auto"/>
            <w:left w:val="none" w:sz="0" w:space="0" w:color="auto"/>
            <w:bottom w:val="none" w:sz="0" w:space="0" w:color="auto"/>
            <w:right w:val="none" w:sz="0" w:space="0" w:color="auto"/>
          </w:divBdr>
        </w:div>
        <w:div w:id="2082168638">
          <w:marLeft w:val="547"/>
          <w:marRight w:val="0"/>
          <w:marTop w:val="86"/>
          <w:marBottom w:val="0"/>
          <w:divBdr>
            <w:top w:val="none" w:sz="0" w:space="0" w:color="auto"/>
            <w:left w:val="none" w:sz="0" w:space="0" w:color="auto"/>
            <w:bottom w:val="none" w:sz="0" w:space="0" w:color="auto"/>
            <w:right w:val="none" w:sz="0" w:space="0" w:color="auto"/>
          </w:divBdr>
        </w:div>
      </w:divsChild>
    </w:div>
    <w:div w:id="582615858">
      <w:bodyDiv w:val="1"/>
      <w:marLeft w:val="0"/>
      <w:marRight w:val="0"/>
      <w:marTop w:val="0"/>
      <w:marBottom w:val="0"/>
      <w:divBdr>
        <w:top w:val="none" w:sz="0" w:space="0" w:color="auto"/>
        <w:left w:val="none" w:sz="0" w:space="0" w:color="auto"/>
        <w:bottom w:val="none" w:sz="0" w:space="0" w:color="auto"/>
        <w:right w:val="none" w:sz="0" w:space="0" w:color="auto"/>
      </w:divBdr>
    </w:div>
    <w:div w:id="582641128">
      <w:bodyDiv w:val="1"/>
      <w:marLeft w:val="0"/>
      <w:marRight w:val="0"/>
      <w:marTop w:val="0"/>
      <w:marBottom w:val="0"/>
      <w:divBdr>
        <w:top w:val="none" w:sz="0" w:space="0" w:color="auto"/>
        <w:left w:val="none" w:sz="0" w:space="0" w:color="auto"/>
        <w:bottom w:val="none" w:sz="0" w:space="0" w:color="auto"/>
        <w:right w:val="none" w:sz="0" w:space="0" w:color="auto"/>
      </w:divBdr>
    </w:div>
    <w:div w:id="583993728">
      <w:bodyDiv w:val="1"/>
      <w:marLeft w:val="0"/>
      <w:marRight w:val="0"/>
      <w:marTop w:val="0"/>
      <w:marBottom w:val="0"/>
      <w:divBdr>
        <w:top w:val="none" w:sz="0" w:space="0" w:color="auto"/>
        <w:left w:val="none" w:sz="0" w:space="0" w:color="auto"/>
        <w:bottom w:val="none" w:sz="0" w:space="0" w:color="auto"/>
        <w:right w:val="none" w:sz="0" w:space="0" w:color="auto"/>
      </w:divBdr>
    </w:div>
    <w:div w:id="584220320">
      <w:bodyDiv w:val="1"/>
      <w:marLeft w:val="0"/>
      <w:marRight w:val="0"/>
      <w:marTop w:val="0"/>
      <w:marBottom w:val="0"/>
      <w:divBdr>
        <w:top w:val="none" w:sz="0" w:space="0" w:color="auto"/>
        <w:left w:val="none" w:sz="0" w:space="0" w:color="auto"/>
        <w:bottom w:val="none" w:sz="0" w:space="0" w:color="auto"/>
        <w:right w:val="none" w:sz="0" w:space="0" w:color="auto"/>
      </w:divBdr>
    </w:div>
    <w:div w:id="585113590">
      <w:bodyDiv w:val="1"/>
      <w:marLeft w:val="0"/>
      <w:marRight w:val="0"/>
      <w:marTop w:val="0"/>
      <w:marBottom w:val="0"/>
      <w:divBdr>
        <w:top w:val="none" w:sz="0" w:space="0" w:color="auto"/>
        <w:left w:val="none" w:sz="0" w:space="0" w:color="auto"/>
        <w:bottom w:val="none" w:sz="0" w:space="0" w:color="auto"/>
        <w:right w:val="none" w:sz="0" w:space="0" w:color="auto"/>
      </w:divBdr>
    </w:div>
    <w:div w:id="585844045">
      <w:bodyDiv w:val="1"/>
      <w:marLeft w:val="0"/>
      <w:marRight w:val="0"/>
      <w:marTop w:val="0"/>
      <w:marBottom w:val="0"/>
      <w:divBdr>
        <w:top w:val="none" w:sz="0" w:space="0" w:color="auto"/>
        <w:left w:val="none" w:sz="0" w:space="0" w:color="auto"/>
        <w:bottom w:val="none" w:sz="0" w:space="0" w:color="auto"/>
        <w:right w:val="none" w:sz="0" w:space="0" w:color="auto"/>
      </w:divBdr>
    </w:div>
    <w:div w:id="586578982">
      <w:bodyDiv w:val="1"/>
      <w:marLeft w:val="0"/>
      <w:marRight w:val="0"/>
      <w:marTop w:val="0"/>
      <w:marBottom w:val="0"/>
      <w:divBdr>
        <w:top w:val="none" w:sz="0" w:space="0" w:color="auto"/>
        <w:left w:val="none" w:sz="0" w:space="0" w:color="auto"/>
        <w:bottom w:val="none" w:sz="0" w:space="0" w:color="auto"/>
        <w:right w:val="none" w:sz="0" w:space="0" w:color="auto"/>
      </w:divBdr>
    </w:div>
    <w:div w:id="586767233">
      <w:bodyDiv w:val="1"/>
      <w:marLeft w:val="0"/>
      <w:marRight w:val="0"/>
      <w:marTop w:val="0"/>
      <w:marBottom w:val="0"/>
      <w:divBdr>
        <w:top w:val="none" w:sz="0" w:space="0" w:color="auto"/>
        <w:left w:val="none" w:sz="0" w:space="0" w:color="auto"/>
        <w:bottom w:val="none" w:sz="0" w:space="0" w:color="auto"/>
        <w:right w:val="none" w:sz="0" w:space="0" w:color="auto"/>
      </w:divBdr>
    </w:div>
    <w:div w:id="588347696">
      <w:bodyDiv w:val="1"/>
      <w:marLeft w:val="0"/>
      <w:marRight w:val="0"/>
      <w:marTop w:val="0"/>
      <w:marBottom w:val="0"/>
      <w:divBdr>
        <w:top w:val="none" w:sz="0" w:space="0" w:color="auto"/>
        <w:left w:val="none" w:sz="0" w:space="0" w:color="auto"/>
        <w:bottom w:val="none" w:sz="0" w:space="0" w:color="auto"/>
        <w:right w:val="none" w:sz="0" w:space="0" w:color="auto"/>
      </w:divBdr>
    </w:div>
    <w:div w:id="591814845">
      <w:bodyDiv w:val="1"/>
      <w:marLeft w:val="0"/>
      <w:marRight w:val="0"/>
      <w:marTop w:val="0"/>
      <w:marBottom w:val="0"/>
      <w:divBdr>
        <w:top w:val="none" w:sz="0" w:space="0" w:color="auto"/>
        <w:left w:val="none" w:sz="0" w:space="0" w:color="auto"/>
        <w:bottom w:val="none" w:sz="0" w:space="0" w:color="auto"/>
        <w:right w:val="none" w:sz="0" w:space="0" w:color="auto"/>
      </w:divBdr>
    </w:div>
    <w:div w:id="592057436">
      <w:bodyDiv w:val="1"/>
      <w:marLeft w:val="0"/>
      <w:marRight w:val="0"/>
      <w:marTop w:val="0"/>
      <w:marBottom w:val="0"/>
      <w:divBdr>
        <w:top w:val="none" w:sz="0" w:space="0" w:color="auto"/>
        <w:left w:val="none" w:sz="0" w:space="0" w:color="auto"/>
        <w:bottom w:val="none" w:sz="0" w:space="0" w:color="auto"/>
        <w:right w:val="none" w:sz="0" w:space="0" w:color="auto"/>
      </w:divBdr>
    </w:div>
    <w:div w:id="592318271">
      <w:bodyDiv w:val="1"/>
      <w:marLeft w:val="0"/>
      <w:marRight w:val="0"/>
      <w:marTop w:val="0"/>
      <w:marBottom w:val="0"/>
      <w:divBdr>
        <w:top w:val="none" w:sz="0" w:space="0" w:color="auto"/>
        <w:left w:val="none" w:sz="0" w:space="0" w:color="auto"/>
        <w:bottom w:val="none" w:sz="0" w:space="0" w:color="auto"/>
        <w:right w:val="none" w:sz="0" w:space="0" w:color="auto"/>
      </w:divBdr>
    </w:div>
    <w:div w:id="592520279">
      <w:bodyDiv w:val="1"/>
      <w:marLeft w:val="0"/>
      <w:marRight w:val="0"/>
      <w:marTop w:val="0"/>
      <w:marBottom w:val="0"/>
      <w:divBdr>
        <w:top w:val="none" w:sz="0" w:space="0" w:color="auto"/>
        <w:left w:val="none" w:sz="0" w:space="0" w:color="auto"/>
        <w:bottom w:val="none" w:sz="0" w:space="0" w:color="auto"/>
        <w:right w:val="none" w:sz="0" w:space="0" w:color="auto"/>
      </w:divBdr>
    </w:div>
    <w:div w:id="595330358">
      <w:bodyDiv w:val="1"/>
      <w:marLeft w:val="0"/>
      <w:marRight w:val="0"/>
      <w:marTop w:val="0"/>
      <w:marBottom w:val="0"/>
      <w:divBdr>
        <w:top w:val="none" w:sz="0" w:space="0" w:color="auto"/>
        <w:left w:val="none" w:sz="0" w:space="0" w:color="auto"/>
        <w:bottom w:val="none" w:sz="0" w:space="0" w:color="auto"/>
        <w:right w:val="none" w:sz="0" w:space="0" w:color="auto"/>
      </w:divBdr>
    </w:div>
    <w:div w:id="597176164">
      <w:bodyDiv w:val="1"/>
      <w:marLeft w:val="0"/>
      <w:marRight w:val="0"/>
      <w:marTop w:val="0"/>
      <w:marBottom w:val="0"/>
      <w:divBdr>
        <w:top w:val="none" w:sz="0" w:space="0" w:color="auto"/>
        <w:left w:val="none" w:sz="0" w:space="0" w:color="auto"/>
        <w:bottom w:val="none" w:sz="0" w:space="0" w:color="auto"/>
        <w:right w:val="none" w:sz="0" w:space="0" w:color="auto"/>
      </w:divBdr>
    </w:div>
    <w:div w:id="599875417">
      <w:bodyDiv w:val="1"/>
      <w:marLeft w:val="0"/>
      <w:marRight w:val="0"/>
      <w:marTop w:val="0"/>
      <w:marBottom w:val="0"/>
      <w:divBdr>
        <w:top w:val="none" w:sz="0" w:space="0" w:color="auto"/>
        <w:left w:val="none" w:sz="0" w:space="0" w:color="auto"/>
        <w:bottom w:val="none" w:sz="0" w:space="0" w:color="auto"/>
        <w:right w:val="none" w:sz="0" w:space="0" w:color="auto"/>
      </w:divBdr>
    </w:div>
    <w:div w:id="600333594">
      <w:bodyDiv w:val="1"/>
      <w:marLeft w:val="0"/>
      <w:marRight w:val="0"/>
      <w:marTop w:val="0"/>
      <w:marBottom w:val="0"/>
      <w:divBdr>
        <w:top w:val="none" w:sz="0" w:space="0" w:color="auto"/>
        <w:left w:val="none" w:sz="0" w:space="0" w:color="auto"/>
        <w:bottom w:val="none" w:sz="0" w:space="0" w:color="auto"/>
        <w:right w:val="none" w:sz="0" w:space="0" w:color="auto"/>
      </w:divBdr>
      <w:divsChild>
        <w:div w:id="83771407">
          <w:marLeft w:val="720"/>
          <w:marRight w:val="0"/>
          <w:marTop w:val="0"/>
          <w:marBottom w:val="0"/>
          <w:divBdr>
            <w:top w:val="none" w:sz="0" w:space="0" w:color="auto"/>
            <w:left w:val="none" w:sz="0" w:space="0" w:color="auto"/>
            <w:bottom w:val="none" w:sz="0" w:space="0" w:color="auto"/>
            <w:right w:val="none" w:sz="0" w:space="0" w:color="auto"/>
          </w:divBdr>
        </w:div>
      </w:divsChild>
    </w:div>
    <w:div w:id="601188449">
      <w:bodyDiv w:val="1"/>
      <w:marLeft w:val="0"/>
      <w:marRight w:val="0"/>
      <w:marTop w:val="0"/>
      <w:marBottom w:val="0"/>
      <w:divBdr>
        <w:top w:val="none" w:sz="0" w:space="0" w:color="auto"/>
        <w:left w:val="none" w:sz="0" w:space="0" w:color="auto"/>
        <w:bottom w:val="none" w:sz="0" w:space="0" w:color="auto"/>
        <w:right w:val="none" w:sz="0" w:space="0" w:color="auto"/>
      </w:divBdr>
    </w:div>
    <w:div w:id="601228980">
      <w:bodyDiv w:val="1"/>
      <w:marLeft w:val="0"/>
      <w:marRight w:val="0"/>
      <w:marTop w:val="0"/>
      <w:marBottom w:val="0"/>
      <w:divBdr>
        <w:top w:val="none" w:sz="0" w:space="0" w:color="auto"/>
        <w:left w:val="none" w:sz="0" w:space="0" w:color="auto"/>
        <w:bottom w:val="none" w:sz="0" w:space="0" w:color="auto"/>
        <w:right w:val="none" w:sz="0" w:space="0" w:color="auto"/>
      </w:divBdr>
      <w:divsChild>
        <w:div w:id="172108348">
          <w:marLeft w:val="547"/>
          <w:marRight w:val="0"/>
          <w:marTop w:val="96"/>
          <w:marBottom w:val="0"/>
          <w:divBdr>
            <w:top w:val="none" w:sz="0" w:space="0" w:color="auto"/>
            <w:left w:val="none" w:sz="0" w:space="0" w:color="auto"/>
            <w:bottom w:val="none" w:sz="0" w:space="0" w:color="auto"/>
            <w:right w:val="none" w:sz="0" w:space="0" w:color="auto"/>
          </w:divBdr>
        </w:div>
        <w:div w:id="291980488">
          <w:marLeft w:val="1166"/>
          <w:marRight w:val="0"/>
          <w:marTop w:val="86"/>
          <w:marBottom w:val="0"/>
          <w:divBdr>
            <w:top w:val="none" w:sz="0" w:space="0" w:color="auto"/>
            <w:left w:val="none" w:sz="0" w:space="0" w:color="auto"/>
            <w:bottom w:val="none" w:sz="0" w:space="0" w:color="auto"/>
            <w:right w:val="none" w:sz="0" w:space="0" w:color="auto"/>
          </w:divBdr>
        </w:div>
        <w:div w:id="372506813">
          <w:marLeft w:val="1166"/>
          <w:marRight w:val="0"/>
          <w:marTop w:val="86"/>
          <w:marBottom w:val="0"/>
          <w:divBdr>
            <w:top w:val="none" w:sz="0" w:space="0" w:color="auto"/>
            <w:left w:val="none" w:sz="0" w:space="0" w:color="auto"/>
            <w:bottom w:val="none" w:sz="0" w:space="0" w:color="auto"/>
            <w:right w:val="none" w:sz="0" w:space="0" w:color="auto"/>
          </w:divBdr>
        </w:div>
        <w:div w:id="579026716">
          <w:marLeft w:val="1166"/>
          <w:marRight w:val="0"/>
          <w:marTop w:val="86"/>
          <w:marBottom w:val="0"/>
          <w:divBdr>
            <w:top w:val="none" w:sz="0" w:space="0" w:color="auto"/>
            <w:left w:val="none" w:sz="0" w:space="0" w:color="auto"/>
            <w:bottom w:val="none" w:sz="0" w:space="0" w:color="auto"/>
            <w:right w:val="none" w:sz="0" w:space="0" w:color="auto"/>
          </w:divBdr>
        </w:div>
        <w:div w:id="635599945">
          <w:marLeft w:val="547"/>
          <w:marRight w:val="0"/>
          <w:marTop w:val="96"/>
          <w:marBottom w:val="0"/>
          <w:divBdr>
            <w:top w:val="none" w:sz="0" w:space="0" w:color="auto"/>
            <w:left w:val="none" w:sz="0" w:space="0" w:color="auto"/>
            <w:bottom w:val="none" w:sz="0" w:space="0" w:color="auto"/>
            <w:right w:val="none" w:sz="0" w:space="0" w:color="auto"/>
          </w:divBdr>
        </w:div>
        <w:div w:id="725183767">
          <w:marLeft w:val="547"/>
          <w:marRight w:val="0"/>
          <w:marTop w:val="96"/>
          <w:marBottom w:val="0"/>
          <w:divBdr>
            <w:top w:val="none" w:sz="0" w:space="0" w:color="auto"/>
            <w:left w:val="none" w:sz="0" w:space="0" w:color="auto"/>
            <w:bottom w:val="none" w:sz="0" w:space="0" w:color="auto"/>
            <w:right w:val="none" w:sz="0" w:space="0" w:color="auto"/>
          </w:divBdr>
        </w:div>
        <w:div w:id="926234183">
          <w:marLeft w:val="1166"/>
          <w:marRight w:val="0"/>
          <w:marTop w:val="86"/>
          <w:marBottom w:val="0"/>
          <w:divBdr>
            <w:top w:val="none" w:sz="0" w:space="0" w:color="auto"/>
            <w:left w:val="none" w:sz="0" w:space="0" w:color="auto"/>
            <w:bottom w:val="none" w:sz="0" w:space="0" w:color="auto"/>
            <w:right w:val="none" w:sz="0" w:space="0" w:color="auto"/>
          </w:divBdr>
        </w:div>
        <w:div w:id="1268924334">
          <w:marLeft w:val="1166"/>
          <w:marRight w:val="0"/>
          <w:marTop w:val="86"/>
          <w:marBottom w:val="0"/>
          <w:divBdr>
            <w:top w:val="none" w:sz="0" w:space="0" w:color="auto"/>
            <w:left w:val="none" w:sz="0" w:space="0" w:color="auto"/>
            <w:bottom w:val="none" w:sz="0" w:space="0" w:color="auto"/>
            <w:right w:val="none" w:sz="0" w:space="0" w:color="auto"/>
          </w:divBdr>
        </w:div>
        <w:div w:id="1636179928">
          <w:marLeft w:val="1166"/>
          <w:marRight w:val="0"/>
          <w:marTop w:val="86"/>
          <w:marBottom w:val="0"/>
          <w:divBdr>
            <w:top w:val="none" w:sz="0" w:space="0" w:color="auto"/>
            <w:left w:val="none" w:sz="0" w:space="0" w:color="auto"/>
            <w:bottom w:val="none" w:sz="0" w:space="0" w:color="auto"/>
            <w:right w:val="none" w:sz="0" w:space="0" w:color="auto"/>
          </w:divBdr>
        </w:div>
        <w:div w:id="1739933475">
          <w:marLeft w:val="1166"/>
          <w:marRight w:val="0"/>
          <w:marTop w:val="86"/>
          <w:marBottom w:val="0"/>
          <w:divBdr>
            <w:top w:val="none" w:sz="0" w:space="0" w:color="auto"/>
            <w:left w:val="none" w:sz="0" w:space="0" w:color="auto"/>
            <w:bottom w:val="none" w:sz="0" w:space="0" w:color="auto"/>
            <w:right w:val="none" w:sz="0" w:space="0" w:color="auto"/>
          </w:divBdr>
        </w:div>
        <w:div w:id="1768037045">
          <w:marLeft w:val="547"/>
          <w:marRight w:val="0"/>
          <w:marTop w:val="96"/>
          <w:marBottom w:val="0"/>
          <w:divBdr>
            <w:top w:val="none" w:sz="0" w:space="0" w:color="auto"/>
            <w:left w:val="none" w:sz="0" w:space="0" w:color="auto"/>
            <w:bottom w:val="none" w:sz="0" w:space="0" w:color="auto"/>
            <w:right w:val="none" w:sz="0" w:space="0" w:color="auto"/>
          </w:divBdr>
        </w:div>
      </w:divsChild>
    </w:div>
    <w:div w:id="602497473">
      <w:bodyDiv w:val="1"/>
      <w:marLeft w:val="0"/>
      <w:marRight w:val="0"/>
      <w:marTop w:val="0"/>
      <w:marBottom w:val="0"/>
      <w:divBdr>
        <w:top w:val="none" w:sz="0" w:space="0" w:color="auto"/>
        <w:left w:val="none" w:sz="0" w:space="0" w:color="auto"/>
        <w:bottom w:val="none" w:sz="0" w:space="0" w:color="auto"/>
        <w:right w:val="none" w:sz="0" w:space="0" w:color="auto"/>
      </w:divBdr>
    </w:div>
    <w:div w:id="603999559">
      <w:bodyDiv w:val="1"/>
      <w:marLeft w:val="0"/>
      <w:marRight w:val="0"/>
      <w:marTop w:val="0"/>
      <w:marBottom w:val="0"/>
      <w:divBdr>
        <w:top w:val="none" w:sz="0" w:space="0" w:color="auto"/>
        <w:left w:val="none" w:sz="0" w:space="0" w:color="auto"/>
        <w:bottom w:val="none" w:sz="0" w:space="0" w:color="auto"/>
        <w:right w:val="none" w:sz="0" w:space="0" w:color="auto"/>
      </w:divBdr>
    </w:div>
    <w:div w:id="604461384">
      <w:bodyDiv w:val="1"/>
      <w:marLeft w:val="0"/>
      <w:marRight w:val="0"/>
      <w:marTop w:val="0"/>
      <w:marBottom w:val="0"/>
      <w:divBdr>
        <w:top w:val="none" w:sz="0" w:space="0" w:color="auto"/>
        <w:left w:val="none" w:sz="0" w:space="0" w:color="auto"/>
        <w:bottom w:val="none" w:sz="0" w:space="0" w:color="auto"/>
        <w:right w:val="none" w:sz="0" w:space="0" w:color="auto"/>
      </w:divBdr>
    </w:div>
    <w:div w:id="606935095">
      <w:bodyDiv w:val="1"/>
      <w:marLeft w:val="0"/>
      <w:marRight w:val="0"/>
      <w:marTop w:val="0"/>
      <w:marBottom w:val="0"/>
      <w:divBdr>
        <w:top w:val="none" w:sz="0" w:space="0" w:color="auto"/>
        <w:left w:val="none" w:sz="0" w:space="0" w:color="auto"/>
        <w:bottom w:val="none" w:sz="0" w:space="0" w:color="auto"/>
        <w:right w:val="none" w:sz="0" w:space="0" w:color="auto"/>
      </w:divBdr>
    </w:div>
    <w:div w:id="607086935">
      <w:bodyDiv w:val="1"/>
      <w:marLeft w:val="0"/>
      <w:marRight w:val="0"/>
      <w:marTop w:val="0"/>
      <w:marBottom w:val="0"/>
      <w:divBdr>
        <w:top w:val="none" w:sz="0" w:space="0" w:color="auto"/>
        <w:left w:val="none" w:sz="0" w:space="0" w:color="auto"/>
        <w:bottom w:val="none" w:sz="0" w:space="0" w:color="auto"/>
        <w:right w:val="none" w:sz="0" w:space="0" w:color="auto"/>
      </w:divBdr>
    </w:div>
    <w:div w:id="607540628">
      <w:bodyDiv w:val="1"/>
      <w:marLeft w:val="0"/>
      <w:marRight w:val="0"/>
      <w:marTop w:val="0"/>
      <w:marBottom w:val="0"/>
      <w:divBdr>
        <w:top w:val="none" w:sz="0" w:space="0" w:color="auto"/>
        <w:left w:val="none" w:sz="0" w:space="0" w:color="auto"/>
        <w:bottom w:val="none" w:sz="0" w:space="0" w:color="auto"/>
        <w:right w:val="none" w:sz="0" w:space="0" w:color="auto"/>
      </w:divBdr>
    </w:div>
    <w:div w:id="607857955">
      <w:bodyDiv w:val="1"/>
      <w:marLeft w:val="0"/>
      <w:marRight w:val="0"/>
      <w:marTop w:val="0"/>
      <w:marBottom w:val="0"/>
      <w:divBdr>
        <w:top w:val="none" w:sz="0" w:space="0" w:color="auto"/>
        <w:left w:val="none" w:sz="0" w:space="0" w:color="auto"/>
        <w:bottom w:val="none" w:sz="0" w:space="0" w:color="auto"/>
        <w:right w:val="none" w:sz="0" w:space="0" w:color="auto"/>
      </w:divBdr>
    </w:div>
    <w:div w:id="608194886">
      <w:bodyDiv w:val="1"/>
      <w:marLeft w:val="0"/>
      <w:marRight w:val="0"/>
      <w:marTop w:val="0"/>
      <w:marBottom w:val="0"/>
      <w:divBdr>
        <w:top w:val="none" w:sz="0" w:space="0" w:color="auto"/>
        <w:left w:val="none" w:sz="0" w:space="0" w:color="auto"/>
        <w:bottom w:val="none" w:sz="0" w:space="0" w:color="auto"/>
        <w:right w:val="none" w:sz="0" w:space="0" w:color="auto"/>
      </w:divBdr>
      <w:divsChild>
        <w:div w:id="431634932">
          <w:marLeft w:val="1080"/>
          <w:marRight w:val="0"/>
          <w:marTop w:val="100"/>
          <w:marBottom w:val="0"/>
          <w:divBdr>
            <w:top w:val="none" w:sz="0" w:space="0" w:color="auto"/>
            <w:left w:val="none" w:sz="0" w:space="0" w:color="auto"/>
            <w:bottom w:val="none" w:sz="0" w:space="0" w:color="auto"/>
            <w:right w:val="none" w:sz="0" w:space="0" w:color="auto"/>
          </w:divBdr>
        </w:div>
        <w:div w:id="1047677837">
          <w:marLeft w:val="1080"/>
          <w:marRight w:val="0"/>
          <w:marTop w:val="100"/>
          <w:marBottom w:val="0"/>
          <w:divBdr>
            <w:top w:val="none" w:sz="0" w:space="0" w:color="auto"/>
            <w:left w:val="none" w:sz="0" w:space="0" w:color="auto"/>
            <w:bottom w:val="none" w:sz="0" w:space="0" w:color="auto"/>
            <w:right w:val="none" w:sz="0" w:space="0" w:color="auto"/>
          </w:divBdr>
        </w:div>
        <w:div w:id="1344472517">
          <w:marLeft w:val="360"/>
          <w:marRight w:val="0"/>
          <w:marTop w:val="200"/>
          <w:marBottom w:val="0"/>
          <w:divBdr>
            <w:top w:val="none" w:sz="0" w:space="0" w:color="auto"/>
            <w:left w:val="none" w:sz="0" w:space="0" w:color="auto"/>
            <w:bottom w:val="none" w:sz="0" w:space="0" w:color="auto"/>
            <w:right w:val="none" w:sz="0" w:space="0" w:color="auto"/>
          </w:divBdr>
        </w:div>
        <w:div w:id="1843085070">
          <w:marLeft w:val="1080"/>
          <w:marRight w:val="0"/>
          <w:marTop w:val="100"/>
          <w:marBottom w:val="0"/>
          <w:divBdr>
            <w:top w:val="none" w:sz="0" w:space="0" w:color="auto"/>
            <w:left w:val="none" w:sz="0" w:space="0" w:color="auto"/>
            <w:bottom w:val="none" w:sz="0" w:space="0" w:color="auto"/>
            <w:right w:val="none" w:sz="0" w:space="0" w:color="auto"/>
          </w:divBdr>
        </w:div>
        <w:div w:id="2109807682">
          <w:marLeft w:val="360"/>
          <w:marRight w:val="0"/>
          <w:marTop w:val="200"/>
          <w:marBottom w:val="0"/>
          <w:divBdr>
            <w:top w:val="none" w:sz="0" w:space="0" w:color="auto"/>
            <w:left w:val="none" w:sz="0" w:space="0" w:color="auto"/>
            <w:bottom w:val="none" w:sz="0" w:space="0" w:color="auto"/>
            <w:right w:val="none" w:sz="0" w:space="0" w:color="auto"/>
          </w:divBdr>
        </w:div>
      </w:divsChild>
    </w:div>
    <w:div w:id="608197748">
      <w:bodyDiv w:val="1"/>
      <w:marLeft w:val="0"/>
      <w:marRight w:val="0"/>
      <w:marTop w:val="0"/>
      <w:marBottom w:val="0"/>
      <w:divBdr>
        <w:top w:val="none" w:sz="0" w:space="0" w:color="auto"/>
        <w:left w:val="none" w:sz="0" w:space="0" w:color="auto"/>
        <w:bottom w:val="none" w:sz="0" w:space="0" w:color="auto"/>
        <w:right w:val="none" w:sz="0" w:space="0" w:color="auto"/>
      </w:divBdr>
    </w:div>
    <w:div w:id="609553169">
      <w:bodyDiv w:val="1"/>
      <w:marLeft w:val="0"/>
      <w:marRight w:val="0"/>
      <w:marTop w:val="0"/>
      <w:marBottom w:val="0"/>
      <w:divBdr>
        <w:top w:val="none" w:sz="0" w:space="0" w:color="auto"/>
        <w:left w:val="none" w:sz="0" w:space="0" w:color="auto"/>
        <w:bottom w:val="none" w:sz="0" w:space="0" w:color="auto"/>
        <w:right w:val="none" w:sz="0" w:space="0" w:color="auto"/>
      </w:divBdr>
    </w:div>
    <w:div w:id="611671107">
      <w:bodyDiv w:val="1"/>
      <w:marLeft w:val="0"/>
      <w:marRight w:val="0"/>
      <w:marTop w:val="0"/>
      <w:marBottom w:val="0"/>
      <w:divBdr>
        <w:top w:val="none" w:sz="0" w:space="0" w:color="auto"/>
        <w:left w:val="none" w:sz="0" w:space="0" w:color="auto"/>
        <w:bottom w:val="none" w:sz="0" w:space="0" w:color="auto"/>
        <w:right w:val="none" w:sz="0" w:space="0" w:color="auto"/>
      </w:divBdr>
    </w:div>
    <w:div w:id="612399501">
      <w:bodyDiv w:val="1"/>
      <w:marLeft w:val="0"/>
      <w:marRight w:val="0"/>
      <w:marTop w:val="0"/>
      <w:marBottom w:val="0"/>
      <w:divBdr>
        <w:top w:val="none" w:sz="0" w:space="0" w:color="auto"/>
        <w:left w:val="none" w:sz="0" w:space="0" w:color="auto"/>
        <w:bottom w:val="none" w:sz="0" w:space="0" w:color="auto"/>
        <w:right w:val="none" w:sz="0" w:space="0" w:color="auto"/>
      </w:divBdr>
    </w:div>
    <w:div w:id="612631868">
      <w:bodyDiv w:val="1"/>
      <w:marLeft w:val="0"/>
      <w:marRight w:val="0"/>
      <w:marTop w:val="0"/>
      <w:marBottom w:val="0"/>
      <w:divBdr>
        <w:top w:val="none" w:sz="0" w:space="0" w:color="auto"/>
        <w:left w:val="none" w:sz="0" w:space="0" w:color="auto"/>
        <w:bottom w:val="none" w:sz="0" w:space="0" w:color="auto"/>
        <w:right w:val="none" w:sz="0" w:space="0" w:color="auto"/>
      </w:divBdr>
    </w:div>
    <w:div w:id="613559626">
      <w:bodyDiv w:val="1"/>
      <w:marLeft w:val="0"/>
      <w:marRight w:val="0"/>
      <w:marTop w:val="0"/>
      <w:marBottom w:val="0"/>
      <w:divBdr>
        <w:top w:val="none" w:sz="0" w:space="0" w:color="auto"/>
        <w:left w:val="none" w:sz="0" w:space="0" w:color="auto"/>
        <w:bottom w:val="none" w:sz="0" w:space="0" w:color="auto"/>
        <w:right w:val="none" w:sz="0" w:space="0" w:color="auto"/>
      </w:divBdr>
    </w:div>
    <w:div w:id="614092528">
      <w:bodyDiv w:val="1"/>
      <w:marLeft w:val="0"/>
      <w:marRight w:val="0"/>
      <w:marTop w:val="0"/>
      <w:marBottom w:val="0"/>
      <w:divBdr>
        <w:top w:val="none" w:sz="0" w:space="0" w:color="auto"/>
        <w:left w:val="none" w:sz="0" w:space="0" w:color="auto"/>
        <w:bottom w:val="none" w:sz="0" w:space="0" w:color="auto"/>
        <w:right w:val="none" w:sz="0" w:space="0" w:color="auto"/>
      </w:divBdr>
    </w:div>
    <w:div w:id="614285690">
      <w:bodyDiv w:val="1"/>
      <w:marLeft w:val="0"/>
      <w:marRight w:val="0"/>
      <w:marTop w:val="0"/>
      <w:marBottom w:val="0"/>
      <w:divBdr>
        <w:top w:val="none" w:sz="0" w:space="0" w:color="auto"/>
        <w:left w:val="none" w:sz="0" w:space="0" w:color="auto"/>
        <w:bottom w:val="none" w:sz="0" w:space="0" w:color="auto"/>
        <w:right w:val="none" w:sz="0" w:space="0" w:color="auto"/>
      </w:divBdr>
    </w:div>
    <w:div w:id="617299088">
      <w:bodyDiv w:val="1"/>
      <w:marLeft w:val="0"/>
      <w:marRight w:val="0"/>
      <w:marTop w:val="0"/>
      <w:marBottom w:val="0"/>
      <w:divBdr>
        <w:top w:val="none" w:sz="0" w:space="0" w:color="auto"/>
        <w:left w:val="none" w:sz="0" w:space="0" w:color="auto"/>
        <w:bottom w:val="none" w:sz="0" w:space="0" w:color="auto"/>
        <w:right w:val="none" w:sz="0" w:space="0" w:color="auto"/>
      </w:divBdr>
    </w:div>
    <w:div w:id="617685670">
      <w:bodyDiv w:val="1"/>
      <w:marLeft w:val="0"/>
      <w:marRight w:val="0"/>
      <w:marTop w:val="0"/>
      <w:marBottom w:val="0"/>
      <w:divBdr>
        <w:top w:val="none" w:sz="0" w:space="0" w:color="auto"/>
        <w:left w:val="none" w:sz="0" w:space="0" w:color="auto"/>
        <w:bottom w:val="none" w:sz="0" w:space="0" w:color="auto"/>
        <w:right w:val="none" w:sz="0" w:space="0" w:color="auto"/>
      </w:divBdr>
    </w:div>
    <w:div w:id="618142021">
      <w:bodyDiv w:val="1"/>
      <w:marLeft w:val="0"/>
      <w:marRight w:val="0"/>
      <w:marTop w:val="0"/>
      <w:marBottom w:val="0"/>
      <w:divBdr>
        <w:top w:val="none" w:sz="0" w:space="0" w:color="auto"/>
        <w:left w:val="none" w:sz="0" w:space="0" w:color="auto"/>
        <w:bottom w:val="none" w:sz="0" w:space="0" w:color="auto"/>
        <w:right w:val="none" w:sz="0" w:space="0" w:color="auto"/>
      </w:divBdr>
    </w:div>
    <w:div w:id="618612874">
      <w:bodyDiv w:val="1"/>
      <w:marLeft w:val="0"/>
      <w:marRight w:val="0"/>
      <w:marTop w:val="0"/>
      <w:marBottom w:val="0"/>
      <w:divBdr>
        <w:top w:val="none" w:sz="0" w:space="0" w:color="auto"/>
        <w:left w:val="none" w:sz="0" w:space="0" w:color="auto"/>
        <w:bottom w:val="none" w:sz="0" w:space="0" w:color="auto"/>
        <w:right w:val="none" w:sz="0" w:space="0" w:color="auto"/>
      </w:divBdr>
      <w:divsChild>
        <w:div w:id="441532824">
          <w:marLeft w:val="547"/>
          <w:marRight w:val="0"/>
          <w:marTop w:val="115"/>
          <w:marBottom w:val="0"/>
          <w:divBdr>
            <w:top w:val="none" w:sz="0" w:space="0" w:color="auto"/>
            <w:left w:val="none" w:sz="0" w:space="0" w:color="auto"/>
            <w:bottom w:val="none" w:sz="0" w:space="0" w:color="auto"/>
            <w:right w:val="none" w:sz="0" w:space="0" w:color="auto"/>
          </w:divBdr>
        </w:div>
        <w:div w:id="1632860683">
          <w:marLeft w:val="1166"/>
          <w:marRight w:val="0"/>
          <w:marTop w:val="96"/>
          <w:marBottom w:val="0"/>
          <w:divBdr>
            <w:top w:val="none" w:sz="0" w:space="0" w:color="auto"/>
            <w:left w:val="none" w:sz="0" w:space="0" w:color="auto"/>
            <w:bottom w:val="none" w:sz="0" w:space="0" w:color="auto"/>
            <w:right w:val="none" w:sz="0" w:space="0" w:color="auto"/>
          </w:divBdr>
        </w:div>
      </w:divsChild>
    </w:div>
    <w:div w:id="619072755">
      <w:bodyDiv w:val="1"/>
      <w:marLeft w:val="0"/>
      <w:marRight w:val="0"/>
      <w:marTop w:val="0"/>
      <w:marBottom w:val="0"/>
      <w:divBdr>
        <w:top w:val="none" w:sz="0" w:space="0" w:color="auto"/>
        <w:left w:val="none" w:sz="0" w:space="0" w:color="auto"/>
        <w:bottom w:val="none" w:sz="0" w:space="0" w:color="auto"/>
        <w:right w:val="none" w:sz="0" w:space="0" w:color="auto"/>
      </w:divBdr>
    </w:div>
    <w:div w:id="619339853">
      <w:bodyDiv w:val="1"/>
      <w:marLeft w:val="0"/>
      <w:marRight w:val="0"/>
      <w:marTop w:val="0"/>
      <w:marBottom w:val="0"/>
      <w:divBdr>
        <w:top w:val="none" w:sz="0" w:space="0" w:color="auto"/>
        <w:left w:val="none" w:sz="0" w:space="0" w:color="auto"/>
        <w:bottom w:val="none" w:sz="0" w:space="0" w:color="auto"/>
        <w:right w:val="none" w:sz="0" w:space="0" w:color="auto"/>
      </w:divBdr>
    </w:div>
    <w:div w:id="621766921">
      <w:bodyDiv w:val="1"/>
      <w:marLeft w:val="0"/>
      <w:marRight w:val="0"/>
      <w:marTop w:val="0"/>
      <w:marBottom w:val="0"/>
      <w:divBdr>
        <w:top w:val="none" w:sz="0" w:space="0" w:color="auto"/>
        <w:left w:val="none" w:sz="0" w:space="0" w:color="auto"/>
        <w:bottom w:val="none" w:sz="0" w:space="0" w:color="auto"/>
        <w:right w:val="none" w:sz="0" w:space="0" w:color="auto"/>
      </w:divBdr>
      <w:divsChild>
        <w:div w:id="1805342503">
          <w:marLeft w:val="547"/>
          <w:marRight w:val="0"/>
          <w:marTop w:val="240"/>
          <w:marBottom w:val="0"/>
          <w:divBdr>
            <w:top w:val="none" w:sz="0" w:space="0" w:color="auto"/>
            <w:left w:val="none" w:sz="0" w:space="0" w:color="auto"/>
            <w:bottom w:val="none" w:sz="0" w:space="0" w:color="auto"/>
            <w:right w:val="none" w:sz="0" w:space="0" w:color="auto"/>
          </w:divBdr>
        </w:div>
      </w:divsChild>
    </w:div>
    <w:div w:id="621767478">
      <w:bodyDiv w:val="1"/>
      <w:marLeft w:val="0"/>
      <w:marRight w:val="0"/>
      <w:marTop w:val="0"/>
      <w:marBottom w:val="0"/>
      <w:divBdr>
        <w:top w:val="none" w:sz="0" w:space="0" w:color="auto"/>
        <w:left w:val="none" w:sz="0" w:space="0" w:color="auto"/>
        <w:bottom w:val="none" w:sz="0" w:space="0" w:color="auto"/>
        <w:right w:val="none" w:sz="0" w:space="0" w:color="auto"/>
      </w:divBdr>
    </w:div>
    <w:div w:id="622031056">
      <w:bodyDiv w:val="1"/>
      <w:marLeft w:val="0"/>
      <w:marRight w:val="0"/>
      <w:marTop w:val="0"/>
      <w:marBottom w:val="0"/>
      <w:divBdr>
        <w:top w:val="none" w:sz="0" w:space="0" w:color="auto"/>
        <w:left w:val="none" w:sz="0" w:space="0" w:color="auto"/>
        <w:bottom w:val="none" w:sz="0" w:space="0" w:color="auto"/>
        <w:right w:val="none" w:sz="0" w:space="0" w:color="auto"/>
      </w:divBdr>
      <w:divsChild>
        <w:div w:id="517235303">
          <w:marLeft w:val="547"/>
          <w:marRight w:val="0"/>
          <w:marTop w:val="115"/>
          <w:marBottom w:val="0"/>
          <w:divBdr>
            <w:top w:val="none" w:sz="0" w:space="0" w:color="auto"/>
            <w:left w:val="none" w:sz="0" w:space="0" w:color="auto"/>
            <w:bottom w:val="none" w:sz="0" w:space="0" w:color="auto"/>
            <w:right w:val="none" w:sz="0" w:space="0" w:color="auto"/>
          </w:divBdr>
        </w:div>
        <w:div w:id="715350244">
          <w:marLeft w:val="1166"/>
          <w:marRight w:val="0"/>
          <w:marTop w:val="96"/>
          <w:marBottom w:val="0"/>
          <w:divBdr>
            <w:top w:val="none" w:sz="0" w:space="0" w:color="auto"/>
            <w:left w:val="none" w:sz="0" w:space="0" w:color="auto"/>
            <w:bottom w:val="none" w:sz="0" w:space="0" w:color="auto"/>
            <w:right w:val="none" w:sz="0" w:space="0" w:color="auto"/>
          </w:divBdr>
        </w:div>
      </w:divsChild>
    </w:div>
    <w:div w:id="622031911">
      <w:bodyDiv w:val="1"/>
      <w:marLeft w:val="0"/>
      <w:marRight w:val="0"/>
      <w:marTop w:val="0"/>
      <w:marBottom w:val="0"/>
      <w:divBdr>
        <w:top w:val="none" w:sz="0" w:space="0" w:color="auto"/>
        <w:left w:val="none" w:sz="0" w:space="0" w:color="auto"/>
        <w:bottom w:val="none" w:sz="0" w:space="0" w:color="auto"/>
        <w:right w:val="none" w:sz="0" w:space="0" w:color="auto"/>
      </w:divBdr>
      <w:divsChild>
        <w:div w:id="75170337">
          <w:marLeft w:val="547"/>
          <w:marRight w:val="0"/>
          <w:marTop w:val="200"/>
          <w:marBottom w:val="0"/>
          <w:divBdr>
            <w:top w:val="none" w:sz="0" w:space="0" w:color="auto"/>
            <w:left w:val="none" w:sz="0" w:space="0" w:color="auto"/>
            <w:bottom w:val="none" w:sz="0" w:space="0" w:color="auto"/>
            <w:right w:val="none" w:sz="0" w:space="0" w:color="auto"/>
          </w:divBdr>
        </w:div>
      </w:divsChild>
    </w:div>
    <w:div w:id="623074549">
      <w:bodyDiv w:val="1"/>
      <w:marLeft w:val="0"/>
      <w:marRight w:val="0"/>
      <w:marTop w:val="0"/>
      <w:marBottom w:val="0"/>
      <w:divBdr>
        <w:top w:val="none" w:sz="0" w:space="0" w:color="auto"/>
        <w:left w:val="none" w:sz="0" w:space="0" w:color="auto"/>
        <w:bottom w:val="none" w:sz="0" w:space="0" w:color="auto"/>
        <w:right w:val="none" w:sz="0" w:space="0" w:color="auto"/>
      </w:divBdr>
    </w:div>
    <w:div w:id="623275340">
      <w:bodyDiv w:val="1"/>
      <w:marLeft w:val="0"/>
      <w:marRight w:val="0"/>
      <w:marTop w:val="0"/>
      <w:marBottom w:val="0"/>
      <w:divBdr>
        <w:top w:val="none" w:sz="0" w:space="0" w:color="auto"/>
        <w:left w:val="none" w:sz="0" w:space="0" w:color="auto"/>
        <w:bottom w:val="none" w:sz="0" w:space="0" w:color="auto"/>
        <w:right w:val="none" w:sz="0" w:space="0" w:color="auto"/>
      </w:divBdr>
    </w:div>
    <w:div w:id="623774375">
      <w:bodyDiv w:val="1"/>
      <w:marLeft w:val="0"/>
      <w:marRight w:val="0"/>
      <w:marTop w:val="0"/>
      <w:marBottom w:val="0"/>
      <w:divBdr>
        <w:top w:val="none" w:sz="0" w:space="0" w:color="auto"/>
        <w:left w:val="none" w:sz="0" w:space="0" w:color="auto"/>
        <w:bottom w:val="none" w:sz="0" w:space="0" w:color="auto"/>
        <w:right w:val="none" w:sz="0" w:space="0" w:color="auto"/>
      </w:divBdr>
    </w:div>
    <w:div w:id="623778131">
      <w:bodyDiv w:val="1"/>
      <w:marLeft w:val="0"/>
      <w:marRight w:val="0"/>
      <w:marTop w:val="0"/>
      <w:marBottom w:val="0"/>
      <w:divBdr>
        <w:top w:val="none" w:sz="0" w:space="0" w:color="auto"/>
        <w:left w:val="none" w:sz="0" w:space="0" w:color="auto"/>
        <w:bottom w:val="none" w:sz="0" w:space="0" w:color="auto"/>
        <w:right w:val="none" w:sz="0" w:space="0" w:color="auto"/>
      </w:divBdr>
    </w:div>
    <w:div w:id="624041849">
      <w:bodyDiv w:val="1"/>
      <w:marLeft w:val="0"/>
      <w:marRight w:val="0"/>
      <w:marTop w:val="0"/>
      <w:marBottom w:val="0"/>
      <w:divBdr>
        <w:top w:val="none" w:sz="0" w:space="0" w:color="auto"/>
        <w:left w:val="none" w:sz="0" w:space="0" w:color="auto"/>
        <w:bottom w:val="none" w:sz="0" w:space="0" w:color="auto"/>
        <w:right w:val="none" w:sz="0" w:space="0" w:color="auto"/>
      </w:divBdr>
    </w:div>
    <w:div w:id="625896916">
      <w:bodyDiv w:val="1"/>
      <w:marLeft w:val="0"/>
      <w:marRight w:val="0"/>
      <w:marTop w:val="0"/>
      <w:marBottom w:val="0"/>
      <w:divBdr>
        <w:top w:val="none" w:sz="0" w:space="0" w:color="auto"/>
        <w:left w:val="none" w:sz="0" w:space="0" w:color="auto"/>
        <w:bottom w:val="none" w:sz="0" w:space="0" w:color="auto"/>
        <w:right w:val="none" w:sz="0" w:space="0" w:color="auto"/>
      </w:divBdr>
    </w:div>
    <w:div w:id="627051516">
      <w:bodyDiv w:val="1"/>
      <w:marLeft w:val="0"/>
      <w:marRight w:val="0"/>
      <w:marTop w:val="0"/>
      <w:marBottom w:val="0"/>
      <w:divBdr>
        <w:top w:val="none" w:sz="0" w:space="0" w:color="auto"/>
        <w:left w:val="none" w:sz="0" w:space="0" w:color="auto"/>
        <w:bottom w:val="none" w:sz="0" w:space="0" w:color="auto"/>
        <w:right w:val="none" w:sz="0" w:space="0" w:color="auto"/>
      </w:divBdr>
    </w:div>
    <w:div w:id="628098270">
      <w:bodyDiv w:val="1"/>
      <w:marLeft w:val="0"/>
      <w:marRight w:val="0"/>
      <w:marTop w:val="0"/>
      <w:marBottom w:val="0"/>
      <w:divBdr>
        <w:top w:val="none" w:sz="0" w:space="0" w:color="auto"/>
        <w:left w:val="none" w:sz="0" w:space="0" w:color="auto"/>
        <w:bottom w:val="none" w:sz="0" w:space="0" w:color="auto"/>
        <w:right w:val="none" w:sz="0" w:space="0" w:color="auto"/>
      </w:divBdr>
    </w:div>
    <w:div w:id="628242943">
      <w:bodyDiv w:val="1"/>
      <w:marLeft w:val="0"/>
      <w:marRight w:val="0"/>
      <w:marTop w:val="0"/>
      <w:marBottom w:val="0"/>
      <w:divBdr>
        <w:top w:val="none" w:sz="0" w:space="0" w:color="auto"/>
        <w:left w:val="none" w:sz="0" w:space="0" w:color="auto"/>
        <w:bottom w:val="none" w:sz="0" w:space="0" w:color="auto"/>
        <w:right w:val="none" w:sz="0" w:space="0" w:color="auto"/>
      </w:divBdr>
      <w:divsChild>
        <w:div w:id="708921432">
          <w:marLeft w:val="1800"/>
          <w:marRight w:val="0"/>
          <w:marTop w:val="100"/>
          <w:marBottom w:val="0"/>
          <w:divBdr>
            <w:top w:val="none" w:sz="0" w:space="0" w:color="auto"/>
            <w:left w:val="none" w:sz="0" w:space="0" w:color="auto"/>
            <w:bottom w:val="none" w:sz="0" w:space="0" w:color="auto"/>
            <w:right w:val="none" w:sz="0" w:space="0" w:color="auto"/>
          </w:divBdr>
        </w:div>
        <w:div w:id="869880536">
          <w:marLeft w:val="2520"/>
          <w:marRight w:val="0"/>
          <w:marTop w:val="100"/>
          <w:marBottom w:val="0"/>
          <w:divBdr>
            <w:top w:val="none" w:sz="0" w:space="0" w:color="auto"/>
            <w:left w:val="none" w:sz="0" w:space="0" w:color="auto"/>
            <w:bottom w:val="none" w:sz="0" w:space="0" w:color="auto"/>
            <w:right w:val="none" w:sz="0" w:space="0" w:color="auto"/>
          </w:divBdr>
        </w:div>
        <w:div w:id="916868591">
          <w:marLeft w:val="2520"/>
          <w:marRight w:val="0"/>
          <w:marTop w:val="100"/>
          <w:marBottom w:val="0"/>
          <w:divBdr>
            <w:top w:val="none" w:sz="0" w:space="0" w:color="auto"/>
            <w:left w:val="none" w:sz="0" w:space="0" w:color="auto"/>
            <w:bottom w:val="none" w:sz="0" w:space="0" w:color="auto"/>
            <w:right w:val="none" w:sz="0" w:space="0" w:color="auto"/>
          </w:divBdr>
        </w:div>
        <w:div w:id="1002777585">
          <w:marLeft w:val="3240"/>
          <w:marRight w:val="0"/>
          <w:marTop w:val="100"/>
          <w:marBottom w:val="0"/>
          <w:divBdr>
            <w:top w:val="none" w:sz="0" w:space="0" w:color="auto"/>
            <w:left w:val="none" w:sz="0" w:space="0" w:color="auto"/>
            <w:bottom w:val="none" w:sz="0" w:space="0" w:color="auto"/>
            <w:right w:val="none" w:sz="0" w:space="0" w:color="auto"/>
          </w:divBdr>
        </w:div>
        <w:div w:id="1324969602">
          <w:marLeft w:val="1800"/>
          <w:marRight w:val="0"/>
          <w:marTop w:val="100"/>
          <w:marBottom w:val="0"/>
          <w:divBdr>
            <w:top w:val="none" w:sz="0" w:space="0" w:color="auto"/>
            <w:left w:val="none" w:sz="0" w:space="0" w:color="auto"/>
            <w:bottom w:val="none" w:sz="0" w:space="0" w:color="auto"/>
            <w:right w:val="none" w:sz="0" w:space="0" w:color="auto"/>
          </w:divBdr>
        </w:div>
        <w:div w:id="1688291373">
          <w:marLeft w:val="360"/>
          <w:marRight w:val="0"/>
          <w:marTop w:val="200"/>
          <w:marBottom w:val="0"/>
          <w:divBdr>
            <w:top w:val="none" w:sz="0" w:space="0" w:color="auto"/>
            <w:left w:val="none" w:sz="0" w:space="0" w:color="auto"/>
            <w:bottom w:val="none" w:sz="0" w:space="0" w:color="auto"/>
            <w:right w:val="none" w:sz="0" w:space="0" w:color="auto"/>
          </w:divBdr>
        </w:div>
        <w:div w:id="1940286975">
          <w:marLeft w:val="1080"/>
          <w:marRight w:val="0"/>
          <w:marTop w:val="100"/>
          <w:marBottom w:val="0"/>
          <w:divBdr>
            <w:top w:val="none" w:sz="0" w:space="0" w:color="auto"/>
            <w:left w:val="none" w:sz="0" w:space="0" w:color="auto"/>
            <w:bottom w:val="none" w:sz="0" w:space="0" w:color="auto"/>
            <w:right w:val="none" w:sz="0" w:space="0" w:color="auto"/>
          </w:divBdr>
        </w:div>
      </w:divsChild>
    </w:div>
    <w:div w:id="628391464">
      <w:bodyDiv w:val="1"/>
      <w:marLeft w:val="0"/>
      <w:marRight w:val="0"/>
      <w:marTop w:val="0"/>
      <w:marBottom w:val="0"/>
      <w:divBdr>
        <w:top w:val="none" w:sz="0" w:space="0" w:color="auto"/>
        <w:left w:val="none" w:sz="0" w:space="0" w:color="auto"/>
        <w:bottom w:val="none" w:sz="0" w:space="0" w:color="auto"/>
        <w:right w:val="none" w:sz="0" w:space="0" w:color="auto"/>
      </w:divBdr>
    </w:div>
    <w:div w:id="628515982">
      <w:bodyDiv w:val="1"/>
      <w:marLeft w:val="0"/>
      <w:marRight w:val="0"/>
      <w:marTop w:val="0"/>
      <w:marBottom w:val="0"/>
      <w:divBdr>
        <w:top w:val="none" w:sz="0" w:space="0" w:color="auto"/>
        <w:left w:val="none" w:sz="0" w:space="0" w:color="auto"/>
        <w:bottom w:val="none" w:sz="0" w:space="0" w:color="auto"/>
        <w:right w:val="none" w:sz="0" w:space="0" w:color="auto"/>
      </w:divBdr>
    </w:div>
    <w:div w:id="630482098">
      <w:bodyDiv w:val="1"/>
      <w:marLeft w:val="0"/>
      <w:marRight w:val="0"/>
      <w:marTop w:val="0"/>
      <w:marBottom w:val="0"/>
      <w:divBdr>
        <w:top w:val="none" w:sz="0" w:space="0" w:color="auto"/>
        <w:left w:val="none" w:sz="0" w:space="0" w:color="auto"/>
        <w:bottom w:val="none" w:sz="0" w:space="0" w:color="auto"/>
        <w:right w:val="none" w:sz="0" w:space="0" w:color="auto"/>
      </w:divBdr>
    </w:div>
    <w:div w:id="632829671">
      <w:bodyDiv w:val="1"/>
      <w:marLeft w:val="0"/>
      <w:marRight w:val="0"/>
      <w:marTop w:val="0"/>
      <w:marBottom w:val="0"/>
      <w:divBdr>
        <w:top w:val="none" w:sz="0" w:space="0" w:color="auto"/>
        <w:left w:val="none" w:sz="0" w:space="0" w:color="auto"/>
        <w:bottom w:val="none" w:sz="0" w:space="0" w:color="auto"/>
        <w:right w:val="none" w:sz="0" w:space="0" w:color="auto"/>
      </w:divBdr>
      <w:divsChild>
        <w:div w:id="803354899">
          <w:marLeft w:val="547"/>
          <w:marRight w:val="0"/>
          <w:marTop w:val="154"/>
          <w:marBottom w:val="0"/>
          <w:divBdr>
            <w:top w:val="none" w:sz="0" w:space="0" w:color="auto"/>
            <w:left w:val="none" w:sz="0" w:space="0" w:color="auto"/>
            <w:bottom w:val="none" w:sz="0" w:space="0" w:color="auto"/>
            <w:right w:val="none" w:sz="0" w:space="0" w:color="auto"/>
          </w:divBdr>
        </w:div>
        <w:div w:id="1096245392">
          <w:marLeft w:val="547"/>
          <w:marRight w:val="0"/>
          <w:marTop w:val="154"/>
          <w:marBottom w:val="0"/>
          <w:divBdr>
            <w:top w:val="none" w:sz="0" w:space="0" w:color="auto"/>
            <w:left w:val="none" w:sz="0" w:space="0" w:color="auto"/>
            <w:bottom w:val="none" w:sz="0" w:space="0" w:color="auto"/>
            <w:right w:val="none" w:sz="0" w:space="0" w:color="auto"/>
          </w:divBdr>
        </w:div>
        <w:div w:id="1270972113">
          <w:marLeft w:val="1166"/>
          <w:marRight w:val="0"/>
          <w:marTop w:val="134"/>
          <w:marBottom w:val="0"/>
          <w:divBdr>
            <w:top w:val="none" w:sz="0" w:space="0" w:color="auto"/>
            <w:left w:val="none" w:sz="0" w:space="0" w:color="auto"/>
            <w:bottom w:val="none" w:sz="0" w:space="0" w:color="auto"/>
            <w:right w:val="none" w:sz="0" w:space="0" w:color="auto"/>
          </w:divBdr>
        </w:div>
        <w:div w:id="1307469474">
          <w:marLeft w:val="1166"/>
          <w:marRight w:val="0"/>
          <w:marTop w:val="134"/>
          <w:marBottom w:val="0"/>
          <w:divBdr>
            <w:top w:val="none" w:sz="0" w:space="0" w:color="auto"/>
            <w:left w:val="none" w:sz="0" w:space="0" w:color="auto"/>
            <w:bottom w:val="none" w:sz="0" w:space="0" w:color="auto"/>
            <w:right w:val="none" w:sz="0" w:space="0" w:color="auto"/>
          </w:divBdr>
        </w:div>
        <w:div w:id="1543055106">
          <w:marLeft w:val="1166"/>
          <w:marRight w:val="0"/>
          <w:marTop w:val="134"/>
          <w:marBottom w:val="0"/>
          <w:divBdr>
            <w:top w:val="none" w:sz="0" w:space="0" w:color="auto"/>
            <w:left w:val="none" w:sz="0" w:space="0" w:color="auto"/>
            <w:bottom w:val="none" w:sz="0" w:space="0" w:color="auto"/>
            <w:right w:val="none" w:sz="0" w:space="0" w:color="auto"/>
          </w:divBdr>
        </w:div>
        <w:div w:id="1607929691">
          <w:marLeft w:val="1166"/>
          <w:marRight w:val="0"/>
          <w:marTop w:val="134"/>
          <w:marBottom w:val="0"/>
          <w:divBdr>
            <w:top w:val="none" w:sz="0" w:space="0" w:color="auto"/>
            <w:left w:val="none" w:sz="0" w:space="0" w:color="auto"/>
            <w:bottom w:val="none" w:sz="0" w:space="0" w:color="auto"/>
            <w:right w:val="none" w:sz="0" w:space="0" w:color="auto"/>
          </w:divBdr>
        </w:div>
        <w:div w:id="2119644441">
          <w:marLeft w:val="547"/>
          <w:marRight w:val="0"/>
          <w:marTop w:val="154"/>
          <w:marBottom w:val="0"/>
          <w:divBdr>
            <w:top w:val="none" w:sz="0" w:space="0" w:color="auto"/>
            <w:left w:val="none" w:sz="0" w:space="0" w:color="auto"/>
            <w:bottom w:val="none" w:sz="0" w:space="0" w:color="auto"/>
            <w:right w:val="none" w:sz="0" w:space="0" w:color="auto"/>
          </w:divBdr>
        </w:div>
      </w:divsChild>
    </w:div>
    <w:div w:id="633364475">
      <w:bodyDiv w:val="1"/>
      <w:marLeft w:val="0"/>
      <w:marRight w:val="0"/>
      <w:marTop w:val="0"/>
      <w:marBottom w:val="0"/>
      <w:divBdr>
        <w:top w:val="none" w:sz="0" w:space="0" w:color="auto"/>
        <w:left w:val="none" w:sz="0" w:space="0" w:color="auto"/>
        <w:bottom w:val="none" w:sz="0" w:space="0" w:color="auto"/>
        <w:right w:val="none" w:sz="0" w:space="0" w:color="auto"/>
      </w:divBdr>
    </w:div>
    <w:div w:id="635334669">
      <w:bodyDiv w:val="1"/>
      <w:marLeft w:val="0"/>
      <w:marRight w:val="0"/>
      <w:marTop w:val="0"/>
      <w:marBottom w:val="0"/>
      <w:divBdr>
        <w:top w:val="none" w:sz="0" w:space="0" w:color="auto"/>
        <w:left w:val="none" w:sz="0" w:space="0" w:color="auto"/>
        <w:bottom w:val="none" w:sz="0" w:space="0" w:color="auto"/>
        <w:right w:val="none" w:sz="0" w:space="0" w:color="auto"/>
      </w:divBdr>
    </w:div>
    <w:div w:id="635381508">
      <w:bodyDiv w:val="1"/>
      <w:marLeft w:val="0"/>
      <w:marRight w:val="0"/>
      <w:marTop w:val="0"/>
      <w:marBottom w:val="0"/>
      <w:divBdr>
        <w:top w:val="none" w:sz="0" w:space="0" w:color="auto"/>
        <w:left w:val="none" w:sz="0" w:space="0" w:color="auto"/>
        <w:bottom w:val="none" w:sz="0" w:space="0" w:color="auto"/>
        <w:right w:val="none" w:sz="0" w:space="0" w:color="auto"/>
      </w:divBdr>
    </w:div>
    <w:div w:id="635532387">
      <w:bodyDiv w:val="1"/>
      <w:marLeft w:val="0"/>
      <w:marRight w:val="0"/>
      <w:marTop w:val="0"/>
      <w:marBottom w:val="0"/>
      <w:divBdr>
        <w:top w:val="none" w:sz="0" w:space="0" w:color="auto"/>
        <w:left w:val="none" w:sz="0" w:space="0" w:color="auto"/>
        <w:bottom w:val="none" w:sz="0" w:space="0" w:color="auto"/>
        <w:right w:val="none" w:sz="0" w:space="0" w:color="auto"/>
      </w:divBdr>
    </w:div>
    <w:div w:id="636225098">
      <w:bodyDiv w:val="1"/>
      <w:marLeft w:val="0"/>
      <w:marRight w:val="0"/>
      <w:marTop w:val="0"/>
      <w:marBottom w:val="0"/>
      <w:divBdr>
        <w:top w:val="none" w:sz="0" w:space="0" w:color="auto"/>
        <w:left w:val="none" w:sz="0" w:space="0" w:color="auto"/>
        <w:bottom w:val="none" w:sz="0" w:space="0" w:color="auto"/>
        <w:right w:val="none" w:sz="0" w:space="0" w:color="auto"/>
      </w:divBdr>
    </w:div>
    <w:div w:id="637489631">
      <w:bodyDiv w:val="1"/>
      <w:marLeft w:val="0"/>
      <w:marRight w:val="0"/>
      <w:marTop w:val="0"/>
      <w:marBottom w:val="0"/>
      <w:divBdr>
        <w:top w:val="none" w:sz="0" w:space="0" w:color="auto"/>
        <w:left w:val="none" w:sz="0" w:space="0" w:color="auto"/>
        <w:bottom w:val="none" w:sz="0" w:space="0" w:color="auto"/>
        <w:right w:val="none" w:sz="0" w:space="0" w:color="auto"/>
      </w:divBdr>
    </w:div>
    <w:div w:id="638341562">
      <w:bodyDiv w:val="1"/>
      <w:marLeft w:val="0"/>
      <w:marRight w:val="0"/>
      <w:marTop w:val="0"/>
      <w:marBottom w:val="0"/>
      <w:divBdr>
        <w:top w:val="none" w:sz="0" w:space="0" w:color="auto"/>
        <w:left w:val="none" w:sz="0" w:space="0" w:color="auto"/>
        <w:bottom w:val="none" w:sz="0" w:space="0" w:color="auto"/>
        <w:right w:val="none" w:sz="0" w:space="0" w:color="auto"/>
      </w:divBdr>
      <w:divsChild>
        <w:div w:id="22485099">
          <w:marLeft w:val="1800"/>
          <w:marRight w:val="0"/>
          <w:marTop w:val="82"/>
          <w:marBottom w:val="0"/>
          <w:divBdr>
            <w:top w:val="none" w:sz="0" w:space="0" w:color="auto"/>
            <w:left w:val="none" w:sz="0" w:space="0" w:color="auto"/>
            <w:bottom w:val="none" w:sz="0" w:space="0" w:color="auto"/>
            <w:right w:val="none" w:sz="0" w:space="0" w:color="auto"/>
          </w:divBdr>
        </w:div>
        <w:div w:id="53283480">
          <w:marLeft w:val="1166"/>
          <w:marRight w:val="0"/>
          <w:marTop w:val="96"/>
          <w:marBottom w:val="0"/>
          <w:divBdr>
            <w:top w:val="none" w:sz="0" w:space="0" w:color="auto"/>
            <w:left w:val="none" w:sz="0" w:space="0" w:color="auto"/>
            <w:bottom w:val="none" w:sz="0" w:space="0" w:color="auto"/>
            <w:right w:val="none" w:sz="0" w:space="0" w:color="auto"/>
          </w:divBdr>
        </w:div>
        <w:div w:id="371804984">
          <w:marLeft w:val="1800"/>
          <w:marRight w:val="0"/>
          <w:marTop w:val="82"/>
          <w:marBottom w:val="0"/>
          <w:divBdr>
            <w:top w:val="none" w:sz="0" w:space="0" w:color="auto"/>
            <w:left w:val="none" w:sz="0" w:space="0" w:color="auto"/>
            <w:bottom w:val="none" w:sz="0" w:space="0" w:color="auto"/>
            <w:right w:val="none" w:sz="0" w:space="0" w:color="auto"/>
          </w:divBdr>
        </w:div>
        <w:div w:id="864250657">
          <w:marLeft w:val="1800"/>
          <w:marRight w:val="0"/>
          <w:marTop w:val="82"/>
          <w:marBottom w:val="0"/>
          <w:divBdr>
            <w:top w:val="none" w:sz="0" w:space="0" w:color="auto"/>
            <w:left w:val="none" w:sz="0" w:space="0" w:color="auto"/>
            <w:bottom w:val="none" w:sz="0" w:space="0" w:color="auto"/>
            <w:right w:val="none" w:sz="0" w:space="0" w:color="auto"/>
          </w:divBdr>
        </w:div>
        <w:div w:id="868294795">
          <w:marLeft w:val="1800"/>
          <w:marRight w:val="0"/>
          <w:marTop w:val="82"/>
          <w:marBottom w:val="0"/>
          <w:divBdr>
            <w:top w:val="none" w:sz="0" w:space="0" w:color="auto"/>
            <w:left w:val="none" w:sz="0" w:space="0" w:color="auto"/>
            <w:bottom w:val="none" w:sz="0" w:space="0" w:color="auto"/>
            <w:right w:val="none" w:sz="0" w:space="0" w:color="auto"/>
          </w:divBdr>
        </w:div>
        <w:div w:id="1366829499">
          <w:marLeft w:val="1800"/>
          <w:marRight w:val="0"/>
          <w:marTop w:val="82"/>
          <w:marBottom w:val="0"/>
          <w:divBdr>
            <w:top w:val="none" w:sz="0" w:space="0" w:color="auto"/>
            <w:left w:val="none" w:sz="0" w:space="0" w:color="auto"/>
            <w:bottom w:val="none" w:sz="0" w:space="0" w:color="auto"/>
            <w:right w:val="none" w:sz="0" w:space="0" w:color="auto"/>
          </w:divBdr>
        </w:div>
        <w:div w:id="1433208049">
          <w:marLeft w:val="1800"/>
          <w:marRight w:val="0"/>
          <w:marTop w:val="82"/>
          <w:marBottom w:val="0"/>
          <w:divBdr>
            <w:top w:val="none" w:sz="0" w:space="0" w:color="auto"/>
            <w:left w:val="none" w:sz="0" w:space="0" w:color="auto"/>
            <w:bottom w:val="none" w:sz="0" w:space="0" w:color="auto"/>
            <w:right w:val="none" w:sz="0" w:space="0" w:color="auto"/>
          </w:divBdr>
        </w:div>
        <w:div w:id="1670675458">
          <w:marLeft w:val="1800"/>
          <w:marRight w:val="0"/>
          <w:marTop w:val="82"/>
          <w:marBottom w:val="0"/>
          <w:divBdr>
            <w:top w:val="none" w:sz="0" w:space="0" w:color="auto"/>
            <w:left w:val="none" w:sz="0" w:space="0" w:color="auto"/>
            <w:bottom w:val="none" w:sz="0" w:space="0" w:color="auto"/>
            <w:right w:val="none" w:sz="0" w:space="0" w:color="auto"/>
          </w:divBdr>
        </w:div>
        <w:div w:id="1741832639">
          <w:marLeft w:val="1166"/>
          <w:marRight w:val="0"/>
          <w:marTop w:val="96"/>
          <w:marBottom w:val="0"/>
          <w:divBdr>
            <w:top w:val="none" w:sz="0" w:space="0" w:color="auto"/>
            <w:left w:val="none" w:sz="0" w:space="0" w:color="auto"/>
            <w:bottom w:val="none" w:sz="0" w:space="0" w:color="auto"/>
            <w:right w:val="none" w:sz="0" w:space="0" w:color="auto"/>
          </w:divBdr>
        </w:div>
        <w:div w:id="1743478107">
          <w:marLeft w:val="1166"/>
          <w:marRight w:val="0"/>
          <w:marTop w:val="96"/>
          <w:marBottom w:val="0"/>
          <w:divBdr>
            <w:top w:val="none" w:sz="0" w:space="0" w:color="auto"/>
            <w:left w:val="none" w:sz="0" w:space="0" w:color="auto"/>
            <w:bottom w:val="none" w:sz="0" w:space="0" w:color="auto"/>
            <w:right w:val="none" w:sz="0" w:space="0" w:color="auto"/>
          </w:divBdr>
        </w:div>
        <w:div w:id="1782266458">
          <w:marLeft w:val="1166"/>
          <w:marRight w:val="0"/>
          <w:marTop w:val="96"/>
          <w:marBottom w:val="0"/>
          <w:divBdr>
            <w:top w:val="none" w:sz="0" w:space="0" w:color="auto"/>
            <w:left w:val="none" w:sz="0" w:space="0" w:color="auto"/>
            <w:bottom w:val="none" w:sz="0" w:space="0" w:color="auto"/>
            <w:right w:val="none" w:sz="0" w:space="0" w:color="auto"/>
          </w:divBdr>
        </w:div>
        <w:div w:id="1857382896">
          <w:marLeft w:val="547"/>
          <w:marRight w:val="0"/>
          <w:marTop w:val="106"/>
          <w:marBottom w:val="0"/>
          <w:divBdr>
            <w:top w:val="none" w:sz="0" w:space="0" w:color="auto"/>
            <w:left w:val="none" w:sz="0" w:space="0" w:color="auto"/>
            <w:bottom w:val="none" w:sz="0" w:space="0" w:color="auto"/>
            <w:right w:val="none" w:sz="0" w:space="0" w:color="auto"/>
          </w:divBdr>
        </w:div>
        <w:div w:id="1936203737">
          <w:marLeft w:val="1800"/>
          <w:marRight w:val="0"/>
          <w:marTop w:val="82"/>
          <w:marBottom w:val="0"/>
          <w:divBdr>
            <w:top w:val="none" w:sz="0" w:space="0" w:color="auto"/>
            <w:left w:val="none" w:sz="0" w:space="0" w:color="auto"/>
            <w:bottom w:val="none" w:sz="0" w:space="0" w:color="auto"/>
            <w:right w:val="none" w:sz="0" w:space="0" w:color="auto"/>
          </w:divBdr>
        </w:div>
        <w:div w:id="2070029389">
          <w:marLeft w:val="1800"/>
          <w:marRight w:val="0"/>
          <w:marTop w:val="82"/>
          <w:marBottom w:val="0"/>
          <w:divBdr>
            <w:top w:val="none" w:sz="0" w:space="0" w:color="auto"/>
            <w:left w:val="none" w:sz="0" w:space="0" w:color="auto"/>
            <w:bottom w:val="none" w:sz="0" w:space="0" w:color="auto"/>
            <w:right w:val="none" w:sz="0" w:space="0" w:color="auto"/>
          </w:divBdr>
        </w:div>
      </w:divsChild>
    </w:div>
    <w:div w:id="639116082">
      <w:bodyDiv w:val="1"/>
      <w:marLeft w:val="0"/>
      <w:marRight w:val="0"/>
      <w:marTop w:val="0"/>
      <w:marBottom w:val="0"/>
      <w:divBdr>
        <w:top w:val="none" w:sz="0" w:space="0" w:color="auto"/>
        <w:left w:val="none" w:sz="0" w:space="0" w:color="auto"/>
        <w:bottom w:val="none" w:sz="0" w:space="0" w:color="auto"/>
        <w:right w:val="none" w:sz="0" w:space="0" w:color="auto"/>
      </w:divBdr>
    </w:div>
    <w:div w:id="640771013">
      <w:bodyDiv w:val="1"/>
      <w:marLeft w:val="0"/>
      <w:marRight w:val="0"/>
      <w:marTop w:val="0"/>
      <w:marBottom w:val="0"/>
      <w:divBdr>
        <w:top w:val="none" w:sz="0" w:space="0" w:color="auto"/>
        <w:left w:val="none" w:sz="0" w:space="0" w:color="auto"/>
        <w:bottom w:val="none" w:sz="0" w:space="0" w:color="auto"/>
        <w:right w:val="none" w:sz="0" w:space="0" w:color="auto"/>
      </w:divBdr>
    </w:div>
    <w:div w:id="642466263">
      <w:bodyDiv w:val="1"/>
      <w:marLeft w:val="0"/>
      <w:marRight w:val="0"/>
      <w:marTop w:val="0"/>
      <w:marBottom w:val="0"/>
      <w:divBdr>
        <w:top w:val="none" w:sz="0" w:space="0" w:color="auto"/>
        <w:left w:val="none" w:sz="0" w:space="0" w:color="auto"/>
        <w:bottom w:val="none" w:sz="0" w:space="0" w:color="auto"/>
        <w:right w:val="none" w:sz="0" w:space="0" w:color="auto"/>
      </w:divBdr>
    </w:div>
    <w:div w:id="643201524">
      <w:bodyDiv w:val="1"/>
      <w:marLeft w:val="0"/>
      <w:marRight w:val="0"/>
      <w:marTop w:val="0"/>
      <w:marBottom w:val="0"/>
      <w:divBdr>
        <w:top w:val="none" w:sz="0" w:space="0" w:color="auto"/>
        <w:left w:val="none" w:sz="0" w:space="0" w:color="auto"/>
        <w:bottom w:val="none" w:sz="0" w:space="0" w:color="auto"/>
        <w:right w:val="none" w:sz="0" w:space="0" w:color="auto"/>
      </w:divBdr>
    </w:div>
    <w:div w:id="643314978">
      <w:bodyDiv w:val="1"/>
      <w:marLeft w:val="0"/>
      <w:marRight w:val="0"/>
      <w:marTop w:val="0"/>
      <w:marBottom w:val="0"/>
      <w:divBdr>
        <w:top w:val="none" w:sz="0" w:space="0" w:color="auto"/>
        <w:left w:val="none" w:sz="0" w:space="0" w:color="auto"/>
        <w:bottom w:val="none" w:sz="0" w:space="0" w:color="auto"/>
        <w:right w:val="none" w:sz="0" w:space="0" w:color="auto"/>
      </w:divBdr>
    </w:div>
    <w:div w:id="645015349">
      <w:bodyDiv w:val="1"/>
      <w:marLeft w:val="0"/>
      <w:marRight w:val="0"/>
      <w:marTop w:val="0"/>
      <w:marBottom w:val="0"/>
      <w:divBdr>
        <w:top w:val="none" w:sz="0" w:space="0" w:color="auto"/>
        <w:left w:val="none" w:sz="0" w:space="0" w:color="auto"/>
        <w:bottom w:val="none" w:sz="0" w:space="0" w:color="auto"/>
        <w:right w:val="none" w:sz="0" w:space="0" w:color="auto"/>
      </w:divBdr>
    </w:div>
    <w:div w:id="645164024">
      <w:bodyDiv w:val="1"/>
      <w:marLeft w:val="0"/>
      <w:marRight w:val="0"/>
      <w:marTop w:val="0"/>
      <w:marBottom w:val="0"/>
      <w:divBdr>
        <w:top w:val="none" w:sz="0" w:space="0" w:color="auto"/>
        <w:left w:val="none" w:sz="0" w:space="0" w:color="auto"/>
        <w:bottom w:val="none" w:sz="0" w:space="0" w:color="auto"/>
        <w:right w:val="none" w:sz="0" w:space="0" w:color="auto"/>
      </w:divBdr>
    </w:div>
    <w:div w:id="645352437">
      <w:bodyDiv w:val="1"/>
      <w:marLeft w:val="0"/>
      <w:marRight w:val="0"/>
      <w:marTop w:val="0"/>
      <w:marBottom w:val="0"/>
      <w:divBdr>
        <w:top w:val="none" w:sz="0" w:space="0" w:color="auto"/>
        <w:left w:val="none" w:sz="0" w:space="0" w:color="auto"/>
        <w:bottom w:val="none" w:sz="0" w:space="0" w:color="auto"/>
        <w:right w:val="none" w:sz="0" w:space="0" w:color="auto"/>
      </w:divBdr>
    </w:div>
    <w:div w:id="645623598">
      <w:bodyDiv w:val="1"/>
      <w:marLeft w:val="0"/>
      <w:marRight w:val="0"/>
      <w:marTop w:val="0"/>
      <w:marBottom w:val="0"/>
      <w:divBdr>
        <w:top w:val="none" w:sz="0" w:space="0" w:color="auto"/>
        <w:left w:val="none" w:sz="0" w:space="0" w:color="auto"/>
        <w:bottom w:val="none" w:sz="0" w:space="0" w:color="auto"/>
        <w:right w:val="none" w:sz="0" w:space="0" w:color="auto"/>
      </w:divBdr>
    </w:div>
    <w:div w:id="645941294">
      <w:bodyDiv w:val="1"/>
      <w:marLeft w:val="0"/>
      <w:marRight w:val="0"/>
      <w:marTop w:val="0"/>
      <w:marBottom w:val="0"/>
      <w:divBdr>
        <w:top w:val="none" w:sz="0" w:space="0" w:color="auto"/>
        <w:left w:val="none" w:sz="0" w:space="0" w:color="auto"/>
        <w:bottom w:val="none" w:sz="0" w:space="0" w:color="auto"/>
        <w:right w:val="none" w:sz="0" w:space="0" w:color="auto"/>
      </w:divBdr>
      <w:divsChild>
        <w:div w:id="206140034">
          <w:marLeft w:val="1166"/>
          <w:marRight w:val="0"/>
          <w:marTop w:val="96"/>
          <w:marBottom w:val="0"/>
          <w:divBdr>
            <w:top w:val="none" w:sz="0" w:space="0" w:color="auto"/>
            <w:left w:val="none" w:sz="0" w:space="0" w:color="auto"/>
            <w:bottom w:val="none" w:sz="0" w:space="0" w:color="auto"/>
            <w:right w:val="none" w:sz="0" w:space="0" w:color="auto"/>
          </w:divBdr>
        </w:div>
        <w:div w:id="1090349675">
          <w:marLeft w:val="1166"/>
          <w:marRight w:val="0"/>
          <w:marTop w:val="96"/>
          <w:marBottom w:val="0"/>
          <w:divBdr>
            <w:top w:val="none" w:sz="0" w:space="0" w:color="auto"/>
            <w:left w:val="none" w:sz="0" w:space="0" w:color="auto"/>
            <w:bottom w:val="none" w:sz="0" w:space="0" w:color="auto"/>
            <w:right w:val="none" w:sz="0" w:space="0" w:color="auto"/>
          </w:divBdr>
        </w:div>
        <w:div w:id="1447001820">
          <w:marLeft w:val="1800"/>
          <w:marRight w:val="0"/>
          <w:marTop w:val="86"/>
          <w:marBottom w:val="0"/>
          <w:divBdr>
            <w:top w:val="none" w:sz="0" w:space="0" w:color="auto"/>
            <w:left w:val="none" w:sz="0" w:space="0" w:color="auto"/>
            <w:bottom w:val="none" w:sz="0" w:space="0" w:color="auto"/>
            <w:right w:val="none" w:sz="0" w:space="0" w:color="auto"/>
          </w:divBdr>
        </w:div>
        <w:div w:id="1604801964">
          <w:marLeft w:val="1166"/>
          <w:marRight w:val="0"/>
          <w:marTop w:val="96"/>
          <w:marBottom w:val="0"/>
          <w:divBdr>
            <w:top w:val="none" w:sz="0" w:space="0" w:color="auto"/>
            <w:left w:val="none" w:sz="0" w:space="0" w:color="auto"/>
            <w:bottom w:val="none" w:sz="0" w:space="0" w:color="auto"/>
            <w:right w:val="none" w:sz="0" w:space="0" w:color="auto"/>
          </w:divBdr>
        </w:div>
        <w:div w:id="1762868231">
          <w:marLeft w:val="1800"/>
          <w:marRight w:val="0"/>
          <w:marTop w:val="86"/>
          <w:marBottom w:val="0"/>
          <w:divBdr>
            <w:top w:val="none" w:sz="0" w:space="0" w:color="auto"/>
            <w:left w:val="none" w:sz="0" w:space="0" w:color="auto"/>
            <w:bottom w:val="none" w:sz="0" w:space="0" w:color="auto"/>
            <w:right w:val="none" w:sz="0" w:space="0" w:color="auto"/>
          </w:divBdr>
        </w:div>
        <w:div w:id="2133936477">
          <w:marLeft w:val="547"/>
          <w:marRight w:val="0"/>
          <w:marTop w:val="115"/>
          <w:marBottom w:val="0"/>
          <w:divBdr>
            <w:top w:val="none" w:sz="0" w:space="0" w:color="auto"/>
            <w:left w:val="none" w:sz="0" w:space="0" w:color="auto"/>
            <w:bottom w:val="none" w:sz="0" w:space="0" w:color="auto"/>
            <w:right w:val="none" w:sz="0" w:space="0" w:color="auto"/>
          </w:divBdr>
        </w:div>
      </w:divsChild>
    </w:div>
    <w:div w:id="647056995">
      <w:bodyDiv w:val="1"/>
      <w:marLeft w:val="0"/>
      <w:marRight w:val="0"/>
      <w:marTop w:val="0"/>
      <w:marBottom w:val="0"/>
      <w:divBdr>
        <w:top w:val="none" w:sz="0" w:space="0" w:color="auto"/>
        <w:left w:val="none" w:sz="0" w:space="0" w:color="auto"/>
        <w:bottom w:val="none" w:sz="0" w:space="0" w:color="auto"/>
        <w:right w:val="none" w:sz="0" w:space="0" w:color="auto"/>
      </w:divBdr>
    </w:div>
    <w:div w:id="647127345">
      <w:bodyDiv w:val="1"/>
      <w:marLeft w:val="0"/>
      <w:marRight w:val="0"/>
      <w:marTop w:val="0"/>
      <w:marBottom w:val="0"/>
      <w:divBdr>
        <w:top w:val="none" w:sz="0" w:space="0" w:color="auto"/>
        <w:left w:val="none" w:sz="0" w:space="0" w:color="auto"/>
        <w:bottom w:val="none" w:sz="0" w:space="0" w:color="auto"/>
        <w:right w:val="none" w:sz="0" w:space="0" w:color="auto"/>
      </w:divBdr>
    </w:div>
    <w:div w:id="647131199">
      <w:bodyDiv w:val="1"/>
      <w:marLeft w:val="0"/>
      <w:marRight w:val="0"/>
      <w:marTop w:val="0"/>
      <w:marBottom w:val="0"/>
      <w:divBdr>
        <w:top w:val="none" w:sz="0" w:space="0" w:color="auto"/>
        <w:left w:val="none" w:sz="0" w:space="0" w:color="auto"/>
        <w:bottom w:val="none" w:sz="0" w:space="0" w:color="auto"/>
        <w:right w:val="none" w:sz="0" w:space="0" w:color="auto"/>
      </w:divBdr>
    </w:div>
    <w:div w:id="648486958">
      <w:bodyDiv w:val="1"/>
      <w:marLeft w:val="0"/>
      <w:marRight w:val="0"/>
      <w:marTop w:val="0"/>
      <w:marBottom w:val="0"/>
      <w:divBdr>
        <w:top w:val="none" w:sz="0" w:space="0" w:color="auto"/>
        <w:left w:val="none" w:sz="0" w:space="0" w:color="auto"/>
        <w:bottom w:val="none" w:sz="0" w:space="0" w:color="auto"/>
        <w:right w:val="none" w:sz="0" w:space="0" w:color="auto"/>
      </w:divBdr>
    </w:div>
    <w:div w:id="649485402">
      <w:bodyDiv w:val="1"/>
      <w:marLeft w:val="0"/>
      <w:marRight w:val="0"/>
      <w:marTop w:val="0"/>
      <w:marBottom w:val="0"/>
      <w:divBdr>
        <w:top w:val="none" w:sz="0" w:space="0" w:color="auto"/>
        <w:left w:val="none" w:sz="0" w:space="0" w:color="auto"/>
        <w:bottom w:val="none" w:sz="0" w:space="0" w:color="auto"/>
        <w:right w:val="none" w:sz="0" w:space="0" w:color="auto"/>
      </w:divBdr>
    </w:div>
    <w:div w:id="649870333">
      <w:bodyDiv w:val="1"/>
      <w:marLeft w:val="0"/>
      <w:marRight w:val="0"/>
      <w:marTop w:val="0"/>
      <w:marBottom w:val="0"/>
      <w:divBdr>
        <w:top w:val="none" w:sz="0" w:space="0" w:color="auto"/>
        <w:left w:val="none" w:sz="0" w:space="0" w:color="auto"/>
        <w:bottom w:val="none" w:sz="0" w:space="0" w:color="auto"/>
        <w:right w:val="none" w:sz="0" w:space="0" w:color="auto"/>
      </w:divBdr>
    </w:div>
    <w:div w:id="650207937">
      <w:bodyDiv w:val="1"/>
      <w:marLeft w:val="0"/>
      <w:marRight w:val="0"/>
      <w:marTop w:val="0"/>
      <w:marBottom w:val="0"/>
      <w:divBdr>
        <w:top w:val="none" w:sz="0" w:space="0" w:color="auto"/>
        <w:left w:val="none" w:sz="0" w:space="0" w:color="auto"/>
        <w:bottom w:val="none" w:sz="0" w:space="0" w:color="auto"/>
        <w:right w:val="none" w:sz="0" w:space="0" w:color="auto"/>
      </w:divBdr>
    </w:div>
    <w:div w:id="652103836">
      <w:bodyDiv w:val="1"/>
      <w:marLeft w:val="0"/>
      <w:marRight w:val="0"/>
      <w:marTop w:val="0"/>
      <w:marBottom w:val="0"/>
      <w:divBdr>
        <w:top w:val="none" w:sz="0" w:space="0" w:color="auto"/>
        <w:left w:val="none" w:sz="0" w:space="0" w:color="auto"/>
        <w:bottom w:val="none" w:sz="0" w:space="0" w:color="auto"/>
        <w:right w:val="none" w:sz="0" w:space="0" w:color="auto"/>
      </w:divBdr>
    </w:div>
    <w:div w:id="653073522">
      <w:bodyDiv w:val="1"/>
      <w:marLeft w:val="0"/>
      <w:marRight w:val="0"/>
      <w:marTop w:val="0"/>
      <w:marBottom w:val="0"/>
      <w:divBdr>
        <w:top w:val="none" w:sz="0" w:space="0" w:color="auto"/>
        <w:left w:val="none" w:sz="0" w:space="0" w:color="auto"/>
        <w:bottom w:val="none" w:sz="0" w:space="0" w:color="auto"/>
        <w:right w:val="none" w:sz="0" w:space="0" w:color="auto"/>
      </w:divBdr>
    </w:div>
    <w:div w:id="653922434">
      <w:bodyDiv w:val="1"/>
      <w:marLeft w:val="0"/>
      <w:marRight w:val="0"/>
      <w:marTop w:val="0"/>
      <w:marBottom w:val="0"/>
      <w:divBdr>
        <w:top w:val="none" w:sz="0" w:space="0" w:color="auto"/>
        <w:left w:val="none" w:sz="0" w:space="0" w:color="auto"/>
        <w:bottom w:val="none" w:sz="0" w:space="0" w:color="auto"/>
        <w:right w:val="none" w:sz="0" w:space="0" w:color="auto"/>
      </w:divBdr>
    </w:div>
    <w:div w:id="654332760">
      <w:bodyDiv w:val="1"/>
      <w:marLeft w:val="0"/>
      <w:marRight w:val="0"/>
      <w:marTop w:val="0"/>
      <w:marBottom w:val="0"/>
      <w:divBdr>
        <w:top w:val="none" w:sz="0" w:space="0" w:color="auto"/>
        <w:left w:val="none" w:sz="0" w:space="0" w:color="auto"/>
        <w:bottom w:val="none" w:sz="0" w:space="0" w:color="auto"/>
        <w:right w:val="none" w:sz="0" w:space="0" w:color="auto"/>
      </w:divBdr>
    </w:div>
    <w:div w:id="655378405">
      <w:bodyDiv w:val="1"/>
      <w:marLeft w:val="0"/>
      <w:marRight w:val="0"/>
      <w:marTop w:val="0"/>
      <w:marBottom w:val="0"/>
      <w:divBdr>
        <w:top w:val="none" w:sz="0" w:space="0" w:color="auto"/>
        <w:left w:val="none" w:sz="0" w:space="0" w:color="auto"/>
        <w:bottom w:val="none" w:sz="0" w:space="0" w:color="auto"/>
        <w:right w:val="none" w:sz="0" w:space="0" w:color="auto"/>
      </w:divBdr>
    </w:div>
    <w:div w:id="655457969">
      <w:bodyDiv w:val="1"/>
      <w:marLeft w:val="0"/>
      <w:marRight w:val="0"/>
      <w:marTop w:val="0"/>
      <w:marBottom w:val="0"/>
      <w:divBdr>
        <w:top w:val="none" w:sz="0" w:space="0" w:color="auto"/>
        <w:left w:val="none" w:sz="0" w:space="0" w:color="auto"/>
        <w:bottom w:val="none" w:sz="0" w:space="0" w:color="auto"/>
        <w:right w:val="none" w:sz="0" w:space="0" w:color="auto"/>
      </w:divBdr>
    </w:div>
    <w:div w:id="655837202">
      <w:bodyDiv w:val="1"/>
      <w:marLeft w:val="0"/>
      <w:marRight w:val="0"/>
      <w:marTop w:val="0"/>
      <w:marBottom w:val="0"/>
      <w:divBdr>
        <w:top w:val="none" w:sz="0" w:space="0" w:color="auto"/>
        <w:left w:val="none" w:sz="0" w:space="0" w:color="auto"/>
        <w:bottom w:val="none" w:sz="0" w:space="0" w:color="auto"/>
        <w:right w:val="none" w:sz="0" w:space="0" w:color="auto"/>
      </w:divBdr>
    </w:div>
    <w:div w:id="656147870">
      <w:bodyDiv w:val="1"/>
      <w:marLeft w:val="0"/>
      <w:marRight w:val="0"/>
      <w:marTop w:val="0"/>
      <w:marBottom w:val="0"/>
      <w:divBdr>
        <w:top w:val="none" w:sz="0" w:space="0" w:color="auto"/>
        <w:left w:val="none" w:sz="0" w:space="0" w:color="auto"/>
        <w:bottom w:val="none" w:sz="0" w:space="0" w:color="auto"/>
        <w:right w:val="none" w:sz="0" w:space="0" w:color="auto"/>
      </w:divBdr>
    </w:div>
    <w:div w:id="656616217">
      <w:bodyDiv w:val="1"/>
      <w:marLeft w:val="0"/>
      <w:marRight w:val="0"/>
      <w:marTop w:val="0"/>
      <w:marBottom w:val="0"/>
      <w:divBdr>
        <w:top w:val="none" w:sz="0" w:space="0" w:color="auto"/>
        <w:left w:val="none" w:sz="0" w:space="0" w:color="auto"/>
        <w:bottom w:val="none" w:sz="0" w:space="0" w:color="auto"/>
        <w:right w:val="none" w:sz="0" w:space="0" w:color="auto"/>
      </w:divBdr>
    </w:div>
    <w:div w:id="659383271">
      <w:bodyDiv w:val="1"/>
      <w:marLeft w:val="0"/>
      <w:marRight w:val="0"/>
      <w:marTop w:val="0"/>
      <w:marBottom w:val="0"/>
      <w:divBdr>
        <w:top w:val="none" w:sz="0" w:space="0" w:color="auto"/>
        <w:left w:val="none" w:sz="0" w:space="0" w:color="auto"/>
        <w:bottom w:val="none" w:sz="0" w:space="0" w:color="auto"/>
        <w:right w:val="none" w:sz="0" w:space="0" w:color="auto"/>
      </w:divBdr>
      <w:divsChild>
        <w:div w:id="751200878">
          <w:marLeft w:val="547"/>
          <w:marRight w:val="0"/>
          <w:marTop w:val="0"/>
          <w:marBottom w:val="0"/>
          <w:divBdr>
            <w:top w:val="none" w:sz="0" w:space="0" w:color="auto"/>
            <w:left w:val="none" w:sz="0" w:space="0" w:color="auto"/>
            <w:bottom w:val="none" w:sz="0" w:space="0" w:color="auto"/>
            <w:right w:val="none" w:sz="0" w:space="0" w:color="auto"/>
          </w:divBdr>
        </w:div>
      </w:divsChild>
    </w:div>
    <w:div w:id="659651369">
      <w:bodyDiv w:val="1"/>
      <w:marLeft w:val="0"/>
      <w:marRight w:val="0"/>
      <w:marTop w:val="0"/>
      <w:marBottom w:val="0"/>
      <w:divBdr>
        <w:top w:val="none" w:sz="0" w:space="0" w:color="auto"/>
        <w:left w:val="none" w:sz="0" w:space="0" w:color="auto"/>
        <w:bottom w:val="none" w:sz="0" w:space="0" w:color="auto"/>
        <w:right w:val="none" w:sz="0" w:space="0" w:color="auto"/>
      </w:divBdr>
    </w:div>
    <w:div w:id="660619315">
      <w:bodyDiv w:val="1"/>
      <w:marLeft w:val="0"/>
      <w:marRight w:val="0"/>
      <w:marTop w:val="0"/>
      <w:marBottom w:val="0"/>
      <w:divBdr>
        <w:top w:val="none" w:sz="0" w:space="0" w:color="auto"/>
        <w:left w:val="none" w:sz="0" w:space="0" w:color="auto"/>
        <w:bottom w:val="none" w:sz="0" w:space="0" w:color="auto"/>
        <w:right w:val="none" w:sz="0" w:space="0" w:color="auto"/>
      </w:divBdr>
    </w:div>
    <w:div w:id="660739422">
      <w:bodyDiv w:val="1"/>
      <w:marLeft w:val="0"/>
      <w:marRight w:val="0"/>
      <w:marTop w:val="0"/>
      <w:marBottom w:val="0"/>
      <w:divBdr>
        <w:top w:val="none" w:sz="0" w:space="0" w:color="auto"/>
        <w:left w:val="none" w:sz="0" w:space="0" w:color="auto"/>
        <w:bottom w:val="none" w:sz="0" w:space="0" w:color="auto"/>
        <w:right w:val="none" w:sz="0" w:space="0" w:color="auto"/>
      </w:divBdr>
    </w:div>
    <w:div w:id="661465050">
      <w:bodyDiv w:val="1"/>
      <w:marLeft w:val="0"/>
      <w:marRight w:val="0"/>
      <w:marTop w:val="0"/>
      <w:marBottom w:val="0"/>
      <w:divBdr>
        <w:top w:val="none" w:sz="0" w:space="0" w:color="auto"/>
        <w:left w:val="none" w:sz="0" w:space="0" w:color="auto"/>
        <w:bottom w:val="none" w:sz="0" w:space="0" w:color="auto"/>
        <w:right w:val="none" w:sz="0" w:space="0" w:color="auto"/>
      </w:divBdr>
    </w:div>
    <w:div w:id="661666975">
      <w:bodyDiv w:val="1"/>
      <w:marLeft w:val="0"/>
      <w:marRight w:val="0"/>
      <w:marTop w:val="0"/>
      <w:marBottom w:val="0"/>
      <w:divBdr>
        <w:top w:val="none" w:sz="0" w:space="0" w:color="auto"/>
        <w:left w:val="none" w:sz="0" w:space="0" w:color="auto"/>
        <w:bottom w:val="none" w:sz="0" w:space="0" w:color="auto"/>
        <w:right w:val="none" w:sz="0" w:space="0" w:color="auto"/>
      </w:divBdr>
    </w:div>
    <w:div w:id="661860606">
      <w:bodyDiv w:val="1"/>
      <w:marLeft w:val="0"/>
      <w:marRight w:val="0"/>
      <w:marTop w:val="0"/>
      <w:marBottom w:val="0"/>
      <w:divBdr>
        <w:top w:val="none" w:sz="0" w:space="0" w:color="auto"/>
        <w:left w:val="none" w:sz="0" w:space="0" w:color="auto"/>
        <w:bottom w:val="none" w:sz="0" w:space="0" w:color="auto"/>
        <w:right w:val="none" w:sz="0" w:space="0" w:color="auto"/>
      </w:divBdr>
    </w:div>
    <w:div w:id="662051141">
      <w:bodyDiv w:val="1"/>
      <w:marLeft w:val="0"/>
      <w:marRight w:val="0"/>
      <w:marTop w:val="0"/>
      <w:marBottom w:val="0"/>
      <w:divBdr>
        <w:top w:val="none" w:sz="0" w:space="0" w:color="auto"/>
        <w:left w:val="none" w:sz="0" w:space="0" w:color="auto"/>
        <w:bottom w:val="none" w:sz="0" w:space="0" w:color="auto"/>
        <w:right w:val="none" w:sz="0" w:space="0" w:color="auto"/>
      </w:divBdr>
    </w:div>
    <w:div w:id="662052542">
      <w:bodyDiv w:val="1"/>
      <w:marLeft w:val="0"/>
      <w:marRight w:val="0"/>
      <w:marTop w:val="0"/>
      <w:marBottom w:val="0"/>
      <w:divBdr>
        <w:top w:val="none" w:sz="0" w:space="0" w:color="auto"/>
        <w:left w:val="none" w:sz="0" w:space="0" w:color="auto"/>
        <w:bottom w:val="none" w:sz="0" w:space="0" w:color="auto"/>
        <w:right w:val="none" w:sz="0" w:space="0" w:color="auto"/>
      </w:divBdr>
    </w:div>
    <w:div w:id="663511400">
      <w:bodyDiv w:val="1"/>
      <w:marLeft w:val="0"/>
      <w:marRight w:val="0"/>
      <w:marTop w:val="0"/>
      <w:marBottom w:val="0"/>
      <w:divBdr>
        <w:top w:val="none" w:sz="0" w:space="0" w:color="auto"/>
        <w:left w:val="none" w:sz="0" w:space="0" w:color="auto"/>
        <w:bottom w:val="none" w:sz="0" w:space="0" w:color="auto"/>
        <w:right w:val="none" w:sz="0" w:space="0" w:color="auto"/>
      </w:divBdr>
    </w:div>
    <w:div w:id="665016060">
      <w:bodyDiv w:val="1"/>
      <w:marLeft w:val="0"/>
      <w:marRight w:val="0"/>
      <w:marTop w:val="0"/>
      <w:marBottom w:val="0"/>
      <w:divBdr>
        <w:top w:val="none" w:sz="0" w:space="0" w:color="auto"/>
        <w:left w:val="none" w:sz="0" w:space="0" w:color="auto"/>
        <w:bottom w:val="none" w:sz="0" w:space="0" w:color="auto"/>
        <w:right w:val="none" w:sz="0" w:space="0" w:color="auto"/>
      </w:divBdr>
    </w:div>
    <w:div w:id="666447903">
      <w:bodyDiv w:val="1"/>
      <w:marLeft w:val="0"/>
      <w:marRight w:val="0"/>
      <w:marTop w:val="0"/>
      <w:marBottom w:val="0"/>
      <w:divBdr>
        <w:top w:val="none" w:sz="0" w:space="0" w:color="auto"/>
        <w:left w:val="none" w:sz="0" w:space="0" w:color="auto"/>
        <w:bottom w:val="none" w:sz="0" w:space="0" w:color="auto"/>
        <w:right w:val="none" w:sz="0" w:space="0" w:color="auto"/>
      </w:divBdr>
    </w:div>
    <w:div w:id="667908861">
      <w:bodyDiv w:val="1"/>
      <w:marLeft w:val="0"/>
      <w:marRight w:val="0"/>
      <w:marTop w:val="0"/>
      <w:marBottom w:val="0"/>
      <w:divBdr>
        <w:top w:val="none" w:sz="0" w:space="0" w:color="auto"/>
        <w:left w:val="none" w:sz="0" w:space="0" w:color="auto"/>
        <w:bottom w:val="none" w:sz="0" w:space="0" w:color="auto"/>
        <w:right w:val="none" w:sz="0" w:space="0" w:color="auto"/>
      </w:divBdr>
    </w:div>
    <w:div w:id="668368874">
      <w:bodyDiv w:val="1"/>
      <w:marLeft w:val="0"/>
      <w:marRight w:val="0"/>
      <w:marTop w:val="0"/>
      <w:marBottom w:val="0"/>
      <w:divBdr>
        <w:top w:val="none" w:sz="0" w:space="0" w:color="auto"/>
        <w:left w:val="none" w:sz="0" w:space="0" w:color="auto"/>
        <w:bottom w:val="none" w:sz="0" w:space="0" w:color="auto"/>
        <w:right w:val="none" w:sz="0" w:space="0" w:color="auto"/>
      </w:divBdr>
    </w:div>
    <w:div w:id="668749552">
      <w:bodyDiv w:val="1"/>
      <w:marLeft w:val="0"/>
      <w:marRight w:val="0"/>
      <w:marTop w:val="0"/>
      <w:marBottom w:val="0"/>
      <w:divBdr>
        <w:top w:val="none" w:sz="0" w:space="0" w:color="auto"/>
        <w:left w:val="none" w:sz="0" w:space="0" w:color="auto"/>
        <w:bottom w:val="none" w:sz="0" w:space="0" w:color="auto"/>
        <w:right w:val="none" w:sz="0" w:space="0" w:color="auto"/>
      </w:divBdr>
      <w:divsChild>
        <w:div w:id="290938144">
          <w:marLeft w:val="1080"/>
          <w:marRight w:val="0"/>
          <w:marTop w:val="100"/>
          <w:marBottom w:val="0"/>
          <w:divBdr>
            <w:top w:val="none" w:sz="0" w:space="0" w:color="auto"/>
            <w:left w:val="none" w:sz="0" w:space="0" w:color="auto"/>
            <w:bottom w:val="none" w:sz="0" w:space="0" w:color="auto"/>
            <w:right w:val="none" w:sz="0" w:space="0" w:color="auto"/>
          </w:divBdr>
        </w:div>
        <w:div w:id="1439565298">
          <w:marLeft w:val="360"/>
          <w:marRight w:val="0"/>
          <w:marTop w:val="200"/>
          <w:marBottom w:val="0"/>
          <w:divBdr>
            <w:top w:val="none" w:sz="0" w:space="0" w:color="auto"/>
            <w:left w:val="none" w:sz="0" w:space="0" w:color="auto"/>
            <w:bottom w:val="none" w:sz="0" w:space="0" w:color="auto"/>
            <w:right w:val="none" w:sz="0" w:space="0" w:color="auto"/>
          </w:divBdr>
        </w:div>
      </w:divsChild>
    </w:div>
    <w:div w:id="670255497">
      <w:bodyDiv w:val="1"/>
      <w:marLeft w:val="0"/>
      <w:marRight w:val="0"/>
      <w:marTop w:val="0"/>
      <w:marBottom w:val="0"/>
      <w:divBdr>
        <w:top w:val="none" w:sz="0" w:space="0" w:color="auto"/>
        <w:left w:val="none" w:sz="0" w:space="0" w:color="auto"/>
        <w:bottom w:val="none" w:sz="0" w:space="0" w:color="auto"/>
        <w:right w:val="none" w:sz="0" w:space="0" w:color="auto"/>
      </w:divBdr>
    </w:div>
    <w:div w:id="671688820">
      <w:bodyDiv w:val="1"/>
      <w:marLeft w:val="0"/>
      <w:marRight w:val="0"/>
      <w:marTop w:val="0"/>
      <w:marBottom w:val="0"/>
      <w:divBdr>
        <w:top w:val="none" w:sz="0" w:space="0" w:color="auto"/>
        <w:left w:val="none" w:sz="0" w:space="0" w:color="auto"/>
        <w:bottom w:val="none" w:sz="0" w:space="0" w:color="auto"/>
        <w:right w:val="none" w:sz="0" w:space="0" w:color="auto"/>
      </w:divBdr>
      <w:divsChild>
        <w:div w:id="973867964">
          <w:marLeft w:val="1800"/>
          <w:marRight w:val="0"/>
          <w:marTop w:val="100"/>
          <w:marBottom w:val="0"/>
          <w:divBdr>
            <w:top w:val="none" w:sz="0" w:space="0" w:color="auto"/>
            <w:left w:val="none" w:sz="0" w:space="0" w:color="auto"/>
            <w:bottom w:val="none" w:sz="0" w:space="0" w:color="auto"/>
            <w:right w:val="none" w:sz="0" w:space="0" w:color="auto"/>
          </w:divBdr>
        </w:div>
        <w:div w:id="676539471">
          <w:marLeft w:val="1800"/>
          <w:marRight w:val="0"/>
          <w:marTop w:val="100"/>
          <w:marBottom w:val="0"/>
          <w:divBdr>
            <w:top w:val="none" w:sz="0" w:space="0" w:color="auto"/>
            <w:left w:val="none" w:sz="0" w:space="0" w:color="auto"/>
            <w:bottom w:val="none" w:sz="0" w:space="0" w:color="auto"/>
            <w:right w:val="none" w:sz="0" w:space="0" w:color="auto"/>
          </w:divBdr>
        </w:div>
        <w:div w:id="104160604">
          <w:marLeft w:val="1800"/>
          <w:marRight w:val="0"/>
          <w:marTop w:val="100"/>
          <w:marBottom w:val="0"/>
          <w:divBdr>
            <w:top w:val="none" w:sz="0" w:space="0" w:color="auto"/>
            <w:left w:val="none" w:sz="0" w:space="0" w:color="auto"/>
            <w:bottom w:val="none" w:sz="0" w:space="0" w:color="auto"/>
            <w:right w:val="none" w:sz="0" w:space="0" w:color="auto"/>
          </w:divBdr>
        </w:div>
      </w:divsChild>
    </w:div>
    <w:div w:id="672612164">
      <w:bodyDiv w:val="1"/>
      <w:marLeft w:val="0"/>
      <w:marRight w:val="0"/>
      <w:marTop w:val="0"/>
      <w:marBottom w:val="0"/>
      <w:divBdr>
        <w:top w:val="none" w:sz="0" w:space="0" w:color="auto"/>
        <w:left w:val="none" w:sz="0" w:space="0" w:color="auto"/>
        <w:bottom w:val="none" w:sz="0" w:space="0" w:color="auto"/>
        <w:right w:val="none" w:sz="0" w:space="0" w:color="auto"/>
      </w:divBdr>
    </w:div>
    <w:div w:id="673262140">
      <w:bodyDiv w:val="1"/>
      <w:marLeft w:val="0"/>
      <w:marRight w:val="0"/>
      <w:marTop w:val="0"/>
      <w:marBottom w:val="0"/>
      <w:divBdr>
        <w:top w:val="none" w:sz="0" w:space="0" w:color="auto"/>
        <w:left w:val="none" w:sz="0" w:space="0" w:color="auto"/>
        <w:bottom w:val="none" w:sz="0" w:space="0" w:color="auto"/>
        <w:right w:val="none" w:sz="0" w:space="0" w:color="auto"/>
      </w:divBdr>
    </w:div>
    <w:div w:id="674379171">
      <w:bodyDiv w:val="1"/>
      <w:marLeft w:val="0"/>
      <w:marRight w:val="0"/>
      <w:marTop w:val="0"/>
      <w:marBottom w:val="0"/>
      <w:divBdr>
        <w:top w:val="none" w:sz="0" w:space="0" w:color="auto"/>
        <w:left w:val="none" w:sz="0" w:space="0" w:color="auto"/>
        <w:bottom w:val="none" w:sz="0" w:space="0" w:color="auto"/>
        <w:right w:val="none" w:sz="0" w:space="0" w:color="auto"/>
      </w:divBdr>
      <w:divsChild>
        <w:div w:id="576549364">
          <w:marLeft w:val="547"/>
          <w:marRight w:val="0"/>
          <w:marTop w:val="115"/>
          <w:marBottom w:val="0"/>
          <w:divBdr>
            <w:top w:val="none" w:sz="0" w:space="0" w:color="auto"/>
            <w:left w:val="none" w:sz="0" w:space="0" w:color="auto"/>
            <w:bottom w:val="none" w:sz="0" w:space="0" w:color="auto"/>
            <w:right w:val="none" w:sz="0" w:space="0" w:color="auto"/>
          </w:divBdr>
        </w:div>
        <w:div w:id="691494779">
          <w:marLeft w:val="1166"/>
          <w:marRight w:val="0"/>
          <w:marTop w:val="96"/>
          <w:marBottom w:val="0"/>
          <w:divBdr>
            <w:top w:val="none" w:sz="0" w:space="0" w:color="auto"/>
            <w:left w:val="none" w:sz="0" w:space="0" w:color="auto"/>
            <w:bottom w:val="none" w:sz="0" w:space="0" w:color="auto"/>
            <w:right w:val="none" w:sz="0" w:space="0" w:color="auto"/>
          </w:divBdr>
        </w:div>
        <w:div w:id="982197148">
          <w:marLeft w:val="1166"/>
          <w:marRight w:val="0"/>
          <w:marTop w:val="96"/>
          <w:marBottom w:val="0"/>
          <w:divBdr>
            <w:top w:val="none" w:sz="0" w:space="0" w:color="auto"/>
            <w:left w:val="none" w:sz="0" w:space="0" w:color="auto"/>
            <w:bottom w:val="none" w:sz="0" w:space="0" w:color="auto"/>
            <w:right w:val="none" w:sz="0" w:space="0" w:color="auto"/>
          </w:divBdr>
        </w:div>
        <w:div w:id="1405102474">
          <w:marLeft w:val="1166"/>
          <w:marRight w:val="0"/>
          <w:marTop w:val="96"/>
          <w:marBottom w:val="0"/>
          <w:divBdr>
            <w:top w:val="none" w:sz="0" w:space="0" w:color="auto"/>
            <w:left w:val="none" w:sz="0" w:space="0" w:color="auto"/>
            <w:bottom w:val="none" w:sz="0" w:space="0" w:color="auto"/>
            <w:right w:val="none" w:sz="0" w:space="0" w:color="auto"/>
          </w:divBdr>
        </w:div>
        <w:div w:id="1434549796">
          <w:marLeft w:val="1800"/>
          <w:marRight w:val="0"/>
          <w:marTop w:val="77"/>
          <w:marBottom w:val="0"/>
          <w:divBdr>
            <w:top w:val="none" w:sz="0" w:space="0" w:color="auto"/>
            <w:left w:val="none" w:sz="0" w:space="0" w:color="auto"/>
            <w:bottom w:val="none" w:sz="0" w:space="0" w:color="auto"/>
            <w:right w:val="none" w:sz="0" w:space="0" w:color="auto"/>
          </w:divBdr>
        </w:div>
        <w:div w:id="1439833202">
          <w:marLeft w:val="1166"/>
          <w:marRight w:val="0"/>
          <w:marTop w:val="96"/>
          <w:marBottom w:val="0"/>
          <w:divBdr>
            <w:top w:val="none" w:sz="0" w:space="0" w:color="auto"/>
            <w:left w:val="none" w:sz="0" w:space="0" w:color="auto"/>
            <w:bottom w:val="none" w:sz="0" w:space="0" w:color="auto"/>
            <w:right w:val="none" w:sz="0" w:space="0" w:color="auto"/>
          </w:divBdr>
        </w:div>
        <w:div w:id="1925258915">
          <w:marLeft w:val="547"/>
          <w:marRight w:val="0"/>
          <w:marTop w:val="115"/>
          <w:marBottom w:val="0"/>
          <w:divBdr>
            <w:top w:val="none" w:sz="0" w:space="0" w:color="auto"/>
            <w:left w:val="none" w:sz="0" w:space="0" w:color="auto"/>
            <w:bottom w:val="none" w:sz="0" w:space="0" w:color="auto"/>
            <w:right w:val="none" w:sz="0" w:space="0" w:color="auto"/>
          </w:divBdr>
        </w:div>
      </w:divsChild>
    </w:div>
    <w:div w:id="679165348">
      <w:bodyDiv w:val="1"/>
      <w:marLeft w:val="0"/>
      <w:marRight w:val="0"/>
      <w:marTop w:val="0"/>
      <w:marBottom w:val="0"/>
      <w:divBdr>
        <w:top w:val="none" w:sz="0" w:space="0" w:color="auto"/>
        <w:left w:val="none" w:sz="0" w:space="0" w:color="auto"/>
        <w:bottom w:val="none" w:sz="0" w:space="0" w:color="auto"/>
        <w:right w:val="none" w:sz="0" w:space="0" w:color="auto"/>
      </w:divBdr>
    </w:div>
    <w:div w:id="679235715">
      <w:bodyDiv w:val="1"/>
      <w:marLeft w:val="0"/>
      <w:marRight w:val="0"/>
      <w:marTop w:val="0"/>
      <w:marBottom w:val="0"/>
      <w:divBdr>
        <w:top w:val="none" w:sz="0" w:space="0" w:color="auto"/>
        <w:left w:val="none" w:sz="0" w:space="0" w:color="auto"/>
        <w:bottom w:val="none" w:sz="0" w:space="0" w:color="auto"/>
        <w:right w:val="none" w:sz="0" w:space="0" w:color="auto"/>
      </w:divBdr>
    </w:div>
    <w:div w:id="679283834">
      <w:bodyDiv w:val="1"/>
      <w:marLeft w:val="0"/>
      <w:marRight w:val="0"/>
      <w:marTop w:val="0"/>
      <w:marBottom w:val="0"/>
      <w:divBdr>
        <w:top w:val="none" w:sz="0" w:space="0" w:color="auto"/>
        <w:left w:val="none" w:sz="0" w:space="0" w:color="auto"/>
        <w:bottom w:val="none" w:sz="0" w:space="0" w:color="auto"/>
        <w:right w:val="none" w:sz="0" w:space="0" w:color="auto"/>
      </w:divBdr>
    </w:div>
    <w:div w:id="679813274">
      <w:bodyDiv w:val="1"/>
      <w:marLeft w:val="0"/>
      <w:marRight w:val="0"/>
      <w:marTop w:val="0"/>
      <w:marBottom w:val="0"/>
      <w:divBdr>
        <w:top w:val="none" w:sz="0" w:space="0" w:color="auto"/>
        <w:left w:val="none" w:sz="0" w:space="0" w:color="auto"/>
        <w:bottom w:val="none" w:sz="0" w:space="0" w:color="auto"/>
        <w:right w:val="none" w:sz="0" w:space="0" w:color="auto"/>
      </w:divBdr>
      <w:divsChild>
        <w:div w:id="652561032">
          <w:marLeft w:val="547"/>
          <w:marRight w:val="0"/>
          <w:marTop w:val="96"/>
          <w:marBottom w:val="0"/>
          <w:divBdr>
            <w:top w:val="none" w:sz="0" w:space="0" w:color="auto"/>
            <w:left w:val="none" w:sz="0" w:space="0" w:color="auto"/>
            <w:bottom w:val="none" w:sz="0" w:space="0" w:color="auto"/>
            <w:right w:val="none" w:sz="0" w:space="0" w:color="auto"/>
          </w:divBdr>
        </w:div>
        <w:div w:id="1594774541">
          <w:marLeft w:val="547"/>
          <w:marRight w:val="0"/>
          <w:marTop w:val="96"/>
          <w:marBottom w:val="0"/>
          <w:divBdr>
            <w:top w:val="none" w:sz="0" w:space="0" w:color="auto"/>
            <w:left w:val="none" w:sz="0" w:space="0" w:color="auto"/>
            <w:bottom w:val="none" w:sz="0" w:space="0" w:color="auto"/>
            <w:right w:val="none" w:sz="0" w:space="0" w:color="auto"/>
          </w:divBdr>
        </w:div>
      </w:divsChild>
    </w:div>
    <w:div w:id="680820548">
      <w:bodyDiv w:val="1"/>
      <w:marLeft w:val="0"/>
      <w:marRight w:val="0"/>
      <w:marTop w:val="0"/>
      <w:marBottom w:val="0"/>
      <w:divBdr>
        <w:top w:val="none" w:sz="0" w:space="0" w:color="auto"/>
        <w:left w:val="none" w:sz="0" w:space="0" w:color="auto"/>
        <w:bottom w:val="none" w:sz="0" w:space="0" w:color="auto"/>
        <w:right w:val="none" w:sz="0" w:space="0" w:color="auto"/>
      </w:divBdr>
    </w:div>
    <w:div w:id="680860847">
      <w:bodyDiv w:val="1"/>
      <w:marLeft w:val="0"/>
      <w:marRight w:val="0"/>
      <w:marTop w:val="0"/>
      <w:marBottom w:val="0"/>
      <w:divBdr>
        <w:top w:val="none" w:sz="0" w:space="0" w:color="auto"/>
        <w:left w:val="none" w:sz="0" w:space="0" w:color="auto"/>
        <w:bottom w:val="none" w:sz="0" w:space="0" w:color="auto"/>
        <w:right w:val="none" w:sz="0" w:space="0" w:color="auto"/>
      </w:divBdr>
    </w:div>
    <w:div w:id="681082510">
      <w:bodyDiv w:val="1"/>
      <w:marLeft w:val="0"/>
      <w:marRight w:val="0"/>
      <w:marTop w:val="0"/>
      <w:marBottom w:val="0"/>
      <w:divBdr>
        <w:top w:val="none" w:sz="0" w:space="0" w:color="auto"/>
        <w:left w:val="none" w:sz="0" w:space="0" w:color="auto"/>
        <w:bottom w:val="none" w:sz="0" w:space="0" w:color="auto"/>
        <w:right w:val="none" w:sz="0" w:space="0" w:color="auto"/>
      </w:divBdr>
    </w:div>
    <w:div w:id="681902835">
      <w:bodyDiv w:val="1"/>
      <w:marLeft w:val="0"/>
      <w:marRight w:val="0"/>
      <w:marTop w:val="0"/>
      <w:marBottom w:val="0"/>
      <w:divBdr>
        <w:top w:val="none" w:sz="0" w:space="0" w:color="auto"/>
        <w:left w:val="none" w:sz="0" w:space="0" w:color="auto"/>
        <w:bottom w:val="none" w:sz="0" w:space="0" w:color="auto"/>
        <w:right w:val="none" w:sz="0" w:space="0" w:color="auto"/>
      </w:divBdr>
      <w:divsChild>
        <w:div w:id="1139304813">
          <w:marLeft w:val="547"/>
          <w:marRight w:val="0"/>
          <w:marTop w:val="0"/>
          <w:marBottom w:val="0"/>
          <w:divBdr>
            <w:top w:val="none" w:sz="0" w:space="0" w:color="auto"/>
            <w:left w:val="none" w:sz="0" w:space="0" w:color="auto"/>
            <w:bottom w:val="none" w:sz="0" w:space="0" w:color="auto"/>
            <w:right w:val="none" w:sz="0" w:space="0" w:color="auto"/>
          </w:divBdr>
        </w:div>
      </w:divsChild>
    </w:div>
    <w:div w:id="682129517">
      <w:bodyDiv w:val="1"/>
      <w:marLeft w:val="0"/>
      <w:marRight w:val="0"/>
      <w:marTop w:val="0"/>
      <w:marBottom w:val="0"/>
      <w:divBdr>
        <w:top w:val="none" w:sz="0" w:space="0" w:color="auto"/>
        <w:left w:val="none" w:sz="0" w:space="0" w:color="auto"/>
        <w:bottom w:val="none" w:sz="0" w:space="0" w:color="auto"/>
        <w:right w:val="none" w:sz="0" w:space="0" w:color="auto"/>
      </w:divBdr>
    </w:div>
    <w:div w:id="682393355">
      <w:bodyDiv w:val="1"/>
      <w:marLeft w:val="0"/>
      <w:marRight w:val="0"/>
      <w:marTop w:val="0"/>
      <w:marBottom w:val="0"/>
      <w:divBdr>
        <w:top w:val="none" w:sz="0" w:space="0" w:color="auto"/>
        <w:left w:val="none" w:sz="0" w:space="0" w:color="auto"/>
        <w:bottom w:val="none" w:sz="0" w:space="0" w:color="auto"/>
        <w:right w:val="none" w:sz="0" w:space="0" w:color="auto"/>
      </w:divBdr>
    </w:div>
    <w:div w:id="682904411">
      <w:bodyDiv w:val="1"/>
      <w:marLeft w:val="0"/>
      <w:marRight w:val="0"/>
      <w:marTop w:val="0"/>
      <w:marBottom w:val="0"/>
      <w:divBdr>
        <w:top w:val="none" w:sz="0" w:space="0" w:color="auto"/>
        <w:left w:val="none" w:sz="0" w:space="0" w:color="auto"/>
        <w:bottom w:val="none" w:sz="0" w:space="0" w:color="auto"/>
        <w:right w:val="none" w:sz="0" w:space="0" w:color="auto"/>
      </w:divBdr>
    </w:div>
    <w:div w:id="683284498">
      <w:bodyDiv w:val="1"/>
      <w:marLeft w:val="0"/>
      <w:marRight w:val="0"/>
      <w:marTop w:val="0"/>
      <w:marBottom w:val="0"/>
      <w:divBdr>
        <w:top w:val="none" w:sz="0" w:space="0" w:color="auto"/>
        <w:left w:val="none" w:sz="0" w:space="0" w:color="auto"/>
        <w:bottom w:val="none" w:sz="0" w:space="0" w:color="auto"/>
        <w:right w:val="none" w:sz="0" w:space="0" w:color="auto"/>
      </w:divBdr>
    </w:div>
    <w:div w:id="683674318">
      <w:bodyDiv w:val="1"/>
      <w:marLeft w:val="0"/>
      <w:marRight w:val="0"/>
      <w:marTop w:val="0"/>
      <w:marBottom w:val="0"/>
      <w:divBdr>
        <w:top w:val="none" w:sz="0" w:space="0" w:color="auto"/>
        <w:left w:val="none" w:sz="0" w:space="0" w:color="auto"/>
        <w:bottom w:val="none" w:sz="0" w:space="0" w:color="auto"/>
        <w:right w:val="none" w:sz="0" w:space="0" w:color="auto"/>
      </w:divBdr>
    </w:div>
    <w:div w:id="685135440">
      <w:bodyDiv w:val="1"/>
      <w:marLeft w:val="0"/>
      <w:marRight w:val="0"/>
      <w:marTop w:val="0"/>
      <w:marBottom w:val="0"/>
      <w:divBdr>
        <w:top w:val="none" w:sz="0" w:space="0" w:color="auto"/>
        <w:left w:val="none" w:sz="0" w:space="0" w:color="auto"/>
        <w:bottom w:val="none" w:sz="0" w:space="0" w:color="auto"/>
        <w:right w:val="none" w:sz="0" w:space="0" w:color="auto"/>
      </w:divBdr>
    </w:div>
    <w:div w:id="686293641">
      <w:bodyDiv w:val="1"/>
      <w:marLeft w:val="0"/>
      <w:marRight w:val="0"/>
      <w:marTop w:val="0"/>
      <w:marBottom w:val="0"/>
      <w:divBdr>
        <w:top w:val="none" w:sz="0" w:space="0" w:color="auto"/>
        <w:left w:val="none" w:sz="0" w:space="0" w:color="auto"/>
        <w:bottom w:val="none" w:sz="0" w:space="0" w:color="auto"/>
        <w:right w:val="none" w:sz="0" w:space="0" w:color="auto"/>
      </w:divBdr>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686759834">
      <w:bodyDiv w:val="1"/>
      <w:marLeft w:val="0"/>
      <w:marRight w:val="0"/>
      <w:marTop w:val="0"/>
      <w:marBottom w:val="0"/>
      <w:divBdr>
        <w:top w:val="none" w:sz="0" w:space="0" w:color="auto"/>
        <w:left w:val="none" w:sz="0" w:space="0" w:color="auto"/>
        <w:bottom w:val="none" w:sz="0" w:space="0" w:color="auto"/>
        <w:right w:val="none" w:sz="0" w:space="0" w:color="auto"/>
      </w:divBdr>
    </w:div>
    <w:div w:id="688602100">
      <w:bodyDiv w:val="1"/>
      <w:marLeft w:val="0"/>
      <w:marRight w:val="0"/>
      <w:marTop w:val="0"/>
      <w:marBottom w:val="0"/>
      <w:divBdr>
        <w:top w:val="none" w:sz="0" w:space="0" w:color="auto"/>
        <w:left w:val="none" w:sz="0" w:space="0" w:color="auto"/>
        <w:bottom w:val="none" w:sz="0" w:space="0" w:color="auto"/>
        <w:right w:val="none" w:sz="0" w:space="0" w:color="auto"/>
      </w:divBdr>
    </w:div>
    <w:div w:id="688719353">
      <w:bodyDiv w:val="1"/>
      <w:marLeft w:val="0"/>
      <w:marRight w:val="0"/>
      <w:marTop w:val="0"/>
      <w:marBottom w:val="0"/>
      <w:divBdr>
        <w:top w:val="none" w:sz="0" w:space="0" w:color="auto"/>
        <w:left w:val="none" w:sz="0" w:space="0" w:color="auto"/>
        <w:bottom w:val="none" w:sz="0" w:space="0" w:color="auto"/>
        <w:right w:val="none" w:sz="0" w:space="0" w:color="auto"/>
      </w:divBdr>
      <w:divsChild>
        <w:div w:id="132720614">
          <w:marLeft w:val="1166"/>
          <w:marRight w:val="0"/>
          <w:marTop w:val="96"/>
          <w:marBottom w:val="0"/>
          <w:divBdr>
            <w:top w:val="none" w:sz="0" w:space="0" w:color="auto"/>
            <w:left w:val="none" w:sz="0" w:space="0" w:color="auto"/>
            <w:bottom w:val="none" w:sz="0" w:space="0" w:color="auto"/>
            <w:right w:val="none" w:sz="0" w:space="0" w:color="auto"/>
          </w:divBdr>
        </w:div>
        <w:div w:id="1438674107">
          <w:marLeft w:val="547"/>
          <w:marRight w:val="0"/>
          <w:marTop w:val="115"/>
          <w:marBottom w:val="0"/>
          <w:divBdr>
            <w:top w:val="none" w:sz="0" w:space="0" w:color="auto"/>
            <w:left w:val="none" w:sz="0" w:space="0" w:color="auto"/>
            <w:bottom w:val="none" w:sz="0" w:space="0" w:color="auto"/>
            <w:right w:val="none" w:sz="0" w:space="0" w:color="auto"/>
          </w:divBdr>
        </w:div>
      </w:divsChild>
    </w:div>
    <w:div w:id="689375738">
      <w:bodyDiv w:val="1"/>
      <w:marLeft w:val="0"/>
      <w:marRight w:val="0"/>
      <w:marTop w:val="0"/>
      <w:marBottom w:val="0"/>
      <w:divBdr>
        <w:top w:val="none" w:sz="0" w:space="0" w:color="auto"/>
        <w:left w:val="none" w:sz="0" w:space="0" w:color="auto"/>
        <w:bottom w:val="none" w:sz="0" w:space="0" w:color="auto"/>
        <w:right w:val="none" w:sz="0" w:space="0" w:color="auto"/>
      </w:divBdr>
      <w:divsChild>
        <w:div w:id="68575333">
          <w:marLeft w:val="1166"/>
          <w:marRight w:val="0"/>
          <w:marTop w:val="96"/>
          <w:marBottom w:val="0"/>
          <w:divBdr>
            <w:top w:val="none" w:sz="0" w:space="0" w:color="auto"/>
            <w:left w:val="none" w:sz="0" w:space="0" w:color="auto"/>
            <w:bottom w:val="none" w:sz="0" w:space="0" w:color="auto"/>
            <w:right w:val="none" w:sz="0" w:space="0" w:color="auto"/>
          </w:divBdr>
        </w:div>
        <w:div w:id="371196672">
          <w:marLeft w:val="1166"/>
          <w:marRight w:val="0"/>
          <w:marTop w:val="96"/>
          <w:marBottom w:val="0"/>
          <w:divBdr>
            <w:top w:val="none" w:sz="0" w:space="0" w:color="auto"/>
            <w:left w:val="none" w:sz="0" w:space="0" w:color="auto"/>
            <w:bottom w:val="none" w:sz="0" w:space="0" w:color="auto"/>
            <w:right w:val="none" w:sz="0" w:space="0" w:color="auto"/>
          </w:divBdr>
        </w:div>
      </w:divsChild>
    </w:div>
    <w:div w:id="689456537">
      <w:bodyDiv w:val="1"/>
      <w:marLeft w:val="0"/>
      <w:marRight w:val="0"/>
      <w:marTop w:val="0"/>
      <w:marBottom w:val="0"/>
      <w:divBdr>
        <w:top w:val="none" w:sz="0" w:space="0" w:color="auto"/>
        <w:left w:val="none" w:sz="0" w:space="0" w:color="auto"/>
        <w:bottom w:val="none" w:sz="0" w:space="0" w:color="auto"/>
        <w:right w:val="none" w:sz="0" w:space="0" w:color="auto"/>
      </w:divBdr>
      <w:divsChild>
        <w:div w:id="302080043">
          <w:marLeft w:val="1166"/>
          <w:marRight w:val="0"/>
          <w:marTop w:val="96"/>
          <w:marBottom w:val="0"/>
          <w:divBdr>
            <w:top w:val="none" w:sz="0" w:space="0" w:color="auto"/>
            <w:left w:val="none" w:sz="0" w:space="0" w:color="auto"/>
            <w:bottom w:val="none" w:sz="0" w:space="0" w:color="auto"/>
            <w:right w:val="none" w:sz="0" w:space="0" w:color="auto"/>
          </w:divBdr>
        </w:div>
        <w:div w:id="986863318">
          <w:marLeft w:val="547"/>
          <w:marRight w:val="0"/>
          <w:marTop w:val="115"/>
          <w:marBottom w:val="0"/>
          <w:divBdr>
            <w:top w:val="none" w:sz="0" w:space="0" w:color="auto"/>
            <w:left w:val="none" w:sz="0" w:space="0" w:color="auto"/>
            <w:bottom w:val="none" w:sz="0" w:space="0" w:color="auto"/>
            <w:right w:val="none" w:sz="0" w:space="0" w:color="auto"/>
          </w:divBdr>
        </w:div>
        <w:div w:id="1472555920">
          <w:marLeft w:val="2520"/>
          <w:marRight w:val="0"/>
          <w:marTop w:val="58"/>
          <w:marBottom w:val="0"/>
          <w:divBdr>
            <w:top w:val="none" w:sz="0" w:space="0" w:color="auto"/>
            <w:left w:val="none" w:sz="0" w:space="0" w:color="auto"/>
            <w:bottom w:val="none" w:sz="0" w:space="0" w:color="auto"/>
            <w:right w:val="none" w:sz="0" w:space="0" w:color="auto"/>
          </w:divBdr>
        </w:div>
        <w:div w:id="1833521053">
          <w:marLeft w:val="1800"/>
          <w:marRight w:val="0"/>
          <w:marTop w:val="77"/>
          <w:marBottom w:val="0"/>
          <w:divBdr>
            <w:top w:val="none" w:sz="0" w:space="0" w:color="auto"/>
            <w:left w:val="none" w:sz="0" w:space="0" w:color="auto"/>
            <w:bottom w:val="none" w:sz="0" w:space="0" w:color="auto"/>
            <w:right w:val="none" w:sz="0" w:space="0" w:color="auto"/>
          </w:divBdr>
        </w:div>
      </w:divsChild>
    </w:div>
    <w:div w:id="690228208">
      <w:bodyDiv w:val="1"/>
      <w:marLeft w:val="0"/>
      <w:marRight w:val="0"/>
      <w:marTop w:val="0"/>
      <w:marBottom w:val="0"/>
      <w:divBdr>
        <w:top w:val="none" w:sz="0" w:space="0" w:color="auto"/>
        <w:left w:val="none" w:sz="0" w:space="0" w:color="auto"/>
        <w:bottom w:val="none" w:sz="0" w:space="0" w:color="auto"/>
        <w:right w:val="none" w:sz="0" w:space="0" w:color="auto"/>
      </w:divBdr>
    </w:div>
    <w:div w:id="692267781">
      <w:bodyDiv w:val="1"/>
      <w:marLeft w:val="0"/>
      <w:marRight w:val="0"/>
      <w:marTop w:val="0"/>
      <w:marBottom w:val="0"/>
      <w:divBdr>
        <w:top w:val="none" w:sz="0" w:space="0" w:color="auto"/>
        <w:left w:val="none" w:sz="0" w:space="0" w:color="auto"/>
        <w:bottom w:val="none" w:sz="0" w:space="0" w:color="auto"/>
        <w:right w:val="none" w:sz="0" w:space="0" w:color="auto"/>
      </w:divBdr>
    </w:div>
    <w:div w:id="692612096">
      <w:bodyDiv w:val="1"/>
      <w:marLeft w:val="0"/>
      <w:marRight w:val="0"/>
      <w:marTop w:val="0"/>
      <w:marBottom w:val="0"/>
      <w:divBdr>
        <w:top w:val="none" w:sz="0" w:space="0" w:color="auto"/>
        <w:left w:val="none" w:sz="0" w:space="0" w:color="auto"/>
        <w:bottom w:val="none" w:sz="0" w:space="0" w:color="auto"/>
        <w:right w:val="none" w:sz="0" w:space="0" w:color="auto"/>
      </w:divBdr>
    </w:div>
    <w:div w:id="692919298">
      <w:bodyDiv w:val="1"/>
      <w:marLeft w:val="0"/>
      <w:marRight w:val="0"/>
      <w:marTop w:val="0"/>
      <w:marBottom w:val="0"/>
      <w:divBdr>
        <w:top w:val="none" w:sz="0" w:space="0" w:color="auto"/>
        <w:left w:val="none" w:sz="0" w:space="0" w:color="auto"/>
        <w:bottom w:val="none" w:sz="0" w:space="0" w:color="auto"/>
        <w:right w:val="none" w:sz="0" w:space="0" w:color="auto"/>
      </w:divBdr>
    </w:div>
    <w:div w:id="693191097">
      <w:bodyDiv w:val="1"/>
      <w:marLeft w:val="0"/>
      <w:marRight w:val="0"/>
      <w:marTop w:val="0"/>
      <w:marBottom w:val="0"/>
      <w:divBdr>
        <w:top w:val="none" w:sz="0" w:space="0" w:color="auto"/>
        <w:left w:val="none" w:sz="0" w:space="0" w:color="auto"/>
        <w:bottom w:val="none" w:sz="0" w:space="0" w:color="auto"/>
        <w:right w:val="none" w:sz="0" w:space="0" w:color="auto"/>
      </w:divBdr>
      <w:divsChild>
        <w:div w:id="148599432">
          <w:marLeft w:val="547"/>
          <w:marRight w:val="0"/>
          <w:marTop w:val="115"/>
          <w:marBottom w:val="0"/>
          <w:divBdr>
            <w:top w:val="none" w:sz="0" w:space="0" w:color="auto"/>
            <w:left w:val="none" w:sz="0" w:space="0" w:color="auto"/>
            <w:bottom w:val="none" w:sz="0" w:space="0" w:color="auto"/>
            <w:right w:val="none" w:sz="0" w:space="0" w:color="auto"/>
          </w:divBdr>
        </w:div>
        <w:div w:id="178007084">
          <w:marLeft w:val="1166"/>
          <w:marRight w:val="0"/>
          <w:marTop w:val="96"/>
          <w:marBottom w:val="0"/>
          <w:divBdr>
            <w:top w:val="none" w:sz="0" w:space="0" w:color="auto"/>
            <w:left w:val="none" w:sz="0" w:space="0" w:color="auto"/>
            <w:bottom w:val="none" w:sz="0" w:space="0" w:color="auto"/>
            <w:right w:val="none" w:sz="0" w:space="0" w:color="auto"/>
          </w:divBdr>
        </w:div>
        <w:div w:id="827862277">
          <w:marLeft w:val="1166"/>
          <w:marRight w:val="0"/>
          <w:marTop w:val="96"/>
          <w:marBottom w:val="0"/>
          <w:divBdr>
            <w:top w:val="none" w:sz="0" w:space="0" w:color="auto"/>
            <w:left w:val="none" w:sz="0" w:space="0" w:color="auto"/>
            <w:bottom w:val="none" w:sz="0" w:space="0" w:color="auto"/>
            <w:right w:val="none" w:sz="0" w:space="0" w:color="auto"/>
          </w:divBdr>
        </w:div>
        <w:div w:id="1258563583">
          <w:marLeft w:val="547"/>
          <w:marRight w:val="0"/>
          <w:marTop w:val="115"/>
          <w:marBottom w:val="0"/>
          <w:divBdr>
            <w:top w:val="none" w:sz="0" w:space="0" w:color="auto"/>
            <w:left w:val="none" w:sz="0" w:space="0" w:color="auto"/>
            <w:bottom w:val="none" w:sz="0" w:space="0" w:color="auto"/>
            <w:right w:val="none" w:sz="0" w:space="0" w:color="auto"/>
          </w:divBdr>
        </w:div>
      </w:divsChild>
    </w:div>
    <w:div w:id="693387484">
      <w:bodyDiv w:val="1"/>
      <w:marLeft w:val="0"/>
      <w:marRight w:val="0"/>
      <w:marTop w:val="0"/>
      <w:marBottom w:val="0"/>
      <w:divBdr>
        <w:top w:val="none" w:sz="0" w:space="0" w:color="auto"/>
        <w:left w:val="none" w:sz="0" w:space="0" w:color="auto"/>
        <w:bottom w:val="none" w:sz="0" w:space="0" w:color="auto"/>
        <w:right w:val="none" w:sz="0" w:space="0" w:color="auto"/>
      </w:divBdr>
    </w:div>
    <w:div w:id="693461303">
      <w:bodyDiv w:val="1"/>
      <w:marLeft w:val="0"/>
      <w:marRight w:val="0"/>
      <w:marTop w:val="0"/>
      <w:marBottom w:val="0"/>
      <w:divBdr>
        <w:top w:val="none" w:sz="0" w:space="0" w:color="auto"/>
        <w:left w:val="none" w:sz="0" w:space="0" w:color="auto"/>
        <w:bottom w:val="none" w:sz="0" w:space="0" w:color="auto"/>
        <w:right w:val="none" w:sz="0" w:space="0" w:color="auto"/>
      </w:divBdr>
    </w:div>
    <w:div w:id="693574753">
      <w:bodyDiv w:val="1"/>
      <w:marLeft w:val="0"/>
      <w:marRight w:val="0"/>
      <w:marTop w:val="0"/>
      <w:marBottom w:val="0"/>
      <w:divBdr>
        <w:top w:val="none" w:sz="0" w:space="0" w:color="auto"/>
        <w:left w:val="none" w:sz="0" w:space="0" w:color="auto"/>
        <w:bottom w:val="none" w:sz="0" w:space="0" w:color="auto"/>
        <w:right w:val="none" w:sz="0" w:space="0" w:color="auto"/>
      </w:divBdr>
    </w:div>
    <w:div w:id="698093574">
      <w:bodyDiv w:val="1"/>
      <w:marLeft w:val="0"/>
      <w:marRight w:val="0"/>
      <w:marTop w:val="0"/>
      <w:marBottom w:val="0"/>
      <w:divBdr>
        <w:top w:val="none" w:sz="0" w:space="0" w:color="auto"/>
        <w:left w:val="none" w:sz="0" w:space="0" w:color="auto"/>
        <w:bottom w:val="none" w:sz="0" w:space="0" w:color="auto"/>
        <w:right w:val="none" w:sz="0" w:space="0" w:color="auto"/>
      </w:divBdr>
    </w:div>
    <w:div w:id="699428740">
      <w:bodyDiv w:val="1"/>
      <w:marLeft w:val="0"/>
      <w:marRight w:val="0"/>
      <w:marTop w:val="0"/>
      <w:marBottom w:val="0"/>
      <w:divBdr>
        <w:top w:val="none" w:sz="0" w:space="0" w:color="auto"/>
        <w:left w:val="none" w:sz="0" w:space="0" w:color="auto"/>
        <w:bottom w:val="none" w:sz="0" w:space="0" w:color="auto"/>
        <w:right w:val="none" w:sz="0" w:space="0" w:color="auto"/>
      </w:divBdr>
    </w:div>
    <w:div w:id="700203064">
      <w:bodyDiv w:val="1"/>
      <w:marLeft w:val="0"/>
      <w:marRight w:val="0"/>
      <w:marTop w:val="0"/>
      <w:marBottom w:val="0"/>
      <w:divBdr>
        <w:top w:val="none" w:sz="0" w:space="0" w:color="auto"/>
        <w:left w:val="none" w:sz="0" w:space="0" w:color="auto"/>
        <w:bottom w:val="none" w:sz="0" w:space="0" w:color="auto"/>
        <w:right w:val="none" w:sz="0" w:space="0" w:color="auto"/>
      </w:divBdr>
    </w:div>
    <w:div w:id="701133867">
      <w:bodyDiv w:val="1"/>
      <w:marLeft w:val="0"/>
      <w:marRight w:val="0"/>
      <w:marTop w:val="0"/>
      <w:marBottom w:val="0"/>
      <w:divBdr>
        <w:top w:val="none" w:sz="0" w:space="0" w:color="auto"/>
        <w:left w:val="none" w:sz="0" w:space="0" w:color="auto"/>
        <w:bottom w:val="none" w:sz="0" w:space="0" w:color="auto"/>
        <w:right w:val="none" w:sz="0" w:space="0" w:color="auto"/>
      </w:divBdr>
    </w:div>
    <w:div w:id="702439989">
      <w:bodyDiv w:val="1"/>
      <w:marLeft w:val="0"/>
      <w:marRight w:val="0"/>
      <w:marTop w:val="0"/>
      <w:marBottom w:val="0"/>
      <w:divBdr>
        <w:top w:val="none" w:sz="0" w:space="0" w:color="auto"/>
        <w:left w:val="none" w:sz="0" w:space="0" w:color="auto"/>
        <w:bottom w:val="none" w:sz="0" w:space="0" w:color="auto"/>
        <w:right w:val="none" w:sz="0" w:space="0" w:color="auto"/>
      </w:divBdr>
      <w:divsChild>
        <w:div w:id="302194308">
          <w:marLeft w:val="360"/>
          <w:marRight w:val="0"/>
          <w:marTop w:val="120"/>
          <w:marBottom w:val="0"/>
          <w:divBdr>
            <w:top w:val="none" w:sz="0" w:space="0" w:color="auto"/>
            <w:left w:val="none" w:sz="0" w:space="0" w:color="auto"/>
            <w:bottom w:val="none" w:sz="0" w:space="0" w:color="auto"/>
            <w:right w:val="none" w:sz="0" w:space="0" w:color="auto"/>
          </w:divBdr>
        </w:div>
        <w:div w:id="842210874">
          <w:marLeft w:val="1080"/>
          <w:marRight w:val="0"/>
          <w:marTop w:val="120"/>
          <w:marBottom w:val="0"/>
          <w:divBdr>
            <w:top w:val="none" w:sz="0" w:space="0" w:color="auto"/>
            <w:left w:val="none" w:sz="0" w:space="0" w:color="auto"/>
            <w:bottom w:val="none" w:sz="0" w:space="0" w:color="auto"/>
            <w:right w:val="none" w:sz="0" w:space="0" w:color="auto"/>
          </w:divBdr>
        </w:div>
        <w:div w:id="1794058440">
          <w:marLeft w:val="1080"/>
          <w:marRight w:val="0"/>
          <w:marTop w:val="120"/>
          <w:marBottom w:val="0"/>
          <w:divBdr>
            <w:top w:val="none" w:sz="0" w:space="0" w:color="auto"/>
            <w:left w:val="none" w:sz="0" w:space="0" w:color="auto"/>
            <w:bottom w:val="none" w:sz="0" w:space="0" w:color="auto"/>
            <w:right w:val="none" w:sz="0" w:space="0" w:color="auto"/>
          </w:divBdr>
        </w:div>
      </w:divsChild>
    </w:div>
    <w:div w:id="702902418">
      <w:bodyDiv w:val="1"/>
      <w:marLeft w:val="0"/>
      <w:marRight w:val="0"/>
      <w:marTop w:val="0"/>
      <w:marBottom w:val="0"/>
      <w:divBdr>
        <w:top w:val="none" w:sz="0" w:space="0" w:color="auto"/>
        <w:left w:val="none" w:sz="0" w:space="0" w:color="auto"/>
        <w:bottom w:val="none" w:sz="0" w:space="0" w:color="auto"/>
        <w:right w:val="none" w:sz="0" w:space="0" w:color="auto"/>
      </w:divBdr>
      <w:divsChild>
        <w:div w:id="360785960">
          <w:marLeft w:val="547"/>
          <w:marRight w:val="0"/>
          <w:marTop w:val="134"/>
          <w:marBottom w:val="0"/>
          <w:divBdr>
            <w:top w:val="none" w:sz="0" w:space="0" w:color="auto"/>
            <w:left w:val="none" w:sz="0" w:space="0" w:color="auto"/>
            <w:bottom w:val="none" w:sz="0" w:space="0" w:color="auto"/>
            <w:right w:val="none" w:sz="0" w:space="0" w:color="auto"/>
          </w:divBdr>
        </w:div>
      </w:divsChild>
    </w:div>
    <w:div w:id="703091955">
      <w:bodyDiv w:val="1"/>
      <w:marLeft w:val="0"/>
      <w:marRight w:val="0"/>
      <w:marTop w:val="0"/>
      <w:marBottom w:val="0"/>
      <w:divBdr>
        <w:top w:val="none" w:sz="0" w:space="0" w:color="auto"/>
        <w:left w:val="none" w:sz="0" w:space="0" w:color="auto"/>
        <w:bottom w:val="none" w:sz="0" w:space="0" w:color="auto"/>
        <w:right w:val="none" w:sz="0" w:space="0" w:color="auto"/>
      </w:divBdr>
    </w:div>
    <w:div w:id="703291852">
      <w:bodyDiv w:val="1"/>
      <w:marLeft w:val="0"/>
      <w:marRight w:val="0"/>
      <w:marTop w:val="0"/>
      <w:marBottom w:val="0"/>
      <w:divBdr>
        <w:top w:val="none" w:sz="0" w:space="0" w:color="auto"/>
        <w:left w:val="none" w:sz="0" w:space="0" w:color="auto"/>
        <w:bottom w:val="none" w:sz="0" w:space="0" w:color="auto"/>
        <w:right w:val="none" w:sz="0" w:space="0" w:color="auto"/>
      </w:divBdr>
      <w:divsChild>
        <w:div w:id="236943713">
          <w:marLeft w:val="1166"/>
          <w:marRight w:val="0"/>
          <w:marTop w:val="96"/>
          <w:marBottom w:val="0"/>
          <w:divBdr>
            <w:top w:val="none" w:sz="0" w:space="0" w:color="auto"/>
            <w:left w:val="none" w:sz="0" w:space="0" w:color="auto"/>
            <w:bottom w:val="none" w:sz="0" w:space="0" w:color="auto"/>
            <w:right w:val="none" w:sz="0" w:space="0" w:color="auto"/>
          </w:divBdr>
        </w:div>
        <w:div w:id="1254052827">
          <w:marLeft w:val="1166"/>
          <w:marRight w:val="0"/>
          <w:marTop w:val="96"/>
          <w:marBottom w:val="0"/>
          <w:divBdr>
            <w:top w:val="none" w:sz="0" w:space="0" w:color="auto"/>
            <w:left w:val="none" w:sz="0" w:space="0" w:color="auto"/>
            <w:bottom w:val="none" w:sz="0" w:space="0" w:color="auto"/>
            <w:right w:val="none" w:sz="0" w:space="0" w:color="auto"/>
          </w:divBdr>
        </w:div>
        <w:div w:id="1640113286">
          <w:marLeft w:val="547"/>
          <w:marRight w:val="0"/>
          <w:marTop w:val="115"/>
          <w:marBottom w:val="0"/>
          <w:divBdr>
            <w:top w:val="none" w:sz="0" w:space="0" w:color="auto"/>
            <w:left w:val="none" w:sz="0" w:space="0" w:color="auto"/>
            <w:bottom w:val="none" w:sz="0" w:space="0" w:color="auto"/>
            <w:right w:val="none" w:sz="0" w:space="0" w:color="auto"/>
          </w:divBdr>
        </w:div>
      </w:divsChild>
    </w:div>
    <w:div w:id="704253636">
      <w:bodyDiv w:val="1"/>
      <w:marLeft w:val="0"/>
      <w:marRight w:val="0"/>
      <w:marTop w:val="0"/>
      <w:marBottom w:val="0"/>
      <w:divBdr>
        <w:top w:val="none" w:sz="0" w:space="0" w:color="auto"/>
        <w:left w:val="none" w:sz="0" w:space="0" w:color="auto"/>
        <w:bottom w:val="none" w:sz="0" w:space="0" w:color="auto"/>
        <w:right w:val="none" w:sz="0" w:space="0" w:color="auto"/>
      </w:divBdr>
      <w:divsChild>
        <w:div w:id="455180114">
          <w:marLeft w:val="1800"/>
          <w:marRight w:val="0"/>
          <w:marTop w:val="96"/>
          <w:marBottom w:val="0"/>
          <w:divBdr>
            <w:top w:val="none" w:sz="0" w:space="0" w:color="auto"/>
            <w:left w:val="none" w:sz="0" w:space="0" w:color="auto"/>
            <w:bottom w:val="none" w:sz="0" w:space="0" w:color="auto"/>
            <w:right w:val="none" w:sz="0" w:space="0" w:color="auto"/>
          </w:divBdr>
        </w:div>
        <w:div w:id="575629772">
          <w:marLeft w:val="547"/>
          <w:marRight w:val="0"/>
          <w:marTop w:val="134"/>
          <w:marBottom w:val="0"/>
          <w:divBdr>
            <w:top w:val="none" w:sz="0" w:space="0" w:color="auto"/>
            <w:left w:val="none" w:sz="0" w:space="0" w:color="auto"/>
            <w:bottom w:val="none" w:sz="0" w:space="0" w:color="auto"/>
            <w:right w:val="none" w:sz="0" w:space="0" w:color="auto"/>
          </w:divBdr>
        </w:div>
        <w:div w:id="842085435">
          <w:marLeft w:val="1800"/>
          <w:marRight w:val="0"/>
          <w:marTop w:val="96"/>
          <w:marBottom w:val="0"/>
          <w:divBdr>
            <w:top w:val="none" w:sz="0" w:space="0" w:color="auto"/>
            <w:left w:val="none" w:sz="0" w:space="0" w:color="auto"/>
            <w:bottom w:val="none" w:sz="0" w:space="0" w:color="auto"/>
            <w:right w:val="none" w:sz="0" w:space="0" w:color="auto"/>
          </w:divBdr>
        </w:div>
        <w:div w:id="1173688301">
          <w:marLeft w:val="1800"/>
          <w:marRight w:val="0"/>
          <w:marTop w:val="96"/>
          <w:marBottom w:val="0"/>
          <w:divBdr>
            <w:top w:val="none" w:sz="0" w:space="0" w:color="auto"/>
            <w:left w:val="none" w:sz="0" w:space="0" w:color="auto"/>
            <w:bottom w:val="none" w:sz="0" w:space="0" w:color="auto"/>
            <w:right w:val="none" w:sz="0" w:space="0" w:color="auto"/>
          </w:divBdr>
        </w:div>
        <w:div w:id="1581257682">
          <w:marLeft w:val="1166"/>
          <w:marRight w:val="0"/>
          <w:marTop w:val="115"/>
          <w:marBottom w:val="0"/>
          <w:divBdr>
            <w:top w:val="none" w:sz="0" w:space="0" w:color="auto"/>
            <w:left w:val="none" w:sz="0" w:space="0" w:color="auto"/>
            <w:bottom w:val="none" w:sz="0" w:space="0" w:color="auto"/>
            <w:right w:val="none" w:sz="0" w:space="0" w:color="auto"/>
          </w:divBdr>
        </w:div>
        <w:div w:id="1659574688">
          <w:marLeft w:val="1166"/>
          <w:marRight w:val="0"/>
          <w:marTop w:val="115"/>
          <w:marBottom w:val="0"/>
          <w:divBdr>
            <w:top w:val="none" w:sz="0" w:space="0" w:color="auto"/>
            <w:left w:val="none" w:sz="0" w:space="0" w:color="auto"/>
            <w:bottom w:val="none" w:sz="0" w:space="0" w:color="auto"/>
            <w:right w:val="none" w:sz="0" w:space="0" w:color="auto"/>
          </w:divBdr>
        </w:div>
        <w:div w:id="2105416266">
          <w:marLeft w:val="1800"/>
          <w:marRight w:val="0"/>
          <w:marTop w:val="96"/>
          <w:marBottom w:val="0"/>
          <w:divBdr>
            <w:top w:val="none" w:sz="0" w:space="0" w:color="auto"/>
            <w:left w:val="none" w:sz="0" w:space="0" w:color="auto"/>
            <w:bottom w:val="none" w:sz="0" w:space="0" w:color="auto"/>
            <w:right w:val="none" w:sz="0" w:space="0" w:color="auto"/>
          </w:divBdr>
        </w:div>
      </w:divsChild>
    </w:div>
    <w:div w:id="706877028">
      <w:bodyDiv w:val="1"/>
      <w:marLeft w:val="0"/>
      <w:marRight w:val="0"/>
      <w:marTop w:val="0"/>
      <w:marBottom w:val="0"/>
      <w:divBdr>
        <w:top w:val="none" w:sz="0" w:space="0" w:color="auto"/>
        <w:left w:val="none" w:sz="0" w:space="0" w:color="auto"/>
        <w:bottom w:val="none" w:sz="0" w:space="0" w:color="auto"/>
        <w:right w:val="none" w:sz="0" w:space="0" w:color="auto"/>
      </w:divBdr>
    </w:div>
    <w:div w:id="707880599">
      <w:bodyDiv w:val="1"/>
      <w:marLeft w:val="0"/>
      <w:marRight w:val="0"/>
      <w:marTop w:val="0"/>
      <w:marBottom w:val="0"/>
      <w:divBdr>
        <w:top w:val="none" w:sz="0" w:space="0" w:color="auto"/>
        <w:left w:val="none" w:sz="0" w:space="0" w:color="auto"/>
        <w:bottom w:val="none" w:sz="0" w:space="0" w:color="auto"/>
        <w:right w:val="none" w:sz="0" w:space="0" w:color="auto"/>
      </w:divBdr>
    </w:div>
    <w:div w:id="707947605">
      <w:bodyDiv w:val="1"/>
      <w:marLeft w:val="0"/>
      <w:marRight w:val="0"/>
      <w:marTop w:val="0"/>
      <w:marBottom w:val="0"/>
      <w:divBdr>
        <w:top w:val="none" w:sz="0" w:space="0" w:color="auto"/>
        <w:left w:val="none" w:sz="0" w:space="0" w:color="auto"/>
        <w:bottom w:val="none" w:sz="0" w:space="0" w:color="auto"/>
        <w:right w:val="none" w:sz="0" w:space="0" w:color="auto"/>
      </w:divBdr>
    </w:div>
    <w:div w:id="708577115">
      <w:bodyDiv w:val="1"/>
      <w:marLeft w:val="0"/>
      <w:marRight w:val="0"/>
      <w:marTop w:val="0"/>
      <w:marBottom w:val="0"/>
      <w:divBdr>
        <w:top w:val="none" w:sz="0" w:space="0" w:color="auto"/>
        <w:left w:val="none" w:sz="0" w:space="0" w:color="auto"/>
        <w:bottom w:val="none" w:sz="0" w:space="0" w:color="auto"/>
        <w:right w:val="none" w:sz="0" w:space="0" w:color="auto"/>
      </w:divBdr>
    </w:div>
    <w:div w:id="709307319">
      <w:bodyDiv w:val="1"/>
      <w:marLeft w:val="0"/>
      <w:marRight w:val="0"/>
      <w:marTop w:val="0"/>
      <w:marBottom w:val="0"/>
      <w:divBdr>
        <w:top w:val="none" w:sz="0" w:space="0" w:color="auto"/>
        <w:left w:val="none" w:sz="0" w:space="0" w:color="auto"/>
        <w:bottom w:val="none" w:sz="0" w:space="0" w:color="auto"/>
        <w:right w:val="none" w:sz="0" w:space="0" w:color="auto"/>
      </w:divBdr>
    </w:div>
    <w:div w:id="709649646">
      <w:bodyDiv w:val="1"/>
      <w:marLeft w:val="0"/>
      <w:marRight w:val="0"/>
      <w:marTop w:val="0"/>
      <w:marBottom w:val="0"/>
      <w:divBdr>
        <w:top w:val="none" w:sz="0" w:space="0" w:color="auto"/>
        <w:left w:val="none" w:sz="0" w:space="0" w:color="auto"/>
        <w:bottom w:val="none" w:sz="0" w:space="0" w:color="auto"/>
        <w:right w:val="none" w:sz="0" w:space="0" w:color="auto"/>
      </w:divBdr>
    </w:div>
    <w:div w:id="709838834">
      <w:bodyDiv w:val="1"/>
      <w:marLeft w:val="0"/>
      <w:marRight w:val="0"/>
      <w:marTop w:val="0"/>
      <w:marBottom w:val="0"/>
      <w:divBdr>
        <w:top w:val="none" w:sz="0" w:space="0" w:color="auto"/>
        <w:left w:val="none" w:sz="0" w:space="0" w:color="auto"/>
        <w:bottom w:val="none" w:sz="0" w:space="0" w:color="auto"/>
        <w:right w:val="none" w:sz="0" w:space="0" w:color="auto"/>
      </w:divBdr>
    </w:div>
    <w:div w:id="710420440">
      <w:bodyDiv w:val="1"/>
      <w:marLeft w:val="0"/>
      <w:marRight w:val="0"/>
      <w:marTop w:val="0"/>
      <w:marBottom w:val="0"/>
      <w:divBdr>
        <w:top w:val="none" w:sz="0" w:space="0" w:color="auto"/>
        <w:left w:val="none" w:sz="0" w:space="0" w:color="auto"/>
        <w:bottom w:val="none" w:sz="0" w:space="0" w:color="auto"/>
        <w:right w:val="none" w:sz="0" w:space="0" w:color="auto"/>
      </w:divBdr>
    </w:div>
    <w:div w:id="711156685">
      <w:bodyDiv w:val="1"/>
      <w:marLeft w:val="0"/>
      <w:marRight w:val="0"/>
      <w:marTop w:val="0"/>
      <w:marBottom w:val="0"/>
      <w:divBdr>
        <w:top w:val="none" w:sz="0" w:space="0" w:color="auto"/>
        <w:left w:val="none" w:sz="0" w:space="0" w:color="auto"/>
        <w:bottom w:val="none" w:sz="0" w:space="0" w:color="auto"/>
        <w:right w:val="none" w:sz="0" w:space="0" w:color="auto"/>
      </w:divBdr>
    </w:div>
    <w:div w:id="711536494">
      <w:bodyDiv w:val="1"/>
      <w:marLeft w:val="0"/>
      <w:marRight w:val="0"/>
      <w:marTop w:val="0"/>
      <w:marBottom w:val="0"/>
      <w:divBdr>
        <w:top w:val="none" w:sz="0" w:space="0" w:color="auto"/>
        <w:left w:val="none" w:sz="0" w:space="0" w:color="auto"/>
        <w:bottom w:val="none" w:sz="0" w:space="0" w:color="auto"/>
        <w:right w:val="none" w:sz="0" w:space="0" w:color="auto"/>
      </w:divBdr>
    </w:div>
    <w:div w:id="712733722">
      <w:bodyDiv w:val="1"/>
      <w:marLeft w:val="0"/>
      <w:marRight w:val="0"/>
      <w:marTop w:val="0"/>
      <w:marBottom w:val="0"/>
      <w:divBdr>
        <w:top w:val="none" w:sz="0" w:space="0" w:color="auto"/>
        <w:left w:val="none" w:sz="0" w:space="0" w:color="auto"/>
        <w:bottom w:val="none" w:sz="0" w:space="0" w:color="auto"/>
        <w:right w:val="none" w:sz="0" w:space="0" w:color="auto"/>
      </w:divBdr>
    </w:div>
    <w:div w:id="713580303">
      <w:bodyDiv w:val="1"/>
      <w:marLeft w:val="0"/>
      <w:marRight w:val="0"/>
      <w:marTop w:val="0"/>
      <w:marBottom w:val="0"/>
      <w:divBdr>
        <w:top w:val="none" w:sz="0" w:space="0" w:color="auto"/>
        <w:left w:val="none" w:sz="0" w:space="0" w:color="auto"/>
        <w:bottom w:val="none" w:sz="0" w:space="0" w:color="auto"/>
        <w:right w:val="none" w:sz="0" w:space="0" w:color="auto"/>
      </w:divBdr>
    </w:div>
    <w:div w:id="714357341">
      <w:bodyDiv w:val="1"/>
      <w:marLeft w:val="0"/>
      <w:marRight w:val="0"/>
      <w:marTop w:val="0"/>
      <w:marBottom w:val="0"/>
      <w:divBdr>
        <w:top w:val="none" w:sz="0" w:space="0" w:color="auto"/>
        <w:left w:val="none" w:sz="0" w:space="0" w:color="auto"/>
        <w:bottom w:val="none" w:sz="0" w:space="0" w:color="auto"/>
        <w:right w:val="none" w:sz="0" w:space="0" w:color="auto"/>
      </w:divBdr>
    </w:div>
    <w:div w:id="714621033">
      <w:bodyDiv w:val="1"/>
      <w:marLeft w:val="0"/>
      <w:marRight w:val="0"/>
      <w:marTop w:val="0"/>
      <w:marBottom w:val="0"/>
      <w:divBdr>
        <w:top w:val="none" w:sz="0" w:space="0" w:color="auto"/>
        <w:left w:val="none" w:sz="0" w:space="0" w:color="auto"/>
        <w:bottom w:val="none" w:sz="0" w:space="0" w:color="auto"/>
        <w:right w:val="none" w:sz="0" w:space="0" w:color="auto"/>
      </w:divBdr>
    </w:div>
    <w:div w:id="715396433">
      <w:bodyDiv w:val="1"/>
      <w:marLeft w:val="0"/>
      <w:marRight w:val="0"/>
      <w:marTop w:val="0"/>
      <w:marBottom w:val="0"/>
      <w:divBdr>
        <w:top w:val="none" w:sz="0" w:space="0" w:color="auto"/>
        <w:left w:val="none" w:sz="0" w:space="0" w:color="auto"/>
        <w:bottom w:val="none" w:sz="0" w:space="0" w:color="auto"/>
        <w:right w:val="none" w:sz="0" w:space="0" w:color="auto"/>
      </w:divBdr>
    </w:div>
    <w:div w:id="717820416">
      <w:bodyDiv w:val="1"/>
      <w:marLeft w:val="0"/>
      <w:marRight w:val="0"/>
      <w:marTop w:val="0"/>
      <w:marBottom w:val="0"/>
      <w:divBdr>
        <w:top w:val="none" w:sz="0" w:space="0" w:color="auto"/>
        <w:left w:val="none" w:sz="0" w:space="0" w:color="auto"/>
        <w:bottom w:val="none" w:sz="0" w:space="0" w:color="auto"/>
        <w:right w:val="none" w:sz="0" w:space="0" w:color="auto"/>
      </w:divBdr>
    </w:div>
    <w:div w:id="718017170">
      <w:bodyDiv w:val="1"/>
      <w:marLeft w:val="0"/>
      <w:marRight w:val="0"/>
      <w:marTop w:val="0"/>
      <w:marBottom w:val="0"/>
      <w:divBdr>
        <w:top w:val="none" w:sz="0" w:space="0" w:color="auto"/>
        <w:left w:val="none" w:sz="0" w:space="0" w:color="auto"/>
        <w:bottom w:val="none" w:sz="0" w:space="0" w:color="auto"/>
        <w:right w:val="none" w:sz="0" w:space="0" w:color="auto"/>
      </w:divBdr>
    </w:div>
    <w:div w:id="718478768">
      <w:bodyDiv w:val="1"/>
      <w:marLeft w:val="0"/>
      <w:marRight w:val="0"/>
      <w:marTop w:val="0"/>
      <w:marBottom w:val="0"/>
      <w:divBdr>
        <w:top w:val="none" w:sz="0" w:space="0" w:color="auto"/>
        <w:left w:val="none" w:sz="0" w:space="0" w:color="auto"/>
        <w:bottom w:val="none" w:sz="0" w:space="0" w:color="auto"/>
        <w:right w:val="none" w:sz="0" w:space="0" w:color="auto"/>
      </w:divBdr>
    </w:div>
    <w:div w:id="721059014">
      <w:bodyDiv w:val="1"/>
      <w:marLeft w:val="0"/>
      <w:marRight w:val="0"/>
      <w:marTop w:val="0"/>
      <w:marBottom w:val="0"/>
      <w:divBdr>
        <w:top w:val="none" w:sz="0" w:space="0" w:color="auto"/>
        <w:left w:val="none" w:sz="0" w:space="0" w:color="auto"/>
        <w:bottom w:val="none" w:sz="0" w:space="0" w:color="auto"/>
        <w:right w:val="none" w:sz="0" w:space="0" w:color="auto"/>
      </w:divBdr>
    </w:div>
    <w:div w:id="721639755">
      <w:bodyDiv w:val="1"/>
      <w:marLeft w:val="0"/>
      <w:marRight w:val="0"/>
      <w:marTop w:val="0"/>
      <w:marBottom w:val="0"/>
      <w:divBdr>
        <w:top w:val="none" w:sz="0" w:space="0" w:color="auto"/>
        <w:left w:val="none" w:sz="0" w:space="0" w:color="auto"/>
        <w:bottom w:val="none" w:sz="0" w:space="0" w:color="auto"/>
        <w:right w:val="none" w:sz="0" w:space="0" w:color="auto"/>
      </w:divBdr>
    </w:div>
    <w:div w:id="721827520">
      <w:bodyDiv w:val="1"/>
      <w:marLeft w:val="0"/>
      <w:marRight w:val="0"/>
      <w:marTop w:val="0"/>
      <w:marBottom w:val="0"/>
      <w:divBdr>
        <w:top w:val="none" w:sz="0" w:space="0" w:color="auto"/>
        <w:left w:val="none" w:sz="0" w:space="0" w:color="auto"/>
        <w:bottom w:val="none" w:sz="0" w:space="0" w:color="auto"/>
        <w:right w:val="none" w:sz="0" w:space="0" w:color="auto"/>
      </w:divBdr>
    </w:div>
    <w:div w:id="721951930">
      <w:bodyDiv w:val="1"/>
      <w:marLeft w:val="0"/>
      <w:marRight w:val="0"/>
      <w:marTop w:val="0"/>
      <w:marBottom w:val="0"/>
      <w:divBdr>
        <w:top w:val="none" w:sz="0" w:space="0" w:color="auto"/>
        <w:left w:val="none" w:sz="0" w:space="0" w:color="auto"/>
        <w:bottom w:val="none" w:sz="0" w:space="0" w:color="auto"/>
        <w:right w:val="none" w:sz="0" w:space="0" w:color="auto"/>
      </w:divBdr>
    </w:div>
    <w:div w:id="723139548">
      <w:bodyDiv w:val="1"/>
      <w:marLeft w:val="0"/>
      <w:marRight w:val="0"/>
      <w:marTop w:val="0"/>
      <w:marBottom w:val="0"/>
      <w:divBdr>
        <w:top w:val="none" w:sz="0" w:space="0" w:color="auto"/>
        <w:left w:val="none" w:sz="0" w:space="0" w:color="auto"/>
        <w:bottom w:val="none" w:sz="0" w:space="0" w:color="auto"/>
        <w:right w:val="none" w:sz="0" w:space="0" w:color="auto"/>
      </w:divBdr>
    </w:div>
    <w:div w:id="726032210">
      <w:bodyDiv w:val="1"/>
      <w:marLeft w:val="0"/>
      <w:marRight w:val="0"/>
      <w:marTop w:val="0"/>
      <w:marBottom w:val="0"/>
      <w:divBdr>
        <w:top w:val="none" w:sz="0" w:space="0" w:color="auto"/>
        <w:left w:val="none" w:sz="0" w:space="0" w:color="auto"/>
        <w:bottom w:val="none" w:sz="0" w:space="0" w:color="auto"/>
        <w:right w:val="none" w:sz="0" w:space="0" w:color="auto"/>
      </w:divBdr>
    </w:div>
    <w:div w:id="726227523">
      <w:bodyDiv w:val="1"/>
      <w:marLeft w:val="0"/>
      <w:marRight w:val="0"/>
      <w:marTop w:val="0"/>
      <w:marBottom w:val="0"/>
      <w:divBdr>
        <w:top w:val="none" w:sz="0" w:space="0" w:color="auto"/>
        <w:left w:val="none" w:sz="0" w:space="0" w:color="auto"/>
        <w:bottom w:val="none" w:sz="0" w:space="0" w:color="auto"/>
        <w:right w:val="none" w:sz="0" w:space="0" w:color="auto"/>
      </w:divBdr>
    </w:div>
    <w:div w:id="726610248">
      <w:bodyDiv w:val="1"/>
      <w:marLeft w:val="0"/>
      <w:marRight w:val="0"/>
      <w:marTop w:val="0"/>
      <w:marBottom w:val="0"/>
      <w:divBdr>
        <w:top w:val="none" w:sz="0" w:space="0" w:color="auto"/>
        <w:left w:val="none" w:sz="0" w:space="0" w:color="auto"/>
        <w:bottom w:val="none" w:sz="0" w:space="0" w:color="auto"/>
        <w:right w:val="none" w:sz="0" w:space="0" w:color="auto"/>
      </w:divBdr>
    </w:div>
    <w:div w:id="727149811">
      <w:bodyDiv w:val="1"/>
      <w:marLeft w:val="0"/>
      <w:marRight w:val="0"/>
      <w:marTop w:val="0"/>
      <w:marBottom w:val="0"/>
      <w:divBdr>
        <w:top w:val="none" w:sz="0" w:space="0" w:color="auto"/>
        <w:left w:val="none" w:sz="0" w:space="0" w:color="auto"/>
        <w:bottom w:val="none" w:sz="0" w:space="0" w:color="auto"/>
        <w:right w:val="none" w:sz="0" w:space="0" w:color="auto"/>
      </w:divBdr>
    </w:div>
    <w:div w:id="728187441">
      <w:bodyDiv w:val="1"/>
      <w:marLeft w:val="0"/>
      <w:marRight w:val="0"/>
      <w:marTop w:val="0"/>
      <w:marBottom w:val="0"/>
      <w:divBdr>
        <w:top w:val="none" w:sz="0" w:space="0" w:color="auto"/>
        <w:left w:val="none" w:sz="0" w:space="0" w:color="auto"/>
        <w:bottom w:val="none" w:sz="0" w:space="0" w:color="auto"/>
        <w:right w:val="none" w:sz="0" w:space="0" w:color="auto"/>
      </w:divBdr>
    </w:div>
    <w:div w:id="728650472">
      <w:bodyDiv w:val="1"/>
      <w:marLeft w:val="0"/>
      <w:marRight w:val="0"/>
      <w:marTop w:val="0"/>
      <w:marBottom w:val="0"/>
      <w:divBdr>
        <w:top w:val="none" w:sz="0" w:space="0" w:color="auto"/>
        <w:left w:val="none" w:sz="0" w:space="0" w:color="auto"/>
        <w:bottom w:val="none" w:sz="0" w:space="0" w:color="auto"/>
        <w:right w:val="none" w:sz="0" w:space="0" w:color="auto"/>
      </w:divBdr>
    </w:div>
    <w:div w:id="729612937">
      <w:bodyDiv w:val="1"/>
      <w:marLeft w:val="0"/>
      <w:marRight w:val="0"/>
      <w:marTop w:val="0"/>
      <w:marBottom w:val="0"/>
      <w:divBdr>
        <w:top w:val="none" w:sz="0" w:space="0" w:color="auto"/>
        <w:left w:val="none" w:sz="0" w:space="0" w:color="auto"/>
        <w:bottom w:val="none" w:sz="0" w:space="0" w:color="auto"/>
        <w:right w:val="none" w:sz="0" w:space="0" w:color="auto"/>
      </w:divBdr>
    </w:div>
    <w:div w:id="729887229">
      <w:bodyDiv w:val="1"/>
      <w:marLeft w:val="0"/>
      <w:marRight w:val="0"/>
      <w:marTop w:val="0"/>
      <w:marBottom w:val="0"/>
      <w:divBdr>
        <w:top w:val="none" w:sz="0" w:space="0" w:color="auto"/>
        <w:left w:val="none" w:sz="0" w:space="0" w:color="auto"/>
        <w:bottom w:val="none" w:sz="0" w:space="0" w:color="auto"/>
        <w:right w:val="none" w:sz="0" w:space="0" w:color="auto"/>
      </w:divBdr>
    </w:div>
    <w:div w:id="730544582">
      <w:bodyDiv w:val="1"/>
      <w:marLeft w:val="0"/>
      <w:marRight w:val="0"/>
      <w:marTop w:val="0"/>
      <w:marBottom w:val="0"/>
      <w:divBdr>
        <w:top w:val="none" w:sz="0" w:space="0" w:color="auto"/>
        <w:left w:val="none" w:sz="0" w:space="0" w:color="auto"/>
        <w:bottom w:val="none" w:sz="0" w:space="0" w:color="auto"/>
        <w:right w:val="none" w:sz="0" w:space="0" w:color="auto"/>
      </w:divBdr>
    </w:div>
    <w:div w:id="730613669">
      <w:bodyDiv w:val="1"/>
      <w:marLeft w:val="0"/>
      <w:marRight w:val="0"/>
      <w:marTop w:val="0"/>
      <w:marBottom w:val="0"/>
      <w:divBdr>
        <w:top w:val="none" w:sz="0" w:space="0" w:color="auto"/>
        <w:left w:val="none" w:sz="0" w:space="0" w:color="auto"/>
        <w:bottom w:val="none" w:sz="0" w:space="0" w:color="auto"/>
        <w:right w:val="none" w:sz="0" w:space="0" w:color="auto"/>
      </w:divBdr>
      <w:divsChild>
        <w:div w:id="1465656037">
          <w:marLeft w:val="1166"/>
          <w:marRight w:val="0"/>
          <w:marTop w:val="134"/>
          <w:marBottom w:val="0"/>
          <w:divBdr>
            <w:top w:val="none" w:sz="0" w:space="0" w:color="auto"/>
            <w:left w:val="none" w:sz="0" w:space="0" w:color="auto"/>
            <w:bottom w:val="none" w:sz="0" w:space="0" w:color="auto"/>
            <w:right w:val="none" w:sz="0" w:space="0" w:color="auto"/>
          </w:divBdr>
        </w:div>
        <w:div w:id="2096584940">
          <w:marLeft w:val="547"/>
          <w:marRight w:val="0"/>
          <w:marTop w:val="134"/>
          <w:marBottom w:val="0"/>
          <w:divBdr>
            <w:top w:val="none" w:sz="0" w:space="0" w:color="auto"/>
            <w:left w:val="none" w:sz="0" w:space="0" w:color="auto"/>
            <w:bottom w:val="none" w:sz="0" w:space="0" w:color="auto"/>
            <w:right w:val="none" w:sz="0" w:space="0" w:color="auto"/>
          </w:divBdr>
        </w:div>
      </w:divsChild>
    </w:div>
    <w:div w:id="731781139">
      <w:bodyDiv w:val="1"/>
      <w:marLeft w:val="0"/>
      <w:marRight w:val="0"/>
      <w:marTop w:val="0"/>
      <w:marBottom w:val="0"/>
      <w:divBdr>
        <w:top w:val="none" w:sz="0" w:space="0" w:color="auto"/>
        <w:left w:val="none" w:sz="0" w:space="0" w:color="auto"/>
        <w:bottom w:val="none" w:sz="0" w:space="0" w:color="auto"/>
        <w:right w:val="none" w:sz="0" w:space="0" w:color="auto"/>
      </w:divBdr>
    </w:div>
    <w:div w:id="732042835">
      <w:bodyDiv w:val="1"/>
      <w:marLeft w:val="0"/>
      <w:marRight w:val="0"/>
      <w:marTop w:val="0"/>
      <w:marBottom w:val="0"/>
      <w:divBdr>
        <w:top w:val="none" w:sz="0" w:space="0" w:color="auto"/>
        <w:left w:val="none" w:sz="0" w:space="0" w:color="auto"/>
        <w:bottom w:val="none" w:sz="0" w:space="0" w:color="auto"/>
        <w:right w:val="none" w:sz="0" w:space="0" w:color="auto"/>
      </w:divBdr>
    </w:div>
    <w:div w:id="733239564">
      <w:bodyDiv w:val="1"/>
      <w:marLeft w:val="0"/>
      <w:marRight w:val="0"/>
      <w:marTop w:val="0"/>
      <w:marBottom w:val="0"/>
      <w:divBdr>
        <w:top w:val="none" w:sz="0" w:space="0" w:color="auto"/>
        <w:left w:val="none" w:sz="0" w:space="0" w:color="auto"/>
        <w:bottom w:val="none" w:sz="0" w:space="0" w:color="auto"/>
        <w:right w:val="none" w:sz="0" w:space="0" w:color="auto"/>
      </w:divBdr>
      <w:divsChild>
        <w:div w:id="185750497">
          <w:marLeft w:val="547"/>
          <w:marRight w:val="0"/>
          <w:marTop w:val="115"/>
          <w:marBottom w:val="0"/>
          <w:divBdr>
            <w:top w:val="none" w:sz="0" w:space="0" w:color="auto"/>
            <w:left w:val="none" w:sz="0" w:space="0" w:color="auto"/>
            <w:bottom w:val="none" w:sz="0" w:space="0" w:color="auto"/>
            <w:right w:val="none" w:sz="0" w:space="0" w:color="auto"/>
          </w:divBdr>
        </w:div>
        <w:div w:id="200099743">
          <w:marLeft w:val="1166"/>
          <w:marRight w:val="0"/>
          <w:marTop w:val="96"/>
          <w:marBottom w:val="0"/>
          <w:divBdr>
            <w:top w:val="none" w:sz="0" w:space="0" w:color="auto"/>
            <w:left w:val="none" w:sz="0" w:space="0" w:color="auto"/>
            <w:bottom w:val="none" w:sz="0" w:space="0" w:color="auto"/>
            <w:right w:val="none" w:sz="0" w:space="0" w:color="auto"/>
          </w:divBdr>
        </w:div>
      </w:divsChild>
    </w:div>
    <w:div w:id="734091473">
      <w:bodyDiv w:val="1"/>
      <w:marLeft w:val="0"/>
      <w:marRight w:val="0"/>
      <w:marTop w:val="0"/>
      <w:marBottom w:val="0"/>
      <w:divBdr>
        <w:top w:val="none" w:sz="0" w:space="0" w:color="auto"/>
        <w:left w:val="none" w:sz="0" w:space="0" w:color="auto"/>
        <w:bottom w:val="none" w:sz="0" w:space="0" w:color="auto"/>
        <w:right w:val="none" w:sz="0" w:space="0" w:color="auto"/>
      </w:divBdr>
    </w:div>
    <w:div w:id="734477129">
      <w:bodyDiv w:val="1"/>
      <w:marLeft w:val="0"/>
      <w:marRight w:val="0"/>
      <w:marTop w:val="0"/>
      <w:marBottom w:val="0"/>
      <w:divBdr>
        <w:top w:val="none" w:sz="0" w:space="0" w:color="auto"/>
        <w:left w:val="none" w:sz="0" w:space="0" w:color="auto"/>
        <w:bottom w:val="none" w:sz="0" w:space="0" w:color="auto"/>
        <w:right w:val="none" w:sz="0" w:space="0" w:color="auto"/>
      </w:divBdr>
    </w:div>
    <w:div w:id="734663061">
      <w:bodyDiv w:val="1"/>
      <w:marLeft w:val="0"/>
      <w:marRight w:val="0"/>
      <w:marTop w:val="0"/>
      <w:marBottom w:val="0"/>
      <w:divBdr>
        <w:top w:val="none" w:sz="0" w:space="0" w:color="auto"/>
        <w:left w:val="none" w:sz="0" w:space="0" w:color="auto"/>
        <w:bottom w:val="none" w:sz="0" w:space="0" w:color="auto"/>
        <w:right w:val="none" w:sz="0" w:space="0" w:color="auto"/>
      </w:divBdr>
      <w:divsChild>
        <w:div w:id="1388138729">
          <w:marLeft w:val="547"/>
          <w:marRight w:val="0"/>
          <w:marTop w:val="115"/>
          <w:marBottom w:val="0"/>
          <w:divBdr>
            <w:top w:val="none" w:sz="0" w:space="0" w:color="auto"/>
            <w:left w:val="none" w:sz="0" w:space="0" w:color="auto"/>
            <w:bottom w:val="none" w:sz="0" w:space="0" w:color="auto"/>
            <w:right w:val="none" w:sz="0" w:space="0" w:color="auto"/>
          </w:divBdr>
        </w:div>
        <w:div w:id="2086296943">
          <w:marLeft w:val="547"/>
          <w:marRight w:val="0"/>
          <w:marTop w:val="115"/>
          <w:marBottom w:val="0"/>
          <w:divBdr>
            <w:top w:val="none" w:sz="0" w:space="0" w:color="auto"/>
            <w:left w:val="none" w:sz="0" w:space="0" w:color="auto"/>
            <w:bottom w:val="none" w:sz="0" w:space="0" w:color="auto"/>
            <w:right w:val="none" w:sz="0" w:space="0" w:color="auto"/>
          </w:divBdr>
        </w:div>
      </w:divsChild>
    </w:div>
    <w:div w:id="735126217">
      <w:bodyDiv w:val="1"/>
      <w:marLeft w:val="0"/>
      <w:marRight w:val="0"/>
      <w:marTop w:val="0"/>
      <w:marBottom w:val="0"/>
      <w:divBdr>
        <w:top w:val="none" w:sz="0" w:space="0" w:color="auto"/>
        <w:left w:val="none" w:sz="0" w:space="0" w:color="auto"/>
        <w:bottom w:val="none" w:sz="0" w:space="0" w:color="auto"/>
        <w:right w:val="none" w:sz="0" w:space="0" w:color="auto"/>
      </w:divBdr>
    </w:div>
    <w:div w:id="735397723">
      <w:bodyDiv w:val="1"/>
      <w:marLeft w:val="0"/>
      <w:marRight w:val="0"/>
      <w:marTop w:val="0"/>
      <w:marBottom w:val="0"/>
      <w:divBdr>
        <w:top w:val="none" w:sz="0" w:space="0" w:color="auto"/>
        <w:left w:val="none" w:sz="0" w:space="0" w:color="auto"/>
        <w:bottom w:val="none" w:sz="0" w:space="0" w:color="auto"/>
        <w:right w:val="none" w:sz="0" w:space="0" w:color="auto"/>
      </w:divBdr>
    </w:div>
    <w:div w:id="735709487">
      <w:bodyDiv w:val="1"/>
      <w:marLeft w:val="0"/>
      <w:marRight w:val="0"/>
      <w:marTop w:val="0"/>
      <w:marBottom w:val="0"/>
      <w:divBdr>
        <w:top w:val="none" w:sz="0" w:space="0" w:color="auto"/>
        <w:left w:val="none" w:sz="0" w:space="0" w:color="auto"/>
        <w:bottom w:val="none" w:sz="0" w:space="0" w:color="auto"/>
        <w:right w:val="none" w:sz="0" w:space="0" w:color="auto"/>
      </w:divBdr>
    </w:div>
    <w:div w:id="737173987">
      <w:bodyDiv w:val="1"/>
      <w:marLeft w:val="0"/>
      <w:marRight w:val="0"/>
      <w:marTop w:val="0"/>
      <w:marBottom w:val="0"/>
      <w:divBdr>
        <w:top w:val="none" w:sz="0" w:space="0" w:color="auto"/>
        <w:left w:val="none" w:sz="0" w:space="0" w:color="auto"/>
        <w:bottom w:val="none" w:sz="0" w:space="0" w:color="auto"/>
        <w:right w:val="none" w:sz="0" w:space="0" w:color="auto"/>
      </w:divBdr>
    </w:div>
    <w:div w:id="737554609">
      <w:bodyDiv w:val="1"/>
      <w:marLeft w:val="0"/>
      <w:marRight w:val="0"/>
      <w:marTop w:val="0"/>
      <w:marBottom w:val="0"/>
      <w:divBdr>
        <w:top w:val="none" w:sz="0" w:space="0" w:color="auto"/>
        <w:left w:val="none" w:sz="0" w:space="0" w:color="auto"/>
        <w:bottom w:val="none" w:sz="0" w:space="0" w:color="auto"/>
        <w:right w:val="none" w:sz="0" w:space="0" w:color="auto"/>
      </w:divBdr>
    </w:div>
    <w:div w:id="738021068">
      <w:bodyDiv w:val="1"/>
      <w:marLeft w:val="0"/>
      <w:marRight w:val="0"/>
      <w:marTop w:val="0"/>
      <w:marBottom w:val="0"/>
      <w:divBdr>
        <w:top w:val="none" w:sz="0" w:space="0" w:color="auto"/>
        <w:left w:val="none" w:sz="0" w:space="0" w:color="auto"/>
        <w:bottom w:val="none" w:sz="0" w:space="0" w:color="auto"/>
        <w:right w:val="none" w:sz="0" w:space="0" w:color="auto"/>
      </w:divBdr>
    </w:div>
    <w:div w:id="738987699">
      <w:bodyDiv w:val="1"/>
      <w:marLeft w:val="0"/>
      <w:marRight w:val="0"/>
      <w:marTop w:val="0"/>
      <w:marBottom w:val="0"/>
      <w:divBdr>
        <w:top w:val="none" w:sz="0" w:space="0" w:color="auto"/>
        <w:left w:val="none" w:sz="0" w:space="0" w:color="auto"/>
        <w:bottom w:val="none" w:sz="0" w:space="0" w:color="auto"/>
        <w:right w:val="none" w:sz="0" w:space="0" w:color="auto"/>
      </w:divBdr>
    </w:div>
    <w:div w:id="739521052">
      <w:bodyDiv w:val="1"/>
      <w:marLeft w:val="0"/>
      <w:marRight w:val="0"/>
      <w:marTop w:val="0"/>
      <w:marBottom w:val="0"/>
      <w:divBdr>
        <w:top w:val="none" w:sz="0" w:space="0" w:color="auto"/>
        <w:left w:val="none" w:sz="0" w:space="0" w:color="auto"/>
        <w:bottom w:val="none" w:sz="0" w:space="0" w:color="auto"/>
        <w:right w:val="none" w:sz="0" w:space="0" w:color="auto"/>
      </w:divBdr>
      <w:divsChild>
        <w:div w:id="3358770">
          <w:marLeft w:val="1166"/>
          <w:marRight w:val="0"/>
          <w:marTop w:val="0"/>
          <w:marBottom w:val="0"/>
          <w:divBdr>
            <w:top w:val="none" w:sz="0" w:space="0" w:color="auto"/>
            <w:left w:val="none" w:sz="0" w:space="0" w:color="auto"/>
            <w:bottom w:val="none" w:sz="0" w:space="0" w:color="auto"/>
            <w:right w:val="none" w:sz="0" w:space="0" w:color="auto"/>
          </w:divBdr>
        </w:div>
        <w:div w:id="200746024">
          <w:marLeft w:val="547"/>
          <w:marRight w:val="0"/>
          <w:marTop w:val="0"/>
          <w:marBottom w:val="0"/>
          <w:divBdr>
            <w:top w:val="none" w:sz="0" w:space="0" w:color="auto"/>
            <w:left w:val="none" w:sz="0" w:space="0" w:color="auto"/>
            <w:bottom w:val="none" w:sz="0" w:space="0" w:color="auto"/>
            <w:right w:val="none" w:sz="0" w:space="0" w:color="auto"/>
          </w:divBdr>
        </w:div>
        <w:div w:id="232744034">
          <w:marLeft w:val="547"/>
          <w:marRight w:val="0"/>
          <w:marTop w:val="0"/>
          <w:marBottom w:val="0"/>
          <w:divBdr>
            <w:top w:val="none" w:sz="0" w:space="0" w:color="auto"/>
            <w:left w:val="none" w:sz="0" w:space="0" w:color="auto"/>
            <w:bottom w:val="none" w:sz="0" w:space="0" w:color="auto"/>
            <w:right w:val="none" w:sz="0" w:space="0" w:color="auto"/>
          </w:divBdr>
        </w:div>
        <w:div w:id="329799836">
          <w:marLeft w:val="1166"/>
          <w:marRight w:val="0"/>
          <w:marTop w:val="0"/>
          <w:marBottom w:val="0"/>
          <w:divBdr>
            <w:top w:val="none" w:sz="0" w:space="0" w:color="auto"/>
            <w:left w:val="none" w:sz="0" w:space="0" w:color="auto"/>
            <w:bottom w:val="none" w:sz="0" w:space="0" w:color="auto"/>
            <w:right w:val="none" w:sz="0" w:space="0" w:color="auto"/>
          </w:divBdr>
        </w:div>
        <w:div w:id="392118421">
          <w:marLeft w:val="1166"/>
          <w:marRight w:val="0"/>
          <w:marTop w:val="0"/>
          <w:marBottom w:val="0"/>
          <w:divBdr>
            <w:top w:val="none" w:sz="0" w:space="0" w:color="auto"/>
            <w:left w:val="none" w:sz="0" w:space="0" w:color="auto"/>
            <w:bottom w:val="none" w:sz="0" w:space="0" w:color="auto"/>
            <w:right w:val="none" w:sz="0" w:space="0" w:color="auto"/>
          </w:divBdr>
        </w:div>
        <w:div w:id="468784116">
          <w:marLeft w:val="547"/>
          <w:marRight w:val="0"/>
          <w:marTop w:val="0"/>
          <w:marBottom w:val="0"/>
          <w:divBdr>
            <w:top w:val="none" w:sz="0" w:space="0" w:color="auto"/>
            <w:left w:val="none" w:sz="0" w:space="0" w:color="auto"/>
            <w:bottom w:val="none" w:sz="0" w:space="0" w:color="auto"/>
            <w:right w:val="none" w:sz="0" w:space="0" w:color="auto"/>
          </w:divBdr>
        </w:div>
        <w:div w:id="1112480219">
          <w:marLeft w:val="547"/>
          <w:marRight w:val="0"/>
          <w:marTop w:val="0"/>
          <w:marBottom w:val="0"/>
          <w:divBdr>
            <w:top w:val="none" w:sz="0" w:space="0" w:color="auto"/>
            <w:left w:val="none" w:sz="0" w:space="0" w:color="auto"/>
            <w:bottom w:val="none" w:sz="0" w:space="0" w:color="auto"/>
            <w:right w:val="none" w:sz="0" w:space="0" w:color="auto"/>
          </w:divBdr>
        </w:div>
        <w:div w:id="1135945852">
          <w:marLeft w:val="547"/>
          <w:marRight w:val="0"/>
          <w:marTop w:val="0"/>
          <w:marBottom w:val="0"/>
          <w:divBdr>
            <w:top w:val="none" w:sz="0" w:space="0" w:color="auto"/>
            <w:left w:val="none" w:sz="0" w:space="0" w:color="auto"/>
            <w:bottom w:val="none" w:sz="0" w:space="0" w:color="auto"/>
            <w:right w:val="none" w:sz="0" w:space="0" w:color="auto"/>
          </w:divBdr>
        </w:div>
        <w:div w:id="1162508208">
          <w:marLeft w:val="1166"/>
          <w:marRight w:val="0"/>
          <w:marTop w:val="0"/>
          <w:marBottom w:val="0"/>
          <w:divBdr>
            <w:top w:val="none" w:sz="0" w:space="0" w:color="auto"/>
            <w:left w:val="none" w:sz="0" w:space="0" w:color="auto"/>
            <w:bottom w:val="none" w:sz="0" w:space="0" w:color="auto"/>
            <w:right w:val="none" w:sz="0" w:space="0" w:color="auto"/>
          </w:divBdr>
        </w:div>
        <w:div w:id="1521121701">
          <w:marLeft w:val="1166"/>
          <w:marRight w:val="0"/>
          <w:marTop w:val="0"/>
          <w:marBottom w:val="0"/>
          <w:divBdr>
            <w:top w:val="none" w:sz="0" w:space="0" w:color="auto"/>
            <w:left w:val="none" w:sz="0" w:space="0" w:color="auto"/>
            <w:bottom w:val="none" w:sz="0" w:space="0" w:color="auto"/>
            <w:right w:val="none" w:sz="0" w:space="0" w:color="auto"/>
          </w:divBdr>
        </w:div>
        <w:div w:id="1922257863">
          <w:marLeft w:val="1166"/>
          <w:marRight w:val="0"/>
          <w:marTop w:val="0"/>
          <w:marBottom w:val="0"/>
          <w:divBdr>
            <w:top w:val="none" w:sz="0" w:space="0" w:color="auto"/>
            <w:left w:val="none" w:sz="0" w:space="0" w:color="auto"/>
            <w:bottom w:val="none" w:sz="0" w:space="0" w:color="auto"/>
            <w:right w:val="none" w:sz="0" w:space="0" w:color="auto"/>
          </w:divBdr>
        </w:div>
      </w:divsChild>
    </w:div>
    <w:div w:id="739905397">
      <w:bodyDiv w:val="1"/>
      <w:marLeft w:val="0"/>
      <w:marRight w:val="0"/>
      <w:marTop w:val="0"/>
      <w:marBottom w:val="0"/>
      <w:divBdr>
        <w:top w:val="none" w:sz="0" w:space="0" w:color="auto"/>
        <w:left w:val="none" w:sz="0" w:space="0" w:color="auto"/>
        <w:bottom w:val="none" w:sz="0" w:space="0" w:color="auto"/>
        <w:right w:val="none" w:sz="0" w:space="0" w:color="auto"/>
      </w:divBdr>
    </w:div>
    <w:div w:id="740298763">
      <w:bodyDiv w:val="1"/>
      <w:marLeft w:val="0"/>
      <w:marRight w:val="0"/>
      <w:marTop w:val="0"/>
      <w:marBottom w:val="0"/>
      <w:divBdr>
        <w:top w:val="none" w:sz="0" w:space="0" w:color="auto"/>
        <w:left w:val="none" w:sz="0" w:space="0" w:color="auto"/>
        <w:bottom w:val="none" w:sz="0" w:space="0" w:color="auto"/>
        <w:right w:val="none" w:sz="0" w:space="0" w:color="auto"/>
      </w:divBdr>
    </w:div>
    <w:div w:id="740911787">
      <w:bodyDiv w:val="1"/>
      <w:marLeft w:val="0"/>
      <w:marRight w:val="0"/>
      <w:marTop w:val="0"/>
      <w:marBottom w:val="0"/>
      <w:divBdr>
        <w:top w:val="none" w:sz="0" w:space="0" w:color="auto"/>
        <w:left w:val="none" w:sz="0" w:space="0" w:color="auto"/>
        <w:bottom w:val="none" w:sz="0" w:space="0" w:color="auto"/>
        <w:right w:val="none" w:sz="0" w:space="0" w:color="auto"/>
      </w:divBdr>
    </w:div>
    <w:div w:id="742870856">
      <w:bodyDiv w:val="1"/>
      <w:marLeft w:val="0"/>
      <w:marRight w:val="0"/>
      <w:marTop w:val="0"/>
      <w:marBottom w:val="0"/>
      <w:divBdr>
        <w:top w:val="none" w:sz="0" w:space="0" w:color="auto"/>
        <w:left w:val="none" w:sz="0" w:space="0" w:color="auto"/>
        <w:bottom w:val="none" w:sz="0" w:space="0" w:color="auto"/>
        <w:right w:val="none" w:sz="0" w:space="0" w:color="auto"/>
      </w:divBdr>
    </w:div>
    <w:div w:id="743452531">
      <w:bodyDiv w:val="1"/>
      <w:marLeft w:val="0"/>
      <w:marRight w:val="0"/>
      <w:marTop w:val="0"/>
      <w:marBottom w:val="0"/>
      <w:divBdr>
        <w:top w:val="none" w:sz="0" w:space="0" w:color="auto"/>
        <w:left w:val="none" w:sz="0" w:space="0" w:color="auto"/>
        <w:bottom w:val="none" w:sz="0" w:space="0" w:color="auto"/>
        <w:right w:val="none" w:sz="0" w:space="0" w:color="auto"/>
      </w:divBdr>
    </w:div>
    <w:div w:id="744304535">
      <w:bodyDiv w:val="1"/>
      <w:marLeft w:val="0"/>
      <w:marRight w:val="0"/>
      <w:marTop w:val="0"/>
      <w:marBottom w:val="0"/>
      <w:divBdr>
        <w:top w:val="none" w:sz="0" w:space="0" w:color="auto"/>
        <w:left w:val="none" w:sz="0" w:space="0" w:color="auto"/>
        <w:bottom w:val="none" w:sz="0" w:space="0" w:color="auto"/>
        <w:right w:val="none" w:sz="0" w:space="0" w:color="auto"/>
      </w:divBdr>
      <w:divsChild>
        <w:div w:id="828519203">
          <w:marLeft w:val="1166"/>
          <w:marRight w:val="0"/>
          <w:marTop w:val="96"/>
          <w:marBottom w:val="0"/>
          <w:divBdr>
            <w:top w:val="none" w:sz="0" w:space="0" w:color="auto"/>
            <w:left w:val="none" w:sz="0" w:space="0" w:color="auto"/>
            <w:bottom w:val="none" w:sz="0" w:space="0" w:color="auto"/>
            <w:right w:val="none" w:sz="0" w:space="0" w:color="auto"/>
          </w:divBdr>
        </w:div>
        <w:div w:id="1206023609">
          <w:marLeft w:val="1166"/>
          <w:marRight w:val="0"/>
          <w:marTop w:val="96"/>
          <w:marBottom w:val="0"/>
          <w:divBdr>
            <w:top w:val="none" w:sz="0" w:space="0" w:color="auto"/>
            <w:left w:val="none" w:sz="0" w:space="0" w:color="auto"/>
            <w:bottom w:val="none" w:sz="0" w:space="0" w:color="auto"/>
            <w:right w:val="none" w:sz="0" w:space="0" w:color="auto"/>
          </w:divBdr>
        </w:div>
        <w:div w:id="1304038212">
          <w:marLeft w:val="547"/>
          <w:marRight w:val="0"/>
          <w:marTop w:val="115"/>
          <w:marBottom w:val="0"/>
          <w:divBdr>
            <w:top w:val="none" w:sz="0" w:space="0" w:color="auto"/>
            <w:left w:val="none" w:sz="0" w:space="0" w:color="auto"/>
            <w:bottom w:val="none" w:sz="0" w:space="0" w:color="auto"/>
            <w:right w:val="none" w:sz="0" w:space="0" w:color="auto"/>
          </w:divBdr>
        </w:div>
        <w:div w:id="1328286655">
          <w:marLeft w:val="547"/>
          <w:marRight w:val="0"/>
          <w:marTop w:val="115"/>
          <w:marBottom w:val="0"/>
          <w:divBdr>
            <w:top w:val="none" w:sz="0" w:space="0" w:color="auto"/>
            <w:left w:val="none" w:sz="0" w:space="0" w:color="auto"/>
            <w:bottom w:val="none" w:sz="0" w:space="0" w:color="auto"/>
            <w:right w:val="none" w:sz="0" w:space="0" w:color="auto"/>
          </w:divBdr>
        </w:div>
        <w:div w:id="1825585454">
          <w:marLeft w:val="547"/>
          <w:marRight w:val="0"/>
          <w:marTop w:val="115"/>
          <w:marBottom w:val="0"/>
          <w:divBdr>
            <w:top w:val="none" w:sz="0" w:space="0" w:color="auto"/>
            <w:left w:val="none" w:sz="0" w:space="0" w:color="auto"/>
            <w:bottom w:val="none" w:sz="0" w:space="0" w:color="auto"/>
            <w:right w:val="none" w:sz="0" w:space="0" w:color="auto"/>
          </w:divBdr>
        </w:div>
      </w:divsChild>
    </w:div>
    <w:div w:id="745031568">
      <w:bodyDiv w:val="1"/>
      <w:marLeft w:val="0"/>
      <w:marRight w:val="0"/>
      <w:marTop w:val="0"/>
      <w:marBottom w:val="0"/>
      <w:divBdr>
        <w:top w:val="none" w:sz="0" w:space="0" w:color="auto"/>
        <w:left w:val="none" w:sz="0" w:space="0" w:color="auto"/>
        <w:bottom w:val="none" w:sz="0" w:space="0" w:color="auto"/>
        <w:right w:val="none" w:sz="0" w:space="0" w:color="auto"/>
      </w:divBdr>
    </w:div>
    <w:div w:id="745344524">
      <w:bodyDiv w:val="1"/>
      <w:marLeft w:val="0"/>
      <w:marRight w:val="0"/>
      <w:marTop w:val="0"/>
      <w:marBottom w:val="0"/>
      <w:divBdr>
        <w:top w:val="none" w:sz="0" w:space="0" w:color="auto"/>
        <w:left w:val="none" w:sz="0" w:space="0" w:color="auto"/>
        <w:bottom w:val="none" w:sz="0" w:space="0" w:color="auto"/>
        <w:right w:val="none" w:sz="0" w:space="0" w:color="auto"/>
      </w:divBdr>
    </w:div>
    <w:div w:id="745421948">
      <w:bodyDiv w:val="1"/>
      <w:marLeft w:val="0"/>
      <w:marRight w:val="0"/>
      <w:marTop w:val="0"/>
      <w:marBottom w:val="0"/>
      <w:divBdr>
        <w:top w:val="none" w:sz="0" w:space="0" w:color="auto"/>
        <w:left w:val="none" w:sz="0" w:space="0" w:color="auto"/>
        <w:bottom w:val="none" w:sz="0" w:space="0" w:color="auto"/>
        <w:right w:val="none" w:sz="0" w:space="0" w:color="auto"/>
      </w:divBdr>
    </w:div>
    <w:div w:id="745537931">
      <w:bodyDiv w:val="1"/>
      <w:marLeft w:val="0"/>
      <w:marRight w:val="0"/>
      <w:marTop w:val="0"/>
      <w:marBottom w:val="0"/>
      <w:divBdr>
        <w:top w:val="none" w:sz="0" w:space="0" w:color="auto"/>
        <w:left w:val="none" w:sz="0" w:space="0" w:color="auto"/>
        <w:bottom w:val="none" w:sz="0" w:space="0" w:color="auto"/>
        <w:right w:val="none" w:sz="0" w:space="0" w:color="auto"/>
      </w:divBdr>
    </w:div>
    <w:div w:id="745611742">
      <w:bodyDiv w:val="1"/>
      <w:marLeft w:val="0"/>
      <w:marRight w:val="0"/>
      <w:marTop w:val="0"/>
      <w:marBottom w:val="0"/>
      <w:divBdr>
        <w:top w:val="none" w:sz="0" w:space="0" w:color="auto"/>
        <w:left w:val="none" w:sz="0" w:space="0" w:color="auto"/>
        <w:bottom w:val="none" w:sz="0" w:space="0" w:color="auto"/>
        <w:right w:val="none" w:sz="0" w:space="0" w:color="auto"/>
      </w:divBdr>
    </w:div>
    <w:div w:id="748039976">
      <w:bodyDiv w:val="1"/>
      <w:marLeft w:val="0"/>
      <w:marRight w:val="0"/>
      <w:marTop w:val="0"/>
      <w:marBottom w:val="0"/>
      <w:divBdr>
        <w:top w:val="none" w:sz="0" w:space="0" w:color="auto"/>
        <w:left w:val="none" w:sz="0" w:space="0" w:color="auto"/>
        <w:bottom w:val="none" w:sz="0" w:space="0" w:color="auto"/>
        <w:right w:val="none" w:sz="0" w:space="0" w:color="auto"/>
      </w:divBdr>
    </w:div>
    <w:div w:id="748238308">
      <w:bodyDiv w:val="1"/>
      <w:marLeft w:val="0"/>
      <w:marRight w:val="0"/>
      <w:marTop w:val="0"/>
      <w:marBottom w:val="0"/>
      <w:divBdr>
        <w:top w:val="none" w:sz="0" w:space="0" w:color="auto"/>
        <w:left w:val="none" w:sz="0" w:space="0" w:color="auto"/>
        <w:bottom w:val="none" w:sz="0" w:space="0" w:color="auto"/>
        <w:right w:val="none" w:sz="0" w:space="0" w:color="auto"/>
      </w:divBdr>
      <w:divsChild>
        <w:div w:id="290206921">
          <w:marLeft w:val="1166"/>
          <w:marRight w:val="0"/>
          <w:marTop w:val="115"/>
          <w:marBottom w:val="0"/>
          <w:divBdr>
            <w:top w:val="none" w:sz="0" w:space="0" w:color="auto"/>
            <w:left w:val="none" w:sz="0" w:space="0" w:color="auto"/>
            <w:bottom w:val="none" w:sz="0" w:space="0" w:color="auto"/>
            <w:right w:val="none" w:sz="0" w:space="0" w:color="auto"/>
          </w:divBdr>
        </w:div>
        <w:div w:id="796798719">
          <w:marLeft w:val="1166"/>
          <w:marRight w:val="0"/>
          <w:marTop w:val="115"/>
          <w:marBottom w:val="0"/>
          <w:divBdr>
            <w:top w:val="none" w:sz="0" w:space="0" w:color="auto"/>
            <w:left w:val="none" w:sz="0" w:space="0" w:color="auto"/>
            <w:bottom w:val="none" w:sz="0" w:space="0" w:color="auto"/>
            <w:right w:val="none" w:sz="0" w:space="0" w:color="auto"/>
          </w:divBdr>
        </w:div>
        <w:div w:id="1158768902">
          <w:marLeft w:val="547"/>
          <w:marRight w:val="0"/>
          <w:marTop w:val="134"/>
          <w:marBottom w:val="0"/>
          <w:divBdr>
            <w:top w:val="none" w:sz="0" w:space="0" w:color="auto"/>
            <w:left w:val="none" w:sz="0" w:space="0" w:color="auto"/>
            <w:bottom w:val="none" w:sz="0" w:space="0" w:color="auto"/>
            <w:right w:val="none" w:sz="0" w:space="0" w:color="auto"/>
          </w:divBdr>
        </w:div>
      </w:divsChild>
    </w:div>
    <w:div w:id="750084758">
      <w:bodyDiv w:val="1"/>
      <w:marLeft w:val="0"/>
      <w:marRight w:val="0"/>
      <w:marTop w:val="0"/>
      <w:marBottom w:val="0"/>
      <w:divBdr>
        <w:top w:val="none" w:sz="0" w:space="0" w:color="auto"/>
        <w:left w:val="none" w:sz="0" w:space="0" w:color="auto"/>
        <w:bottom w:val="none" w:sz="0" w:space="0" w:color="auto"/>
        <w:right w:val="none" w:sz="0" w:space="0" w:color="auto"/>
      </w:divBdr>
    </w:div>
    <w:div w:id="751319779">
      <w:bodyDiv w:val="1"/>
      <w:marLeft w:val="0"/>
      <w:marRight w:val="0"/>
      <w:marTop w:val="0"/>
      <w:marBottom w:val="0"/>
      <w:divBdr>
        <w:top w:val="none" w:sz="0" w:space="0" w:color="auto"/>
        <w:left w:val="none" w:sz="0" w:space="0" w:color="auto"/>
        <w:bottom w:val="none" w:sz="0" w:space="0" w:color="auto"/>
        <w:right w:val="none" w:sz="0" w:space="0" w:color="auto"/>
      </w:divBdr>
    </w:div>
    <w:div w:id="751395242">
      <w:bodyDiv w:val="1"/>
      <w:marLeft w:val="0"/>
      <w:marRight w:val="0"/>
      <w:marTop w:val="0"/>
      <w:marBottom w:val="0"/>
      <w:divBdr>
        <w:top w:val="none" w:sz="0" w:space="0" w:color="auto"/>
        <w:left w:val="none" w:sz="0" w:space="0" w:color="auto"/>
        <w:bottom w:val="none" w:sz="0" w:space="0" w:color="auto"/>
        <w:right w:val="none" w:sz="0" w:space="0" w:color="auto"/>
      </w:divBdr>
    </w:div>
    <w:div w:id="752049806">
      <w:bodyDiv w:val="1"/>
      <w:marLeft w:val="0"/>
      <w:marRight w:val="0"/>
      <w:marTop w:val="0"/>
      <w:marBottom w:val="0"/>
      <w:divBdr>
        <w:top w:val="none" w:sz="0" w:space="0" w:color="auto"/>
        <w:left w:val="none" w:sz="0" w:space="0" w:color="auto"/>
        <w:bottom w:val="none" w:sz="0" w:space="0" w:color="auto"/>
        <w:right w:val="none" w:sz="0" w:space="0" w:color="auto"/>
      </w:divBdr>
      <w:divsChild>
        <w:div w:id="351759074">
          <w:marLeft w:val="547"/>
          <w:marRight w:val="0"/>
          <w:marTop w:val="115"/>
          <w:marBottom w:val="0"/>
          <w:divBdr>
            <w:top w:val="none" w:sz="0" w:space="0" w:color="auto"/>
            <w:left w:val="none" w:sz="0" w:space="0" w:color="auto"/>
            <w:bottom w:val="none" w:sz="0" w:space="0" w:color="auto"/>
            <w:right w:val="none" w:sz="0" w:space="0" w:color="auto"/>
          </w:divBdr>
        </w:div>
        <w:div w:id="446972376">
          <w:marLeft w:val="1800"/>
          <w:marRight w:val="0"/>
          <w:marTop w:val="77"/>
          <w:marBottom w:val="0"/>
          <w:divBdr>
            <w:top w:val="none" w:sz="0" w:space="0" w:color="auto"/>
            <w:left w:val="none" w:sz="0" w:space="0" w:color="auto"/>
            <w:bottom w:val="none" w:sz="0" w:space="0" w:color="auto"/>
            <w:right w:val="none" w:sz="0" w:space="0" w:color="auto"/>
          </w:divBdr>
        </w:div>
        <w:div w:id="452865703">
          <w:marLeft w:val="1800"/>
          <w:marRight w:val="0"/>
          <w:marTop w:val="77"/>
          <w:marBottom w:val="0"/>
          <w:divBdr>
            <w:top w:val="none" w:sz="0" w:space="0" w:color="auto"/>
            <w:left w:val="none" w:sz="0" w:space="0" w:color="auto"/>
            <w:bottom w:val="none" w:sz="0" w:space="0" w:color="auto"/>
            <w:right w:val="none" w:sz="0" w:space="0" w:color="auto"/>
          </w:divBdr>
        </w:div>
        <w:div w:id="475293418">
          <w:marLeft w:val="2520"/>
          <w:marRight w:val="0"/>
          <w:marTop w:val="58"/>
          <w:marBottom w:val="0"/>
          <w:divBdr>
            <w:top w:val="none" w:sz="0" w:space="0" w:color="auto"/>
            <w:left w:val="none" w:sz="0" w:space="0" w:color="auto"/>
            <w:bottom w:val="none" w:sz="0" w:space="0" w:color="auto"/>
            <w:right w:val="none" w:sz="0" w:space="0" w:color="auto"/>
          </w:divBdr>
        </w:div>
        <w:div w:id="550116252">
          <w:marLeft w:val="547"/>
          <w:marRight w:val="0"/>
          <w:marTop w:val="115"/>
          <w:marBottom w:val="0"/>
          <w:divBdr>
            <w:top w:val="none" w:sz="0" w:space="0" w:color="auto"/>
            <w:left w:val="none" w:sz="0" w:space="0" w:color="auto"/>
            <w:bottom w:val="none" w:sz="0" w:space="0" w:color="auto"/>
            <w:right w:val="none" w:sz="0" w:space="0" w:color="auto"/>
          </w:divBdr>
        </w:div>
        <w:div w:id="949119518">
          <w:marLeft w:val="2520"/>
          <w:marRight w:val="0"/>
          <w:marTop w:val="58"/>
          <w:marBottom w:val="0"/>
          <w:divBdr>
            <w:top w:val="none" w:sz="0" w:space="0" w:color="auto"/>
            <w:left w:val="none" w:sz="0" w:space="0" w:color="auto"/>
            <w:bottom w:val="none" w:sz="0" w:space="0" w:color="auto"/>
            <w:right w:val="none" w:sz="0" w:space="0" w:color="auto"/>
          </w:divBdr>
        </w:div>
        <w:div w:id="1067145560">
          <w:marLeft w:val="1166"/>
          <w:marRight w:val="0"/>
          <w:marTop w:val="96"/>
          <w:marBottom w:val="0"/>
          <w:divBdr>
            <w:top w:val="none" w:sz="0" w:space="0" w:color="auto"/>
            <w:left w:val="none" w:sz="0" w:space="0" w:color="auto"/>
            <w:bottom w:val="none" w:sz="0" w:space="0" w:color="auto"/>
            <w:right w:val="none" w:sz="0" w:space="0" w:color="auto"/>
          </w:divBdr>
        </w:div>
        <w:div w:id="1544175701">
          <w:marLeft w:val="1166"/>
          <w:marRight w:val="0"/>
          <w:marTop w:val="96"/>
          <w:marBottom w:val="0"/>
          <w:divBdr>
            <w:top w:val="none" w:sz="0" w:space="0" w:color="auto"/>
            <w:left w:val="none" w:sz="0" w:space="0" w:color="auto"/>
            <w:bottom w:val="none" w:sz="0" w:space="0" w:color="auto"/>
            <w:right w:val="none" w:sz="0" w:space="0" w:color="auto"/>
          </w:divBdr>
        </w:div>
        <w:div w:id="1856726534">
          <w:marLeft w:val="1166"/>
          <w:marRight w:val="0"/>
          <w:marTop w:val="96"/>
          <w:marBottom w:val="0"/>
          <w:divBdr>
            <w:top w:val="none" w:sz="0" w:space="0" w:color="auto"/>
            <w:left w:val="none" w:sz="0" w:space="0" w:color="auto"/>
            <w:bottom w:val="none" w:sz="0" w:space="0" w:color="auto"/>
            <w:right w:val="none" w:sz="0" w:space="0" w:color="auto"/>
          </w:divBdr>
        </w:div>
      </w:divsChild>
    </w:div>
    <w:div w:id="752582479">
      <w:bodyDiv w:val="1"/>
      <w:marLeft w:val="0"/>
      <w:marRight w:val="0"/>
      <w:marTop w:val="0"/>
      <w:marBottom w:val="0"/>
      <w:divBdr>
        <w:top w:val="none" w:sz="0" w:space="0" w:color="auto"/>
        <w:left w:val="none" w:sz="0" w:space="0" w:color="auto"/>
        <w:bottom w:val="none" w:sz="0" w:space="0" w:color="auto"/>
        <w:right w:val="none" w:sz="0" w:space="0" w:color="auto"/>
      </w:divBdr>
      <w:divsChild>
        <w:div w:id="620578043">
          <w:marLeft w:val="806"/>
          <w:marRight w:val="0"/>
          <w:marTop w:val="120"/>
          <w:marBottom w:val="0"/>
          <w:divBdr>
            <w:top w:val="none" w:sz="0" w:space="0" w:color="auto"/>
            <w:left w:val="none" w:sz="0" w:space="0" w:color="auto"/>
            <w:bottom w:val="none" w:sz="0" w:space="0" w:color="auto"/>
            <w:right w:val="none" w:sz="0" w:space="0" w:color="auto"/>
          </w:divBdr>
        </w:div>
        <w:div w:id="654525730">
          <w:marLeft w:val="1354"/>
          <w:marRight w:val="0"/>
          <w:marTop w:val="120"/>
          <w:marBottom w:val="0"/>
          <w:divBdr>
            <w:top w:val="none" w:sz="0" w:space="0" w:color="auto"/>
            <w:left w:val="none" w:sz="0" w:space="0" w:color="auto"/>
            <w:bottom w:val="none" w:sz="0" w:space="0" w:color="auto"/>
            <w:right w:val="none" w:sz="0" w:space="0" w:color="auto"/>
          </w:divBdr>
        </w:div>
        <w:div w:id="926622013">
          <w:marLeft w:val="806"/>
          <w:marRight w:val="0"/>
          <w:marTop w:val="120"/>
          <w:marBottom w:val="0"/>
          <w:divBdr>
            <w:top w:val="none" w:sz="0" w:space="0" w:color="auto"/>
            <w:left w:val="none" w:sz="0" w:space="0" w:color="auto"/>
            <w:bottom w:val="none" w:sz="0" w:space="0" w:color="auto"/>
            <w:right w:val="none" w:sz="0" w:space="0" w:color="auto"/>
          </w:divBdr>
        </w:div>
        <w:div w:id="932858540">
          <w:marLeft w:val="1354"/>
          <w:marRight w:val="0"/>
          <w:marTop w:val="120"/>
          <w:marBottom w:val="0"/>
          <w:divBdr>
            <w:top w:val="none" w:sz="0" w:space="0" w:color="auto"/>
            <w:left w:val="none" w:sz="0" w:space="0" w:color="auto"/>
            <w:bottom w:val="none" w:sz="0" w:space="0" w:color="auto"/>
            <w:right w:val="none" w:sz="0" w:space="0" w:color="auto"/>
          </w:divBdr>
        </w:div>
        <w:div w:id="1789929752">
          <w:marLeft w:val="274"/>
          <w:marRight w:val="0"/>
          <w:marTop w:val="120"/>
          <w:marBottom w:val="0"/>
          <w:divBdr>
            <w:top w:val="none" w:sz="0" w:space="0" w:color="auto"/>
            <w:left w:val="none" w:sz="0" w:space="0" w:color="auto"/>
            <w:bottom w:val="none" w:sz="0" w:space="0" w:color="auto"/>
            <w:right w:val="none" w:sz="0" w:space="0" w:color="auto"/>
          </w:divBdr>
        </w:div>
      </w:divsChild>
    </w:div>
    <w:div w:id="752707437">
      <w:bodyDiv w:val="1"/>
      <w:marLeft w:val="0"/>
      <w:marRight w:val="0"/>
      <w:marTop w:val="0"/>
      <w:marBottom w:val="0"/>
      <w:divBdr>
        <w:top w:val="none" w:sz="0" w:space="0" w:color="auto"/>
        <w:left w:val="none" w:sz="0" w:space="0" w:color="auto"/>
        <w:bottom w:val="none" w:sz="0" w:space="0" w:color="auto"/>
        <w:right w:val="none" w:sz="0" w:space="0" w:color="auto"/>
      </w:divBdr>
    </w:div>
    <w:div w:id="753548878">
      <w:bodyDiv w:val="1"/>
      <w:marLeft w:val="0"/>
      <w:marRight w:val="0"/>
      <w:marTop w:val="0"/>
      <w:marBottom w:val="0"/>
      <w:divBdr>
        <w:top w:val="none" w:sz="0" w:space="0" w:color="auto"/>
        <w:left w:val="none" w:sz="0" w:space="0" w:color="auto"/>
        <w:bottom w:val="none" w:sz="0" w:space="0" w:color="auto"/>
        <w:right w:val="none" w:sz="0" w:space="0" w:color="auto"/>
      </w:divBdr>
      <w:divsChild>
        <w:div w:id="895706421">
          <w:marLeft w:val="547"/>
          <w:marRight w:val="0"/>
          <w:marTop w:val="115"/>
          <w:marBottom w:val="0"/>
          <w:divBdr>
            <w:top w:val="none" w:sz="0" w:space="0" w:color="auto"/>
            <w:left w:val="none" w:sz="0" w:space="0" w:color="auto"/>
            <w:bottom w:val="none" w:sz="0" w:space="0" w:color="auto"/>
            <w:right w:val="none" w:sz="0" w:space="0" w:color="auto"/>
          </w:divBdr>
        </w:div>
        <w:div w:id="976493752">
          <w:marLeft w:val="1166"/>
          <w:marRight w:val="0"/>
          <w:marTop w:val="96"/>
          <w:marBottom w:val="0"/>
          <w:divBdr>
            <w:top w:val="none" w:sz="0" w:space="0" w:color="auto"/>
            <w:left w:val="none" w:sz="0" w:space="0" w:color="auto"/>
            <w:bottom w:val="none" w:sz="0" w:space="0" w:color="auto"/>
            <w:right w:val="none" w:sz="0" w:space="0" w:color="auto"/>
          </w:divBdr>
        </w:div>
        <w:div w:id="1442804388">
          <w:marLeft w:val="1166"/>
          <w:marRight w:val="0"/>
          <w:marTop w:val="96"/>
          <w:marBottom w:val="0"/>
          <w:divBdr>
            <w:top w:val="none" w:sz="0" w:space="0" w:color="auto"/>
            <w:left w:val="none" w:sz="0" w:space="0" w:color="auto"/>
            <w:bottom w:val="none" w:sz="0" w:space="0" w:color="auto"/>
            <w:right w:val="none" w:sz="0" w:space="0" w:color="auto"/>
          </w:divBdr>
        </w:div>
      </w:divsChild>
    </w:div>
    <w:div w:id="753553287">
      <w:bodyDiv w:val="1"/>
      <w:marLeft w:val="0"/>
      <w:marRight w:val="0"/>
      <w:marTop w:val="0"/>
      <w:marBottom w:val="0"/>
      <w:divBdr>
        <w:top w:val="none" w:sz="0" w:space="0" w:color="auto"/>
        <w:left w:val="none" w:sz="0" w:space="0" w:color="auto"/>
        <w:bottom w:val="none" w:sz="0" w:space="0" w:color="auto"/>
        <w:right w:val="none" w:sz="0" w:space="0" w:color="auto"/>
      </w:divBdr>
    </w:div>
    <w:div w:id="756025097">
      <w:bodyDiv w:val="1"/>
      <w:marLeft w:val="0"/>
      <w:marRight w:val="0"/>
      <w:marTop w:val="0"/>
      <w:marBottom w:val="0"/>
      <w:divBdr>
        <w:top w:val="none" w:sz="0" w:space="0" w:color="auto"/>
        <w:left w:val="none" w:sz="0" w:space="0" w:color="auto"/>
        <w:bottom w:val="none" w:sz="0" w:space="0" w:color="auto"/>
        <w:right w:val="none" w:sz="0" w:space="0" w:color="auto"/>
      </w:divBdr>
      <w:divsChild>
        <w:div w:id="166135101">
          <w:marLeft w:val="1166"/>
          <w:marRight w:val="0"/>
          <w:marTop w:val="96"/>
          <w:marBottom w:val="0"/>
          <w:divBdr>
            <w:top w:val="none" w:sz="0" w:space="0" w:color="auto"/>
            <w:left w:val="none" w:sz="0" w:space="0" w:color="auto"/>
            <w:bottom w:val="none" w:sz="0" w:space="0" w:color="auto"/>
            <w:right w:val="none" w:sz="0" w:space="0" w:color="auto"/>
          </w:divBdr>
        </w:div>
        <w:div w:id="197087939">
          <w:marLeft w:val="547"/>
          <w:marRight w:val="0"/>
          <w:marTop w:val="115"/>
          <w:marBottom w:val="0"/>
          <w:divBdr>
            <w:top w:val="none" w:sz="0" w:space="0" w:color="auto"/>
            <w:left w:val="none" w:sz="0" w:space="0" w:color="auto"/>
            <w:bottom w:val="none" w:sz="0" w:space="0" w:color="auto"/>
            <w:right w:val="none" w:sz="0" w:space="0" w:color="auto"/>
          </w:divBdr>
        </w:div>
        <w:div w:id="407776967">
          <w:marLeft w:val="1800"/>
          <w:marRight w:val="0"/>
          <w:marTop w:val="86"/>
          <w:marBottom w:val="0"/>
          <w:divBdr>
            <w:top w:val="none" w:sz="0" w:space="0" w:color="auto"/>
            <w:left w:val="none" w:sz="0" w:space="0" w:color="auto"/>
            <w:bottom w:val="none" w:sz="0" w:space="0" w:color="auto"/>
            <w:right w:val="none" w:sz="0" w:space="0" w:color="auto"/>
          </w:divBdr>
        </w:div>
        <w:div w:id="1492990311">
          <w:marLeft w:val="1800"/>
          <w:marRight w:val="0"/>
          <w:marTop w:val="86"/>
          <w:marBottom w:val="0"/>
          <w:divBdr>
            <w:top w:val="none" w:sz="0" w:space="0" w:color="auto"/>
            <w:left w:val="none" w:sz="0" w:space="0" w:color="auto"/>
            <w:bottom w:val="none" w:sz="0" w:space="0" w:color="auto"/>
            <w:right w:val="none" w:sz="0" w:space="0" w:color="auto"/>
          </w:divBdr>
        </w:div>
        <w:div w:id="1866793526">
          <w:marLeft w:val="547"/>
          <w:marRight w:val="0"/>
          <w:marTop w:val="115"/>
          <w:marBottom w:val="0"/>
          <w:divBdr>
            <w:top w:val="none" w:sz="0" w:space="0" w:color="auto"/>
            <w:left w:val="none" w:sz="0" w:space="0" w:color="auto"/>
            <w:bottom w:val="none" w:sz="0" w:space="0" w:color="auto"/>
            <w:right w:val="none" w:sz="0" w:space="0" w:color="auto"/>
          </w:divBdr>
        </w:div>
      </w:divsChild>
    </w:div>
    <w:div w:id="756559975">
      <w:bodyDiv w:val="1"/>
      <w:marLeft w:val="0"/>
      <w:marRight w:val="0"/>
      <w:marTop w:val="0"/>
      <w:marBottom w:val="0"/>
      <w:divBdr>
        <w:top w:val="none" w:sz="0" w:space="0" w:color="auto"/>
        <w:left w:val="none" w:sz="0" w:space="0" w:color="auto"/>
        <w:bottom w:val="none" w:sz="0" w:space="0" w:color="auto"/>
        <w:right w:val="none" w:sz="0" w:space="0" w:color="auto"/>
      </w:divBdr>
    </w:div>
    <w:div w:id="756942628">
      <w:bodyDiv w:val="1"/>
      <w:marLeft w:val="0"/>
      <w:marRight w:val="0"/>
      <w:marTop w:val="0"/>
      <w:marBottom w:val="0"/>
      <w:divBdr>
        <w:top w:val="none" w:sz="0" w:space="0" w:color="auto"/>
        <w:left w:val="none" w:sz="0" w:space="0" w:color="auto"/>
        <w:bottom w:val="none" w:sz="0" w:space="0" w:color="auto"/>
        <w:right w:val="none" w:sz="0" w:space="0" w:color="auto"/>
      </w:divBdr>
    </w:div>
    <w:div w:id="757292038">
      <w:bodyDiv w:val="1"/>
      <w:marLeft w:val="0"/>
      <w:marRight w:val="0"/>
      <w:marTop w:val="0"/>
      <w:marBottom w:val="0"/>
      <w:divBdr>
        <w:top w:val="none" w:sz="0" w:space="0" w:color="auto"/>
        <w:left w:val="none" w:sz="0" w:space="0" w:color="auto"/>
        <w:bottom w:val="none" w:sz="0" w:space="0" w:color="auto"/>
        <w:right w:val="none" w:sz="0" w:space="0" w:color="auto"/>
      </w:divBdr>
    </w:div>
    <w:div w:id="757751655">
      <w:bodyDiv w:val="1"/>
      <w:marLeft w:val="0"/>
      <w:marRight w:val="0"/>
      <w:marTop w:val="0"/>
      <w:marBottom w:val="0"/>
      <w:divBdr>
        <w:top w:val="none" w:sz="0" w:space="0" w:color="auto"/>
        <w:left w:val="none" w:sz="0" w:space="0" w:color="auto"/>
        <w:bottom w:val="none" w:sz="0" w:space="0" w:color="auto"/>
        <w:right w:val="none" w:sz="0" w:space="0" w:color="auto"/>
      </w:divBdr>
      <w:divsChild>
        <w:div w:id="337925397">
          <w:marLeft w:val="547"/>
          <w:marRight w:val="0"/>
          <w:marTop w:val="96"/>
          <w:marBottom w:val="0"/>
          <w:divBdr>
            <w:top w:val="none" w:sz="0" w:space="0" w:color="auto"/>
            <w:left w:val="none" w:sz="0" w:space="0" w:color="auto"/>
            <w:bottom w:val="none" w:sz="0" w:space="0" w:color="auto"/>
            <w:right w:val="none" w:sz="0" w:space="0" w:color="auto"/>
          </w:divBdr>
        </w:div>
        <w:div w:id="851459968">
          <w:marLeft w:val="547"/>
          <w:marRight w:val="0"/>
          <w:marTop w:val="96"/>
          <w:marBottom w:val="0"/>
          <w:divBdr>
            <w:top w:val="none" w:sz="0" w:space="0" w:color="auto"/>
            <w:left w:val="none" w:sz="0" w:space="0" w:color="auto"/>
            <w:bottom w:val="none" w:sz="0" w:space="0" w:color="auto"/>
            <w:right w:val="none" w:sz="0" w:space="0" w:color="auto"/>
          </w:divBdr>
        </w:div>
        <w:div w:id="1100296293">
          <w:marLeft w:val="547"/>
          <w:marRight w:val="0"/>
          <w:marTop w:val="96"/>
          <w:marBottom w:val="0"/>
          <w:divBdr>
            <w:top w:val="none" w:sz="0" w:space="0" w:color="auto"/>
            <w:left w:val="none" w:sz="0" w:space="0" w:color="auto"/>
            <w:bottom w:val="none" w:sz="0" w:space="0" w:color="auto"/>
            <w:right w:val="none" w:sz="0" w:space="0" w:color="auto"/>
          </w:divBdr>
        </w:div>
        <w:div w:id="1523974202">
          <w:marLeft w:val="1166"/>
          <w:marRight w:val="0"/>
          <w:marTop w:val="77"/>
          <w:marBottom w:val="0"/>
          <w:divBdr>
            <w:top w:val="none" w:sz="0" w:space="0" w:color="auto"/>
            <w:left w:val="none" w:sz="0" w:space="0" w:color="auto"/>
            <w:bottom w:val="none" w:sz="0" w:space="0" w:color="auto"/>
            <w:right w:val="none" w:sz="0" w:space="0" w:color="auto"/>
          </w:divBdr>
        </w:div>
      </w:divsChild>
    </w:div>
    <w:div w:id="760178629">
      <w:bodyDiv w:val="1"/>
      <w:marLeft w:val="0"/>
      <w:marRight w:val="0"/>
      <w:marTop w:val="0"/>
      <w:marBottom w:val="0"/>
      <w:divBdr>
        <w:top w:val="none" w:sz="0" w:space="0" w:color="auto"/>
        <w:left w:val="none" w:sz="0" w:space="0" w:color="auto"/>
        <w:bottom w:val="none" w:sz="0" w:space="0" w:color="auto"/>
        <w:right w:val="none" w:sz="0" w:space="0" w:color="auto"/>
      </w:divBdr>
      <w:divsChild>
        <w:div w:id="475534910">
          <w:marLeft w:val="1166"/>
          <w:marRight w:val="0"/>
          <w:marTop w:val="77"/>
          <w:marBottom w:val="0"/>
          <w:divBdr>
            <w:top w:val="none" w:sz="0" w:space="0" w:color="auto"/>
            <w:left w:val="none" w:sz="0" w:space="0" w:color="auto"/>
            <w:bottom w:val="none" w:sz="0" w:space="0" w:color="auto"/>
            <w:right w:val="none" w:sz="0" w:space="0" w:color="auto"/>
          </w:divBdr>
        </w:div>
        <w:div w:id="577519428">
          <w:marLeft w:val="1800"/>
          <w:marRight w:val="0"/>
          <w:marTop w:val="67"/>
          <w:marBottom w:val="0"/>
          <w:divBdr>
            <w:top w:val="none" w:sz="0" w:space="0" w:color="auto"/>
            <w:left w:val="none" w:sz="0" w:space="0" w:color="auto"/>
            <w:bottom w:val="none" w:sz="0" w:space="0" w:color="auto"/>
            <w:right w:val="none" w:sz="0" w:space="0" w:color="auto"/>
          </w:divBdr>
        </w:div>
        <w:div w:id="693463751">
          <w:marLeft w:val="1800"/>
          <w:marRight w:val="0"/>
          <w:marTop w:val="67"/>
          <w:marBottom w:val="0"/>
          <w:divBdr>
            <w:top w:val="none" w:sz="0" w:space="0" w:color="auto"/>
            <w:left w:val="none" w:sz="0" w:space="0" w:color="auto"/>
            <w:bottom w:val="none" w:sz="0" w:space="0" w:color="auto"/>
            <w:right w:val="none" w:sz="0" w:space="0" w:color="auto"/>
          </w:divBdr>
        </w:div>
        <w:div w:id="737362389">
          <w:marLeft w:val="1166"/>
          <w:marRight w:val="0"/>
          <w:marTop w:val="77"/>
          <w:marBottom w:val="0"/>
          <w:divBdr>
            <w:top w:val="none" w:sz="0" w:space="0" w:color="auto"/>
            <w:left w:val="none" w:sz="0" w:space="0" w:color="auto"/>
            <w:bottom w:val="none" w:sz="0" w:space="0" w:color="auto"/>
            <w:right w:val="none" w:sz="0" w:space="0" w:color="auto"/>
          </w:divBdr>
        </w:div>
        <w:div w:id="928150874">
          <w:marLeft w:val="1800"/>
          <w:marRight w:val="0"/>
          <w:marTop w:val="67"/>
          <w:marBottom w:val="0"/>
          <w:divBdr>
            <w:top w:val="none" w:sz="0" w:space="0" w:color="auto"/>
            <w:left w:val="none" w:sz="0" w:space="0" w:color="auto"/>
            <w:bottom w:val="none" w:sz="0" w:space="0" w:color="auto"/>
            <w:right w:val="none" w:sz="0" w:space="0" w:color="auto"/>
          </w:divBdr>
        </w:div>
        <w:div w:id="928587257">
          <w:marLeft w:val="1166"/>
          <w:marRight w:val="0"/>
          <w:marTop w:val="77"/>
          <w:marBottom w:val="0"/>
          <w:divBdr>
            <w:top w:val="none" w:sz="0" w:space="0" w:color="auto"/>
            <w:left w:val="none" w:sz="0" w:space="0" w:color="auto"/>
            <w:bottom w:val="none" w:sz="0" w:space="0" w:color="auto"/>
            <w:right w:val="none" w:sz="0" w:space="0" w:color="auto"/>
          </w:divBdr>
        </w:div>
        <w:div w:id="1024795188">
          <w:marLeft w:val="1166"/>
          <w:marRight w:val="0"/>
          <w:marTop w:val="77"/>
          <w:marBottom w:val="0"/>
          <w:divBdr>
            <w:top w:val="none" w:sz="0" w:space="0" w:color="auto"/>
            <w:left w:val="none" w:sz="0" w:space="0" w:color="auto"/>
            <w:bottom w:val="none" w:sz="0" w:space="0" w:color="auto"/>
            <w:right w:val="none" w:sz="0" w:space="0" w:color="auto"/>
          </w:divBdr>
        </w:div>
        <w:div w:id="1476140461">
          <w:marLeft w:val="1800"/>
          <w:marRight w:val="0"/>
          <w:marTop w:val="67"/>
          <w:marBottom w:val="0"/>
          <w:divBdr>
            <w:top w:val="none" w:sz="0" w:space="0" w:color="auto"/>
            <w:left w:val="none" w:sz="0" w:space="0" w:color="auto"/>
            <w:bottom w:val="none" w:sz="0" w:space="0" w:color="auto"/>
            <w:right w:val="none" w:sz="0" w:space="0" w:color="auto"/>
          </w:divBdr>
        </w:div>
        <w:div w:id="1669407557">
          <w:marLeft w:val="547"/>
          <w:marRight w:val="0"/>
          <w:marTop w:val="86"/>
          <w:marBottom w:val="0"/>
          <w:divBdr>
            <w:top w:val="none" w:sz="0" w:space="0" w:color="auto"/>
            <w:left w:val="none" w:sz="0" w:space="0" w:color="auto"/>
            <w:bottom w:val="none" w:sz="0" w:space="0" w:color="auto"/>
            <w:right w:val="none" w:sz="0" w:space="0" w:color="auto"/>
          </w:divBdr>
        </w:div>
      </w:divsChild>
    </w:div>
    <w:div w:id="760956660">
      <w:bodyDiv w:val="1"/>
      <w:marLeft w:val="0"/>
      <w:marRight w:val="0"/>
      <w:marTop w:val="0"/>
      <w:marBottom w:val="0"/>
      <w:divBdr>
        <w:top w:val="none" w:sz="0" w:space="0" w:color="auto"/>
        <w:left w:val="none" w:sz="0" w:space="0" w:color="auto"/>
        <w:bottom w:val="none" w:sz="0" w:space="0" w:color="auto"/>
        <w:right w:val="none" w:sz="0" w:space="0" w:color="auto"/>
      </w:divBdr>
    </w:div>
    <w:div w:id="764958739">
      <w:bodyDiv w:val="1"/>
      <w:marLeft w:val="0"/>
      <w:marRight w:val="0"/>
      <w:marTop w:val="0"/>
      <w:marBottom w:val="0"/>
      <w:divBdr>
        <w:top w:val="none" w:sz="0" w:space="0" w:color="auto"/>
        <w:left w:val="none" w:sz="0" w:space="0" w:color="auto"/>
        <w:bottom w:val="none" w:sz="0" w:space="0" w:color="auto"/>
        <w:right w:val="none" w:sz="0" w:space="0" w:color="auto"/>
      </w:divBdr>
      <w:divsChild>
        <w:div w:id="66077333">
          <w:marLeft w:val="1800"/>
          <w:marRight w:val="0"/>
          <w:marTop w:val="86"/>
          <w:marBottom w:val="120"/>
          <w:divBdr>
            <w:top w:val="none" w:sz="0" w:space="0" w:color="auto"/>
            <w:left w:val="none" w:sz="0" w:space="0" w:color="auto"/>
            <w:bottom w:val="none" w:sz="0" w:space="0" w:color="auto"/>
            <w:right w:val="none" w:sz="0" w:space="0" w:color="auto"/>
          </w:divBdr>
        </w:div>
        <w:div w:id="366419075">
          <w:marLeft w:val="1166"/>
          <w:marRight w:val="0"/>
          <w:marTop w:val="96"/>
          <w:marBottom w:val="120"/>
          <w:divBdr>
            <w:top w:val="none" w:sz="0" w:space="0" w:color="auto"/>
            <w:left w:val="none" w:sz="0" w:space="0" w:color="auto"/>
            <w:bottom w:val="none" w:sz="0" w:space="0" w:color="auto"/>
            <w:right w:val="none" w:sz="0" w:space="0" w:color="auto"/>
          </w:divBdr>
        </w:div>
        <w:div w:id="395520706">
          <w:marLeft w:val="1166"/>
          <w:marRight w:val="0"/>
          <w:marTop w:val="96"/>
          <w:marBottom w:val="120"/>
          <w:divBdr>
            <w:top w:val="none" w:sz="0" w:space="0" w:color="auto"/>
            <w:left w:val="none" w:sz="0" w:space="0" w:color="auto"/>
            <w:bottom w:val="none" w:sz="0" w:space="0" w:color="auto"/>
            <w:right w:val="none" w:sz="0" w:space="0" w:color="auto"/>
          </w:divBdr>
        </w:div>
        <w:div w:id="630554136">
          <w:marLeft w:val="1800"/>
          <w:marRight w:val="0"/>
          <w:marTop w:val="86"/>
          <w:marBottom w:val="120"/>
          <w:divBdr>
            <w:top w:val="none" w:sz="0" w:space="0" w:color="auto"/>
            <w:left w:val="none" w:sz="0" w:space="0" w:color="auto"/>
            <w:bottom w:val="none" w:sz="0" w:space="0" w:color="auto"/>
            <w:right w:val="none" w:sz="0" w:space="0" w:color="auto"/>
          </w:divBdr>
        </w:div>
        <w:div w:id="1092627718">
          <w:marLeft w:val="1800"/>
          <w:marRight w:val="0"/>
          <w:marTop w:val="86"/>
          <w:marBottom w:val="120"/>
          <w:divBdr>
            <w:top w:val="none" w:sz="0" w:space="0" w:color="auto"/>
            <w:left w:val="none" w:sz="0" w:space="0" w:color="auto"/>
            <w:bottom w:val="none" w:sz="0" w:space="0" w:color="auto"/>
            <w:right w:val="none" w:sz="0" w:space="0" w:color="auto"/>
          </w:divBdr>
        </w:div>
        <w:div w:id="1712532464">
          <w:marLeft w:val="1800"/>
          <w:marRight w:val="0"/>
          <w:marTop w:val="86"/>
          <w:marBottom w:val="120"/>
          <w:divBdr>
            <w:top w:val="none" w:sz="0" w:space="0" w:color="auto"/>
            <w:left w:val="none" w:sz="0" w:space="0" w:color="auto"/>
            <w:bottom w:val="none" w:sz="0" w:space="0" w:color="auto"/>
            <w:right w:val="none" w:sz="0" w:space="0" w:color="auto"/>
          </w:divBdr>
        </w:div>
        <w:div w:id="1770082886">
          <w:marLeft w:val="547"/>
          <w:marRight w:val="0"/>
          <w:marTop w:val="134"/>
          <w:marBottom w:val="120"/>
          <w:divBdr>
            <w:top w:val="none" w:sz="0" w:space="0" w:color="auto"/>
            <w:left w:val="none" w:sz="0" w:space="0" w:color="auto"/>
            <w:bottom w:val="none" w:sz="0" w:space="0" w:color="auto"/>
            <w:right w:val="none" w:sz="0" w:space="0" w:color="auto"/>
          </w:divBdr>
        </w:div>
        <w:div w:id="1960339157">
          <w:marLeft w:val="1166"/>
          <w:marRight w:val="0"/>
          <w:marTop w:val="96"/>
          <w:marBottom w:val="120"/>
          <w:divBdr>
            <w:top w:val="none" w:sz="0" w:space="0" w:color="auto"/>
            <w:left w:val="none" w:sz="0" w:space="0" w:color="auto"/>
            <w:bottom w:val="none" w:sz="0" w:space="0" w:color="auto"/>
            <w:right w:val="none" w:sz="0" w:space="0" w:color="auto"/>
          </w:divBdr>
        </w:div>
        <w:div w:id="2137406907">
          <w:marLeft w:val="1166"/>
          <w:marRight w:val="0"/>
          <w:marTop w:val="96"/>
          <w:marBottom w:val="120"/>
          <w:divBdr>
            <w:top w:val="none" w:sz="0" w:space="0" w:color="auto"/>
            <w:left w:val="none" w:sz="0" w:space="0" w:color="auto"/>
            <w:bottom w:val="none" w:sz="0" w:space="0" w:color="auto"/>
            <w:right w:val="none" w:sz="0" w:space="0" w:color="auto"/>
          </w:divBdr>
        </w:div>
      </w:divsChild>
    </w:div>
    <w:div w:id="765006326">
      <w:bodyDiv w:val="1"/>
      <w:marLeft w:val="0"/>
      <w:marRight w:val="0"/>
      <w:marTop w:val="0"/>
      <w:marBottom w:val="0"/>
      <w:divBdr>
        <w:top w:val="none" w:sz="0" w:space="0" w:color="auto"/>
        <w:left w:val="none" w:sz="0" w:space="0" w:color="auto"/>
        <w:bottom w:val="none" w:sz="0" w:space="0" w:color="auto"/>
        <w:right w:val="none" w:sz="0" w:space="0" w:color="auto"/>
      </w:divBdr>
    </w:div>
    <w:div w:id="765079258">
      <w:bodyDiv w:val="1"/>
      <w:marLeft w:val="0"/>
      <w:marRight w:val="0"/>
      <w:marTop w:val="0"/>
      <w:marBottom w:val="0"/>
      <w:divBdr>
        <w:top w:val="none" w:sz="0" w:space="0" w:color="auto"/>
        <w:left w:val="none" w:sz="0" w:space="0" w:color="auto"/>
        <w:bottom w:val="none" w:sz="0" w:space="0" w:color="auto"/>
        <w:right w:val="none" w:sz="0" w:space="0" w:color="auto"/>
      </w:divBdr>
    </w:div>
    <w:div w:id="765616291">
      <w:bodyDiv w:val="1"/>
      <w:marLeft w:val="0"/>
      <w:marRight w:val="0"/>
      <w:marTop w:val="0"/>
      <w:marBottom w:val="0"/>
      <w:divBdr>
        <w:top w:val="none" w:sz="0" w:space="0" w:color="auto"/>
        <w:left w:val="none" w:sz="0" w:space="0" w:color="auto"/>
        <w:bottom w:val="none" w:sz="0" w:space="0" w:color="auto"/>
        <w:right w:val="none" w:sz="0" w:space="0" w:color="auto"/>
      </w:divBdr>
    </w:div>
    <w:div w:id="766074069">
      <w:bodyDiv w:val="1"/>
      <w:marLeft w:val="0"/>
      <w:marRight w:val="0"/>
      <w:marTop w:val="0"/>
      <w:marBottom w:val="0"/>
      <w:divBdr>
        <w:top w:val="none" w:sz="0" w:space="0" w:color="auto"/>
        <w:left w:val="none" w:sz="0" w:space="0" w:color="auto"/>
        <w:bottom w:val="none" w:sz="0" w:space="0" w:color="auto"/>
        <w:right w:val="none" w:sz="0" w:space="0" w:color="auto"/>
      </w:divBdr>
    </w:div>
    <w:div w:id="766971085">
      <w:bodyDiv w:val="1"/>
      <w:marLeft w:val="0"/>
      <w:marRight w:val="0"/>
      <w:marTop w:val="0"/>
      <w:marBottom w:val="0"/>
      <w:divBdr>
        <w:top w:val="none" w:sz="0" w:space="0" w:color="auto"/>
        <w:left w:val="none" w:sz="0" w:space="0" w:color="auto"/>
        <w:bottom w:val="none" w:sz="0" w:space="0" w:color="auto"/>
        <w:right w:val="none" w:sz="0" w:space="0" w:color="auto"/>
      </w:divBdr>
      <w:divsChild>
        <w:div w:id="125245748">
          <w:marLeft w:val="1166"/>
          <w:marRight w:val="0"/>
          <w:marTop w:val="134"/>
          <w:marBottom w:val="0"/>
          <w:divBdr>
            <w:top w:val="none" w:sz="0" w:space="0" w:color="auto"/>
            <w:left w:val="none" w:sz="0" w:space="0" w:color="auto"/>
            <w:bottom w:val="none" w:sz="0" w:space="0" w:color="auto"/>
            <w:right w:val="none" w:sz="0" w:space="0" w:color="auto"/>
          </w:divBdr>
        </w:div>
        <w:div w:id="1711148214">
          <w:marLeft w:val="1800"/>
          <w:marRight w:val="0"/>
          <w:marTop w:val="134"/>
          <w:marBottom w:val="0"/>
          <w:divBdr>
            <w:top w:val="none" w:sz="0" w:space="0" w:color="auto"/>
            <w:left w:val="none" w:sz="0" w:space="0" w:color="auto"/>
            <w:bottom w:val="none" w:sz="0" w:space="0" w:color="auto"/>
            <w:right w:val="none" w:sz="0" w:space="0" w:color="auto"/>
          </w:divBdr>
        </w:div>
      </w:divsChild>
    </w:div>
    <w:div w:id="767195962">
      <w:bodyDiv w:val="1"/>
      <w:marLeft w:val="0"/>
      <w:marRight w:val="0"/>
      <w:marTop w:val="0"/>
      <w:marBottom w:val="0"/>
      <w:divBdr>
        <w:top w:val="none" w:sz="0" w:space="0" w:color="auto"/>
        <w:left w:val="none" w:sz="0" w:space="0" w:color="auto"/>
        <w:bottom w:val="none" w:sz="0" w:space="0" w:color="auto"/>
        <w:right w:val="none" w:sz="0" w:space="0" w:color="auto"/>
      </w:divBdr>
      <w:divsChild>
        <w:div w:id="52319714">
          <w:marLeft w:val="547"/>
          <w:marRight w:val="0"/>
          <w:marTop w:val="96"/>
          <w:marBottom w:val="0"/>
          <w:divBdr>
            <w:top w:val="none" w:sz="0" w:space="0" w:color="auto"/>
            <w:left w:val="none" w:sz="0" w:space="0" w:color="auto"/>
            <w:bottom w:val="none" w:sz="0" w:space="0" w:color="auto"/>
            <w:right w:val="none" w:sz="0" w:space="0" w:color="auto"/>
          </w:divBdr>
        </w:div>
        <w:div w:id="779953241">
          <w:marLeft w:val="1166"/>
          <w:marRight w:val="0"/>
          <w:marTop w:val="86"/>
          <w:marBottom w:val="0"/>
          <w:divBdr>
            <w:top w:val="none" w:sz="0" w:space="0" w:color="auto"/>
            <w:left w:val="none" w:sz="0" w:space="0" w:color="auto"/>
            <w:bottom w:val="none" w:sz="0" w:space="0" w:color="auto"/>
            <w:right w:val="none" w:sz="0" w:space="0" w:color="auto"/>
          </w:divBdr>
        </w:div>
        <w:div w:id="1092431719">
          <w:marLeft w:val="1166"/>
          <w:marRight w:val="0"/>
          <w:marTop w:val="86"/>
          <w:marBottom w:val="0"/>
          <w:divBdr>
            <w:top w:val="none" w:sz="0" w:space="0" w:color="auto"/>
            <w:left w:val="none" w:sz="0" w:space="0" w:color="auto"/>
            <w:bottom w:val="none" w:sz="0" w:space="0" w:color="auto"/>
            <w:right w:val="none" w:sz="0" w:space="0" w:color="auto"/>
          </w:divBdr>
        </w:div>
        <w:div w:id="2008904146">
          <w:marLeft w:val="1800"/>
          <w:marRight w:val="0"/>
          <w:marTop w:val="67"/>
          <w:marBottom w:val="0"/>
          <w:divBdr>
            <w:top w:val="none" w:sz="0" w:space="0" w:color="auto"/>
            <w:left w:val="none" w:sz="0" w:space="0" w:color="auto"/>
            <w:bottom w:val="none" w:sz="0" w:space="0" w:color="auto"/>
            <w:right w:val="none" w:sz="0" w:space="0" w:color="auto"/>
          </w:divBdr>
        </w:div>
      </w:divsChild>
    </w:div>
    <w:div w:id="768548094">
      <w:bodyDiv w:val="1"/>
      <w:marLeft w:val="0"/>
      <w:marRight w:val="0"/>
      <w:marTop w:val="0"/>
      <w:marBottom w:val="0"/>
      <w:divBdr>
        <w:top w:val="none" w:sz="0" w:space="0" w:color="auto"/>
        <w:left w:val="none" w:sz="0" w:space="0" w:color="auto"/>
        <w:bottom w:val="none" w:sz="0" w:space="0" w:color="auto"/>
        <w:right w:val="none" w:sz="0" w:space="0" w:color="auto"/>
      </w:divBdr>
    </w:div>
    <w:div w:id="769159840">
      <w:bodyDiv w:val="1"/>
      <w:marLeft w:val="0"/>
      <w:marRight w:val="0"/>
      <w:marTop w:val="0"/>
      <w:marBottom w:val="0"/>
      <w:divBdr>
        <w:top w:val="none" w:sz="0" w:space="0" w:color="auto"/>
        <w:left w:val="none" w:sz="0" w:space="0" w:color="auto"/>
        <w:bottom w:val="none" w:sz="0" w:space="0" w:color="auto"/>
        <w:right w:val="none" w:sz="0" w:space="0" w:color="auto"/>
      </w:divBdr>
    </w:div>
    <w:div w:id="769202700">
      <w:bodyDiv w:val="1"/>
      <w:marLeft w:val="0"/>
      <w:marRight w:val="0"/>
      <w:marTop w:val="0"/>
      <w:marBottom w:val="0"/>
      <w:divBdr>
        <w:top w:val="none" w:sz="0" w:space="0" w:color="auto"/>
        <w:left w:val="none" w:sz="0" w:space="0" w:color="auto"/>
        <w:bottom w:val="none" w:sz="0" w:space="0" w:color="auto"/>
        <w:right w:val="none" w:sz="0" w:space="0" w:color="auto"/>
      </w:divBdr>
    </w:div>
    <w:div w:id="770130363">
      <w:bodyDiv w:val="1"/>
      <w:marLeft w:val="0"/>
      <w:marRight w:val="0"/>
      <w:marTop w:val="0"/>
      <w:marBottom w:val="0"/>
      <w:divBdr>
        <w:top w:val="none" w:sz="0" w:space="0" w:color="auto"/>
        <w:left w:val="none" w:sz="0" w:space="0" w:color="auto"/>
        <w:bottom w:val="none" w:sz="0" w:space="0" w:color="auto"/>
        <w:right w:val="none" w:sz="0" w:space="0" w:color="auto"/>
      </w:divBdr>
      <w:divsChild>
        <w:div w:id="990446330">
          <w:marLeft w:val="547"/>
          <w:marRight w:val="0"/>
          <w:marTop w:val="154"/>
          <w:marBottom w:val="0"/>
          <w:divBdr>
            <w:top w:val="none" w:sz="0" w:space="0" w:color="auto"/>
            <w:left w:val="none" w:sz="0" w:space="0" w:color="auto"/>
            <w:bottom w:val="none" w:sz="0" w:space="0" w:color="auto"/>
            <w:right w:val="none" w:sz="0" w:space="0" w:color="auto"/>
          </w:divBdr>
        </w:div>
      </w:divsChild>
    </w:div>
    <w:div w:id="770932181">
      <w:bodyDiv w:val="1"/>
      <w:marLeft w:val="0"/>
      <w:marRight w:val="0"/>
      <w:marTop w:val="0"/>
      <w:marBottom w:val="0"/>
      <w:divBdr>
        <w:top w:val="none" w:sz="0" w:space="0" w:color="auto"/>
        <w:left w:val="none" w:sz="0" w:space="0" w:color="auto"/>
        <w:bottom w:val="none" w:sz="0" w:space="0" w:color="auto"/>
        <w:right w:val="none" w:sz="0" w:space="0" w:color="auto"/>
      </w:divBdr>
    </w:div>
    <w:div w:id="771055408">
      <w:bodyDiv w:val="1"/>
      <w:marLeft w:val="0"/>
      <w:marRight w:val="0"/>
      <w:marTop w:val="0"/>
      <w:marBottom w:val="0"/>
      <w:divBdr>
        <w:top w:val="none" w:sz="0" w:space="0" w:color="auto"/>
        <w:left w:val="none" w:sz="0" w:space="0" w:color="auto"/>
        <w:bottom w:val="none" w:sz="0" w:space="0" w:color="auto"/>
        <w:right w:val="none" w:sz="0" w:space="0" w:color="auto"/>
      </w:divBdr>
      <w:divsChild>
        <w:div w:id="373621685">
          <w:marLeft w:val="1267"/>
          <w:marRight w:val="0"/>
          <w:marTop w:val="96"/>
          <w:marBottom w:val="0"/>
          <w:divBdr>
            <w:top w:val="none" w:sz="0" w:space="0" w:color="auto"/>
            <w:left w:val="none" w:sz="0" w:space="0" w:color="auto"/>
            <w:bottom w:val="none" w:sz="0" w:space="0" w:color="auto"/>
            <w:right w:val="none" w:sz="0" w:space="0" w:color="auto"/>
          </w:divBdr>
        </w:div>
      </w:divsChild>
    </w:div>
    <w:div w:id="771164872">
      <w:bodyDiv w:val="1"/>
      <w:marLeft w:val="0"/>
      <w:marRight w:val="0"/>
      <w:marTop w:val="0"/>
      <w:marBottom w:val="0"/>
      <w:divBdr>
        <w:top w:val="none" w:sz="0" w:space="0" w:color="auto"/>
        <w:left w:val="none" w:sz="0" w:space="0" w:color="auto"/>
        <w:bottom w:val="none" w:sz="0" w:space="0" w:color="auto"/>
        <w:right w:val="none" w:sz="0" w:space="0" w:color="auto"/>
      </w:divBdr>
    </w:div>
    <w:div w:id="772821488">
      <w:bodyDiv w:val="1"/>
      <w:marLeft w:val="0"/>
      <w:marRight w:val="0"/>
      <w:marTop w:val="0"/>
      <w:marBottom w:val="0"/>
      <w:divBdr>
        <w:top w:val="none" w:sz="0" w:space="0" w:color="auto"/>
        <w:left w:val="none" w:sz="0" w:space="0" w:color="auto"/>
        <w:bottom w:val="none" w:sz="0" w:space="0" w:color="auto"/>
        <w:right w:val="none" w:sz="0" w:space="0" w:color="auto"/>
      </w:divBdr>
    </w:div>
    <w:div w:id="773479688">
      <w:bodyDiv w:val="1"/>
      <w:marLeft w:val="0"/>
      <w:marRight w:val="0"/>
      <w:marTop w:val="0"/>
      <w:marBottom w:val="0"/>
      <w:divBdr>
        <w:top w:val="none" w:sz="0" w:space="0" w:color="auto"/>
        <w:left w:val="none" w:sz="0" w:space="0" w:color="auto"/>
        <w:bottom w:val="none" w:sz="0" w:space="0" w:color="auto"/>
        <w:right w:val="none" w:sz="0" w:space="0" w:color="auto"/>
      </w:divBdr>
    </w:div>
    <w:div w:id="773599641">
      <w:bodyDiv w:val="1"/>
      <w:marLeft w:val="0"/>
      <w:marRight w:val="0"/>
      <w:marTop w:val="0"/>
      <w:marBottom w:val="0"/>
      <w:divBdr>
        <w:top w:val="none" w:sz="0" w:space="0" w:color="auto"/>
        <w:left w:val="none" w:sz="0" w:space="0" w:color="auto"/>
        <w:bottom w:val="none" w:sz="0" w:space="0" w:color="auto"/>
        <w:right w:val="none" w:sz="0" w:space="0" w:color="auto"/>
      </w:divBdr>
    </w:div>
    <w:div w:id="774520567">
      <w:bodyDiv w:val="1"/>
      <w:marLeft w:val="0"/>
      <w:marRight w:val="0"/>
      <w:marTop w:val="0"/>
      <w:marBottom w:val="0"/>
      <w:divBdr>
        <w:top w:val="none" w:sz="0" w:space="0" w:color="auto"/>
        <w:left w:val="none" w:sz="0" w:space="0" w:color="auto"/>
        <w:bottom w:val="none" w:sz="0" w:space="0" w:color="auto"/>
        <w:right w:val="none" w:sz="0" w:space="0" w:color="auto"/>
      </w:divBdr>
    </w:div>
    <w:div w:id="774714902">
      <w:bodyDiv w:val="1"/>
      <w:marLeft w:val="0"/>
      <w:marRight w:val="0"/>
      <w:marTop w:val="0"/>
      <w:marBottom w:val="0"/>
      <w:divBdr>
        <w:top w:val="none" w:sz="0" w:space="0" w:color="auto"/>
        <w:left w:val="none" w:sz="0" w:space="0" w:color="auto"/>
        <w:bottom w:val="none" w:sz="0" w:space="0" w:color="auto"/>
        <w:right w:val="none" w:sz="0" w:space="0" w:color="auto"/>
      </w:divBdr>
    </w:div>
    <w:div w:id="778254511">
      <w:bodyDiv w:val="1"/>
      <w:marLeft w:val="0"/>
      <w:marRight w:val="0"/>
      <w:marTop w:val="0"/>
      <w:marBottom w:val="0"/>
      <w:divBdr>
        <w:top w:val="none" w:sz="0" w:space="0" w:color="auto"/>
        <w:left w:val="none" w:sz="0" w:space="0" w:color="auto"/>
        <w:bottom w:val="none" w:sz="0" w:space="0" w:color="auto"/>
        <w:right w:val="none" w:sz="0" w:space="0" w:color="auto"/>
      </w:divBdr>
    </w:div>
    <w:div w:id="781144459">
      <w:bodyDiv w:val="1"/>
      <w:marLeft w:val="0"/>
      <w:marRight w:val="0"/>
      <w:marTop w:val="0"/>
      <w:marBottom w:val="0"/>
      <w:divBdr>
        <w:top w:val="none" w:sz="0" w:space="0" w:color="auto"/>
        <w:left w:val="none" w:sz="0" w:space="0" w:color="auto"/>
        <w:bottom w:val="none" w:sz="0" w:space="0" w:color="auto"/>
        <w:right w:val="none" w:sz="0" w:space="0" w:color="auto"/>
      </w:divBdr>
    </w:div>
    <w:div w:id="781612056">
      <w:bodyDiv w:val="1"/>
      <w:marLeft w:val="0"/>
      <w:marRight w:val="0"/>
      <w:marTop w:val="0"/>
      <w:marBottom w:val="0"/>
      <w:divBdr>
        <w:top w:val="none" w:sz="0" w:space="0" w:color="auto"/>
        <w:left w:val="none" w:sz="0" w:space="0" w:color="auto"/>
        <w:bottom w:val="none" w:sz="0" w:space="0" w:color="auto"/>
        <w:right w:val="none" w:sz="0" w:space="0" w:color="auto"/>
      </w:divBdr>
    </w:div>
    <w:div w:id="782578541">
      <w:bodyDiv w:val="1"/>
      <w:marLeft w:val="0"/>
      <w:marRight w:val="0"/>
      <w:marTop w:val="0"/>
      <w:marBottom w:val="0"/>
      <w:divBdr>
        <w:top w:val="none" w:sz="0" w:space="0" w:color="auto"/>
        <w:left w:val="none" w:sz="0" w:space="0" w:color="auto"/>
        <w:bottom w:val="none" w:sz="0" w:space="0" w:color="auto"/>
        <w:right w:val="none" w:sz="0" w:space="0" w:color="auto"/>
      </w:divBdr>
    </w:div>
    <w:div w:id="782765151">
      <w:bodyDiv w:val="1"/>
      <w:marLeft w:val="0"/>
      <w:marRight w:val="0"/>
      <w:marTop w:val="0"/>
      <w:marBottom w:val="0"/>
      <w:divBdr>
        <w:top w:val="none" w:sz="0" w:space="0" w:color="auto"/>
        <w:left w:val="none" w:sz="0" w:space="0" w:color="auto"/>
        <w:bottom w:val="none" w:sz="0" w:space="0" w:color="auto"/>
        <w:right w:val="none" w:sz="0" w:space="0" w:color="auto"/>
      </w:divBdr>
    </w:div>
    <w:div w:id="783426799">
      <w:bodyDiv w:val="1"/>
      <w:marLeft w:val="0"/>
      <w:marRight w:val="0"/>
      <w:marTop w:val="0"/>
      <w:marBottom w:val="0"/>
      <w:divBdr>
        <w:top w:val="none" w:sz="0" w:space="0" w:color="auto"/>
        <w:left w:val="none" w:sz="0" w:space="0" w:color="auto"/>
        <w:bottom w:val="none" w:sz="0" w:space="0" w:color="auto"/>
        <w:right w:val="none" w:sz="0" w:space="0" w:color="auto"/>
      </w:divBdr>
    </w:div>
    <w:div w:id="784082565">
      <w:bodyDiv w:val="1"/>
      <w:marLeft w:val="0"/>
      <w:marRight w:val="0"/>
      <w:marTop w:val="0"/>
      <w:marBottom w:val="0"/>
      <w:divBdr>
        <w:top w:val="none" w:sz="0" w:space="0" w:color="auto"/>
        <w:left w:val="none" w:sz="0" w:space="0" w:color="auto"/>
        <w:bottom w:val="none" w:sz="0" w:space="0" w:color="auto"/>
        <w:right w:val="none" w:sz="0" w:space="0" w:color="auto"/>
      </w:divBdr>
    </w:div>
    <w:div w:id="785273361">
      <w:bodyDiv w:val="1"/>
      <w:marLeft w:val="0"/>
      <w:marRight w:val="0"/>
      <w:marTop w:val="0"/>
      <w:marBottom w:val="0"/>
      <w:divBdr>
        <w:top w:val="none" w:sz="0" w:space="0" w:color="auto"/>
        <w:left w:val="none" w:sz="0" w:space="0" w:color="auto"/>
        <w:bottom w:val="none" w:sz="0" w:space="0" w:color="auto"/>
        <w:right w:val="none" w:sz="0" w:space="0" w:color="auto"/>
      </w:divBdr>
    </w:div>
    <w:div w:id="786968785">
      <w:bodyDiv w:val="1"/>
      <w:marLeft w:val="0"/>
      <w:marRight w:val="0"/>
      <w:marTop w:val="0"/>
      <w:marBottom w:val="0"/>
      <w:divBdr>
        <w:top w:val="none" w:sz="0" w:space="0" w:color="auto"/>
        <w:left w:val="none" w:sz="0" w:space="0" w:color="auto"/>
        <w:bottom w:val="none" w:sz="0" w:space="0" w:color="auto"/>
        <w:right w:val="none" w:sz="0" w:space="0" w:color="auto"/>
      </w:divBdr>
    </w:div>
    <w:div w:id="787240514">
      <w:bodyDiv w:val="1"/>
      <w:marLeft w:val="0"/>
      <w:marRight w:val="0"/>
      <w:marTop w:val="0"/>
      <w:marBottom w:val="0"/>
      <w:divBdr>
        <w:top w:val="none" w:sz="0" w:space="0" w:color="auto"/>
        <w:left w:val="none" w:sz="0" w:space="0" w:color="auto"/>
        <w:bottom w:val="none" w:sz="0" w:space="0" w:color="auto"/>
        <w:right w:val="none" w:sz="0" w:space="0" w:color="auto"/>
      </w:divBdr>
      <w:divsChild>
        <w:div w:id="167986249">
          <w:marLeft w:val="1800"/>
          <w:marRight w:val="0"/>
          <w:marTop w:val="96"/>
          <w:marBottom w:val="0"/>
          <w:divBdr>
            <w:top w:val="none" w:sz="0" w:space="0" w:color="auto"/>
            <w:left w:val="none" w:sz="0" w:space="0" w:color="auto"/>
            <w:bottom w:val="none" w:sz="0" w:space="0" w:color="auto"/>
            <w:right w:val="none" w:sz="0" w:space="0" w:color="auto"/>
          </w:divBdr>
        </w:div>
        <w:div w:id="257062940">
          <w:marLeft w:val="1800"/>
          <w:marRight w:val="0"/>
          <w:marTop w:val="96"/>
          <w:marBottom w:val="0"/>
          <w:divBdr>
            <w:top w:val="none" w:sz="0" w:space="0" w:color="auto"/>
            <w:left w:val="none" w:sz="0" w:space="0" w:color="auto"/>
            <w:bottom w:val="none" w:sz="0" w:space="0" w:color="auto"/>
            <w:right w:val="none" w:sz="0" w:space="0" w:color="auto"/>
          </w:divBdr>
        </w:div>
        <w:div w:id="556665167">
          <w:marLeft w:val="547"/>
          <w:marRight w:val="0"/>
          <w:marTop w:val="134"/>
          <w:marBottom w:val="0"/>
          <w:divBdr>
            <w:top w:val="none" w:sz="0" w:space="0" w:color="auto"/>
            <w:left w:val="none" w:sz="0" w:space="0" w:color="auto"/>
            <w:bottom w:val="none" w:sz="0" w:space="0" w:color="auto"/>
            <w:right w:val="none" w:sz="0" w:space="0" w:color="auto"/>
          </w:divBdr>
        </w:div>
        <w:div w:id="773132352">
          <w:marLeft w:val="1800"/>
          <w:marRight w:val="0"/>
          <w:marTop w:val="96"/>
          <w:marBottom w:val="0"/>
          <w:divBdr>
            <w:top w:val="none" w:sz="0" w:space="0" w:color="auto"/>
            <w:left w:val="none" w:sz="0" w:space="0" w:color="auto"/>
            <w:bottom w:val="none" w:sz="0" w:space="0" w:color="auto"/>
            <w:right w:val="none" w:sz="0" w:space="0" w:color="auto"/>
          </w:divBdr>
        </w:div>
        <w:div w:id="952400433">
          <w:marLeft w:val="1166"/>
          <w:marRight w:val="0"/>
          <w:marTop w:val="115"/>
          <w:marBottom w:val="0"/>
          <w:divBdr>
            <w:top w:val="none" w:sz="0" w:space="0" w:color="auto"/>
            <w:left w:val="none" w:sz="0" w:space="0" w:color="auto"/>
            <w:bottom w:val="none" w:sz="0" w:space="0" w:color="auto"/>
            <w:right w:val="none" w:sz="0" w:space="0" w:color="auto"/>
          </w:divBdr>
        </w:div>
        <w:div w:id="1132477965">
          <w:marLeft w:val="1800"/>
          <w:marRight w:val="0"/>
          <w:marTop w:val="96"/>
          <w:marBottom w:val="0"/>
          <w:divBdr>
            <w:top w:val="none" w:sz="0" w:space="0" w:color="auto"/>
            <w:left w:val="none" w:sz="0" w:space="0" w:color="auto"/>
            <w:bottom w:val="none" w:sz="0" w:space="0" w:color="auto"/>
            <w:right w:val="none" w:sz="0" w:space="0" w:color="auto"/>
          </w:divBdr>
        </w:div>
        <w:div w:id="1224292530">
          <w:marLeft w:val="1800"/>
          <w:marRight w:val="0"/>
          <w:marTop w:val="96"/>
          <w:marBottom w:val="0"/>
          <w:divBdr>
            <w:top w:val="none" w:sz="0" w:space="0" w:color="auto"/>
            <w:left w:val="none" w:sz="0" w:space="0" w:color="auto"/>
            <w:bottom w:val="none" w:sz="0" w:space="0" w:color="auto"/>
            <w:right w:val="none" w:sz="0" w:space="0" w:color="auto"/>
          </w:divBdr>
        </w:div>
      </w:divsChild>
    </w:div>
    <w:div w:id="787548784">
      <w:bodyDiv w:val="1"/>
      <w:marLeft w:val="0"/>
      <w:marRight w:val="0"/>
      <w:marTop w:val="0"/>
      <w:marBottom w:val="0"/>
      <w:divBdr>
        <w:top w:val="none" w:sz="0" w:space="0" w:color="auto"/>
        <w:left w:val="none" w:sz="0" w:space="0" w:color="auto"/>
        <w:bottom w:val="none" w:sz="0" w:space="0" w:color="auto"/>
        <w:right w:val="none" w:sz="0" w:space="0" w:color="auto"/>
      </w:divBdr>
    </w:div>
    <w:div w:id="788351257">
      <w:bodyDiv w:val="1"/>
      <w:marLeft w:val="0"/>
      <w:marRight w:val="0"/>
      <w:marTop w:val="0"/>
      <w:marBottom w:val="0"/>
      <w:divBdr>
        <w:top w:val="none" w:sz="0" w:space="0" w:color="auto"/>
        <w:left w:val="none" w:sz="0" w:space="0" w:color="auto"/>
        <w:bottom w:val="none" w:sz="0" w:space="0" w:color="auto"/>
        <w:right w:val="none" w:sz="0" w:space="0" w:color="auto"/>
      </w:divBdr>
      <w:divsChild>
        <w:div w:id="1126436506">
          <w:marLeft w:val="1166"/>
          <w:marRight w:val="0"/>
          <w:marTop w:val="115"/>
          <w:marBottom w:val="120"/>
          <w:divBdr>
            <w:top w:val="none" w:sz="0" w:space="0" w:color="auto"/>
            <w:left w:val="none" w:sz="0" w:space="0" w:color="auto"/>
            <w:bottom w:val="none" w:sz="0" w:space="0" w:color="auto"/>
            <w:right w:val="none" w:sz="0" w:space="0" w:color="auto"/>
          </w:divBdr>
        </w:div>
        <w:div w:id="1621106974">
          <w:marLeft w:val="547"/>
          <w:marRight w:val="0"/>
          <w:marTop w:val="134"/>
          <w:marBottom w:val="120"/>
          <w:divBdr>
            <w:top w:val="none" w:sz="0" w:space="0" w:color="auto"/>
            <w:left w:val="none" w:sz="0" w:space="0" w:color="auto"/>
            <w:bottom w:val="none" w:sz="0" w:space="0" w:color="auto"/>
            <w:right w:val="none" w:sz="0" w:space="0" w:color="auto"/>
          </w:divBdr>
        </w:div>
      </w:divsChild>
    </w:div>
    <w:div w:id="788623424">
      <w:bodyDiv w:val="1"/>
      <w:marLeft w:val="0"/>
      <w:marRight w:val="0"/>
      <w:marTop w:val="0"/>
      <w:marBottom w:val="0"/>
      <w:divBdr>
        <w:top w:val="none" w:sz="0" w:space="0" w:color="auto"/>
        <w:left w:val="none" w:sz="0" w:space="0" w:color="auto"/>
        <w:bottom w:val="none" w:sz="0" w:space="0" w:color="auto"/>
        <w:right w:val="none" w:sz="0" w:space="0" w:color="auto"/>
      </w:divBdr>
    </w:div>
    <w:div w:id="788745213">
      <w:bodyDiv w:val="1"/>
      <w:marLeft w:val="0"/>
      <w:marRight w:val="0"/>
      <w:marTop w:val="0"/>
      <w:marBottom w:val="0"/>
      <w:divBdr>
        <w:top w:val="none" w:sz="0" w:space="0" w:color="auto"/>
        <w:left w:val="none" w:sz="0" w:space="0" w:color="auto"/>
        <w:bottom w:val="none" w:sz="0" w:space="0" w:color="auto"/>
        <w:right w:val="none" w:sz="0" w:space="0" w:color="auto"/>
      </w:divBdr>
    </w:div>
    <w:div w:id="789393706">
      <w:bodyDiv w:val="1"/>
      <w:marLeft w:val="0"/>
      <w:marRight w:val="0"/>
      <w:marTop w:val="0"/>
      <w:marBottom w:val="0"/>
      <w:divBdr>
        <w:top w:val="none" w:sz="0" w:space="0" w:color="auto"/>
        <w:left w:val="none" w:sz="0" w:space="0" w:color="auto"/>
        <w:bottom w:val="none" w:sz="0" w:space="0" w:color="auto"/>
        <w:right w:val="none" w:sz="0" w:space="0" w:color="auto"/>
      </w:divBdr>
    </w:div>
    <w:div w:id="789709829">
      <w:bodyDiv w:val="1"/>
      <w:marLeft w:val="0"/>
      <w:marRight w:val="0"/>
      <w:marTop w:val="0"/>
      <w:marBottom w:val="0"/>
      <w:divBdr>
        <w:top w:val="none" w:sz="0" w:space="0" w:color="auto"/>
        <w:left w:val="none" w:sz="0" w:space="0" w:color="auto"/>
        <w:bottom w:val="none" w:sz="0" w:space="0" w:color="auto"/>
        <w:right w:val="none" w:sz="0" w:space="0" w:color="auto"/>
      </w:divBdr>
    </w:div>
    <w:div w:id="790249792">
      <w:bodyDiv w:val="1"/>
      <w:marLeft w:val="0"/>
      <w:marRight w:val="0"/>
      <w:marTop w:val="0"/>
      <w:marBottom w:val="0"/>
      <w:divBdr>
        <w:top w:val="none" w:sz="0" w:space="0" w:color="auto"/>
        <w:left w:val="none" w:sz="0" w:space="0" w:color="auto"/>
        <w:bottom w:val="none" w:sz="0" w:space="0" w:color="auto"/>
        <w:right w:val="none" w:sz="0" w:space="0" w:color="auto"/>
      </w:divBdr>
    </w:div>
    <w:div w:id="790629324">
      <w:bodyDiv w:val="1"/>
      <w:marLeft w:val="0"/>
      <w:marRight w:val="0"/>
      <w:marTop w:val="0"/>
      <w:marBottom w:val="0"/>
      <w:divBdr>
        <w:top w:val="none" w:sz="0" w:space="0" w:color="auto"/>
        <w:left w:val="none" w:sz="0" w:space="0" w:color="auto"/>
        <w:bottom w:val="none" w:sz="0" w:space="0" w:color="auto"/>
        <w:right w:val="none" w:sz="0" w:space="0" w:color="auto"/>
      </w:divBdr>
    </w:div>
    <w:div w:id="791283880">
      <w:bodyDiv w:val="1"/>
      <w:marLeft w:val="0"/>
      <w:marRight w:val="0"/>
      <w:marTop w:val="0"/>
      <w:marBottom w:val="0"/>
      <w:divBdr>
        <w:top w:val="none" w:sz="0" w:space="0" w:color="auto"/>
        <w:left w:val="none" w:sz="0" w:space="0" w:color="auto"/>
        <w:bottom w:val="none" w:sz="0" w:space="0" w:color="auto"/>
        <w:right w:val="none" w:sz="0" w:space="0" w:color="auto"/>
      </w:divBdr>
      <w:divsChild>
        <w:div w:id="1743479913">
          <w:marLeft w:val="547"/>
          <w:marRight w:val="0"/>
          <w:marTop w:val="77"/>
          <w:marBottom w:val="0"/>
          <w:divBdr>
            <w:top w:val="none" w:sz="0" w:space="0" w:color="auto"/>
            <w:left w:val="none" w:sz="0" w:space="0" w:color="auto"/>
            <w:bottom w:val="none" w:sz="0" w:space="0" w:color="auto"/>
            <w:right w:val="none" w:sz="0" w:space="0" w:color="auto"/>
          </w:divBdr>
        </w:div>
      </w:divsChild>
    </w:div>
    <w:div w:id="791939049">
      <w:bodyDiv w:val="1"/>
      <w:marLeft w:val="0"/>
      <w:marRight w:val="0"/>
      <w:marTop w:val="0"/>
      <w:marBottom w:val="0"/>
      <w:divBdr>
        <w:top w:val="none" w:sz="0" w:space="0" w:color="auto"/>
        <w:left w:val="none" w:sz="0" w:space="0" w:color="auto"/>
        <w:bottom w:val="none" w:sz="0" w:space="0" w:color="auto"/>
        <w:right w:val="none" w:sz="0" w:space="0" w:color="auto"/>
      </w:divBdr>
      <w:divsChild>
        <w:div w:id="762259511">
          <w:marLeft w:val="547"/>
          <w:marRight w:val="0"/>
          <w:marTop w:val="115"/>
          <w:marBottom w:val="0"/>
          <w:divBdr>
            <w:top w:val="none" w:sz="0" w:space="0" w:color="auto"/>
            <w:left w:val="none" w:sz="0" w:space="0" w:color="auto"/>
            <w:bottom w:val="none" w:sz="0" w:space="0" w:color="auto"/>
            <w:right w:val="none" w:sz="0" w:space="0" w:color="auto"/>
          </w:divBdr>
        </w:div>
        <w:div w:id="1941058772">
          <w:marLeft w:val="1166"/>
          <w:marRight w:val="0"/>
          <w:marTop w:val="96"/>
          <w:marBottom w:val="0"/>
          <w:divBdr>
            <w:top w:val="none" w:sz="0" w:space="0" w:color="auto"/>
            <w:left w:val="none" w:sz="0" w:space="0" w:color="auto"/>
            <w:bottom w:val="none" w:sz="0" w:space="0" w:color="auto"/>
            <w:right w:val="none" w:sz="0" w:space="0" w:color="auto"/>
          </w:divBdr>
        </w:div>
      </w:divsChild>
    </w:div>
    <w:div w:id="791944326">
      <w:bodyDiv w:val="1"/>
      <w:marLeft w:val="0"/>
      <w:marRight w:val="0"/>
      <w:marTop w:val="0"/>
      <w:marBottom w:val="0"/>
      <w:divBdr>
        <w:top w:val="none" w:sz="0" w:space="0" w:color="auto"/>
        <w:left w:val="none" w:sz="0" w:space="0" w:color="auto"/>
        <w:bottom w:val="none" w:sz="0" w:space="0" w:color="auto"/>
        <w:right w:val="none" w:sz="0" w:space="0" w:color="auto"/>
      </w:divBdr>
    </w:div>
    <w:div w:id="792289989">
      <w:bodyDiv w:val="1"/>
      <w:marLeft w:val="0"/>
      <w:marRight w:val="0"/>
      <w:marTop w:val="0"/>
      <w:marBottom w:val="0"/>
      <w:divBdr>
        <w:top w:val="none" w:sz="0" w:space="0" w:color="auto"/>
        <w:left w:val="none" w:sz="0" w:space="0" w:color="auto"/>
        <w:bottom w:val="none" w:sz="0" w:space="0" w:color="auto"/>
        <w:right w:val="none" w:sz="0" w:space="0" w:color="auto"/>
      </w:divBdr>
    </w:div>
    <w:div w:id="793209982">
      <w:bodyDiv w:val="1"/>
      <w:marLeft w:val="0"/>
      <w:marRight w:val="0"/>
      <w:marTop w:val="0"/>
      <w:marBottom w:val="0"/>
      <w:divBdr>
        <w:top w:val="none" w:sz="0" w:space="0" w:color="auto"/>
        <w:left w:val="none" w:sz="0" w:space="0" w:color="auto"/>
        <w:bottom w:val="none" w:sz="0" w:space="0" w:color="auto"/>
        <w:right w:val="none" w:sz="0" w:space="0" w:color="auto"/>
      </w:divBdr>
    </w:div>
    <w:div w:id="793863790">
      <w:bodyDiv w:val="1"/>
      <w:marLeft w:val="0"/>
      <w:marRight w:val="0"/>
      <w:marTop w:val="0"/>
      <w:marBottom w:val="0"/>
      <w:divBdr>
        <w:top w:val="none" w:sz="0" w:space="0" w:color="auto"/>
        <w:left w:val="none" w:sz="0" w:space="0" w:color="auto"/>
        <w:bottom w:val="none" w:sz="0" w:space="0" w:color="auto"/>
        <w:right w:val="none" w:sz="0" w:space="0" w:color="auto"/>
      </w:divBdr>
    </w:div>
    <w:div w:id="793868730">
      <w:bodyDiv w:val="1"/>
      <w:marLeft w:val="0"/>
      <w:marRight w:val="0"/>
      <w:marTop w:val="0"/>
      <w:marBottom w:val="0"/>
      <w:divBdr>
        <w:top w:val="none" w:sz="0" w:space="0" w:color="auto"/>
        <w:left w:val="none" w:sz="0" w:space="0" w:color="auto"/>
        <w:bottom w:val="none" w:sz="0" w:space="0" w:color="auto"/>
        <w:right w:val="none" w:sz="0" w:space="0" w:color="auto"/>
      </w:divBdr>
    </w:div>
    <w:div w:id="793985483">
      <w:bodyDiv w:val="1"/>
      <w:marLeft w:val="0"/>
      <w:marRight w:val="0"/>
      <w:marTop w:val="0"/>
      <w:marBottom w:val="0"/>
      <w:divBdr>
        <w:top w:val="none" w:sz="0" w:space="0" w:color="auto"/>
        <w:left w:val="none" w:sz="0" w:space="0" w:color="auto"/>
        <w:bottom w:val="none" w:sz="0" w:space="0" w:color="auto"/>
        <w:right w:val="none" w:sz="0" w:space="0" w:color="auto"/>
      </w:divBdr>
      <w:divsChild>
        <w:div w:id="54202211">
          <w:marLeft w:val="1800"/>
          <w:marRight w:val="0"/>
          <w:marTop w:val="91"/>
          <w:marBottom w:val="0"/>
          <w:divBdr>
            <w:top w:val="none" w:sz="0" w:space="0" w:color="auto"/>
            <w:left w:val="none" w:sz="0" w:space="0" w:color="auto"/>
            <w:bottom w:val="none" w:sz="0" w:space="0" w:color="auto"/>
            <w:right w:val="none" w:sz="0" w:space="0" w:color="auto"/>
          </w:divBdr>
        </w:div>
        <w:div w:id="587881768">
          <w:marLeft w:val="1166"/>
          <w:marRight w:val="0"/>
          <w:marTop w:val="91"/>
          <w:marBottom w:val="0"/>
          <w:divBdr>
            <w:top w:val="none" w:sz="0" w:space="0" w:color="auto"/>
            <w:left w:val="none" w:sz="0" w:space="0" w:color="auto"/>
            <w:bottom w:val="none" w:sz="0" w:space="0" w:color="auto"/>
            <w:right w:val="none" w:sz="0" w:space="0" w:color="auto"/>
          </w:divBdr>
        </w:div>
        <w:div w:id="1135177090">
          <w:marLeft w:val="1800"/>
          <w:marRight w:val="0"/>
          <w:marTop w:val="77"/>
          <w:marBottom w:val="0"/>
          <w:divBdr>
            <w:top w:val="none" w:sz="0" w:space="0" w:color="auto"/>
            <w:left w:val="none" w:sz="0" w:space="0" w:color="auto"/>
            <w:bottom w:val="none" w:sz="0" w:space="0" w:color="auto"/>
            <w:right w:val="none" w:sz="0" w:space="0" w:color="auto"/>
          </w:divBdr>
        </w:div>
        <w:div w:id="1190534113">
          <w:marLeft w:val="1800"/>
          <w:marRight w:val="0"/>
          <w:marTop w:val="91"/>
          <w:marBottom w:val="0"/>
          <w:divBdr>
            <w:top w:val="none" w:sz="0" w:space="0" w:color="auto"/>
            <w:left w:val="none" w:sz="0" w:space="0" w:color="auto"/>
            <w:bottom w:val="none" w:sz="0" w:space="0" w:color="auto"/>
            <w:right w:val="none" w:sz="0" w:space="0" w:color="auto"/>
          </w:divBdr>
        </w:div>
        <w:div w:id="1402675295">
          <w:marLeft w:val="1800"/>
          <w:marRight w:val="0"/>
          <w:marTop w:val="91"/>
          <w:marBottom w:val="0"/>
          <w:divBdr>
            <w:top w:val="none" w:sz="0" w:space="0" w:color="auto"/>
            <w:left w:val="none" w:sz="0" w:space="0" w:color="auto"/>
            <w:bottom w:val="none" w:sz="0" w:space="0" w:color="auto"/>
            <w:right w:val="none" w:sz="0" w:space="0" w:color="auto"/>
          </w:divBdr>
        </w:div>
        <w:div w:id="1661158189">
          <w:marLeft w:val="1166"/>
          <w:marRight w:val="0"/>
          <w:marTop w:val="96"/>
          <w:marBottom w:val="0"/>
          <w:divBdr>
            <w:top w:val="none" w:sz="0" w:space="0" w:color="auto"/>
            <w:left w:val="none" w:sz="0" w:space="0" w:color="auto"/>
            <w:bottom w:val="none" w:sz="0" w:space="0" w:color="auto"/>
            <w:right w:val="none" w:sz="0" w:space="0" w:color="auto"/>
          </w:divBdr>
        </w:div>
        <w:div w:id="1716080049">
          <w:marLeft w:val="547"/>
          <w:marRight w:val="0"/>
          <w:marTop w:val="115"/>
          <w:marBottom w:val="0"/>
          <w:divBdr>
            <w:top w:val="none" w:sz="0" w:space="0" w:color="auto"/>
            <w:left w:val="none" w:sz="0" w:space="0" w:color="auto"/>
            <w:bottom w:val="none" w:sz="0" w:space="0" w:color="auto"/>
            <w:right w:val="none" w:sz="0" w:space="0" w:color="auto"/>
          </w:divBdr>
        </w:div>
      </w:divsChild>
    </w:div>
    <w:div w:id="795685347">
      <w:bodyDiv w:val="1"/>
      <w:marLeft w:val="0"/>
      <w:marRight w:val="0"/>
      <w:marTop w:val="0"/>
      <w:marBottom w:val="0"/>
      <w:divBdr>
        <w:top w:val="none" w:sz="0" w:space="0" w:color="auto"/>
        <w:left w:val="none" w:sz="0" w:space="0" w:color="auto"/>
        <w:bottom w:val="none" w:sz="0" w:space="0" w:color="auto"/>
        <w:right w:val="none" w:sz="0" w:space="0" w:color="auto"/>
      </w:divBdr>
    </w:div>
    <w:div w:id="796681822">
      <w:bodyDiv w:val="1"/>
      <w:marLeft w:val="0"/>
      <w:marRight w:val="0"/>
      <w:marTop w:val="0"/>
      <w:marBottom w:val="0"/>
      <w:divBdr>
        <w:top w:val="none" w:sz="0" w:space="0" w:color="auto"/>
        <w:left w:val="none" w:sz="0" w:space="0" w:color="auto"/>
        <w:bottom w:val="none" w:sz="0" w:space="0" w:color="auto"/>
        <w:right w:val="none" w:sz="0" w:space="0" w:color="auto"/>
      </w:divBdr>
    </w:div>
    <w:div w:id="797259283">
      <w:bodyDiv w:val="1"/>
      <w:marLeft w:val="0"/>
      <w:marRight w:val="0"/>
      <w:marTop w:val="0"/>
      <w:marBottom w:val="0"/>
      <w:divBdr>
        <w:top w:val="none" w:sz="0" w:space="0" w:color="auto"/>
        <w:left w:val="none" w:sz="0" w:space="0" w:color="auto"/>
        <w:bottom w:val="none" w:sz="0" w:space="0" w:color="auto"/>
        <w:right w:val="none" w:sz="0" w:space="0" w:color="auto"/>
      </w:divBdr>
    </w:div>
    <w:div w:id="797644829">
      <w:bodyDiv w:val="1"/>
      <w:marLeft w:val="0"/>
      <w:marRight w:val="0"/>
      <w:marTop w:val="0"/>
      <w:marBottom w:val="0"/>
      <w:divBdr>
        <w:top w:val="none" w:sz="0" w:space="0" w:color="auto"/>
        <w:left w:val="none" w:sz="0" w:space="0" w:color="auto"/>
        <w:bottom w:val="none" w:sz="0" w:space="0" w:color="auto"/>
        <w:right w:val="none" w:sz="0" w:space="0" w:color="auto"/>
      </w:divBdr>
    </w:div>
    <w:div w:id="799541849">
      <w:bodyDiv w:val="1"/>
      <w:marLeft w:val="0"/>
      <w:marRight w:val="0"/>
      <w:marTop w:val="0"/>
      <w:marBottom w:val="0"/>
      <w:divBdr>
        <w:top w:val="none" w:sz="0" w:space="0" w:color="auto"/>
        <w:left w:val="none" w:sz="0" w:space="0" w:color="auto"/>
        <w:bottom w:val="none" w:sz="0" w:space="0" w:color="auto"/>
        <w:right w:val="none" w:sz="0" w:space="0" w:color="auto"/>
      </w:divBdr>
    </w:div>
    <w:div w:id="799570921">
      <w:bodyDiv w:val="1"/>
      <w:marLeft w:val="0"/>
      <w:marRight w:val="0"/>
      <w:marTop w:val="0"/>
      <w:marBottom w:val="0"/>
      <w:divBdr>
        <w:top w:val="none" w:sz="0" w:space="0" w:color="auto"/>
        <w:left w:val="none" w:sz="0" w:space="0" w:color="auto"/>
        <w:bottom w:val="none" w:sz="0" w:space="0" w:color="auto"/>
        <w:right w:val="none" w:sz="0" w:space="0" w:color="auto"/>
      </w:divBdr>
    </w:div>
    <w:div w:id="799885078">
      <w:bodyDiv w:val="1"/>
      <w:marLeft w:val="0"/>
      <w:marRight w:val="0"/>
      <w:marTop w:val="0"/>
      <w:marBottom w:val="0"/>
      <w:divBdr>
        <w:top w:val="none" w:sz="0" w:space="0" w:color="auto"/>
        <w:left w:val="none" w:sz="0" w:space="0" w:color="auto"/>
        <w:bottom w:val="none" w:sz="0" w:space="0" w:color="auto"/>
        <w:right w:val="none" w:sz="0" w:space="0" w:color="auto"/>
      </w:divBdr>
    </w:div>
    <w:div w:id="802232929">
      <w:bodyDiv w:val="1"/>
      <w:marLeft w:val="0"/>
      <w:marRight w:val="0"/>
      <w:marTop w:val="0"/>
      <w:marBottom w:val="0"/>
      <w:divBdr>
        <w:top w:val="none" w:sz="0" w:space="0" w:color="auto"/>
        <w:left w:val="none" w:sz="0" w:space="0" w:color="auto"/>
        <w:bottom w:val="none" w:sz="0" w:space="0" w:color="auto"/>
        <w:right w:val="none" w:sz="0" w:space="0" w:color="auto"/>
      </w:divBdr>
    </w:div>
    <w:div w:id="803043525">
      <w:bodyDiv w:val="1"/>
      <w:marLeft w:val="0"/>
      <w:marRight w:val="0"/>
      <w:marTop w:val="0"/>
      <w:marBottom w:val="0"/>
      <w:divBdr>
        <w:top w:val="none" w:sz="0" w:space="0" w:color="auto"/>
        <w:left w:val="none" w:sz="0" w:space="0" w:color="auto"/>
        <w:bottom w:val="none" w:sz="0" w:space="0" w:color="auto"/>
        <w:right w:val="none" w:sz="0" w:space="0" w:color="auto"/>
      </w:divBdr>
    </w:div>
    <w:div w:id="803738316">
      <w:bodyDiv w:val="1"/>
      <w:marLeft w:val="0"/>
      <w:marRight w:val="0"/>
      <w:marTop w:val="0"/>
      <w:marBottom w:val="0"/>
      <w:divBdr>
        <w:top w:val="none" w:sz="0" w:space="0" w:color="auto"/>
        <w:left w:val="none" w:sz="0" w:space="0" w:color="auto"/>
        <w:bottom w:val="none" w:sz="0" w:space="0" w:color="auto"/>
        <w:right w:val="none" w:sz="0" w:space="0" w:color="auto"/>
      </w:divBdr>
      <w:divsChild>
        <w:div w:id="182981576">
          <w:marLeft w:val="547"/>
          <w:marRight w:val="0"/>
          <w:marTop w:val="86"/>
          <w:marBottom w:val="0"/>
          <w:divBdr>
            <w:top w:val="none" w:sz="0" w:space="0" w:color="auto"/>
            <w:left w:val="none" w:sz="0" w:space="0" w:color="auto"/>
            <w:bottom w:val="none" w:sz="0" w:space="0" w:color="auto"/>
            <w:right w:val="none" w:sz="0" w:space="0" w:color="auto"/>
          </w:divBdr>
        </w:div>
        <w:div w:id="213783044">
          <w:marLeft w:val="547"/>
          <w:marRight w:val="0"/>
          <w:marTop w:val="86"/>
          <w:marBottom w:val="0"/>
          <w:divBdr>
            <w:top w:val="none" w:sz="0" w:space="0" w:color="auto"/>
            <w:left w:val="none" w:sz="0" w:space="0" w:color="auto"/>
            <w:bottom w:val="none" w:sz="0" w:space="0" w:color="auto"/>
            <w:right w:val="none" w:sz="0" w:space="0" w:color="auto"/>
          </w:divBdr>
        </w:div>
        <w:div w:id="589123572">
          <w:marLeft w:val="547"/>
          <w:marRight w:val="0"/>
          <w:marTop w:val="86"/>
          <w:marBottom w:val="0"/>
          <w:divBdr>
            <w:top w:val="none" w:sz="0" w:space="0" w:color="auto"/>
            <w:left w:val="none" w:sz="0" w:space="0" w:color="auto"/>
            <w:bottom w:val="none" w:sz="0" w:space="0" w:color="auto"/>
            <w:right w:val="none" w:sz="0" w:space="0" w:color="auto"/>
          </w:divBdr>
        </w:div>
        <w:div w:id="1270939685">
          <w:marLeft w:val="1166"/>
          <w:marRight w:val="0"/>
          <w:marTop w:val="86"/>
          <w:marBottom w:val="0"/>
          <w:divBdr>
            <w:top w:val="none" w:sz="0" w:space="0" w:color="auto"/>
            <w:left w:val="none" w:sz="0" w:space="0" w:color="auto"/>
            <w:bottom w:val="none" w:sz="0" w:space="0" w:color="auto"/>
            <w:right w:val="none" w:sz="0" w:space="0" w:color="auto"/>
          </w:divBdr>
        </w:div>
      </w:divsChild>
    </w:div>
    <w:div w:id="804389034">
      <w:bodyDiv w:val="1"/>
      <w:marLeft w:val="0"/>
      <w:marRight w:val="0"/>
      <w:marTop w:val="0"/>
      <w:marBottom w:val="0"/>
      <w:divBdr>
        <w:top w:val="none" w:sz="0" w:space="0" w:color="auto"/>
        <w:left w:val="none" w:sz="0" w:space="0" w:color="auto"/>
        <w:bottom w:val="none" w:sz="0" w:space="0" w:color="auto"/>
        <w:right w:val="none" w:sz="0" w:space="0" w:color="auto"/>
      </w:divBdr>
      <w:divsChild>
        <w:div w:id="86659159">
          <w:marLeft w:val="547"/>
          <w:marRight w:val="0"/>
          <w:marTop w:val="134"/>
          <w:marBottom w:val="0"/>
          <w:divBdr>
            <w:top w:val="none" w:sz="0" w:space="0" w:color="auto"/>
            <w:left w:val="none" w:sz="0" w:space="0" w:color="auto"/>
            <w:bottom w:val="none" w:sz="0" w:space="0" w:color="auto"/>
            <w:right w:val="none" w:sz="0" w:space="0" w:color="auto"/>
          </w:divBdr>
        </w:div>
        <w:div w:id="188957751">
          <w:marLeft w:val="1800"/>
          <w:marRight w:val="0"/>
          <w:marTop w:val="96"/>
          <w:marBottom w:val="0"/>
          <w:divBdr>
            <w:top w:val="none" w:sz="0" w:space="0" w:color="auto"/>
            <w:left w:val="none" w:sz="0" w:space="0" w:color="auto"/>
            <w:bottom w:val="none" w:sz="0" w:space="0" w:color="auto"/>
            <w:right w:val="none" w:sz="0" w:space="0" w:color="auto"/>
          </w:divBdr>
        </w:div>
        <w:div w:id="242881915">
          <w:marLeft w:val="1800"/>
          <w:marRight w:val="0"/>
          <w:marTop w:val="96"/>
          <w:marBottom w:val="0"/>
          <w:divBdr>
            <w:top w:val="none" w:sz="0" w:space="0" w:color="auto"/>
            <w:left w:val="none" w:sz="0" w:space="0" w:color="auto"/>
            <w:bottom w:val="none" w:sz="0" w:space="0" w:color="auto"/>
            <w:right w:val="none" w:sz="0" w:space="0" w:color="auto"/>
          </w:divBdr>
        </w:div>
        <w:div w:id="406927734">
          <w:marLeft w:val="1800"/>
          <w:marRight w:val="0"/>
          <w:marTop w:val="96"/>
          <w:marBottom w:val="0"/>
          <w:divBdr>
            <w:top w:val="none" w:sz="0" w:space="0" w:color="auto"/>
            <w:left w:val="none" w:sz="0" w:space="0" w:color="auto"/>
            <w:bottom w:val="none" w:sz="0" w:space="0" w:color="auto"/>
            <w:right w:val="none" w:sz="0" w:space="0" w:color="auto"/>
          </w:divBdr>
        </w:div>
        <w:div w:id="409079152">
          <w:marLeft w:val="1166"/>
          <w:marRight w:val="0"/>
          <w:marTop w:val="115"/>
          <w:marBottom w:val="0"/>
          <w:divBdr>
            <w:top w:val="none" w:sz="0" w:space="0" w:color="auto"/>
            <w:left w:val="none" w:sz="0" w:space="0" w:color="auto"/>
            <w:bottom w:val="none" w:sz="0" w:space="0" w:color="auto"/>
            <w:right w:val="none" w:sz="0" w:space="0" w:color="auto"/>
          </w:divBdr>
        </w:div>
        <w:div w:id="434981698">
          <w:marLeft w:val="1166"/>
          <w:marRight w:val="0"/>
          <w:marTop w:val="115"/>
          <w:marBottom w:val="0"/>
          <w:divBdr>
            <w:top w:val="none" w:sz="0" w:space="0" w:color="auto"/>
            <w:left w:val="none" w:sz="0" w:space="0" w:color="auto"/>
            <w:bottom w:val="none" w:sz="0" w:space="0" w:color="auto"/>
            <w:right w:val="none" w:sz="0" w:space="0" w:color="auto"/>
          </w:divBdr>
        </w:div>
        <w:div w:id="752704758">
          <w:marLeft w:val="1800"/>
          <w:marRight w:val="0"/>
          <w:marTop w:val="96"/>
          <w:marBottom w:val="0"/>
          <w:divBdr>
            <w:top w:val="none" w:sz="0" w:space="0" w:color="auto"/>
            <w:left w:val="none" w:sz="0" w:space="0" w:color="auto"/>
            <w:bottom w:val="none" w:sz="0" w:space="0" w:color="auto"/>
            <w:right w:val="none" w:sz="0" w:space="0" w:color="auto"/>
          </w:divBdr>
        </w:div>
        <w:div w:id="832181412">
          <w:marLeft w:val="1800"/>
          <w:marRight w:val="0"/>
          <w:marTop w:val="96"/>
          <w:marBottom w:val="0"/>
          <w:divBdr>
            <w:top w:val="none" w:sz="0" w:space="0" w:color="auto"/>
            <w:left w:val="none" w:sz="0" w:space="0" w:color="auto"/>
            <w:bottom w:val="none" w:sz="0" w:space="0" w:color="auto"/>
            <w:right w:val="none" w:sz="0" w:space="0" w:color="auto"/>
          </w:divBdr>
        </w:div>
        <w:div w:id="989678455">
          <w:marLeft w:val="1166"/>
          <w:marRight w:val="0"/>
          <w:marTop w:val="115"/>
          <w:marBottom w:val="0"/>
          <w:divBdr>
            <w:top w:val="none" w:sz="0" w:space="0" w:color="auto"/>
            <w:left w:val="none" w:sz="0" w:space="0" w:color="auto"/>
            <w:bottom w:val="none" w:sz="0" w:space="0" w:color="auto"/>
            <w:right w:val="none" w:sz="0" w:space="0" w:color="auto"/>
          </w:divBdr>
        </w:div>
      </w:divsChild>
    </w:div>
    <w:div w:id="804808433">
      <w:bodyDiv w:val="1"/>
      <w:marLeft w:val="0"/>
      <w:marRight w:val="0"/>
      <w:marTop w:val="0"/>
      <w:marBottom w:val="0"/>
      <w:divBdr>
        <w:top w:val="none" w:sz="0" w:space="0" w:color="auto"/>
        <w:left w:val="none" w:sz="0" w:space="0" w:color="auto"/>
        <w:bottom w:val="none" w:sz="0" w:space="0" w:color="auto"/>
        <w:right w:val="none" w:sz="0" w:space="0" w:color="auto"/>
      </w:divBdr>
    </w:div>
    <w:div w:id="806362953">
      <w:bodyDiv w:val="1"/>
      <w:marLeft w:val="0"/>
      <w:marRight w:val="0"/>
      <w:marTop w:val="0"/>
      <w:marBottom w:val="0"/>
      <w:divBdr>
        <w:top w:val="none" w:sz="0" w:space="0" w:color="auto"/>
        <w:left w:val="none" w:sz="0" w:space="0" w:color="auto"/>
        <w:bottom w:val="none" w:sz="0" w:space="0" w:color="auto"/>
        <w:right w:val="none" w:sz="0" w:space="0" w:color="auto"/>
      </w:divBdr>
      <w:divsChild>
        <w:div w:id="119155177">
          <w:marLeft w:val="1166"/>
          <w:marRight w:val="0"/>
          <w:marTop w:val="115"/>
          <w:marBottom w:val="0"/>
          <w:divBdr>
            <w:top w:val="none" w:sz="0" w:space="0" w:color="auto"/>
            <w:left w:val="none" w:sz="0" w:space="0" w:color="auto"/>
            <w:bottom w:val="none" w:sz="0" w:space="0" w:color="auto"/>
            <w:right w:val="none" w:sz="0" w:space="0" w:color="auto"/>
          </w:divBdr>
        </w:div>
        <w:div w:id="264776547">
          <w:marLeft w:val="1166"/>
          <w:marRight w:val="0"/>
          <w:marTop w:val="115"/>
          <w:marBottom w:val="0"/>
          <w:divBdr>
            <w:top w:val="none" w:sz="0" w:space="0" w:color="auto"/>
            <w:left w:val="none" w:sz="0" w:space="0" w:color="auto"/>
            <w:bottom w:val="none" w:sz="0" w:space="0" w:color="auto"/>
            <w:right w:val="none" w:sz="0" w:space="0" w:color="auto"/>
          </w:divBdr>
        </w:div>
        <w:div w:id="445655770">
          <w:marLeft w:val="547"/>
          <w:marRight w:val="0"/>
          <w:marTop w:val="134"/>
          <w:marBottom w:val="0"/>
          <w:divBdr>
            <w:top w:val="none" w:sz="0" w:space="0" w:color="auto"/>
            <w:left w:val="none" w:sz="0" w:space="0" w:color="auto"/>
            <w:bottom w:val="none" w:sz="0" w:space="0" w:color="auto"/>
            <w:right w:val="none" w:sz="0" w:space="0" w:color="auto"/>
          </w:divBdr>
        </w:div>
        <w:div w:id="1767967336">
          <w:marLeft w:val="1166"/>
          <w:marRight w:val="0"/>
          <w:marTop w:val="115"/>
          <w:marBottom w:val="0"/>
          <w:divBdr>
            <w:top w:val="none" w:sz="0" w:space="0" w:color="auto"/>
            <w:left w:val="none" w:sz="0" w:space="0" w:color="auto"/>
            <w:bottom w:val="none" w:sz="0" w:space="0" w:color="auto"/>
            <w:right w:val="none" w:sz="0" w:space="0" w:color="auto"/>
          </w:divBdr>
        </w:div>
      </w:divsChild>
    </w:div>
    <w:div w:id="807285013">
      <w:bodyDiv w:val="1"/>
      <w:marLeft w:val="0"/>
      <w:marRight w:val="0"/>
      <w:marTop w:val="0"/>
      <w:marBottom w:val="0"/>
      <w:divBdr>
        <w:top w:val="none" w:sz="0" w:space="0" w:color="auto"/>
        <w:left w:val="none" w:sz="0" w:space="0" w:color="auto"/>
        <w:bottom w:val="none" w:sz="0" w:space="0" w:color="auto"/>
        <w:right w:val="none" w:sz="0" w:space="0" w:color="auto"/>
      </w:divBdr>
    </w:div>
    <w:div w:id="807667856">
      <w:bodyDiv w:val="1"/>
      <w:marLeft w:val="0"/>
      <w:marRight w:val="0"/>
      <w:marTop w:val="0"/>
      <w:marBottom w:val="0"/>
      <w:divBdr>
        <w:top w:val="none" w:sz="0" w:space="0" w:color="auto"/>
        <w:left w:val="none" w:sz="0" w:space="0" w:color="auto"/>
        <w:bottom w:val="none" w:sz="0" w:space="0" w:color="auto"/>
        <w:right w:val="none" w:sz="0" w:space="0" w:color="auto"/>
      </w:divBdr>
    </w:div>
    <w:div w:id="807935353">
      <w:bodyDiv w:val="1"/>
      <w:marLeft w:val="0"/>
      <w:marRight w:val="0"/>
      <w:marTop w:val="0"/>
      <w:marBottom w:val="0"/>
      <w:divBdr>
        <w:top w:val="none" w:sz="0" w:space="0" w:color="auto"/>
        <w:left w:val="none" w:sz="0" w:space="0" w:color="auto"/>
        <w:bottom w:val="none" w:sz="0" w:space="0" w:color="auto"/>
        <w:right w:val="none" w:sz="0" w:space="0" w:color="auto"/>
      </w:divBdr>
    </w:div>
    <w:div w:id="808203832">
      <w:bodyDiv w:val="1"/>
      <w:marLeft w:val="0"/>
      <w:marRight w:val="0"/>
      <w:marTop w:val="0"/>
      <w:marBottom w:val="0"/>
      <w:divBdr>
        <w:top w:val="none" w:sz="0" w:space="0" w:color="auto"/>
        <w:left w:val="none" w:sz="0" w:space="0" w:color="auto"/>
        <w:bottom w:val="none" w:sz="0" w:space="0" w:color="auto"/>
        <w:right w:val="none" w:sz="0" w:space="0" w:color="auto"/>
      </w:divBdr>
    </w:div>
    <w:div w:id="808860517">
      <w:bodyDiv w:val="1"/>
      <w:marLeft w:val="0"/>
      <w:marRight w:val="0"/>
      <w:marTop w:val="0"/>
      <w:marBottom w:val="0"/>
      <w:divBdr>
        <w:top w:val="none" w:sz="0" w:space="0" w:color="auto"/>
        <w:left w:val="none" w:sz="0" w:space="0" w:color="auto"/>
        <w:bottom w:val="none" w:sz="0" w:space="0" w:color="auto"/>
        <w:right w:val="none" w:sz="0" w:space="0" w:color="auto"/>
      </w:divBdr>
    </w:div>
    <w:div w:id="810445910">
      <w:bodyDiv w:val="1"/>
      <w:marLeft w:val="0"/>
      <w:marRight w:val="0"/>
      <w:marTop w:val="0"/>
      <w:marBottom w:val="0"/>
      <w:divBdr>
        <w:top w:val="none" w:sz="0" w:space="0" w:color="auto"/>
        <w:left w:val="none" w:sz="0" w:space="0" w:color="auto"/>
        <w:bottom w:val="none" w:sz="0" w:space="0" w:color="auto"/>
        <w:right w:val="none" w:sz="0" w:space="0" w:color="auto"/>
      </w:divBdr>
      <w:divsChild>
        <w:div w:id="232129749">
          <w:marLeft w:val="1800"/>
          <w:marRight w:val="0"/>
          <w:marTop w:val="82"/>
          <w:marBottom w:val="0"/>
          <w:divBdr>
            <w:top w:val="none" w:sz="0" w:space="0" w:color="auto"/>
            <w:left w:val="none" w:sz="0" w:space="0" w:color="auto"/>
            <w:bottom w:val="none" w:sz="0" w:space="0" w:color="auto"/>
            <w:right w:val="none" w:sz="0" w:space="0" w:color="auto"/>
          </w:divBdr>
        </w:div>
        <w:div w:id="235164590">
          <w:marLeft w:val="547"/>
          <w:marRight w:val="0"/>
          <w:marTop w:val="106"/>
          <w:marBottom w:val="0"/>
          <w:divBdr>
            <w:top w:val="none" w:sz="0" w:space="0" w:color="auto"/>
            <w:left w:val="none" w:sz="0" w:space="0" w:color="auto"/>
            <w:bottom w:val="none" w:sz="0" w:space="0" w:color="auto"/>
            <w:right w:val="none" w:sz="0" w:space="0" w:color="auto"/>
          </w:divBdr>
        </w:div>
        <w:div w:id="299070514">
          <w:marLeft w:val="547"/>
          <w:marRight w:val="0"/>
          <w:marTop w:val="106"/>
          <w:marBottom w:val="0"/>
          <w:divBdr>
            <w:top w:val="none" w:sz="0" w:space="0" w:color="auto"/>
            <w:left w:val="none" w:sz="0" w:space="0" w:color="auto"/>
            <w:bottom w:val="none" w:sz="0" w:space="0" w:color="auto"/>
            <w:right w:val="none" w:sz="0" w:space="0" w:color="auto"/>
          </w:divBdr>
        </w:div>
        <w:div w:id="473832350">
          <w:marLeft w:val="1166"/>
          <w:marRight w:val="0"/>
          <w:marTop w:val="91"/>
          <w:marBottom w:val="0"/>
          <w:divBdr>
            <w:top w:val="none" w:sz="0" w:space="0" w:color="auto"/>
            <w:left w:val="none" w:sz="0" w:space="0" w:color="auto"/>
            <w:bottom w:val="none" w:sz="0" w:space="0" w:color="auto"/>
            <w:right w:val="none" w:sz="0" w:space="0" w:color="auto"/>
          </w:divBdr>
        </w:div>
        <w:div w:id="546843404">
          <w:marLeft w:val="1800"/>
          <w:marRight w:val="0"/>
          <w:marTop w:val="77"/>
          <w:marBottom w:val="0"/>
          <w:divBdr>
            <w:top w:val="none" w:sz="0" w:space="0" w:color="auto"/>
            <w:left w:val="none" w:sz="0" w:space="0" w:color="auto"/>
            <w:bottom w:val="none" w:sz="0" w:space="0" w:color="auto"/>
            <w:right w:val="none" w:sz="0" w:space="0" w:color="auto"/>
          </w:divBdr>
        </w:div>
        <w:div w:id="578440763">
          <w:marLeft w:val="1800"/>
          <w:marRight w:val="0"/>
          <w:marTop w:val="82"/>
          <w:marBottom w:val="0"/>
          <w:divBdr>
            <w:top w:val="none" w:sz="0" w:space="0" w:color="auto"/>
            <w:left w:val="none" w:sz="0" w:space="0" w:color="auto"/>
            <w:bottom w:val="none" w:sz="0" w:space="0" w:color="auto"/>
            <w:right w:val="none" w:sz="0" w:space="0" w:color="auto"/>
          </w:divBdr>
        </w:div>
        <w:div w:id="888617102">
          <w:marLeft w:val="547"/>
          <w:marRight w:val="0"/>
          <w:marTop w:val="106"/>
          <w:marBottom w:val="0"/>
          <w:divBdr>
            <w:top w:val="none" w:sz="0" w:space="0" w:color="auto"/>
            <w:left w:val="none" w:sz="0" w:space="0" w:color="auto"/>
            <w:bottom w:val="none" w:sz="0" w:space="0" w:color="auto"/>
            <w:right w:val="none" w:sz="0" w:space="0" w:color="auto"/>
          </w:divBdr>
        </w:div>
        <w:div w:id="1011378357">
          <w:marLeft w:val="1800"/>
          <w:marRight w:val="0"/>
          <w:marTop w:val="82"/>
          <w:marBottom w:val="0"/>
          <w:divBdr>
            <w:top w:val="none" w:sz="0" w:space="0" w:color="auto"/>
            <w:left w:val="none" w:sz="0" w:space="0" w:color="auto"/>
            <w:bottom w:val="none" w:sz="0" w:space="0" w:color="auto"/>
            <w:right w:val="none" w:sz="0" w:space="0" w:color="auto"/>
          </w:divBdr>
        </w:div>
        <w:div w:id="1021516642">
          <w:marLeft w:val="1800"/>
          <w:marRight w:val="0"/>
          <w:marTop w:val="82"/>
          <w:marBottom w:val="0"/>
          <w:divBdr>
            <w:top w:val="none" w:sz="0" w:space="0" w:color="auto"/>
            <w:left w:val="none" w:sz="0" w:space="0" w:color="auto"/>
            <w:bottom w:val="none" w:sz="0" w:space="0" w:color="auto"/>
            <w:right w:val="none" w:sz="0" w:space="0" w:color="auto"/>
          </w:divBdr>
        </w:div>
        <w:div w:id="1035932985">
          <w:marLeft w:val="1166"/>
          <w:marRight w:val="0"/>
          <w:marTop w:val="91"/>
          <w:marBottom w:val="0"/>
          <w:divBdr>
            <w:top w:val="none" w:sz="0" w:space="0" w:color="auto"/>
            <w:left w:val="none" w:sz="0" w:space="0" w:color="auto"/>
            <w:bottom w:val="none" w:sz="0" w:space="0" w:color="auto"/>
            <w:right w:val="none" w:sz="0" w:space="0" w:color="auto"/>
          </w:divBdr>
        </w:div>
        <w:div w:id="1113939830">
          <w:marLeft w:val="1166"/>
          <w:marRight w:val="0"/>
          <w:marTop w:val="91"/>
          <w:marBottom w:val="0"/>
          <w:divBdr>
            <w:top w:val="none" w:sz="0" w:space="0" w:color="auto"/>
            <w:left w:val="none" w:sz="0" w:space="0" w:color="auto"/>
            <w:bottom w:val="none" w:sz="0" w:space="0" w:color="auto"/>
            <w:right w:val="none" w:sz="0" w:space="0" w:color="auto"/>
          </w:divBdr>
        </w:div>
        <w:div w:id="1467120119">
          <w:marLeft w:val="547"/>
          <w:marRight w:val="0"/>
          <w:marTop w:val="106"/>
          <w:marBottom w:val="0"/>
          <w:divBdr>
            <w:top w:val="none" w:sz="0" w:space="0" w:color="auto"/>
            <w:left w:val="none" w:sz="0" w:space="0" w:color="auto"/>
            <w:bottom w:val="none" w:sz="0" w:space="0" w:color="auto"/>
            <w:right w:val="none" w:sz="0" w:space="0" w:color="auto"/>
          </w:divBdr>
        </w:div>
        <w:div w:id="1520925797">
          <w:marLeft w:val="1166"/>
          <w:marRight w:val="0"/>
          <w:marTop w:val="91"/>
          <w:marBottom w:val="0"/>
          <w:divBdr>
            <w:top w:val="none" w:sz="0" w:space="0" w:color="auto"/>
            <w:left w:val="none" w:sz="0" w:space="0" w:color="auto"/>
            <w:bottom w:val="none" w:sz="0" w:space="0" w:color="auto"/>
            <w:right w:val="none" w:sz="0" w:space="0" w:color="auto"/>
          </w:divBdr>
        </w:div>
        <w:div w:id="1684359980">
          <w:marLeft w:val="1166"/>
          <w:marRight w:val="0"/>
          <w:marTop w:val="91"/>
          <w:marBottom w:val="0"/>
          <w:divBdr>
            <w:top w:val="none" w:sz="0" w:space="0" w:color="auto"/>
            <w:left w:val="none" w:sz="0" w:space="0" w:color="auto"/>
            <w:bottom w:val="none" w:sz="0" w:space="0" w:color="auto"/>
            <w:right w:val="none" w:sz="0" w:space="0" w:color="auto"/>
          </w:divBdr>
        </w:div>
        <w:div w:id="1801730220">
          <w:marLeft w:val="1166"/>
          <w:marRight w:val="0"/>
          <w:marTop w:val="91"/>
          <w:marBottom w:val="0"/>
          <w:divBdr>
            <w:top w:val="none" w:sz="0" w:space="0" w:color="auto"/>
            <w:left w:val="none" w:sz="0" w:space="0" w:color="auto"/>
            <w:bottom w:val="none" w:sz="0" w:space="0" w:color="auto"/>
            <w:right w:val="none" w:sz="0" w:space="0" w:color="auto"/>
          </w:divBdr>
        </w:div>
      </w:divsChild>
    </w:div>
    <w:div w:id="811872961">
      <w:bodyDiv w:val="1"/>
      <w:marLeft w:val="0"/>
      <w:marRight w:val="0"/>
      <w:marTop w:val="0"/>
      <w:marBottom w:val="0"/>
      <w:divBdr>
        <w:top w:val="none" w:sz="0" w:space="0" w:color="auto"/>
        <w:left w:val="none" w:sz="0" w:space="0" w:color="auto"/>
        <w:bottom w:val="none" w:sz="0" w:space="0" w:color="auto"/>
        <w:right w:val="none" w:sz="0" w:space="0" w:color="auto"/>
      </w:divBdr>
      <w:divsChild>
        <w:div w:id="232012886">
          <w:marLeft w:val="547"/>
          <w:marRight w:val="0"/>
          <w:marTop w:val="0"/>
          <w:marBottom w:val="0"/>
          <w:divBdr>
            <w:top w:val="none" w:sz="0" w:space="0" w:color="auto"/>
            <w:left w:val="none" w:sz="0" w:space="0" w:color="auto"/>
            <w:bottom w:val="none" w:sz="0" w:space="0" w:color="auto"/>
            <w:right w:val="none" w:sz="0" w:space="0" w:color="auto"/>
          </w:divBdr>
        </w:div>
        <w:div w:id="240795800">
          <w:marLeft w:val="547"/>
          <w:marRight w:val="0"/>
          <w:marTop w:val="0"/>
          <w:marBottom w:val="0"/>
          <w:divBdr>
            <w:top w:val="none" w:sz="0" w:space="0" w:color="auto"/>
            <w:left w:val="none" w:sz="0" w:space="0" w:color="auto"/>
            <w:bottom w:val="none" w:sz="0" w:space="0" w:color="auto"/>
            <w:right w:val="none" w:sz="0" w:space="0" w:color="auto"/>
          </w:divBdr>
        </w:div>
        <w:div w:id="424151535">
          <w:marLeft w:val="547"/>
          <w:marRight w:val="0"/>
          <w:marTop w:val="0"/>
          <w:marBottom w:val="0"/>
          <w:divBdr>
            <w:top w:val="none" w:sz="0" w:space="0" w:color="auto"/>
            <w:left w:val="none" w:sz="0" w:space="0" w:color="auto"/>
            <w:bottom w:val="none" w:sz="0" w:space="0" w:color="auto"/>
            <w:right w:val="none" w:sz="0" w:space="0" w:color="auto"/>
          </w:divBdr>
        </w:div>
        <w:div w:id="468860746">
          <w:marLeft w:val="547"/>
          <w:marRight w:val="0"/>
          <w:marTop w:val="0"/>
          <w:marBottom w:val="0"/>
          <w:divBdr>
            <w:top w:val="none" w:sz="0" w:space="0" w:color="auto"/>
            <w:left w:val="none" w:sz="0" w:space="0" w:color="auto"/>
            <w:bottom w:val="none" w:sz="0" w:space="0" w:color="auto"/>
            <w:right w:val="none" w:sz="0" w:space="0" w:color="auto"/>
          </w:divBdr>
        </w:div>
        <w:div w:id="558319362">
          <w:marLeft w:val="547"/>
          <w:marRight w:val="0"/>
          <w:marTop w:val="0"/>
          <w:marBottom w:val="0"/>
          <w:divBdr>
            <w:top w:val="none" w:sz="0" w:space="0" w:color="auto"/>
            <w:left w:val="none" w:sz="0" w:space="0" w:color="auto"/>
            <w:bottom w:val="none" w:sz="0" w:space="0" w:color="auto"/>
            <w:right w:val="none" w:sz="0" w:space="0" w:color="auto"/>
          </w:divBdr>
        </w:div>
        <w:div w:id="572395250">
          <w:marLeft w:val="547"/>
          <w:marRight w:val="0"/>
          <w:marTop w:val="0"/>
          <w:marBottom w:val="0"/>
          <w:divBdr>
            <w:top w:val="none" w:sz="0" w:space="0" w:color="auto"/>
            <w:left w:val="none" w:sz="0" w:space="0" w:color="auto"/>
            <w:bottom w:val="none" w:sz="0" w:space="0" w:color="auto"/>
            <w:right w:val="none" w:sz="0" w:space="0" w:color="auto"/>
          </w:divBdr>
        </w:div>
        <w:div w:id="820463099">
          <w:marLeft w:val="547"/>
          <w:marRight w:val="0"/>
          <w:marTop w:val="0"/>
          <w:marBottom w:val="0"/>
          <w:divBdr>
            <w:top w:val="none" w:sz="0" w:space="0" w:color="auto"/>
            <w:left w:val="none" w:sz="0" w:space="0" w:color="auto"/>
            <w:bottom w:val="none" w:sz="0" w:space="0" w:color="auto"/>
            <w:right w:val="none" w:sz="0" w:space="0" w:color="auto"/>
          </w:divBdr>
        </w:div>
        <w:div w:id="1009717903">
          <w:marLeft w:val="547"/>
          <w:marRight w:val="0"/>
          <w:marTop w:val="0"/>
          <w:marBottom w:val="0"/>
          <w:divBdr>
            <w:top w:val="none" w:sz="0" w:space="0" w:color="auto"/>
            <w:left w:val="none" w:sz="0" w:space="0" w:color="auto"/>
            <w:bottom w:val="none" w:sz="0" w:space="0" w:color="auto"/>
            <w:right w:val="none" w:sz="0" w:space="0" w:color="auto"/>
          </w:divBdr>
        </w:div>
        <w:div w:id="1120535209">
          <w:marLeft w:val="547"/>
          <w:marRight w:val="0"/>
          <w:marTop w:val="0"/>
          <w:marBottom w:val="0"/>
          <w:divBdr>
            <w:top w:val="none" w:sz="0" w:space="0" w:color="auto"/>
            <w:left w:val="none" w:sz="0" w:space="0" w:color="auto"/>
            <w:bottom w:val="none" w:sz="0" w:space="0" w:color="auto"/>
            <w:right w:val="none" w:sz="0" w:space="0" w:color="auto"/>
          </w:divBdr>
        </w:div>
        <w:div w:id="1385061551">
          <w:marLeft w:val="1166"/>
          <w:marRight w:val="0"/>
          <w:marTop w:val="0"/>
          <w:marBottom w:val="0"/>
          <w:divBdr>
            <w:top w:val="none" w:sz="0" w:space="0" w:color="auto"/>
            <w:left w:val="none" w:sz="0" w:space="0" w:color="auto"/>
            <w:bottom w:val="none" w:sz="0" w:space="0" w:color="auto"/>
            <w:right w:val="none" w:sz="0" w:space="0" w:color="auto"/>
          </w:divBdr>
        </w:div>
        <w:div w:id="1644119224">
          <w:marLeft w:val="547"/>
          <w:marRight w:val="0"/>
          <w:marTop w:val="0"/>
          <w:marBottom w:val="0"/>
          <w:divBdr>
            <w:top w:val="none" w:sz="0" w:space="0" w:color="auto"/>
            <w:left w:val="none" w:sz="0" w:space="0" w:color="auto"/>
            <w:bottom w:val="none" w:sz="0" w:space="0" w:color="auto"/>
            <w:right w:val="none" w:sz="0" w:space="0" w:color="auto"/>
          </w:divBdr>
        </w:div>
        <w:div w:id="1907182349">
          <w:marLeft w:val="1166"/>
          <w:marRight w:val="0"/>
          <w:marTop w:val="0"/>
          <w:marBottom w:val="0"/>
          <w:divBdr>
            <w:top w:val="none" w:sz="0" w:space="0" w:color="auto"/>
            <w:left w:val="none" w:sz="0" w:space="0" w:color="auto"/>
            <w:bottom w:val="none" w:sz="0" w:space="0" w:color="auto"/>
            <w:right w:val="none" w:sz="0" w:space="0" w:color="auto"/>
          </w:divBdr>
        </w:div>
      </w:divsChild>
    </w:div>
    <w:div w:id="812217333">
      <w:bodyDiv w:val="1"/>
      <w:marLeft w:val="0"/>
      <w:marRight w:val="0"/>
      <w:marTop w:val="0"/>
      <w:marBottom w:val="0"/>
      <w:divBdr>
        <w:top w:val="none" w:sz="0" w:space="0" w:color="auto"/>
        <w:left w:val="none" w:sz="0" w:space="0" w:color="auto"/>
        <w:bottom w:val="none" w:sz="0" w:space="0" w:color="auto"/>
        <w:right w:val="none" w:sz="0" w:space="0" w:color="auto"/>
      </w:divBdr>
    </w:div>
    <w:div w:id="812984033">
      <w:bodyDiv w:val="1"/>
      <w:marLeft w:val="0"/>
      <w:marRight w:val="0"/>
      <w:marTop w:val="0"/>
      <w:marBottom w:val="0"/>
      <w:divBdr>
        <w:top w:val="none" w:sz="0" w:space="0" w:color="auto"/>
        <w:left w:val="none" w:sz="0" w:space="0" w:color="auto"/>
        <w:bottom w:val="none" w:sz="0" w:space="0" w:color="auto"/>
        <w:right w:val="none" w:sz="0" w:space="0" w:color="auto"/>
      </w:divBdr>
    </w:div>
    <w:div w:id="813522639">
      <w:bodyDiv w:val="1"/>
      <w:marLeft w:val="0"/>
      <w:marRight w:val="0"/>
      <w:marTop w:val="0"/>
      <w:marBottom w:val="0"/>
      <w:divBdr>
        <w:top w:val="none" w:sz="0" w:space="0" w:color="auto"/>
        <w:left w:val="none" w:sz="0" w:space="0" w:color="auto"/>
        <w:bottom w:val="none" w:sz="0" w:space="0" w:color="auto"/>
        <w:right w:val="none" w:sz="0" w:space="0" w:color="auto"/>
      </w:divBdr>
    </w:div>
    <w:div w:id="814184763">
      <w:bodyDiv w:val="1"/>
      <w:marLeft w:val="0"/>
      <w:marRight w:val="0"/>
      <w:marTop w:val="0"/>
      <w:marBottom w:val="0"/>
      <w:divBdr>
        <w:top w:val="none" w:sz="0" w:space="0" w:color="auto"/>
        <w:left w:val="none" w:sz="0" w:space="0" w:color="auto"/>
        <w:bottom w:val="none" w:sz="0" w:space="0" w:color="auto"/>
        <w:right w:val="none" w:sz="0" w:space="0" w:color="auto"/>
      </w:divBdr>
    </w:div>
    <w:div w:id="815758246">
      <w:bodyDiv w:val="1"/>
      <w:marLeft w:val="0"/>
      <w:marRight w:val="0"/>
      <w:marTop w:val="0"/>
      <w:marBottom w:val="0"/>
      <w:divBdr>
        <w:top w:val="none" w:sz="0" w:space="0" w:color="auto"/>
        <w:left w:val="none" w:sz="0" w:space="0" w:color="auto"/>
        <w:bottom w:val="none" w:sz="0" w:space="0" w:color="auto"/>
        <w:right w:val="none" w:sz="0" w:space="0" w:color="auto"/>
      </w:divBdr>
      <w:divsChild>
        <w:div w:id="294726503">
          <w:marLeft w:val="1166"/>
          <w:marRight w:val="0"/>
          <w:marTop w:val="96"/>
          <w:marBottom w:val="0"/>
          <w:divBdr>
            <w:top w:val="none" w:sz="0" w:space="0" w:color="auto"/>
            <w:left w:val="none" w:sz="0" w:space="0" w:color="auto"/>
            <w:bottom w:val="none" w:sz="0" w:space="0" w:color="auto"/>
            <w:right w:val="none" w:sz="0" w:space="0" w:color="auto"/>
          </w:divBdr>
        </w:div>
        <w:div w:id="1072770925">
          <w:marLeft w:val="1166"/>
          <w:marRight w:val="0"/>
          <w:marTop w:val="96"/>
          <w:marBottom w:val="0"/>
          <w:divBdr>
            <w:top w:val="none" w:sz="0" w:space="0" w:color="auto"/>
            <w:left w:val="none" w:sz="0" w:space="0" w:color="auto"/>
            <w:bottom w:val="none" w:sz="0" w:space="0" w:color="auto"/>
            <w:right w:val="none" w:sz="0" w:space="0" w:color="auto"/>
          </w:divBdr>
        </w:div>
        <w:div w:id="1580168842">
          <w:marLeft w:val="547"/>
          <w:marRight w:val="0"/>
          <w:marTop w:val="115"/>
          <w:marBottom w:val="0"/>
          <w:divBdr>
            <w:top w:val="none" w:sz="0" w:space="0" w:color="auto"/>
            <w:left w:val="none" w:sz="0" w:space="0" w:color="auto"/>
            <w:bottom w:val="none" w:sz="0" w:space="0" w:color="auto"/>
            <w:right w:val="none" w:sz="0" w:space="0" w:color="auto"/>
          </w:divBdr>
        </w:div>
      </w:divsChild>
    </w:div>
    <w:div w:id="816192943">
      <w:bodyDiv w:val="1"/>
      <w:marLeft w:val="0"/>
      <w:marRight w:val="0"/>
      <w:marTop w:val="0"/>
      <w:marBottom w:val="0"/>
      <w:divBdr>
        <w:top w:val="none" w:sz="0" w:space="0" w:color="auto"/>
        <w:left w:val="none" w:sz="0" w:space="0" w:color="auto"/>
        <w:bottom w:val="none" w:sz="0" w:space="0" w:color="auto"/>
        <w:right w:val="none" w:sz="0" w:space="0" w:color="auto"/>
      </w:divBdr>
    </w:div>
    <w:div w:id="816920003">
      <w:bodyDiv w:val="1"/>
      <w:marLeft w:val="0"/>
      <w:marRight w:val="0"/>
      <w:marTop w:val="0"/>
      <w:marBottom w:val="0"/>
      <w:divBdr>
        <w:top w:val="none" w:sz="0" w:space="0" w:color="auto"/>
        <w:left w:val="none" w:sz="0" w:space="0" w:color="auto"/>
        <w:bottom w:val="none" w:sz="0" w:space="0" w:color="auto"/>
        <w:right w:val="none" w:sz="0" w:space="0" w:color="auto"/>
      </w:divBdr>
    </w:div>
    <w:div w:id="817259872">
      <w:bodyDiv w:val="1"/>
      <w:marLeft w:val="0"/>
      <w:marRight w:val="0"/>
      <w:marTop w:val="0"/>
      <w:marBottom w:val="0"/>
      <w:divBdr>
        <w:top w:val="none" w:sz="0" w:space="0" w:color="auto"/>
        <w:left w:val="none" w:sz="0" w:space="0" w:color="auto"/>
        <w:bottom w:val="none" w:sz="0" w:space="0" w:color="auto"/>
        <w:right w:val="none" w:sz="0" w:space="0" w:color="auto"/>
      </w:divBdr>
    </w:div>
    <w:div w:id="817917841">
      <w:bodyDiv w:val="1"/>
      <w:marLeft w:val="0"/>
      <w:marRight w:val="0"/>
      <w:marTop w:val="0"/>
      <w:marBottom w:val="0"/>
      <w:divBdr>
        <w:top w:val="none" w:sz="0" w:space="0" w:color="auto"/>
        <w:left w:val="none" w:sz="0" w:space="0" w:color="auto"/>
        <w:bottom w:val="none" w:sz="0" w:space="0" w:color="auto"/>
        <w:right w:val="none" w:sz="0" w:space="0" w:color="auto"/>
      </w:divBdr>
      <w:divsChild>
        <w:div w:id="438572802">
          <w:marLeft w:val="547"/>
          <w:marRight w:val="0"/>
          <w:marTop w:val="96"/>
          <w:marBottom w:val="0"/>
          <w:divBdr>
            <w:top w:val="none" w:sz="0" w:space="0" w:color="auto"/>
            <w:left w:val="none" w:sz="0" w:space="0" w:color="auto"/>
            <w:bottom w:val="none" w:sz="0" w:space="0" w:color="auto"/>
            <w:right w:val="none" w:sz="0" w:space="0" w:color="auto"/>
          </w:divBdr>
        </w:div>
        <w:div w:id="632255824">
          <w:marLeft w:val="547"/>
          <w:marRight w:val="0"/>
          <w:marTop w:val="96"/>
          <w:marBottom w:val="0"/>
          <w:divBdr>
            <w:top w:val="none" w:sz="0" w:space="0" w:color="auto"/>
            <w:left w:val="none" w:sz="0" w:space="0" w:color="auto"/>
            <w:bottom w:val="none" w:sz="0" w:space="0" w:color="auto"/>
            <w:right w:val="none" w:sz="0" w:space="0" w:color="auto"/>
          </w:divBdr>
        </w:div>
        <w:div w:id="1494950408">
          <w:marLeft w:val="547"/>
          <w:marRight w:val="0"/>
          <w:marTop w:val="96"/>
          <w:marBottom w:val="0"/>
          <w:divBdr>
            <w:top w:val="none" w:sz="0" w:space="0" w:color="auto"/>
            <w:left w:val="none" w:sz="0" w:space="0" w:color="auto"/>
            <w:bottom w:val="none" w:sz="0" w:space="0" w:color="auto"/>
            <w:right w:val="none" w:sz="0" w:space="0" w:color="auto"/>
          </w:divBdr>
        </w:div>
      </w:divsChild>
    </w:div>
    <w:div w:id="818308155">
      <w:bodyDiv w:val="1"/>
      <w:marLeft w:val="0"/>
      <w:marRight w:val="0"/>
      <w:marTop w:val="0"/>
      <w:marBottom w:val="0"/>
      <w:divBdr>
        <w:top w:val="none" w:sz="0" w:space="0" w:color="auto"/>
        <w:left w:val="none" w:sz="0" w:space="0" w:color="auto"/>
        <w:bottom w:val="none" w:sz="0" w:space="0" w:color="auto"/>
        <w:right w:val="none" w:sz="0" w:space="0" w:color="auto"/>
      </w:divBdr>
    </w:div>
    <w:div w:id="818570864">
      <w:bodyDiv w:val="1"/>
      <w:marLeft w:val="0"/>
      <w:marRight w:val="0"/>
      <w:marTop w:val="0"/>
      <w:marBottom w:val="0"/>
      <w:divBdr>
        <w:top w:val="none" w:sz="0" w:space="0" w:color="auto"/>
        <w:left w:val="none" w:sz="0" w:space="0" w:color="auto"/>
        <w:bottom w:val="none" w:sz="0" w:space="0" w:color="auto"/>
        <w:right w:val="none" w:sz="0" w:space="0" w:color="auto"/>
      </w:divBdr>
    </w:div>
    <w:div w:id="819687870">
      <w:bodyDiv w:val="1"/>
      <w:marLeft w:val="0"/>
      <w:marRight w:val="0"/>
      <w:marTop w:val="0"/>
      <w:marBottom w:val="0"/>
      <w:divBdr>
        <w:top w:val="none" w:sz="0" w:space="0" w:color="auto"/>
        <w:left w:val="none" w:sz="0" w:space="0" w:color="auto"/>
        <w:bottom w:val="none" w:sz="0" w:space="0" w:color="auto"/>
        <w:right w:val="none" w:sz="0" w:space="0" w:color="auto"/>
      </w:divBdr>
    </w:div>
    <w:div w:id="820855135">
      <w:bodyDiv w:val="1"/>
      <w:marLeft w:val="0"/>
      <w:marRight w:val="0"/>
      <w:marTop w:val="0"/>
      <w:marBottom w:val="0"/>
      <w:divBdr>
        <w:top w:val="none" w:sz="0" w:space="0" w:color="auto"/>
        <w:left w:val="none" w:sz="0" w:space="0" w:color="auto"/>
        <w:bottom w:val="none" w:sz="0" w:space="0" w:color="auto"/>
        <w:right w:val="none" w:sz="0" w:space="0" w:color="auto"/>
      </w:divBdr>
    </w:div>
    <w:div w:id="820930595">
      <w:bodyDiv w:val="1"/>
      <w:marLeft w:val="0"/>
      <w:marRight w:val="0"/>
      <w:marTop w:val="0"/>
      <w:marBottom w:val="0"/>
      <w:divBdr>
        <w:top w:val="none" w:sz="0" w:space="0" w:color="auto"/>
        <w:left w:val="none" w:sz="0" w:space="0" w:color="auto"/>
        <w:bottom w:val="none" w:sz="0" w:space="0" w:color="auto"/>
        <w:right w:val="none" w:sz="0" w:space="0" w:color="auto"/>
      </w:divBdr>
      <w:divsChild>
        <w:div w:id="59447984">
          <w:marLeft w:val="1166"/>
          <w:marRight w:val="0"/>
          <w:marTop w:val="96"/>
          <w:marBottom w:val="0"/>
          <w:divBdr>
            <w:top w:val="none" w:sz="0" w:space="0" w:color="auto"/>
            <w:left w:val="none" w:sz="0" w:space="0" w:color="auto"/>
            <w:bottom w:val="none" w:sz="0" w:space="0" w:color="auto"/>
            <w:right w:val="none" w:sz="0" w:space="0" w:color="auto"/>
          </w:divBdr>
        </w:div>
        <w:div w:id="1580672134">
          <w:marLeft w:val="1166"/>
          <w:marRight w:val="0"/>
          <w:marTop w:val="96"/>
          <w:marBottom w:val="0"/>
          <w:divBdr>
            <w:top w:val="none" w:sz="0" w:space="0" w:color="auto"/>
            <w:left w:val="none" w:sz="0" w:space="0" w:color="auto"/>
            <w:bottom w:val="none" w:sz="0" w:space="0" w:color="auto"/>
            <w:right w:val="none" w:sz="0" w:space="0" w:color="auto"/>
          </w:divBdr>
        </w:div>
        <w:div w:id="1817523433">
          <w:marLeft w:val="547"/>
          <w:marRight w:val="0"/>
          <w:marTop w:val="115"/>
          <w:marBottom w:val="0"/>
          <w:divBdr>
            <w:top w:val="none" w:sz="0" w:space="0" w:color="auto"/>
            <w:left w:val="none" w:sz="0" w:space="0" w:color="auto"/>
            <w:bottom w:val="none" w:sz="0" w:space="0" w:color="auto"/>
            <w:right w:val="none" w:sz="0" w:space="0" w:color="auto"/>
          </w:divBdr>
        </w:div>
        <w:div w:id="1915774854">
          <w:marLeft w:val="1166"/>
          <w:marRight w:val="0"/>
          <w:marTop w:val="96"/>
          <w:marBottom w:val="0"/>
          <w:divBdr>
            <w:top w:val="none" w:sz="0" w:space="0" w:color="auto"/>
            <w:left w:val="none" w:sz="0" w:space="0" w:color="auto"/>
            <w:bottom w:val="none" w:sz="0" w:space="0" w:color="auto"/>
            <w:right w:val="none" w:sz="0" w:space="0" w:color="auto"/>
          </w:divBdr>
        </w:div>
      </w:divsChild>
    </w:div>
    <w:div w:id="823084236">
      <w:bodyDiv w:val="1"/>
      <w:marLeft w:val="0"/>
      <w:marRight w:val="0"/>
      <w:marTop w:val="0"/>
      <w:marBottom w:val="0"/>
      <w:divBdr>
        <w:top w:val="none" w:sz="0" w:space="0" w:color="auto"/>
        <w:left w:val="none" w:sz="0" w:space="0" w:color="auto"/>
        <w:bottom w:val="none" w:sz="0" w:space="0" w:color="auto"/>
        <w:right w:val="none" w:sz="0" w:space="0" w:color="auto"/>
      </w:divBdr>
    </w:div>
    <w:div w:id="826290124">
      <w:bodyDiv w:val="1"/>
      <w:marLeft w:val="0"/>
      <w:marRight w:val="0"/>
      <w:marTop w:val="0"/>
      <w:marBottom w:val="0"/>
      <w:divBdr>
        <w:top w:val="none" w:sz="0" w:space="0" w:color="auto"/>
        <w:left w:val="none" w:sz="0" w:space="0" w:color="auto"/>
        <w:bottom w:val="none" w:sz="0" w:space="0" w:color="auto"/>
        <w:right w:val="none" w:sz="0" w:space="0" w:color="auto"/>
      </w:divBdr>
      <w:divsChild>
        <w:div w:id="183061964">
          <w:marLeft w:val="1800"/>
          <w:marRight w:val="0"/>
          <w:marTop w:val="96"/>
          <w:marBottom w:val="0"/>
          <w:divBdr>
            <w:top w:val="none" w:sz="0" w:space="0" w:color="auto"/>
            <w:left w:val="none" w:sz="0" w:space="0" w:color="auto"/>
            <w:bottom w:val="none" w:sz="0" w:space="0" w:color="auto"/>
            <w:right w:val="none" w:sz="0" w:space="0" w:color="auto"/>
          </w:divBdr>
        </w:div>
        <w:div w:id="319310598">
          <w:marLeft w:val="1166"/>
          <w:marRight w:val="0"/>
          <w:marTop w:val="115"/>
          <w:marBottom w:val="0"/>
          <w:divBdr>
            <w:top w:val="none" w:sz="0" w:space="0" w:color="auto"/>
            <w:left w:val="none" w:sz="0" w:space="0" w:color="auto"/>
            <w:bottom w:val="none" w:sz="0" w:space="0" w:color="auto"/>
            <w:right w:val="none" w:sz="0" w:space="0" w:color="auto"/>
          </w:divBdr>
        </w:div>
        <w:div w:id="381251735">
          <w:marLeft w:val="1166"/>
          <w:marRight w:val="0"/>
          <w:marTop w:val="115"/>
          <w:marBottom w:val="0"/>
          <w:divBdr>
            <w:top w:val="none" w:sz="0" w:space="0" w:color="auto"/>
            <w:left w:val="none" w:sz="0" w:space="0" w:color="auto"/>
            <w:bottom w:val="none" w:sz="0" w:space="0" w:color="auto"/>
            <w:right w:val="none" w:sz="0" w:space="0" w:color="auto"/>
          </w:divBdr>
        </w:div>
        <w:div w:id="666133513">
          <w:marLeft w:val="547"/>
          <w:marRight w:val="0"/>
          <w:marTop w:val="134"/>
          <w:marBottom w:val="0"/>
          <w:divBdr>
            <w:top w:val="none" w:sz="0" w:space="0" w:color="auto"/>
            <w:left w:val="none" w:sz="0" w:space="0" w:color="auto"/>
            <w:bottom w:val="none" w:sz="0" w:space="0" w:color="auto"/>
            <w:right w:val="none" w:sz="0" w:space="0" w:color="auto"/>
          </w:divBdr>
        </w:div>
        <w:div w:id="752818898">
          <w:marLeft w:val="547"/>
          <w:marRight w:val="0"/>
          <w:marTop w:val="134"/>
          <w:marBottom w:val="0"/>
          <w:divBdr>
            <w:top w:val="none" w:sz="0" w:space="0" w:color="auto"/>
            <w:left w:val="none" w:sz="0" w:space="0" w:color="auto"/>
            <w:bottom w:val="none" w:sz="0" w:space="0" w:color="auto"/>
            <w:right w:val="none" w:sz="0" w:space="0" w:color="auto"/>
          </w:divBdr>
        </w:div>
        <w:div w:id="1120421299">
          <w:marLeft w:val="1166"/>
          <w:marRight w:val="0"/>
          <w:marTop w:val="115"/>
          <w:marBottom w:val="0"/>
          <w:divBdr>
            <w:top w:val="none" w:sz="0" w:space="0" w:color="auto"/>
            <w:left w:val="none" w:sz="0" w:space="0" w:color="auto"/>
            <w:bottom w:val="none" w:sz="0" w:space="0" w:color="auto"/>
            <w:right w:val="none" w:sz="0" w:space="0" w:color="auto"/>
          </w:divBdr>
        </w:div>
        <w:div w:id="1219442870">
          <w:marLeft w:val="1166"/>
          <w:marRight w:val="0"/>
          <w:marTop w:val="115"/>
          <w:marBottom w:val="0"/>
          <w:divBdr>
            <w:top w:val="none" w:sz="0" w:space="0" w:color="auto"/>
            <w:left w:val="none" w:sz="0" w:space="0" w:color="auto"/>
            <w:bottom w:val="none" w:sz="0" w:space="0" w:color="auto"/>
            <w:right w:val="none" w:sz="0" w:space="0" w:color="auto"/>
          </w:divBdr>
        </w:div>
      </w:divsChild>
    </w:div>
    <w:div w:id="826942414">
      <w:bodyDiv w:val="1"/>
      <w:marLeft w:val="0"/>
      <w:marRight w:val="0"/>
      <w:marTop w:val="0"/>
      <w:marBottom w:val="0"/>
      <w:divBdr>
        <w:top w:val="none" w:sz="0" w:space="0" w:color="auto"/>
        <w:left w:val="none" w:sz="0" w:space="0" w:color="auto"/>
        <w:bottom w:val="none" w:sz="0" w:space="0" w:color="auto"/>
        <w:right w:val="none" w:sz="0" w:space="0" w:color="auto"/>
      </w:divBdr>
    </w:div>
    <w:div w:id="829638172">
      <w:bodyDiv w:val="1"/>
      <w:marLeft w:val="0"/>
      <w:marRight w:val="0"/>
      <w:marTop w:val="0"/>
      <w:marBottom w:val="0"/>
      <w:divBdr>
        <w:top w:val="none" w:sz="0" w:space="0" w:color="auto"/>
        <w:left w:val="none" w:sz="0" w:space="0" w:color="auto"/>
        <w:bottom w:val="none" w:sz="0" w:space="0" w:color="auto"/>
        <w:right w:val="none" w:sz="0" w:space="0" w:color="auto"/>
      </w:divBdr>
      <w:divsChild>
        <w:div w:id="1037581628">
          <w:marLeft w:val="547"/>
          <w:marRight w:val="0"/>
          <w:marTop w:val="115"/>
          <w:marBottom w:val="0"/>
          <w:divBdr>
            <w:top w:val="none" w:sz="0" w:space="0" w:color="auto"/>
            <w:left w:val="none" w:sz="0" w:space="0" w:color="auto"/>
            <w:bottom w:val="none" w:sz="0" w:space="0" w:color="auto"/>
            <w:right w:val="none" w:sz="0" w:space="0" w:color="auto"/>
          </w:divBdr>
        </w:div>
      </w:divsChild>
    </w:div>
    <w:div w:id="830025096">
      <w:bodyDiv w:val="1"/>
      <w:marLeft w:val="0"/>
      <w:marRight w:val="0"/>
      <w:marTop w:val="0"/>
      <w:marBottom w:val="0"/>
      <w:divBdr>
        <w:top w:val="none" w:sz="0" w:space="0" w:color="auto"/>
        <w:left w:val="none" w:sz="0" w:space="0" w:color="auto"/>
        <w:bottom w:val="none" w:sz="0" w:space="0" w:color="auto"/>
        <w:right w:val="none" w:sz="0" w:space="0" w:color="auto"/>
      </w:divBdr>
    </w:div>
    <w:div w:id="830878076">
      <w:bodyDiv w:val="1"/>
      <w:marLeft w:val="0"/>
      <w:marRight w:val="0"/>
      <w:marTop w:val="0"/>
      <w:marBottom w:val="0"/>
      <w:divBdr>
        <w:top w:val="none" w:sz="0" w:space="0" w:color="auto"/>
        <w:left w:val="none" w:sz="0" w:space="0" w:color="auto"/>
        <w:bottom w:val="none" w:sz="0" w:space="0" w:color="auto"/>
        <w:right w:val="none" w:sz="0" w:space="0" w:color="auto"/>
      </w:divBdr>
    </w:div>
    <w:div w:id="830952246">
      <w:bodyDiv w:val="1"/>
      <w:marLeft w:val="0"/>
      <w:marRight w:val="0"/>
      <w:marTop w:val="0"/>
      <w:marBottom w:val="0"/>
      <w:divBdr>
        <w:top w:val="none" w:sz="0" w:space="0" w:color="auto"/>
        <w:left w:val="none" w:sz="0" w:space="0" w:color="auto"/>
        <w:bottom w:val="none" w:sz="0" w:space="0" w:color="auto"/>
        <w:right w:val="none" w:sz="0" w:space="0" w:color="auto"/>
      </w:divBdr>
    </w:div>
    <w:div w:id="832139662">
      <w:bodyDiv w:val="1"/>
      <w:marLeft w:val="0"/>
      <w:marRight w:val="0"/>
      <w:marTop w:val="0"/>
      <w:marBottom w:val="0"/>
      <w:divBdr>
        <w:top w:val="none" w:sz="0" w:space="0" w:color="auto"/>
        <w:left w:val="none" w:sz="0" w:space="0" w:color="auto"/>
        <w:bottom w:val="none" w:sz="0" w:space="0" w:color="auto"/>
        <w:right w:val="none" w:sz="0" w:space="0" w:color="auto"/>
      </w:divBdr>
    </w:div>
    <w:div w:id="832797317">
      <w:bodyDiv w:val="1"/>
      <w:marLeft w:val="0"/>
      <w:marRight w:val="0"/>
      <w:marTop w:val="0"/>
      <w:marBottom w:val="0"/>
      <w:divBdr>
        <w:top w:val="none" w:sz="0" w:space="0" w:color="auto"/>
        <w:left w:val="none" w:sz="0" w:space="0" w:color="auto"/>
        <w:bottom w:val="none" w:sz="0" w:space="0" w:color="auto"/>
        <w:right w:val="none" w:sz="0" w:space="0" w:color="auto"/>
      </w:divBdr>
    </w:div>
    <w:div w:id="833764879">
      <w:bodyDiv w:val="1"/>
      <w:marLeft w:val="0"/>
      <w:marRight w:val="0"/>
      <w:marTop w:val="0"/>
      <w:marBottom w:val="0"/>
      <w:divBdr>
        <w:top w:val="none" w:sz="0" w:space="0" w:color="auto"/>
        <w:left w:val="none" w:sz="0" w:space="0" w:color="auto"/>
        <w:bottom w:val="none" w:sz="0" w:space="0" w:color="auto"/>
        <w:right w:val="none" w:sz="0" w:space="0" w:color="auto"/>
      </w:divBdr>
      <w:divsChild>
        <w:div w:id="707292152">
          <w:marLeft w:val="1166"/>
          <w:marRight w:val="0"/>
          <w:marTop w:val="134"/>
          <w:marBottom w:val="0"/>
          <w:divBdr>
            <w:top w:val="none" w:sz="0" w:space="0" w:color="auto"/>
            <w:left w:val="none" w:sz="0" w:space="0" w:color="auto"/>
            <w:bottom w:val="none" w:sz="0" w:space="0" w:color="auto"/>
            <w:right w:val="none" w:sz="0" w:space="0" w:color="auto"/>
          </w:divBdr>
        </w:div>
        <w:div w:id="1675836274">
          <w:marLeft w:val="547"/>
          <w:marRight w:val="0"/>
          <w:marTop w:val="154"/>
          <w:marBottom w:val="0"/>
          <w:divBdr>
            <w:top w:val="none" w:sz="0" w:space="0" w:color="auto"/>
            <w:left w:val="none" w:sz="0" w:space="0" w:color="auto"/>
            <w:bottom w:val="none" w:sz="0" w:space="0" w:color="auto"/>
            <w:right w:val="none" w:sz="0" w:space="0" w:color="auto"/>
          </w:divBdr>
        </w:div>
      </w:divsChild>
    </w:div>
    <w:div w:id="834033160">
      <w:bodyDiv w:val="1"/>
      <w:marLeft w:val="0"/>
      <w:marRight w:val="0"/>
      <w:marTop w:val="0"/>
      <w:marBottom w:val="0"/>
      <w:divBdr>
        <w:top w:val="none" w:sz="0" w:space="0" w:color="auto"/>
        <w:left w:val="none" w:sz="0" w:space="0" w:color="auto"/>
        <w:bottom w:val="none" w:sz="0" w:space="0" w:color="auto"/>
        <w:right w:val="none" w:sz="0" w:space="0" w:color="auto"/>
      </w:divBdr>
    </w:div>
    <w:div w:id="834150360">
      <w:bodyDiv w:val="1"/>
      <w:marLeft w:val="0"/>
      <w:marRight w:val="0"/>
      <w:marTop w:val="0"/>
      <w:marBottom w:val="0"/>
      <w:divBdr>
        <w:top w:val="none" w:sz="0" w:space="0" w:color="auto"/>
        <w:left w:val="none" w:sz="0" w:space="0" w:color="auto"/>
        <w:bottom w:val="none" w:sz="0" w:space="0" w:color="auto"/>
        <w:right w:val="none" w:sz="0" w:space="0" w:color="auto"/>
      </w:divBdr>
    </w:div>
    <w:div w:id="834538439">
      <w:bodyDiv w:val="1"/>
      <w:marLeft w:val="0"/>
      <w:marRight w:val="0"/>
      <w:marTop w:val="0"/>
      <w:marBottom w:val="0"/>
      <w:divBdr>
        <w:top w:val="none" w:sz="0" w:space="0" w:color="auto"/>
        <w:left w:val="none" w:sz="0" w:space="0" w:color="auto"/>
        <w:bottom w:val="none" w:sz="0" w:space="0" w:color="auto"/>
        <w:right w:val="none" w:sz="0" w:space="0" w:color="auto"/>
      </w:divBdr>
    </w:div>
    <w:div w:id="834952227">
      <w:bodyDiv w:val="1"/>
      <w:marLeft w:val="0"/>
      <w:marRight w:val="0"/>
      <w:marTop w:val="0"/>
      <w:marBottom w:val="0"/>
      <w:divBdr>
        <w:top w:val="none" w:sz="0" w:space="0" w:color="auto"/>
        <w:left w:val="none" w:sz="0" w:space="0" w:color="auto"/>
        <w:bottom w:val="none" w:sz="0" w:space="0" w:color="auto"/>
        <w:right w:val="none" w:sz="0" w:space="0" w:color="auto"/>
      </w:divBdr>
    </w:div>
    <w:div w:id="835342424">
      <w:bodyDiv w:val="1"/>
      <w:marLeft w:val="0"/>
      <w:marRight w:val="0"/>
      <w:marTop w:val="0"/>
      <w:marBottom w:val="0"/>
      <w:divBdr>
        <w:top w:val="none" w:sz="0" w:space="0" w:color="auto"/>
        <w:left w:val="none" w:sz="0" w:space="0" w:color="auto"/>
        <w:bottom w:val="none" w:sz="0" w:space="0" w:color="auto"/>
        <w:right w:val="none" w:sz="0" w:space="0" w:color="auto"/>
      </w:divBdr>
      <w:divsChild>
        <w:div w:id="40709137">
          <w:marLeft w:val="1800"/>
          <w:marRight w:val="0"/>
          <w:marTop w:val="67"/>
          <w:marBottom w:val="0"/>
          <w:divBdr>
            <w:top w:val="none" w:sz="0" w:space="0" w:color="auto"/>
            <w:left w:val="none" w:sz="0" w:space="0" w:color="auto"/>
            <w:bottom w:val="none" w:sz="0" w:space="0" w:color="auto"/>
            <w:right w:val="none" w:sz="0" w:space="0" w:color="auto"/>
          </w:divBdr>
        </w:div>
        <w:div w:id="73405141">
          <w:marLeft w:val="1800"/>
          <w:marRight w:val="0"/>
          <w:marTop w:val="58"/>
          <w:marBottom w:val="0"/>
          <w:divBdr>
            <w:top w:val="none" w:sz="0" w:space="0" w:color="auto"/>
            <w:left w:val="none" w:sz="0" w:space="0" w:color="auto"/>
            <w:bottom w:val="none" w:sz="0" w:space="0" w:color="auto"/>
            <w:right w:val="none" w:sz="0" w:space="0" w:color="auto"/>
          </w:divBdr>
        </w:div>
        <w:div w:id="108814764">
          <w:marLeft w:val="1800"/>
          <w:marRight w:val="0"/>
          <w:marTop w:val="58"/>
          <w:marBottom w:val="0"/>
          <w:divBdr>
            <w:top w:val="none" w:sz="0" w:space="0" w:color="auto"/>
            <w:left w:val="none" w:sz="0" w:space="0" w:color="auto"/>
            <w:bottom w:val="none" w:sz="0" w:space="0" w:color="auto"/>
            <w:right w:val="none" w:sz="0" w:space="0" w:color="auto"/>
          </w:divBdr>
        </w:div>
        <w:div w:id="211817596">
          <w:marLeft w:val="1166"/>
          <w:marRight w:val="0"/>
          <w:marTop w:val="77"/>
          <w:marBottom w:val="0"/>
          <w:divBdr>
            <w:top w:val="none" w:sz="0" w:space="0" w:color="auto"/>
            <w:left w:val="none" w:sz="0" w:space="0" w:color="auto"/>
            <w:bottom w:val="none" w:sz="0" w:space="0" w:color="auto"/>
            <w:right w:val="none" w:sz="0" w:space="0" w:color="auto"/>
          </w:divBdr>
        </w:div>
        <w:div w:id="221060628">
          <w:marLeft w:val="1800"/>
          <w:marRight w:val="0"/>
          <w:marTop w:val="67"/>
          <w:marBottom w:val="0"/>
          <w:divBdr>
            <w:top w:val="none" w:sz="0" w:space="0" w:color="auto"/>
            <w:left w:val="none" w:sz="0" w:space="0" w:color="auto"/>
            <w:bottom w:val="none" w:sz="0" w:space="0" w:color="auto"/>
            <w:right w:val="none" w:sz="0" w:space="0" w:color="auto"/>
          </w:divBdr>
        </w:div>
        <w:div w:id="235556589">
          <w:marLeft w:val="1800"/>
          <w:marRight w:val="0"/>
          <w:marTop w:val="67"/>
          <w:marBottom w:val="0"/>
          <w:divBdr>
            <w:top w:val="none" w:sz="0" w:space="0" w:color="auto"/>
            <w:left w:val="none" w:sz="0" w:space="0" w:color="auto"/>
            <w:bottom w:val="none" w:sz="0" w:space="0" w:color="auto"/>
            <w:right w:val="none" w:sz="0" w:space="0" w:color="auto"/>
          </w:divBdr>
        </w:div>
        <w:div w:id="462433062">
          <w:marLeft w:val="1166"/>
          <w:marRight w:val="0"/>
          <w:marTop w:val="77"/>
          <w:marBottom w:val="0"/>
          <w:divBdr>
            <w:top w:val="none" w:sz="0" w:space="0" w:color="auto"/>
            <w:left w:val="none" w:sz="0" w:space="0" w:color="auto"/>
            <w:bottom w:val="none" w:sz="0" w:space="0" w:color="auto"/>
            <w:right w:val="none" w:sz="0" w:space="0" w:color="auto"/>
          </w:divBdr>
        </w:div>
        <w:div w:id="534081093">
          <w:marLeft w:val="1800"/>
          <w:marRight w:val="0"/>
          <w:marTop w:val="67"/>
          <w:marBottom w:val="0"/>
          <w:divBdr>
            <w:top w:val="none" w:sz="0" w:space="0" w:color="auto"/>
            <w:left w:val="none" w:sz="0" w:space="0" w:color="auto"/>
            <w:bottom w:val="none" w:sz="0" w:space="0" w:color="auto"/>
            <w:right w:val="none" w:sz="0" w:space="0" w:color="auto"/>
          </w:divBdr>
        </w:div>
        <w:div w:id="620302943">
          <w:marLeft w:val="547"/>
          <w:marRight w:val="0"/>
          <w:marTop w:val="86"/>
          <w:marBottom w:val="0"/>
          <w:divBdr>
            <w:top w:val="none" w:sz="0" w:space="0" w:color="auto"/>
            <w:left w:val="none" w:sz="0" w:space="0" w:color="auto"/>
            <w:bottom w:val="none" w:sz="0" w:space="0" w:color="auto"/>
            <w:right w:val="none" w:sz="0" w:space="0" w:color="auto"/>
          </w:divBdr>
        </w:div>
        <w:div w:id="632296528">
          <w:marLeft w:val="547"/>
          <w:marRight w:val="0"/>
          <w:marTop w:val="86"/>
          <w:marBottom w:val="0"/>
          <w:divBdr>
            <w:top w:val="none" w:sz="0" w:space="0" w:color="auto"/>
            <w:left w:val="none" w:sz="0" w:space="0" w:color="auto"/>
            <w:bottom w:val="none" w:sz="0" w:space="0" w:color="auto"/>
            <w:right w:val="none" w:sz="0" w:space="0" w:color="auto"/>
          </w:divBdr>
        </w:div>
        <w:div w:id="725880072">
          <w:marLeft w:val="2520"/>
          <w:marRight w:val="0"/>
          <w:marTop w:val="58"/>
          <w:marBottom w:val="0"/>
          <w:divBdr>
            <w:top w:val="none" w:sz="0" w:space="0" w:color="auto"/>
            <w:left w:val="none" w:sz="0" w:space="0" w:color="auto"/>
            <w:bottom w:val="none" w:sz="0" w:space="0" w:color="auto"/>
            <w:right w:val="none" w:sz="0" w:space="0" w:color="auto"/>
          </w:divBdr>
        </w:div>
        <w:div w:id="1041973474">
          <w:marLeft w:val="1166"/>
          <w:marRight w:val="0"/>
          <w:marTop w:val="77"/>
          <w:marBottom w:val="0"/>
          <w:divBdr>
            <w:top w:val="none" w:sz="0" w:space="0" w:color="auto"/>
            <w:left w:val="none" w:sz="0" w:space="0" w:color="auto"/>
            <w:bottom w:val="none" w:sz="0" w:space="0" w:color="auto"/>
            <w:right w:val="none" w:sz="0" w:space="0" w:color="auto"/>
          </w:divBdr>
        </w:div>
        <w:div w:id="1187132960">
          <w:marLeft w:val="2520"/>
          <w:marRight w:val="0"/>
          <w:marTop w:val="58"/>
          <w:marBottom w:val="0"/>
          <w:divBdr>
            <w:top w:val="none" w:sz="0" w:space="0" w:color="auto"/>
            <w:left w:val="none" w:sz="0" w:space="0" w:color="auto"/>
            <w:bottom w:val="none" w:sz="0" w:space="0" w:color="auto"/>
            <w:right w:val="none" w:sz="0" w:space="0" w:color="auto"/>
          </w:divBdr>
        </w:div>
        <w:div w:id="1207109620">
          <w:marLeft w:val="2520"/>
          <w:marRight w:val="0"/>
          <w:marTop w:val="58"/>
          <w:marBottom w:val="0"/>
          <w:divBdr>
            <w:top w:val="none" w:sz="0" w:space="0" w:color="auto"/>
            <w:left w:val="none" w:sz="0" w:space="0" w:color="auto"/>
            <w:bottom w:val="none" w:sz="0" w:space="0" w:color="auto"/>
            <w:right w:val="none" w:sz="0" w:space="0" w:color="auto"/>
          </w:divBdr>
        </w:div>
        <w:div w:id="1556426944">
          <w:marLeft w:val="2520"/>
          <w:marRight w:val="0"/>
          <w:marTop w:val="58"/>
          <w:marBottom w:val="0"/>
          <w:divBdr>
            <w:top w:val="none" w:sz="0" w:space="0" w:color="auto"/>
            <w:left w:val="none" w:sz="0" w:space="0" w:color="auto"/>
            <w:bottom w:val="none" w:sz="0" w:space="0" w:color="auto"/>
            <w:right w:val="none" w:sz="0" w:space="0" w:color="auto"/>
          </w:divBdr>
        </w:div>
        <w:div w:id="1946571743">
          <w:marLeft w:val="2520"/>
          <w:marRight w:val="0"/>
          <w:marTop w:val="58"/>
          <w:marBottom w:val="0"/>
          <w:divBdr>
            <w:top w:val="none" w:sz="0" w:space="0" w:color="auto"/>
            <w:left w:val="none" w:sz="0" w:space="0" w:color="auto"/>
            <w:bottom w:val="none" w:sz="0" w:space="0" w:color="auto"/>
            <w:right w:val="none" w:sz="0" w:space="0" w:color="auto"/>
          </w:divBdr>
        </w:div>
      </w:divsChild>
    </w:div>
    <w:div w:id="835803949">
      <w:bodyDiv w:val="1"/>
      <w:marLeft w:val="0"/>
      <w:marRight w:val="0"/>
      <w:marTop w:val="0"/>
      <w:marBottom w:val="0"/>
      <w:divBdr>
        <w:top w:val="none" w:sz="0" w:space="0" w:color="auto"/>
        <w:left w:val="none" w:sz="0" w:space="0" w:color="auto"/>
        <w:bottom w:val="none" w:sz="0" w:space="0" w:color="auto"/>
        <w:right w:val="none" w:sz="0" w:space="0" w:color="auto"/>
      </w:divBdr>
    </w:div>
    <w:div w:id="835917949">
      <w:bodyDiv w:val="1"/>
      <w:marLeft w:val="0"/>
      <w:marRight w:val="0"/>
      <w:marTop w:val="0"/>
      <w:marBottom w:val="0"/>
      <w:divBdr>
        <w:top w:val="none" w:sz="0" w:space="0" w:color="auto"/>
        <w:left w:val="none" w:sz="0" w:space="0" w:color="auto"/>
        <w:bottom w:val="none" w:sz="0" w:space="0" w:color="auto"/>
        <w:right w:val="none" w:sz="0" w:space="0" w:color="auto"/>
      </w:divBdr>
      <w:divsChild>
        <w:div w:id="99643895">
          <w:marLeft w:val="1166"/>
          <w:marRight w:val="0"/>
          <w:marTop w:val="240"/>
          <w:marBottom w:val="0"/>
          <w:divBdr>
            <w:top w:val="none" w:sz="0" w:space="0" w:color="auto"/>
            <w:left w:val="none" w:sz="0" w:space="0" w:color="auto"/>
            <w:bottom w:val="none" w:sz="0" w:space="0" w:color="auto"/>
            <w:right w:val="none" w:sz="0" w:space="0" w:color="auto"/>
          </w:divBdr>
        </w:div>
        <w:div w:id="1112044797">
          <w:marLeft w:val="547"/>
          <w:marRight w:val="0"/>
          <w:marTop w:val="240"/>
          <w:marBottom w:val="0"/>
          <w:divBdr>
            <w:top w:val="none" w:sz="0" w:space="0" w:color="auto"/>
            <w:left w:val="none" w:sz="0" w:space="0" w:color="auto"/>
            <w:bottom w:val="none" w:sz="0" w:space="0" w:color="auto"/>
            <w:right w:val="none" w:sz="0" w:space="0" w:color="auto"/>
          </w:divBdr>
        </w:div>
        <w:div w:id="1789005981">
          <w:marLeft w:val="1166"/>
          <w:marRight w:val="0"/>
          <w:marTop w:val="240"/>
          <w:marBottom w:val="0"/>
          <w:divBdr>
            <w:top w:val="none" w:sz="0" w:space="0" w:color="auto"/>
            <w:left w:val="none" w:sz="0" w:space="0" w:color="auto"/>
            <w:bottom w:val="none" w:sz="0" w:space="0" w:color="auto"/>
            <w:right w:val="none" w:sz="0" w:space="0" w:color="auto"/>
          </w:divBdr>
        </w:div>
      </w:divsChild>
    </w:div>
    <w:div w:id="836001534">
      <w:bodyDiv w:val="1"/>
      <w:marLeft w:val="0"/>
      <w:marRight w:val="0"/>
      <w:marTop w:val="0"/>
      <w:marBottom w:val="0"/>
      <w:divBdr>
        <w:top w:val="none" w:sz="0" w:space="0" w:color="auto"/>
        <w:left w:val="none" w:sz="0" w:space="0" w:color="auto"/>
        <w:bottom w:val="none" w:sz="0" w:space="0" w:color="auto"/>
        <w:right w:val="none" w:sz="0" w:space="0" w:color="auto"/>
      </w:divBdr>
    </w:div>
    <w:div w:id="837307600">
      <w:bodyDiv w:val="1"/>
      <w:marLeft w:val="0"/>
      <w:marRight w:val="0"/>
      <w:marTop w:val="0"/>
      <w:marBottom w:val="0"/>
      <w:divBdr>
        <w:top w:val="none" w:sz="0" w:space="0" w:color="auto"/>
        <w:left w:val="none" w:sz="0" w:space="0" w:color="auto"/>
        <w:bottom w:val="none" w:sz="0" w:space="0" w:color="auto"/>
        <w:right w:val="none" w:sz="0" w:space="0" w:color="auto"/>
      </w:divBdr>
      <w:divsChild>
        <w:div w:id="847596646">
          <w:marLeft w:val="547"/>
          <w:marRight w:val="0"/>
          <w:marTop w:val="77"/>
          <w:marBottom w:val="0"/>
          <w:divBdr>
            <w:top w:val="none" w:sz="0" w:space="0" w:color="auto"/>
            <w:left w:val="none" w:sz="0" w:space="0" w:color="auto"/>
            <w:bottom w:val="none" w:sz="0" w:space="0" w:color="auto"/>
            <w:right w:val="none" w:sz="0" w:space="0" w:color="auto"/>
          </w:divBdr>
        </w:div>
        <w:div w:id="1569924240">
          <w:marLeft w:val="547"/>
          <w:marRight w:val="0"/>
          <w:marTop w:val="77"/>
          <w:marBottom w:val="0"/>
          <w:divBdr>
            <w:top w:val="none" w:sz="0" w:space="0" w:color="auto"/>
            <w:left w:val="none" w:sz="0" w:space="0" w:color="auto"/>
            <w:bottom w:val="none" w:sz="0" w:space="0" w:color="auto"/>
            <w:right w:val="none" w:sz="0" w:space="0" w:color="auto"/>
          </w:divBdr>
        </w:div>
      </w:divsChild>
    </w:div>
    <w:div w:id="837889294">
      <w:bodyDiv w:val="1"/>
      <w:marLeft w:val="0"/>
      <w:marRight w:val="0"/>
      <w:marTop w:val="0"/>
      <w:marBottom w:val="0"/>
      <w:divBdr>
        <w:top w:val="none" w:sz="0" w:space="0" w:color="auto"/>
        <w:left w:val="none" w:sz="0" w:space="0" w:color="auto"/>
        <w:bottom w:val="none" w:sz="0" w:space="0" w:color="auto"/>
        <w:right w:val="none" w:sz="0" w:space="0" w:color="auto"/>
      </w:divBdr>
      <w:divsChild>
        <w:div w:id="651518537">
          <w:marLeft w:val="1166"/>
          <w:marRight w:val="0"/>
          <w:marTop w:val="96"/>
          <w:marBottom w:val="0"/>
          <w:divBdr>
            <w:top w:val="none" w:sz="0" w:space="0" w:color="auto"/>
            <w:left w:val="none" w:sz="0" w:space="0" w:color="auto"/>
            <w:bottom w:val="none" w:sz="0" w:space="0" w:color="auto"/>
            <w:right w:val="none" w:sz="0" w:space="0" w:color="auto"/>
          </w:divBdr>
        </w:div>
        <w:div w:id="737047368">
          <w:marLeft w:val="1166"/>
          <w:marRight w:val="0"/>
          <w:marTop w:val="96"/>
          <w:marBottom w:val="0"/>
          <w:divBdr>
            <w:top w:val="none" w:sz="0" w:space="0" w:color="auto"/>
            <w:left w:val="none" w:sz="0" w:space="0" w:color="auto"/>
            <w:bottom w:val="none" w:sz="0" w:space="0" w:color="auto"/>
            <w:right w:val="none" w:sz="0" w:space="0" w:color="auto"/>
          </w:divBdr>
        </w:div>
        <w:div w:id="791291833">
          <w:marLeft w:val="1166"/>
          <w:marRight w:val="0"/>
          <w:marTop w:val="96"/>
          <w:marBottom w:val="0"/>
          <w:divBdr>
            <w:top w:val="none" w:sz="0" w:space="0" w:color="auto"/>
            <w:left w:val="none" w:sz="0" w:space="0" w:color="auto"/>
            <w:bottom w:val="none" w:sz="0" w:space="0" w:color="auto"/>
            <w:right w:val="none" w:sz="0" w:space="0" w:color="auto"/>
          </w:divBdr>
        </w:div>
        <w:div w:id="1040712957">
          <w:marLeft w:val="1166"/>
          <w:marRight w:val="0"/>
          <w:marTop w:val="96"/>
          <w:marBottom w:val="0"/>
          <w:divBdr>
            <w:top w:val="none" w:sz="0" w:space="0" w:color="auto"/>
            <w:left w:val="none" w:sz="0" w:space="0" w:color="auto"/>
            <w:bottom w:val="none" w:sz="0" w:space="0" w:color="auto"/>
            <w:right w:val="none" w:sz="0" w:space="0" w:color="auto"/>
          </w:divBdr>
        </w:div>
        <w:div w:id="1081558620">
          <w:marLeft w:val="547"/>
          <w:marRight w:val="0"/>
          <w:marTop w:val="115"/>
          <w:marBottom w:val="0"/>
          <w:divBdr>
            <w:top w:val="none" w:sz="0" w:space="0" w:color="auto"/>
            <w:left w:val="none" w:sz="0" w:space="0" w:color="auto"/>
            <w:bottom w:val="none" w:sz="0" w:space="0" w:color="auto"/>
            <w:right w:val="none" w:sz="0" w:space="0" w:color="auto"/>
          </w:divBdr>
        </w:div>
        <w:div w:id="1509979725">
          <w:marLeft w:val="547"/>
          <w:marRight w:val="0"/>
          <w:marTop w:val="115"/>
          <w:marBottom w:val="0"/>
          <w:divBdr>
            <w:top w:val="none" w:sz="0" w:space="0" w:color="auto"/>
            <w:left w:val="none" w:sz="0" w:space="0" w:color="auto"/>
            <w:bottom w:val="none" w:sz="0" w:space="0" w:color="auto"/>
            <w:right w:val="none" w:sz="0" w:space="0" w:color="auto"/>
          </w:divBdr>
        </w:div>
        <w:div w:id="1666201081">
          <w:marLeft w:val="1800"/>
          <w:marRight w:val="0"/>
          <w:marTop w:val="86"/>
          <w:marBottom w:val="0"/>
          <w:divBdr>
            <w:top w:val="none" w:sz="0" w:space="0" w:color="auto"/>
            <w:left w:val="none" w:sz="0" w:space="0" w:color="auto"/>
            <w:bottom w:val="none" w:sz="0" w:space="0" w:color="auto"/>
            <w:right w:val="none" w:sz="0" w:space="0" w:color="auto"/>
          </w:divBdr>
        </w:div>
        <w:div w:id="2088847139">
          <w:marLeft w:val="547"/>
          <w:marRight w:val="0"/>
          <w:marTop w:val="115"/>
          <w:marBottom w:val="0"/>
          <w:divBdr>
            <w:top w:val="none" w:sz="0" w:space="0" w:color="auto"/>
            <w:left w:val="none" w:sz="0" w:space="0" w:color="auto"/>
            <w:bottom w:val="none" w:sz="0" w:space="0" w:color="auto"/>
            <w:right w:val="none" w:sz="0" w:space="0" w:color="auto"/>
          </w:divBdr>
        </w:div>
      </w:divsChild>
    </w:div>
    <w:div w:id="838040243">
      <w:bodyDiv w:val="1"/>
      <w:marLeft w:val="0"/>
      <w:marRight w:val="0"/>
      <w:marTop w:val="0"/>
      <w:marBottom w:val="0"/>
      <w:divBdr>
        <w:top w:val="none" w:sz="0" w:space="0" w:color="auto"/>
        <w:left w:val="none" w:sz="0" w:space="0" w:color="auto"/>
        <w:bottom w:val="none" w:sz="0" w:space="0" w:color="auto"/>
        <w:right w:val="none" w:sz="0" w:space="0" w:color="auto"/>
      </w:divBdr>
    </w:div>
    <w:div w:id="838471042">
      <w:bodyDiv w:val="1"/>
      <w:marLeft w:val="0"/>
      <w:marRight w:val="0"/>
      <w:marTop w:val="0"/>
      <w:marBottom w:val="0"/>
      <w:divBdr>
        <w:top w:val="none" w:sz="0" w:space="0" w:color="auto"/>
        <w:left w:val="none" w:sz="0" w:space="0" w:color="auto"/>
        <w:bottom w:val="none" w:sz="0" w:space="0" w:color="auto"/>
        <w:right w:val="none" w:sz="0" w:space="0" w:color="auto"/>
      </w:divBdr>
    </w:div>
    <w:div w:id="838731873">
      <w:bodyDiv w:val="1"/>
      <w:marLeft w:val="0"/>
      <w:marRight w:val="0"/>
      <w:marTop w:val="0"/>
      <w:marBottom w:val="0"/>
      <w:divBdr>
        <w:top w:val="none" w:sz="0" w:space="0" w:color="auto"/>
        <w:left w:val="none" w:sz="0" w:space="0" w:color="auto"/>
        <w:bottom w:val="none" w:sz="0" w:space="0" w:color="auto"/>
        <w:right w:val="none" w:sz="0" w:space="0" w:color="auto"/>
      </w:divBdr>
    </w:div>
    <w:div w:id="840000961">
      <w:bodyDiv w:val="1"/>
      <w:marLeft w:val="0"/>
      <w:marRight w:val="0"/>
      <w:marTop w:val="0"/>
      <w:marBottom w:val="0"/>
      <w:divBdr>
        <w:top w:val="none" w:sz="0" w:space="0" w:color="auto"/>
        <w:left w:val="none" w:sz="0" w:space="0" w:color="auto"/>
        <w:bottom w:val="none" w:sz="0" w:space="0" w:color="auto"/>
        <w:right w:val="none" w:sz="0" w:space="0" w:color="auto"/>
      </w:divBdr>
    </w:div>
    <w:div w:id="840042707">
      <w:bodyDiv w:val="1"/>
      <w:marLeft w:val="0"/>
      <w:marRight w:val="0"/>
      <w:marTop w:val="0"/>
      <w:marBottom w:val="0"/>
      <w:divBdr>
        <w:top w:val="none" w:sz="0" w:space="0" w:color="auto"/>
        <w:left w:val="none" w:sz="0" w:space="0" w:color="auto"/>
        <w:bottom w:val="none" w:sz="0" w:space="0" w:color="auto"/>
        <w:right w:val="none" w:sz="0" w:space="0" w:color="auto"/>
      </w:divBdr>
    </w:div>
    <w:div w:id="840244558">
      <w:bodyDiv w:val="1"/>
      <w:marLeft w:val="0"/>
      <w:marRight w:val="0"/>
      <w:marTop w:val="0"/>
      <w:marBottom w:val="0"/>
      <w:divBdr>
        <w:top w:val="none" w:sz="0" w:space="0" w:color="auto"/>
        <w:left w:val="none" w:sz="0" w:space="0" w:color="auto"/>
        <w:bottom w:val="none" w:sz="0" w:space="0" w:color="auto"/>
        <w:right w:val="none" w:sz="0" w:space="0" w:color="auto"/>
      </w:divBdr>
    </w:div>
    <w:div w:id="840315370">
      <w:bodyDiv w:val="1"/>
      <w:marLeft w:val="0"/>
      <w:marRight w:val="0"/>
      <w:marTop w:val="0"/>
      <w:marBottom w:val="0"/>
      <w:divBdr>
        <w:top w:val="none" w:sz="0" w:space="0" w:color="auto"/>
        <w:left w:val="none" w:sz="0" w:space="0" w:color="auto"/>
        <w:bottom w:val="none" w:sz="0" w:space="0" w:color="auto"/>
        <w:right w:val="none" w:sz="0" w:space="0" w:color="auto"/>
      </w:divBdr>
    </w:div>
    <w:div w:id="841313920">
      <w:bodyDiv w:val="1"/>
      <w:marLeft w:val="0"/>
      <w:marRight w:val="0"/>
      <w:marTop w:val="0"/>
      <w:marBottom w:val="0"/>
      <w:divBdr>
        <w:top w:val="none" w:sz="0" w:space="0" w:color="auto"/>
        <w:left w:val="none" w:sz="0" w:space="0" w:color="auto"/>
        <w:bottom w:val="none" w:sz="0" w:space="0" w:color="auto"/>
        <w:right w:val="none" w:sz="0" w:space="0" w:color="auto"/>
      </w:divBdr>
    </w:div>
    <w:div w:id="841891564">
      <w:bodyDiv w:val="1"/>
      <w:marLeft w:val="0"/>
      <w:marRight w:val="0"/>
      <w:marTop w:val="0"/>
      <w:marBottom w:val="0"/>
      <w:divBdr>
        <w:top w:val="none" w:sz="0" w:space="0" w:color="auto"/>
        <w:left w:val="none" w:sz="0" w:space="0" w:color="auto"/>
        <w:bottom w:val="none" w:sz="0" w:space="0" w:color="auto"/>
        <w:right w:val="none" w:sz="0" w:space="0" w:color="auto"/>
      </w:divBdr>
    </w:div>
    <w:div w:id="842277387">
      <w:bodyDiv w:val="1"/>
      <w:marLeft w:val="0"/>
      <w:marRight w:val="0"/>
      <w:marTop w:val="0"/>
      <w:marBottom w:val="0"/>
      <w:divBdr>
        <w:top w:val="none" w:sz="0" w:space="0" w:color="auto"/>
        <w:left w:val="none" w:sz="0" w:space="0" w:color="auto"/>
        <w:bottom w:val="none" w:sz="0" w:space="0" w:color="auto"/>
        <w:right w:val="none" w:sz="0" w:space="0" w:color="auto"/>
      </w:divBdr>
    </w:div>
    <w:div w:id="842402787">
      <w:bodyDiv w:val="1"/>
      <w:marLeft w:val="0"/>
      <w:marRight w:val="0"/>
      <w:marTop w:val="0"/>
      <w:marBottom w:val="0"/>
      <w:divBdr>
        <w:top w:val="none" w:sz="0" w:space="0" w:color="auto"/>
        <w:left w:val="none" w:sz="0" w:space="0" w:color="auto"/>
        <w:bottom w:val="none" w:sz="0" w:space="0" w:color="auto"/>
        <w:right w:val="none" w:sz="0" w:space="0" w:color="auto"/>
      </w:divBdr>
    </w:div>
    <w:div w:id="842740403">
      <w:bodyDiv w:val="1"/>
      <w:marLeft w:val="0"/>
      <w:marRight w:val="0"/>
      <w:marTop w:val="0"/>
      <w:marBottom w:val="0"/>
      <w:divBdr>
        <w:top w:val="none" w:sz="0" w:space="0" w:color="auto"/>
        <w:left w:val="none" w:sz="0" w:space="0" w:color="auto"/>
        <w:bottom w:val="none" w:sz="0" w:space="0" w:color="auto"/>
        <w:right w:val="none" w:sz="0" w:space="0" w:color="auto"/>
      </w:divBdr>
    </w:div>
    <w:div w:id="843011164">
      <w:bodyDiv w:val="1"/>
      <w:marLeft w:val="0"/>
      <w:marRight w:val="0"/>
      <w:marTop w:val="0"/>
      <w:marBottom w:val="0"/>
      <w:divBdr>
        <w:top w:val="none" w:sz="0" w:space="0" w:color="auto"/>
        <w:left w:val="none" w:sz="0" w:space="0" w:color="auto"/>
        <w:bottom w:val="none" w:sz="0" w:space="0" w:color="auto"/>
        <w:right w:val="none" w:sz="0" w:space="0" w:color="auto"/>
      </w:divBdr>
    </w:div>
    <w:div w:id="843470068">
      <w:bodyDiv w:val="1"/>
      <w:marLeft w:val="0"/>
      <w:marRight w:val="0"/>
      <w:marTop w:val="0"/>
      <w:marBottom w:val="0"/>
      <w:divBdr>
        <w:top w:val="none" w:sz="0" w:space="0" w:color="auto"/>
        <w:left w:val="none" w:sz="0" w:space="0" w:color="auto"/>
        <w:bottom w:val="none" w:sz="0" w:space="0" w:color="auto"/>
        <w:right w:val="none" w:sz="0" w:space="0" w:color="auto"/>
      </w:divBdr>
    </w:div>
    <w:div w:id="845249978">
      <w:bodyDiv w:val="1"/>
      <w:marLeft w:val="0"/>
      <w:marRight w:val="0"/>
      <w:marTop w:val="0"/>
      <w:marBottom w:val="0"/>
      <w:divBdr>
        <w:top w:val="none" w:sz="0" w:space="0" w:color="auto"/>
        <w:left w:val="none" w:sz="0" w:space="0" w:color="auto"/>
        <w:bottom w:val="none" w:sz="0" w:space="0" w:color="auto"/>
        <w:right w:val="none" w:sz="0" w:space="0" w:color="auto"/>
      </w:divBdr>
      <w:divsChild>
        <w:div w:id="786774078">
          <w:marLeft w:val="1440"/>
          <w:marRight w:val="0"/>
          <w:marTop w:val="0"/>
          <w:marBottom w:val="0"/>
          <w:divBdr>
            <w:top w:val="none" w:sz="0" w:space="0" w:color="auto"/>
            <w:left w:val="none" w:sz="0" w:space="0" w:color="auto"/>
            <w:bottom w:val="none" w:sz="0" w:space="0" w:color="auto"/>
            <w:right w:val="none" w:sz="0" w:space="0" w:color="auto"/>
          </w:divBdr>
        </w:div>
        <w:div w:id="1552154625">
          <w:marLeft w:val="720"/>
          <w:marRight w:val="0"/>
          <w:marTop w:val="0"/>
          <w:marBottom w:val="0"/>
          <w:divBdr>
            <w:top w:val="none" w:sz="0" w:space="0" w:color="auto"/>
            <w:left w:val="none" w:sz="0" w:space="0" w:color="auto"/>
            <w:bottom w:val="none" w:sz="0" w:space="0" w:color="auto"/>
            <w:right w:val="none" w:sz="0" w:space="0" w:color="auto"/>
          </w:divBdr>
        </w:div>
        <w:div w:id="1909801177">
          <w:marLeft w:val="1440"/>
          <w:marRight w:val="0"/>
          <w:marTop w:val="0"/>
          <w:marBottom w:val="0"/>
          <w:divBdr>
            <w:top w:val="none" w:sz="0" w:space="0" w:color="auto"/>
            <w:left w:val="none" w:sz="0" w:space="0" w:color="auto"/>
            <w:bottom w:val="none" w:sz="0" w:space="0" w:color="auto"/>
            <w:right w:val="none" w:sz="0" w:space="0" w:color="auto"/>
          </w:divBdr>
        </w:div>
        <w:div w:id="2092309197">
          <w:marLeft w:val="1440"/>
          <w:marRight w:val="0"/>
          <w:marTop w:val="0"/>
          <w:marBottom w:val="0"/>
          <w:divBdr>
            <w:top w:val="none" w:sz="0" w:space="0" w:color="auto"/>
            <w:left w:val="none" w:sz="0" w:space="0" w:color="auto"/>
            <w:bottom w:val="none" w:sz="0" w:space="0" w:color="auto"/>
            <w:right w:val="none" w:sz="0" w:space="0" w:color="auto"/>
          </w:divBdr>
        </w:div>
        <w:div w:id="2123643063">
          <w:marLeft w:val="720"/>
          <w:marRight w:val="0"/>
          <w:marTop w:val="0"/>
          <w:marBottom w:val="0"/>
          <w:divBdr>
            <w:top w:val="none" w:sz="0" w:space="0" w:color="auto"/>
            <w:left w:val="none" w:sz="0" w:space="0" w:color="auto"/>
            <w:bottom w:val="none" w:sz="0" w:space="0" w:color="auto"/>
            <w:right w:val="none" w:sz="0" w:space="0" w:color="auto"/>
          </w:divBdr>
        </w:div>
      </w:divsChild>
    </w:div>
    <w:div w:id="845511088">
      <w:bodyDiv w:val="1"/>
      <w:marLeft w:val="0"/>
      <w:marRight w:val="0"/>
      <w:marTop w:val="0"/>
      <w:marBottom w:val="0"/>
      <w:divBdr>
        <w:top w:val="none" w:sz="0" w:space="0" w:color="auto"/>
        <w:left w:val="none" w:sz="0" w:space="0" w:color="auto"/>
        <w:bottom w:val="none" w:sz="0" w:space="0" w:color="auto"/>
        <w:right w:val="none" w:sz="0" w:space="0" w:color="auto"/>
      </w:divBdr>
    </w:div>
    <w:div w:id="846332464">
      <w:bodyDiv w:val="1"/>
      <w:marLeft w:val="0"/>
      <w:marRight w:val="0"/>
      <w:marTop w:val="0"/>
      <w:marBottom w:val="0"/>
      <w:divBdr>
        <w:top w:val="none" w:sz="0" w:space="0" w:color="auto"/>
        <w:left w:val="none" w:sz="0" w:space="0" w:color="auto"/>
        <w:bottom w:val="none" w:sz="0" w:space="0" w:color="auto"/>
        <w:right w:val="none" w:sz="0" w:space="0" w:color="auto"/>
      </w:divBdr>
    </w:div>
    <w:div w:id="846940384">
      <w:bodyDiv w:val="1"/>
      <w:marLeft w:val="0"/>
      <w:marRight w:val="0"/>
      <w:marTop w:val="0"/>
      <w:marBottom w:val="0"/>
      <w:divBdr>
        <w:top w:val="none" w:sz="0" w:space="0" w:color="auto"/>
        <w:left w:val="none" w:sz="0" w:space="0" w:color="auto"/>
        <w:bottom w:val="none" w:sz="0" w:space="0" w:color="auto"/>
        <w:right w:val="none" w:sz="0" w:space="0" w:color="auto"/>
      </w:divBdr>
    </w:div>
    <w:div w:id="847016630">
      <w:bodyDiv w:val="1"/>
      <w:marLeft w:val="0"/>
      <w:marRight w:val="0"/>
      <w:marTop w:val="0"/>
      <w:marBottom w:val="0"/>
      <w:divBdr>
        <w:top w:val="none" w:sz="0" w:space="0" w:color="auto"/>
        <w:left w:val="none" w:sz="0" w:space="0" w:color="auto"/>
        <w:bottom w:val="none" w:sz="0" w:space="0" w:color="auto"/>
        <w:right w:val="none" w:sz="0" w:space="0" w:color="auto"/>
      </w:divBdr>
    </w:div>
    <w:div w:id="848721074">
      <w:bodyDiv w:val="1"/>
      <w:marLeft w:val="0"/>
      <w:marRight w:val="0"/>
      <w:marTop w:val="0"/>
      <w:marBottom w:val="0"/>
      <w:divBdr>
        <w:top w:val="none" w:sz="0" w:space="0" w:color="auto"/>
        <w:left w:val="none" w:sz="0" w:space="0" w:color="auto"/>
        <w:bottom w:val="none" w:sz="0" w:space="0" w:color="auto"/>
        <w:right w:val="none" w:sz="0" w:space="0" w:color="auto"/>
      </w:divBdr>
    </w:div>
    <w:div w:id="849490572">
      <w:bodyDiv w:val="1"/>
      <w:marLeft w:val="0"/>
      <w:marRight w:val="0"/>
      <w:marTop w:val="0"/>
      <w:marBottom w:val="0"/>
      <w:divBdr>
        <w:top w:val="none" w:sz="0" w:space="0" w:color="auto"/>
        <w:left w:val="none" w:sz="0" w:space="0" w:color="auto"/>
        <w:bottom w:val="none" w:sz="0" w:space="0" w:color="auto"/>
        <w:right w:val="none" w:sz="0" w:space="0" w:color="auto"/>
      </w:divBdr>
      <w:divsChild>
        <w:div w:id="61098019">
          <w:marLeft w:val="1800"/>
          <w:marRight w:val="0"/>
          <w:marTop w:val="72"/>
          <w:marBottom w:val="0"/>
          <w:divBdr>
            <w:top w:val="none" w:sz="0" w:space="0" w:color="auto"/>
            <w:left w:val="none" w:sz="0" w:space="0" w:color="auto"/>
            <w:bottom w:val="none" w:sz="0" w:space="0" w:color="auto"/>
            <w:right w:val="none" w:sz="0" w:space="0" w:color="auto"/>
          </w:divBdr>
        </w:div>
        <w:div w:id="227999922">
          <w:marLeft w:val="1800"/>
          <w:marRight w:val="0"/>
          <w:marTop w:val="72"/>
          <w:marBottom w:val="0"/>
          <w:divBdr>
            <w:top w:val="none" w:sz="0" w:space="0" w:color="auto"/>
            <w:left w:val="none" w:sz="0" w:space="0" w:color="auto"/>
            <w:bottom w:val="none" w:sz="0" w:space="0" w:color="auto"/>
            <w:right w:val="none" w:sz="0" w:space="0" w:color="auto"/>
          </w:divBdr>
        </w:div>
        <w:div w:id="402262843">
          <w:marLeft w:val="1800"/>
          <w:marRight w:val="0"/>
          <w:marTop w:val="72"/>
          <w:marBottom w:val="0"/>
          <w:divBdr>
            <w:top w:val="none" w:sz="0" w:space="0" w:color="auto"/>
            <w:left w:val="none" w:sz="0" w:space="0" w:color="auto"/>
            <w:bottom w:val="none" w:sz="0" w:space="0" w:color="auto"/>
            <w:right w:val="none" w:sz="0" w:space="0" w:color="auto"/>
          </w:divBdr>
        </w:div>
        <w:div w:id="448547216">
          <w:marLeft w:val="547"/>
          <w:marRight w:val="0"/>
          <w:marTop w:val="106"/>
          <w:marBottom w:val="0"/>
          <w:divBdr>
            <w:top w:val="none" w:sz="0" w:space="0" w:color="auto"/>
            <w:left w:val="none" w:sz="0" w:space="0" w:color="auto"/>
            <w:bottom w:val="none" w:sz="0" w:space="0" w:color="auto"/>
            <w:right w:val="none" w:sz="0" w:space="0" w:color="auto"/>
          </w:divBdr>
        </w:div>
        <w:div w:id="631133232">
          <w:marLeft w:val="1800"/>
          <w:marRight w:val="0"/>
          <w:marTop w:val="72"/>
          <w:marBottom w:val="0"/>
          <w:divBdr>
            <w:top w:val="none" w:sz="0" w:space="0" w:color="auto"/>
            <w:left w:val="none" w:sz="0" w:space="0" w:color="auto"/>
            <w:bottom w:val="none" w:sz="0" w:space="0" w:color="auto"/>
            <w:right w:val="none" w:sz="0" w:space="0" w:color="auto"/>
          </w:divBdr>
        </w:div>
        <w:div w:id="764308994">
          <w:marLeft w:val="1166"/>
          <w:marRight w:val="0"/>
          <w:marTop w:val="91"/>
          <w:marBottom w:val="0"/>
          <w:divBdr>
            <w:top w:val="none" w:sz="0" w:space="0" w:color="auto"/>
            <w:left w:val="none" w:sz="0" w:space="0" w:color="auto"/>
            <w:bottom w:val="none" w:sz="0" w:space="0" w:color="auto"/>
            <w:right w:val="none" w:sz="0" w:space="0" w:color="auto"/>
          </w:divBdr>
        </w:div>
        <w:div w:id="890967785">
          <w:marLeft w:val="1800"/>
          <w:marRight w:val="0"/>
          <w:marTop w:val="72"/>
          <w:marBottom w:val="0"/>
          <w:divBdr>
            <w:top w:val="none" w:sz="0" w:space="0" w:color="auto"/>
            <w:left w:val="none" w:sz="0" w:space="0" w:color="auto"/>
            <w:bottom w:val="none" w:sz="0" w:space="0" w:color="auto"/>
            <w:right w:val="none" w:sz="0" w:space="0" w:color="auto"/>
          </w:divBdr>
        </w:div>
        <w:div w:id="1071391330">
          <w:marLeft w:val="1166"/>
          <w:marRight w:val="0"/>
          <w:marTop w:val="91"/>
          <w:marBottom w:val="0"/>
          <w:divBdr>
            <w:top w:val="none" w:sz="0" w:space="0" w:color="auto"/>
            <w:left w:val="none" w:sz="0" w:space="0" w:color="auto"/>
            <w:bottom w:val="none" w:sz="0" w:space="0" w:color="auto"/>
            <w:right w:val="none" w:sz="0" w:space="0" w:color="auto"/>
          </w:divBdr>
        </w:div>
        <w:div w:id="1270160999">
          <w:marLeft w:val="1800"/>
          <w:marRight w:val="0"/>
          <w:marTop w:val="72"/>
          <w:marBottom w:val="0"/>
          <w:divBdr>
            <w:top w:val="none" w:sz="0" w:space="0" w:color="auto"/>
            <w:left w:val="none" w:sz="0" w:space="0" w:color="auto"/>
            <w:bottom w:val="none" w:sz="0" w:space="0" w:color="auto"/>
            <w:right w:val="none" w:sz="0" w:space="0" w:color="auto"/>
          </w:divBdr>
        </w:div>
        <w:div w:id="1434596422">
          <w:marLeft w:val="1800"/>
          <w:marRight w:val="0"/>
          <w:marTop w:val="72"/>
          <w:marBottom w:val="0"/>
          <w:divBdr>
            <w:top w:val="none" w:sz="0" w:space="0" w:color="auto"/>
            <w:left w:val="none" w:sz="0" w:space="0" w:color="auto"/>
            <w:bottom w:val="none" w:sz="0" w:space="0" w:color="auto"/>
            <w:right w:val="none" w:sz="0" w:space="0" w:color="auto"/>
          </w:divBdr>
        </w:div>
        <w:div w:id="1704593781">
          <w:marLeft w:val="1800"/>
          <w:marRight w:val="0"/>
          <w:marTop w:val="72"/>
          <w:marBottom w:val="0"/>
          <w:divBdr>
            <w:top w:val="none" w:sz="0" w:space="0" w:color="auto"/>
            <w:left w:val="none" w:sz="0" w:space="0" w:color="auto"/>
            <w:bottom w:val="none" w:sz="0" w:space="0" w:color="auto"/>
            <w:right w:val="none" w:sz="0" w:space="0" w:color="auto"/>
          </w:divBdr>
        </w:div>
        <w:div w:id="2015913594">
          <w:marLeft w:val="1800"/>
          <w:marRight w:val="0"/>
          <w:marTop w:val="72"/>
          <w:marBottom w:val="0"/>
          <w:divBdr>
            <w:top w:val="none" w:sz="0" w:space="0" w:color="auto"/>
            <w:left w:val="none" w:sz="0" w:space="0" w:color="auto"/>
            <w:bottom w:val="none" w:sz="0" w:space="0" w:color="auto"/>
            <w:right w:val="none" w:sz="0" w:space="0" w:color="auto"/>
          </w:divBdr>
        </w:div>
      </w:divsChild>
    </w:div>
    <w:div w:id="850686242">
      <w:bodyDiv w:val="1"/>
      <w:marLeft w:val="0"/>
      <w:marRight w:val="0"/>
      <w:marTop w:val="0"/>
      <w:marBottom w:val="0"/>
      <w:divBdr>
        <w:top w:val="none" w:sz="0" w:space="0" w:color="auto"/>
        <w:left w:val="none" w:sz="0" w:space="0" w:color="auto"/>
        <w:bottom w:val="none" w:sz="0" w:space="0" w:color="auto"/>
        <w:right w:val="none" w:sz="0" w:space="0" w:color="auto"/>
      </w:divBdr>
    </w:div>
    <w:div w:id="851379182">
      <w:bodyDiv w:val="1"/>
      <w:marLeft w:val="0"/>
      <w:marRight w:val="0"/>
      <w:marTop w:val="0"/>
      <w:marBottom w:val="0"/>
      <w:divBdr>
        <w:top w:val="none" w:sz="0" w:space="0" w:color="auto"/>
        <w:left w:val="none" w:sz="0" w:space="0" w:color="auto"/>
        <w:bottom w:val="none" w:sz="0" w:space="0" w:color="auto"/>
        <w:right w:val="none" w:sz="0" w:space="0" w:color="auto"/>
      </w:divBdr>
      <w:divsChild>
        <w:div w:id="340426655">
          <w:marLeft w:val="360"/>
          <w:marRight w:val="0"/>
          <w:marTop w:val="200"/>
          <w:marBottom w:val="0"/>
          <w:divBdr>
            <w:top w:val="none" w:sz="0" w:space="0" w:color="auto"/>
            <w:left w:val="none" w:sz="0" w:space="0" w:color="auto"/>
            <w:bottom w:val="none" w:sz="0" w:space="0" w:color="auto"/>
            <w:right w:val="none" w:sz="0" w:space="0" w:color="auto"/>
          </w:divBdr>
        </w:div>
        <w:div w:id="1345132764">
          <w:marLeft w:val="360"/>
          <w:marRight w:val="0"/>
          <w:marTop w:val="200"/>
          <w:marBottom w:val="0"/>
          <w:divBdr>
            <w:top w:val="none" w:sz="0" w:space="0" w:color="auto"/>
            <w:left w:val="none" w:sz="0" w:space="0" w:color="auto"/>
            <w:bottom w:val="none" w:sz="0" w:space="0" w:color="auto"/>
            <w:right w:val="none" w:sz="0" w:space="0" w:color="auto"/>
          </w:divBdr>
        </w:div>
        <w:div w:id="1548299118">
          <w:marLeft w:val="1080"/>
          <w:marRight w:val="0"/>
          <w:marTop w:val="100"/>
          <w:marBottom w:val="0"/>
          <w:divBdr>
            <w:top w:val="none" w:sz="0" w:space="0" w:color="auto"/>
            <w:left w:val="none" w:sz="0" w:space="0" w:color="auto"/>
            <w:bottom w:val="none" w:sz="0" w:space="0" w:color="auto"/>
            <w:right w:val="none" w:sz="0" w:space="0" w:color="auto"/>
          </w:divBdr>
        </w:div>
      </w:divsChild>
    </w:div>
    <w:div w:id="852107434">
      <w:bodyDiv w:val="1"/>
      <w:marLeft w:val="0"/>
      <w:marRight w:val="0"/>
      <w:marTop w:val="0"/>
      <w:marBottom w:val="0"/>
      <w:divBdr>
        <w:top w:val="none" w:sz="0" w:space="0" w:color="auto"/>
        <w:left w:val="none" w:sz="0" w:space="0" w:color="auto"/>
        <w:bottom w:val="none" w:sz="0" w:space="0" w:color="auto"/>
        <w:right w:val="none" w:sz="0" w:space="0" w:color="auto"/>
      </w:divBdr>
    </w:div>
    <w:div w:id="852449785">
      <w:bodyDiv w:val="1"/>
      <w:marLeft w:val="0"/>
      <w:marRight w:val="0"/>
      <w:marTop w:val="0"/>
      <w:marBottom w:val="0"/>
      <w:divBdr>
        <w:top w:val="none" w:sz="0" w:space="0" w:color="auto"/>
        <w:left w:val="none" w:sz="0" w:space="0" w:color="auto"/>
        <w:bottom w:val="none" w:sz="0" w:space="0" w:color="auto"/>
        <w:right w:val="none" w:sz="0" w:space="0" w:color="auto"/>
      </w:divBdr>
    </w:div>
    <w:div w:id="852720780">
      <w:bodyDiv w:val="1"/>
      <w:marLeft w:val="0"/>
      <w:marRight w:val="0"/>
      <w:marTop w:val="0"/>
      <w:marBottom w:val="0"/>
      <w:divBdr>
        <w:top w:val="none" w:sz="0" w:space="0" w:color="auto"/>
        <w:left w:val="none" w:sz="0" w:space="0" w:color="auto"/>
        <w:bottom w:val="none" w:sz="0" w:space="0" w:color="auto"/>
        <w:right w:val="none" w:sz="0" w:space="0" w:color="auto"/>
      </w:divBdr>
    </w:div>
    <w:div w:id="853373746">
      <w:bodyDiv w:val="1"/>
      <w:marLeft w:val="0"/>
      <w:marRight w:val="0"/>
      <w:marTop w:val="0"/>
      <w:marBottom w:val="0"/>
      <w:divBdr>
        <w:top w:val="none" w:sz="0" w:space="0" w:color="auto"/>
        <w:left w:val="none" w:sz="0" w:space="0" w:color="auto"/>
        <w:bottom w:val="none" w:sz="0" w:space="0" w:color="auto"/>
        <w:right w:val="none" w:sz="0" w:space="0" w:color="auto"/>
      </w:divBdr>
    </w:div>
    <w:div w:id="854729256">
      <w:bodyDiv w:val="1"/>
      <w:marLeft w:val="0"/>
      <w:marRight w:val="0"/>
      <w:marTop w:val="0"/>
      <w:marBottom w:val="0"/>
      <w:divBdr>
        <w:top w:val="none" w:sz="0" w:space="0" w:color="auto"/>
        <w:left w:val="none" w:sz="0" w:space="0" w:color="auto"/>
        <w:bottom w:val="none" w:sz="0" w:space="0" w:color="auto"/>
        <w:right w:val="none" w:sz="0" w:space="0" w:color="auto"/>
      </w:divBdr>
      <w:divsChild>
        <w:div w:id="538737776">
          <w:marLeft w:val="547"/>
          <w:marRight w:val="0"/>
          <w:marTop w:val="115"/>
          <w:marBottom w:val="0"/>
          <w:divBdr>
            <w:top w:val="none" w:sz="0" w:space="0" w:color="auto"/>
            <w:left w:val="none" w:sz="0" w:space="0" w:color="auto"/>
            <w:bottom w:val="none" w:sz="0" w:space="0" w:color="auto"/>
            <w:right w:val="none" w:sz="0" w:space="0" w:color="auto"/>
          </w:divBdr>
        </w:div>
        <w:div w:id="1838226602">
          <w:marLeft w:val="547"/>
          <w:marRight w:val="0"/>
          <w:marTop w:val="115"/>
          <w:marBottom w:val="0"/>
          <w:divBdr>
            <w:top w:val="none" w:sz="0" w:space="0" w:color="auto"/>
            <w:left w:val="none" w:sz="0" w:space="0" w:color="auto"/>
            <w:bottom w:val="none" w:sz="0" w:space="0" w:color="auto"/>
            <w:right w:val="none" w:sz="0" w:space="0" w:color="auto"/>
          </w:divBdr>
        </w:div>
        <w:div w:id="2130204509">
          <w:marLeft w:val="547"/>
          <w:marRight w:val="0"/>
          <w:marTop w:val="115"/>
          <w:marBottom w:val="0"/>
          <w:divBdr>
            <w:top w:val="none" w:sz="0" w:space="0" w:color="auto"/>
            <w:left w:val="none" w:sz="0" w:space="0" w:color="auto"/>
            <w:bottom w:val="none" w:sz="0" w:space="0" w:color="auto"/>
            <w:right w:val="none" w:sz="0" w:space="0" w:color="auto"/>
          </w:divBdr>
        </w:div>
      </w:divsChild>
    </w:div>
    <w:div w:id="855191931">
      <w:bodyDiv w:val="1"/>
      <w:marLeft w:val="0"/>
      <w:marRight w:val="0"/>
      <w:marTop w:val="0"/>
      <w:marBottom w:val="0"/>
      <w:divBdr>
        <w:top w:val="none" w:sz="0" w:space="0" w:color="auto"/>
        <w:left w:val="none" w:sz="0" w:space="0" w:color="auto"/>
        <w:bottom w:val="none" w:sz="0" w:space="0" w:color="auto"/>
        <w:right w:val="none" w:sz="0" w:space="0" w:color="auto"/>
      </w:divBdr>
    </w:div>
    <w:div w:id="855966378">
      <w:bodyDiv w:val="1"/>
      <w:marLeft w:val="0"/>
      <w:marRight w:val="0"/>
      <w:marTop w:val="0"/>
      <w:marBottom w:val="0"/>
      <w:divBdr>
        <w:top w:val="none" w:sz="0" w:space="0" w:color="auto"/>
        <w:left w:val="none" w:sz="0" w:space="0" w:color="auto"/>
        <w:bottom w:val="none" w:sz="0" w:space="0" w:color="auto"/>
        <w:right w:val="none" w:sz="0" w:space="0" w:color="auto"/>
      </w:divBdr>
      <w:divsChild>
        <w:div w:id="1460802466">
          <w:marLeft w:val="547"/>
          <w:marRight w:val="0"/>
          <w:marTop w:val="96"/>
          <w:marBottom w:val="0"/>
          <w:divBdr>
            <w:top w:val="none" w:sz="0" w:space="0" w:color="auto"/>
            <w:left w:val="none" w:sz="0" w:space="0" w:color="auto"/>
            <w:bottom w:val="none" w:sz="0" w:space="0" w:color="auto"/>
            <w:right w:val="none" w:sz="0" w:space="0" w:color="auto"/>
          </w:divBdr>
        </w:div>
      </w:divsChild>
    </w:div>
    <w:div w:id="856037664">
      <w:bodyDiv w:val="1"/>
      <w:marLeft w:val="0"/>
      <w:marRight w:val="0"/>
      <w:marTop w:val="0"/>
      <w:marBottom w:val="0"/>
      <w:divBdr>
        <w:top w:val="none" w:sz="0" w:space="0" w:color="auto"/>
        <w:left w:val="none" w:sz="0" w:space="0" w:color="auto"/>
        <w:bottom w:val="none" w:sz="0" w:space="0" w:color="auto"/>
        <w:right w:val="none" w:sz="0" w:space="0" w:color="auto"/>
      </w:divBdr>
    </w:div>
    <w:div w:id="856967821">
      <w:bodyDiv w:val="1"/>
      <w:marLeft w:val="0"/>
      <w:marRight w:val="0"/>
      <w:marTop w:val="0"/>
      <w:marBottom w:val="0"/>
      <w:divBdr>
        <w:top w:val="none" w:sz="0" w:space="0" w:color="auto"/>
        <w:left w:val="none" w:sz="0" w:space="0" w:color="auto"/>
        <w:bottom w:val="none" w:sz="0" w:space="0" w:color="auto"/>
        <w:right w:val="none" w:sz="0" w:space="0" w:color="auto"/>
      </w:divBdr>
    </w:div>
    <w:div w:id="858080177">
      <w:bodyDiv w:val="1"/>
      <w:marLeft w:val="0"/>
      <w:marRight w:val="0"/>
      <w:marTop w:val="0"/>
      <w:marBottom w:val="0"/>
      <w:divBdr>
        <w:top w:val="none" w:sz="0" w:space="0" w:color="auto"/>
        <w:left w:val="none" w:sz="0" w:space="0" w:color="auto"/>
        <w:bottom w:val="none" w:sz="0" w:space="0" w:color="auto"/>
        <w:right w:val="none" w:sz="0" w:space="0" w:color="auto"/>
      </w:divBdr>
    </w:div>
    <w:div w:id="858348033">
      <w:bodyDiv w:val="1"/>
      <w:marLeft w:val="0"/>
      <w:marRight w:val="0"/>
      <w:marTop w:val="0"/>
      <w:marBottom w:val="0"/>
      <w:divBdr>
        <w:top w:val="none" w:sz="0" w:space="0" w:color="auto"/>
        <w:left w:val="none" w:sz="0" w:space="0" w:color="auto"/>
        <w:bottom w:val="none" w:sz="0" w:space="0" w:color="auto"/>
        <w:right w:val="none" w:sz="0" w:space="0" w:color="auto"/>
      </w:divBdr>
    </w:div>
    <w:div w:id="858619098">
      <w:bodyDiv w:val="1"/>
      <w:marLeft w:val="0"/>
      <w:marRight w:val="0"/>
      <w:marTop w:val="0"/>
      <w:marBottom w:val="0"/>
      <w:divBdr>
        <w:top w:val="none" w:sz="0" w:space="0" w:color="auto"/>
        <w:left w:val="none" w:sz="0" w:space="0" w:color="auto"/>
        <w:bottom w:val="none" w:sz="0" w:space="0" w:color="auto"/>
        <w:right w:val="none" w:sz="0" w:space="0" w:color="auto"/>
      </w:divBdr>
      <w:divsChild>
        <w:div w:id="394863213">
          <w:marLeft w:val="547"/>
          <w:marRight w:val="0"/>
          <w:marTop w:val="86"/>
          <w:marBottom w:val="0"/>
          <w:divBdr>
            <w:top w:val="none" w:sz="0" w:space="0" w:color="auto"/>
            <w:left w:val="none" w:sz="0" w:space="0" w:color="auto"/>
            <w:bottom w:val="none" w:sz="0" w:space="0" w:color="auto"/>
            <w:right w:val="none" w:sz="0" w:space="0" w:color="auto"/>
          </w:divBdr>
        </w:div>
      </w:divsChild>
    </w:div>
    <w:div w:id="859859258">
      <w:bodyDiv w:val="1"/>
      <w:marLeft w:val="0"/>
      <w:marRight w:val="0"/>
      <w:marTop w:val="0"/>
      <w:marBottom w:val="0"/>
      <w:divBdr>
        <w:top w:val="none" w:sz="0" w:space="0" w:color="auto"/>
        <w:left w:val="none" w:sz="0" w:space="0" w:color="auto"/>
        <w:bottom w:val="none" w:sz="0" w:space="0" w:color="auto"/>
        <w:right w:val="none" w:sz="0" w:space="0" w:color="auto"/>
      </w:divBdr>
    </w:div>
    <w:div w:id="860824786">
      <w:bodyDiv w:val="1"/>
      <w:marLeft w:val="0"/>
      <w:marRight w:val="0"/>
      <w:marTop w:val="0"/>
      <w:marBottom w:val="0"/>
      <w:divBdr>
        <w:top w:val="none" w:sz="0" w:space="0" w:color="auto"/>
        <w:left w:val="none" w:sz="0" w:space="0" w:color="auto"/>
        <w:bottom w:val="none" w:sz="0" w:space="0" w:color="auto"/>
        <w:right w:val="none" w:sz="0" w:space="0" w:color="auto"/>
      </w:divBdr>
    </w:div>
    <w:div w:id="861435486">
      <w:bodyDiv w:val="1"/>
      <w:marLeft w:val="0"/>
      <w:marRight w:val="0"/>
      <w:marTop w:val="0"/>
      <w:marBottom w:val="0"/>
      <w:divBdr>
        <w:top w:val="none" w:sz="0" w:space="0" w:color="auto"/>
        <w:left w:val="none" w:sz="0" w:space="0" w:color="auto"/>
        <w:bottom w:val="none" w:sz="0" w:space="0" w:color="auto"/>
        <w:right w:val="none" w:sz="0" w:space="0" w:color="auto"/>
      </w:divBdr>
    </w:div>
    <w:div w:id="862670617">
      <w:bodyDiv w:val="1"/>
      <w:marLeft w:val="0"/>
      <w:marRight w:val="0"/>
      <w:marTop w:val="0"/>
      <w:marBottom w:val="0"/>
      <w:divBdr>
        <w:top w:val="none" w:sz="0" w:space="0" w:color="auto"/>
        <w:left w:val="none" w:sz="0" w:space="0" w:color="auto"/>
        <w:bottom w:val="none" w:sz="0" w:space="0" w:color="auto"/>
        <w:right w:val="none" w:sz="0" w:space="0" w:color="auto"/>
      </w:divBdr>
    </w:div>
    <w:div w:id="862985419">
      <w:bodyDiv w:val="1"/>
      <w:marLeft w:val="0"/>
      <w:marRight w:val="0"/>
      <w:marTop w:val="0"/>
      <w:marBottom w:val="0"/>
      <w:divBdr>
        <w:top w:val="none" w:sz="0" w:space="0" w:color="auto"/>
        <w:left w:val="none" w:sz="0" w:space="0" w:color="auto"/>
        <w:bottom w:val="none" w:sz="0" w:space="0" w:color="auto"/>
        <w:right w:val="none" w:sz="0" w:space="0" w:color="auto"/>
      </w:divBdr>
    </w:div>
    <w:div w:id="863860378">
      <w:bodyDiv w:val="1"/>
      <w:marLeft w:val="0"/>
      <w:marRight w:val="0"/>
      <w:marTop w:val="0"/>
      <w:marBottom w:val="0"/>
      <w:divBdr>
        <w:top w:val="none" w:sz="0" w:space="0" w:color="auto"/>
        <w:left w:val="none" w:sz="0" w:space="0" w:color="auto"/>
        <w:bottom w:val="none" w:sz="0" w:space="0" w:color="auto"/>
        <w:right w:val="none" w:sz="0" w:space="0" w:color="auto"/>
      </w:divBdr>
    </w:div>
    <w:div w:id="863980125">
      <w:bodyDiv w:val="1"/>
      <w:marLeft w:val="0"/>
      <w:marRight w:val="0"/>
      <w:marTop w:val="0"/>
      <w:marBottom w:val="0"/>
      <w:divBdr>
        <w:top w:val="none" w:sz="0" w:space="0" w:color="auto"/>
        <w:left w:val="none" w:sz="0" w:space="0" w:color="auto"/>
        <w:bottom w:val="none" w:sz="0" w:space="0" w:color="auto"/>
        <w:right w:val="none" w:sz="0" w:space="0" w:color="auto"/>
      </w:divBdr>
    </w:div>
    <w:div w:id="864290233">
      <w:bodyDiv w:val="1"/>
      <w:marLeft w:val="0"/>
      <w:marRight w:val="0"/>
      <w:marTop w:val="0"/>
      <w:marBottom w:val="0"/>
      <w:divBdr>
        <w:top w:val="none" w:sz="0" w:space="0" w:color="auto"/>
        <w:left w:val="none" w:sz="0" w:space="0" w:color="auto"/>
        <w:bottom w:val="none" w:sz="0" w:space="0" w:color="auto"/>
        <w:right w:val="none" w:sz="0" w:space="0" w:color="auto"/>
      </w:divBdr>
    </w:div>
    <w:div w:id="864489274">
      <w:bodyDiv w:val="1"/>
      <w:marLeft w:val="0"/>
      <w:marRight w:val="0"/>
      <w:marTop w:val="0"/>
      <w:marBottom w:val="0"/>
      <w:divBdr>
        <w:top w:val="none" w:sz="0" w:space="0" w:color="auto"/>
        <w:left w:val="none" w:sz="0" w:space="0" w:color="auto"/>
        <w:bottom w:val="none" w:sz="0" w:space="0" w:color="auto"/>
        <w:right w:val="none" w:sz="0" w:space="0" w:color="auto"/>
      </w:divBdr>
      <w:divsChild>
        <w:div w:id="67196459">
          <w:marLeft w:val="1800"/>
          <w:marRight w:val="0"/>
          <w:marTop w:val="77"/>
          <w:marBottom w:val="0"/>
          <w:divBdr>
            <w:top w:val="none" w:sz="0" w:space="0" w:color="auto"/>
            <w:left w:val="none" w:sz="0" w:space="0" w:color="auto"/>
            <w:bottom w:val="none" w:sz="0" w:space="0" w:color="auto"/>
            <w:right w:val="none" w:sz="0" w:space="0" w:color="auto"/>
          </w:divBdr>
        </w:div>
        <w:div w:id="103503572">
          <w:marLeft w:val="547"/>
          <w:marRight w:val="0"/>
          <w:marTop w:val="115"/>
          <w:marBottom w:val="0"/>
          <w:divBdr>
            <w:top w:val="none" w:sz="0" w:space="0" w:color="auto"/>
            <w:left w:val="none" w:sz="0" w:space="0" w:color="auto"/>
            <w:bottom w:val="none" w:sz="0" w:space="0" w:color="auto"/>
            <w:right w:val="none" w:sz="0" w:space="0" w:color="auto"/>
          </w:divBdr>
        </w:div>
        <w:div w:id="115687952">
          <w:marLeft w:val="1800"/>
          <w:marRight w:val="0"/>
          <w:marTop w:val="77"/>
          <w:marBottom w:val="0"/>
          <w:divBdr>
            <w:top w:val="none" w:sz="0" w:space="0" w:color="auto"/>
            <w:left w:val="none" w:sz="0" w:space="0" w:color="auto"/>
            <w:bottom w:val="none" w:sz="0" w:space="0" w:color="auto"/>
            <w:right w:val="none" w:sz="0" w:space="0" w:color="auto"/>
          </w:divBdr>
        </w:div>
        <w:div w:id="267473690">
          <w:marLeft w:val="1800"/>
          <w:marRight w:val="0"/>
          <w:marTop w:val="77"/>
          <w:marBottom w:val="0"/>
          <w:divBdr>
            <w:top w:val="none" w:sz="0" w:space="0" w:color="auto"/>
            <w:left w:val="none" w:sz="0" w:space="0" w:color="auto"/>
            <w:bottom w:val="none" w:sz="0" w:space="0" w:color="auto"/>
            <w:right w:val="none" w:sz="0" w:space="0" w:color="auto"/>
          </w:divBdr>
        </w:div>
        <w:div w:id="290861304">
          <w:marLeft w:val="1800"/>
          <w:marRight w:val="0"/>
          <w:marTop w:val="77"/>
          <w:marBottom w:val="0"/>
          <w:divBdr>
            <w:top w:val="none" w:sz="0" w:space="0" w:color="auto"/>
            <w:left w:val="none" w:sz="0" w:space="0" w:color="auto"/>
            <w:bottom w:val="none" w:sz="0" w:space="0" w:color="auto"/>
            <w:right w:val="none" w:sz="0" w:space="0" w:color="auto"/>
          </w:divBdr>
        </w:div>
        <w:div w:id="435710222">
          <w:marLeft w:val="1166"/>
          <w:marRight w:val="0"/>
          <w:marTop w:val="96"/>
          <w:marBottom w:val="0"/>
          <w:divBdr>
            <w:top w:val="none" w:sz="0" w:space="0" w:color="auto"/>
            <w:left w:val="none" w:sz="0" w:space="0" w:color="auto"/>
            <w:bottom w:val="none" w:sz="0" w:space="0" w:color="auto"/>
            <w:right w:val="none" w:sz="0" w:space="0" w:color="auto"/>
          </w:divBdr>
        </w:div>
        <w:div w:id="450781234">
          <w:marLeft w:val="1800"/>
          <w:marRight w:val="0"/>
          <w:marTop w:val="77"/>
          <w:marBottom w:val="0"/>
          <w:divBdr>
            <w:top w:val="none" w:sz="0" w:space="0" w:color="auto"/>
            <w:left w:val="none" w:sz="0" w:space="0" w:color="auto"/>
            <w:bottom w:val="none" w:sz="0" w:space="0" w:color="auto"/>
            <w:right w:val="none" w:sz="0" w:space="0" w:color="auto"/>
          </w:divBdr>
        </w:div>
        <w:div w:id="514536933">
          <w:marLeft w:val="1166"/>
          <w:marRight w:val="0"/>
          <w:marTop w:val="96"/>
          <w:marBottom w:val="0"/>
          <w:divBdr>
            <w:top w:val="none" w:sz="0" w:space="0" w:color="auto"/>
            <w:left w:val="none" w:sz="0" w:space="0" w:color="auto"/>
            <w:bottom w:val="none" w:sz="0" w:space="0" w:color="auto"/>
            <w:right w:val="none" w:sz="0" w:space="0" w:color="auto"/>
          </w:divBdr>
        </w:div>
        <w:div w:id="596140440">
          <w:marLeft w:val="1166"/>
          <w:marRight w:val="0"/>
          <w:marTop w:val="96"/>
          <w:marBottom w:val="0"/>
          <w:divBdr>
            <w:top w:val="none" w:sz="0" w:space="0" w:color="auto"/>
            <w:left w:val="none" w:sz="0" w:space="0" w:color="auto"/>
            <w:bottom w:val="none" w:sz="0" w:space="0" w:color="auto"/>
            <w:right w:val="none" w:sz="0" w:space="0" w:color="auto"/>
          </w:divBdr>
        </w:div>
        <w:div w:id="924262719">
          <w:marLeft w:val="1800"/>
          <w:marRight w:val="0"/>
          <w:marTop w:val="77"/>
          <w:marBottom w:val="0"/>
          <w:divBdr>
            <w:top w:val="none" w:sz="0" w:space="0" w:color="auto"/>
            <w:left w:val="none" w:sz="0" w:space="0" w:color="auto"/>
            <w:bottom w:val="none" w:sz="0" w:space="0" w:color="auto"/>
            <w:right w:val="none" w:sz="0" w:space="0" w:color="auto"/>
          </w:divBdr>
        </w:div>
        <w:div w:id="1118454049">
          <w:marLeft w:val="1166"/>
          <w:marRight w:val="0"/>
          <w:marTop w:val="96"/>
          <w:marBottom w:val="0"/>
          <w:divBdr>
            <w:top w:val="none" w:sz="0" w:space="0" w:color="auto"/>
            <w:left w:val="none" w:sz="0" w:space="0" w:color="auto"/>
            <w:bottom w:val="none" w:sz="0" w:space="0" w:color="auto"/>
            <w:right w:val="none" w:sz="0" w:space="0" w:color="auto"/>
          </w:divBdr>
        </w:div>
        <w:div w:id="1440881123">
          <w:marLeft w:val="1800"/>
          <w:marRight w:val="0"/>
          <w:marTop w:val="77"/>
          <w:marBottom w:val="0"/>
          <w:divBdr>
            <w:top w:val="none" w:sz="0" w:space="0" w:color="auto"/>
            <w:left w:val="none" w:sz="0" w:space="0" w:color="auto"/>
            <w:bottom w:val="none" w:sz="0" w:space="0" w:color="auto"/>
            <w:right w:val="none" w:sz="0" w:space="0" w:color="auto"/>
          </w:divBdr>
        </w:div>
        <w:div w:id="1446732188">
          <w:marLeft w:val="1800"/>
          <w:marRight w:val="0"/>
          <w:marTop w:val="77"/>
          <w:marBottom w:val="0"/>
          <w:divBdr>
            <w:top w:val="none" w:sz="0" w:space="0" w:color="auto"/>
            <w:left w:val="none" w:sz="0" w:space="0" w:color="auto"/>
            <w:bottom w:val="none" w:sz="0" w:space="0" w:color="auto"/>
            <w:right w:val="none" w:sz="0" w:space="0" w:color="auto"/>
          </w:divBdr>
        </w:div>
        <w:div w:id="2016221866">
          <w:marLeft w:val="2520"/>
          <w:marRight w:val="0"/>
          <w:marTop w:val="67"/>
          <w:marBottom w:val="0"/>
          <w:divBdr>
            <w:top w:val="none" w:sz="0" w:space="0" w:color="auto"/>
            <w:left w:val="none" w:sz="0" w:space="0" w:color="auto"/>
            <w:bottom w:val="none" w:sz="0" w:space="0" w:color="auto"/>
            <w:right w:val="none" w:sz="0" w:space="0" w:color="auto"/>
          </w:divBdr>
        </w:div>
      </w:divsChild>
    </w:div>
    <w:div w:id="864562702">
      <w:bodyDiv w:val="1"/>
      <w:marLeft w:val="0"/>
      <w:marRight w:val="0"/>
      <w:marTop w:val="0"/>
      <w:marBottom w:val="0"/>
      <w:divBdr>
        <w:top w:val="none" w:sz="0" w:space="0" w:color="auto"/>
        <w:left w:val="none" w:sz="0" w:space="0" w:color="auto"/>
        <w:bottom w:val="none" w:sz="0" w:space="0" w:color="auto"/>
        <w:right w:val="none" w:sz="0" w:space="0" w:color="auto"/>
      </w:divBdr>
    </w:div>
    <w:div w:id="865145266">
      <w:bodyDiv w:val="1"/>
      <w:marLeft w:val="0"/>
      <w:marRight w:val="0"/>
      <w:marTop w:val="0"/>
      <w:marBottom w:val="0"/>
      <w:divBdr>
        <w:top w:val="none" w:sz="0" w:space="0" w:color="auto"/>
        <w:left w:val="none" w:sz="0" w:space="0" w:color="auto"/>
        <w:bottom w:val="none" w:sz="0" w:space="0" w:color="auto"/>
        <w:right w:val="none" w:sz="0" w:space="0" w:color="auto"/>
      </w:divBdr>
    </w:div>
    <w:div w:id="865755184">
      <w:bodyDiv w:val="1"/>
      <w:marLeft w:val="0"/>
      <w:marRight w:val="0"/>
      <w:marTop w:val="0"/>
      <w:marBottom w:val="0"/>
      <w:divBdr>
        <w:top w:val="none" w:sz="0" w:space="0" w:color="auto"/>
        <w:left w:val="none" w:sz="0" w:space="0" w:color="auto"/>
        <w:bottom w:val="none" w:sz="0" w:space="0" w:color="auto"/>
        <w:right w:val="none" w:sz="0" w:space="0" w:color="auto"/>
      </w:divBdr>
    </w:div>
    <w:div w:id="866069225">
      <w:bodyDiv w:val="1"/>
      <w:marLeft w:val="0"/>
      <w:marRight w:val="0"/>
      <w:marTop w:val="0"/>
      <w:marBottom w:val="0"/>
      <w:divBdr>
        <w:top w:val="none" w:sz="0" w:space="0" w:color="auto"/>
        <w:left w:val="none" w:sz="0" w:space="0" w:color="auto"/>
        <w:bottom w:val="none" w:sz="0" w:space="0" w:color="auto"/>
        <w:right w:val="none" w:sz="0" w:space="0" w:color="auto"/>
      </w:divBdr>
    </w:div>
    <w:div w:id="867333672">
      <w:bodyDiv w:val="1"/>
      <w:marLeft w:val="0"/>
      <w:marRight w:val="0"/>
      <w:marTop w:val="0"/>
      <w:marBottom w:val="0"/>
      <w:divBdr>
        <w:top w:val="none" w:sz="0" w:space="0" w:color="auto"/>
        <w:left w:val="none" w:sz="0" w:space="0" w:color="auto"/>
        <w:bottom w:val="none" w:sz="0" w:space="0" w:color="auto"/>
        <w:right w:val="none" w:sz="0" w:space="0" w:color="auto"/>
      </w:divBdr>
    </w:div>
    <w:div w:id="867989709">
      <w:bodyDiv w:val="1"/>
      <w:marLeft w:val="0"/>
      <w:marRight w:val="0"/>
      <w:marTop w:val="0"/>
      <w:marBottom w:val="0"/>
      <w:divBdr>
        <w:top w:val="none" w:sz="0" w:space="0" w:color="auto"/>
        <w:left w:val="none" w:sz="0" w:space="0" w:color="auto"/>
        <w:bottom w:val="none" w:sz="0" w:space="0" w:color="auto"/>
        <w:right w:val="none" w:sz="0" w:space="0" w:color="auto"/>
      </w:divBdr>
    </w:div>
    <w:div w:id="868301267">
      <w:bodyDiv w:val="1"/>
      <w:marLeft w:val="0"/>
      <w:marRight w:val="0"/>
      <w:marTop w:val="0"/>
      <w:marBottom w:val="0"/>
      <w:divBdr>
        <w:top w:val="none" w:sz="0" w:space="0" w:color="auto"/>
        <w:left w:val="none" w:sz="0" w:space="0" w:color="auto"/>
        <w:bottom w:val="none" w:sz="0" w:space="0" w:color="auto"/>
        <w:right w:val="none" w:sz="0" w:space="0" w:color="auto"/>
      </w:divBdr>
    </w:div>
    <w:div w:id="868378429">
      <w:bodyDiv w:val="1"/>
      <w:marLeft w:val="0"/>
      <w:marRight w:val="0"/>
      <w:marTop w:val="0"/>
      <w:marBottom w:val="0"/>
      <w:divBdr>
        <w:top w:val="none" w:sz="0" w:space="0" w:color="auto"/>
        <w:left w:val="none" w:sz="0" w:space="0" w:color="auto"/>
        <w:bottom w:val="none" w:sz="0" w:space="0" w:color="auto"/>
        <w:right w:val="none" w:sz="0" w:space="0" w:color="auto"/>
      </w:divBdr>
    </w:div>
    <w:div w:id="869100554">
      <w:bodyDiv w:val="1"/>
      <w:marLeft w:val="0"/>
      <w:marRight w:val="0"/>
      <w:marTop w:val="0"/>
      <w:marBottom w:val="0"/>
      <w:divBdr>
        <w:top w:val="none" w:sz="0" w:space="0" w:color="auto"/>
        <w:left w:val="none" w:sz="0" w:space="0" w:color="auto"/>
        <w:bottom w:val="none" w:sz="0" w:space="0" w:color="auto"/>
        <w:right w:val="none" w:sz="0" w:space="0" w:color="auto"/>
      </w:divBdr>
    </w:div>
    <w:div w:id="869534426">
      <w:bodyDiv w:val="1"/>
      <w:marLeft w:val="0"/>
      <w:marRight w:val="0"/>
      <w:marTop w:val="0"/>
      <w:marBottom w:val="0"/>
      <w:divBdr>
        <w:top w:val="none" w:sz="0" w:space="0" w:color="auto"/>
        <w:left w:val="none" w:sz="0" w:space="0" w:color="auto"/>
        <w:bottom w:val="none" w:sz="0" w:space="0" w:color="auto"/>
        <w:right w:val="none" w:sz="0" w:space="0" w:color="auto"/>
      </w:divBdr>
    </w:div>
    <w:div w:id="869799499">
      <w:bodyDiv w:val="1"/>
      <w:marLeft w:val="0"/>
      <w:marRight w:val="0"/>
      <w:marTop w:val="0"/>
      <w:marBottom w:val="0"/>
      <w:divBdr>
        <w:top w:val="none" w:sz="0" w:space="0" w:color="auto"/>
        <w:left w:val="none" w:sz="0" w:space="0" w:color="auto"/>
        <w:bottom w:val="none" w:sz="0" w:space="0" w:color="auto"/>
        <w:right w:val="none" w:sz="0" w:space="0" w:color="auto"/>
      </w:divBdr>
    </w:div>
    <w:div w:id="870193934">
      <w:bodyDiv w:val="1"/>
      <w:marLeft w:val="0"/>
      <w:marRight w:val="0"/>
      <w:marTop w:val="0"/>
      <w:marBottom w:val="0"/>
      <w:divBdr>
        <w:top w:val="none" w:sz="0" w:space="0" w:color="auto"/>
        <w:left w:val="none" w:sz="0" w:space="0" w:color="auto"/>
        <w:bottom w:val="none" w:sz="0" w:space="0" w:color="auto"/>
        <w:right w:val="none" w:sz="0" w:space="0" w:color="auto"/>
      </w:divBdr>
    </w:div>
    <w:div w:id="870528735">
      <w:bodyDiv w:val="1"/>
      <w:marLeft w:val="0"/>
      <w:marRight w:val="0"/>
      <w:marTop w:val="0"/>
      <w:marBottom w:val="0"/>
      <w:divBdr>
        <w:top w:val="none" w:sz="0" w:space="0" w:color="auto"/>
        <w:left w:val="none" w:sz="0" w:space="0" w:color="auto"/>
        <w:bottom w:val="none" w:sz="0" w:space="0" w:color="auto"/>
        <w:right w:val="none" w:sz="0" w:space="0" w:color="auto"/>
      </w:divBdr>
    </w:div>
    <w:div w:id="871453695">
      <w:bodyDiv w:val="1"/>
      <w:marLeft w:val="0"/>
      <w:marRight w:val="0"/>
      <w:marTop w:val="0"/>
      <w:marBottom w:val="0"/>
      <w:divBdr>
        <w:top w:val="none" w:sz="0" w:space="0" w:color="auto"/>
        <w:left w:val="none" w:sz="0" w:space="0" w:color="auto"/>
        <w:bottom w:val="none" w:sz="0" w:space="0" w:color="auto"/>
        <w:right w:val="none" w:sz="0" w:space="0" w:color="auto"/>
      </w:divBdr>
    </w:div>
    <w:div w:id="871843312">
      <w:bodyDiv w:val="1"/>
      <w:marLeft w:val="0"/>
      <w:marRight w:val="0"/>
      <w:marTop w:val="0"/>
      <w:marBottom w:val="0"/>
      <w:divBdr>
        <w:top w:val="none" w:sz="0" w:space="0" w:color="auto"/>
        <w:left w:val="none" w:sz="0" w:space="0" w:color="auto"/>
        <w:bottom w:val="none" w:sz="0" w:space="0" w:color="auto"/>
        <w:right w:val="none" w:sz="0" w:space="0" w:color="auto"/>
      </w:divBdr>
      <w:divsChild>
        <w:div w:id="74741038">
          <w:marLeft w:val="1166"/>
          <w:marRight w:val="0"/>
          <w:marTop w:val="115"/>
          <w:marBottom w:val="0"/>
          <w:divBdr>
            <w:top w:val="none" w:sz="0" w:space="0" w:color="auto"/>
            <w:left w:val="none" w:sz="0" w:space="0" w:color="auto"/>
            <w:bottom w:val="none" w:sz="0" w:space="0" w:color="auto"/>
            <w:right w:val="none" w:sz="0" w:space="0" w:color="auto"/>
          </w:divBdr>
        </w:div>
        <w:div w:id="84115086">
          <w:marLeft w:val="1800"/>
          <w:marRight w:val="0"/>
          <w:marTop w:val="96"/>
          <w:marBottom w:val="0"/>
          <w:divBdr>
            <w:top w:val="none" w:sz="0" w:space="0" w:color="auto"/>
            <w:left w:val="none" w:sz="0" w:space="0" w:color="auto"/>
            <w:bottom w:val="none" w:sz="0" w:space="0" w:color="auto"/>
            <w:right w:val="none" w:sz="0" w:space="0" w:color="auto"/>
          </w:divBdr>
        </w:div>
        <w:div w:id="87384104">
          <w:marLeft w:val="1166"/>
          <w:marRight w:val="0"/>
          <w:marTop w:val="115"/>
          <w:marBottom w:val="0"/>
          <w:divBdr>
            <w:top w:val="none" w:sz="0" w:space="0" w:color="auto"/>
            <w:left w:val="none" w:sz="0" w:space="0" w:color="auto"/>
            <w:bottom w:val="none" w:sz="0" w:space="0" w:color="auto"/>
            <w:right w:val="none" w:sz="0" w:space="0" w:color="auto"/>
          </w:divBdr>
        </w:div>
        <w:div w:id="387338455">
          <w:marLeft w:val="1800"/>
          <w:marRight w:val="0"/>
          <w:marTop w:val="96"/>
          <w:marBottom w:val="0"/>
          <w:divBdr>
            <w:top w:val="none" w:sz="0" w:space="0" w:color="auto"/>
            <w:left w:val="none" w:sz="0" w:space="0" w:color="auto"/>
            <w:bottom w:val="none" w:sz="0" w:space="0" w:color="auto"/>
            <w:right w:val="none" w:sz="0" w:space="0" w:color="auto"/>
          </w:divBdr>
        </w:div>
        <w:div w:id="774400156">
          <w:marLeft w:val="1800"/>
          <w:marRight w:val="0"/>
          <w:marTop w:val="96"/>
          <w:marBottom w:val="0"/>
          <w:divBdr>
            <w:top w:val="none" w:sz="0" w:space="0" w:color="auto"/>
            <w:left w:val="none" w:sz="0" w:space="0" w:color="auto"/>
            <w:bottom w:val="none" w:sz="0" w:space="0" w:color="auto"/>
            <w:right w:val="none" w:sz="0" w:space="0" w:color="auto"/>
          </w:divBdr>
        </w:div>
        <w:div w:id="801730917">
          <w:marLeft w:val="1800"/>
          <w:marRight w:val="0"/>
          <w:marTop w:val="96"/>
          <w:marBottom w:val="0"/>
          <w:divBdr>
            <w:top w:val="none" w:sz="0" w:space="0" w:color="auto"/>
            <w:left w:val="none" w:sz="0" w:space="0" w:color="auto"/>
            <w:bottom w:val="none" w:sz="0" w:space="0" w:color="auto"/>
            <w:right w:val="none" w:sz="0" w:space="0" w:color="auto"/>
          </w:divBdr>
        </w:div>
        <w:div w:id="1761835257">
          <w:marLeft w:val="1800"/>
          <w:marRight w:val="0"/>
          <w:marTop w:val="96"/>
          <w:marBottom w:val="0"/>
          <w:divBdr>
            <w:top w:val="none" w:sz="0" w:space="0" w:color="auto"/>
            <w:left w:val="none" w:sz="0" w:space="0" w:color="auto"/>
            <w:bottom w:val="none" w:sz="0" w:space="0" w:color="auto"/>
            <w:right w:val="none" w:sz="0" w:space="0" w:color="auto"/>
          </w:divBdr>
        </w:div>
        <w:div w:id="1812089559">
          <w:marLeft w:val="1166"/>
          <w:marRight w:val="0"/>
          <w:marTop w:val="115"/>
          <w:marBottom w:val="0"/>
          <w:divBdr>
            <w:top w:val="none" w:sz="0" w:space="0" w:color="auto"/>
            <w:left w:val="none" w:sz="0" w:space="0" w:color="auto"/>
            <w:bottom w:val="none" w:sz="0" w:space="0" w:color="auto"/>
            <w:right w:val="none" w:sz="0" w:space="0" w:color="auto"/>
          </w:divBdr>
        </w:div>
        <w:div w:id="1823500326">
          <w:marLeft w:val="547"/>
          <w:marRight w:val="0"/>
          <w:marTop w:val="130"/>
          <w:marBottom w:val="0"/>
          <w:divBdr>
            <w:top w:val="none" w:sz="0" w:space="0" w:color="auto"/>
            <w:left w:val="none" w:sz="0" w:space="0" w:color="auto"/>
            <w:bottom w:val="none" w:sz="0" w:space="0" w:color="auto"/>
            <w:right w:val="none" w:sz="0" w:space="0" w:color="auto"/>
          </w:divBdr>
        </w:div>
        <w:div w:id="1858763909">
          <w:marLeft w:val="1800"/>
          <w:marRight w:val="0"/>
          <w:marTop w:val="96"/>
          <w:marBottom w:val="0"/>
          <w:divBdr>
            <w:top w:val="none" w:sz="0" w:space="0" w:color="auto"/>
            <w:left w:val="none" w:sz="0" w:space="0" w:color="auto"/>
            <w:bottom w:val="none" w:sz="0" w:space="0" w:color="auto"/>
            <w:right w:val="none" w:sz="0" w:space="0" w:color="auto"/>
          </w:divBdr>
        </w:div>
      </w:divsChild>
    </w:div>
    <w:div w:id="873613553">
      <w:bodyDiv w:val="1"/>
      <w:marLeft w:val="0"/>
      <w:marRight w:val="0"/>
      <w:marTop w:val="0"/>
      <w:marBottom w:val="0"/>
      <w:divBdr>
        <w:top w:val="none" w:sz="0" w:space="0" w:color="auto"/>
        <w:left w:val="none" w:sz="0" w:space="0" w:color="auto"/>
        <w:bottom w:val="none" w:sz="0" w:space="0" w:color="auto"/>
        <w:right w:val="none" w:sz="0" w:space="0" w:color="auto"/>
      </w:divBdr>
      <w:divsChild>
        <w:div w:id="394206231">
          <w:marLeft w:val="1166"/>
          <w:marRight w:val="0"/>
          <w:marTop w:val="96"/>
          <w:marBottom w:val="0"/>
          <w:divBdr>
            <w:top w:val="none" w:sz="0" w:space="0" w:color="auto"/>
            <w:left w:val="none" w:sz="0" w:space="0" w:color="auto"/>
            <w:bottom w:val="none" w:sz="0" w:space="0" w:color="auto"/>
            <w:right w:val="none" w:sz="0" w:space="0" w:color="auto"/>
          </w:divBdr>
        </w:div>
        <w:div w:id="777873074">
          <w:marLeft w:val="547"/>
          <w:marRight w:val="0"/>
          <w:marTop w:val="115"/>
          <w:marBottom w:val="0"/>
          <w:divBdr>
            <w:top w:val="none" w:sz="0" w:space="0" w:color="auto"/>
            <w:left w:val="none" w:sz="0" w:space="0" w:color="auto"/>
            <w:bottom w:val="none" w:sz="0" w:space="0" w:color="auto"/>
            <w:right w:val="none" w:sz="0" w:space="0" w:color="auto"/>
          </w:divBdr>
        </w:div>
        <w:div w:id="785195569">
          <w:marLeft w:val="1166"/>
          <w:marRight w:val="0"/>
          <w:marTop w:val="96"/>
          <w:marBottom w:val="0"/>
          <w:divBdr>
            <w:top w:val="none" w:sz="0" w:space="0" w:color="auto"/>
            <w:left w:val="none" w:sz="0" w:space="0" w:color="auto"/>
            <w:bottom w:val="none" w:sz="0" w:space="0" w:color="auto"/>
            <w:right w:val="none" w:sz="0" w:space="0" w:color="auto"/>
          </w:divBdr>
        </w:div>
        <w:div w:id="2033874541">
          <w:marLeft w:val="1166"/>
          <w:marRight w:val="0"/>
          <w:marTop w:val="96"/>
          <w:marBottom w:val="0"/>
          <w:divBdr>
            <w:top w:val="none" w:sz="0" w:space="0" w:color="auto"/>
            <w:left w:val="none" w:sz="0" w:space="0" w:color="auto"/>
            <w:bottom w:val="none" w:sz="0" w:space="0" w:color="auto"/>
            <w:right w:val="none" w:sz="0" w:space="0" w:color="auto"/>
          </w:divBdr>
        </w:div>
      </w:divsChild>
    </w:div>
    <w:div w:id="873810853">
      <w:bodyDiv w:val="1"/>
      <w:marLeft w:val="0"/>
      <w:marRight w:val="0"/>
      <w:marTop w:val="0"/>
      <w:marBottom w:val="0"/>
      <w:divBdr>
        <w:top w:val="none" w:sz="0" w:space="0" w:color="auto"/>
        <w:left w:val="none" w:sz="0" w:space="0" w:color="auto"/>
        <w:bottom w:val="none" w:sz="0" w:space="0" w:color="auto"/>
        <w:right w:val="none" w:sz="0" w:space="0" w:color="auto"/>
      </w:divBdr>
    </w:div>
    <w:div w:id="875310277">
      <w:bodyDiv w:val="1"/>
      <w:marLeft w:val="0"/>
      <w:marRight w:val="0"/>
      <w:marTop w:val="0"/>
      <w:marBottom w:val="0"/>
      <w:divBdr>
        <w:top w:val="none" w:sz="0" w:space="0" w:color="auto"/>
        <w:left w:val="none" w:sz="0" w:space="0" w:color="auto"/>
        <w:bottom w:val="none" w:sz="0" w:space="0" w:color="auto"/>
        <w:right w:val="none" w:sz="0" w:space="0" w:color="auto"/>
      </w:divBdr>
    </w:div>
    <w:div w:id="875389915">
      <w:bodyDiv w:val="1"/>
      <w:marLeft w:val="0"/>
      <w:marRight w:val="0"/>
      <w:marTop w:val="0"/>
      <w:marBottom w:val="0"/>
      <w:divBdr>
        <w:top w:val="none" w:sz="0" w:space="0" w:color="auto"/>
        <w:left w:val="none" w:sz="0" w:space="0" w:color="auto"/>
        <w:bottom w:val="none" w:sz="0" w:space="0" w:color="auto"/>
        <w:right w:val="none" w:sz="0" w:space="0" w:color="auto"/>
      </w:divBdr>
      <w:divsChild>
        <w:div w:id="474228137">
          <w:marLeft w:val="547"/>
          <w:marRight w:val="0"/>
          <w:marTop w:val="106"/>
          <w:marBottom w:val="0"/>
          <w:divBdr>
            <w:top w:val="none" w:sz="0" w:space="0" w:color="auto"/>
            <w:left w:val="none" w:sz="0" w:space="0" w:color="auto"/>
            <w:bottom w:val="none" w:sz="0" w:space="0" w:color="auto"/>
            <w:right w:val="none" w:sz="0" w:space="0" w:color="auto"/>
          </w:divBdr>
        </w:div>
        <w:div w:id="1481262936">
          <w:marLeft w:val="547"/>
          <w:marRight w:val="0"/>
          <w:marTop w:val="106"/>
          <w:marBottom w:val="0"/>
          <w:divBdr>
            <w:top w:val="none" w:sz="0" w:space="0" w:color="auto"/>
            <w:left w:val="none" w:sz="0" w:space="0" w:color="auto"/>
            <w:bottom w:val="none" w:sz="0" w:space="0" w:color="auto"/>
            <w:right w:val="none" w:sz="0" w:space="0" w:color="auto"/>
          </w:divBdr>
        </w:div>
        <w:div w:id="1524710911">
          <w:marLeft w:val="1166"/>
          <w:marRight w:val="0"/>
          <w:marTop w:val="96"/>
          <w:marBottom w:val="0"/>
          <w:divBdr>
            <w:top w:val="none" w:sz="0" w:space="0" w:color="auto"/>
            <w:left w:val="none" w:sz="0" w:space="0" w:color="auto"/>
            <w:bottom w:val="none" w:sz="0" w:space="0" w:color="auto"/>
            <w:right w:val="none" w:sz="0" w:space="0" w:color="auto"/>
          </w:divBdr>
        </w:div>
        <w:div w:id="1653169790">
          <w:marLeft w:val="1166"/>
          <w:marRight w:val="0"/>
          <w:marTop w:val="96"/>
          <w:marBottom w:val="0"/>
          <w:divBdr>
            <w:top w:val="none" w:sz="0" w:space="0" w:color="auto"/>
            <w:left w:val="none" w:sz="0" w:space="0" w:color="auto"/>
            <w:bottom w:val="none" w:sz="0" w:space="0" w:color="auto"/>
            <w:right w:val="none" w:sz="0" w:space="0" w:color="auto"/>
          </w:divBdr>
        </w:div>
        <w:div w:id="2130778121">
          <w:marLeft w:val="1166"/>
          <w:marRight w:val="0"/>
          <w:marTop w:val="96"/>
          <w:marBottom w:val="0"/>
          <w:divBdr>
            <w:top w:val="none" w:sz="0" w:space="0" w:color="auto"/>
            <w:left w:val="none" w:sz="0" w:space="0" w:color="auto"/>
            <w:bottom w:val="none" w:sz="0" w:space="0" w:color="auto"/>
            <w:right w:val="none" w:sz="0" w:space="0" w:color="auto"/>
          </w:divBdr>
        </w:div>
      </w:divsChild>
    </w:div>
    <w:div w:id="876511063">
      <w:bodyDiv w:val="1"/>
      <w:marLeft w:val="0"/>
      <w:marRight w:val="0"/>
      <w:marTop w:val="0"/>
      <w:marBottom w:val="0"/>
      <w:divBdr>
        <w:top w:val="none" w:sz="0" w:space="0" w:color="auto"/>
        <w:left w:val="none" w:sz="0" w:space="0" w:color="auto"/>
        <w:bottom w:val="none" w:sz="0" w:space="0" w:color="auto"/>
        <w:right w:val="none" w:sz="0" w:space="0" w:color="auto"/>
      </w:divBdr>
    </w:div>
    <w:div w:id="876887946">
      <w:bodyDiv w:val="1"/>
      <w:marLeft w:val="0"/>
      <w:marRight w:val="0"/>
      <w:marTop w:val="0"/>
      <w:marBottom w:val="0"/>
      <w:divBdr>
        <w:top w:val="none" w:sz="0" w:space="0" w:color="auto"/>
        <w:left w:val="none" w:sz="0" w:space="0" w:color="auto"/>
        <w:bottom w:val="none" w:sz="0" w:space="0" w:color="auto"/>
        <w:right w:val="none" w:sz="0" w:space="0" w:color="auto"/>
      </w:divBdr>
    </w:div>
    <w:div w:id="877666160">
      <w:bodyDiv w:val="1"/>
      <w:marLeft w:val="0"/>
      <w:marRight w:val="0"/>
      <w:marTop w:val="0"/>
      <w:marBottom w:val="0"/>
      <w:divBdr>
        <w:top w:val="none" w:sz="0" w:space="0" w:color="auto"/>
        <w:left w:val="none" w:sz="0" w:space="0" w:color="auto"/>
        <w:bottom w:val="none" w:sz="0" w:space="0" w:color="auto"/>
        <w:right w:val="none" w:sz="0" w:space="0" w:color="auto"/>
      </w:divBdr>
    </w:div>
    <w:div w:id="878588654">
      <w:bodyDiv w:val="1"/>
      <w:marLeft w:val="0"/>
      <w:marRight w:val="0"/>
      <w:marTop w:val="0"/>
      <w:marBottom w:val="0"/>
      <w:divBdr>
        <w:top w:val="none" w:sz="0" w:space="0" w:color="auto"/>
        <w:left w:val="none" w:sz="0" w:space="0" w:color="auto"/>
        <w:bottom w:val="none" w:sz="0" w:space="0" w:color="auto"/>
        <w:right w:val="none" w:sz="0" w:space="0" w:color="auto"/>
      </w:divBdr>
    </w:div>
    <w:div w:id="880479449">
      <w:bodyDiv w:val="1"/>
      <w:marLeft w:val="0"/>
      <w:marRight w:val="0"/>
      <w:marTop w:val="0"/>
      <w:marBottom w:val="0"/>
      <w:divBdr>
        <w:top w:val="none" w:sz="0" w:space="0" w:color="auto"/>
        <w:left w:val="none" w:sz="0" w:space="0" w:color="auto"/>
        <w:bottom w:val="none" w:sz="0" w:space="0" w:color="auto"/>
        <w:right w:val="none" w:sz="0" w:space="0" w:color="auto"/>
      </w:divBdr>
      <w:divsChild>
        <w:div w:id="949553247">
          <w:marLeft w:val="1166"/>
          <w:marRight w:val="0"/>
          <w:marTop w:val="96"/>
          <w:marBottom w:val="0"/>
          <w:divBdr>
            <w:top w:val="none" w:sz="0" w:space="0" w:color="auto"/>
            <w:left w:val="none" w:sz="0" w:space="0" w:color="auto"/>
            <w:bottom w:val="none" w:sz="0" w:space="0" w:color="auto"/>
            <w:right w:val="none" w:sz="0" w:space="0" w:color="auto"/>
          </w:divBdr>
        </w:div>
      </w:divsChild>
    </w:div>
    <w:div w:id="880899915">
      <w:bodyDiv w:val="1"/>
      <w:marLeft w:val="0"/>
      <w:marRight w:val="0"/>
      <w:marTop w:val="0"/>
      <w:marBottom w:val="0"/>
      <w:divBdr>
        <w:top w:val="none" w:sz="0" w:space="0" w:color="auto"/>
        <w:left w:val="none" w:sz="0" w:space="0" w:color="auto"/>
        <w:bottom w:val="none" w:sz="0" w:space="0" w:color="auto"/>
        <w:right w:val="none" w:sz="0" w:space="0" w:color="auto"/>
      </w:divBdr>
    </w:div>
    <w:div w:id="881017609">
      <w:bodyDiv w:val="1"/>
      <w:marLeft w:val="0"/>
      <w:marRight w:val="0"/>
      <w:marTop w:val="0"/>
      <w:marBottom w:val="0"/>
      <w:divBdr>
        <w:top w:val="none" w:sz="0" w:space="0" w:color="auto"/>
        <w:left w:val="none" w:sz="0" w:space="0" w:color="auto"/>
        <w:bottom w:val="none" w:sz="0" w:space="0" w:color="auto"/>
        <w:right w:val="none" w:sz="0" w:space="0" w:color="auto"/>
      </w:divBdr>
    </w:div>
    <w:div w:id="881211165">
      <w:bodyDiv w:val="1"/>
      <w:marLeft w:val="0"/>
      <w:marRight w:val="0"/>
      <w:marTop w:val="0"/>
      <w:marBottom w:val="0"/>
      <w:divBdr>
        <w:top w:val="none" w:sz="0" w:space="0" w:color="auto"/>
        <w:left w:val="none" w:sz="0" w:space="0" w:color="auto"/>
        <w:bottom w:val="none" w:sz="0" w:space="0" w:color="auto"/>
        <w:right w:val="none" w:sz="0" w:space="0" w:color="auto"/>
      </w:divBdr>
    </w:div>
    <w:div w:id="882788761">
      <w:bodyDiv w:val="1"/>
      <w:marLeft w:val="0"/>
      <w:marRight w:val="0"/>
      <w:marTop w:val="0"/>
      <w:marBottom w:val="0"/>
      <w:divBdr>
        <w:top w:val="none" w:sz="0" w:space="0" w:color="auto"/>
        <w:left w:val="none" w:sz="0" w:space="0" w:color="auto"/>
        <w:bottom w:val="none" w:sz="0" w:space="0" w:color="auto"/>
        <w:right w:val="none" w:sz="0" w:space="0" w:color="auto"/>
      </w:divBdr>
    </w:div>
    <w:div w:id="884290068">
      <w:bodyDiv w:val="1"/>
      <w:marLeft w:val="0"/>
      <w:marRight w:val="0"/>
      <w:marTop w:val="0"/>
      <w:marBottom w:val="0"/>
      <w:divBdr>
        <w:top w:val="none" w:sz="0" w:space="0" w:color="auto"/>
        <w:left w:val="none" w:sz="0" w:space="0" w:color="auto"/>
        <w:bottom w:val="none" w:sz="0" w:space="0" w:color="auto"/>
        <w:right w:val="none" w:sz="0" w:space="0" w:color="auto"/>
      </w:divBdr>
      <w:divsChild>
        <w:div w:id="951741541">
          <w:marLeft w:val="1166"/>
          <w:marRight w:val="0"/>
          <w:marTop w:val="77"/>
          <w:marBottom w:val="0"/>
          <w:divBdr>
            <w:top w:val="none" w:sz="0" w:space="0" w:color="auto"/>
            <w:left w:val="none" w:sz="0" w:space="0" w:color="auto"/>
            <w:bottom w:val="none" w:sz="0" w:space="0" w:color="auto"/>
            <w:right w:val="none" w:sz="0" w:space="0" w:color="auto"/>
          </w:divBdr>
        </w:div>
        <w:div w:id="1278297694">
          <w:marLeft w:val="547"/>
          <w:marRight w:val="0"/>
          <w:marTop w:val="96"/>
          <w:marBottom w:val="0"/>
          <w:divBdr>
            <w:top w:val="none" w:sz="0" w:space="0" w:color="auto"/>
            <w:left w:val="none" w:sz="0" w:space="0" w:color="auto"/>
            <w:bottom w:val="none" w:sz="0" w:space="0" w:color="auto"/>
            <w:right w:val="none" w:sz="0" w:space="0" w:color="auto"/>
          </w:divBdr>
        </w:div>
        <w:div w:id="1722556169">
          <w:marLeft w:val="547"/>
          <w:marRight w:val="0"/>
          <w:marTop w:val="96"/>
          <w:marBottom w:val="0"/>
          <w:divBdr>
            <w:top w:val="none" w:sz="0" w:space="0" w:color="auto"/>
            <w:left w:val="none" w:sz="0" w:space="0" w:color="auto"/>
            <w:bottom w:val="none" w:sz="0" w:space="0" w:color="auto"/>
            <w:right w:val="none" w:sz="0" w:space="0" w:color="auto"/>
          </w:divBdr>
        </w:div>
        <w:div w:id="1807624362">
          <w:marLeft w:val="547"/>
          <w:marRight w:val="0"/>
          <w:marTop w:val="96"/>
          <w:marBottom w:val="0"/>
          <w:divBdr>
            <w:top w:val="none" w:sz="0" w:space="0" w:color="auto"/>
            <w:left w:val="none" w:sz="0" w:space="0" w:color="auto"/>
            <w:bottom w:val="none" w:sz="0" w:space="0" w:color="auto"/>
            <w:right w:val="none" w:sz="0" w:space="0" w:color="auto"/>
          </w:divBdr>
        </w:div>
        <w:div w:id="1994916238">
          <w:marLeft w:val="547"/>
          <w:marRight w:val="0"/>
          <w:marTop w:val="96"/>
          <w:marBottom w:val="0"/>
          <w:divBdr>
            <w:top w:val="none" w:sz="0" w:space="0" w:color="auto"/>
            <w:left w:val="none" w:sz="0" w:space="0" w:color="auto"/>
            <w:bottom w:val="none" w:sz="0" w:space="0" w:color="auto"/>
            <w:right w:val="none" w:sz="0" w:space="0" w:color="auto"/>
          </w:divBdr>
        </w:div>
        <w:div w:id="2037465509">
          <w:marLeft w:val="1166"/>
          <w:marRight w:val="0"/>
          <w:marTop w:val="77"/>
          <w:marBottom w:val="0"/>
          <w:divBdr>
            <w:top w:val="none" w:sz="0" w:space="0" w:color="auto"/>
            <w:left w:val="none" w:sz="0" w:space="0" w:color="auto"/>
            <w:bottom w:val="none" w:sz="0" w:space="0" w:color="auto"/>
            <w:right w:val="none" w:sz="0" w:space="0" w:color="auto"/>
          </w:divBdr>
        </w:div>
      </w:divsChild>
    </w:div>
    <w:div w:id="885600722">
      <w:bodyDiv w:val="1"/>
      <w:marLeft w:val="0"/>
      <w:marRight w:val="0"/>
      <w:marTop w:val="0"/>
      <w:marBottom w:val="0"/>
      <w:divBdr>
        <w:top w:val="none" w:sz="0" w:space="0" w:color="auto"/>
        <w:left w:val="none" w:sz="0" w:space="0" w:color="auto"/>
        <w:bottom w:val="none" w:sz="0" w:space="0" w:color="auto"/>
        <w:right w:val="none" w:sz="0" w:space="0" w:color="auto"/>
      </w:divBdr>
    </w:div>
    <w:div w:id="890455444">
      <w:bodyDiv w:val="1"/>
      <w:marLeft w:val="0"/>
      <w:marRight w:val="0"/>
      <w:marTop w:val="0"/>
      <w:marBottom w:val="0"/>
      <w:divBdr>
        <w:top w:val="none" w:sz="0" w:space="0" w:color="auto"/>
        <w:left w:val="none" w:sz="0" w:space="0" w:color="auto"/>
        <w:bottom w:val="none" w:sz="0" w:space="0" w:color="auto"/>
        <w:right w:val="none" w:sz="0" w:space="0" w:color="auto"/>
      </w:divBdr>
    </w:div>
    <w:div w:id="890923068">
      <w:bodyDiv w:val="1"/>
      <w:marLeft w:val="0"/>
      <w:marRight w:val="0"/>
      <w:marTop w:val="0"/>
      <w:marBottom w:val="0"/>
      <w:divBdr>
        <w:top w:val="none" w:sz="0" w:space="0" w:color="auto"/>
        <w:left w:val="none" w:sz="0" w:space="0" w:color="auto"/>
        <w:bottom w:val="none" w:sz="0" w:space="0" w:color="auto"/>
        <w:right w:val="none" w:sz="0" w:space="0" w:color="auto"/>
      </w:divBdr>
      <w:divsChild>
        <w:div w:id="156924467">
          <w:marLeft w:val="547"/>
          <w:marRight w:val="0"/>
          <w:marTop w:val="96"/>
          <w:marBottom w:val="0"/>
          <w:divBdr>
            <w:top w:val="none" w:sz="0" w:space="0" w:color="auto"/>
            <w:left w:val="none" w:sz="0" w:space="0" w:color="auto"/>
            <w:bottom w:val="none" w:sz="0" w:space="0" w:color="auto"/>
            <w:right w:val="none" w:sz="0" w:space="0" w:color="auto"/>
          </w:divBdr>
        </w:div>
        <w:div w:id="248779786">
          <w:marLeft w:val="1166"/>
          <w:marRight w:val="0"/>
          <w:marTop w:val="86"/>
          <w:marBottom w:val="0"/>
          <w:divBdr>
            <w:top w:val="none" w:sz="0" w:space="0" w:color="auto"/>
            <w:left w:val="none" w:sz="0" w:space="0" w:color="auto"/>
            <w:bottom w:val="none" w:sz="0" w:space="0" w:color="auto"/>
            <w:right w:val="none" w:sz="0" w:space="0" w:color="auto"/>
          </w:divBdr>
        </w:div>
        <w:div w:id="468787193">
          <w:marLeft w:val="1800"/>
          <w:marRight w:val="0"/>
          <w:marTop w:val="58"/>
          <w:marBottom w:val="0"/>
          <w:divBdr>
            <w:top w:val="none" w:sz="0" w:space="0" w:color="auto"/>
            <w:left w:val="none" w:sz="0" w:space="0" w:color="auto"/>
            <w:bottom w:val="none" w:sz="0" w:space="0" w:color="auto"/>
            <w:right w:val="none" w:sz="0" w:space="0" w:color="auto"/>
          </w:divBdr>
        </w:div>
        <w:div w:id="539589351">
          <w:marLeft w:val="2520"/>
          <w:marRight w:val="0"/>
          <w:marTop w:val="58"/>
          <w:marBottom w:val="0"/>
          <w:divBdr>
            <w:top w:val="none" w:sz="0" w:space="0" w:color="auto"/>
            <w:left w:val="none" w:sz="0" w:space="0" w:color="auto"/>
            <w:bottom w:val="none" w:sz="0" w:space="0" w:color="auto"/>
            <w:right w:val="none" w:sz="0" w:space="0" w:color="auto"/>
          </w:divBdr>
        </w:div>
        <w:div w:id="646862698">
          <w:marLeft w:val="2520"/>
          <w:marRight w:val="0"/>
          <w:marTop w:val="58"/>
          <w:marBottom w:val="0"/>
          <w:divBdr>
            <w:top w:val="none" w:sz="0" w:space="0" w:color="auto"/>
            <w:left w:val="none" w:sz="0" w:space="0" w:color="auto"/>
            <w:bottom w:val="none" w:sz="0" w:space="0" w:color="auto"/>
            <w:right w:val="none" w:sz="0" w:space="0" w:color="auto"/>
          </w:divBdr>
        </w:div>
        <w:div w:id="678699971">
          <w:marLeft w:val="1800"/>
          <w:marRight w:val="0"/>
          <w:marTop w:val="58"/>
          <w:marBottom w:val="0"/>
          <w:divBdr>
            <w:top w:val="none" w:sz="0" w:space="0" w:color="auto"/>
            <w:left w:val="none" w:sz="0" w:space="0" w:color="auto"/>
            <w:bottom w:val="none" w:sz="0" w:space="0" w:color="auto"/>
            <w:right w:val="none" w:sz="0" w:space="0" w:color="auto"/>
          </w:divBdr>
        </w:div>
        <w:div w:id="726880931">
          <w:marLeft w:val="1166"/>
          <w:marRight w:val="0"/>
          <w:marTop w:val="86"/>
          <w:marBottom w:val="0"/>
          <w:divBdr>
            <w:top w:val="none" w:sz="0" w:space="0" w:color="auto"/>
            <w:left w:val="none" w:sz="0" w:space="0" w:color="auto"/>
            <w:bottom w:val="none" w:sz="0" w:space="0" w:color="auto"/>
            <w:right w:val="none" w:sz="0" w:space="0" w:color="auto"/>
          </w:divBdr>
        </w:div>
        <w:div w:id="915945015">
          <w:marLeft w:val="2520"/>
          <w:marRight w:val="0"/>
          <w:marTop w:val="58"/>
          <w:marBottom w:val="0"/>
          <w:divBdr>
            <w:top w:val="none" w:sz="0" w:space="0" w:color="auto"/>
            <w:left w:val="none" w:sz="0" w:space="0" w:color="auto"/>
            <w:bottom w:val="none" w:sz="0" w:space="0" w:color="auto"/>
            <w:right w:val="none" w:sz="0" w:space="0" w:color="auto"/>
          </w:divBdr>
        </w:div>
        <w:div w:id="927663333">
          <w:marLeft w:val="1800"/>
          <w:marRight w:val="0"/>
          <w:marTop w:val="58"/>
          <w:marBottom w:val="0"/>
          <w:divBdr>
            <w:top w:val="none" w:sz="0" w:space="0" w:color="auto"/>
            <w:left w:val="none" w:sz="0" w:space="0" w:color="auto"/>
            <w:bottom w:val="none" w:sz="0" w:space="0" w:color="auto"/>
            <w:right w:val="none" w:sz="0" w:space="0" w:color="auto"/>
          </w:divBdr>
        </w:div>
        <w:div w:id="955481970">
          <w:marLeft w:val="1166"/>
          <w:marRight w:val="0"/>
          <w:marTop w:val="86"/>
          <w:marBottom w:val="0"/>
          <w:divBdr>
            <w:top w:val="none" w:sz="0" w:space="0" w:color="auto"/>
            <w:left w:val="none" w:sz="0" w:space="0" w:color="auto"/>
            <w:bottom w:val="none" w:sz="0" w:space="0" w:color="auto"/>
            <w:right w:val="none" w:sz="0" w:space="0" w:color="auto"/>
          </w:divBdr>
        </w:div>
        <w:div w:id="995378778">
          <w:marLeft w:val="1800"/>
          <w:marRight w:val="0"/>
          <w:marTop w:val="58"/>
          <w:marBottom w:val="0"/>
          <w:divBdr>
            <w:top w:val="none" w:sz="0" w:space="0" w:color="auto"/>
            <w:left w:val="none" w:sz="0" w:space="0" w:color="auto"/>
            <w:bottom w:val="none" w:sz="0" w:space="0" w:color="auto"/>
            <w:right w:val="none" w:sz="0" w:space="0" w:color="auto"/>
          </w:divBdr>
        </w:div>
        <w:div w:id="1104612898">
          <w:marLeft w:val="1800"/>
          <w:marRight w:val="0"/>
          <w:marTop w:val="58"/>
          <w:marBottom w:val="0"/>
          <w:divBdr>
            <w:top w:val="none" w:sz="0" w:space="0" w:color="auto"/>
            <w:left w:val="none" w:sz="0" w:space="0" w:color="auto"/>
            <w:bottom w:val="none" w:sz="0" w:space="0" w:color="auto"/>
            <w:right w:val="none" w:sz="0" w:space="0" w:color="auto"/>
          </w:divBdr>
        </w:div>
        <w:div w:id="1248076535">
          <w:marLeft w:val="1800"/>
          <w:marRight w:val="0"/>
          <w:marTop w:val="58"/>
          <w:marBottom w:val="0"/>
          <w:divBdr>
            <w:top w:val="none" w:sz="0" w:space="0" w:color="auto"/>
            <w:left w:val="none" w:sz="0" w:space="0" w:color="auto"/>
            <w:bottom w:val="none" w:sz="0" w:space="0" w:color="auto"/>
            <w:right w:val="none" w:sz="0" w:space="0" w:color="auto"/>
          </w:divBdr>
        </w:div>
        <w:div w:id="1295256783">
          <w:marLeft w:val="1800"/>
          <w:marRight w:val="0"/>
          <w:marTop w:val="58"/>
          <w:marBottom w:val="0"/>
          <w:divBdr>
            <w:top w:val="none" w:sz="0" w:space="0" w:color="auto"/>
            <w:left w:val="none" w:sz="0" w:space="0" w:color="auto"/>
            <w:bottom w:val="none" w:sz="0" w:space="0" w:color="auto"/>
            <w:right w:val="none" w:sz="0" w:space="0" w:color="auto"/>
          </w:divBdr>
        </w:div>
        <w:div w:id="1586457356">
          <w:marLeft w:val="2520"/>
          <w:marRight w:val="0"/>
          <w:marTop w:val="58"/>
          <w:marBottom w:val="0"/>
          <w:divBdr>
            <w:top w:val="none" w:sz="0" w:space="0" w:color="auto"/>
            <w:left w:val="none" w:sz="0" w:space="0" w:color="auto"/>
            <w:bottom w:val="none" w:sz="0" w:space="0" w:color="auto"/>
            <w:right w:val="none" w:sz="0" w:space="0" w:color="auto"/>
          </w:divBdr>
        </w:div>
        <w:div w:id="1658651446">
          <w:marLeft w:val="2520"/>
          <w:marRight w:val="0"/>
          <w:marTop w:val="58"/>
          <w:marBottom w:val="0"/>
          <w:divBdr>
            <w:top w:val="none" w:sz="0" w:space="0" w:color="auto"/>
            <w:left w:val="none" w:sz="0" w:space="0" w:color="auto"/>
            <w:bottom w:val="none" w:sz="0" w:space="0" w:color="auto"/>
            <w:right w:val="none" w:sz="0" w:space="0" w:color="auto"/>
          </w:divBdr>
        </w:div>
        <w:div w:id="1832140000">
          <w:marLeft w:val="2520"/>
          <w:marRight w:val="0"/>
          <w:marTop w:val="53"/>
          <w:marBottom w:val="0"/>
          <w:divBdr>
            <w:top w:val="none" w:sz="0" w:space="0" w:color="auto"/>
            <w:left w:val="none" w:sz="0" w:space="0" w:color="auto"/>
            <w:bottom w:val="none" w:sz="0" w:space="0" w:color="auto"/>
            <w:right w:val="none" w:sz="0" w:space="0" w:color="auto"/>
          </w:divBdr>
        </w:div>
        <w:div w:id="1898274024">
          <w:marLeft w:val="1800"/>
          <w:marRight w:val="0"/>
          <w:marTop w:val="58"/>
          <w:marBottom w:val="0"/>
          <w:divBdr>
            <w:top w:val="none" w:sz="0" w:space="0" w:color="auto"/>
            <w:left w:val="none" w:sz="0" w:space="0" w:color="auto"/>
            <w:bottom w:val="none" w:sz="0" w:space="0" w:color="auto"/>
            <w:right w:val="none" w:sz="0" w:space="0" w:color="auto"/>
          </w:divBdr>
        </w:div>
        <w:div w:id="1954510422">
          <w:marLeft w:val="1800"/>
          <w:marRight w:val="0"/>
          <w:marTop w:val="58"/>
          <w:marBottom w:val="0"/>
          <w:divBdr>
            <w:top w:val="none" w:sz="0" w:space="0" w:color="auto"/>
            <w:left w:val="none" w:sz="0" w:space="0" w:color="auto"/>
            <w:bottom w:val="none" w:sz="0" w:space="0" w:color="auto"/>
            <w:right w:val="none" w:sz="0" w:space="0" w:color="auto"/>
          </w:divBdr>
        </w:div>
        <w:div w:id="1992437721">
          <w:marLeft w:val="547"/>
          <w:marRight w:val="0"/>
          <w:marTop w:val="96"/>
          <w:marBottom w:val="0"/>
          <w:divBdr>
            <w:top w:val="none" w:sz="0" w:space="0" w:color="auto"/>
            <w:left w:val="none" w:sz="0" w:space="0" w:color="auto"/>
            <w:bottom w:val="none" w:sz="0" w:space="0" w:color="auto"/>
            <w:right w:val="none" w:sz="0" w:space="0" w:color="auto"/>
          </w:divBdr>
        </w:div>
        <w:div w:id="2125879041">
          <w:marLeft w:val="2520"/>
          <w:marRight w:val="0"/>
          <w:marTop w:val="58"/>
          <w:marBottom w:val="0"/>
          <w:divBdr>
            <w:top w:val="none" w:sz="0" w:space="0" w:color="auto"/>
            <w:left w:val="none" w:sz="0" w:space="0" w:color="auto"/>
            <w:bottom w:val="none" w:sz="0" w:space="0" w:color="auto"/>
            <w:right w:val="none" w:sz="0" w:space="0" w:color="auto"/>
          </w:divBdr>
        </w:div>
      </w:divsChild>
    </w:div>
    <w:div w:id="891387854">
      <w:bodyDiv w:val="1"/>
      <w:marLeft w:val="0"/>
      <w:marRight w:val="0"/>
      <w:marTop w:val="0"/>
      <w:marBottom w:val="0"/>
      <w:divBdr>
        <w:top w:val="none" w:sz="0" w:space="0" w:color="auto"/>
        <w:left w:val="none" w:sz="0" w:space="0" w:color="auto"/>
        <w:bottom w:val="none" w:sz="0" w:space="0" w:color="auto"/>
        <w:right w:val="none" w:sz="0" w:space="0" w:color="auto"/>
      </w:divBdr>
      <w:divsChild>
        <w:div w:id="9068475">
          <w:marLeft w:val="1166"/>
          <w:marRight w:val="0"/>
          <w:marTop w:val="106"/>
          <w:marBottom w:val="0"/>
          <w:divBdr>
            <w:top w:val="none" w:sz="0" w:space="0" w:color="auto"/>
            <w:left w:val="none" w:sz="0" w:space="0" w:color="auto"/>
            <w:bottom w:val="none" w:sz="0" w:space="0" w:color="auto"/>
            <w:right w:val="none" w:sz="0" w:space="0" w:color="auto"/>
          </w:divBdr>
        </w:div>
        <w:div w:id="43019902">
          <w:marLeft w:val="547"/>
          <w:marRight w:val="0"/>
          <w:marTop w:val="120"/>
          <w:marBottom w:val="0"/>
          <w:divBdr>
            <w:top w:val="none" w:sz="0" w:space="0" w:color="auto"/>
            <w:left w:val="none" w:sz="0" w:space="0" w:color="auto"/>
            <w:bottom w:val="none" w:sz="0" w:space="0" w:color="auto"/>
            <w:right w:val="none" w:sz="0" w:space="0" w:color="auto"/>
          </w:divBdr>
        </w:div>
        <w:div w:id="225455474">
          <w:marLeft w:val="1800"/>
          <w:marRight w:val="0"/>
          <w:marTop w:val="91"/>
          <w:marBottom w:val="0"/>
          <w:divBdr>
            <w:top w:val="none" w:sz="0" w:space="0" w:color="auto"/>
            <w:left w:val="none" w:sz="0" w:space="0" w:color="auto"/>
            <w:bottom w:val="none" w:sz="0" w:space="0" w:color="auto"/>
            <w:right w:val="none" w:sz="0" w:space="0" w:color="auto"/>
          </w:divBdr>
        </w:div>
        <w:div w:id="593588812">
          <w:marLeft w:val="1166"/>
          <w:marRight w:val="0"/>
          <w:marTop w:val="106"/>
          <w:marBottom w:val="0"/>
          <w:divBdr>
            <w:top w:val="none" w:sz="0" w:space="0" w:color="auto"/>
            <w:left w:val="none" w:sz="0" w:space="0" w:color="auto"/>
            <w:bottom w:val="none" w:sz="0" w:space="0" w:color="auto"/>
            <w:right w:val="none" w:sz="0" w:space="0" w:color="auto"/>
          </w:divBdr>
        </w:div>
        <w:div w:id="1564412569">
          <w:marLeft w:val="1166"/>
          <w:marRight w:val="0"/>
          <w:marTop w:val="106"/>
          <w:marBottom w:val="0"/>
          <w:divBdr>
            <w:top w:val="none" w:sz="0" w:space="0" w:color="auto"/>
            <w:left w:val="none" w:sz="0" w:space="0" w:color="auto"/>
            <w:bottom w:val="none" w:sz="0" w:space="0" w:color="auto"/>
            <w:right w:val="none" w:sz="0" w:space="0" w:color="auto"/>
          </w:divBdr>
        </w:div>
        <w:div w:id="1773356595">
          <w:marLeft w:val="547"/>
          <w:marRight w:val="0"/>
          <w:marTop w:val="120"/>
          <w:marBottom w:val="0"/>
          <w:divBdr>
            <w:top w:val="none" w:sz="0" w:space="0" w:color="auto"/>
            <w:left w:val="none" w:sz="0" w:space="0" w:color="auto"/>
            <w:bottom w:val="none" w:sz="0" w:space="0" w:color="auto"/>
            <w:right w:val="none" w:sz="0" w:space="0" w:color="auto"/>
          </w:divBdr>
        </w:div>
      </w:divsChild>
    </w:div>
    <w:div w:id="891775053">
      <w:bodyDiv w:val="1"/>
      <w:marLeft w:val="0"/>
      <w:marRight w:val="0"/>
      <w:marTop w:val="0"/>
      <w:marBottom w:val="0"/>
      <w:divBdr>
        <w:top w:val="none" w:sz="0" w:space="0" w:color="auto"/>
        <w:left w:val="none" w:sz="0" w:space="0" w:color="auto"/>
        <w:bottom w:val="none" w:sz="0" w:space="0" w:color="auto"/>
        <w:right w:val="none" w:sz="0" w:space="0" w:color="auto"/>
      </w:divBdr>
      <w:divsChild>
        <w:div w:id="137037649">
          <w:marLeft w:val="1166"/>
          <w:marRight w:val="0"/>
          <w:marTop w:val="96"/>
          <w:marBottom w:val="0"/>
          <w:divBdr>
            <w:top w:val="none" w:sz="0" w:space="0" w:color="auto"/>
            <w:left w:val="none" w:sz="0" w:space="0" w:color="auto"/>
            <w:bottom w:val="none" w:sz="0" w:space="0" w:color="auto"/>
            <w:right w:val="none" w:sz="0" w:space="0" w:color="auto"/>
          </w:divBdr>
        </w:div>
        <w:div w:id="408043048">
          <w:marLeft w:val="547"/>
          <w:marRight w:val="0"/>
          <w:marTop w:val="115"/>
          <w:marBottom w:val="0"/>
          <w:divBdr>
            <w:top w:val="none" w:sz="0" w:space="0" w:color="auto"/>
            <w:left w:val="none" w:sz="0" w:space="0" w:color="auto"/>
            <w:bottom w:val="none" w:sz="0" w:space="0" w:color="auto"/>
            <w:right w:val="none" w:sz="0" w:space="0" w:color="auto"/>
          </w:divBdr>
        </w:div>
        <w:div w:id="541524509">
          <w:marLeft w:val="1166"/>
          <w:marRight w:val="0"/>
          <w:marTop w:val="96"/>
          <w:marBottom w:val="0"/>
          <w:divBdr>
            <w:top w:val="none" w:sz="0" w:space="0" w:color="auto"/>
            <w:left w:val="none" w:sz="0" w:space="0" w:color="auto"/>
            <w:bottom w:val="none" w:sz="0" w:space="0" w:color="auto"/>
            <w:right w:val="none" w:sz="0" w:space="0" w:color="auto"/>
          </w:divBdr>
        </w:div>
        <w:div w:id="567345170">
          <w:marLeft w:val="1166"/>
          <w:marRight w:val="0"/>
          <w:marTop w:val="101"/>
          <w:marBottom w:val="0"/>
          <w:divBdr>
            <w:top w:val="none" w:sz="0" w:space="0" w:color="auto"/>
            <w:left w:val="none" w:sz="0" w:space="0" w:color="auto"/>
            <w:bottom w:val="none" w:sz="0" w:space="0" w:color="auto"/>
            <w:right w:val="none" w:sz="0" w:space="0" w:color="auto"/>
          </w:divBdr>
        </w:div>
        <w:div w:id="938410321">
          <w:marLeft w:val="1166"/>
          <w:marRight w:val="0"/>
          <w:marTop w:val="96"/>
          <w:marBottom w:val="0"/>
          <w:divBdr>
            <w:top w:val="none" w:sz="0" w:space="0" w:color="auto"/>
            <w:left w:val="none" w:sz="0" w:space="0" w:color="auto"/>
            <w:bottom w:val="none" w:sz="0" w:space="0" w:color="auto"/>
            <w:right w:val="none" w:sz="0" w:space="0" w:color="auto"/>
          </w:divBdr>
        </w:div>
        <w:div w:id="1046562752">
          <w:marLeft w:val="1166"/>
          <w:marRight w:val="0"/>
          <w:marTop w:val="101"/>
          <w:marBottom w:val="0"/>
          <w:divBdr>
            <w:top w:val="none" w:sz="0" w:space="0" w:color="auto"/>
            <w:left w:val="none" w:sz="0" w:space="0" w:color="auto"/>
            <w:bottom w:val="none" w:sz="0" w:space="0" w:color="auto"/>
            <w:right w:val="none" w:sz="0" w:space="0" w:color="auto"/>
          </w:divBdr>
        </w:div>
        <w:div w:id="1275097054">
          <w:marLeft w:val="1166"/>
          <w:marRight w:val="0"/>
          <w:marTop w:val="96"/>
          <w:marBottom w:val="0"/>
          <w:divBdr>
            <w:top w:val="none" w:sz="0" w:space="0" w:color="auto"/>
            <w:left w:val="none" w:sz="0" w:space="0" w:color="auto"/>
            <w:bottom w:val="none" w:sz="0" w:space="0" w:color="auto"/>
            <w:right w:val="none" w:sz="0" w:space="0" w:color="auto"/>
          </w:divBdr>
        </w:div>
        <w:div w:id="1406296989">
          <w:marLeft w:val="547"/>
          <w:marRight w:val="0"/>
          <w:marTop w:val="115"/>
          <w:marBottom w:val="0"/>
          <w:divBdr>
            <w:top w:val="none" w:sz="0" w:space="0" w:color="auto"/>
            <w:left w:val="none" w:sz="0" w:space="0" w:color="auto"/>
            <w:bottom w:val="none" w:sz="0" w:space="0" w:color="auto"/>
            <w:right w:val="none" w:sz="0" w:space="0" w:color="auto"/>
          </w:divBdr>
        </w:div>
      </w:divsChild>
    </w:div>
    <w:div w:id="892077715">
      <w:bodyDiv w:val="1"/>
      <w:marLeft w:val="0"/>
      <w:marRight w:val="0"/>
      <w:marTop w:val="0"/>
      <w:marBottom w:val="0"/>
      <w:divBdr>
        <w:top w:val="none" w:sz="0" w:space="0" w:color="auto"/>
        <w:left w:val="none" w:sz="0" w:space="0" w:color="auto"/>
        <w:bottom w:val="none" w:sz="0" w:space="0" w:color="auto"/>
        <w:right w:val="none" w:sz="0" w:space="0" w:color="auto"/>
      </w:divBdr>
    </w:div>
    <w:div w:id="892152858">
      <w:bodyDiv w:val="1"/>
      <w:marLeft w:val="0"/>
      <w:marRight w:val="0"/>
      <w:marTop w:val="0"/>
      <w:marBottom w:val="0"/>
      <w:divBdr>
        <w:top w:val="none" w:sz="0" w:space="0" w:color="auto"/>
        <w:left w:val="none" w:sz="0" w:space="0" w:color="auto"/>
        <w:bottom w:val="none" w:sz="0" w:space="0" w:color="auto"/>
        <w:right w:val="none" w:sz="0" w:space="0" w:color="auto"/>
      </w:divBdr>
    </w:div>
    <w:div w:id="892620466">
      <w:bodyDiv w:val="1"/>
      <w:marLeft w:val="0"/>
      <w:marRight w:val="0"/>
      <w:marTop w:val="0"/>
      <w:marBottom w:val="0"/>
      <w:divBdr>
        <w:top w:val="none" w:sz="0" w:space="0" w:color="auto"/>
        <w:left w:val="none" w:sz="0" w:space="0" w:color="auto"/>
        <w:bottom w:val="none" w:sz="0" w:space="0" w:color="auto"/>
        <w:right w:val="none" w:sz="0" w:space="0" w:color="auto"/>
      </w:divBdr>
    </w:div>
    <w:div w:id="893273622">
      <w:bodyDiv w:val="1"/>
      <w:marLeft w:val="0"/>
      <w:marRight w:val="0"/>
      <w:marTop w:val="0"/>
      <w:marBottom w:val="0"/>
      <w:divBdr>
        <w:top w:val="none" w:sz="0" w:space="0" w:color="auto"/>
        <w:left w:val="none" w:sz="0" w:space="0" w:color="auto"/>
        <w:bottom w:val="none" w:sz="0" w:space="0" w:color="auto"/>
        <w:right w:val="none" w:sz="0" w:space="0" w:color="auto"/>
      </w:divBdr>
    </w:div>
    <w:div w:id="895974482">
      <w:bodyDiv w:val="1"/>
      <w:marLeft w:val="0"/>
      <w:marRight w:val="0"/>
      <w:marTop w:val="0"/>
      <w:marBottom w:val="0"/>
      <w:divBdr>
        <w:top w:val="none" w:sz="0" w:space="0" w:color="auto"/>
        <w:left w:val="none" w:sz="0" w:space="0" w:color="auto"/>
        <w:bottom w:val="none" w:sz="0" w:space="0" w:color="auto"/>
        <w:right w:val="none" w:sz="0" w:space="0" w:color="auto"/>
      </w:divBdr>
      <w:divsChild>
        <w:div w:id="1309358642">
          <w:marLeft w:val="1166"/>
          <w:marRight w:val="0"/>
          <w:marTop w:val="96"/>
          <w:marBottom w:val="0"/>
          <w:divBdr>
            <w:top w:val="none" w:sz="0" w:space="0" w:color="auto"/>
            <w:left w:val="none" w:sz="0" w:space="0" w:color="auto"/>
            <w:bottom w:val="none" w:sz="0" w:space="0" w:color="auto"/>
            <w:right w:val="none" w:sz="0" w:space="0" w:color="auto"/>
          </w:divBdr>
        </w:div>
        <w:div w:id="1470316160">
          <w:marLeft w:val="547"/>
          <w:marRight w:val="0"/>
          <w:marTop w:val="115"/>
          <w:marBottom w:val="0"/>
          <w:divBdr>
            <w:top w:val="none" w:sz="0" w:space="0" w:color="auto"/>
            <w:left w:val="none" w:sz="0" w:space="0" w:color="auto"/>
            <w:bottom w:val="none" w:sz="0" w:space="0" w:color="auto"/>
            <w:right w:val="none" w:sz="0" w:space="0" w:color="auto"/>
          </w:divBdr>
        </w:div>
      </w:divsChild>
    </w:div>
    <w:div w:id="896282963">
      <w:bodyDiv w:val="1"/>
      <w:marLeft w:val="0"/>
      <w:marRight w:val="0"/>
      <w:marTop w:val="0"/>
      <w:marBottom w:val="0"/>
      <w:divBdr>
        <w:top w:val="none" w:sz="0" w:space="0" w:color="auto"/>
        <w:left w:val="none" w:sz="0" w:space="0" w:color="auto"/>
        <w:bottom w:val="none" w:sz="0" w:space="0" w:color="auto"/>
        <w:right w:val="none" w:sz="0" w:space="0" w:color="auto"/>
      </w:divBdr>
    </w:div>
    <w:div w:id="896354222">
      <w:bodyDiv w:val="1"/>
      <w:marLeft w:val="0"/>
      <w:marRight w:val="0"/>
      <w:marTop w:val="0"/>
      <w:marBottom w:val="0"/>
      <w:divBdr>
        <w:top w:val="none" w:sz="0" w:space="0" w:color="auto"/>
        <w:left w:val="none" w:sz="0" w:space="0" w:color="auto"/>
        <w:bottom w:val="none" w:sz="0" w:space="0" w:color="auto"/>
        <w:right w:val="none" w:sz="0" w:space="0" w:color="auto"/>
      </w:divBdr>
    </w:div>
    <w:div w:id="896475929">
      <w:bodyDiv w:val="1"/>
      <w:marLeft w:val="0"/>
      <w:marRight w:val="0"/>
      <w:marTop w:val="0"/>
      <w:marBottom w:val="0"/>
      <w:divBdr>
        <w:top w:val="none" w:sz="0" w:space="0" w:color="auto"/>
        <w:left w:val="none" w:sz="0" w:space="0" w:color="auto"/>
        <w:bottom w:val="none" w:sz="0" w:space="0" w:color="auto"/>
        <w:right w:val="none" w:sz="0" w:space="0" w:color="auto"/>
      </w:divBdr>
      <w:divsChild>
        <w:div w:id="623735136">
          <w:marLeft w:val="1800"/>
          <w:marRight w:val="0"/>
          <w:marTop w:val="100"/>
          <w:marBottom w:val="0"/>
          <w:divBdr>
            <w:top w:val="none" w:sz="0" w:space="0" w:color="auto"/>
            <w:left w:val="none" w:sz="0" w:space="0" w:color="auto"/>
            <w:bottom w:val="none" w:sz="0" w:space="0" w:color="auto"/>
            <w:right w:val="none" w:sz="0" w:space="0" w:color="auto"/>
          </w:divBdr>
        </w:div>
        <w:div w:id="636645795">
          <w:marLeft w:val="1800"/>
          <w:marRight w:val="0"/>
          <w:marTop w:val="100"/>
          <w:marBottom w:val="0"/>
          <w:divBdr>
            <w:top w:val="none" w:sz="0" w:space="0" w:color="auto"/>
            <w:left w:val="none" w:sz="0" w:space="0" w:color="auto"/>
            <w:bottom w:val="none" w:sz="0" w:space="0" w:color="auto"/>
            <w:right w:val="none" w:sz="0" w:space="0" w:color="auto"/>
          </w:divBdr>
        </w:div>
        <w:div w:id="1049380989">
          <w:marLeft w:val="1080"/>
          <w:marRight w:val="0"/>
          <w:marTop w:val="100"/>
          <w:marBottom w:val="0"/>
          <w:divBdr>
            <w:top w:val="none" w:sz="0" w:space="0" w:color="auto"/>
            <w:left w:val="none" w:sz="0" w:space="0" w:color="auto"/>
            <w:bottom w:val="none" w:sz="0" w:space="0" w:color="auto"/>
            <w:right w:val="none" w:sz="0" w:space="0" w:color="auto"/>
          </w:divBdr>
        </w:div>
        <w:div w:id="1157263849">
          <w:marLeft w:val="1080"/>
          <w:marRight w:val="0"/>
          <w:marTop w:val="100"/>
          <w:marBottom w:val="0"/>
          <w:divBdr>
            <w:top w:val="none" w:sz="0" w:space="0" w:color="auto"/>
            <w:left w:val="none" w:sz="0" w:space="0" w:color="auto"/>
            <w:bottom w:val="none" w:sz="0" w:space="0" w:color="auto"/>
            <w:right w:val="none" w:sz="0" w:space="0" w:color="auto"/>
          </w:divBdr>
        </w:div>
        <w:div w:id="1266233768">
          <w:marLeft w:val="360"/>
          <w:marRight w:val="0"/>
          <w:marTop w:val="200"/>
          <w:marBottom w:val="0"/>
          <w:divBdr>
            <w:top w:val="none" w:sz="0" w:space="0" w:color="auto"/>
            <w:left w:val="none" w:sz="0" w:space="0" w:color="auto"/>
            <w:bottom w:val="none" w:sz="0" w:space="0" w:color="auto"/>
            <w:right w:val="none" w:sz="0" w:space="0" w:color="auto"/>
          </w:divBdr>
        </w:div>
        <w:div w:id="1439444276">
          <w:marLeft w:val="1800"/>
          <w:marRight w:val="0"/>
          <w:marTop w:val="100"/>
          <w:marBottom w:val="0"/>
          <w:divBdr>
            <w:top w:val="none" w:sz="0" w:space="0" w:color="auto"/>
            <w:left w:val="none" w:sz="0" w:space="0" w:color="auto"/>
            <w:bottom w:val="none" w:sz="0" w:space="0" w:color="auto"/>
            <w:right w:val="none" w:sz="0" w:space="0" w:color="auto"/>
          </w:divBdr>
        </w:div>
        <w:div w:id="1513378333">
          <w:marLeft w:val="1080"/>
          <w:marRight w:val="0"/>
          <w:marTop w:val="100"/>
          <w:marBottom w:val="0"/>
          <w:divBdr>
            <w:top w:val="none" w:sz="0" w:space="0" w:color="auto"/>
            <w:left w:val="none" w:sz="0" w:space="0" w:color="auto"/>
            <w:bottom w:val="none" w:sz="0" w:space="0" w:color="auto"/>
            <w:right w:val="none" w:sz="0" w:space="0" w:color="auto"/>
          </w:divBdr>
        </w:div>
        <w:div w:id="2042127602">
          <w:marLeft w:val="1080"/>
          <w:marRight w:val="0"/>
          <w:marTop w:val="100"/>
          <w:marBottom w:val="0"/>
          <w:divBdr>
            <w:top w:val="none" w:sz="0" w:space="0" w:color="auto"/>
            <w:left w:val="none" w:sz="0" w:space="0" w:color="auto"/>
            <w:bottom w:val="none" w:sz="0" w:space="0" w:color="auto"/>
            <w:right w:val="none" w:sz="0" w:space="0" w:color="auto"/>
          </w:divBdr>
        </w:div>
      </w:divsChild>
    </w:div>
    <w:div w:id="896479979">
      <w:bodyDiv w:val="1"/>
      <w:marLeft w:val="0"/>
      <w:marRight w:val="0"/>
      <w:marTop w:val="0"/>
      <w:marBottom w:val="0"/>
      <w:divBdr>
        <w:top w:val="none" w:sz="0" w:space="0" w:color="auto"/>
        <w:left w:val="none" w:sz="0" w:space="0" w:color="auto"/>
        <w:bottom w:val="none" w:sz="0" w:space="0" w:color="auto"/>
        <w:right w:val="none" w:sz="0" w:space="0" w:color="auto"/>
      </w:divBdr>
      <w:divsChild>
        <w:div w:id="36780344">
          <w:marLeft w:val="547"/>
          <w:marRight w:val="0"/>
          <w:marTop w:val="115"/>
          <w:marBottom w:val="0"/>
          <w:divBdr>
            <w:top w:val="none" w:sz="0" w:space="0" w:color="auto"/>
            <w:left w:val="none" w:sz="0" w:space="0" w:color="auto"/>
            <w:bottom w:val="none" w:sz="0" w:space="0" w:color="auto"/>
            <w:right w:val="none" w:sz="0" w:space="0" w:color="auto"/>
          </w:divBdr>
        </w:div>
        <w:div w:id="331766268">
          <w:marLeft w:val="1166"/>
          <w:marRight w:val="0"/>
          <w:marTop w:val="96"/>
          <w:marBottom w:val="0"/>
          <w:divBdr>
            <w:top w:val="none" w:sz="0" w:space="0" w:color="auto"/>
            <w:left w:val="none" w:sz="0" w:space="0" w:color="auto"/>
            <w:bottom w:val="none" w:sz="0" w:space="0" w:color="auto"/>
            <w:right w:val="none" w:sz="0" w:space="0" w:color="auto"/>
          </w:divBdr>
        </w:div>
        <w:div w:id="601379432">
          <w:marLeft w:val="1166"/>
          <w:marRight w:val="0"/>
          <w:marTop w:val="96"/>
          <w:marBottom w:val="0"/>
          <w:divBdr>
            <w:top w:val="none" w:sz="0" w:space="0" w:color="auto"/>
            <w:left w:val="none" w:sz="0" w:space="0" w:color="auto"/>
            <w:bottom w:val="none" w:sz="0" w:space="0" w:color="auto"/>
            <w:right w:val="none" w:sz="0" w:space="0" w:color="auto"/>
          </w:divBdr>
        </w:div>
        <w:div w:id="820269652">
          <w:marLeft w:val="1166"/>
          <w:marRight w:val="0"/>
          <w:marTop w:val="96"/>
          <w:marBottom w:val="0"/>
          <w:divBdr>
            <w:top w:val="none" w:sz="0" w:space="0" w:color="auto"/>
            <w:left w:val="none" w:sz="0" w:space="0" w:color="auto"/>
            <w:bottom w:val="none" w:sz="0" w:space="0" w:color="auto"/>
            <w:right w:val="none" w:sz="0" w:space="0" w:color="auto"/>
          </w:divBdr>
        </w:div>
        <w:div w:id="847868192">
          <w:marLeft w:val="1800"/>
          <w:marRight w:val="0"/>
          <w:marTop w:val="77"/>
          <w:marBottom w:val="0"/>
          <w:divBdr>
            <w:top w:val="none" w:sz="0" w:space="0" w:color="auto"/>
            <w:left w:val="none" w:sz="0" w:space="0" w:color="auto"/>
            <w:bottom w:val="none" w:sz="0" w:space="0" w:color="auto"/>
            <w:right w:val="none" w:sz="0" w:space="0" w:color="auto"/>
          </w:divBdr>
        </w:div>
        <w:div w:id="1021275940">
          <w:marLeft w:val="547"/>
          <w:marRight w:val="0"/>
          <w:marTop w:val="115"/>
          <w:marBottom w:val="0"/>
          <w:divBdr>
            <w:top w:val="none" w:sz="0" w:space="0" w:color="auto"/>
            <w:left w:val="none" w:sz="0" w:space="0" w:color="auto"/>
            <w:bottom w:val="none" w:sz="0" w:space="0" w:color="auto"/>
            <w:right w:val="none" w:sz="0" w:space="0" w:color="auto"/>
          </w:divBdr>
        </w:div>
        <w:div w:id="1120951329">
          <w:marLeft w:val="1800"/>
          <w:marRight w:val="0"/>
          <w:marTop w:val="77"/>
          <w:marBottom w:val="0"/>
          <w:divBdr>
            <w:top w:val="none" w:sz="0" w:space="0" w:color="auto"/>
            <w:left w:val="none" w:sz="0" w:space="0" w:color="auto"/>
            <w:bottom w:val="none" w:sz="0" w:space="0" w:color="auto"/>
            <w:right w:val="none" w:sz="0" w:space="0" w:color="auto"/>
          </w:divBdr>
        </w:div>
        <w:div w:id="1164201952">
          <w:marLeft w:val="1166"/>
          <w:marRight w:val="0"/>
          <w:marTop w:val="96"/>
          <w:marBottom w:val="0"/>
          <w:divBdr>
            <w:top w:val="none" w:sz="0" w:space="0" w:color="auto"/>
            <w:left w:val="none" w:sz="0" w:space="0" w:color="auto"/>
            <w:bottom w:val="none" w:sz="0" w:space="0" w:color="auto"/>
            <w:right w:val="none" w:sz="0" w:space="0" w:color="auto"/>
          </w:divBdr>
        </w:div>
        <w:div w:id="1351832723">
          <w:marLeft w:val="1166"/>
          <w:marRight w:val="0"/>
          <w:marTop w:val="96"/>
          <w:marBottom w:val="0"/>
          <w:divBdr>
            <w:top w:val="none" w:sz="0" w:space="0" w:color="auto"/>
            <w:left w:val="none" w:sz="0" w:space="0" w:color="auto"/>
            <w:bottom w:val="none" w:sz="0" w:space="0" w:color="auto"/>
            <w:right w:val="none" w:sz="0" w:space="0" w:color="auto"/>
          </w:divBdr>
        </w:div>
        <w:div w:id="1492600892">
          <w:marLeft w:val="1166"/>
          <w:marRight w:val="0"/>
          <w:marTop w:val="96"/>
          <w:marBottom w:val="0"/>
          <w:divBdr>
            <w:top w:val="none" w:sz="0" w:space="0" w:color="auto"/>
            <w:left w:val="none" w:sz="0" w:space="0" w:color="auto"/>
            <w:bottom w:val="none" w:sz="0" w:space="0" w:color="auto"/>
            <w:right w:val="none" w:sz="0" w:space="0" w:color="auto"/>
          </w:divBdr>
        </w:div>
        <w:div w:id="1717661961">
          <w:marLeft w:val="1800"/>
          <w:marRight w:val="0"/>
          <w:marTop w:val="77"/>
          <w:marBottom w:val="0"/>
          <w:divBdr>
            <w:top w:val="none" w:sz="0" w:space="0" w:color="auto"/>
            <w:left w:val="none" w:sz="0" w:space="0" w:color="auto"/>
            <w:bottom w:val="none" w:sz="0" w:space="0" w:color="auto"/>
            <w:right w:val="none" w:sz="0" w:space="0" w:color="auto"/>
          </w:divBdr>
        </w:div>
        <w:div w:id="1809467550">
          <w:marLeft w:val="1800"/>
          <w:marRight w:val="0"/>
          <w:marTop w:val="77"/>
          <w:marBottom w:val="0"/>
          <w:divBdr>
            <w:top w:val="none" w:sz="0" w:space="0" w:color="auto"/>
            <w:left w:val="none" w:sz="0" w:space="0" w:color="auto"/>
            <w:bottom w:val="none" w:sz="0" w:space="0" w:color="auto"/>
            <w:right w:val="none" w:sz="0" w:space="0" w:color="auto"/>
          </w:divBdr>
        </w:div>
        <w:div w:id="1919443004">
          <w:marLeft w:val="1800"/>
          <w:marRight w:val="0"/>
          <w:marTop w:val="77"/>
          <w:marBottom w:val="0"/>
          <w:divBdr>
            <w:top w:val="none" w:sz="0" w:space="0" w:color="auto"/>
            <w:left w:val="none" w:sz="0" w:space="0" w:color="auto"/>
            <w:bottom w:val="none" w:sz="0" w:space="0" w:color="auto"/>
            <w:right w:val="none" w:sz="0" w:space="0" w:color="auto"/>
          </w:divBdr>
        </w:div>
      </w:divsChild>
    </w:div>
    <w:div w:id="897278731">
      <w:bodyDiv w:val="1"/>
      <w:marLeft w:val="0"/>
      <w:marRight w:val="0"/>
      <w:marTop w:val="0"/>
      <w:marBottom w:val="0"/>
      <w:divBdr>
        <w:top w:val="none" w:sz="0" w:space="0" w:color="auto"/>
        <w:left w:val="none" w:sz="0" w:space="0" w:color="auto"/>
        <w:bottom w:val="none" w:sz="0" w:space="0" w:color="auto"/>
        <w:right w:val="none" w:sz="0" w:space="0" w:color="auto"/>
      </w:divBdr>
    </w:div>
    <w:div w:id="897664091">
      <w:bodyDiv w:val="1"/>
      <w:marLeft w:val="0"/>
      <w:marRight w:val="0"/>
      <w:marTop w:val="0"/>
      <w:marBottom w:val="0"/>
      <w:divBdr>
        <w:top w:val="none" w:sz="0" w:space="0" w:color="auto"/>
        <w:left w:val="none" w:sz="0" w:space="0" w:color="auto"/>
        <w:bottom w:val="none" w:sz="0" w:space="0" w:color="auto"/>
        <w:right w:val="none" w:sz="0" w:space="0" w:color="auto"/>
      </w:divBdr>
    </w:div>
    <w:div w:id="898516944">
      <w:bodyDiv w:val="1"/>
      <w:marLeft w:val="0"/>
      <w:marRight w:val="0"/>
      <w:marTop w:val="0"/>
      <w:marBottom w:val="0"/>
      <w:divBdr>
        <w:top w:val="none" w:sz="0" w:space="0" w:color="auto"/>
        <w:left w:val="none" w:sz="0" w:space="0" w:color="auto"/>
        <w:bottom w:val="none" w:sz="0" w:space="0" w:color="auto"/>
        <w:right w:val="none" w:sz="0" w:space="0" w:color="auto"/>
      </w:divBdr>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9827354">
      <w:bodyDiv w:val="1"/>
      <w:marLeft w:val="0"/>
      <w:marRight w:val="0"/>
      <w:marTop w:val="0"/>
      <w:marBottom w:val="0"/>
      <w:divBdr>
        <w:top w:val="none" w:sz="0" w:space="0" w:color="auto"/>
        <w:left w:val="none" w:sz="0" w:space="0" w:color="auto"/>
        <w:bottom w:val="none" w:sz="0" w:space="0" w:color="auto"/>
        <w:right w:val="none" w:sz="0" w:space="0" w:color="auto"/>
      </w:divBdr>
    </w:div>
    <w:div w:id="899946156">
      <w:bodyDiv w:val="1"/>
      <w:marLeft w:val="0"/>
      <w:marRight w:val="0"/>
      <w:marTop w:val="0"/>
      <w:marBottom w:val="0"/>
      <w:divBdr>
        <w:top w:val="none" w:sz="0" w:space="0" w:color="auto"/>
        <w:left w:val="none" w:sz="0" w:space="0" w:color="auto"/>
        <w:bottom w:val="none" w:sz="0" w:space="0" w:color="auto"/>
        <w:right w:val="none" w:sz="0" w:space="0" w:color="auto"/>
      </w:divBdr>
    </w:div>
    <w:div w:id="900410753">
      <w:bodyDiv w:val="1"/>
      <w:marLeft w:val="0"/>
      <w:marRight w:val="0"/>
      <w:marTop w:val="0"/>
      <w:marBottom w:val="0"/>
      <w:divBdr>
        <w:top w:val="none" w:sz="0" w:space="0" w:color="auto"/>
        <w:left w:val="none" w:sz="0" w:space="0" w:color="auto"/>
        <w:bottom w:val="none" w:sz="0" w:space="0" w:color="auto"/>
        <w:right w:val="none" w:sz="0" w:space="0" w:color="auto"/>
      </w:divBdr>
    </w:div>
    <w:div w:id="900599833">
      <w:bodyDiv w:val="1"/>
      <w:marLeft w:val="0"/>
      <w:marRight w:val="0"/>
      <w:marTop w:val="0"/>
      <w:marBottom w:val="0"/>
      <w:divBdr>
        <w:top w:val="none" w:sz="0" w:space="0" w:color="auto"/>
        <w:left w:val="none" w:sz="0" w:space="0" w:color="auto"/>
        <w:bottom w:val="none" w:sz="0" w:space="0" w:color="auto"/>
        <w:right w:val="none" w:sz="0" w:space="0" w:color="auto"/>
      </w:divBdr>
    </w:div>
    <w:div w:id="900605006">
      <w:bodyDiv w:val="1"/>
      <w:marLeft w:val="0"/>
      <w:marRight w:val="0"/>
      <w:marTop w:val="0"/>
      <w:marBottom w:val="0"/>
      <w:divBdr>
        <w:top w:val="none" w:sz="0" w:space="0" w:color="auto"/>
        <w:left w:val="none" w:sz="0" w:space="0" w:color="auto"/>
        <w:bottom w:val="none" w:sz="0" w:space="0" w:color="auto"/>
        <w:right w:val="none" w:sz="0" w:space="0" w:color="auto"/>
      </w:divBdr>
    </w:div>
    <w:div w:id="901019096">
      <w:bodyDiv w:val="1"/>
      <w:marLeft w:val="0"/>
      <w:marRight w:val="0"/>
      <w:marTop w:val="0"/>
      <w:marBottom w:val="0"/>
      <w:divBdr>
        <w:top w:val="none" w:sz="0" w:space="0" w:color="auto"/>
        <w:left w:val="none" w:sz="0" w:space="0" w:color="auto"/>
        <w:bottom w:val="none" w:sz="0" w:space="0" w:color="auto"/>
        <w:right w:val="none" w:sz="0" w:space="0" w:color="auto"/>
      </w:divBdr>
    </w:div>
    <w:div w:id="901253263">
      <w:bodyDiv w:val="1"/>
      <w:marLeft w:val="0"/>
      <w:marRight w:val="0"/>
      <w:marTop w:val="0"/>
      <w:marBottom w:val="0"/>
      <w:divBdr>
        <w:top w:val="none" w:sz="0" w:space="0" w:color="auto"/>
        <w:left w:val="none" w:sz="0" w:space="0" w:color="auto"/>
        <w:bottom w:val="none" w:sz="0" w:space="0" w:color="auto"/>
        <w:right w:val="none" w:sz="0" w:space="0" w:color="auto"/>
      </w:divBdr>
    </w:div>
    <w:div w:id="902716697">
      <w:bodyDiv w:val="1"/>
      <w:marLeft w:val="0"/>
      <w:marRight w:val="0"/>
      <w:marTop w:val="0"/>
      <w:marBottom w:val="0"/>
      <w:divBdr>
        <w:top w:val="none" w:sz="0" w:space="0" w:color="auto"/>
        <w:left w:val="none" w:sz="0" w:space="0" w:color="auto"/>
        <w:bottom w:val="none" w:sz="0" w:space="0" w:color="auto"/>
        <w:right w:val="none" w:sz="0" w:space="0" w:color="auto"/>
      </w:divBdr>
      <w:divsChild>
        <w:div w:id="998195643">
          <w:marLeft w:val="1166"/>
          <w:marRight w:val="0"/>
          <w:marTop w:val="96"/>
          <w:marBottom w:val="0"/>
          <w:divBdr>
            <w:top w:val="none" w:sz="0" w:space="0" w:color="auto"/>
            <w:left w:val="none" w:sz="0" w:space="0" w:color="auto"/>
            <w:bottom w:val="none" w:sz="0" w:space="0" w:color="auto"/>
            <w:right w:val="none" w:sz="0" w:space="0" w:color="auto"/>
          </w:divBdr>
        </w:div>
        <w:div w:id="2017492250">
          <w:marLeft w:val="547"/>
          <w:marRight w:val="0"/>
          <w:marTop w:val="115"/>
          <w:marBottom w:val="0"/>
          <w:divBdr>
            <w:top w:val="none" w:sz="0" w:space="0" w:color="auto"/>
            <w:left w:val="none" w:sz="0" w:space="0" w:color="auto"/>
            <w:bottom w:val="none" w:sz="0" w:space="0" w:color="auto"/>
            <w:right w:val="none" w:sz="0" w:space="0" w:color="auto"/>
          </w:divBdr>
        </w:div>
      </w:divsChild>
    </w:div>
    <w:div w:id="903487247">
      <w:bodyDiv w:val="1"/>
      <w:marLeft w:val="0"/>
      <w:marRight w:val="0"/>
      <w:marTop w:val="0"/>
      <w:marBottom w:val="0"/>
      <w:divBdr>
        <w:top w:val="none" w:sz="0" w:space="0" w:color="auto"/>
        <w:left w:val="none" w:sz="0" w:space="0" w:color="auto"/>
        <w:bottom w:val="none" w:sz="0" w:space="0" w:color="auto"/>
        <w:right w:val="none" w:sz="0" w:space="0" w:color="auto"/>
      </w:divBdr>
    </w:div>
    <w:div w:id="904031596">
      <w:bodyDiv w:val="1"/>
      <w:marLeft w:val="0"/>
      <w:marRight w:val="0"/>
      <w:marTop w:val="0"/>
      <w:marBottom w:val="0"/>
      <w:divBdr>
        <w:top w:val="none" w:sz="0" w:space="0" w:color="auto"/>
        <w:left w:val="none" w:sz="0" w:space="0" w:color="auto"/>
        <w:bottom w:val="none" w:sz="0" w:space="0" w:color="auto"/>
        <w:right w:val="none" w:sz="0" w:space="0" w:color="auto"/>
      </w:divBdr>
    </w:div>
    <w:div w:id="904686169">
      <w:bodyDiv w:val="1"/>
      <w:marLeft w:val="0"/>
      <w:marRight w:val="0"/>
      <w:marTop w:val="0"/>
      <w:marBottom w:val="0"/>
      <w:divBdr>
        <w:top w:val="none" w:sz="0" w:space="0" w:color="auto"/>
        <w:left w:val="none" w:sz="0" w:space="0" w:color="auto"/>
        <w:bottom w:val="none" w:sz="0" w:space="0" w:color="auto"/>
        <w:right w:val="none" w:sz="0" w:space="0" w:color="auto"/>
      </w:divBdr>
    </w:div>
    <w:div w:id="905340963">
      <w:bodyDiv w:val="1"/>
      <w:marLeft w:val="0"/>
      <w:marRight w:val="0"/>
      <w:marTop w:val="0"/>
      <w:marBottom w:val="0"/>
      <w:divBdr>
        <w:top w:val="none" w:sz="0" w:space="0" w:color="auto"/>
        <w:left w:val="none" w:sz="0" w:space="0" w:color="auto"/>
        <w:bottom w:val="none" w:sz="0" w:space="0" w:color="auto"/>
        <w:right w:val="none" w:sz="0" w:space="0" w:color="auto"/>
      </w:divBdr>
      <w:divsChild>
        <w:div w:id="347297646">
          <w:marLeft w:val="547"/>
          <w:marRight w:val="0"/>
          <w:marTop w:val="125"/>
          <w:marBottom w:val="0"/>
          <w:divBdr>
            <w:top w:val="none" w:sz="0" w:space="0" w:color="auto"/>
            <w:left w:val="none" w:sz="0" w:space="0" w:color="auto"/>
            <w:bottom w:val="none" w:sz="0" w:space="0" w:color="auto"/>
            <w:right w:val="none" w:sz="0" w:space="0" w:color="auto"/>
          </w:divBdr>
        </w:div>
        <w:div w:id="472715296">
          <w:marLeft w:val="1800"/>
          <w:marRight w:val="0"/>
          <w:marTop w:val="91"/>
          <w:marBottom w:val="0"/>
          <w:divBdr>
            <w:top w:val="none" w:sz="0" w:space="0" w:color="auto"/>
            <w:left w:val="none" w:sz="0" w:space="0" w:color="auto"/>
            <w:bottom w:val="none" w:sz="0" w:space="0" w:color="auto"/>
            <w:right w:val="none" w:sz="0" w:space="0" w:color="auto"/>
          </w:divBdr>
        </w:div>
        <w:div w:id="826286458">
          <w:marLeft w:val="547"/>
          <w:marRight w:val="0"/>
          <w:marTop w:val="125"/>
          <w:marBottom w:val="0"/>
          <w:divBdr>
            <w:top w:val="none" w:sz="0" w:space="0" w:color="auto"/>
            <w:left w:val="none" w:sz="0" w:space="0" w:color="auto"/>
            <w:bottom w:val="none" w:sz="0" w:space="0" w:color="auto"/>
            <w:right w:val="none" w:sz="0" w:space="0" w:color="auto"/>
          </w:divBdr>
        </w:div>
        <w:div w:id="1017272108">
          <w:marLeft w:val="547"/>
          <w:marRight w:val="0"/>
          <w:marTop w:val="125"/>
          <w:marBottom w:val="0"/>
          <w:divBdr>
            <w:top w:val="none" w:sz="0" w:space="0" w:color="auto"/>
            <w:left w:val="none" w:sz="0" w:space="0" w:color="auto"/>
            <w:bottom w:val="none" w:sz="0" w:space="0" w:color="auto"/>
            <w:right w:val="none" w:sz="0" w:space="0" w:color="auto"/>
          </w:divBdr>
        </w:div>
        <w:div w:id="1028873799">
          <w:marLeft w:val="1166"/>
          <w:marRight w:val="0"/>
          <w:marTop w:val="106"/>
          <w:marBottom w:val="0"/>
          <w:divBdr>
            <w:top w:val="none" w:sz="0" w:space="0" w:color="auto"/>
            <w:left w:val="none" w:sz="0" w:space="0" w:color="auto"/>
            <w:bottom w:val="none" w:sz="0" w:space="0" w:color="auto"/>
            <w:right w:val="none" w:sz="0" w:space="0" w:color="auto"/>
          </w:divBdr>
        </w:div>
        <w:div w:id="1135375045">
          <w:marLeft w:val="547"/>
          <w:marRight w:val="0"/>
          <w:marTop w:val="125"/>
          <w:marBottom w:val="0"/>
          <w:divBdr>
            <w:top w:val="none" w:sz="0" w:space="0" w:color="auto"/>
            <w:left w:val="none" w:sz="0" w:space="0" w:color="auto"/>
            <w:bottom w:val="none" w:sz="0" w:space="0" w:color="auto"/>
            <w:right w:val="none" w:sz="0" w:space="0" w:color="auto"/>
          </w:divBdr>
        </w:div>
        <w:div w:id="1184516032">
          <w:marLeft w:val="1166"/>
          <w:marRight w:val="0"/>
          <w:marTop w:val="106"/>
          <w:marBottom w:val="0"/>
          <w:divBdr>
            <w:top w:val="none" w:sz="0" w:space="0" w:color="auto"/>
            <w:left w:val="none" w:sz="0" w:space="0" w:color="auto"/>
            <w:bottom w:val="none" w:sz="0" w:space="0" w:color="auto"/>
            <w:right w:val="none" w:sz="0" w:space="0" w:color="auto"/>
          </w:divBdr>
        </w:div>
        <w:div w:id="1195339391">
          <w:marLeft w:val="1166"/>
          <w:marRight w:val="0"/>
          <w:marTop w:val="106"/>
          <w:marBottom w:val="0"/>
          <w:divBdr>
            <w:top w:val="none" w:sz="0" w:space="0" w:color="auto"/>
            <w:left w:val="none" w:sz="0" w:space="0" w:color="auto"/>
            <w:bottom w:val="none" w:sz="0" w:space="0" w:color="auto"/>
            <w:right w:val="none" w:sz="0" w:space="0" w:color="auto"/>
          </w:divBdr>
        </w:div>
        <w:div w:id="1516842807">
          <w:marLeft w:val="1166"/>
          <w:marRight w:val="0"/>
          <w:marTop w:val="106"/>
          <w:marBottom w:val="0"/>
          <w:divBdr>
            <w:top w:val="none" w:sz="0" w:space="0" w:color="auto"/>
            <w:left w:val="none" w:sz="0" w:space="0" w:color="auto"/>
            <w:bottom w:val="none" w:sz="0" w:space="0" w:color="auto"/>
            <w:right w:val="none" w:sz="0" w:space="0" w:color="auto"/>
          </w:divBdr>
        </w:div>
        <w:div w:id="1646663473">
          <w:marLeft w:val="547"/>
          <w:marRight w:val="0"/>
          <w:marTop w:val="125"/>
          <w:marBottom w:val="0"/>
          <w:divBdr>
            <w:top w:val="none" w:sz="0" w:space="0" w:color="auto"/>
            <w:left w:val="none" w:sz="0" w:space="0" w:color="auto"/>
            <w:bottom w:val="none" w:sz="0" w:space="0" w:color="auto"/>
            <w:right w:val="none" w:sz="0" w:space="0" w:color="auto"/>
          </w:divBdr>
        </w:div>
      </w:divsChild>
    </w:div>
    <w:div w:id="906844155">
      <w:bodyDiv w:val="1"/>
      <w:marLeft w:val="0"/>
      <w:marRight w:val="0"/>
      <w:marTop w:val="0"/>
      <w:marBottom w:val="0"/>
      <w:divBdr>
        <w:top w:val="none" w:sz="0" w:space="0" w:color="auto"/>
        <w:left w:val="none" w:sz="0" w:space="0" w:color="auto"/>
        <w:bottom w:val="none" w:sz="0" w:space="0" w:color="auto"/>
        <w:right w:val="none" w:sz="0" w:space="0" w:color="auto"/>
      </w:divBdr>
    </w:div>
    <w:div w:id="907568941">
      <w:bodyDiv w:val="1"/>
      <w:marLeft w:val="0"/>
      <w:marRight w:val="0"/>
      <w:marTop w:val="0"/>
      <w:marBottom w:val="0"/>
      <w:divBdr>
        <w:top w:val="none" w:sz="0" w:space="0" w:color="auto"/>
        <w:left w:val="none" w:sz="0" w:space="0" w:color="auto"/>
        <w:bottom w:val="none" w:sz="0" w:space="0" w:color="auto"/>
        <w:right w:val="none" w:sz="0" w:space="0" w:color="auto"/>
      </w:divBdr>
    </w:div>
    <w:div w:id="907614916">
      <w:bodyDiv w:val="1"/>
      <w:marLeft w:val="0"/>
      <w:marRight w:val="0"/>
      <w:marTop w:val="0"/>
      <w:marBottom w:val="0"/>
      <w:divBdr>
        <w:top w:val="none" w:sz="0" w:space="0" w:color="auto"/>
        <w:left w:val="none" w:sz="0" w:space="0" w:color="auto"/>
        <w:bottom w:val="none" w:sz="0" w:space="0" w:color="auto"/>
        <w:right w:val="none" w:sz="0" w:space="0" w:color="auto"/>
      </w:divBdr>
      <w:divsChild>
        <w:div w:id="13386161">
          <w:marLeft w:val="1166"/>
          <w:marRight w:val="0"/>
          <w:marTop w:val="106"/>
          <w:marBottom w:val="0"/>
          <w:divBdr>
            <w:top w:val="none" w:sz="0" w:space="0" w:color="auto"/>
            <w:left w:val="none" w:sz="0" w:space="0" w:color="auto"/>
            <w:bottom w:val="none" w:sz="0" w:space="0" w:color="auto"/>
            <w:right w:val="none" w:sz="0" w:space="0" w:color="auto"/>
          </w:divBdr>
        </w:div>
        <w:div w:id="269968134">
          <w:marLeft w:val="1166"/>
          <w:marRight w:val="0"/>
          <w:marTop w:val="106"/>
          <w:marBottom w:val="0"/>
          <w:divBdr>
            <w:top w:val="none" w:sz="0" w:space="0" w:color="auto"/>
            <w:left w:val="none" w:sz="0" w:space="0" w:color="auto"/>
            <w:bottom w:val="none" w:sz="0" w:space="0" w:color="auto"/>
            <w:right w:val="none" w:sz="0" w:space="0" w:color="auto"/>
          </w:divBdr>
        </w:div>
        <w:div w:id="1360621147">
          <w:marLeft w:val="1166"/>
          <w:marRight w:val="0"/>
          <w:marTop w:val="106"/>
          <w:marBottom w:val="0"/>
          <w:divBdr>
            <w:top w:val="none" w:sz="0" w:space="0" w:color="auto"/>
            <w:left w:val="none" w:sz="0" w:space="0" w:color="auto"/>
            <w:bottom w:val="none" w:sz="0" w:space="0" w:color="auto"/>
            <w:right w:val="none" w:sz="0" w:space="0" w:color="auto"/>
          </w:divBdr>
        </w:div>
        <w:div w:id="1586182063">
          <w:marLeft w:val="547"/>
          <w:marRight w:val="0"/>
          <w:marTop w:val="120"/>
          <w:marBottom w:val="0"/>
          <w:divBdr>
            <w:top w:val="none" w:sz="0" w:space="0" w:color="auto"/>
            <w:left w:val="none" w:sz="0" w:space="0" w:color="auto"/>
            <w:bottom w:val="none" w:sz="0" w:space="0" w:color="auto"/>
            <w:right w:val="none" w:sz="0" w:space="0" w:color="auto"/>
          </w:divBdr>
        </w:div>
        <w:div w:id="1914312282">
          <w:marLeft w:val="1800"/>
          <w:marRight w:val="0"/>
          <w:marTop w:val="91"/>
          <w:marBottom w:val="0"/>
          <w:divBdr>
            <w:top w:val="none" w:sz="0" w:space="0" w:color="auto"/>
            <w:left w:val="none" w:sz="0" w:space="0" w:color="auto"/>
            <w:bottom w:val="none" w:sz="0" w:space="0" w:color="auto"/>
            <w:right w:val="none" w:sz="0" w:space="0" w:color="auto"/>
          </w:divBdr>
        </w:div>
        <w:div w:id="2075662911">
          <w:marLeft w:val="1166"/>
          <w:marRight w:val="0"/>
          <w:marTop w:val="106"/>
          <w:marBottom w:val="0"/>
          <w:divBdr>
            <w:top w:val="none" w:sz="0" w:space="0" w:color="auto"/>
            <w:left w:val="none" w:sz="0" w:space="0" w:color="auto"/>
            <w:bottom w:val="none" w:sz="0" w:space="0" w:color="auto"/>
            <w:right w:val="none" w:sz="0" w:space="0" w:color="auto"/>
          </w:divBdr>
        </w:div>
        <w:div w:id="2093619287">
          <w:marLeft w:val="1800"/>
          <w:marRight w:val="0"/>
          <w:marTop w:val="91"/>
          <w:marBottom w:val="0"/>
          <w:divBdr>
            <w:top w:val="none" w:sz="0" w:space="0" w:color="auto"/>
            <w:left w:val="none" w:sz="0" w:space="0" w:color="auto"/>
            <w:bottom w:val="none" w:sz="0" w:space="0" w:color="auto"/>
            <w:right w:val="none" w:sz="0" w:space="0" w:color="auto"/>
          </w:divBdr>
        </w:div>
      </w:divsChild>
    </w:div>
    <w:div w:id="909000496">
      <w:bodyDiv w:val="1"/>
      <w:marLeft w:val="0"/>
      <w:marRight w:val="0"/>
      <w:marTop w:val="0"/>
      <w:marBottom w:val="0"/>
      <w:divBdr>
        <w:top w:val="none" w:sz="0" w:space="0" w:color="auto"/>
        <w:left w:val="none" w:sz="0" w:space="0" w:color="auto"/>
        <w:bottom w:val="none" w:sz="0" w:space="0" w:color="auto"/>
        <w:right w:val="none" w:sz="0" w:space="0" w:color="auto"/>
      </w:divBdr>
    </w:div>
    <w:div w:id="909385362">
      <w:bodyDiv w:val="1"/>
      <w:marLeft w:val="0"/>
      <w:marRight w:val="0"/>
      <w:marTop w:val="0"/>
      <w:marBottom w:val="0"/>
      <w:divBdr>
        <w:top w:val="none" w:sz="0" w:space="0" w:color="auto"/>
        <w:left w:val="none" w:sz="0" w:space="0" w:color="auto"/>
        <w:bottom w:val="none" w:sz="0" w:space="0" w:color="auto"/>
        <w:right w:val="none" w:sz="0" w:space="0" w:color="auto"/>
      </w:divBdr>
    </w:div>
    <w:div w:id="909923837">
      <w:bodyDiv w:val="1"/>
      <w:marLeft w:val="0"/>
      <w:marRight w:val="0"/>
      <w:marTop w:val="0"/>
      <w:marBottom w:val="0"/>
      <w:divBdr>
        <w:top w:val="none" w:sz="0" w:space="0" w:color="auto"/>
        <w:left w:val="none" w:sz="0" w:space="0" w:color="auto"/>
        <w:bottom w:val="none" w:sz="0" w:space="0" w:color="auto"/>
        <w:right w:val="none" w:sz="0" w:space="0" w:color="auto"/>
      </w:divBdr>
      <w:divsChild>
        <w:div w:id="495460780">
          <w:marLeft w:val="547"/>
          <w:marRight w:val="0"/>
          <w:marTop w:val="134"/>
          <w:marBottom w:val="0"/>
          <w:divBdr>
            <w:top w:val="none" w:sz="0" w:space="0" w:color="auto"/>
            <w:left w:val="none" w:sz="0" w:space="0" w:color="auto"/>
            <w:bottom w:val="none" w:sz="0" w:space="0" w:color="auto"/>
            <w:right w:val="none" w:sz="0" w:space="0" w:color="auto"/>
          </w:divBdr>
        </w:div>
        <w:div w:id="916016287">
          <w:marLeft w:val="1166"/>
          <w:marRight w:val="0"/>
          <w:marTop w:val="115"/>
          <w:marBottom w:val="0"/>
          <w:divBdr>
            <w:top w:val="none" w:sz="0" w:space="0" w:color="auto"/>
            <w:left w:val="none" w:sz="0" w:space="0" w:color="auto"/>
            <w:bottom w:val="none" w:sz="0" w:space="0" w:color="auto"/>
            <w:right w:val="none" w:sz="0" w:space="0" w:color="auto"/>
          </w:divBdr>
        </w:div>
        <w:div w:id="1777670164">
          <w:marLeft w:val="1166"/>
          <w:marRight w:val="0"/>
          <w:marTop w:val="115"/>
          <w:marBottom w:val="0"/>
          <w:divBdr>
            <w:top w:val="none" w:sz="0" w:space="0" w:color="auto"/>
            <w:left w:val="none" w:sz="0" w:space="0" w:color="auto"/>
            <w:bottom w:val="none" w:sz="0" w:space="0" w:color="auto"/>
            <w:right w:val="none" w:sz="0" w:space="0" w:color="auto"/>
          </w:divBdr>
        </w:div>
      </w:divsChild>
    </w:div>
    <w:div w:id="911085964">
      <w:bodyDiv w:val="1"/>
      <w:marLeft w:val="0"/>
      <w:marRight w:val="0"/>
      <w:marTop w:val="0"/>
      <w:marBottom w:val="0"/>
      <w:divBdr>
        <w:top w:val="none" w:sz="0" w:space="0" w:color="auto"/>
        <w:left w:val="none" w:sz="0" w:space="0" w:color="auto"/>
        <w:bottom w:val="none" w:sz="0" w:space="0" w:color="auto"/>
        <w:right w:val="none" w:sz="0" w:space="0" w:color="auto"/>
      </w:divBdr>
    </w:div>
    <w:div w:id="913320195">
      <w:bodyDiv w:val="1"/>
      <w:marLeft w:val="0"/>
      <w:marRight w:val="0"/>
      <w:marTop w:val="0"/>
      <w:marBottom w:val="0"/>
      <w:divBdr>
        <w:top w:val="none" w:sz="0" w:space="0" w:color="auto"/>
        <w:left w:val="none" w:sz="0" w:space="0" w:color="auto"/>
        <w:bottom w:val="none" w:sz="0" w:space="0" w:color="auto"/>
        <w:right w:val="none" w:sz="0" w:space="0" w:color="auto"/>
      </w:divBdr>
      <w:divsChild>
        <w:div w:id="224419681">
          <w:marLeft w:val="547"/>
          <w:marRight w:val="0"/>
          <w:marTop w:val="134"/>
          <w:marBottom w:val="120"/>
          <w:divBdr>
            <w:top w:val="none" w:sz="0" w:space="0" w:color="auto"/>
            <w:left w:val="none" w:sz="0" w:space="0" w:color="auto"/>
            <w:bottom w:val="none" w:sz="0" w:space="0" w:color="auto"/>
            <w:right w:val="none" w:sz="0" w:space="0" w:color="auto"/>
          </w:divBdr>
        </w:div>
      </w:divsChild>
    </w:div>
    <w:div w:id="915169329">
      <w:bodyDiv w:val="1"/>
      <w:marLeft w:val="0"/>
      <w:marRight w:val="0"/>
      <w:marTop w:val="0"/>
      <w:marBottom w:val="0"/>
      <w:divBdr>
        <w:top w:val="none" w:sz="0" w:space="0" w:color="auto"/>
        <w:left w:val="none" w:sz="0" w:space="0" w:color="auto"/>
        <w:bottom w:val="none" w:sz="0" w:space="0" w:color="auto"/>
        <w:right w:val="none" w:sz="0" w:space="0" w:color="auto"/>
      </w:divBdr>
    </w:div>
    <w:div w:id="915355836">
      <w:bodyDiv w:val="1"/>
      <w:marLeft w:val="0"/>
      <w:marRight w:val="0"/>
      <w:marTop w:val="0"/>
      <w:marBottom w:val="0"/>
      <w:divBdr>
        <w:top w:val="none" w:sz="0" w:space="0" w:color="auto"/>
        <w:left w:val="none" w:sz="0" w:space="0" w:color="auto"/>
        <w:bottom w:val="none" w:sz="0" w:space="0" w:color="auto"/>
        <w:right w:val="none" w:sz="0" w:space="0" w:color="auto"/>
      </w:divBdr>
    </w:div>
    <w:div w:id="915433511">
      <w:bodyDiv w:val="1"/>
      <w:marLeft w:val="0"/>
      <w:marRight w:val="0"/>
      <w:marTop w:val="0"/>
      <w:marBottom w:val="0"/>
      <w:divBdr>
        <w:top w:val="none" w:sz="0" w:space="0" w:color="auto"/>
        <w:left w:val="none" w:sz="0" w:space="0" w:color="auto"/>
        <w:bottom w:val="none" w:sz="0" w:space="0" w:color="auto"/>
        <w:right w:val="none" w:sz="0" w:space="0" w:color="auto"/>
      </w:divBdr>
    </w:div>
    <w:div w:id="916524465">
      <w:bodyDiv w:val="1"/>
      <w:marLeft w:val="0"/>
      <w:marRight w:val="0"/>
      <w:marTop w:val="0"/>
      <w:marBottom w:val="0"/>
      <w:divBdr>
        <w:top w:val="none" w:sz="0" w:space="0" w:color="auto"/>
        <w:left w:val="none" w:sz="0" w:space="0" w:color="auto"/>
        <w:bottom w:val="none" w:sz="0" w:space="0" w:color="auto"/>
        <w:right w:val="none" w:sz="0" w:space="0" w:color="auto"/>
      </w:divBdr>
    </w:div>
    <w:div w:id="916549381">
      <w:bodyDiv w:val="1"/>
      <w:marLeft w:val="0"/>
      <w:marRight w:val="0"/>
      <w:marTop w:val="0"/>
      <w:marBottom w:val="0"/>
      <w:divBdr>
        <w:top w:val="none" w:sz="0" w:space="0" w:color="auto"/>
        <w:left w:val="none" w:sz="0" w:space="0" w:color="auto"/>
        <w:bottom w:val="none" w:sz="0" w:space="0" w:color="auto"/>
        <w:right w:val="none" w:sz="0" w:space="0" w:color="auto"/>
      </w:divBdr>
    </w:div>
    <w:div w:id="917325099">
      <w:bodyDiv w:val="1"/>
      <w:marLeft w:val="0"/>
      <w:marRight w:val="0"/>
      <w:marTop w:val="0"/>
      <w:marBottom w:val="0"/>
      <w:divBdr>
        <w:top w:val="none" w:sz="0" w:space="0" w:color="auto"/>
        <w:left w:val="none" w:sz="0" w:space="0" w:color="auto"/>
        <w:bottom w:val="none" w:sz="0" w:space="0" w:color="auto"/>
        <w:right w:val="none" w:sz="0" w:space="0" w:color="auto"/>
      </w:divBdr>
    </w:div>
    <w:div w:id="917638133">
      <w:bodyDiv w:val="1"/>
      <w:marLeft w:val="0"/>
      <w:marRight w:val="0"/>
      <w:marTop w:val="0"/>
      <w:marBottom w:val="0"/>
      <w:divBdr>
        <w:top w:val="none" w:sz="0" w:space="0" w:color="auto"/>
        <w:left w:val="none" w:sz="0" w:space="0" w:color="auto"/>
        <w:bottom w:val="none" w:sz="0" w:space="0" w:color="auto"/>
        <w:right w:val="none" w:sz="0" w:space="0" w:color="auto"/>
      </w:divBdr>
    </w:div>
    <w:div w:id="918445309">
      <w:bodyDiv w:val="1"/>
      <w:marLeft w:val="0"/>
      <w:marRight w:val="0"/>
      <w:marTop w:val="0"/>
      <w:marBottom w:val="0"/>
      <w:divBdr>
        <w:top w:val="none" w:sz="0" w:space="0" w:color="auto"/>
        <w:left w:val="none" w:sz="0" w:space="0" w:color="auto"/>
        <w:bottom w:val="none" w:sz="0" w:space="0" w:color="auto"/>
        <w:right w:val="none" w:sz="0" w:space="0" w:color="auto"/>
      </w:divBdr>
    </w:div>
    <w:div w:id="919408531">
      <w:bodyDiv w:val="1"/>
      <w:marLeft w:val="0"/>
      <w:marRight w:val="0"/>
      <w:marTop w:val="0"/>
      <w:marBottom w:val="0"/>
      <w:divBdr>
        <w:top w:val="none" w:sz="0" w:space="0" w:color="auto"/>
        <w:left w:val="none" w:sz="0" w:space="0" w:color="auto"/>
        <w:bottom w:val="none" w:sz="0" w:space="0" w:color="auto"/>
        <w:right w:val="none" w:sz="0" w:space="0" w:color="auto"/>
      </w:divBdr>
    </w:div>
    <w:div w:id="919752918">
      <w:bodyDiv w:val="1"/>
      <w:marLeft w:val="0"/>
      <w:marRight w:val="0"/>
      <w:marTop w:val="0"/>
      <w:marBottom w:val="0"/>
      <w:divBdr>
        <w:top w:val="none" w:sz="0" w:space="0" w:color="auto"/>
        <w:left w:val="none" w:sz="0" w:space="0" w:color="auto"/>
        <w:bottom w:val="none" w:sz="0" w:space="0" w:color="auto"/>
        <w:right w:val="none" w:sz="0" w:space="0" w:color="auto"/>
      </w:divBdr>
      <w:divsChild>
        <w:div w:id="290750449">
          <w:marLeft w:val="547"/>
          <w:marRight w:val="0"/>
          <w:marTop w:val="115"/>
          <w:marBottom w:val="0"/>
          <w:divBdr>
            <w:top w:val="none" w:sz="0" w:space="0" w:color="auto"/>
            <w:left w:val="none" w:sz="0" w:space="0" w:color="auto"/>
            <w:bottom w:val="none" w:sz="0" w:space="0" w:color="auto"/>
            <w:right w:val="none" w:sz="0" w:space="0" w:color="auto"/>
          </w:divBdr>
        </w:div>
        <w:div w:id="489754497">
          <w:marLeft w:val="1166"/>
          <w:marRight w:val="0"/>
          <w:marTop w:val="96"/>
          <w:marBottom w:val="0"/>
          <w:divBdr>
            <w:top w:val="none" w:sz="0" w:space="0" w:color="auto"/>
            <w:left w:val="none" w:sz="0" w:space="0" w:color="auto"/>
            <w:bottom w:val="none" w:sz="0" w:space="0" w:color="auto"/>
            <w:right w:val="none" w:sz="0" w:space="0" w:color="auto"/>
          </w:divBdr>
        </w:div>
        <w:div w:id="525292188">
          <w:marLeft w:val="1166"/>
          <w:marRight w:val="0"/>
          <w:marTop w:val="96"/>
          <w:marBottom w:val="0"/>
          <w:divBdr>
            <w:top w:val="none" w:sz="0" w:space="0" w:color="auto"/>
            <w:left w:val="none" w:sz="0" w:space="0" w:color="auto"/>
            <w:bottom w:val="none" w:sz="0" w:space="0" w:color="auto"/>
            <w:right w:val="none" w:sz="0" w:space="0" w:color="auto"/>
          </w:divBdr>
        </w:div>
        <w:div w:id="895312257">
          <w:marLeft w:val="1166"/>
          <w:marRight w:val="0"/>
          <w:marTop w:val="96"/>
          <w:marBottom w:val="0"/>
          <w:divBdr>
            <w:top w:val="none" w:sz="0" w:space="0" w:color="auto"/>
            <w:left w:val="none" w:sz="0" w:space="0" w:color="auto"/>
            <w:bottom w:val="none" w:sz="0" w:space="0" w:color="auto"/>
            <w:right w:val="none" w:sz="0" w:space="0" w:color="auto"/>
          </w:divBdr>
        </w:div>
        <w:div w:id="954869701">
          <w:marLeft w:val="1166"/>
          <w:marRight w:val="0"/>
          <w:marTop w:val="96"/>
          <w:marBottom w:val="0"/>
          <w:divBdr>
            <w:top w:val="none" w:sz="0" w:space="0" w:color="auto"/>
            <w:left w:val="none" w:sz="0" w:space="0" w:color="auto"/>
            <w:bottom w:val="none" w:sz="0" w:space="0" w:color="auto"/>
            <w:right w:val="none" w:sz="0" w:space="0" w:color="auto"/>
          </w:divBdr>
        </w:div>
        <w:div w:id="1194608896">
          <w:marLeft w:val="1166"/>
          <w:marRight w:val="0"/>
          <w:marTop w:val="96"/>
          <w:marBottom w:val="0"/>
          <w:divBdr>
            <w:top w:val="none" w:sz="0" w:space="0" w:color="auto"/>
            <w:left w:val="none" w:sz="0" w:space="0" w:color="auto"/>
            <w:bottom w:val="none" w:sz="0" w:space="0" w:color="auto"/>
            <w:right w:val="none" w:sz="0" w:space="0" w:color="auto"/>
          </w:divBdr>
        </w:div>
        <w:div w:id="1544905679">
          <w:marLeft w:val="1166"/>
          <w:marRight w:val="0"/>
          <w:marTop w:val="96"/>
          <w:marBottom w:val="0"/>
          <w:divBdr>
            <w:top w:val="none" w:sz="0" w:space="0" w:color="auto"/>
            <w:left w:val="none" w:sz="0" w:space="0" w:color="auto"/>
            <w:bottom w:val="none" w:sz="0" w:space="0" w:color="auto"/>
            <w:right w:val="none" w:sz="0" w:space="0" w:color="auto"/>
          </w:divBdr>
        </w:div>
        <w:div w:id="1670282840">
          <w:marLeft w:val="547"/>
          <w:marRight w:val="0"/>
          <w:marTop w:val="115"/>
          <w:marBottom w:val="0"/>
          <w:divBdr>
            <w:top w:val="none" w:sz="0" w:space="0" w:color="auto"/>
            <w:left w:val="none" w:sz="0" w:space="0" w:color="auto"/>
            <w:bottom w:val="none" w:sz="0" w:space="0" w:color="auto"/>
            <w:right w:val="none" w:sz="0" w:space="0" w:color="auto"/>
          </w:divBdr>
        </w:div>
      </w:divsChild>
    </w:div>
    <w:div w:id="919868181">
      <w:bodyDiv w:val="1"/>
      <w:marLeft w:val="0"/>
      <w:marRight w:val="0"/>
      <w:marTop w:val="0"/>
      <w:marBottom w:val="0"/>
      <w:divBdr>
        <w:top w:val="none" w:sz="0" w:space="0" w:color="auto"/>
        <w:left w:val="none" w:sz="0" w:space="0" w:color="auto"/>
        <w:bottom w:val="none" w:sz="0" w:space="0" w:color="auto"/>
        <w:right w:val="none" w:sz="0" w:space="0" w:color="auto"/>
      </w:divBdr>
    </w:div>
    <w:div w:id="920681975">
      <w:bodyDiv w:val="1"/>
      <w:marLeft w:val="0"/>
      <w:marRight w:val="0"/>
      <w:marTop w:val="0"/>
      <w:marBottom w:val="0"/>
      <w:divBdr>
        <w:top w:val="none" w:sz="0" w:space="0" w:color="auto"/>
        <w:left w:val="none" w:sz="0" w:space="0" w:color="auto"/>
        <w:bottom w:val="none" w:sz="0" w:space="0" w:color="auto"/>
        <w:right w:val="none" w:sz="0" w:space="0" w:color="auto"/>
      </w:divBdr>
    </w:div>
    <w:div w:id="921179965">
      <w:bodyDiv w:val="1"/>
      <w:marLeft w:val="0"/>
      <w:marRight w:val="0"/>
      <w:marTop w:val="0"/>
      <w:marBottom w:val="0"/>
      <w:divBdr>
        <w:top w:val="none" w:sz="0" w:space="0" w:color="auto"/>
        <w:left w:val="none" w:sz="0" w:space="0" w:color="auto"/>
        <w:bottom w:val="none" w:sz="0" w:space="0" w:color="auto"/>
        <w:right w:val="none" w:sz="0" w:space="0" w:color="auto"/>
      </w:divBdr>
    </w:div>
    <w:div w:id="921379764">
      <w:bodyDiv w:val="1"/>
      <w:marLeft w:val="0"/>
      <w:marRight w:val="0"/>
      <w:marTop w:val="0"/>
      <w:marBottom w:val="0"/>
      <w:divBdr>
        <w:top w:val="none" w:sz="0" w:space="0" w:color="auto"/>
        <w:left w:val="none" w:sz="0" w:space="0" w:color="auto"/>
        <w:bottom w:val="none" w:sz="0" w:space="0" w:color="auto"/>
        <w:right w:val="none" w:sz="0" w:space="0" w:color="auto"/>
      </w:divBdr>
      <w:divsChild>
        <w:div w:id="267390835">
          <w:marLeft w:val="360"/>
          <w:marRight w:val="0"/>
          <w:marTop w:val="200"/>
          <w:marBottom w:val="0"/>
          <w:divBdr>
            <w:top w:val="none" w:sz="0" w:space="0" w:color="auto"/>
            <w:left w:val="none" w:sz="0" w:space="0" w:color="auto"/>
            <w:bottom w:val="none" w:sz="0" w:space="0" w:color="auto"/>
            <w:right w:val="none" w:sz="0" w:space="0" w:color="auto"/>
          </w:divBdr>
        </w:div>
        <w:div w:id="404839991">
          <w:marLeft w:val="360"/>
          <w:marRight w:val="0"/>
          <w:marTop w:val="200"/>
          <w:marBottom w:val="0"/>
          <w:divBdr>
            <w:top w:val="none" w:sz="0" w:space="0" w:color="auto"/>
            <w:left w:val="none" w:sz="0" w:space="0" w:color="auto"/>
            <w:bottom w:val="none" w:sz="0" w:space="0" w:color="auto"/>
            <w:right w:val="none" w:sz="0" w:space="0" w:color="auto"/>
          </w:divBdr>
        </w:div>
        <w:div w:id="1103768876">
          <w:marLeft w:val="360"/>
          <w:marRight w:val="0"/>
          <w:marTop w:val="200"/>
          <w:marBottom w:val="0"/>
          <w:divBdr>
            <w:top w:val="none" w:sz="0" w:space="0" w:color="auto"/>
            <w:left w:val="none" w:sz="0" w:space="0" w:color="auto"/>
            <w:bottom w:val="none" w:sz="0" w:space="0" w:color="auto"/>
            <w:right w:val="none" w:sz="0" w:space="0" w:color="auto"/>
          </w:divBdr>
        </w:div>
      </w:divsChild>
    </w:div>
    <w:div w:id="921452744">
      <w:bodyDiv w:val="1"/>
      <w:marLeft w:val="0"/>
      <w:marRight w:val="0"/>
      <w:marTop w:val="0"/>
      <w:marBottom w:val="0"/>
      <w:divBdr>
        <w:top w:val="none" w:sz="0" w:space="0" w:color="auto"/>
        <w:left w:val="none" w:sz="0" w:space="0" w:color="auto"/>
        <w:bottom w:val="none" w:sz="0" w:space="0" w:color="auto"/>
        <w:right w:val="none" w:sz="0" w:space="0" w:color="auto"/>
      </w:divBdr>
    </w:div>
    <w:div w:id="922372920">
      <w:bodyDiv w:val="1"/>
      <w:marLeft w:val="0"/>
      <w:marRight w:val="0"/>
      <w:marTop w:val="0"/>
      <w:marBottom w:val="0"/>
      <w:divBdr>
        <w:top w:val="none" w:sz="0" w:space="0" w:color="auto"/>
        <w:left w:val="none" w:sz="0" w:space="0" w:color="auto"/>
        <w:bottom w:val="none" w:sz="0" w:space="0" w:color="auto"/>
        <w:right w:val="none" w:sz="0" w:space="0" w:color="auto"/>
      </w:divBdr>
    </w:div>
    <w:div w:id="922840713">
      <w:bodyDiv w:val="1"/>
      <w:marLeft w:val="0"/>
      <w:marRight w:val="0"/>
      <w:marTop w:val="0"/>
      <w:marBottom w:val="0"/>
      <w:divBdr>
        <w:top w:val="none" w:sz="0" w:space="0" w:color="auto"/>
        <w:left w:val="none" w:sz="0" w:space="0" w:color="auto"/>
        <w:bottom w:val="none" w:sz="0" w:space="0" w:color="auto"/>
        <w:right w:val="none" w:sz="0" w:space="0" w:color="auto"/>
      </w:divBdr>
    </w:div>
    <w:div w:id="924648375">
      <w:bodyDiv w:val="1"/>
      <w:marLeft w:val="0"/>
      <w:marRight w:val="0"/>
      <w:marTop w:val="0"/>
      <w:marBottom w:val="0"/>
      <w:divBdr>
        <w:top w:val="none" w:sz="0" w:space="0" w:color="auto"/>
        <w:left w:val="none" w:sz="0" w:space="0" w:color="auto"/>
        <w:bottom w:val="none" w:sz="0" w:space="0" w:color="auto"/>
        <w:right w:val="none" w:sz="0" w:space="0" w:color="auto"/>
      </w:divBdr>
      <w:divsChild>
        <w:div w:id="123353334">
          <w:marLeft w:val="547"/>
          <w:marRight w:val="0"/>
          <w:marTop w:val="192"/>
          <w:marBottom w:val="0"/>
          <w:divBdr>
            <w:top w:val="none" w:sz="0" w:space="0" w:color="auto"/>
            <w:left w:val="none" w:sz="0" w:space="0" w:color="auto"/>
            <w:bottom w:val="none" w:sz="0" w:space="0" w:color="auto"/>
            <w:right w:val="none" w:sz="0" w:space="0" w:color="auto"/>
          </w:divBdr>
        </w:div>
        <w:div w:id="1293553877">
          <w:marLeft w:val="1166"/>
          <w:marRight w:val="0"/>
          <w:marTop w:val="173"/>
          <w:marBottom w:val="0"/>
          <w:divBdr>
            <w:top w:val="none" w:sz="0" w:space="0" w:color="auto"/>
            <w:left w:val="none" w:sz="0" w:space="0" w:color="auto"/>
            <w:bottom w:val="none" w:sz="0" w:space="0" w:color="auto"/>
            <w:right w:val="none" w:sz="0" w:space="0" w:color="auto"/>
          </w:divBdr>
        </w:div>
        <w:div w:id="1895462879">
          <w:marLeft w:val="1166"/>
          <w:marRight w:val="0"/>
          <w:marTop w:val="173"/>
          <w:marBottom w:val="0"/>
          <w:divBdr>
            <w:top w:val="none" w:sz="0" w:space="0" w:color="auto"/>
            <w:left w:val="none" w:sz="0" w:space="0" w:color="auto"/>
            <w:bottom w:val="none" w:sz="0" w:space="0" w:color="auto"/>
            <w:right w:val="none" w:sz="0" w:space="0" w:color="auto"/>
          </w:divBdr>
        </w:div>
      </w:divsChild>
    </w:div>
    <w:div w:id="926621153">
      <w:bodyDiv w:val="1"/>
      <w:marLeft w:val="0"/>
      <w:marRight w:val="0"/>
      <w:marTop w:val="0"/>
      <w:marBottom w:val="0"/>
      <w:divBdr>
        <w:top w:val="none" w:sz="0" w:space="0" w:color="auto"/>
        <w:left w:val="none" w:sz="0" w:space="0" w:color="auto"/>
        <w:bottom w:val="none" w:sz="0" w:space="0" w:color="auto"/>
        <w:right w:val="none" w:sz="0" w:space="0" w:color="auto"/>
      </w:divBdr>
    </w:div>
    <w:div w:id="927227813">
      <w:bodyDiv w:val="1"/>
      <w:marLeft w:val="0"/>
      <w:marRight w:val="0"/>
      <w:marTop w:val="0"/>
      <w:marBottom w:val="0"/>
      <w:divBdr>
        <w:top w:val="none" w:sz="0" w:space="0" w:color="auto"/>
        <w:left w:val="none" w:sz="0" w:space="0" w:color="auto"/>
        <w:bottom w:val="none" w:sz="0" w:space="0" w:color="auto"/>
        <w:right w:val="none" w:sz="0" w:space="0" w:color="auto"/>
      </w:divBdr>
    </w:div>
    <w:div w:id="927421207">
      <w:bodyDiv w:val="1"/>
      <w:marLeft w:val="0"/>
      <w:marRight w:val="0"/>
      <w:marTop w:val="0"/>
      <w:marBottom w:val="0"/>
      <w:divBdr>
        <w:top w:val="none" w:sz="0" w:space="0" w:color="auto"/>
        <w:left w:val="none" w:sz="0" w:space="0" w:color="auto"/>
        <w:bottom w:val="none" w:sz="0" w:space="0" w:color="auto"/>
        <w:right w:val="none" w:sz="0" w:space="0" w:color="auto"/>
      </w:divBdr>
    </w:div>
    <w:div w:id="927733885">
      <w:bodyDiv w:val="1"/>
      <w:marLeft w:val="0"/>
      <w:marRight w:val="0"/>
      <w:marTop w:val="0"/>
      <w:marBottom w:val="0"/>
      <w:divBdr>
        <w:top w:val="none" w:sz="0" w:space="0" w:color="auto"/>
        <w:left w:val="none" w:sz="0" w:space="0" w:color="auto"/>
        <w:bottom w:val="none" w:sz="0" w:space="0" w:color="auto"/>
        <w:right w:val="none" w:sz="0" w:space="0" w:color="auto"/>
      </w:divBdr>
      <w:divsChild>
        <w:div w:id="1105463752">
          <w:marLeft w:val="547"/>
          <w:marRight w:val="0"/>
          <w:marTop w:val="154"/>
          <w:marBottom w:val="0"/>
          <w:divBdr>
            <w:top w:val="none" w:sz="0" w:space="0" w:color="auto"/>
            <w:left w:val="none" w:sz="0" w:space="0" w:color="auto"/>
            <w:bottom w:val="none" w:sz="0" w:space="0" w:color="auto"/>
            <w:right w:val="none" w:sz="0" w:space="0" w:color="auto"/>
          </w:divBdr>
        </w:div>
      </w:divsChild>
    </w:div>
    <w:div w:id="927737742">
      <w:bodyDiv w:val="1"/>
      <w:marLeft w:val="0"/>
      <w:marRight w:val="0"/>
      <w:marTop w:val="0"/>
      <w:marBottom w:val="0"/>
      <w:divBdr>
        <w:top w:val="none" w:sz="0" w:space="0" w:color="auto"/>
        <w:left w:val="none" w:sz="0" w:space="0" w:color="auto"/>
        <w:bottom w:val="none" w:sz="0" w:space="0" w:color="auto"/>
        <w:right w:val="none" w:sz="0" w:space="0" w:color="auto"/>
      </w:divBdr>
    </w:div>
    <w:div w:id="927884016">
      <w:bodyDiv w:val="1"/>
      <w:marLeft w:val="0"/>
      <w:marRight w:val="0"/>
      <w:marTop w:val="0"/>
      <w:marBottom w:val="0"/>
      <w:divBdr>
        <w:top w:val="none" w:sz="0" w:space="0" w:color="auto"/>
        <w:left w:val="none" w:sz="0" w:space="0" w:color="auto"/>
        <w:bottom w:val="none" w:sz="0" w:space="0" w:color="auto"/>
        <w:right w:val="none" w:sz="0" w:space="0" w:color="auto"/>
      </w:divBdr>
    </w:div>
    <w:div w:id="928000037">
      <w:bodyDiv w:val="1"/>
      <w:marLeft w:val="0"/>
      <w:marRight w:val="0"/>
      <w:marTop w:val="0"/>
      <w:marBottom w:val="0"/>
      <w:divBdr>
        <w:top w:val="none" w:sz="0" w:space="0" w:color="auto"/>
        <w:left w:val="none" w:sz="0" w:space="0" w:color="auto"/>
        <w:bottom w:val="none" w:sz="0" w:space="0" w:color="auto"/>
        <w:right w:val="none" w:sz="0" w:space="0" w:color="auto"/>
      </w:divBdr>
      <w:divsChild>
        <w:div w:id="135614691">
          <w:marLeft w:val="1800"/>
          <w:marRight w:val="0"/>
          <w:marTop w:val="82"/>
          <w:marBottom w:val="0"/>
          <w:divBdr>
            <w:top w:val="none" w:sz="0" w:space="0" w:color="auto"/>
            <w:left w:val="none" w:sz="0" w:space="0" w:color="auto"/>
            <w:bottom w:val="none" w:sz="0" w:space="0" w:color="auto"/>
            <w:right w:val="none" w:sz="0" w:space="0" w:color="auto"/>
          </w:divBdr>
        </w:div>
        <w:div w:id="618487632">
          <w:marLeft w:val="547"/>
          <w:marRight w:val="0"/>
          <w:marTop w:val="115"/>
          <w:marBottom w:val="0"/>
          <w:divBdr>
            <w:top w:val="none" w:sz="0" w:space="0" w:color="auto"/>
            <w:left w:val="none" w:sz="0" w:space="0" w:color="auto"/>
            <w:bottom w:val="none" w:sz="0" w:space="0" w:color="auto"/>
            <w:right w:val="none" w:sz="0" w:space="0" w:color="auto"/>
          </w:divBdr>
        </w:div>
        <w:div w:id="925379181">
          <w:marLeft w:val="1166"/>
          <w:marRight w:val="0"/>
          <w:marTop w:val="96"/>
          <w:marBottom w:val="0"/>
          <w:divBdr>
            <w:top w:val="none" w:sz="0" w:space="0" w:color="auto"/>
            <w:left w:val="none" w:sz="0" w:space="0" w:color="auto"/>
            <w:bottom w:val="none" w:sz="0" w:space="0" w:color="auto"/>
            <w:right w:val="none" w:sz="0" w:space="0" w:color="auto"/>
          </w:divBdr>
        </w:div>
        <w:div w:id="1297688313">
          <w:marLeft w:val="1800"/>
          <w:marRight w:val="0"/>
          <w:marTop w:val="82"/>
          <w:marBottom w:val="0"/>
          <w:divBdr>
            <w:top w:val="none" w:sz="0" w:space="0" w:color="auto"/>
            <w:left w:val="none" w:sz="0" w:space="0" w:color="auto"/>
            <w:bottom w:val="none" w:sz="0" w:space="0" w:color="auto"/>
            <w:right w:val="none" w:sz="0" w:space="0" w:color="auto"/>
          </w:divBdr>
        </w:div>
        <w:div w:id="1544948792">
          <w:marLeft w:val="1800"/>
          <w:marRight w:val="0"/>
          <w:marTop w:val="82"/>
          <w:marBottom w:val="0"/>
          <w:divBdr>
            <w:top w:val="none" w:sz="0" w:space="0" w:color="auto"/>
            <w:left w:val="none" w:sz="0" w:space="0" w:color="auto"/>
            <w:bottom w:val="none" w:sz="0" w:space="0" w:color="auto"/>
            <w:right w:val="none" w:sz="0" w:space="0" w:color="auto"/>
          </w:divBdr>
        </w:div>
        <w:div w:id="1561863860">
          <w:marLeft w:val="1166"/>
          <w:marRight w:val="0"/>
          <w:marTop w:val="96"/>
          <w:marBottom w:val="0"/>
          <w:divBdr>
            <w:top w:val="none" w:sz="0" w:space="0" w:color="auto"/>
            <w:left w:val="none" w:sz="0" w:space="0" w:color="auto"/>
            <w:bottom w:val="none" w:sz="0" w:space="0" w:color="auto"/>
            <w:right w:val="none" w:sz="0" w:space="0" w:color="auto"/>
          </w:divBdr>
        </w:div>
        <w:div w:id="1678387210">
          <w:marLeft w:val="1166"/>
          <w:marRight w:val="0"/>
          <w:marTop w:val="96"/>
          <w:marBottom w:val="0"/>
          <w:divBdr>
            <w:top w:val="none" w:sz="0" w:space="0" w:color="auto"/>
            <w:left w:val="none" w:sz="0" w:space="0" w:color="auto"/>
            <w:bottom w:val="none" w:sz="0" w:space="0" w:color="auto"/>
            <w:right w:val="none" w:sz="0" w:space="0" w:color="auto"/>
          </w:divBdr>
        </w:div>
      </w:divsChild>
    </w:div>
    <w:div w:id="929200736">
      <w:bodyDiv w:val="1"/>
      <w:marLeft w:val="0"/>
      <w:marRight w:val="0"/>
      <w:marTop w:val="0"/>
      <w:marBottom w:val="0"/>
      <w:divBdr>
        <w:top w:val="none" w:sz="0" w:space="0" w:color="auto"/>
        <w:left w:val="none" w:sz="0" w:space="0" w:color="auto"/>
        <w:bottom w:val="none" w:sz="0" w:space="0" w:color="auto"/>
        <w:right w:val="none" w:sz="0" w:space="0" w:color="auto"/>
      </w:divBdr>
    </w:div>
    <w:div w:id="929781203">
      <w:bodyDiv w:val="1"/>
      <w:marLeft w:val="0"/>
      <w:marRight w:val="0"/>
      <w:marTop w:val="0"/>
      <w:marBottom w:val="0"/>
      <w:divBdr>
        <w:top w:val="none" w:sz="0" w:space="0" w:color="auto"/>
        <w:left w:val="none" w:sz="0" w:space="0" w:color="auto"/>
        <w:bottom w:val="none" w:sz="0" w:space="0" w:color="auto"/>
        <w:right w:val="none" w:sz="0" w:space="0" w:color="auto"/>
      </w:divBdr>
    </w:div>
    <w:div w:id="930088219">
      <w:bodyDiv w:val="1"/>
      <w:marLeft w:val="0"/>
      <w:marRight w:val="0"/>
      <w:marTop w:val="0"/>
      <w:marBottom w:val="0"/>
      <w:divBdr>
        <w:top w:val="none" w:sz="0" w:space="0" w:color="auto"/>
        <w:left w:val="none" w:sz="0" w:space="0" w:color="auto"/>
        <w:bottom w:val="none" w:sz="0" w:space="0" w:color="auto"/>
        <w:right w:val="none" w:sz="0" w:space="0" w:color="auto"/>
      </w:divBdr>
    </w:div>
    <w:div w:id="930742850">
      <w:bodyDiv w:val="1"/>
      <w:marLeft w:val="0"/>
      <w:marRight w:val="0"/>
      <w:marTop w:val="0"/>
      <w:marBottom w:val="0"/>
      <w:divBdr>
        <w:top w:val="none" w:sz="0" w:space="0" w:color="auto"/>
        <w:left w:val="none" w:sz="0" w:space="0" w:color="auto"/>
        <w:bottom w:val="none" w:sz="0" w:space="0" w:color="auto"/>
        <w:right w:val="none" w:sz="0" w:space="0" w:color="auto"/>
      </w:divBdr>
      <w:divsChild>
        <w:div w:id="13850204">
          <w:marLeft w:val="1166"/>
          <w:marRight w:val="0"/>
          <w:marTop w:val="134"/>
          <w:marBottom w:val="0"/>
          <w:divBdr>
            <w:top w:val="none" w:sz="0" w:space="0" w:color="auto"/>
            <w:left w:val="none" w:sz="0" w:space="0" w:color="auto"/>
            <w:bottom w:val="none" w:sz="0" w:space="0" w:color="auto"/>
            <w:right w:val="none" w:sz="0" w:space="0" w:color="auto"/>
          </w:divBdr>
        </w:div>
        <w:div w:id="1172795763">
          <w:marLeft w:val="547"/>
          <w:marRight w:val="0"/>
          <w:marTop w:val="154"/>
          <w:marBottom w:val="0"/>
          <w:divBdr>
            <w:top w:val="none" w:sz="0" w:space="0" w:color="auto"/>
            <w:left w:val="none" w:sz="0" w:space="0" w:color="auto"/>
            <w:bottom w:val="none" w:sz="0" w:space="0" w:color="auto"/>
            <w:right w:val="none" w:sz="0" w:space="0" w:color="auto"/>
          </w:divBdr>
        </w:div>
        <w:div w:id="2135174178">
          <w:marLeft w:val="1166"/>
          <w:marRight w:val="0"/>
          <w:marTop w:val="134"/>
          <w:marBottom w:val="0"/>
          <w:divBdr>
            <w:top w:val="none" w:sz="0" w:space="0" w:color="auto"/>
            <w:left w:val="none" w:sz="0" w:space="0" w:color="auto"/>
            <w:bottom w:val="none" w:sz="0" w:space="0" w:color="auto"/>
            <w:right w:val="none" w:sz="0" w:space="0" w:color="auto"/>
          </w:divBdr>
        </w:div>
      </w:divsChild>
    </w:div>
    <w:div w:id="930966458">
      <w:bodyDiv w:val="1"/>
      <w:marLeft w:val="0"/>
      <w:marRight w:val="0"/>
      <w:marTop w:val="0"/>
      <w:marBottom w:val="0"/>
      <w:divBdr>
        <w:top w:val="none" w:sz="0" w:space="0" w:color="auto"/>
        <w:left w:val="none" w:sz="0" w:space="0" w:color="auto"/>
        <w:bottom w:val="none" w:sz="0" w:space="0" w:color="auto"/>
        <w:right w:val="none" w:sz="0" w:space="0" w:color="auto"/>
      </w:divBdr>
      <w:divsChild>
        <w:div w:id="74128333">
          <w:marLeft w:val="1166"/>
          <w:marRight w:val="0"/>
          <w:marTop w:val="134"/>
          <w:marBottom w:val="0"/>
          <w:divBdr>
            <w:top w:val="none" w:sz="0" w:space="0" w:color="auto"/>
            <w:left w:val="none" w:sz="0" w:space="0" w:color="auto"/>
            <w:bottom w:val="none" w:sz="0" w:space="0" w:color="auto"/>
            <w:right w:val="none" w:sz="0" w:space="0" w:color="auto"/>
          </w:divBdr>
        </w:div>
        <w:div w:id="428240923">
          <w:marLeft w:val="1166"/>
          <w:marRight w:val="0"/>
          <w:marTop w:val="134"/>
          <w:marBottom w:val="0"/>
          <w:divBdr>
            <w:top w:val="none" w:sz="0" w:space="0" w:color="auto"/>
            <w:left w:val="none" w:sz="0" w:space="0" w:color="auto"/>
            <w:bottom w:val="none" w:sz="0" w:space="0" w:color="auto"/>
            <w:right w:val="none" w:sz="0" w:space="0" w:color="auto"/>
          </w:divBdr>
        </w:div>
        <w:div w:id="621612151">
          <w:marLeft w:val="1166"/>
          <w:marRight w:val="0"/>
          <w:marTop w:val="134"/>
          <w:marBottom w:val="0"/>
          <w:divBdr>
            <w:top w:val="none" w:sz="0" w:space="0" w:color="auto"/>
            <w:left w:val="none" w:sz="0" w:space="0" w:color="auto"/>
            <w:bottom w:val="none" w:sz="0" w:space="0" w:color="auto"/>
            <w:right w:val="none" w:sz="0" w:space="0" w:color="auto"/>
          </w:divBdr>
        </w:div>
        <w:div w:id="675306278">
          <w:marLeft w:val="547"/>
          <w:marRight w:val="0"/>
          <w:marTop w:val="154"/>
          <w:marBottom w:val="0"/>
          <w:divBdr>
            <w:top w:val="none" w:sz="0" w:space="0" w:color="auto"/>
            <w:left w:val="none" w:sz="0" w:space="0" w:color="auto"/>
            <w:bottom w:val="none" w:sz="0" w:space="0" w:color="auto"/>
            <w:right w:val="none" w:sz="0" w:space="0" w:color="auto"/>
          </w:divBdr>
        </w:div>
        <w:div w:id="1685784566">
          <w:marLeft w:val="547"/>
          <w:marRight w:val="0"/>
          <w:marTop w:val="154"/>
          <w:marBottom w:val="0"/>
          <w:divBdr>
            <w:top w:val="none" w:sz="0" w:space="0" w:color="auto"/>
            <w:left w:val="none" w:sz="0" w:space="0" w:color="auto"/>
            <w:bottom w:val="none" w:sz="0" w:space="0" w:color="auto"/>
            <w:right w:val="none" w:sz="0" w:space="0" w:color="auto"/>
          </w:divBdr>
        </w:div>
        <w:div w:id="1874265093">
          <w:marLeft w:val="1166"/>
          <w:marRight w:val="0"/>
          <w:marTop w:val="134"/>
          <w:marBottom w:val="0"/>
          <w:divBdr>
            <w:top w:val="none" w:sz="0" w:space="0" w:color="auto"/>
            <w:left w:val="none" w:sz="0" w:space="0" w:color="auto"/>
            <w:bottom w:val="none" w:sz="0" w:space="0" w:color="auto"/>
            <w:right w:val="none" w:sz="0" w:space="0" w:color="auto"/>
          </w:divBdr>
        </w:div>
      </w:divsChild>
    </w:div>
    <w:div w:id="933055520">
      <w:bodyDiv w:val="1"/>
      <w:marLeft w:val="0"/>
      <w:marRight w:val="0"/>
      <w:marTop w:val="0"/>
      <w:marBottom w:val="0"/>
      <w:divBdr>
        <w:top w:val="none" w:sz="0" w:space="0" w:color="auto"/>
        <w:left w:val="none" w:sz="0" w:space="0" w:color="auto"/>
        <w:bottom w:val="none" w:sz="0" w:space="0" w:color="auto"/>
        <w:right w:val="none" w:sz="0" w:space="0" w:color="auto"/>
      </w:divBdr>
    </w:div>
    <w:div w:id="933707003">
      <w:bodyDiv w:val="1"/>
      <w:marLeft w:val="0"/>
      <w:marRight w:val="0"/>
      <w:marTop w:val="0"/>
      <w:marBottom w:val="0"/>
      <w:divBdr>
        <w:top w:val="none" w:sz="0" w:space="0" w:color="auto"/>
        <w:left w:val="none" w:sz="0" w:space="0" w:color="auto"/>
        <w:bottom w:val="none" w:sz="0" w:space="0" w:color="auto"/>
        <w:right w:val="none" w:sz="0" w:space="0" w:color="auto"/>
      </w:divBdr>
    </w:div>
    <w:div w:id="934050259">
      <w:bodyDiv w:val="1"/>
      <w:marLeft w:val="0"/>
      <w:marRight w:val="0"/>
      <w:marTop w:val="0"/>
      <w:marBottom w:val="0"/>
      <w:divBdr>
        <w:top w:val="none" w:sz="0" w:space="0" w:color="auto"/>
        <w:left w:val="none" w:sz="0" w:space="0" w:color="auto"/>
        <w:bottom w:val="none" w:sz="0" w:space="0" w:color="auto"/>
        <w:right w:val="none" w:sz="0" w:space="0" w:color="auto"/>
      </w:divBdr>
    </w:div>
    <w:div w:id="935089160">
      <w:bodyDiv w:val="1"/>
      <w:marLeft w:val="0"/>
      <w:marRight w:val="0"/>
      <w:marTop w:val="0"/>
      <w:marBottom w:val="0"/>
      <w:divBdr>
        <w:top w:val="none" w:sz="0" w:space="0" w:color="auto"/>
        <w:left w:val="none" w:sz="0" w:space="0" w:color="auto"/>
        <w:bottom w:val="none" w:sz="0" w:space="0" w:color="auto"/>
        <w:right w:val="none" w:sz="0" w:space="0" w:color="auto"/>
      </w:divBdr>
    </w:div>
    <w:div w:id="935334522">
      <w:bodyDiv w:val="1"/>
      <w:marLeft w:val="0"/>
      <w:marRight w:val="0"/>
      <w:marTop w:val="0"/>
      <w:marBottom w:val="0"/>
      <w:divBdr>
        <w:top w:val="none" w:sz="0" w:space="0" w:color="auto"/>
        <w:left w:val="none" w:sz="0" w:space="0" w:color="auto"/>
        <w:bottom w:val="none" w:sz="0" w:space="0" w:color="auto"/>
        <w:right w:val="none" w:sz="0" w:space="0" w:color="auto"/>
      </w:divBdr>
    </w:div>
    <w:div w:id="936133718">
      <w:bodyDiv w:val="1"/>
      <w:marLeft w:val="0"/>
      <w:marRight w:val="0"/>
      <w:marTop w:val="0"/>
      <w:marBottom w:val="0"/>
      <w:divBdr>
        <w:top w:val="none" w:sz="0" w:space="0" w:color="auto"/>
        <w:left w:val="none" w:sz="0" w:space="0" w:color="auto"/>
        <w:bottom w:val="none" w:sz="0" w:space="0" w:color="auto"/>
        <w:right w:val="none" w:sz="0" w:space="0" w:color="auto"/>
      </w:divBdr>
    </w:div>
    <w:div w:id="936526631">
      <w:bodyDiv w:val="1"/>
      <w:marLeft w:val="0"/>
      <w:marRight w:val="0"/>
      <w:marTop w:val="0"/>
      <w:marBottom w:val="0"/>
      <w:divBdr>
        <w:top w:val="none" w:sz="0" w:space="0" w:color="auto"/>
        <w:left w:val="none" w:sz="0" w:space="0" w:color="auto"/>
        <w:bottom w:val="none" w:sz="0" w:space="0" w:color="auto"/>
        <w:right w:val="none" w:sz="0" w:space="0" w:color="auto"/>
      </w:divBdr>
      <w:divsChild>
        <w:div w:id="768232701">
          <w:marLeft w:val="0"/>
          <w:marRight w:val="0"/>
          <w:marTop w:val="0"/>
          <w:marBottom w:val="0"/>
          <w:divBdr>
            <w:top w:val="none" w:sz="0" w:space="0" w:color="auto"/>
            <w:left w:val="none" w:sz="0" w:space="0" w:color="auto"/>
            <w:bottom w:val="none" w:sz="0" w:space="0" w:color="auto"/>
            <w:right w:val="none" w:sz="0" w:space="0" w:color="auto"/>
          </w:divBdr>
          <w:divsChild>
            <w:div w:id="265307155">
              <w:marLeft w:val="0"/>
              <w:marRight w:val="0"/>
              <w:marTop w:val="0"/>
              <w:marBottom w:val="0"/>
              <w:divBdr>
                <w:top w:val="none" w:sz="0" w:space="0" w:color="auto"/>
                <w:left w:val="none" w:sz="0" w:space="0" w:color="auto"/>
                <w:bottom w:val="none" w:sz="0" w:space="0" w:color="auto"/>
                <w:right w:val="none" w:sz="0" w:space="0" w:color="auto"/>
              </w:divBdr>
              <w:divsChild>
                <w:div w:id="554657830">
                  <w:marLeft w:val="0"/>
                  <w:marRight w:val="0"/>
                  <w:marTop w:val="0"/>
                  <w:marBottom w:val="0"/>
                  <w:divBdr>
                    <w:top w:val="none" w:sz="0" w:space="0" w:color="auto"/>
                    <w:left w:val="none" w:sz="0" w:space="0" w:color="auto"/>
                    <w:bottom w:val="none" w:sz="0" w:space="0" w:color="auto"/>
                    <w:right w:val="none" w:sz="0" w:space="0" w:color="auto"/>
                  </w:divBdr>
                  <w:divsChild>
                    <w:div w:id="638463113">
                      <w:marLeft w:val="0"/>
                      <w:marRight w:val="0"/>
                      <w:marTop w:val="0"/>
                      <w:marBottom w:val="0"/>
                      <w:divBdr>
                        <w:top w:val="none" w:sz="0" w:space="0" w:color="auto"/>
                        <w:left w:val="none" w:sz="0" w:space="0" w:color="auto"/>
                        <w:bottom w:val="none" w:sz="0" w:space="0" w:color="auto"/>
                        <w:right w:val="none" w:sz="0" w:space="0" w:color="auto"/>
                      </w:divBdr>
                      <w:divsChild>
                        <w:div w:id="1380208466">
                          <w:marLeft w:val="0"/>
                          <w:marRight w:val="0"/>
                          <w:marTop w:val="0"/>
                          <w:marBottom w:val="0"/>
                          <w:divBdr>
                            <w:top w:val="none" w:sz="0" w:space="0" w:color="auto"/>
                            <w:left w:val="none" w:sz="0" w:space="0" w:color="auto"/>
                            <w:bottom w:val="none" w:sz="0" w:space="0" w:color="auto"/>
                            <w:right w:val="none" w:sz="0" w:space="0" w:color="auto"/>
                          </w:divBdr>
                          <w:divsChild>
                            <w:div w:id="756292889">
                              <w:marLeft w:val="0"/>
                              <w:marRight w:val="0"/>
                              <w:marTop w:val="0"/>
                              <w:marBottom w:val="0"/>
                              <w:divBdr>
                                <w:top w:val="none" w:sz="0" w:space="0" w:color="auto"/>
                                <w:left w:val="none" w:sz="0" w:space="0" w:color="auto"/>
                                <w:bottom w:val="none" w:sz="0" w:space="0" w:color="auto"/>
                                <w:right w:val="none" w:sz="0" w:space="0" w:color="auto"/>
                              </w:divBdr>
                              <w:divsChild>
                                <w:div w:id="834153159">
                                  <w:marLeft w:val="0"/>
                                  <w:marRight w:val="0"/>
                                  <w:marTop w:val="0"/>
                                  <w:marBottom w:val="0"/>
                                  <w:divBdr>
                                    <w:top w:val="none" w:sz="0" w:space="0" w:color="auto"/>
                                    <w:left w:val="none" w:sz="0" w:space="0" w:color="auto"/>
                                    <w:bottom w:val="none" w:sz="0" w:space="0" w:color="auto"/>
                                    <w:right w:val="none" w:sz="0" w:space="0" w:color="auto"/>
                                  </w:divBdr>
                                  <w:divsChild>
                                    <w:div w:id="568076565">
                                      <w:marLeft w:val="0"/>
                                      <w:marRight w:val="0"/>
                                      <w:marTop w:val="0"/>
                                      <w:marBottom w:val="0"/>
                                      <w:divBdr>
                                        <w:top w:val="none" w:sz="0" w:space="0" w:color="auto"/>
                                        <w:left w:val="none" w:sz="0" w:space="0" w:color="auto"/>
                                        <w:bottom w:val="none" w:sz="0" w:space="0" w:color="auto"/>
                                        <w:right w:val="none" w:sz="0" w:space="0" w:color="auto"/>
                                      </w:divBdr>
                                      <w:divsChild>
                                        <w:div w:id="1764649131">
                                          <w:marLeft w:val="0"/>
                                          <w:marRight w:val="0"/>
                                          <w:marTop w:val="0"/>
                                          <w:marBottom w:val="0"/>
                                          <w:divBdr>
                                            <w:top w:val="none" w:sz="0" w:space="0" w:color="auto"/>
                                            <w:left w:val="none" w:sz="0" w:space="0" w:color="auto"/>
                                            <w:bottom w:val="none" w:sz="0" w:space="0" w:color="auto"/>
                                            <w:right w:val="none" w:sz="0" w:space="0" w:color="auto"/>
                                          </w:divBdr>
                                          <w:divsChild>
                                            <w:div w:id="497041669">
                                              <w:marLeft w:val="0"/>
                                              <w:marRight w:val="0"/>
                                              <w:marTop w:val="0"/>
                                              <w:marBottom w:val="0"/>
                                              <w:divBdr>
                                                <w:top w:val="none" w:sz="0" w:space="0" w:color="auto"/>
                                                <w:left w:val="none" w:sz="0" w:space="0" w:color="auto"/>
                                                <w:bottom w:val="none" w:sz="0" w:space="0" w:color="auto"/>
                                                <w:right w:val="none" w:sz="0" w:space="0" w:color="auto"/>
                                              </w:divBdr>
                                              <w:divsChild>
                                                <w:div w:id="1856921507">
                                                  <w:marLeft w:val="0"/>
                                                  <w:marRight w:val="0"/>
                                                  <w:marTop w:val="0"/>
                                                  <w:marBottom w:val="0"/>
                                                  <w:divBdr>
                                                    <w:top w:val="single" w:sz="12" w:space="2" w:color="FFFFCC"/>
                                                    <w:left w:val="single" w:sz="12" w:space="2" w:color="FFFFCC"/>
                                                    <w:bottom w:val="single" w:sz="12" w:space="2" w:color="FFFFCC"/>
                                                    <w:right w:val="single" w:sz="12" w:space="0" w:color="FFFFCC"/>
                                                  </w:divBdr>
                                                  <w:divsChild>
                                                    <w:div w:id="47459124">
                                                      <w:marLeft w:val="0"/>
                                                      <w:marRight w:val="0"/>
                                                      <w:marTop w:val="0"/>
                                                      <w:marBottom w:val="0"/>
                                                      <w:divBdr>
                                                        <w:top w:val="none" w:sz="0" w:space="0" w:color="auto"/>
                                                        <w:left w:val="none" w:sz="0" w:space="0" w:color="auto"/>
                                                        <w:bottom w:val="none" w:sz="0" w:space="0" w:color="auto"/>
                                                        <w:right w:val="none" w:sz="0" w:space="0" w:color="auto"/>
                                                      </w:divBdr>
                                                      <w:divsChild>
                                                        <w:div w:id="1942566586">
                                                          <w:marLeft w:val="0"/>
                                                          <w:marRight w:val="0"/>
                                                          <w:marTop w:val="0"/>
                                                          <w:marBottom w:val="0"/>
                                                          <w:divBdr>
                                                            <w:top w:val="none" w:sz="0" w:space="0" w:color="auto"/>
                                                            <w:left w:val="none" w:sz="0" w:space="0" w:color="auto"/>
                                                            <w:bottom w:val="none" w:sz="0" w:space="0" w:color="auto"/>
                                                            <w:right w:val="none" w:sz="0" w:space="0" w:color="auto"/>
                                                          </w:divBdr>
                                                          <w:divsChild>
                                                            <w:div w:id="1390499502">
                                                              <w:marLeft w:val="0"/>
                                                              <w:marRight w:val="0"/>
                                                              <w:marTop w:val="0"/>
                                                              <w:marBottom w:val="0"/>
                                                              <w:divBdr>
                                                                <w:top w:val="none" w:sz="0" w:space="0" w:color="auto"/>
                                                                <w:left w:val="none" w:sz="0" w:space="0" w:color="auto"/>
                                                                <w:bottom w:val="none" w:sz="0" w:space="0" w:color="auto"/>
                                                                <w:right w:val="none" w:sz="0" w:space="0" w:color="auto"/>
                                                              </w:divBdr>
                                                              <w:divsChild>
                                                                <w:div w:id="546260999">
                                                                  <w:marLeft w:val="0"/>
                                                                  <w:marRight w:val="0"/>
                                                                  <w:marTop w:val="0"/>
                                                                  <w:marBottom w:val="0"/>
                                                                  <w:divBdr>
                                                                    <w:top w:val="none" w:sz="0" w:space="0" w:color="auto"/>
                                                                    <w:left w:val="none" w:sz="0" w:space="0" w:color="auto"/>
                                                                    <w:bottom w:val="none" w:sz="0" w:space="0" w:color="auto"/>
                                                                    <w:right w:val="none" w:sz="0" w:space="0" w:color="auto"/>
                                                                  </w:divBdr>
                                                                  <w:divsChild>
                                                                    <w:div w:id="1738630482">
                                                                      <w:marLeft w:val="0"/>
                                                                      <w:marRight w:val="0"/>
                                                                      <w:marTop w:val="0"/>
                                                                      <w:marBottom w:val="0"/>
                                                                      <w:divBdr>
                                                                        <w:top w:val="none" w:sz="0" w:space="0" w:color="auto"/>
                                                                        <w:left w:val="none" w:sz="0" w:space="0" w:color="auto"/>
                                                                        <w:bottom w:val="none" w:sz="0" w:space="0" w:color="auto"/>
                                                                        <w:right w:val="none" w:sz="0" w:space="0" w:color="auto"/>
                                                                      </w:divBdr>
                                                                      <w:divsChild>
                                                                        <w:div w:id="436296963">
                                                                          <w:marLeft w:val="0"/>
                                                                          <w:marRight w:val="0"/>
                                                                          <w:marTop w:val="0"/>
                                                                          <w:marBottom w:val="0"/>
                                                                          <w:divBdr>
                                                                            <w:top w:val="none" w:sz="0" w:space="0" w:color="auto"/>
                                                                            <w:left w:val="none" w:sz="0" w:space="0" w:color="auto"/>
                                                                            <w:bottom w:val="none" w:sz="0" w:space="0" w:color="auto"/>
                                                                            <w:right w:val="none" w:sz="0" w:space="0" w:color="auto"/>
                                                                          </w:divBdr>
                                                                          <w:divsChild>
                                                                            <w:div w:id="1515025884">
                                                                              <w:marLeft w:val="0"/>
                                                                              <w:marRight w:val="0"/>
                                                                              <w:marTop w:val="0"/>
                                                                              <w:marBottom w:val="0"/>
                                                                              <w:divBdr>
                                                                                <w:top w:val="none" w:sz="0" w:space="0" w:color="auto"/>
                                                                                <w:left w:val="none" w:sz="0" w:space="0" w:color="auto"/>
                                                                                <w:bottom w:val="none" w:sz="0" w:space="0" w:color="auto"/>
                                                                                <w:right w:val="none" w:sz="0" w:space="0" w:color="auto"/>
                                                                              </w:divBdr>
                                                                              <w:divsChild>
                                                                                <w:div w:id="970091586">
                                                                                  <w:marLeft w:val="0"/>
                                                                                  <w:marRight w:val="0"/>
                                                                                  <w:marTop w:val="0"/>
                                                                                  <w:marBottom w:val="0"/>
                                                                                  <w:divBdr>
                                                                                    <w:top w:val="none" w:sz="0" w:space="0" w:color="auto"/>
                                                                                    <w:left w:val="none" w:sz="0" w:space="0" w:color="auto"/>
                                                                                    <w:bottom w:val="none" w:sz="0" w:space="0" w:color="auto"/>
                                                                                    <w:right w:val="none" w:sz="0" w:space="0" w:color="auto"/>
                                                                                  </w:divBdr>
                                                                                  <w:divsChild>
                                                                                    <w:div w:id="1688481136">
                                                                                      <w:marLeft w:val="0"/>
                                                                                      <w:marRight w:val="0"/>
                                                                                      <w:marTop w:val="0"/>
                                                                                      <w:marBottom w:val="0"/>
                                                                                      <w:divBdr>
                                                                                        <w:top w:val="none" w:sz="0" w:space="0" w:color="auto"/>
                                                                                        <w:left w:val="none" w:sz="0" w:space="0" w:color="auto"/>
                                                                                        <w:bottom w:val="none" w:sz="0" w:space="0" w:color="auto"/>
                                                                                        <w:right w:val="none" w:sz="0" w:space="0" w:color="auto"/>
                                                                                      </w:divBdr>
                                                                                      <w:divsChild>
                                                                                        <w:div w:id="1820533114">
                                                                                          <w:marLeft w:val="0"/>
                                                                                          <w:marRight w:val="0"/>
                                                                                          <w:marTop w:val="0"/>
                                                                                          <w:marBottom w:val="0"/>
                                                                                          <w:divBdr>
                                                                                            <w:top w:val="none" w:sz="0" w:space="0" w:color="auto"/>
                                                                                            <w:left w:val="none" w:sz="0" w:space="0" w:color="auto"/>
                                                                                            <w:bottom w:val="none" w:sz="0" w:space="0" w:color="auto"/>
                                                                                            <w:right w:val="none" w:sz="0" w:space="0" w:color="auto"/>
                                                                                          </w:divBdr>
                                                                                          <w:divsChild>
                                                                                            <w:div w:id="984821442">
                                                                                              <w:marLeft w:val="0"/>
                                                                                              <w:marRight w:val="120"/>
                                                                                              <w:marTop w:val="0"/>
                                                                                              <w:marBottom w:val="150"/>
                                                                                              <w:divBdr>
                                                                                                <w:top w:val="single" w:sz="2" w:space="0" w:color="EFEFEF"/>
                                                                                                <w:left w:val="single" w:sz="6" w:space="0" w:color="EFEFEF"/>
                                                                                                <w:bottom w:val="single" w:sz="6" w:space="0" w:color="E2E2E2"/>
                                                                                                <w:right w:val="single" w:sz="6" w:space="0" w:color="EFEFEF"/>
                                                                                              </w:divBdr>
                                                                                              <w:divsChild>
                                                                                                <w:div w:id="1569076296">
                                                                                                  <w:marLeft w:val="0"/>
                                                                                                  <w:marRight w:val="0"/>
                                                                                                  <w:marTop w:val="0"/>
                                                                                                  <w:marBottom w:val="0"/>
                                                                                                  <w:divBdr>
                                                                                                    <w:top w:val="none" w:sz="0" w:space="0" w:color="auto"/>
                                                                                                    <w:left w:val="none" w:sz="0" w:space="0" w:color="auto"/>
                                                                                                    <w:bottom w:val="none" w:sz="0" w:space="0" w:color="auto"/>
                                                                                                    <w:right w:val="none" w:sz="0" w:space="0" w:color="auto"/>
                                                                                                  </w:divBdr>
                                                                                                  <w:divsChild>
                                                                                                    <w:div w:id="1086805107">
                                                                                                      <w:marLeft w:val="0"/>
                                                                                                      <w:marRight w:val="0"/>
                                                                                                      <w:marTop w:val="0"/>
                                                                                                      <w:marBottom w:val="0"/>
                                                                                                      <w:divBdr>
                                                                                                        <w:top w:val="none" w:sz="0" w:space="0" w:color="auto"/>
                                                                                                        <w:left w:val="none" w:sz="0" w:space="0" w:color="auto"/>
                                                                                                        <w:bottom w:val="none" w:sz="0" w:space="0" w:color="auto"/>
                                                                                                        <w:right w:val="none" w:sz="0" w:space="0" w:color="auto"/>
                                                                                                      </w:divBdr>
                                                                                                      <w:divsChild>
                                                                                                        <w:div w:id="228619624">
                                                                                                          <w:marLeft w:val="0"/>
                                                                                                          <w:marRight w:val="0"/>
                                                                                                          <w:marTop w:val="0"/>
                                                                                                          <w:marBottom w:val="0"/>
                                                                                                          <w:divBdr>
                                                                                                            <w:top w:val="none" w:sz="0" w:space="0" w:color="auto"/>
                                                                                                            <w:left w:val="none" w:sz="0" w:space="0" w:color="auto"/>
                                                                                                            <w:bottom w:val="none" w:sz="0" w:space="0" w:color="auto"/>
                                                                                                            <w:right w:val="none" w:sz="0" w:space="0" w:color="auto"/>
                                                                                                          </w:divBdr>
                                                                                                          <w:divsChild>
                                                                                                            <w:div w:id="952976079">
                                                                                                              <w:marLeft w:val="0"/>
                                                                                                              <w:marRight w:val="0"/>
                                                                                                              <w:marTop w:val="0"/>
                                                                                                              <w:marBottom w:val="0"/>
                                                                                                              <w:divBdr>
                                                                                                                <w:top w:val="none" w:sz="0" w:space="0" w:color="auto"/>
                                                                                                                <w:left w:val="none" w:sz="0" w:space="0" w:color="auto"/>
                                                                                                                <w:bottom w:val="none" w:sz="0" w:space="0" w:color="auto"/>
                                                                                                                <w:right w:val="none" w:sz="0" w:space="0" w:color="auto"/>
                                                                                                              </w:divBdr>
                                                                                                              <w:divsChild>
                                                                                                                <w:div w:id="964700144">
                                                                                                                  <w:marLeft w:val="0"/>
                                                                                                                  <w:marRight w:val="0"/>
                                                                                                                  <w:marTop w:val="0"/>
                                                                                                                  <w:marBottom w:val="0"/>
                                                                                                                  <w:divBdr>
                                                                                                                    <w:top w:val="single" w:sz="2" w:space="4" w:color="D8D8D8"/>
                                                                                                                    <w:left w:val="single" w:sz="2" w:space="0" w:color="D8D8D8"/>
                                                                                                                    <w:bottom w:val="single" w:sz="2" w:space="4" w:color="D8D8D8"/>
                                                                                                                    <w:right w:val="single" w:sz="2" w:space="0" w:color="D8D8D8"/>
                                                                                                                  </w:divBdr>
                                                                                                                  <w:divsChild>
                                                                                                                    <w:div w:id="1856307875">
                                                                                                                      <w:marLeft w:val="225"/>
                                                                                                                      <w:marRight w:val="225"/>
                                                                                                                      <w:marTop w:val="75"/>
                                                                                                                      <w:marBottom w:val="75"/>
                                                                                                                      <w:divBdr>
                                                                                                                        <w:top w:val="none" w:sz="0" w:space="0" w:color="auto"/>
                                                                                                                        <w:left w:val="none" w:sz="0" w:space="0" w:color="auto"/>
                                                                                                                        <w:bottom w:val="none" w:sz="0" w:space="0" w:color="auto"/>
                                                                                                                        <w:right w:val="none" w:sz="0" w:space="0" w:color="auto"/>
                                                                                                                      </w:divBdr>
                                                                                                                      <w:divsChild>
                                                                                                                        <w:div w:id="1560435805">
                                                                                                                          <w:marLeft w:val="0"/>
                                                                                                                          <w:marRight w:val="0"/>
                                                                                                                          <w:marTop w:val="0"/>
                                                                                                                          <w:marBottom w:val="0"/>
                                                                                                                          <w:divBdr>
                                                                                                                            <w:top w:val="single" w:sz="6" w:space="0" w:color="auto"/>
                                                                                                                            <w:left w:val="single" w:sz="6" w:space="0" w:color="auto"/>
                                                                                                                            <w:bottom w:val="single" w:sz="6" w:space="0" w:color="auto"/>
                                                                                                                            <w:right w:val="single" w:sz="6" w:space="0" w:color="auto"/>
                                                                                                                          </w:divBdr>
                                                                                                                          <w:divsChild>
                                                                                                                            <w:div w:id="613361889">
                                                                                                                              <w:marLeft w:val="0"/>
                                                                                                                              <w:marRight w:val="0"/>
                                                                                                                              <w:marTop w:val="0"/>
                                                                                                                              <w:marBottom w:val="0"/>
                                                                                                                              <w:divBdr>
                                                                                                                                <w:top w:val="none" w:sz="0" w:space="0" w:color="auto"/>
                                                                                                                                <w:left w:val="none" w:sz="0" w:space="0" w:color="auto"/>
                                                                                                                                <w:bottom w:val="none" w:sz="0" w:space="0" w:color="auto"/>
                                                                                                                                <w:right w:val="none" w:sz="0" w:space="0" w:color="auto"/>
                                                                                                                              </w:divBdr>
                                                                                                                              <w:divsChild>
                                                                                                                                <w:div w:id="21111947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936913487">
      <w:bodyDiv w:val="1"/>
      <w:marLeft w:val="0"/>
      <w:marRight w:val="0"/>
      <w:marTop w:val="0"/>
      <w:marBottom w:val="0"/>
      <w:divBdr>
        <w:top w:val="none" w:sz="0" w:space="0" w:color="auto"/>
        <w:left w:val="none" w:sz="0" w:space="0" w:color="auto"/>
        <w:bottom w:val="none" w:sz="0" w:space="0" w:color="auto"/>
        <w:right w:val="none" w:sz="0" w:space="0" w:color="auto"/>
      </w:divBdr>
    </w:div>
    <w:div w:id="937522427">
      <w:bodyDiv w:val="1"/>
      <w:marLeft w:val="0"/>
      <w:marRight w:val="0"/>
      <w:marTop w:val="0"/>
      <w:marBottom w:val="0"/>
      <w:divBdr>
        <w:top w:val="none" w:sz="0" w:space="0" w:color="auto"/>
        <w:left w:val="none" w:sz="0" w:space="0" w:color="auto"/>
        <w:bottom w:val="none" w:sz="0" w:space="0" w:color="auto"/>
        <w:right w:val="none" w:sz="0" w:space="0" w:color="auto"/>
      </w:divBdr>
    </w:div>
    <w:div w:id="937714408">
      <w:bodyDiv w:val="1"/>
      <w:marLeft w:val="0"/>
      <w:marRight w:val="0"/>
      <w:marTop w:val="0"/>
      <w:marBottom w:val="0"/>
      <w:divBdr>
        <w:top w:val="none" w:sz="0" w:space="0" w:color="auto"/>
        <w:left w:val="none" w:sz="0" w:space="0" w:color="auto"/>
        <w:bottom w:val="none" w:sz="0" w:space="0" w:color="auto"/>
        <w:right w:val="none" w:sz="0" w:space="0" w:color="auto"/>
      </w:divBdr>
    </w:div>
    <w:div w:id="937832950">
      <w:bodyDiv w:val="1"/>
      <w:marLeft w:val="0"/>
      <w:marRight w:val="0"/>
      <w:marTop w:val="0"/>
      <w:marBottom w:val="0"/>
      <w:divBdr>
        <w:top w:val="none" w:sz="0" w:space="0" w:color="auto"/>
        <w:left w:val="none" w:sz="0" w:space="0" w:color="auto"/>
        <w:bottom w:val="none" w:sz="0" w:space="0" w:color="auto"/>
        <w:right w:val="none" w:sz="0" w:space="0" w:color="auto"/>
      </w:divBdr>
    </w:div>
    <w:div w:id="937834381">
      <w:bodyDiv w:val="1"/>
      <w:marLeft w:val="0"/>
      <w:marRight w:val="0"/>
      <w:marTop w:val="0"/>
      <w:marBottom w:val="0"/>
      <w:divBdr>
        <w:top w:val="none" w:sz="0" w:space="0" w:color="auto"/>
        <w:left w:val="none" w:sz="0" w:space="0" w:color="auto"/>
        <w:bottom w:val="none" w:sz="0" w:space="0" w:color="auto"/>
        <w:right w:val="none" w:sz="0" w:space="0" w:color="auto"/>
      </w:divBdr>
    </w:div>
    <w:div w:id="938029961">
      <w:bodyDiv w:val="1"/>
      <w:marLeft w:val="0"/>
      <w:marRight w:val="0"/>
      <w:marTop w:val="0"/>
      <w:marBottom w:val="0"/>
      <w:divBdr>
        <w:top w:val="none" w:sz="0" w:space="0" w:color="auto"/>
        <w:left w:val="none" w:sz="0" w:space="0" w:color="auto"/>
        <w:bottom w:val="none" w:sz="0" w:space="0" w:color="auto"/>
        <w:right w:val="none" w:sz="0" w:space="0" w:color="auto"/>
      </w:divBdr>
    </w:div>
    <w:div w:id="938681575">
      <w:bodyDiv w:val="1"/>
      <w:marLeft w:val="0"/>
      <w:marRight w:val="0"/>
      <w:marTop w:val="0"/>
      <w:marBottom w:val="0"/>
      <w:divBdr>
        <w:top w:val="none" w:sz="0" w:space="0" w:color="auto"/>
        <w:left w:val="none" w:sz="0" w:space="0" w:color="auto"/>
        <w:bottom w:val="none" w:sz="0" w:space="0" w:color="auto"/>
        <w:right w:val="none" w:sz="0" w:space="0" w:color="auto"/>
      </w:divBdr>
    </w:div>
    <w:div w:id="938758415">
      <w:bodyDiv w:val="1"/>
      <w:marLeft w:val="0"/>
      <w:marRight w:val="0"/>
      <w:marTop w:val="0"/>
      <w:marBottom w:val="0"/>
      <w:divBdr>
        <w:top w:val="none" w:sz="0" w:space="0" w:color="auto"/>
        <w:left w:val="none" w:sz="0" w:space="0" w:color="auto"/>
        <w:bottom w:val="none" w:sz="0" w:space="0" w:color="auto"/>
        <w:right w:val="none" w:sz="0" w:space="0" w:color="auto"/>
      </w:divBdr>
    </w:div>
    <w:div w:id="939989458">
      <w:bodyDiv w:val="1"/>
      <w:marLeft w:val="0"/>
      <w:marRight w:val="0"/>
      <w:marTop w:val="0"/>
      <w:marBottom w:val="0"/>
      <w:divBdr>
        <w:top w:val="none" w:sz="0" w:space="0" w:color="auto"/>
        <w:left w:val="none" w:sz="0" w:space="0" w:color="auto"/>
        <w:bottom w:val="none" w:sz="0" w:space="0" w:color="auto"/>
        <w:right w:val="none" w:sz="0" w:space="0" w:color="auto"/>
      </w:divBdr>
    </w:div>
    <w:div w:id="940334073">
      <w:bodyDiv w:val="1"/>
      <w:marLeft w:val="0"/>
      <w:marRight w:val="0"/>
      <w:marTop w:val="0"/>
      <w:marBottom w:val="0"/>
      <w:divBdr>
        <w:top w:val="none" w:sz="0" w:space="0" w:color="auto"/>
        <w:left w:val="none" w:sz="0" w:space="0" w:color="auto"/>
        <w:bottom w:val="none" w:sz="0" w:space="0" w:color="auto"/>
        <w:right w:val="none" w:sz="0" w:space="0" w:color="auto"/>
      </w:divBdr>
    </w:div>
    <w:div w:id="940455806">
      <w:bodyDiv w:val="1"/>
      <w:marLeft w:val="0"/>
      <w:marRight w:val="0"/>
      <w:marTop w:val="0"/>
      <w:marBottom w:val="0"/>
      <w:divBdr>
        <w:top w:val="none" w:sz="0" w:space="0" w:color="auto"/>
        <w:left w:val="none" w:sz="0" w:space="0" w:color="auto"/>
        <w:bottom w:val="none" w:sz="0" w:space="0" w:color="auto"/>
        <w:right w:val="none" w:sz="0" w:space="0" w:color="auto"/>
      </w:divBdr>
    </w:div>
    <w:div w:id="941104501">
      <w:bodyDiv w:val="1"/>
      <w:marLeft w:val="0"/>
      <w:marRight w:val="0"/>
      <w:marTop w:val="0"/>
      <w:marBottom w:val="0"/>
      <w:divBdr>
        <w:top w:val="none" w:sz="0" w:space="0" w:color="auto"/>
        <w:left w:val="none" w:sz="0" w:space="0" w:color="auto"/>
        <w:bottom w:val="none" w:sz="0" w:space="0" w:color="auto"/>
        <w:right w:val="none" w:sz="0" w:space="0" w:color="auto"/>
      </w:divBdr>
    </w:div>
    <w:div w:id="942231302">
      <w:bodyDiv w:val="1"/>
      <w:marLeft w:val="0"/>
      <w:marRight w:val="0"/>
      <w:marTop w:val="0"/>
      <w:marBottom w:val="0"/>
      <w:divBdr>
        <w:top w:val="none" w:sz="0" w:space="0" w:color="auto"/>
        <w:left w:val="none" w:sz="0" w:space="0" w:color="auto"/>
        <w:bottom w:val="none" w:sz="0" w:space="0" w:color="auto"/>
        <w:right w:val="none" w:sz="0" w:space="0" w:color="auto"/>
      </w:divBdr>
    </w:div>
    <w:div w:id="944732618">
      <w:bodyDiv w:val="1"/>
      <w:marLeft w:val="0"/>
      <w:marRight w:val="0"/>
      <w:marTop w:val="0"/>
      <w:marBottom w:val="0"/>
      <w:divBdr>
        <w:top w:val="none" w:sz="0" w:space="0" w:color="auto"/>
        <w:left w:val="none" w:sz="0" w:space="0" w:color="auto"/>
        <w:bottom w:val="none" w:sz="0" w:space="0" w:color="auto"/>
        <w:right w:val="none" w:sz="0" w:space="0" w:color="auto"/>
      </w:divBdr>
    </w:div>
    <w:div w:id="946159950">
      <w:bodyDiv w:val="1"/>
      <w:marLeft w:val="0"/>
      <w:marRight w:val="0"/>
      <w:marTop w:val="0"/>
      <w:marBottom w:val="0"/>
      <w:divBdr>
        <w:top w:val="none" w:sz="0" w:space="0" w:color="auto"/>
        <w:left w:val="none" w:sz="0" w:space="0" w:color="auto"/>
        <w:bottom w:val="none" w:sz="0" w:space="0" w:color="auto"/>
        <w:right w:val="none" w:sz="0" w:space="0" w:color="auto"/>
      </w:divBdr>
    </w:div>
    <w:div w:id="946615114">
      <w:bodyDiv w:val="1"/>
      <w:marLeft w:val="0"/>
      <w:marRight w:val="0"/>
      <w:marTop w:val="0"/>
      <w:marBottom w:val="0"/>
      <w:divBdr>
        <w:top w:val="none" w:sz="0" w:space="0" w:color="auto"/>
        <w:left w:val="none" w:sz="0" w:space="0" w:color="auto"/>
        <w:bottom w:val="none" w:sz="0" w:space="0" w:color="auto"/>
        <w:right w:val="none" w:sz="0" w:space="0" w:color="auto"/>
      </w:divBdr>
    </w:div>
    <w:div w:id="946930470">
      <w:bodyDiv w:val="1"/>
      <w:marLeft w:val="0"/>
      <w:marRight w:val="0"/>
      <w:marTop w:val="0"/>
      <w:marBottom w:val="0"/>
      <w:divBdr>
        <w:top w:val="none" w:sz="0" w:space="0" w:color="auto"/>
        <w:left w:val="none" w:sz="0" w:space="0" w:color="auto"/>
        <w:bottom w:val="none" w:sz="0" w:space="0" w:color="auto"/>
        <w:right w:val="none" w:sz="0" w:space="0" w:color="auto"/>
      </w:divBdr>
    </w:div>
    <w:div w:id="948196945">
      <w:bodyDiv w:val="1"/>
      <w:marLeft w:val="0"/>
      <w:marRight w:val="0"/>
      <w:marTop w:val="0"/>
      <w:marBottom w:val="0"/>
      <w:divBdr>
        <w:top w:val="none" w:sz="0" w:space="0" w:color="auto"/>
        <w:left w:val="none" w:sz="0" w:space="0" w:color="auto"/>
        <w:bottom w:val="none" w:sz="0" w:space="0" w:color="auto"/>
        <w:right w:val="none" w:sz="0" w:space="0" w:color="auto"/>
      </w:divBdr>
    </w:div>
    <w:div w:id="951672315">
      <w:bodyDiv w:val="1"/>
      <w:marLeft w:val="0"/>
      <w:marRight w:val="0"/>
      <w:marTop w:val="0"/>
      <w:marBottom w:val="0"/>
      <w:divBdr>
        <w:top w:val="none" w:sz="0" w:space="0" w:color="auto"/>
        <w:left w:val="none" w:sz="0" w:space="0" w:color="auto"/>
        <w:bottom w:val="none" w:sz="0" w:space="0" w:color="auto"/>
        <w:right w:val="none" w:sz="0" w:space="0" w:color="auto"/>
      </w:divBdr>
    </w:div>
    <w:div w:id="952134607">
      <w:bodyDiv w:val="1"/>
      <w:marLeft w:val="0"/>
      <w:marRight w:val="0"/>
      <w:marTop w:val="0"/>
      <w:marBottom w:val="0"/>
      <w:divBdr>
        <w:top w:val="none" w:sz="0" w:space="0" w:color="auto"/>
        <w:left w:val="none" w:sz="0" w:space="0" w:color="auto"/>
        <w:bottom w:val="none" w:sz="0" w:space="0" w:color="auto"/>
        <w:right w:val="none" w:sz="0" w:space="0" w:color="auto"/>
      </w:divBdr>
    </w:div>
    <w:div w:id="952790124">
      <w:bodyDiv w:val="1"/>
      <w:marLeft w:val="0"/>
      <w:marRight w:val="0"/>
      <w:marTop w:val="0"/>
      <w:marBottom w:val="0"/>
      <w:divBdr>
        <w:top w:val="none" w:sz="0" w:space="0" w:color="auto"/>
        <w:left w:val="none" w:sz="0" w:space="0" w:color="auto"/>
        <w:bottom w:val="none" w:sz="0" w:space="0" w:color="auto"/>
        <w:right w:val="none" w:sz="0" w:space="0" w:color="auto"/>
      </w:divBdr>
    </w:div>
    <w:div w:id="953445152">
      <w:bodyDiv w:val="1"/>
      <w:marLeft w:val="0"/>
      <w:marRight w:val="0"/>
      <w:marTop w:val="0"/>
      <w:marBottom w:val="0"/>
      <w:divBdr>
        <w:top w:val="none" w:sz="0" w:space="0" w:color="auto"/>
        <w:left w:val="none" w:sz="0" w:space="0" w:color="auto"/>
        <w:bottom w:val="none" w:sz="0" w:space="0" w:color="auto"/>
        <w:right w:val="none" w:sz="0" w:space="0" w:color="auto"/>
      </w:divBdr>
    </w:div>
    <w:div w:id="954290129">
      <w:bodyDiv w:val="1"/>
      <w:marLeft w:val="0"/>
      <w:marRight w:val="0"/>
      <w:marTop w:val="0"/>
      <w:marBottom w:val="0"/>
      <w:divBdr>
        <w:top w:val="none" w:sz="0" w:space="0" w:color="auto"/>
        <w:left w:val="none" w:sz="0" w:space="0" w:color="auto"/>
        <w:bottom w:val="none" w:sz="0" w:space="0" w:color="auto"/>
        <w:right w:val="none" w:sz="0" w:space="0" w:color="auto"/>
      </w:divBdr>
    </w:div>
    <w:div w:id="954482059">
      <w:bodyDiv w:val="1"/>
      <w:marLeft w:val="0"/>
      <w:marRight w:val="0"/>
      <w:marTop w:val="0"/>
      <w:marBottom w:val="0"/>
      <w:divBdr>
        <w:top w:val="none" w:sz="0" w:space="0" w:color="auto"/>
        <w:left w:val="none" w:sz="0" w:space="0" w:color="auto"/>
        <w:bottom w:val="none" w:sz="0" w:space="0" w:color="auto"/>
        <w:right w:val="none" w:sz="0" w:space="0" w:color="auto"/>
      </w:divBdr>
      <w:divsChild>
        <w:div w:id="1464497392">
          <w:marLeft w:val="547"/>
          <w:marRight w:val="0"/>
          <w:marTop w:val="154"/>
          <w:marBottom w:val="0"/>
          <w:divBdr>
            <w:top w:val="none" w:sz="0" w:space="0" w:color="auto"/>
            <w:left w:val="none" w:sz="0" w:space="0" w:color="auto"/>
            <w:bottom w:val="none" w:sz="0" w:space="0" w:color="auto"/>
            <w:right w:val="none" w:sz="0" w:space="0" w:color="auto"/>
          </w:divBdr>
        </w:div>
      </w:divsChild>
    </w:div>
    <w:div w:id="955988264">
      <w:bodyDiv w:val="1"/>
      <w:marLeft w:val="0"/>
      <w:marRight w:val="0"/>
      <w:marTop w:val="0"/>
      <w:marBottom w:val="0"/>
      <w:divBdr>
        <w:top w:val="none" w:sz="0" w:space="0" w:color="auto"/>
        <w:left w:val="none" w:sz="0" w:space="0" w:color="auto"/>
        <w:bottom w:val="none" w:sz="0" w:space="0" w:color="auto"/>
        <w:right w:val="none" w:sz="0" w:space="0" w:color="auto"/>
      </w:divBdr>
      <w:divsChild>
        <w:div w:id="376319189">
          <w:marLeft w:val="1080"/>
          <w:marRight w:val="0"/>
          <w:marTop w:val="100"/>
          <w:marBottom w:val="0"/>
          <w:divBdr>
            <w:top w:val="none" w:sz="0" w:space="0" w:color="auto"/>
            <w:left w:val="none" w:sz="0" w:space="0" w:color="auto"/>
            <w:bottom w:val="none" w:sz="0" w:space="0" w:color="auto"/>
            <w:right w:val="none" w:sz="0" w:space="0" w:color="auto"/>
          </w:divBdr>
        </w:div>
        <w:div w:id="1621303759">
          <w:marLeft w:val="360"/>
          <w:marRight w:val="0"/>
          <w:marTop w:val="200"/>
          <w:marBottom w:val="0"/>
          <w:divBdr>
            <w:top w:val="none" w:sz="0" w:space="0" w:color="auto"/>
            <w:left w:val="none" w:sz="0" w:space="0" w:color="auto"/>
            <w:bottom w:val="none" w:sz="0" w:space="0" w:color="auto"/>
            <w:right w:val="none" w:sz="0" w:space="0" w:color="auto"/>
          </w:divBdr>
        </w:div>
        <w:div w:id="1806459399">
          <w:marLeft w:val="1080"/>
          <w:marRight w:val="0"/>
          <w:marTop w:val="100"/>
          <w:marBottom w:val="0"/>
          <w:divBdr>
            <w:top w:val="none" w:sz="0" w:space="0" w:color="auto"/>
            <w:left w:val="none" w:sz="0" w:space="0" w:color="auto"/>
            <w:bottom w:val="none" w:sz="0" w:space="0" w:color="auto"/>
            <w:right w:val="none" w:sz="0" w:space="0" w:color="auto"/>
          </w:divBdr>
        </w:div>
      </w:divsChild>
    </w:div>
    <w:div w:id="957879907">
      <w:bodyDiv w:val="1"/>
      <w:marLeft w:val="0"/>
      <w:marRight w:val="0"/>
      <w:marTop w:val="0"/>
      <w:marBottom w:val="0"/>
      <w:divBdr>
        <w:top w:val="none" w:sz="0" w:space="0" w:color="auto"/>
        <w:left w:val="none" w:sz="0" w:space="0" w:color="auto"/>
        <w:bottom w:val="none" w:sz="0" w:space="0" w:color="auto"/>
        <w:right w:val="none" w:sz="0" w:space="0" w:color="auto"/>
      </w:divBdr>
    </w:div>
    <w:div w:id="958728570">
      <w:bodyDiv w:val="1"/>
      <w:marLeft w:val="0"/>
      <w:marRight w:val="0"/>
      <w:marTop w:val="0"/>
      <w:marBottom w:val="0"/>
      <w:divBdr>
        <w:top w:val="none" w:sz="0" w:space="0" w:color="auto"/>
        <w:left w:val="none" w:sz="0" w:space="0" w:color="auto"/>
        <w:bottom w:val="none" w:sz="0" w:space="0" w:color="auto"/>
        <w:right w:val="none" w:sz="0" w:space="0" w:color="auto"/>
      </w:divBdr>
    </w:div>
    <w:div w:id="959458354">
      <w:bodyDiv w:val="1"/>
      <w:marLeft w:val="0"/>
      <w:marRight w:val="0"/>
      <w:marTop w:val="0"/>
      <w:marBottom w:val="0"/>
      <w:divBdr>
        <w:top w:val="none" w:sz="0" w:space="0" w:color="auto"/>
        <w:left w:val="none" w:sz="0" w:space="0" w:color="auto"/>
        <w:bottom w:val="none" w:sz="0" w:space="0" w:color="auto"/>
        <w:right w:val="none" w:sz="0" w:space="0" w:color="auto"/>
      </w:divBdr>
    </w:div>
    <w:div w:id="960503274">
      <w:bodyDiv w:val="1"/>
      <w:marLeft w:val="0"/>
      <w:marRight w:val="0"/>
      <w:marTop w:val="0"/>
      <w:marBottom w:val="0"/>
      <w:divBdr>
        <w:top w:val="none" w:sz="0" w:space="0" w:color="auto"/>
        <w:left w:val="none" w:sz="0" w:space="0" w:color="auto"/>
        <w:bottom w:val="none" w:sz="0" w:space="0" w:color="auto"/>
        <w:right w:val="none" w:sz="0" w:space="0" w:color="auto"/>
      </w:divBdr>
    </w:div>
    <w:div w:id="961036314">
      <w:bodyDiv w:val="1"/>
      <w:marLeft w:val="0"/>
      <w:marRight w:val="0"/>
      <w:marTop w:val="0"/>
      <w:marBottom w:val="0"/>
      <w:divBdr>
        <w:top w:val="none" w:sz="0" w:space="0" w:color="auto"/>
        <w:left w:val="none" w:sz="0" w:space="0" w:color="auto"/>
        <w:bottom w:val="none" w:sz="0" w:space="0" w:color="auto"/>
        <w:right w:val="none" w:sz="0" w:space="0" w:color="auto"/>
      </w:divBdr>
      <w:divsChild>
        <w:div w:id="419064875">
          <w:marLeft w:val="547"/>
          <w:marRight w:val="0"/>
          <w:marTop w:val="86"/>
          <w:marBottom w:val="0"/>
          <w:divBdr>
            <w:top w:val="none" w:sz="0" w:space="0" w:color="auto"/>
            <w:left w:val="none" w:sz="0" w:space="0" w:color="auto"/>
            <w:bottom w:val="none" w:sz="0" w:space="0" w:color="auto"/>
            <w:right w:val="none" w:sz="0" w:space="0" w:color="auto"/>
          </w:divBdr>
        </w:div>
        <w:div w:id="611591829">
          <w:marLeft w:val="2520"/>
          <w:marRight w:val="0"/>
          <w:marTop w:val="58"/>
          <w:marBottom w:val="0"/>
          <w:divBdr>
            <w:top w:val="none" w:sz="0" w:space="0" w:color="auto"/>
            <w:left w:val="none" w:sz="0" w:space="0" w:color="auto"/>
            <w:bottom w:val="none" w:sz="0" w:space="0" w:color="auto"/>
            <w:right w:val="none" w:sz="0" w:space="0" w:color="auto"/>
          </w:divBdr>
        </w:div>
        <w:div w:id="618148380">
          <w:marLeft w:val="1166"/>
          <w:marRight w:val="0"/>
          <w:marTop w:val="77"/>
          <w:marBottom w:val="0"/>
          <w:divBdr>
            <w:top w:val="none" w:sz="0" w:space="0" w:color="auto"/>
            <w:left w:val="none" w:sz="0" w:space="0" w:color="auto"/>
            <w:bottom w:val="none" w:sz="0" w:space="0" w:color="auto"/>
            <w:right w:val="none" w:sz="0" w:space="0" w:color="auto"/>
          </w:divBdr>
        </w:div>
        <w:div w:id="747924750">
          <w:marLeft w:val="1800"/>
          <w:marRight w:val="0"/>
          <w:marTop w:val="67"/>
          <w:marBottom w:val="0"/>
          <w:divBdr>
            <w:top w:val="none" w:sz="0" w:space="0" w:color="auto"/>
            <w:left w:val="none" w:sz="0" w:space="0" w:color="auto"/>
            <w:bottom w:val="none" w:sz="0" w:space="0" w:color="auto"/>
            <w:right w:val="none" w:sz="0" w:space="0" w:color="auto"/>
          </w:divBdr>
        </w:div>
        <w:div w:id="764959403">
          <w:marLeft w:val="1800"/>
          <w:marRight w:val="0"/>
          <w:marTop w:val="67"/>
          <w:marBottom w:val="0"/>
          <w:divBdr>
            <w:top w:val="none" w:sz="0" w:space="0" w:color="auto"/>
            <w:left w:val="none" w:sz="0" w:space="0" w:color="auto"/>
            <w:bottom w:val="none" w:sz="0" w:space="0" w:color="auto"/>
            <w:right w:val="none" w:sz="0" w:space="0" w:color="auto"/>
          </w:divBdr>
        </w:div>
        <w:div w:id="805973147">
          <w:marLeft w:val="1166"/>
          <w:marRight w:val="0"/>
          <w:marTop w:val="77"/>
          <w:marBottom w:val="0"/>
          <w:divBdr>
            <w:top w:val="none" w:sz="0" w:space="0" w:color="auto"/>
            <w:left w:val="none" w:sz="0" w:space="0" w:color="auto"/>
            <w:bottom w:val="none" w:sz="0" w:space="0" w:color="auto"/>
            <w:right w:val="none" w:sz="0" w:space="0" w:color="auto"/>
          </w:divBdr>
        </w:div>
        <w:div w:id="1043405146">
          <w:marLeft w:val="1166"/>
          <w:marRight w:val="0"/>
          <w:marTop w:val="77"/>
          <w:marBottom w:val="0"/>
          <w:divBdr>
            <w:top w:val="none" w:sz="0" w:space="0" w:color="auto"/>
            <w:left w:val="none" w:sz="0" w:space="0" w:color="auto"/>
            <w:bottom w:val="none" w:sz="0" w:space="0" w:color="auto"/>
            <w:right w:val="none" w:sz="0" w:space="0" w:color="auto"/>
          </w:divBdr>
        </w:div>
        <w:div w:id="1106072310">
          <w:marLeft w:val="1166"/>
          <w:marRight w:val="0"/>
          <w:marTop w:val="77"/>
          <w:marBottom w:val="0"/>
          <w:divBdr>
            <w:top w:val="none" w:sz="0" w:space="0" w:color="auto"/>
            <w:left w:val="none" w:sz="0" w:space="0" w:color="auto"/>
            <w:bottom w:val="none" w:sz="0" w:space="0" w:color="auto"/>
            <w:right w:val="none" w:sz="0" w:space="0" w:color="auto"/>
          </w:divBdr>
        </w:div>
        <w:div w:id="1133870839">
          <w:marLeft w:val="2520"/>
          <w:marRight w:val="0"/>
          <w:marTop w:val="58"/>
          <w:marBottom w:val="0"/>
          <w:divBdr>
            <w:top w:val="none" w:sz="0" w:space="0" w:color="auto"/>
            <w:left w:val="none" w:sz="0" w:space="0" w:color="auto"/>
            <w:bottom w:val="none" w:sz="0" w:space="0" w:color="auto"/>
            <w:right w:val="none" w:sz="0" w:space="0" w:color="auto"/>
          </w:divBdr>
        </w:div>
        <w:div w:id="1246500959">
          <w:marLeft w:val="547"/>
          <w:marRight w:val="0"/>
          <w:marTop w:val="86"/>
          <w:marBottom w:val="0"/>
          <w:divBdr>
            <w:top w:val="none" w:sz="0" w:space="0" w:color="auto"/>
            <w:left w:val="none" w:sz="0" w:space="0" w:color="auto"/>
            <w:bottom w:val="none" w:sz="0" w:space="0" w:color="auto"/>
            <w:right w:val="none" w:sz="0" w:space="0" w:color="auto"/>
          </w:divBdr>
        </w:div>
        <w:div w:id="1258098712">
          <w:marLeft w:val="1166"/>
          <w:marRight w:val="0"/>
          <w:marTop w:val="77"/>
          <w:marBottom w:val="0"/>
          <w:divBdr>
            <w:top w:val="none" w:sz="0" w:space="0" w:color="auto"/>
            <w:left w:val="none" w:sz="0" w:space="0" w:color="auto"/>
            <w:bottom w:val="none" w:sz="0" w:space="0" w:color="auto"/>
            <w:right w:val="none" w:sz="0" w:space="0" w:color="auto"/>
          </w:divBdr>
        </w:div>
        <w:div w:id="1405687606">
          <w:marLeft w:val="1166"/>
          <w:marRight w:val="0"/>
          <w:marTop w:val="77"/>
          <w:marBottom w:val="0"/>
          <w:divBdr>
            <w:top w:val="none" w:sz="0" w:space="0" w:color="auto"/>
            <w:left w:val="none" w:sz="0" w:space="0" w:color="auto"/>
            <w:bottom w:val="none" w:sz="0" w:space="0" w:color="auto"/>
            <w:right w:val="none" w:sz="0" w:space="0" w:color="auto"/>
          </w:divBdr>
        </w:div>
        <w:div w:id="1627999906">
          <w:marLeft w:val="2520"/>
          <w:marRight w:val="0"/>
          <w:marTop w:val="58"/>
          <w:marBottom w:val="0"/>
          <w:divBdr>
            <w:top w:val="none" w:sz="0" w:space="0" w:color="auto"/>
            <w:left w:val="none" w:sz="0" w:space="0" w:color="auto"/>
            <w:bottom w:val="none" w:sz="0" w:space="0" w:color="auto"/>
            <w:right w:val="none" w:sz="0" w:space="0" w:color="auto"/>
          </w:divBdr>
        </w:div>
        <w:div w:id="1872450415">
          <w:marLeft w:val="1166"/>
          <w:marRight w:val="0"/>
          <w:marTop w:val="77"/>
          <w:marBottom w:val="0"/>
          <w:divBdr>
            <w:top w:val="none" w:sz="0" w:space="0" w:color="auto"/>
            <w:left w:val="none" w:sz="0" w:space="0" w:color="auto"/>
            <w:bottom w:val="none" w:sz="0" w:space="0" w:color="auto"/>
            <w:right w:val="none" w:sz="0" w:space="0" w:color="auto"/>
          </w:divBdr>
        </w:div>
        <w:div w:id="1948077053">
          <w:marLeft w:val="547"/>
          <w:marRight w:val="0"/>
          <w:marTop w:val="86"/>
          <w:marBottom w:val="0"/>
          <w:divBdr>
            <w:top w:val="none" w:sz="0" w:space="0" w:color="auto"/>
            <w:left w:val="none" w:sz="0" w:space="0" w:color="auto"/>
            <w:bottom w:val="none" w:sz="0" w:space="0" w:color="auto"/>
            <w:right w:val="none" w:sz="0" w:space="0" w:color="auto"/>
          </w:divBdr>
        </w:div>
      </w:divsChild>
    </w:div>
    <w:div w:id="962005109">
      <w:bodyDiv w:val="1"/>
      <w:marLeft w:val="0"/>
      <w:marRight w:val="0"/>
      <w:marTop w:val="0"/>
      <w:marBottom w:val="0"/>
      <w:divBdr>
        <w:top w:val="none" w:sz="0" w:space="0" w:color="auto"/>
        <w:left w:val="none" w:sz="0" w:space="0" w:color="auto"/>
        <w:bottom w:val="none" w:sz="0" w:space="0" w:color="auto"/>
        <w:right w:val="none" w:sz="0" w:space="0" w:color="auto"/>
      </w:divBdr>
    </w:div>
    <w:div w:id="964121254">
      <w:bodyDiv w:val="1"/>
      <w:marLeft w:val="0"/>
      <w:marRight w:val="0"/>
      <w:marTop w:val="0"/>
      <w:marBottom w:val="0"/>
      <w:divBdr>
        <w:top w:val="none" w:sz="0" w:space="0" w:color="auto"/>
        <w:left w:val="none" w:sz="0" w:space="0" w:color="auto"/>
        <w:bottom w:val="none" w:sz="0" w:space="0" w:color="auto"/>
        <w:right w:val="none" w:sz="0" w:space="0" w:color="auto"/>
      </w:divBdr>
    </w:div>
    <w:div w:id="964197320">
      <w:bodyDiv w:val="1"/>
      <w:marLeft w:val="0"/>
      <w:marRight w:val="0"/>
      <w:marTop w:val="0"/>
      <w:marBottom w:val="0"/>
      <w:divBdr>
        <w:top w:val="none" w:sz="0" w:space="0" w:color="auto"/>
        <w:left w:val="none" w:sz="0" w:space="0" w:color="auto"/>
        <w:bottom w:val="none" w:sz="0" w:space="0" w:color="auto"/>
        <w:right w:val="none" w:sz="0" w:space="0" w:color="auto"/>
      </w:divBdr>
    </w:div>
    <w:div w:id="964502551">
      <w:bodyDiv w:val="1"/>
      <w:marLeft w:val="0"/>
      <w:marRight w:val="0"/>
      <w:marTop w:val="0"/>
      <w:marBottom w:val="0"/>
      <w:divBdr>
        <w:top w:val="none" w:sz="0" w:space="0" w:color="auto"/>
        <w:left w:val="none" w:sz="0" w:space="0" w:color="auto"/>
        <w:bottom w:val="none" w:sz="0" w:space="0" w:color="auto"/>
        <w:right w:val="none" w:sz="0" w:space="0" w:color="auto"/>
      </w:divBdr>
    </w:div>
    <w:div w:id="966354501">
      <w:bodyDiv w:val="1"/>
      <w:marLeft w:val="0"/>
      <w:marRight w:val="0"/>
      <w:marTop w:val="0"/>
      <w:marBottom w:val="0"/>
      <w:divBdr>
        <w:top w:val="none" w:sz="0" w:space="0" w:color="auto"/>
        <w:left w:val="none" w:sz="0" w:space="0" w:color="auto"/>
        <w:bottom w:val="none" w:sz="0" w:space="0" w:color="auto"/>
        <w:right w:val="none" w:sz="0" w:space="0" w:color="auto"/>
      </w:divBdr>
    </w:div>
    <w:div w:id="966393870">
      <w:bodyDiv w:val="1"/>
      <w:marLeft w:val="0"/>
      <w:marRight w:val="0"/>
      <w:marTop w:val="0"/>
      <w:marBottom w:val="0"/>
      <w:divBdr>
        <w:top w:val="none" w:sz="0" w:space="0" w:color="auto"/>
        <w:left w:val="none" w:sz="0" w:space="0" w:color="auto"/>
        <w:bottom w:val="none" w:sz="0" w:space="0" w:color="auto"/>
        <w:right w:val="none" w:sz="0" w:space="0" w:color="auto"/>
      </w:divBdr>
    </w:div>
    <w:div w:id="966737185">
      <w:bodyDiv w:val="1"/>
      <w:marLeft w:val="0"/>
      <w:marRight w:val="0"/>
      <w:marTop w:val="0"/>
      <w:marBottom w:val="0"/>
      <w:divBdr>
        <w:top w:val="none" w:sz="0" w:space="0" w:color="auto"/>
        <w:left w:val="none" w:sz="0" w:space="0" w:color="auto"/>
        <w:bottom w:val="none" w:sz="0" w:space="0" w:color="auto"/>
        <w:right w:val="none" w:sz="0" w:space="0" w:color="auto"/>
      </w:divBdr>
    </w:div>
    <w:div w:id="969165923">
      <w:bodyDiv w:val="1"/>
      <w:marLeft w:val="0"/>
      <w:marRight w:val="0"/>
      <w:marTop w:val="0"/>
      <w:marBottom w:val="0"/>
      <w:divBdr>
        <w:top w:val="none" w:sz="0" w:space="0" w:color="auto"/>
        <w:left w:val="none" w:sz="0" w:space="0" w:color="auto"/>
        <w:bottom w:val="none" w:sz="0" w:space="0" w:color="auto"/>
        <w:right w:val="none" w:sz="0" w:space="0" w:color="auto"/>
      </w:divBdr>
    </w:div>
    <w:div w:id="970019834">
      <w:bodyDiv w:val="1"/>
      <w:marLeft w:val="0"/>
      <w:marRight w:val="0"/>
      <w:marTop w:val="0"/>
      <w:marBottom w:val="0"/>
      <w:divBdr>
        <w:top w:val="none" w:sz="0" w:space="0" w:color="auto"/>
        <w:left w:val="none" w:sz="0" w:space="0" w:color="auto"/>
        <w:bottom w:val="none" w:sz="0" w:space="0" w:color="auto"/>
        <w:right w:val="none" w:sz="0" w:space="0" w:color="auto"/>
      </w:divBdr>
    </w:div>
    <w:div w:id="970021063">
      <w:bodyDiv w:val="1"/>
      <w:marLeft w:val="0"/>
      <w:marRight w:val="0"/>
      <w:marTop w:val="0"/>
      <w:marBottom w:val="0"/>
      <w:divBdr>
        <w:top w:val="none" w:sz="0" w:space="0" w:color="auto"/>
        <w:left w:val="none" w:sz="0" w:space="0" w:color="auto"/>
        <w:bottom w:val="none" w:sz="0" w:space="0" w:color="auto"/>
        <w:right w:val="none" w:sz="0" w:space="0" w:color="auto"/>
      </w:divBdr>
    </w:div>
    <w:div w:id="971180184">
      <w:bodyDiv w:val="1"/>
      <w:marLeft w:val="0"/>
      <w:marRight w:val="0"/>
      <w:marTop w:val="0"/>
      <w:marBottom w:val="0"/>
      <w:divBdr>
        <w:top w:val="none" w:sz="0" w:space="0" w:color="auto"/>
        <w:left w:val="none" w:sz="0" w:space="0" w:color="auto"/>
        <w:bottom w:val="none" w:sz="0" w:space="0" w:color="auto"/>
        <w:right w:val="none" w:sz="0" w:space="0" w:color="auto"/>
      </w:divBdr>
    </w:div>
    <w:div w:id="971206241">
      <w:bodyDiv w:val="1"/>
      <w:marLeft w:val="0"/>
      <w:marRight w:val="0"/>
      <w:marTop w:val="0"/>
      <w:marBottom w:val="0"/>
      <w:divBdr>
        <w:top w:val="none" w:sz="0" w:space="0" w:color="auto"/>
        <w:left w:val="none" w:sz="0" w:space="0" w:color="auto"/>
        <w:bottom w:val="none" w:sz="0" w:space="0" w:color="auto"/>
        <w:right w:val="none" w:sz="0" w:space="0" w:color="auto"/>
      </w:divBdr>
    </w:div>
    <w:div w:id="971449171">
      <w:bodyDiv w:val="1"/>
      <w:marLeft w:val="0"/>
      <w:marRight w:val="0"/>
      <w:marTop w:val="0"/>
      <w:marBottom w:val="0"/>
      <w:divBdr>
        <w:top w:val="none" w:sz="0" w:space="0" w:color="auto"/>
        <w:left w:val="none" w:sz="0" w:space="0" w:color="auto"/>
        <w:bottom w:val="none" w:sz="0" w:space="0" w:color="auto"/>
        <w:right w:val="none" w:sz="0" w:space="0" w:color="auto"/>
      </w:divBdr>
      <w:divsChild>
        <w:div w:id="609551258">
          <w:marLeft w:val="1080"/>
          <w:marRight w:val="0"/>
          <w:marTop w:val="100"/>
          <w:marBottom w:val="0"/>
          <w:divBdr>
            <w:top w:val="none" w:sz="0" w:space="0" w:color="auto"/>
            <w:left w:val="none" w:sz="0" w:space="0" w:color="auto"/>
            <w:bottom w:val="none" w:sz="0" w:space="0" w:color="auto"/>
            <w:right w:val="none" w:sz="0" w:space="0" w:color="auto"/>
          </w:divBdr>
        </w:div>
        <w:div w:id="1325356539">
          <w:marLeft w:val="360"/>
          <w:marRight w:val="0"/>
          <w:marTop w:val="200"/>
          <w:marBottom w:val="0"/>
          <w:divBdr>
            <w:top w:val="none" w:sz="0" w:space="0" w:color="auto"/>
            <w:left w:val="none" w:sz="0" w:space="0" w:color="auto"/>
            <w:bottom w:val="none" w:sz="0" w:space="0" w:color="auto"/>
            <w:right w:val="none" w:sz="0" w:space="0" w:color="auto"/>
          </w:divBdr>
        </w:div>
        <w:div w:id="1777826854">
          <w:marLeft w:val="360"/>
          <w:marRight w:val="0"/>
          <w:marTop w:val="200"/>
          <w:marBottom w:val="0"/>
          <w:divBdr>
            <w:top w:val="none" w:sz="0" w:space="0" w:color="auto"/>
            <w:left w:val="none" w:sz="0" w:space="0" w:color="auto"/>
            <w:bottom w:val="none" w:sz="0" w:space="0" w:color="auto"/>
            <w:right w:val="none" w:sz="0" w:space="0" w:color="auto"/>
          </w:divBdr>
        </w:div>
        <w:div w:id="1920748782">
          <w:marLeft w:val="1080"/>
          <w:marRight w:val="0"/>
          <w:marTop w:val="100"/>
          <w:marBottom w:val="0"/>
          <w:divBdr>
            <w:top w:val="none" w:sz="0" w:space="0" w:color="auto"/>
            <w:left w:val="none" w:sz="0" w:space="0" w:color="auto"/>
            <w:bottom w:val="none" w:sz="0" w:space="0" w:color="auto"/>
            <w:right w:val="none" w:sz="0" w:space="0" w:color="auto"/>
          </w:divBdr>
        </w:div>
        <w:div w:id="1952320203">
          <w:marLeft w:val="360"/>
          <w:marRight w:val="0"/>
          <w:marTop w:val="200"/>
          <w:marBottom w:val="0"/>
          <w:divBdr>
            <w:top w:val="none" w:sz="0" w:space="0" w:color="auto"/>
            <w:left w:val="none" w:sz="0" w:space="0" w:color="auto"/>
            <w:bottom w:val="none" w:sz="0" w:space="0" w:color="auto"/>
            <w:right w:val="none" w:sz="0" w:space="0" w:color="auto"/>
          </w:divBdr>
        </w:div>
      </w:divsChild>
    </w:div>
    <w:div w:id="972100333">
      <w:bodyDiv w:val="1"/>
      <w:marLeft w:val="0"/>
      <w:marRight w:val="0"/>
      <w:marTop w:val="0"/>
      <w:marBottom w:val="0"/>
      <w:divBdr>
        <w:top w:val="none" w:sz="0" w:space="0" w:color="auto"/>
        <w:left w:val="none" w:sz="0" w:space="0" w:color="auto"/>
        <w:bottom w:val="none" w:sz="0" w:space="0" w:color="auto"/>
        <w:right w:val="none" w:sz="0" w:space="0" w:color="auto"/>
      </w:divBdr>
    </w:div>
    <w:div w:id="973144851">
      <w:bodyDiv w:val="1"/>
      <w:marLeft w:val="0"/>
      <w:marRight w:val="0"/>
      <w:marTop w:val="0"/>
      <w:marBottom w:val="0"/>
      <w:divBdr>
        <w:top w:val="none" w:sz="0" w:space="0" w:color="auto"/>
        <w:left w:val="none" w:sz="0" w:space="0" w:color="auto"/>
        <w:bottom w:val="none" w:sz="0" w:space="0" w:color="auto"/>
        <w:right w:val="none" w:sz="0" w:space="0" w:color="auto"/>
      </w:divBdr>
    </w:div>
    <w:div w:id="975138146">
      <w:bodyDiv w:val="1"/>
      <w:marLeft w:val="0"/>
      <w:marRight w:val="0"/>
      <w:marTop w:val="0"/>
      <w:marBottom w:val="0"/>
      <w:divBdr>
        <w:top w:val="none" w:sz="0" w:space="0" w:color="auto"/>
        <w:left w:val="none" w:sz="0" w:space="0" w:color="auto"/>
        <w:bottom w:val="none" w:sz="0" w:space="0" w:color="auto"/>
        <w:right w:val="none" w:sz="0" w:space="0" w:color="auto"/>
      </w:divBdr>
    </w:div>
    <w:div w:id="975834065">
      <w:bodyDiv w:val="1"/>
      <w:marLeft w:val="0"/>
      <w:marRight w:val="0"/>
      <w:marTop w:val="0"/>
      <w:marBottom w:val="0"/>
      <w:divBdr>
        <w:top w:val="none" w:sz="0" w:space="0" w:color="auto"/>
        <w:left w:val="none" w:sz="0" w:space="0" w:color="auto"/>
        <w:bottom w:val="none" w:sz="0" w:space="0" w:color="auto"/>
        <w:right w:val="none" w:sz="0" w:space="0" w:color="auto"/>
      </w:divBdr>
      <w:divsChild>
        <w:div w:id="323705947">
          <w:marLeft w:val="1800"/>
          <w:marRight w:val="0"/>
          <w:marTop w:val="86"/>
          <w:marBottom w:val="120"/>
          <w:divBdr>
            <w:top w:val="none" w:sz="0" w:space="0" w:color="auto"/>
            <w:left w:val="none" w:sz="0" w:space="0" w:color="auto"/>
            <w:bottom w:val="none" w:sz="0" w:space="0" w:color="auto"/>
            <w:right w:val="none" w:sz="0" w:space="0" w:color="auto"/>
          </w:divBdr>
        </w:div>
        <w:div w:id="883370639">
          <w:marLeft w:val="1166"/>
          <w:marRight w:val="0"/>
          <w:marTop w:val="115"/>
          <w:marBottom w:val="120"/>
          <w:divBdr>
            <w:top w:val="none" w:sz="0" w:space="0" w:color="auto"/>
            <w:left w:val="none" w:sz="0" w:space="0" w:color="auto"/>
            <w:bottom w:val="none" w:sz="0" w:space="0" w:color="auto"/>
            <w:right w:val="none" w:sz="0" w:space="0" w:color="auto"/>
          </w:divBdr>
        </w:div>
        <w:div w:id="1051466598">
          <w:marLeft w:val="1166"/>
          <w:marRight w:val="0"/>
          <w:marTop w:val="115"/>
          <w:marBottom w:val="120"/>
          <w:divBdr>
            <w:top w:val="none" w:sz="0" w:space="0" w:color="auto"/>
            <w:left w:val="none" w:sz="0" w:space="0" w:color="auto"/>
            <w:bottom w:val="none" w:sz="0" w:space="0" w:color="auto"/>
            <w:right w:val="none" w:sz="0" w:space="0" w:color="auto"/>
          </w:divBdr>
        </w:div>
        <w:div w:id="1336417631">
          <w:marLeft w:val="1166"/>
          <w:marRight w:val="0"/>
          <w:marTop w:val="115"/>
          <w:marBottom w:val="120"/>
          <w:divBdr>
            <w:top w:val="none" w:sz="0" w:space="0" w:color="auto"/>
            <w:left w:val="none" w:sz="0" w:space="0" w:color="auto"/>
            <w:bottom w:val="none" w:sz="0" w:space="0" w:color="auto"/>
            <w:right w:val="none" w:sz="0" w:space="0" w:color="auto"/>
          </w:divBdr>
        </w:div>
        <w:div w:id="1751851972">
          <w:marLeft w:val="547"/>
          <w:marRight w:val="0"/>
          <w:marTop w:val="115"/>
          <w:marBottom w:val="120"/>
          <w:divBdr>
            <w:top w:val="none" w:sz="0" w:space="0" w:color="auto"/>
            <w:left w:val="none" w:sz="0" w:space="0" w:color="auto"/>
            <w:bottom w:val="none" w:sz="0" w:space="0" w:color="auto"/>
            <w:right w:val="none" w:sz="0" w:space="0" w:color="auto"/>
          </w:divBdr>
        </w:div>
        <w:div w:id="2073917369">
          <w:marLeft w:val="1800"/>
          <w:marRight w:val="0"/>
          <w:marTop w:val="86"/>
          <w:marBottom w:val="120"/>
          <w:divBdr>
            <w:top w:val="none" w:sz="0" w:space="0" w:color="auto"/>
            <w:left w:val="none" w:sz="0" w:space="0" w:color="auto"/>
            <w:bottom w:val="none" w:sz="0" w:space="0" w:color="auto"/>
            <w:right w:val="none" w:sz="0" w:space="0" w:color="auto"/>
          </w:divBdr>
        </w:div>
        <w:div w:id="2123452088">
          <w:marLeft w:val="1166"/>
          <w:marRight w:val="0"/>
          <w:marTop w:val="115"/>
          <w:marBottom w:val="120"/>
          <w:divBdr>
            <w:top w:val="none" w:sz="0" w:space="0" w:color="auto"/>
            <w:left w:val="none" w:sz="0" w:space="0" w:color="auto"/>
            <w:bottom w:val="none" w:sz="0" w:space="0" w:color="auto"/>
            <w:right w:val="none" w:sz="0" w:space="0" w:color="auto"/>
          </w:divBdr>
        </w:div>
      </w:divsChild>
    </w:div>
    <w:div w:id="976111660">
      <w:bodyDiv w:val="1"/>
      <w:marLeft w:val="0"/>
      <w:marRight w:val="0"/>
      <w:marTop w:val="0"/>
      <w:marBottom w:val="0"/>
      <w:divBdr>
        <w:top w:val="none" w:sz="0" w:space="0" w:color="auto"/>
        <w:left w:val="none" w:sz="0" w:space="0" w:color="auto"/>
        <w:bottom w:val="none" w:sz="0" w:space="0" w:color="auto"/>
        <w:right w:val="none" w:sz="0" w:space="0" w:color="auto"/>
      </w:divBdr>
      <w:divsChild>
        <w:div w:id="1596939986">
          <w:marLeft w:val="547"/>
          <w:marRight w:val="0"/>
          <w:marTop w:val="154"/>
          <w:marBottom w:val="0"/>
          <w:divBdr>
            <w:top w:val="none" w:sz="0" w:space="0" w:color="auto"/>
            <w:left w:val="none" w:sz="0" w:space="0" w:color="auto"/>
            <w:bottom w:val="none" w:sz="0" w:space="0" w:color="auto"/>
            <w:right w:val="none" w:sz="0" w:space="0" w:color="auto"/>
          </w:divBdr>
        </w:div>
      </w:divsChild>
    </w:div>
    <w:div w:id="976838792">
      <w:bodyDiv w:val="1"/>
      <w:marLeft w:val="0"/>
      <w:marRight w:val="0"/>
      <w:marTop w:val="0"/>
      <w:marBottom w:val="0"/>
      <w:divBdr>
        <w:top w:val="none" w:sz="0" w:space="0" w:color="auto"/>
        <w:left w:val="none" w:sz="0" w:space="0" w:color="auto"/>
        <w:bottom w:val="none" w:sz="0" w:space="0" w:color="auto"/>
        <w:right w:val="none" w:sz="0" w:space="0" w:color="auto"/>
      </w:divBdr>
      <w:divsChild>
        <w:div w:id="129056380">
          <w:marLeft w:val="1166"/>
          <w:marRight w:val="0"/>
          <w:marTop w:val="125"/>
          <w:marBottom w:val="0"/>
          <w:divBdr>
            <w:top w:val="none" w:sz="0" w:space="0" w:color="auto"/>
            <w:left w:val="none" w:sz="0" w:space="0" w:color="auto"/>
            <w:bottom w:val="none" w:sz="0" w:space="0" w:color="auto"/>
            <w:right w:val="none" w:sz="0" w:space="0" w:color="auto"/>
          </w:divBdr>
        </w:div>
        <w:div w:id="434593573">
          <w:marLeft w:val="547"/>
          <w:marRight w:val="0"/>
          <w:marTop w:val="144"/>
          <w:marBottom w:val="0"/>
          <w:divBdr>
            <w:top w:val="none" w:sz="0" w:space="0" w:color="auto"/>
            <w:left w:val="none" w:sz="0" w:space="0" w:color="auto"/>
            <w:bottom w:val="none" w:sz="0" w:space="0" w:color="auto"/>
            <w:right w:val="none" w:sz="0" w:space="0" w:color="auto"/>
          </w:divBdr>
        </w:div>
        <w:div w:id="1542084472">
          <w:marLeft w:val="1166"/>
          <w:marRight w:val="0"/>
          <w:marTop w:val="125"/>
          <w:marBottom w:val="0"/>
          <w:divBdr>
            <w:top w:val="none" w:sz="0" w:space="0" w:color="auto"/>
            <w:left w:val="none" w:sz="0" w:space="0" w:color="auto"/>
            <w:bottom w:val="none" w:sz="0" w:space="0" w:color="auto"/>
            <w:right w:val="none" w:sz="0" w:space="0" w:color="auto"/>
          </w:divBdr>
        </w:div>
      </w:divsChild>
    </w:div>
    <w:div w:id="977152919">
      <w:bodyDiv w:val="1"/>
      <w:marLeft w:val="0"/>
      <w:marRight w:val="0"/>
      <w:marTop w:val="0"/>
      <w:marBottom w:val="0"/>
      <w:divBdr>
        <w:top w:val="none" w:sz="0" w:space="0" w:color="auto"/>
        <w:left w:val="none" w:sz="0" w:space="0" w:color="auto"/>
        <w:bottom w:val="none" w:sz="0" w:space="0" w:color="auto"/>
        <w:right w:val="none" w:sz="0" w:space="0" w:color="auto"/>
      </w:divBdr>
    </w:div>
    <w:div w:id="977685395">
      <w:bodyDiv w:val="1"/>
      <w:marLeft w:val="0"/>
      <w:marRight w:val="0"/>
      <w:marTop w:val="0"/>
      <w:marBottom w:val="0"/>
      <w:divBdr>
        <w:top w:val="none" w:sz="0" w:space="0" w:color="auto"/>
        <w:left w:val="none" w:sz="0" w:space="0" w:color="auto"/>
        <w:bottom w:val="none" w:sz="0" w:space="0" w:color="auto"/>
        <w:right w:val="none" w:sz="0" w:space="0" w:color="auto"/>
      </w:divBdr>
    </w:div>
    <w:div w:id="979655035">
      <w:bodyDiv w:val="1"/>
      <w:marLeft w:val="0"/>
      <w:marRight w:val="0"/>
      <w:marTop w:val="0"/>
      <w:marBottom w:val="0"/>
      <w:divBdr>
        <w:top w:val="none" w:sz="0" w:space="0" w:color="auto"/>
        <w:left w:val="none" w:sz="0" w:space="0" w:color="auto"/>
        <w:bottom w:val="none" w:sz="0" w:space="0" w:color="auto"/>
        <w:right w:val="none" w:sz="0" w:space="0" w:color="auto"/>
      </w:divBdr>
    </w:div>
    <w:div w:id="980236272">
      <w:bodyDiv w:val="1"/>
      <w:marLeft w:val="0"/>
      <w:marRight w:val="0"/>
      <w:marTop w:val="0"/>
      <w:marBottom w:val="0"/>
      <w:divBdr>
        <w:top w:val="none" w:sz="0" w:space="0" w:color="auto"/>
        <w:left w:val="none" w:sz="0" w:space="0" w:color="auto"/>
        <w:bottom w:val="none" w:sz="0" w:space="0" w:color="auto"/>
        <w:right w:val="none" w:sz="0" w:space="0" w:color="auto"/>
      </w:divBdr>
    </w:div>
    <w:div w:id="981691806">
      <w:bodyDiv w:val="1"/>
      <w:marLeft w:val="0"/>
      <w:marRight w:val="0"/>
      <w:marTop w:val="0"/>
      <w:marBottom w:val="0"/>
      <w:divBdr>
        <w:top w:val="none" w:sz="0" w:space="0" w:color="auto"/>
        <w:left w:val="none" w:sz="0" w:space="0" w:color="auto"/>
        <w:bottom w:val="none" w:sz="0" w:space="0" w:color="auto"/>
        <w:right w:val="none" w:sz="0" w:space="0" w:color="auto"/>
      </w:divBdr>
    </w:div>
    <w:div w:id="982082193">
      <w:bodyDiv w:val="1"/>
      <w:marLeft w:val="0"/>
      <w:marRight w:val="0"/>
      <w:marTop w:val="0"/>
      <w:marBottom w:val="0"/>
      <w:divBdr>
        <w:top w:val="none" w:sz="0" w:space="0" w:color="auto"/>
        <w:left w:val="none" w:sz="0" w:space="0" w:color="auto"/>
        <w:bottom w:val="none" w:sz="0" w:space="0" w:color="auto"/>
        <w:right w:val="none" w:sz="0" w:space="0" w:color="auto"/>
      </w:divBdr>
    </w:div>
    <w:div w:id="982588166">
      <w:bodyDiv w:val="1"/>
      <w:marLeft w:val="0"/>
      <w:marRight w:val="0"/>
      <w:marTop w:val="0"/>
      <w:marBottom w:val="0"/>
      <w:divBdr>
        <w:top w:val="none" w:sz="0" w:space="0" w:color="auto"/>
        <w:left w:val="none" w:sz="0" w:space="0" w:color="auto"/>
        <w:bottom w:val="none" w:sz="0" w:space="0" w:color="auto"/>
        <w:right w:val="none" w:sz="0" w:space="0" w:color="auto"/>
      </w:divBdr>
      <w:divsChild>
        <w:div w:id="9138984">
          <w:marLeft w:val="274"/>
          <w:marRight w:val="0"/>
          <w:marTop w:val="0"/>
          <w:marBottom w:val="0"/>
          <w:divBdr>
            <w:top w:val="none" w:sz="0" w:space="0" w:color="auto"/>
            <w:left w:val="none" w:sz="0" w:space="0" w:color="auto"/>
            <w:bottom w:val="none" w:sz="0" w:space="0" w:color="auto"/>
            <w:right w:val="none" w:sz="0" w:space="0" w:color="auto"/>
          </w:divBdr>
        </w:div>
        <w:div w:id="92170706">
          <w:marLeft w:val="274"/>
          <w:marRight w:val="0"/>
          <w:marTop w:val="0"/>
          <w:marBottom w:val="0"/>
          <w:divBdr>
            <w:top w:val="none" w:sz="0" w:space="0" w:color="auto"/>
            <w:left w:val="none" w:sz="0" w:space="0" w:color="auto"/>
            <w:bottom w:val="none" w:sz="0" w:space="0" w:color="auto"/>
            <w:right w:val="none" w:sz="0" w:space="0" w:color="auto"/>
          </w:divBdr>
        </w:div>
        <w:div w:id="187566666">
          <w:marLeft w:val="274"/>
          <w:marRight w:val="0"/>
          <w:marTop w:val="0"/>
          <w:marBottom w:val="0"/>
          <w:divBdr>
            <w:top w:val="none" w:sz="0" w:space="0" w:color="auto"/>
            <w:left w:val="none" w:sz="0" w:space="0" w:color="auto"/>
            <w:bottom w:val="none" w:sz="0" w:space="0" w:color="auto"/>
            <w:right w:val="none" w:sz="0" w:space="0" w:color="auto"/>
          </w:divBdr>
        </w:div>
        <w:div w:id="229849623">
          <w:marLeft w:val="274"/>
          <w:marRight w:val="0"/>
          <w:marTop w:val="0"/>
          <w:marBottom w:val="0"/>
          <w:divBdr>
            <w:top w:val="none" w:sz="0" w:space="0" w:color="auto"/>
            <w:left w:val="none" w:sz="0" w:space="0" w:color="auto"/>
            <w:bottom w:val="none" w:sz="0" w:space="0" w:color="auto"/>
            <w:right w:val="none" w:sz="0" w:space="0" w:color="auto"/>
          </w:divBdr>
        </w:div>
        <w:div w:id="313027640">
          <w:marLeft w:val="274"/>
          <w:marRight w:val="0"/>
          <w:marTop w:val="0"/>
          <w:marBottom w:val="0"/>
          <w:divBdr>
            <w:top w:val="none" w:sz="0" w:space="0" w:color="auto"/>
            <w:left w:val="none" w:sz="0" w:space="0" w:color="auto"/>
            <w:bottom w:val="none" w:sz="0" w:space="0" w:color="auto"/>
            <w:right w:val="none" w:sz="0" w:space="0" w:color="auto"/>
          </w:divBdr>
        </w:div>
        <w:div w:id="369191956">
          <w:marLeft w:val="274"/>
          <w:marRight w:val="0"/>
          <w:marTop w:val="0"/>
          <w:marBottom w:val="0"/>
          <w:divBdr>
            <w:top w:val="none" w:sz="0" w:space="0" w:color="auto"/>
            <w:left w:val="none" w:sz="0" w:space="0" w:color="auto"/>
            <w:bottom w:val="none" w:sz="0" w:space="0" w:color="auto"/>
            <w:right w:val="none" w:sz="0" w:space="0" w:color="auto"/>
          </w:divBdr>
        </w:div>
        <w:div w:id="572355595">
          <w:marLeft w:val="850"/>
          <w:marRight w:val="0"/>
          <w:marTop w:val="0"/>
          <w:marBottom w:val="0"/>
          <w:divBdr>
            <w:top w:val="none" w:sz="0" w:space="0" w:color="auto"/>
            <w:left w:val="none" w:sz="0" w:space="0" w:color="auto"/>
            <w:bottom w:val="none" w:sz="0" w:space="0" w:color="auto"/>
            <w:right w:val="none" w:sz="0" w:space="0" w:color="auto"/>
          </w:divBdr>
        </w:div>
        <w:div w:id="619143387">
          <w:marLeft w:val="274"/>
          <w:marRight w:val="0"/>
          <w:marTop w:val="0"/>
          <w:marBottom w:val="0"/>
          <w:divBdr>
            <w:top w:val="none" w:sz="0" w:space="0" w:color="auto"/>
            <w:left w:val="none" w:sz="0" w:space="0" w:color="auto"/>
            <w:bottom w:val="none" w:sz="0" w:space="0" w:color="auto"/>
            <w:right w:val="none" w:sz="0" w:space="0" w:color="auto"/>
          </w:divBdr>
        </w:div>
        <w:div w:id="768046732">
          <w:marLeft w:val="274"/>
          <w:marRight w:val="0"/>
          <w:marTop w:val="0"/>
          <w:marBottom w:val="0"/>
          <w:divBdr>
            <w:top w:val="none" w:sz="0" w:space="0" w:color="auto"/>
            <w:left w:val="none" w:sz="0" w:space="0" w:color="auto"/>
            <w:bottom w:val="none" w:sz="0" w:space="0" w:color="auto"/>
            <w:right w:val="none" w:sz="0" w:space="0" w:color="auto"/>
          </w:divBdr>
        </w:div>
        <w:div w:id="918323102">
          <w:marLeft w:val="274"/>
          <w:marRight w:val="0"/>
          <w:marTop w:val="0"/>
          <w:marBottom w:val="0"/>
          <w:divBdr>
            <w:top w:val="none" w:sz="0" w:space="0" w:color="auto"/>
            <w:left w:val="none" w:sz="0" w:space="0" w:color="auto"/>
            <w:bottom w:val="none" w:sz="0" w:space="0" w:color="auto"/>
            <w:right w:val="none" w:sz="0" w:space="0" w:color="auto"/>
          </w:divBdr>
        </w:div>
        <w:div w:id="1051077506">
          <w:marLeft w:val="274"/>
          <w:marRight w:val="0"/>
          <w:marTop w:val="0"/>
          <w:marBottom w:val="0"/>
          <w:divBdr>
            <w:top w:val="none" w:sz="0" w:space="0" w:color="auto"/>
            <w:left w:val="none" w:sz="0" w:space="0" w:color="auto"/>
            <w:bottom w:val="none" w:sz="0" w:space="0" w:color="auto"/>
            <w:right w:val="none" w:sz="0" w:space="0" w:color="auto"/>
          </w:divBdr>
        </w:div>
        <w:div w:id="1239829663">
          <w:marLeft w:val="274"/>
          <w:marRight w:val="0"/>
          <w:marTop w:val="0"/>
          <w:marBottom w:val="0"/>
          <w:divBdr>
            <w:top w:val="none" w:sz="0" w:space="0" w:color="auto"/>
            <w:left w:val="none" w:sz="0" w:space="0" w:color="auto"/>
            <w:bottom w:val="none" w:sz="0" w:space="0" w:color="auto"/>
            <w:right w:val="none" w:sz="0" w:space="0" w:color="auto"/>
          </w:divBdr>
        </w:div>
        <w:div w:id="1422407189">
          <w:marLeft w:val="274"/>
          <w:marRight w:val="0"/>
          <w:marTop w:val="0"/>
          <w:marBottom w:val="0"/>
          <w:divBdr>
            <w:top w:val="none" w:sz="0" w:space="0" w:color="auto"/>
            <w:left w:val="none" w:sz="0" w:space="0" w:color="auto"/>
            <w:bottom w:val="none" w:sz="0" w:space="0" w:color="auto"/>
            <w:right w:val="none" w:sz="0" w:space="0" w:color="auto"/>
          </w:divBdr>
        </w:div>
        <w:div w:id="1429235157">
          <w:marLeft w:val="850"/>
          <w:marRight w:val="0"/>
          <w:marTop w:val="0"/>
          <w:marBottom w:val="0"/>
          <w:divBdr>
            <w:top w:val="none" w:sz="0" w:space="0" w:color="auto"/>
            <w:left w:val="none" w:sz="0" w:space="0" w:color="auto"/>
            <w:bottom w:val="none" w:sz="0" w:space="0" w:color="auto"/>
            <w:right w:val="none" w:sz="0" w:space="0" w:color="auto"/>
          </w:divBdr>
        </w:div>
        <w:div w:id="1756779936">
          <w:marLeft w:val="274"/>
          <w:marRight w:val="0"/>
          <w:marTop w:val="0"/>
          <w:marBottom w:val="0"/>
          <w:divBdr>
            <w:top w:val="none" w:sz="0" w:space="0" w:color="auto"/>
            <w:left w:val="none" w:sz="0" w:space="0" w:color="auto"/>
            <w:bottom w:val="none" w:sz="0" w:space="0" w:color="auto"/>
            <w:right w:val="none" w:sz="0" w:space="0" w:color="auto"/>
          </w:divBdr>
        </w:div>
        <w:div w:id="1822696526">
          <w:marLeft w:val="274"/>
          <w:marRight w:val="0"/>
          <w:marTop w:val="0"/>
          <w:marBottom w:val="0"/>
          <w:divBdr>
            <w:top w:val="none" w:sz="0" w:space="0" w:color="auto"/>
            <w:left w:val="none" w:sz="0" w:space="0" w:color="auto"/>
            <w:bottom w:val="none" w:sz="0" w:space="0" w:color="auto"/>
            <w:right w:val="none" w:sz="0" w:space="0" w:color="auto"/>
          </w:divBdr>
        </w:div>
        <w:div w:id="2076509519">
          <w:marLeft w:val="274"/>
          <w:marRight w:val="0"/>
          <w:marTop w:val="0"/>
          <w:marBottom w:val="0"/>
          <w:divBdr>
            <w:top w:val="none" w:sz="0" w:space="0" w:color="auto"/>
            <w:left w:val="none" w:sz="0" w:space="0" w:color="auto"/>
            <w:bottom w:val="none" w:sz="0" w:space="0" w:color="auto"/>
            <w:right w:val="none" w:sz="0" w:space="0" w:color="auto"/>
          </w:divBdr>
        </w:div>
        <w:div w:id="2076779288">
          <w:marLeft w:val="274"/>
          <w:marRight w:val="0"/>
          <w:marTop w:val="0"/>
          <w:marBottom w:val="0"/>
          <w:divBdr>
            <w:top w:val="none" w:sz="0" w:space="0" w:color="auto"/>
            <w:left w:val="none" w:sz="0" w:space="0" w:color="auto"/>
            <w:bottom w:val="none" w:sz="0" w:space="0" w:color="auto"/>
            <w:right w:val="none" w:sz="0" w:space="0" w:color="auto"/>
          </w:divBdr>
        </w:div>
      </w:divsChild>
    </w:div>
    <w:div w:id="984628698">
      <w:bodyDiv w:val="1"/>
      <w:marLeft w:val="0"/>
      <w:marRight w:val="0"/>
      <w:marTop w:val="0"/>
      <w:marBottom w:val="0"/>
      <w:divBdr>
        <w:top w:val="none" w:sz="0" w:space="0" w:color="auto"/>
        <w:left w:val="none" w:sz="0" w:space="0" w:color="auto"/>
        <w:bottom w:val="none" w:sz="0" w:space="0" w:color="auto"/>
        <w:right w:val="none" w:sz="0" w:space="0" w:color="auto"/>
      </w:divBdr>
      <w:divsChild>
        <w:div w:id="305818800">
          <w:marLeft w:val="1166"/>
          <w:marRight w:val="0"/>
          <w:marTop w:val="96"/>
          <w:marBottom w:val="0"/>
          <w:divBdr>
            <w:top w:val="none" w:sz="0" w:space="0" w:color="auto"/>
            <w:left w:val="none" w:sz="0" w:space="0" w:color="auto"/>
            <w:bottom w:val="none" w:sz="0" w:space="0" w:color="auto"/>
            <w:right w:val="none" w:sz="0" w:space="0" w:color="auto"/>
          </w:divBdr>
        </w:div>
        <w:div w:id="546840654">
          <w:marLeft w:val="1800"/>
          <w:marRight w:val="0"/>
          <w:marTop w:val="77"/>
          <w:marBottom w:val="0"/>
          <w:divBdr>
            <w:top w:val="none" w:sz="0" w:space="0" w:color="auto"/>
            <w:left w:val="none" w:sz="0" w:space="0" w:color="auto"/>
            <w:bottom w:val="none" w:sz="0" w:space="0" w:color="auto"/>
            <w:right w:val="none" w:sz="0" w:space="0" w:color="auto"/>
          </w:divBdr>
        </w:div>
        <w:div w:id="827599538">
          <w:marLeft w:val="547"/>
          <w:marRight w:val="0"/>
          <w:marTop w:val="115"/>
          <w:marBottom w:val="0"/>
          <w:divBdr>
            <w:top w:val="none" w:sz="0" w:space="0" w:color="auto"/>
            <w:left w:val="none" w:sz="0" w:space="0" w:color="auto"/>
            <w:bottom w:val="none" w:sz="0" w:space="0" w:color="auto"/>
            <w:right w:val="none" w:sz="0" w:space="0" w:color="auto"/>
          </w:divBdr>
        </w:div>
        <w:div w:id="1256943523">
          <w:marLeft w:val="1800"/>
          <w:marRight w:val="0"/>
          <w:marTop w:val="77"/>
          <w:marBottom w:val="0"/>
          <w:divBdr>
            <w:top w:val="none" w:sz="0" w:space="0" w:color="auto"/>
            <w:left w:val="none" w:sz="0" w:space="0" w:color="auto"/>
            <w:bottom w:val="none" w:sz="0" w:space="0" w:color="auto"/>
            <w:right w:val="none" w:sz="0" w:space="0" w:color="auto"/>
          </w:divBdr>
        </w:div>
        <w:div w:id="1403020808">
          <w:marLeft w:val="547"/>
          <w:marRight w:val="0"/>
          <w:marTop w:val="115"/>
          <w:marBottom w:val="0"/>
          <w:divBdr>
            <w:top w:val="none" w:sz="0" w:space="0" w:color="auto"/>
            <w:left w:val="none" w:sz="0" w:space="0" w:color="auto"/>
            <w:bottom w:val="none" w:sz="0" w:space="0" w:color="auto"/>
            <w:right w:val="none" w:sz="0" w:space="0" w:color="auto"/>
          </w:divBdr>
        </w:div>
        <w:div w:id="1459102877">
          <w:marLeft w:val="1166"/>
          <w:marRight w:val="0"/>
          <w:marTop w:val="96"/>
          <w:marBottom w:val="0"/>
          <w:divBdr>
            <w:top w:val="none" w:sz="0" w:space="0" w:color="auto"/>
            <w:left w:val="none" w:sz="0" w:space="0" w:color="auto"/>
            <w:bottom w:val="none" w:sz="0" w:space="0" w:color="auto"/>
            <w:right w:val="none" w:sz="0" w:space="0" w:color="auto"/>
          </w:divBdr>
        </w:div>
        <w:div w:id="1980456183">
          <w:marLeft w:val="1166"/>
          <w:marRight w:val="0"/>
          <w:marTop w:val="96"/>
          <w:marBottom w:val="0"/>
          <w:divBdr>
            <w:top w:val="none" w:sz="0" w:space="0" w:color="auto"/>
            <w:left w:val="none" w:sz="0" w:space="0" w:color="auto"/>
            <w:bottom w:val="none" w:sz="0" w:space="0" w:color="auto"/>
            <w:right w:val="none" w:sz="0" w:space="0" w:color="auto"/>
          </w:divBdr>
        </w:div>
        <w:div w:id="2065641790">
          <w:marLeft w:val="1166"/>
          <w:marRight w:val="0"/>
          <w:marTop w:val="96"/>
          <w:marBottom w:val="0"/>
          <w:divBdr>
            <w:top w:val="none" w:sz="0" w:space="0" w:color="auto"/>
            <w:left w:val="none" w:sz="0" w:space="0" w:color="auto"/>
            <w:bottom w:val="none" w:sz="0" w:space="0" w:color="auto"/>
            <w:right w:val="none" w:sz="0" w:space="0" w:color="auto"/>
          </w:divBdr>
        </w:div>
      </w:divsChild>
    </w:div>
    <w:div w:id="987897179">
      <w:bodyDiv w:val="1"/>
      <w:marLeft w:val="0"/>
      <w:marRight w:val="0"/>
      <w:marTop w:val="0"/>
      <w:marBottom w:val="0"/>
      <w:divBdr>
        <w:top w:val="none" w:sz="0" w:space="0" w:color="auto"/>
        <w:left w:val="none" w:sz="0" w:space="0" w:color="auto"/>
        <w:bottom w:val="none" w:sz="0" w:space="0" w:color="auto"/>
        <w:right w:val="none" w:sz="0" w:space="0" w:color="auto"/>
      </w:divBdr>
      <w:divsChild>
        <w:div w:id="248512524">
          <w:marLeft w:val="1166"/>
          <w:marRight w:val="0"/>
          <w:marTop w:val="96"/>
          <w:marBottom w:val="0"/>
          <w:divBdr>
            <w:top w:val="none" w:sz="0" w:space="0" w:color="auto"/>
            <w:left w:val="none" w:sz="0" w:space="0" w:color="auto"/>
            <w:bottom w:val="none" w:sz="0" w:space="0" w:color="auto"/>
            <w:right w:val="none" w:sz="0" w:space="0" w:color="auto"/>
          </w:divBdr>
        </w:div>
        <w:div w:id="408162109">
          <w:marLeft w:val="1800"/>
          <w:marRight w:val="0"/>
          <w:marTop w:val="67"/>
          <w:marBottom w:val="0"/>
          <w:divBdr>
            <w:top w:val="none" w:sz="0" w:space="0" w:color="auto"/>
            <w:left w:val="none" w:sz="0" w:space="0" w:color="auto"/>
            <w:bottom w:val="none" w:sz="0" w:space="0" w:color="auto"/>
            <w:right w:val="none" w:sz="0" w:space="0" w:color="auto"/>
          </w:divBdr>
        </w:div>
        <w:div w:id="762457610">
          <w:marLeft w:val="1800"/>
          <w:marRight w:val="0"/>
          <w:marTop w:val="67"/>
          <w:marBottom w:val="0"/>
          <w:divBdr>
            <w:top w:val="none" w:sz="0" w:space="0" w:color="auto"/>
            <w:left w:val="none" w:sz="0" w:space="0" w:color="auto"/>
            <w:bottom w:val="none" w:sz="0" w:space="0" w:color="auto"/>
            <w:right w:val="none" w:sz="0" w:space="0" w:color="auto"/>
          </w:divBdr>
        </w:div>
        <w:div w:id="1533684288">
          <w:marLeft w:val="1166"/>
          <w:marRight w:val="0"/>
          <w:marTop w:val="96"/>
          <w:marBottom w:val="0"/>
          <w:divBdr>
            <w:top w:val="none" w:sz="0" w:space="0" w:color="auto"/>
            <w:left w:val="none" w:sz="0" w:space="0" w:color="auto"/>
            <w:bottom w:val="none" w:sz="0" w:space="0" w:color="auto"/>
            <w:right w:val="none" w:sz="0" w:space="0" w:color="auto"/>
          </w:divBdr>
        </w:div>
        <w:div w:id="1809009182">
          <w:marLeft w:val="1166"/>
          <w:marRight w:val="0"/>
          <w:marTop w:val="96"/>
          <w:marBottom w:val="0"/>
          <w:divBdr>
            <w:top w:val="none" w:sz="0" w:space="0" w:color="auto"/>
            <w:left w:val="none" w:sz="0" w:space="0" w:color="auto"/>
            <w:bottom w:val="none" w:sz="0" w:space="0" w:color="auto"/>
            <w:right w:val="none" w:sz="0" w:space="0" w:color="auto"/>
          </w:divBdr>
        </w:div>
        <w:div w:id="1988894723">
          <w:marLeft w:val="1166"/>
          <w:marRight w:val="0"/>
          <w:marTop w:val="86"/>
          <w:marBottom w:val="0"/>
          <w:divBdr>
            <w:top w:val="none" w:sz="0" w:space="0" w:color="auto"/>
            <w:left w:val="none" w:sz="0" w:space="0" w:color="auto"/>
            <w:bottom w:val="none" w:sz="0" w:space="0" w:color="auto"/>
            <w:right w:val="none" w:sz="0" w:space="0" w:color="auto"/>
          </w:divBdr>
        </w:div>
      </w:divsChild>
    </w:div>
    <w:div w:id="988366309">
      <w:bodyDiv w:val="1"/>
      <w:marLeft w:val="0"/>
      <w:marRight w:val="0"/>
      <w:marTop w:val="0"/>
      <w:marBottom w:val="0"/>
      <w:divBdr>
        <w:top w:val="none" w:sz="0" w:space="0" w:color="auto"/>
        <w:left w:val="none" w:sz="0" w:space="0" w:color="auto"/>
        <w:bottom w:val="none" w:sz="0" w:space="0" w:color="auto"/>
        <w:right w:val="none" w:sz="0" w:space="0" w:color="auto"/>
      </w:divBdr>
    </w:div>
    <w:div w:id="988555896">
      <w:bodyDiv w:val="1"/>
      <w:marLeft w:val="0"/>
      <w:marRight w:val="0"/>
      <w:marTop w:val="0"/>
      <w:marBottom w:val="0"/>
      <w:divBdr>
        <w:top w:val="none" w:sz="0" w:space="0" w:color="auto"/>
        <w:left w:val="none" w:sz="0" w:space="0" w:color="auto"/>
        <w:bottom w:val="none" w:sz="0" w:space="0" w:color="auto"/>
        <w:right w:val="none" w:sz="0" w:space="0" w:color="auto"/>
      </w:divBdr>
    </w:div>
    <w:div w:id="988945907">
      <w:bodyDiv w:val="1"/>
      <w:marLeft w:val="0"/>
      <w:marRight w:val="0"/>
      <w:marTop w:val="0"/>
      <w:marBottom w:val="0"/>
      <w:divBdr>
        <w:top w:val="none" w:sz="0" w:space="0" w:color="auto"/>
        <w:left w:val="none" w:sz="0" w:space="0" w:color="auto"/>
        <w:bottom w:val="none" w:sz="0" w:space="0" w:color="auto"/>
        <w:right w:val="none" w:sz="0" w:space="0" w:color="auto"/>
      </w:divBdr>
    </w:div>
    <w:div w:id="989554930">
      <w:bodyDiv w:val="1"/>
      <w:marLeft w:val="0"/>
      <w:marRight w:val="0"/>
      <w:marTop w:val="0"/>
      <w:marBottom w:val="0"/>
      <w:divBdr>
        <w:top w:val="none" w:sz="0" w:space="0" w:color="auto"/>
        <w:left w:val="none" w:sz="0" w:space="0" w:color="auto"/>
        <w:bottom w:val="none" w:sz="0" w:space="0" w:color="auto"/>
        <w:right w:val="none" w:sz="0" w:space="0" w:color="auto"/>
      </w:divBdr>
    </w:div>
    <w:div w:id="990522968">
      <w:bodyDiv w:val="1"/>
      <w:marLeft w:val="0"/>
      <w:marRight w:val="0"/>
      <w:marTop w:val="0"/>
      <w:marBottom w:val="0"/>
      <w:divBdr>
        <w:top w:val="none" w:sz="0" w:space="0" w:color="auto"/>
        <w:left w:val="none" w:sz="0" w:space="0" w:color="auto"/>
        <w:bottom w:val="none" w:sz="0" w:space="0" w:color="auto"/>
        <w:right w:val="none" w:sz="0" w:space="0" w:color="auto"/>
      </w:divBdr>
    </w:div>
    <w:div w:id="990527100">
      <w:bodyDiv w:val="1"/>
      <w:marLeft w:val="0"/>
      <w:marRight w:val="0"/>
      <w:marTop w:val="0"/>
      <w:marBottom w:val="0"/>
      <w:divBdr>
        <w:top w:val="none" w:sz="0" w:space="0" w:color="auto"/>
        <w:left w:val="none" w:sz="0" w:space="0" w:color="auto"/>
        <w:bottom w:val="none" w:sz="0" w:space="0" w:color="auto"/>
        <w:right w:val="none" w:sz="0" w:space="0" w:color="auto"/>
      </w:divBdr>
    </w:div>
    <w:div w:id="991520192">
      <w:bodyDiv w:val="1"/>
      <w:marLeft w:val="0"/>
      <w:marRight w:val="0"/>
      <w:marTop w:val="0"/>
      <w:marBottom w:val="0"/>
      <w:divBdr>
        <w:top w:val="none" w:sz="0" w:space="0" w:color="auto"/>
        <w:left w:val="none" w:sz="0" w:space="0" w:color="auto"/>
        <w:bottom w:val="none" w:sz="0" w:space="0" w:color="auto"/>
        <w:right w:val="none" w:sz="0" w:space="0" w:color="auto"/>
      </w:divBdr>
    </w:div>
    <w:div w:id="991714086">
      <w:bodyDiv w:val="1"/>
      <w:marLeft w:val="0"/>
      <w:marRight w:val="0"/>
      <w:marTop w:val="0"/>
      <w:marBottom w:val="0"/>
      <w:divBdr>
        <w:top w:val="none" w:sz="0" w:space="0" w:color="auto"/>
        <w:left w:val="none" w:sz="0" w:space="0" w:color="auto"/>
        <w:bottom w:val="none" w:sz="0" w:space="0" w:color="auto"/>
        <w:right w:val="none" w:sz="0" w:space="0" w:color="auto"/>
      </w:divBdr>
    </w:div>
    <w:div w:id="992367589">
      <w:bodyDiv w:val="1"/>
      <w:marLeft w:val="0"/>
      <w:marRight w:val="0"/>
      <w:marTop w:val="0"/>
      <w:marBottom w:val="0"/>
      <w:divBdr>
        <w:top w:val="none" w:sz="0" w:space="0" w:color="auto"/>
        <w:left w:val="none" w:sz="0" w:space="0" w:color="auto"/>
        <w:bottom w:val="none" w:sz="0" w:space="0" w:color="auto"/>
        <w:right w:val="none" w:sz="0" w:space="0" w:color="auto"/>
      </w:divBdr>
    </w:div>
    <w:div w:id="992635613">
      <w:bodyDiv w:val="1"/>
      <w:marLeft w:val="0"/>
      <w:marRight w:val="0"/>
      <w:marTop w:val="0"/>
      <w:marBottom w:val="0"/>
      <w:divBdr>
        <w:top w:val="none" w:sz="0" w:space="0" w:color="auto"/>
        <w:left w:val="none" w:sz="0" w:space="0" w:color="auto"/>
        <w:bottom w:val="none" w:sz="0" w:space="0" w:color="auto"/>
        <w:right w:val="none" w:sz="0" w:space="0" w:color="auto"/>
      </w:divBdr>
    </w:div>
    <w:div w:id="992875780">
      <w:bodyDiv w:val="1"/>
      <w:marLeft w:val="0"/>
      <w:marRight w:val="0"/>
      <w:marTop w:val="0"/>
      <w:marBottom w:val="0"/>
      <w:divBdr>
        <w:top w:val="none" w:sz="0" w:space="0" w:color="auto"/>
        <w:left w:val="none" w:sz="0" w:space="0" w:color="auto"/>
        <w:bottom w:val="none" w:sz="0" w:space="0" w:color="auto"/>
        <w:right w:val="none" w:sz="0" w:space="0" w:color="auto"/>
      </w:divBdr>
      <w:divsChild>
        <w:div w:id="565067089">
          <w:marLeft w:val="1166"/>
          <w:marRight w:val="0"/>
          <w:marTop w:val="96"/>
          <w:marBottom w:val="0"/>
          <w:divBdr>
            <w:top w:val="none" w:sz="0" w:space="0" w:color="auto"/>
            <w:left w:val="none" w:sz="0" w:space="0" w:color="auto"/>
            <w:bottom w:val="none" w:sz="0" w:space="0" w:color="auto"/>
            <w:right w:val="none" w:sz="0" w:space="0" w:color="auto"/>
          </w:divBdr>
        </w:div>
        <w:div w:id="820272473">
          <w:marLeft w:val="547"/>
          <w:marRight w:val="0"/>
          <w:marTop w:val="115"/>
          <w:marBottom w:val="0"/>
          <w:divBdr>
            <w:top w:val="none" w:sz="0" w:space="0" w:color="auto"/>
            <w:left w:val="none" w:sz="0" w:space="0" w:color="auto"/>
            <w:bottom w:val="none" w:sz="0" w:space="0" w:color="auto"/>
            <w:right w:val="none" w:sz="0" w:space="0" w:color="auto"/>
          </w:divBdr>
        </w:div>
        <w:div w:id="1364091415">
          <w:marLeft w:val="547"/>
          <w:marRight w:val="0"/>
          <w:marTop w:val="115"/>
          <w:marBottom w:val="0"/>
          <w:divBdr>
            <w:top w:val="none" w:sz="0" w:space="0" w:color="auto"/>
            <w:left w:val="none" w:sz="0" w:space="0" w:color="auto"/>
            <w:bottom w:val="none" w:sz="0" w:space="0" w:color="auto"/>
            <w:right w:val="none" w:sz="0" w:space="0" w:color="auto"/>
          </w:divBdr>
        </w:div>
        <w:div w:id="1409498282">
          <w:marLeft w:val="1166"/>
          <w:marRight w:val="0"/>
          <w:marTop w:val="96"/>
          <w:marBottom w:val="0"/>
          <w:divBdr>
            <w:top w:val="none" w:sz="0" w:space="0" w:color="auto"/>
            <w:left w:val="none" w:sz="0" w:space="0" w:color="auto"/>
            <w:bottom w:val="none" w:sz="0" w:space="0" w:color="auto"/>
            <w:right w:val="none" w:sz="0" w:space="0" w:color="auto"/>
          </w:divBdr>
        </w:div>
        <w:div w:id="1509834240">
          <w:marLeft w:val="1166"/>
          <w:marRight w:val="0"/>
          <w:marTop w:val="96"/>
          <w:marBottom w:val="0"/>
          <w:divBdr>
            <w:top w:val="none" w:sz="0" w:space="0" w:color="auto"/>
            <w:left w:val="none" w:sz="0" w:space="0" w:color="auto"/>
            <w:bottom w:val="none" w:sz="0" w:space="0" w:color="auto"/>
            <w:right w:val="none" w:sz="0" w:space="0" w:color="auto"/>
          </w:divBdr>
        </w:div>
        <w:div w:id="1730106600">
          <w:marLeft w:val="547"/>
          <w:marRight w:val="0"/>
          <w:marTop w:val="115"/>
          <w:marBottom w:val="0"/>
          <w:divBdr>
            <w:top w:val="none" w:sz="0" w:space="0" w:color="auto"/>
            <w:left w:val="none" w:sz="0" w:space="0" w:color="auto"/>
            <w:bottom w:val="none" w:sz="0" w:space="0" w:color="auto"/>
            <w:right w:val="none" w:sz="0" w:space="0" w:color="auto"/>
          </w:divBdr>
        </w:div>
        <w:div w:id="2030641719">
          <w:marLeft w:val="1166"/>
          <w:marRight w:val="0"/>
          <w:marTop w:val="96"/>
          <w:marBottom w:val="0"/>
          <w:divBdr>
            <w:top w:val="none" w:sz="0" w:space="0" w:color="auto"/>
            <w:left w:val="none" w:sz="0" w:space="0" w:color="auto"/>
            <w:bottom w:val="none" w:sz="0" w:space="0" w:color="auto"/>
            <w:right w:val="none" w:sz="0" w:space="0" w:color="auto"/>
          </w:divBdr>
        </w:div>
      </w:divsChild>
    </w:div>
    <w:div w:id="993529881">
      <w:bodyDiv w:val="1"/>
      <w:marLeft w:val="0"/>
      <w:marRight w:val="0"/>
      <w:marTop w:val="0"/>
      <w:marBottom w:val="0"/>
      <w:divBdr>
        <w:top w:val="none" w:sz="0" w:space="0" w:color="auto"/>
        <w:left w:val="none" w:sz="0" w:space="0" w:color="auto"/>
        <w:bottom w:val="none" w:sz="0" w:space="0" w:color="auto"/>
        <w:right w:val="none" w:sz="0" w:space="0" w:color="auto"/>
      </w:divBdr>
    </w:div>
    <w:div w:id="993610718">
      <w:bodyDiv w:val="1"/>
      <w:marLeft w:val="0"/>
      <w:marRight w:val="0"/>
      <w:marTop w:val="0"/>
      <w:marBottom w:val="0"/>
      <w:divBdr>
        <w:top w:val="none" w:sz="0" w:space="0" w:color="auto"/>
        <w:left w:val="none" w:sz="0" w:space="0" w:color="auto"/>
        <w:bottom w:val="none" w:sz="0" w:space="0" w:color="auto"/>
        <w:right w:val="none" w:sz="0" w:space="0" w:color="auto"/>
      </w:divBdr>
      <w:divsChild>
        <w:div w:id="793796474">
          <w:marLeft w:val="1166"/>
          <w:marRight w:val="0"/>
          <w:marTop w:val="139"/>
          <w:marBottom w:val="0"/>
          <w:divBdr>
            <w:top w:val="none" w:sz="0" w:space="0" w:color="auto"/>
            <w:left w:val="none" w:sz="0" w:space="0" w:color="auto"/>
            <w:bottom w:val="none" w:sz="0" w:space="0" w:color="auto"/>
            <w:right w:val="none" w:sz="0" w:space="0" w:color="auto"/>
          </w:divBdr>
        </w:div>
        <w:div w:id="989745990">
          <w:marLeft w:val="547"/>
          <w:marRight w:val="0"/>
          <w:marTop w:val="154"/>
          <w:marBottom w:val="0"/>
          <w:divBdr>
            <w:top w:val="none" w:sz="0" w:space="0" w:color="auto"/>
            <w:left w:val="none" w:sz="0" w:space="0" w:color="auto"/>
            <w:bottom w:val="none" w:sz="0" w:space="0" w:color="auto"/>
            <w:right w:val="none" w:sz="0" w:space="0" w:color="auto"/>
          </w:divBdr>
        </w:div>
        <w:div w:id="1220358776">
          <w:marLeft w:val="547"/>
          <w:marRight w:val="0"/>
          <w:marTop w:val="154"/>
          <w:marBottom w:val="0"/>
          <w:divBdr>
            <w:top w:val="none" w:sz="0" w:space="0" w:color="auto"/>
            <w:left w:val="none" w:sz="0" w:space="0" w:color="auto"/>
            <w:bottom w:val="none" w:sz="0" w:space="0" w:color="auto"/>
            <w:right w:val="none" w:sz="0" w:space="0" w:color="auto"/>
          </w:divBdr>
        </w:div>
        <w:div w:id="1635868994">
          <w:marLeft w:val="1166"/>
          <w:marRight w:val="0"/>
          <w:marTop w:val="139"/>
          <w:marBottom w:val="0"/>
          <w:divBdr>
            <w:top w:val="none" w:sz="0" w:space="0" w:color="auto"/>
            <w:left w:val="none" w:sz="0" w:space="0" w:color="auto"/>
            <w:bottom w:val="none" w:sz="0" w:space="0" w:color="auto"/>
            <w:right w:val="none" w:sz="0" w:space="0" w:color="auto"/>
          </w:divBdr>
        </w:div>
      </w:divsChild>
    </w:div>
    <w:div w:id="993872902">
      <w:bodyDiv w:val="1"/>
      <w:marLeft w:val="0"/>
      <w:marRight w:val="0"/>
      <w:marTop w:val="0"/>
      <w:marBottom w:val="0"/>
      <w:divBdr>
        <w:top w:val="none" w:sz="0" w:space="0" w:color="auto"/>
        <w:left w:val="none" w:sz="0" w:space="0" w:color="auto"/>
        <w:bottom w:val="none" w:sz="0" w:space="0" w:color="auto"/>
        <w:right w:val="none" w:sz="0" w:space="0" w:color="auto"/>
      </w:divBdr>
      <w:divsChild>
        <w:div w:id="152648543">
          <w:marLeft w:val="1166"/>
          <w:marRight w:val="0"/>
          <w:marTop w:val="96"/>
          <w:marBottom w:val="0"/>
          <w:divBdr>
            <w:top w:val="none" w:sz="0" w:space="0" w:color="auto"/>
            <w:left w:val="none" w:sz="0" w:space="0" w:color="auto"/>
            <w:bottom w:val="none" w:sz="0" w:space="0" w:color="auto"/>
            <w:right w:val="none" w:sz="0" w:space="0" w:color="auto"/>
          </w:divBdr>
        </w:div>
        <w:div w:id="165753795">
          <w:marLeft w:val="1166"/>
          <w:marRight w:val="0"/>
          <w:marTop w:val="96"/>
          <w:marBottom w:val="0"/>
          <w:divBdr>
            <w:top w:val="none" w:sz="0" w:space="0" w:color="auto"/>
            <w:left w:val="none" w:sz="0" w:space="0" w:color="auto"/>
            <w:bottom w:val="none" w:sz="0" w:space="0" w:color="auto"/>
            <w:right w:val="none" w:sz="0" w:space="0" w:color="auto"/>
          </w:divBdr>
        </w:div>
        <w:div w:id="836574275">
          <w:marLeft w:val="1800"/>
          <w:marRight w:val="0"/>
          <w:marTop w:val="86"/>
          <w:marBottom w:val="0"/>
          <w:divBdr>
            <w:top w:val="none" w:sz="0" w:space="0" w:color="auto"/>
            <w:left w:val="none" w:sz="0" w:space="0" w:color="auto"/>
            <w:bottom w:val="none" w:sz="0" w:space="0" w:color="auto"/>
            <w:right w:val="none" w:sz="0" w:space="0" w:color="auto"/>
          </w:divBdr>
        </w:div>
        <w:div w:id="911235898">
          <w:marLeft w:val="1166"/>
          <w:marRight w:val="0"/>
          <w:marTop w:val="96"/>
          <w:marBottom w:val="0"/>
          <w:divBdr>
            <w:top w:val="none" w:sz="0" w:space="0" w:color="auto"/>
            <w:left w:val="none" w:sz="0" w:space="0" w:color="auto"/>
            <w:bottom w:val="none" w:sz="0" w:space="0" w:color="auto"/>
            <w:right w:val="none" w:sz="0" w:space="0" w:color="auto"/>
          </w:divBdr>
        </w:div>
        <w:div w:id="932936591">
          <w:marLeft w:val="1166"/>
          <w:marRight w:val="0"/>
          <w:marTop w:val="96"/>
          <w:marBottom w:val="0"/>
          <w:divBdr>
            <w:top w:val="none" w:sz="0" w:space="0" w:color="auto"/>
            <w:left w:val="none" w:sz="0" w:space="0" w:color="auto"/>
            <w:bottom w:val="none" w:sz="0" w:space="0" w:color="auto"/>
            <w:right w:val="none" w:sz="0" w:space="0" w:color="auto"/>
          </w:divBdr>
        </w:div>
        <w:div w:id="960456024">
          <w:marLeft w:val="547"/>
          <w:marRight w:val="0"/>
          <w:marTop w:val="115"/>
          <w:marBottom w:val="0"/>
          <w:divBdr>
            <w:top w:val="none" w:sz="0" w:space="0" w:color="auto"/>
            <w:left w:val="none" w:sz="0" w:space="0" w:color="auto"/>
            <w:bottom w:val="none" w:sz="0" w:space="0" w:color="auto"/>
            <w:right w:val="none" w:sz="0" w:space="0" w:color="auto"/>
          </w:divBdr>
        </w:div>
        <w:div w:id="1479035512">
          <w:marLeft w:val="1166"/>
          <w:marRight w:val="0"/>
          <w:marTop w:val="96"/>
          <w:marBottom w:val="0"/>
          <w:divBdr>
            <w:top w:val="none" w:sz="0" w:space="0" w:color="auto"/>
            <w:left w:val="none" w:sz="0" w:space="0" w:color="auto"/>
            <w:bottom w:val="none" w:sz="0" w:space="0" w:color="auto"/>
            <w:right w:val="none" w:sz="0" w:space="0" w:color="auto"/>
          </w:divBdr>
        </w:div>
        <w:div w:id="2009406437">
          <w:marLeft w:val="1800"/>
          <w:marRight w:val="0"/>
          <w:marTop w:val="86"/>
          <w:marBottom w:val="0"/>
          <w:divBdr>
            <w:top w:val="none" w:sz="0" w:space="0" w:color="auto"/>
            <w:left w:val="none" w:sz="0" w:space="0" w:color="auto"/>
            <w:bottom w:val="none" w:sz="0" w:space="0" w:color="auto"/>
            <w:right w:val="none" w:sz="0" w:space="0" w:color="auto"/>
          </w:divBdr>
        </w:div>
      </w:divsChild>
    </w:div>
    <w:div w:id="994258875">
      <w:bodyDiv w:val="1"/>
      <w:marLeft w:val="0"/>
      <w:marRight w:val="0"/>
      <w:marTop w:val="0"/>
      <w:marBottom w:val="0"/>
      <w:divBdr>
        <w:top w:val="none" w:sz="0" w:space="0" w:color="auto"/>
        <w:left w:val="none" w:sz="0" w:space="0" w:color="auto"/>
        <w:bottom w:val="none" w:sz="0" w:space="0" w:color="auto"/>
        <w:right w:val="none" w:sz="0" w:space="0" w:color="auto"/>
      </w:divBdr>
      <w:divsChild>
        <w:div w:id="320502016">
          <w:marLeft w:val="1166"/>
          <w:marRight w:val="0"/>
          <w:marTop w:val="115"/>
          <w:marBottom w:val="0"/>
          <w:divBdr>
            <w:top w:val="none" w:sz="0" w:space="0" w:color="auto"/>
            <w:left w:val="none" w:sz="0" w:space="0" w:color="auto"/>
            <w:bottom w:val="none" w:sz="0" w:space="0" w:color="auto"/>
            <w:right w:val="none" w:sz="0" w:space="0" w:color="auto"/>
          </w:divBdr>
        </w:div>
        <w:div w:id="715274733">
          <w:marLeft w:val="2520"/>
          <w:marRight w:val="0"/>
          <w:marTop w:val="77"/>
          <w:marBottom w:val="0"/>
          <w:divBdr>
            <w:top w:val="none" w:sz="0" w:space="0" w:color="auto"/>
            <w:left w:val="none" w:sz="0" w:space="0" w:color="auto"/>
            <w:bottom w:val="none" w:sz="0" w:space="0" w:color="auto"/>
            <w:right w:val="none" w:sz="0" w:space="0" w:color="auto"/>
          </w:divBdr>
        </w:div>
        <w:div w:id="1012685079">
          <w:marLeft w:val="1800"/>
          <w:marRight w:val="0"/>
          <w:marTop w:val="96"/>
          <w:marBottom w:val="0"/>
          <w:divBdr>
            <w:top w:val="none" w:sz="0" w:space="0" w:color="auto"/>
            <w:left w:val="none" w:sz="0" w:space="0" w:color="auto"/>
            <w:bottom w:val="none" w:sz="0" w:space="0" w:color="auto"/>
            <w:right w:val="none" w:sz="0" w:space="0" w:color="auto"/>
          </w:divBdr>
        </w:div>
        <w:div w:id="1855991629">
          <w:marLeft w:val="1800"/>
          <w:marRight w:val="0"/>
          <w:marTop w:val="96"/>
          <w:marBottom w:val="0"/>
          <w:divBdr>
            <w:top w:val="none" w:sz="0" w:space="0" w:color="auto"/>
            <w:left w:val="none" w:sz="0" w:space="0" w:color="auto"/>
            <w:bottom w:val="none" w:sz="0" w:space="0" w:color="auto"/>
            <w:right w:val="none" w:sz="0" w:space="0" w:color="auto"/>
          </w:divBdr>
        </w:div>
        <w:div w:id="2122722152">
          <w:marLeft w:val="1166"/>
          <w:marRight w:val="0"/>
          <w:marTop w:val="115"/>
          <w:marBottom w:val="0"/>
          <w:divBdr>
            <w:top w:val="none" w:sz="0" w:space="0" w:color="auto"/>
            <w:left w:val="none" w:sz="0" w:space="0" w:color="auto"/>
            <w:bottom w:val="none" w:sz="0" w:space="0" w:color="auto"/>
            <w:right w:val="none" w:sz="0" w:space="0" w:color="auto"/>
          </w:divBdr>
        </w:div>
        <w:div w:id="2139251753">
          <w:marLeft w:val="547"/>
          <w:marRight w:val="0"/>
          <w:marTop w:val="134"/>
          <w:marBottom w:val="0"/>
          <w:divBdr>
            <w:top w:val="none" w:sz="0" w:space="0" w:color="auto"/>
            <w:left w:val="none" w:sz="0" w:space="0" w:color="auto"/>
            <w:bottom w:val="none" w:sz="0" w:space="0" w:color="auto"/>
            <w:right w:val="none" w:sz="0" w:space="0" w:color="auto"/>
          </w:divBdr>
        </w:div>
      </w:divsChild>
    </w:div>
    <w:div w:id="1001392081">
      <w:bodyDiv w:val="1"/>
      <w:marLeft w:val="0"/>
      <w:marRight w:val="0"/>
      <w:marTop w:val="0"/>
      <w:marBottom w:val="0"/>
      <w:divBdr>
        <w:top w:val="none" w:sz="0" w:space="0" w:color="auto"/>
        <w:left w:val="none" w:sz="0" w:space="0" w:color="auto"/>
        <w:bottom w:val="none" w:sz="0" w:space="0" w:color="auto"/>
        <w:right w:val="none" w:sz="0" w:space="0" w:color="auto"/>
      </w:divBdr>
    </w:div>
    <w:div w:id="1003975056">
      <w:bodyDiv w:val="1"/>
      <w:marLeft w:val="0"/>
      <w:marRight w:val="0"/>
      <w:marTop w:val="0"/>
      <w:marBottom w:val="0"/>
      <w:divBdr>
        <w:top w:val="none" w:sz="0" w:space="0" w:color="auto"/>
        <w:left w:val="none" w:sz="0" w:space="0" w:color="auto"/>
        <w:bottom w:val="none" w:sz="0" w:space="0" w:color="auto"/>
        <w:right w:val="none" w:sz="0" w:space="0" w:color="auto"/>
      </w:divBdr>
    </w:div>
    <w:div w:id="1006517317">
      <w:bodyDiv w:val="1"/>
      <w:marLeft w:val="0"/>
      <w:marRight w:val="0"/>
      <w:marTop w:val="0"/>
      <w:marBottom w:val="0"/>
      <w:divBdr>
        <w:top w:val="none" w:sz="0" w:space="0" w:color="auto"/>
        <w:left w:val="none" w:sz="0" w:space="0" w:color="auto"/>
        <w:bottom w:val="none" w:sz="0" w:space="0" w:color="auto"/>
        <w:right w:val="none" w:sz="0" w:space="0" w:color="auto"/>
      </w:divBdr>
    </w:div>
    <w:div w:id="1007294509">
      <w:bodyDiv w:val="1"/>
      <w:marLeft w:val="0"/>
      <w:marRight w:val="0"/>
      <w:marTop w:val="0"/>
      <w:marBottom w:val="0"/>
      <w:divBdr>
        <w:top w:val="none" w:sz="0" w:space="0" w:color="auto"/>
        <w:left w:val="none" w:sz="0" w:space="0" w:color="auto"/>
        <w:bottom w:val="none" w:sz="0" w:space="0" w:color="auto"/>
        <w:right w:val="none" w:sz="0" w:space="0" w:color="auto"/>
      </w:divBdr>
    </w:div>
    <w:div w:id="1007557052">
      <w:bodyDiv w:val="1"/>
      <w:marLeft w:val="0"/>
      <w:marRight w:val="0"/>
      <w:marTop w:val="0"/>
      <w:marBottom w:val="0"/>
      <w:divBdr>
        <w:top w:val="none" w:sz="0" w:space="0" w:color="auto"/>
        <w:left w:val="none" w:sz="0" w:space="0" w:color="auto"/>
        <w:bottom w:val="none" w:sz="0" w:space="0" w:color="auto"/>
        <w:right w:val="none" w:sz="0" w:space="0" w:color="auto"/>
      </w:divBdr>
    </w:div>
    <w:div w:id="1009719858">
      <w:bodyDiv w:val="1"/>
      <w:marLeft w:val="0"/>
      <w:marRight w:val="0"/>
      <w:marTop w:val="0"/>
      <w:marBottom w:val="0"/>
      <w:divBdr>
        <w:top w:val="none" w:sz="0" w:space="0" w:color="auto"/>
        <w:left w:val="none" w:sz="0" w:space="0" w:color="auto"/>
        <w:bottom w:val="none" w:sz="0" w:space="0" w:color="auto"/>
        <w:right w:val="none" w:sz="0" w:space="0" w:color="auto"/>
      </w:divBdr>
    </w:div>
    <w:div w:id="1010134282">
      <w:bodyDiv w:val="1"/>
      <w:marLeft w:val="0"/>
      <w:marRight w:val="0"/>
      <w:marTop w:val="0"/>
      <w:marBottom w:val="0"/>
      <w:divBdr>
        <w:top w:val="none" w:sz="0" w:space="0" w:color="auto"/>
        <w:left w:val="none" w:sz="0" w:space="0" w:color="auto"/>
        <w:bottom w:val="none" w:sz="0" w:space="0" w:color="auto"/>
        <w:right w:val="none" w:sz="0" w:space="0" w:color="auto"/>
      </w:divBdr>
    </w:div>
    <w:div w:id="1010906838">
      <w:bodyDiv w:val="1"/>
      <w:marLeft w:val="0"/>
      <w:marRight w:val="0"/>
      <w:marTop w:val="0"/>
      <w:marBottom w:val="0"/>
      <w:divBdr>
        <w:top w:val="none" w:sz="0" w:space="0" w:color="auto"/>
        <w:left w:val="none" w:sz="0" w:space="0" w:color="auto"/>
        <w:bottom w:val="none" w:sz="0" w:space="0" w:color="auto"/>
        <w:right w:val="none" w:sz="0" w:space="0" w:color="auto"/>
      </w:divBdr>
      <w:divsChild>
        <w:div w:id="116263852">
          <w:marLeft w:val="1080"/>
          <w:marRight w:val="0"/>
          <w:marTop w:val="100"/>
          <w:marBottom w:val="0"/>
          <w:divBdr>
            <w:top w:val="none" w:sz="0" w:space="0" w:color="auto"/>
            <w:left w:val="none" w:sz="0" w:space="0" w:color="auto"/>
            <w:bottom w:val="none" w:sz="0" w:space="0" w:color="auto"/>
            <w:right w:val="none" w:sz="0" w:space="0" w:color="auto"/>
          </w:divBdr>
        </w:div>
        <w:div w:id="197158222">
          <w:marLeft w:val="1800"/>
          <w:marRight w:val="0"/>
          <w:marTop w:val="100"/>
          <w:marBottom w:val="0"/>
          <w:divBdr>
            <w:top w:val="none" w:sz="0" w:space="0" w:color="auto"/>
            <w:left w:val="none" w:sz="0" w:space="0" w:color="auto"/>
            <w:bottom w:val="none" w:sz="0" w:space="0" w:color="auto"/>
            <w:right w:val="none" w:sz="0" w:space="0" w:color="auto"/>
          </w:divBdr>
        </w:div>
        <w:div w:id="561139181">
          <w:marLeft w:val="360"/>
          <w:marRight w:val="0"/>
          <w:marTop w:val="200"/>
          <w:marBottom w:val="0"/>
          <w:divBdr>
            <w:top w:val="none" w:sz="0" w:space="0" w:color="auto"/>
            <w:left w:val="none" w:sz="0" w:space="0" w:color="auto"/>
            <w:bottom w:val="none" w:sz="0" w:space="0" w:color="auto"/>
            <w:right w:val="none" w:sz="0" w:space="0" w:color="auto"/>
          </w:divBdr>
        </w:div>
        <w:div w:id="1284144581">
          <w:marLeft w:val="1080"/>
          <w:marRight w:val="0"/>
          <w:marTop w:val="100"/>
          <w:marBottom w:val="0"/>
          <w:divBdr>
            <w:top w:val="none" w:sz="0" w:space="0" w:color="auto"/>
            <w:left w:val="none" w:sz="0" w:space="0" w:color="auto"/>
            <w:bottom w:val="none" w:sz="0" w:space="0" w:color="auto"/>
            <w:right w:val="none" w:sz="0" w:space="0" w:color="auto"/>
          </w:divBdr>
        </w:div>
        <w:div w:id="1818573816">
          <w:marLeft w:val="1080"/>
          <w:marRight w:val="0"/>
          <w:marTop w:val="100"/>
          <w:marBottom w:val="0"/>
          <w:divBdr>
            <w:top w:val="none" w:sz="0" w:space="0" w:color="auto"/>
            <w:left w:val="none" w:sz="0" w:space="0" w:color="auto"/>
            <w:bottom w:val="none" w:sz="0" w:space="0" w:color="auto"/>
            <w:right w:val="none" w:sz="0" w:space="0" w:color="auto"/>
          </w:divBdr>
        </w:div>
        <w:div w:id="1849636022">
          <w:marLeft w:val="360"/>
          <w:marRight w:val="0"/>
          <w:marTop w:val="200"/>
          <w:marBottom w:val="0"/>
          <w:divBdr>
            <w:top w:val="none" w:sz="0" w:space="0" w:color="auto"/>
            <w:left w:val="none" w:sz="0" w:space="0" w:color="auto"/>
            <w:bottom w:val="none" w:sz="0" w:space="0" w:color="auto"/>
            <w:right w:val="none" w:sz="0" w:space="0" w:color="auto"/>
          </w:divBdr>
        </w:div>
      </w:divsChild>
    </w:div>
    <w:div w:id="1011641063">
      <w:bodyDiv w:val="1"/>
      <w:marLeft w:val="0"/>
      <w:marRight w:val="0"/>
      <w:marTop w:val="0"/>
      <w:marBottom w:val="0"/>
      <w:divBdr>
        <w:top w:val="none" w:sz="0" w:space="0" w:color="auto"/>
        <w:left w:val="none" w:sz="0" w:space="0" w:color="auto"/>
        <w:bottom w:val="none" w:sz="0" w:space="0" w:color="auto"/>
        <w:right w:val="none" w:sz="0" w:space="0" w:color="auto"/>
      </w:divBdr>
    </w:div>
    <w:div w:id="1012143925">
      <w:bodyDiv w:val="1"/>
      <w:marLeft w:val="0"/>
      <w:marRight w:val="0"/>
      <w:marTop w:val="0"/>
      <w:marBottom w:val="0"/>
      <w:divBdr>
        <w:top w:val="none" w:sz="0" w:space="0" w:color="auto"/>
        <w:left w:val="none" w:sz="0" w:space="0" w:color="auto"/>
        <w:bottom w:val="none" w:sz="0" w:space="0" w:color="auto"/>
        <w:right w:val="none" w:sz="0" w:space="0" w:color="auto"/>
      </w:divBdr>
    </w:div>
    <w:div w:id="1012298494">
      <w:bodyDiv w:val="1"/>
      <w:marLeft w:val="0"/>
      <w:marRight w:val="0"/>
      <w:marTop w:val="0"/>
      <w:marBottom w:val="0"/>
      <w:divBdr>
        <w:top w:val="none" w:sz="0" w:space="0" w:color="auto"/>
        <w:left w:val="none" w:sz="0" w:space="0" w:color="auto"/>
        <w:bottom w:val="none" w:sz="0" w:space="0" w:color="auto"/>
        <w:right w:val="none" w:sz="0" w:space="0" w:color="auto"/>
      </w:divBdr>
    </w:div>
    <w:div w:id="1012994693">
      <w:bodyDiv w:val="1"/>
      <w:marLeft w:val="0"/>
      <w:marRight w:val="0"/>
      <w:marTop w:val="0"/>
      <w:marBottom w:val="0"/>
      <w:divBdr>
        <w:top w:val="none" w:sz="0" w:space="0" w:color="auto"/>
        <w:left w:val="none" w:sz="0" w:space="0" w:color="auto"/>
        <w:bottom w:val="none" w:sz="0" w:space="0" w:color="auto"/>
        <w:right w:val="none" w:sz="0" w:space="0" w:color="auto"/>
      </w:divBdr>
    </w:div>
    <w:div w:id="1013266693">
      <w:bodyDiv w:val="1"/>
      <w:marLeft w:val="0"/>
      <w:marRight w:val="0"/>
      <w:marTop w:val="0"/>
      <w:marBottom w:val="0"/>
      <w:divBdr>
        <w:top w:val="none" w:sz="0" w:space="0" w:color="auto"/>
        <w:left w:val="none" w:sz="0" w:space="0" w:color="auto"/>
        <w:bottom w:val="none" w:sz="0" w:space="0" w:color="auto"/>
        <w:right w:val="none" w:sz="0" w:space="0" w:color="auto"/>
      </w:divBdr>
    </w:div>
    <w:div w:id="1013923913">
      <w:bodyDiv w:val="1"/>
      <w:marLeft w:val="0"/>
      <w:marRight w:val="0"/>
      <w:marTop w:val="0"/>
      <w:marBottom w:val="0"/>
      <w:divBdr>
        <w:top w:val="none" w:sz="0" w:space="0" w:color="auto"/>
        <w:left w:val="none" w:sz="0" w:space="0" w:color="auto"/>
        <w:bottom w:val="none" w:sz="0" w:space="0" w:color="auto"/>
        <w:right w:val="none" w:sz="0" w:space="0" w:color="auto"/>
      </w:divBdr>
    </w:div>
    <w:div w:id="1014915308">
      <w:bodyDiv w:val="1"/>
      <w:marLeft w:val="0"/>
      <w:marRight w:val="0"/>
      <w:marTop w:val="0"/>
      <w:marBottom w:val="0"/>
      <w:divBdr>
        <w:top w:val="none" w:sz="0" w:space="0" w:color="auto"/>
        <w:left w:val="none" w:sz="0" w:space="0" w:color="auto"/>
        <w:bottom w:val="none" w:sz="0" w:space="0" w:color="auto"/>
        <w:right w:val="none" w:sz="0" w:space="0" w:color="auto"/>
      </w:divBdr>
    </w:div>
    <w:div w:id="1015503203">
      <w:bodyDiv w:val="1"/>
      <w:marLeft w:val="0"/>
      <w:marRight w:val="0"/>
      <w:marTop w:val="0"/>
      <w:marBottom w:val="0"/>
      <w:divBdr>
        <w:top w:val="none" w:sz="0" w:space="0" w:color="auto"/>
        <w:left w:val="none" w:sz="0" w:space="0" w:color="auto"/>
        <w:bottom w:val="none" w:sz="0" w:space="0" w:color="auto"/>
        <w:right w:val="none" w:sz="0" w:space="0" w:color="auto"/>
      </w:divBdr>
    </w:div>
    <w:div w:id="1016928568">
      <w:bodyDiv w:val="1"/>
      <w:marLeft w:val="0"/>
      <w:marRight w:val="0"/>
      <w:marTop w:val="0"/>
      <w:marBottom w:val="0"/>
      <w:divBdr>
        <w:top w:val="none" w:sz="0" w:space="0" w:color="auto"/>
        <w:left w:val="none" w:sz="0" w:space="0" w:color="auto"/>
        <w:bottom w:val="none" w:sz="0" w:space="0" w:color="auto"/>
        <w:right w:val="none" w:sz="0" w:space="0" w:color="auto"/>
      </w:divBdr>
    </w:div>
    <w:div w:id="1017657183">
      <w:bodyDiv w:val="1"/>
      <w:marLeft w:val="0"/>
      <w:marRight w:val="0"/>
      <w:marTop w:val="0"/>
      <w:marBottom w:val="0"/>
      <w:divBdr>
        <w:top w:val="none" w:sz="0" w:space="0" w:color="auto"/>
        <w:left w:val="none" w:sz="0" w:space="0" w:color="auto"/>
        <w:bottom w:val="none" w:sz="0" w:space="0" w:color="auto"/>
        <w:right w:val="none" w:sz="0" w:space="0" w:color="auto"/>
      </w:divBdr>
    </w:div>
    <w:div w:id="1017849052">
      <w:bodyDiv w:val="1"/>
      <w:marLeft w:val="0"/>
      <w:marRight w:val="0"/>
      <w:marTop w:val="0"/>
      <w:marBottom w:val="0"/>
      <w:divBdr>
        <w:top w:val="none" w:sz="0" w:space="0" w:color="auto"/>
        <w:left w:val="none" w:sz="0" w:space="0" w:color="auto"/>
        <w:bottom w:val="none" w:sz="0" w:space="0" w:color="auto"/>
        <w:right w:val="none" w:sz="0" w:space="0" w:color="auto"/>
      </w:divBdr>
      <w:divsChild>
        <w:div w:id="111168851">
          <w:marLeft w:val="547"/>
          <w:marRight w:val="0"/>
          <w:marTop w:val="115"/>
          <w:marBottom w:val="0"/>
          <w:divBdr>
            <w:top w:val="none" w:sz="0" w:space="0" w:color="auto"/>
            <w:left w:val="none" w:sz="0" w:space="0" w:color="auto"/>
            <w:bottom w:val="none" w:sz="0" w:space="0" w:color="auto"/>
            <w:right w:val="none" w:sz="0" w:space="0" w:color="auto"/>
          </w:divBdr>
        </w:div>
        <w:div w:id="857352166">
          <w:marLeft w:val="1166"/>
          <w:marRight w:val="0"/>
          <w:marTop w:val="115"/>
          <w:marBottom w:val="0"/>
          <w:divBdr>
            <w:top w:val="none" w:sz="0" w:space="0" w:color="auto"/>
            <w:left w:val="none" w:sz="0" w:space="0" w:color="auto"/>
            <w:bottom w:val="none" w:sz="0" w:space="0" w:color="auto"/>
            <w:right w:val="none" w:sz="0" w:space="0" w:color="auto"/>
          </w:divBdr>
        </w:div>
        <w:div w:id="1132553447">
          <w:marLeft w:val="1166"/>
          <w:marRight w:val="0"/>
          <w:marTop w:val="96"/>
          <w:marBottom w:val="0"/>
          <w:divBdr>
            <w:top w:val="none" w:sz="0" w:space="0" w:color="auto"/>
            <w:left w:val="none" w:sz="0" w:space="0" w:color="auto"/>
            <w:bottom w:val="none" w:sz="0" w:space="0" w:color="auto"/>
            <w:right w:val="none" w:sz="0" w:space="0" w:color="auto"/>
          </w:divBdr>
        </w:div>
        <w:div w:id="1726834309">
          <w:marLeft w:val="1166"/>
          <w:marRight w:val="0"/>
          <w:marTop w:val="96"/>
          <w:marBottom w:val="0"/>
          <w:divBdr>
            <w:top w:val="none" w:sz="0" w:space="0" w:color="auto"/>
            <w:left w:val="none" w:sz="0" w:space="0" w:color="auto"/>
            <w:bottom w:val="none" w:sz="0" w:space="0" w:color="auto"/>
            <w:right w:val="none" w:sz="0" w:space="0" w:color="auto"/>
          </w:divBdr>
        </w:div>
        <w:div w:id="1730881622">
          <w:marLeft w:val="547"/>
          <w:marRight w:val="0"/>
          <w:marTop w:val="115"/>
          <w:marBottom w:val="0"/>
          <w:divBdr>
            <w:top w:val="none" w:sz="0" w:space="0" w:color="auto"/>
            <w:left w:val="none" w:sz="0" w:space="0" w:color="auto"/>
            <w:bottom w:val="none" w:sz="0" w:space="0" w:color="auto"/>
            <w:right w:val="none" w:sz="0" w:space="0" w:color="auto"/>
          </w:divBdr>
        </w:div>
      </w:divsChild>
    </w:div>
    <w:div w:id="1017999612">
      <w:bodyDiv w:val="1"/>
      <w:marLeft w:val="0"/>
      <w:marRight w:val="0"/>
      <w:marTop w:val="0"/>
      <w:marBottom w:val="0"/>
      <w:divBdr>
        <w:top w:val="none" w:sz="0" w:space="0" w:color="auto"/>
        <w:left w:val="none" w:sz="0" w:space="0" w:color="auto"/>
        <w:bottom w:val="none" w:sz="0" w:space="0" w:color="auto"/>
        <w:right w:val="none" w:sz="0" w:space="0" w:color="auto"/>
      </w:divBdr>
    </w:div>
    <w:div w:id="1018239872">
      <w:bodyDiv w:val="1"/>
      <w:marLeft w:val="0"/>
      <w:marRight w:val="0"/>
      <w:marTop w:val="0"/>
      <w:marBottom w:val="0"/>
      <w:divBdr>
        <w:top w:val="none" w:sz="0" w:space="0" w:color="auto"/>
        <w:left w:val="none" w:sz="0" w:space="0" w:color="auto"/>
        <w:bottom w:val="none" w:sz="0" w:space="0" w:color="auto"/>
        <w:right w:val="none" w:sz="0" w:space="0" w:color="auto"/>
      </w:divBdr>
    </w:div>
    <w:div w:id="1018241694">
      <w:bodyDiv w:val="1"/>
      <w:marLeft w:val="0"/>
      <w:marRight w:val="0"/>
      <w:marTop w:val="0"/>
      <w:marBottom w:val="0"/>
      <w:divBdr>
        <w:top w:val="none" w:sz="0" w:space="0" w:color="auto"/>
        <w:left w:val="none" w:sz="0" w:space="0" w:color="auto"/>
        <w:bottom w:val="none" w:sz="0" w:space="0" w:color="auto"/>
        <w:right w:val="none" w:sz="0" w:space="0" w:color="auto"/>
      </w:divBdr>
    </w:div>
    <w:div w:id="1019115661">
      <w:bodyDiv w:val="1"/>
      <w:marLeft w:val="0"/>
      <w:marRight w:val="0"/>
      <w:marTop w:val="0"/>
      <w:marBottom w:val="0"/>
      <w:divBdr>
        <w:top w:val="none" w:sz="0" w:space="0" w:color="auto"/>
        <w:left w:val="none" w:sz="0" w:space="0" w:color="auto"/>
        <w:bottom w:val="none" w:sz="0" w:space="0" w:color="auto"/>
        <w:right w:val="none" w:sz="0" w:space="0" w:color="auto"/>
      </w:divBdr>
      <w:divsChild>
        <w:div w:id="349527094">
          <w:marLeft w:val="1800"/>
          <w:marRight w:val="0"/>
          <w:marTop w:val="100"/>
          <w:marBottom w:val="0"/>
          <w:divBdr>
            <w:top w:val="none" w:sz="0" w:space="0" w:color="auto"/>
            <w:left w:val="none" w:sz="0" w:space="0" w:color="auto"/>
            <w:bottom w:val="none" w:sz="0" w:space="0" w:color="auto"/>
            <w:right w:val="none" w:sz="0" w:space="0" w:color="auto"/>
          </w:divBdr>
        </w:div>
        <w:div w:id="462162734">
          <w:marLeft w:val="1800"/>
          <w:marRight w:val="0"/>
          <w:marTop w:val="100"/>
          <w:marBottom w:val="0"/>
          <w:divBdr>
            <w:top w:val="none" w:sz="0" w:space="0" w:color="auto"/>
            <w:left w:val="none" w:sz="0" w:space="0" w:color="auto"/>
            <w:bottom w:val="none" w:sz="0" w:space="0" w:color="auto"/>
            <w:right w:val="none" w:sz="0" w:space="0" w:color="auto"/>
          </w:divBdr>
        </w:div>
        <w:div w:id="770396734">
          <w:marLeft w:val="1080"/>
          <w:marRight w:val="0"/>
          <w:marTop w:val="100"/>
          <w:marBottom w:val="0"/>
          <w:divBdr>
            <w:top w:val="none" w:sz="0" w:space="0" w:color="auto"/>
            <w:left w:val="none" w:sz="0" w:space="0" w:color="auto"/>
            <w:bottom w:val="none" w:sz="0" w:space="0" w:color="auto"/>
            <w:right w:val="none" w:sz="0" w:space="0" w:color="auto"/>
          </w:divBdr>
        </w:div>
        <w:div w:id="1466007409">
          <w:marLeft w:val="1080"/>
          <w:marRight w:val="0"/>
          <w:marTop w:val="100"/>
          <w:marBottom w:val="0"/>
          <w:divBdr>
            <w:top w:val="none" w:sz="0" w:space="0" w:color="auto"/>
            <w:left w:val="none" w:sz="0" w:space="0" w:color="auto"/>
            <w:bottom w:val="none" w:sz="0" w:space="0" w:color="auto"/>
            <w:right w:val="none" w:sz="0" w:space="0" w:color="auto"/>
          </w:divBdr>
        </w:div>
        <w:div w:id="1847136993">
          <w:marLeft w:val="360"/>
          <w:marRight w:val="0"/>
          <w:marTop w:val="200"/>
          <w:marBottom w:val="0"/>
          <w:divBdr>
            <w:top w:val="none" w:sz="0" w:space="0" w:color="auto"/>
            <w:left w:val="none" w:sz="0" w:space="0" w:color="auto"/>
            <w:bottom w:val="none" w:sz="0" w:space="0" w:color="auto"/>
            <w:right w:val="none" w:sz="0" w:space="0" w:color="auto"/>
          </w:divBdr>
        </w:div>
      </w:divsChild>
    </w:div>
    <w:div w:id="1019427357">
      <w:bodyDiv w:val="1"/>
      <w:marLeft w:val="0"/>
      <w:marRight w:val="0"/>
      <w:marTop w:val="0"/>
      <w:marBottom w:val="0"/>
      <w:divBdr>
        <w:top w:val="none" w:sz="0" w:space="0" w:color="auto"/>
        <w:left w:val="none" w:sz="0" w:space="0" w:color="auto"/>
        <w:bottom w:val="none" w:sz="0" w:space="0" w:color="auto"/>
        <w:right w:val="none" w:sz="0" w:space="0" w:color="auto"/>
      </w:divBdr>
      <w:divsChild>
        <w:div w:id="24911664">
          <w:marLeft w:val="1166"/>
          <w:marRight w:val="0"/>
          <w:marTop w:val="125"/>
          <w:marBottom w:val="0"/>
          <w:divBdr>
            <w:top w:val="none" w:sz="0" w:space="0" w:color="auto"/>
            <w:left w:val="none" w:sz="0" w:space="0" w:color="auto"/>
            <w:bottom w:val="none" w:sz="0" w:space="0" w:color="auto"/>
            <w:right w:val="none" w:sz="0" w:space="0" w:color="auto"/>
          </w:divBdr>
        </w:div>
        <w:div w:id="189034450">
          <w:marLeft w:val="1166"/>
          <w:marRight w:val="0"/>
          <w:marTop w:val="125"/>
          <w:marBottom w:val="0"/>
          <w:divBdr>
            <w:top w:val="none" w:sz="0" w:space="0" w:color="auto"/>
            <w:left w:val="none" w:sz="0" w:space="0" w:color="auto"/>
            <w:bottom w:val="none" w:sz="0" w:space="0" w:color="auto"/>
            <w:right w:val="none" w:sz="0" w:space="0" w:color="auto"/>
          </w:divBdr>
        </w:div>
        <w:div w:id="1452554282">
          <w:marLeft w:val="547"/>
          <w:marRight w:val="0"/>
          <w:marTop w:val="144"/>
          <w:marBottom w:val="0"/>
          <w:divBdr>
            <w:top w:val="none" w:sz="0" w:space="0" w:color="auto"/>
            <w:left w:val="none" w:sz="0" w:space="0" w:color="auto"/>
            <w:bottom w:val="none" w:sz="0" w:space="0" w:color="auto"/>
            <w:right w:val="none" w:sz="0" w:space="0" w:color="auto"/>
          </w:divBdr>
        </w:div>
        <w:div w:id="1697653228">
          <w:marLeft w:val="547"/>
          <w:marRight w:val="0"/>
          <w:marTop w:val="144"/>
          <w:marBottom w:val="0"/>
          <w:divBdr>
            <w:top w:val="none" w:sz="0" w:space="0" w:color="auto"/>
            <w:left w:val="none" w:sz="0" w:space="0" w:color="auto"/>
            <w:bottom w:val="none" w:sz="0" w:space="0" w:color="auto"/>
            <w:right w:val="none" w:sz="0" w:space="0" w:color="auto"/>
          </w:divBdr>
        </w:div>
      </w:divsChild>
    </w:div>
    <w:div w:id="1019964792">
      <w:bodyDiv w:val="1"/>
      <w:marLeft w:val="0"/>
      <w:marRight w:val="0"/>
      <w:marTop w:val="0"/>
      <w:marBottom w:val="0"/>
      <w:divBdr>
        <w:top w:val="none" w:sz="0" w:space="0" w:color="auto"/>
        <w:left w:val="none" w:sz="0" w:space="0" w:color="auto"/>
        <w:bottom w:val="none" w:sz="0" w:space="0" w:color="auto"/>
        <w:right w:val="none" w:sz="0" w:space="0" w:color="auto"/>
      </w:divBdr>
    </w:div>
    <w:div w:id="1020006195">
      <w:bodyDiv w:val="1"/>
      <w:marLeft w:val="0"/>
      <w:marRight w:val="0"/>
      <w:marTop w:val="0"/>
      <w:marBottom w:val="0"/>
      <w:divBdr>
        <w:top w:val="none" w:sz="0" w:space="0" w:color="auto"/>
        <w:left w:val="none" w:sz="0" w:space="0" w:color="auto"/>
        <w:bottom w:val="none" w:sz="0" w:space="0" w:color="auto"/>
        <w:right w:val="none" w:sz="0" w:space="0" w:color="auto"/>
      </w:divBdr>
    </w:div>
    <w:div w:id="1020665842">
      <w:bodyDiv w:val="1"/>
      <w:marLeft w:val="0"/>
      <w:marRight w:val="0"/>
      <w:marTop w:val="0"/>
      <w:marBottom w:val="0"/>
      <w:divBdr>
        <w:top w:val="none" w:sz="0" w:space="0" w:color="auto"/>
        <w:left w:val="none" w:sz="0" w:space="0" w:color="auto"/>
        <w:bottom w:val="none" w:sz="0" w:space="0" w:color="auto"/>
        <w:right w:val="none" w:sz="0" w:space="0" w:color="auto"/>
      </w:divBdr>
    </w:div>
    <w:div w:id="1020861205">
      <w:bodyDiv w:val="1"/>
      <w:marLeft w:val="0"/>
      <w:marRight w:val="0"/>
      <w:marTop w:val="0"/>
      <w:marBottom w:val="0"/>
      <w:divBdr>
        <w:top w:val="none" w:sz="0" w:space="0" w:color="auto"/>
        <w:left w:val="none" w:sz="0" w:space="0" w:color="auto"/>
        <w:bottom w:val="none" w:sz="0" w:space="0" w:color="auto"/>
        <w:right w:val="none" w:sz="0" w:space="0" w:color="auto"/>
      </w:divBdr>
      <w:divsChild>
        <w:div w:id="63651055">
          <w:marLeft w:val="3240"/>
          <w:marRight w:val="0"/>
          <w:marTop w:val="96"/>
          <w:marBottom w:val="0"/>
          <w:divBdr>
            <w:top w:val="none" w:sz="0" w:space="0" w:color="auto"/>
            <w:left w:val="none" w:sz="0" w:space="0" w:color="auto"/>
            <w:bottom w:val="none" w:sz="0" w:space="0" w:color="auto"/>
            <w:right w:val="none" w:sz="0" w:space="0" w:color="auto"/>
          </w:divBdr>
        </w:div>
        <w:div w:id="173500653">
          <w:marLeft w:val="1166"/>
          <w:marRight w:val="0"/>
          <w:marTop w:val="115"/>
          <w:marBottom w:val="0"/>
          <w:divBdr>
            <w:top w:val="none" w:sz="0" w:space="0" w:color="auto"/>
            <w:left w:val="none" w:sz="0" w:space="0" w:color="auto"/>
            <w:bottom w:val="none" w:sz="0" w:space="0" w:color="auto"/>
            <w:right w:val="none" w:sz="0" w:space="0" w:color="auto"/>
          </w:divBdr>
        </w:div>
        <w:div w:id="447046386">
          <w:marLeft w:val="1800"/>
          <w:marRight w:val="0"/>
          <w:marTop w:val="96"/>
          <w:marBottom w:val="0"/>
          <w:divBdr>
            <w:top w:val="none" w:sz="0" w:space="0" w:color="auto"/>
            <w:left w:val="none" w:sz="0" w:space="0" w:color="auto"/>
            <w:bottom w:val="none" w:sz="0" w:space="0" w:color="auto"/>
            <w:right w:val="none" w:sz="0" w:space="0" w:color="auto"/>
          </w:divBdr>
        </w:div>
        <w:div w:id="975792988">
          <w:marLeft w:val="3240"/>
          <w:marRight w:val="0"/>
          <w:marTop w:val="96"/>
          <w:marBottom w:val="0"/>
          <w:divBdr>
            <w:top w:val="none" w:sz="0" w:space="0" w:color="auto"/>
            <w:left w:val="none" w:sz="0" w:space="0" w:color="auto"/>
            <w:bottom w:val="none" w:sz="0" w:space="0" w:color="auto"/>
            <w:right w:val="none" w:sz="0" w:space="0" w:color="auto"/>
          </w:divBdr>
        </w:div>
        <w:div w:id="1471172255">
          <w:marLeft w:val="2520"/>
          <w:marRight w:val="0"/>
          <w:marTop w:val="96"/>
          <w:marBottom w:val="0"/>
          <w:divBdr>
            <w:top w:val="none" w:sz="0" w:space="0" w:color="auto"/>
            <w:left w:val="none" w:sz="0" w:space="0" w:color="auto"/>
            <w:bottom w:val="none" w:sz="0" w:space="0" w:color="auto"/>
            <w:right w:val="none" w:sz="0" w:space="0" w:color="auto"/>
          </w:divBdr>
        </w:div>
        <w:div w:id="1891922178">
          <w:marLeft w:val="3240"/>
          <w:marRight w:val="0"/>
          <w:marTop w:val="96"/>
          <w:marBottom w:val="0"/>
          <w:divBdr>
            <w:top w:val="none" w:sz="0" w:space="0" w:color="auto"/>
            <w:left w:val="none" w:sz="0" w:space="0" w:color="auto"/>
            <w:bottom w:val="none" w:sz="0" w:space="0" w:color="auto"/>
            <w:right w:val="none" w:sz="0" w:space="0" w:color="auto"/>
          </w:divBdr>
        </w:div>
      </w:divsChild>
    </w:div>
    <w:div w:id="1022051492">
      <w:bodyDiv w:val="1"/>
      <w:marLeft w:val="0"/>
      <w:marRight w:val="0"/>
      <w:marTop w:val="0"/>
      <w:marBottom w:val="0"/>
      <w:divBdr>
        <w:top w:val="none" w:sz="0" w:space="0" w:color="auto"/>
        <w:left w:val="none" w:sz="0" w:space="0" w:color="auto"/>
        <w:bottom w:val="none" w:sz="0" w:space="0" w:color="auto"/>
        <w:right w:val="none" w:sz="0" w:space="0" w:color="auto"/>
      </w:divBdr>
    </w:div>
    <w:div w:id="1022439166">
      <w:bodyDiv w:val="1"/>
      <w:marLeft w:val="0"/>
      <w:marRight w:val="0"/>
      <w:marTop w:val="0"/>
      <w:marBottom w:val="0"/>
      <w:divBdr>
        <w:top w:val="none" w:sz="0" w:space="0" w:color="auto"/>
        <w:left w:val="none" w:sz="0" w:space="0" w:color="auto"/>
        <w:bottom w:val="none" w:sz="0" w:space="0" w:color="auto"/>
        <w:right w:val="none" w:sz="0" w:space="0" w:color="auto"/>
      </w:divBdr>
      <w:divsChild>
        <w:div w:id="165747415">
          <w:marLeft w:val="1800"/>
          <w:marRight w:val="0"/>
          <w:marTop w:val="100"/>
          <w:marBottom w:val="0"/>
          <w:divBdr>
            <w:top w:val="none" w:sz="0" w:space="0" w:color="auto"/>
            <w:left w:val="none" w:sz="0" w:space="0" w:color="auto"/>
            <w:bottom w:val="none" w:sz="0" w:space="0" w:color="auto"/>
            <w:right w:val="none" w:sz="0" w:space="0" w:color="auto"/>
          </w:divBdr>
        </w:div>
        <w:div w:id="272521049">
          <w:marLeft w:val="1800"/>
          <w:marRight w:val="0"/>
          <w:marTop w:val="100"/>
          <w:marBottom w:val="0"/>
          <w:divBdr>
            <w:top w:val="none" w:sz="0" w:space="0" w:color="auto"/>
            <w:left w:val="none" w:sz="0" w:space="0" w:color="auto"/>
            <w:bottom w:val="none" w:sz="0" w:space="0" w:color="auto"/>
            <w:right w:val="none" w:sz="0" w:space="0" w:color="auto"/>
          </w:divBdr>
        </w:div>
        <w:div w:id="411129174">
          <w:marLeft w:val="360"/>
          <w:marRight w:val="0"/>
          <w:marTop w:val="200"/>
          <w:marBottom w:val="0"/>
          <w:divBdr>
            <w:top w:val="none" w:sz="0" w:space="0" w:color="auto"/>
            <w:left w:val="none" w:sz="0" w:space="0" w:color="auto"/>
            <w:bottom w:val="none" w:sz="0" w:space="0" w:color="auto"/>
            <w:right w:val="none" w:sz="0" w:space="0" w:color="auto"/>
          </w:divBdr>
        </w:div>
        <w:div w:id="757407997">
          <w:marLeft w:val="1080"/>
          <w:marRight w:val="0"/>
          <w:marTop w:val="100"/>
          <w:marBottom w:val="0"/>
          <w:divBdr>
            <w:top w:val="none" w:sz="0" w:space="0" w:color="auto"/>
            <w:left w:val="none" w:sz="0" w:space="0" w:color="auto"/>
            <w:bottom w:val="none" w:sz="0" w:space="0" w:color="auto"/>
            <w:right w:val="none" w:sz="0" w:space="0" w:color="auto"/>
          </w:divBdr>
        </w:div>
        <w:div w:id="1062560190">
          <w:marLeft w:val="1080"/>
          <w:marRight w:val="0"/>
          <w:marTop w:val="100"/>
          <w:marBottom w:val="0"/>
          <w:divBdr>
            <w:top w:val="none" w:sz="0" w:space="0" w:color="auto"/>
            <w:left w:val="none" w:sz="0" w:space="0" w:color="auto"/>
            <w:bottom w:val="none" w:sz="0" w:space="0" w:color="auto"/>
            <w:right w:val="none" w:sz="0" w:space="0" w:color="auto"/>
          </w:divBdr>
        </w:div>
        <w:div w:id="1140465866">
          <w:marLeft w:val="2520"/>
          <w:marRight w:val="0"/>
          <w:marTop w:val="100"/>
          <w:marBottom w:val="0"/>
          <w:divBdr>
            <w:top w:val="none" w:sz="0" w:space="0" w:color="auto"/>
            <w:left w:val="none" w:sz="0" w:space="0" w:color="auto"/>
            <w:bottom w:val="none" w:sz="0" w:space="0" w:color="auto"/>
            <w:right w:val="none" w:sz="0" w:space="0" w:color="auto"/>
          </w:divBdr>
        </w:div>
        <w:div w:id="1226717662">
          <w:marLeft w:val="1800"/>
          <w:marRight w:val="0"/>
          <w:marTop w:val="100"/>
          <w:marBottom w:val="0"/>
          <w:divBdr>
            <w:top w:val="none" w:sz="0" w:space="0" w:color="auto"/>
            <w:left w:val="none" w:sz="0" w:space="0" w:color="auto"/>
            <w:bottom w:val="none" w:sz="0" w:space="0" w:color="auto"/>
            <w:right w:val="none" w:sz="0" w:space="0" w:color="auto"/>
          </w:divBdr>
        </w:div>
        <w:div w:id="1351878112">
          <w:marLeft w:val="2520"/>
          <w:marRight w:val="0"/>
          <w:marTop w:val="100"/>
          <w:marBottom w:val="0"/>
          <w:divBdr>
            <w:top w:val="none" w:sz="0" w:space="0" w:color="auto"/>
            <w:left w:val="none" w:sz="0" w:space="0" w:color="auto"/>
            <w:bottom w:val="none" w:sz="0" w:space="0" w:color="auto"/>
            <w:right w:val="none" w:sz="0" w:space="0" w:color="auto"/>
          </w:divBdr>
        </w:div>
        <w:div w:id="1384211870">
          <w:marLeft w:val="1800"/>
          <w:marRight w:val="0"/>
          <w:marTop w:val="100"/>
          <w:marBottom w:val="0"/>
          <w:divBdr>
            <w:top w:val="none" w:sz="0" w:space="0" w:color="auto"/>
            <w:left w:val="none" w:sz="0" w:space="0" w:color="auto"/>
            <w:bottom w:val="none" w:sz="0" w:space="0" w:color="auto"/>
            <w:right w:val="none" w:sz="0" w:space="0" w:color="auto"/>
          </w:divBdr>
        </w:div>
        <w:div w:id="1552382803">
          <w:marLeft w:val="1080"/>
          <w:marRight w:val="0"/>
          <w:marTop w:val="100"/>
          <w:marBottom w:val="0"/>
          <w:divBdr>
            <w:top w:val="none" w:sz="0" w:space="0" w:color="auto"/>
            <w:left w:val="none" w:sz="0" w:space="0" w:color="auto"/>
            <w:bottom w:val="none" w:sz="0" w:space="0" w:color="auto"/>
            <w:right w:val="none" w:sz="0" w:space="0" w:color="auto"/>
          </w:divBdr>
        </w:div>
        <w:div w:id="1619023012">
          <w:marLeft w:val="1080"/>
          <w:marRight w:val="0"/>
          <w:marTop w:val="100"/>
          <w:marBottom w:val="0"/>
          <w:divBdr>
            <w:top w:val="none" w:sz="0" w:space="0" w:color="auto"/>
            <w:left w:val="none" w:sz="0" w:space="0" w:color="auto"/>
            <w:bottom w:val="none" w:sz="0" w:space="0" w:color="auto"/>
            <w:right w:val="none" w:sz="0" w:space="0" w:color="auto"/>
          </w:divBdr>
        </w:div>
        <w:div w:id="1649477516">
          <w:marLeft w:val="2520"/>
          <w:marRight w:val="0"/>
          <w:marTop w:val="100"/>
          <w:marBottom w:val="0"/>
          <w:divBdr>
            <w:top w:val="none" w:sz="0" w:space="0" w:color="auto"/>
            <w:left w:val="none" w:sz="0" w:space="0" w:color="auto"/>
            <w:bottom w:val="none" w:sz="0" w:space="0" w:color="auto"/>
            <w:right w:val="none" w:sz="0" w:space="0" w:color="auto"/>
          </w:divBdr>
        </w:div>
        <w:div w:id="1696803850">
          <w:marLeft w:val="1080"/>
          <w:marRight w:val="0"/>
          <w:marTop w:val="100"/>
          <w:marBottom w:val="0"/>
          <w:divBdr>
            <w:top w:val="none" w:sz="0" w:space="0" w:color="auto"/>
            <w:left w:val="none" w:sz="0" w:space="0" w:color="auto"/>
            <w:bottom w:val="none" w:sz="0" w:space="0" w:color="auto"/>
            <w:right w:val="none" w:sz="0" w:space="0" w:color="auto"/>
          </w:divBdr>
        </w:div>
      </w:divsChild>
    </w:div>
    <w:div w:id="1023246333">
      <w:bodyDiv w:val="1"/>
      <w:marLeft w:val="0"/>
      <w:marRight w:val="0"/>
      <w:marTop w:val="0"/>
      <w:marBottom w:val="0"/>
      <w:divBdr>
        <w:top w:val="none" w:sz="0" w:space="0" w:color="auto"/>
        <w:left w:val="none" w:sz="0" w:space="0" w:color="auto"/>
        <w:bottom w:val="none" w:sz="0" w:space="0" w:color="auto"/>
        <w:right w:val="none" w:sz="0" w:space="0" w:color="auto"/>
      </w:divBdr>
      <w:divsChild>
        <w:div w:id="525409704">
          <w:marLeft w:val="2520"/>
          <w:marRight w:val="0"/>
          <w:marTop w:val="100"/>
          <w:marBottom w:val="0"/>
          <w:divBdr>
            <w:top w:val="none" w:sz="0" w:space="0" w:color="auto"/>
            <w:left w:val="none" w:sz="0" w:space="0" w:color="auto"/>
            <w:bottom w:val="none" w:sz="0" w:space="0" w:color="auto"/>
            <w:right w:val="none" w:sz="0" w:space="0" w:color="auto"/>
          </w:divBdr>
        </w:div>
        <w:div w:id="652299499">
          <w:marLeft w:val="1800"/>
          <w:marRight w:val="0"/>
          <w:marTop w:val="100"/>
          <w:marBottom w:val="0"/>
          <w:divBdr>
            <w:top w:val="none" w:sz="0" w:space="0" w:color="auto"/>
            <w:left w:val="none" w:sz="0" w:space="0" w:color="auto"/>
            <w:bottom w:val="none" w:sz="0" w:space="0" w:color="auto"/>
            <w:right w:val="none" w:sz="0" w:space="0" w:color="auto"/>
          </w:divBdr>
        </w:div>
        <w:div w:id="702679083">
          <w:marLeft w:val="2520"/>
          <w:marRight w:val="0"/>
          <w:marTop w:val="100"/>
          <w:marBottom w:val="0"/>
          <w:divBdr>
            <w:top w:val="none" w:sz="0" w:space="0" w:color="auto"/>
            <w:left w:val="none" w:sz="0" w:space="0" w:color="auto"/>
            <w:bottom w:val="none" w:sz="0" w:space="0" w:color="auto"/>
            <w:right w:val="none" w:sz="0" w:space="0" w:color="auto"/>
          </w:divBdr>
        </w:div>
        <w:div w:id="863905485">
          <w:marLeft w:val="1080"/>
          <w:marRight w:val="0"/>
          <w:marTop w:val="100"/>
          <w:marBottom w:val="0"/>
          <w:divBdr>
            <w:top w:val="none" w:sz="0" w:space="0" w:color="auto"/>
            <w:left w:val="none" w:sz="0" w:space="0" w:color="auto"/>
            <w:bottom w:val="none" w:sz="0" w:space="0" w:color="auto"/>
            <w:right w:val="none" w:sz="0" w:space="0" w:color="auto"/>
          </w:divBdr>
        </w:div>
        <w:div w:id="1077626756">
          <w:marLeft w:val="1800"/>
          <w:marRight w:val="0"/>
          <w:marTop w:val="100"/>
          <w:marBottom w:val="0"/>
          <w:divBdr>
            <w:top w:val="none" w:sz="0" w:space="0" w:color="auto"/>
            <w:left w:val="none" w:sz="0" w:space="0" w:color="auto"/>
            <w:bottom w:val="none" w:sz="0" w:space="0" w:color="auto"/>
            <w:right w:val="none" w:sz="0" w:space="0" w:color="auto"/>
          </w:divBdr>
        </w:div>
        <w:div w:id="1280186601">
          <w:marLeft w:val="2520"/>
          <w:marRight w:val="0"/>
          <w:marTop w:val="100"/>
          <w:marBottom w:val="0"/>
          <w:divBdr>
            <w:top w:val="none" w:sz="0" w:space="0" w:color="auto"/>
            <w:left w:val="none" w:sz="0" w:space="0" w:color="auto"/>
            <w:bottom w:val="none" w:sz="0" w:space="0" w:color="auto"/>
            <w:right w:val="none" w:sz="0" w:space="0" w:color="auto"/>
          </w:divBdr>
        </w:div>
        <w:div w:id="1472408731">
          <w:marLeft w:val="360"/>
          <w:marRight w:val="0"/>
          <w:marTop w:val="200"/>
          <w:marBottom w:val="0"/>
          <w:divBdr>
            <w:top w:val="none" w:sz="0" w:space="0" w:color="auto"/>
            <w:left w:val="none" w:sz="0" w:space="0" w:color="auto"/>
            <w:bottom w:val="none" w:sz="0" w:space="0" w:color="auto"/>
            <w:right w:val="none" w:sz="0" w:space="0" w:color="auto"/>
          </w:divBdr>
        </w:div>
        <w:div w:id="1598173062">
          <w:marLeft w:val="1800"/>
          <w:marRight w:val="0"/>
          <w:marTop w:val="100"/>
          <w:marBottom w:val="0"/>
          <w:divBdr>
            <w:top w:val="none" w:sz="0" w:space="0" w:color="auto"/>
            <w:left w:val="none" w:sz="0" w:space="0" w:color="auto"/>
            <w:bottom w:val="none" w:sz="0" w:space="0" w:color="auto"/>
            <w:right w:val="none" w:sz="0" w:space="0" w:color="auto"/>
          </w:divBdr>
        </w:div>
        <w:div w:id="1918052506">
          <w:marLeft w:val="1080"/>
          <w:marRight w:val="0"/>
          <w:marTop w:val="100"/>
          <w:marBottom w:val="0"/>
          <w:divBdr>
            <w:top w:val="none" w:sz="0" w:space="0" w:color="auto"/>
            <w:left w:val="none" w:sz="0" w:space="0" w:color="auto"/>
            <w:bottom w:val="none" w:sz="0" w:space="0" w:color="auto"/>
            <w:right w:val="none" w:sz="0" w:space="0" w:color="auto"/>
          </w:divBdr>
        </w:div>
      </w:divsChild>
    </w:div>
    <w:div w:id="1023434457">
      <w:bodyDiv w:val="1"/>
      <w:marLeft w:val="0"/>
      <w:marRight w:val="0"/>
      <w:marTop w:val="0"/>
      <w:marBottom w:val="0"/>
      <w:divBdr>
        <w:top w:val="none" w:sz="0" w:space="0" w:color="auto"/>
        <w:left w:val="none" w:sz="0" w:space="0" w:color="auto"/>
        <w:bottom w:val="none" w:sz="0" w:space="0" w:color="auto"/>
        <w:right w:val="none" w:sz="0" w:space="0" w:color="auto"/>
      </w:divBdr>
    </w:div>
    <w:div w:id="1023439109">
      <w:bodyDiv w:val="1"/>
      <w:marLeft w:val="0"/>
      <w:marRight w:val="0"/>
      <w:marTop w:val="0"/>
      <w:marBottom w:val="0"/>
      <w:divBdr>
        <w:top w:val="none" w:sz="0" w:space="0" w:color="auto"/>
        <w:left w:val="none" w:sz="0" w:space="0" w:color="auto"/>
        <w:bottom w:val="none" w:sz="0" w:space="0" w:color="auto"/>
        <w:right w:val="none" w:sz="0" w:space="0" w:color="auto"/>
      </w:divBdr>
    </w:div>
    <w:div w:id="1023555676">
      <w:bodyDiv w:val="1"/>
      <w:marLeft w:val="0"/>
      <w:marRight w:val="0"/>
      <w:marTop w:val="0"/>
      <w:marBottom w:val="0"/>
      <w:divBdr>
        <w:top w:val="none" w:sz="0" w:space="0" w:color="auto"/>
        <w:left w:val="none" w:sz="0" w:space="0" w:color="auto"/>
        <w:bottom w:val="none" w:sz="0" w:space="0" w:color="auto"/>
        <w:right w:val="none" w:sz="0" w:space="0" w:color="auto"/>
      </w:divBdr>
    </w:div>
    <w:div w:id="1025206573">
      <w:bodyDiv w:val="1"/>
      <w:marLeft w:val="0"/>
      <w:marRight w:val="0"/>
      <w:marTop w:val="0"/>
      <w:marBottom w:val="0"/>
      <w:divBdr>
        <w:top w:val="none" w:sz="0" w:space="0" w:color="auto"/>
        <w:left w:val="none" w:sz="0" w:space="0" w:color="auto"/>
        <w:bottom w:val="none" w:sz="0" w:space="0" w:color="auto"/>
        <w:right w:val="none" w:sz="0" w:space="0" w:color="auto"/>
      </w:divBdr>
      <w:divsChild>
        <w:div w:id="440338905">
          <w:marLeft w:val="547"/>
          <w:marRight w:val="0"/>
          <w:marTop w:val="163"/>
          <w:marBottom w:val="0"/>
          <w:divBdr>
            <w:top w:val="none" w:sz="0" w:space="0" w:color="auto"/>
            <w:left w:val="none" w:sz="0" w:space="0" w:color="auto"/>
            <w:bottom w:val="none" w:sz="0" w:space="0" w:color="auto"/>
            <w:right w:val="none" w:sz="0" w:space="0" w:color="auto"/>
          </w:divBdr>
        </w:div>
        <w:div w:id="960383683">
          <w:marLeft w:val="1800"/>
          <w:marRight w:val="0"/>
          <w:marTop w:val="125"/>
          <w:marBottom w:val="0"/>
          <w:divBdr>
            <w:top w:val="none" w:sz="0" w:space="0" w:color="auto"/>
            <w:left w:val="none" w:sz="0" w:space="0" w:color="auto"/>
            <w:bottom w:val="none" w:sz="0" w:space="0" w:color="auto"/>
            <w:right w:val="none" w:sz="0" w:space="0" w:color="auto"/>
          </w:divBdr>
        </w:div>
        <w:div w:id="1514299947">
          <w:marLeft w:val="1166"/>
          <w:marRight w:val="0"/>
          <w:marTop w:val="144"/>
          <w:marBottom w:val="0"/>
          <w:divBdr>
            <w:top w:val="none" w:sz="0" w:space="0" w:color="auto"/>
            <w:left w:val="none" w:sz="0" w:space="0" w:color="auto"/>
            <w:bottom w:val="none" w:sz="0" w:space="0" w:color="auto"/>
            <w:right w:val="none" w:sz="0" w:space="0" w:color="auto"/>
          </w:divBdr>
        </w:div>
        <w:div w:id="1582637489">
          <w:marLeft w:val="547"/>
          <w:marRight w:val="0"/>
          <w:marTop w:val="163"/>
          <w:marBottom w:val="0"/>
          <w:divBdr>
            <w:top w:val="none" w:sz="0" w:space="0" w:color="auto"/>
            <w:left w:val="none" w:sz="0" w:space="0" w:color="auto"/>
            <w:bottom w:val="none" w:sz="0" w:space="0" w:color="auto"/>
            <w:right w:val="none" w:sz="0" w:space="0" w:color="auto"/>
          </w:divBdr>
        </w:div>
      </w:divsChild>
    </w:div>
    <w:div w:id="1025444208">
      <w:bodyDiv w:val="1"/>
      <w:marLeft w:val="0"/>
      <w:marRight w:val="0"/>
      <w:marTop w:val="0"/>
      <w:marBottom w:val="0"/>
      <w:divBdr>
        <w:top w:val="none" w:sz="0" w:space="0" w:color="auto"/>
        <w:left w:val="none" w:sz="0" w:space="0" w:color="auto"/>
        <w:bottom w:val="none" w:sz="0" w:space="0" w:color="auto"/>
        <w:right w:val="none" w:sz="0" w:space="0" w:color="auto"/>
      </w:divBdr>
    </w:div>
    <w:div w:id="1025670881">
      <w:bodyDiv w:val="1"/>
      <w:marLeft w:val="0"/>
      <w:marRight w:val="0"/>
      <w:marTop w:val="0"/>
      <w:marBottom w:val="0"/>
      <w:divBdr>
        <w:top w:val="none" w:sz="0" w:space="0" w:color="auto"/>
        <w:left w:val="none" w:sz="0" w:space="0" w:color="auto"/>
        <w:bottom w:val="none" w:sz="0" w:space="0" w:color="auto"/>
        <w:right w:val="none" w:sz="0" w:space="0" w:color="auto"/>
      </w:divBdr>
      <w:divsChild>
        <w:div w:id="427579196">
          <w:marLeft w:val="547"/>
          <w:marRight w:val="0"/>
          <w:marTop w:val="115"/>
          <w:marBottom w:val="0"/>
          <w:divBdr>
            <w:top w:val="none" w:sz="0" w:space="0" w:color="auto"/>
            <w:left w:val="none" w:sz="0" w:space="0" w:color="auto"/>
            <w:bottom w:val="none" w:sz="0" w:space="0" w:color="auto"/>
            <w:right w:val="none" w:sz="0" w:space="0" w:color="auto"/>
          </w:divBdr>
        </w:div>
        <w:div w:id="571505160">
          <w:marLeft w:val="547"/>
          <w:marRight w:val="0"/>
          <w:marTop w:val="115"/>
          <w:marBottom w:val="0"/>
          <w:divBdr>
            <w:top w:val="none" w:sz="0" w:space="0" w:color="auto"/>
            <w:left w:val="none" w:sz="0" w:space="0" w:color="auto"/>
            <w:bottom w:val="none" w:sz="0" w:space="0" w:color="auto"/>
            <w:right w:val="none" w:sz="0" w:space="0" w:color="auto"/>
          </w:divBdr>
        </w:div>
      </w:divsChild>
    </w:div>
    <w:div w:id="1026253651">
      <w:bodyDiv w:val="1"/>
      <w:marLeft w:val="0"/>
      <w:marRight w:val="0"/>
      <w:marTop w:val="0"/>
      <w:marBottom w:val="0"/>
      <w:divBdr>
        <w:top w:val="none" w:sz="0" w:space="0" w:color="auto"/>
        <w:left w:val="none" w:sz="0" w:space="0" w:color="auto"/>
        <w:bottom w:val="none" w:sz="0" w:space="0" w:color="auto"/>
        <w:right w:val="none" w:sz="0" w:space="0" w:color="auto"/>
      </w:divBdr>
    </w:div>
    <w:div w:id="1027147262">
      <w:bodyDiv w:val="1"/>
      <w:marLeft w:val="0"/>
      <w:marRight w:val="0"/>
      <w:marTop w:val="0"/>
      <w:marBottom w:val="0"/>
      <w:divBdr>
        <w:top w:val="none" w:sz="0" w:space="0" w:color="auto"/>
        <w:left w:val="none" w:sz="0" w:space="0" w:color="auto"/>
        <w:bottom w:val="none" w:sz="0" w:space="0" w:color="auto"/>
        <w:right w:val="none" w:sz="0" w:space="0" w:color="auto"/>
      </w:divBdr>
    </w:div>
    <w:div w:id="1027608919">
      <w:bodyDiv w:val="1"/>
      <w:marLeft w:val="0"/>
      <w:marRight w:val="0"/>
      <w:marTop w:val="0"/>
      <w:marBottom w:val="0"/>
      <w:divBdr>
        <w:top w:val="none" w:sz="0" w:space="0" w:color="auto"/>
        <w:left w:val="none" w:sz="0" w:space="0" w:color="auto"/>
        <w:bottom w:val="none" w:sz="0" w:space="0" w:color="auto"/>
        <w:right w:val="none" w:sz="0" w:space="0" w:color="auto"/>
      </w:divBdr>
    </w:div>
    <w:div w:id="1028291770">
      <w:bodyDiv w:val="1"/>
      <w:marLeft w:val="0"/>
      <w:marRight w:val="0"/>
      <w:marTop w:val="0"/>
      <w:marBottom w:val="0"/>
      <w:divBdr>
        <w:top w:val="none" w:sz="0" w:space="0" w:color="auto"/>
        <w:left w:val="none" w:sz="0" w:space="0" w:color="auto"/>
        <w:bottom w:val="none" w:sz="0" w:space="0" w:color="auto"/>
        <w:right w:val="none" w:sz="0" w:space="0" w:color="auto"/>
      </w:divBdr>
      <w:divsChild>
        <w:div w:id="1401370676">
          <w:marLeft w:val="1080"/>
          <w:marRight w:val="0"/>
          <w:marTop w:val="100"/>
          <w:marBottom w:val="0"/>
          <w:divBdr>
            <w:top w:val="none" w:sz="0" w:space="0" w:color="auto"/>
            <w:left w:val="none" w:sz="0" w:space="0" w:color="auto"/>
            <w:bottom w:val="none" w:sz="0" w:space="0" w:color="auto"/>
            <w:right w:val="none" w:sz="0" w:space="0" w:color="auto"/>
          </w:divBdr>
        </w:div>
      </w:divsChild>
    </w:div>
    <w:div w:id="1029375663">
      <w:bodyDiv w:val="1"/>
      <w:marLeft w:val="0"/>
      <w:marRight w:val="0"/>
      <w:marTop w:val="0"/>
      <w:marBottom w:val="0"/>
      <w:divBdr>
        <w:top w:val="none" w:sz="0" w:space="0" w:color="auto"/>
        <w:left w:val="none" w:sz="0" w:space="0" w:color="auto"/>
        <w:bottom w:val="none" w:sz="0" w:space="0" w:color="auto"/>
        <w:right w:val="none" w:sz="0" w:space="0" w:color="auto"/>
      </w:divBdr>
      <w:divsChild>
        <w:div w:id="436367889">
          <w:marLeft w:val="1166"/>
          <w:marRight w:val="144"/>
          <w:marTop w:val="0"/>
          <w:marBottom w:val="120"/>
          <w:divBdr>
            <w:top w:val="none" w:sz="0" w:space="0" w:color="auto"/>
            <w:left w:val="none" w:sz="0" w:space="0" w:color="auto"/>
            <w:bottom w:val="none" w:sz="0" w:space="0" w:color="auto"/>
            <w:right w:val="none" w:sz="0" w:space="0" w:color="auto"/>
          </w:divBdr>
        </w:div>
        <w:div w:id="495464137">
          <w:marLeft w:val="547"/>
          <w:marRight w:val="144"/>
          <w:marTop w:val="0"/>
          <w:marBottom w:val="120"/>
          <w:divBdr>
            <w:top w:val="none" w:sz="0" w:space="0" w:color="auto"/>
            <w:left w:val="none" w:sz="0" w:space="0" w:color="auto"/>
            <w:bottom w:val="none" w:sz="0" w:space="0" w:color="auto"/>
            <w:right w:val="none" w:sz="0" w:space="0" w:color="auto"/>
          </w:divBdr>
        </w:div>
        <w:div w:id="802962961">
          <w:marLeft w:val="1166"/>
          <w:marRight w:val="144"/>
          <w:marTop w:val="0"/>
          <w:marBottom w:val="120"/>
          <w:divBdr>
            <w:top w:val="none" w:sz="0" w:space="0" w:color="auto"/>
            <w:left w:val="none" w:sz="0" w:space="0" w:color="auto"/>
            <w:bottom w:val="none" w:sz="0" w:space="0" w:color="auto"/>
            <w:right w:val="none" w:sz="0" w:space="0" w:color="auto"/>
          </w:divBdr>
        </w:div>
        <w:div w:id="985666965">
          <w:marLeft w:val="1166"/>
          <w:marRight w:val="144"/>
          <w:marTop w:val="0"/>
          <w:marBottom w:val="120"/>
          <w:divBdr>
            <w:top w:val="none" w:sz="0" w:space="0" w:color="auto"/>
            <w:left w:val="none" w:sz="0" w:space="0" w:color="auto"/>
            <w:bottom w:val="none" w:sz="0" w:space="0" w:color="auto"/>
            <w:right w:val="none" w:sz="0" w:space="0" w:color="auto"/>
          </w:divBdr>
        </w:div>
        <w:div w:id="1613129440">
          <w:marLeft w:val="547"/>
          <w:marRight w:val="144"/>
          <w:marTop w:val="0"/>
          <w:marBottom w:val="120"/>
          <w:divBdr>
            <w:top w:val="none" w:sz="0" w:space="0" w:color="auto"/>
            <w:left w:val="none" w:sz="0" w:space="0" w:color="auto"/>
            <w:bottom w:val="none" w:sz="0" w:space="0" w:color="auto"/>
            <w:right w:val="none" w:sz="0" w:space="0" w:color="auto"/>
          </w:divBdr>
        </w:div>
        <w:div w:id="2098987148">
          <w:marLeft w:val="547"/>
          <w:marRight w:val="144"/>
          <w:marTop w:val="0"/>
          <w:marBottom w:val="120"/>
          <w:divBdr>
            <w:top w:val="none" w:sz="0" w:space="0" w:color="auto"/>
            <w:left w:val="none" w:sz="0" w:space="0" w:color="auto"/>
            <w:bottom w:val="none" w:sz="0" w:space="0" w:color="auto"/>
            <w:right w:val="none" w:sz="0" w:space="0" w:color="auto"/>
          </w:divBdr>
        </w:div>
      </w:divsChild>
    </w:div>
    <w:div w:id="1029454107">
      <w:bodyDiv w:val="1"/>
      <w:marLeft w:val="0"/>
      <w:marRight w:val="0"/>
      <w:marTop w:val="0"/>
      <w:marBottom w:val="0"/>
      <w:divBdr>
        <w:top w:val="none" w:sz="0" w:space="0" w:color="auto"/>
        <w:left w:val="none" w:sz="0" w:space="0" w:color="auto"/>
        <w:bottom w:val="none" w:sz="0" w:space="0" w:color="auto"/>
        <w:right w:val="none" w:sz="0" w:space="0" w:color="auto"/>
      </w:divBdr>
      <w:divsChild>
        <w:div w:id="530148978">
          <w:marLeft w:val="360"/>
          <w:marRight w:val="0"/>
          <w:marTop w:val="200"/>
          <w:marBottom w:val="0"/>
          <w:divBdr>
            <w:top w:val="none" w:sz="0" w:space="0" w:color="auto"/>
            <w:left w:val="none" w:sz="0" w:space="0" w:color="auto"/>
            <w:bottom w:val="none" w:sz="0" w:space="0" w:color="auto"/>
            <w:right w:val="none" w:sz="0" w:space="0" w:color="auto"/>
          </w:divBdr>
        </w:div>
      </w:divsChild>
    </w:div>
    <w:div w:id="1029456858">
      <w:bodyDiv w:val="1"/>
      <w:marLeft w:val="0"/>
      <w:marRight w:val="0"/>
      <w:marTop w:val="0"/>
      <w:marBottom w:val="0"/>
      <w:divBdr>
        <w:top w:val="none" w:sz="0" w:space="0" w:color="auto"/>
        <w:left w:val="none" w:sz="0" w:space="0" w:color="auto"/>
        <w:bottom w:val="none" w:sz="0" w:space="0" w:color="auto"/>
        <w:right w:val="none" w:sz="0" w:space="0" w:color="auto"/>
      </w:divBdr>
      <w:divsChild>
        <w:div w:id="250622308">
          <w:marLeft w:val="1166"/>
          <w:marRight w:val="0"/>
          <w:marTop w:val="96"/>
          <w:marBottom w:val="0"/>
          <w:divBdr>
            <w:top w:val="none" w:sz="0" w:space="0" w:color="auto"/>
            <w:left w:val="none" w:sz="0" w:space="0" w:color="auto"/>
            <w:bottom w:val="none" w:sz="0" w:space="0" w:color="auto"/>
            <w:right w:val="none" w:sz="0" w:space="0" w:color="auto"/>
          </w:divBdr>
        </w:div>
        <w:div w:id="254873750">
          <w:marLeft w:val="547"/>
          <w:marRight w:val="0"/>
          <w:marTop w:val="115"/>
          <w:marBottom w:val="0"/>
          <w:divBdr>
            <w:top w:val="none" w:sz="0" w:space="0" w:color="auto"/>
            <w:left w:val="none" w:sz="0" w:space="0" w:color="auto"/>
            <w:bottom w:val="none" w:sz="0" w:space="0" w:color="auto"/>
            <w:right w:val="none" w:sz="0" w:space="0" w:color="auto"/>
          </w:divBdr>
        </w:div>
        <w:div w:id="288165914">
          <w:marLeft w:val="1800"/>
          <w:marRight w:val="0"/>
          <w:marTop w:val="77"/>
          <w:marBottom w:val="0"/>
          <w:divBdr>
            <w:top w:val="none" w:sz="0" w:space="0" w:color="auto"/>
            <w:left w:val="none" w:sz="0" w:space="0" w:color="auto"/>
            <w:bottom w:val="none" w:sz="0" w:space="0" w:color="auto"/>
            <w:right w:val="none" w:sz="0" w:space="0" w:color="auto"/>
          </w:divBdr>
        </w:div>
        <w:div w:id="399794762">
          <w:marLeft w:val="1166"/>
          <w:marRight w:val="0"/>
          <w:marTop w:val="96"/>
          <w:marBottom w:val="0"/>
          <w:divBdr>
            <w:top w:val="none" w:sz="0" w:space="0" w:color="auto"/>
            <w:left w:val="none" w:sz="0" w:space="0" w:color="auto"/>
            <w:bottom w:val="none" w:sz="0" w:space="0" w:color="auto"/>
            <w:right w:val="none" w:sz="0" w:space="0" w:color="auto"/>
          </w:divBdr>
        </w:div>
        <w:div w:id="514081742">
          <w:marLeft w:val="1166"/>
          <w:marRight w:val="0"/>
          <w:marTop w:val="96"/>
          <w:marBottom w:val="0"/>
          <w:divBdr>
            <w:top w:val="none" w:sz="0" w:space="0" w:color="auto"/>
            <w:left w:val="none" w:sz="0" w:space="0" w:color="auto"/>
            <w:bottom w:val="none" w:sz="0" w:space="0" w:color="auto"/>
            <w:right w:val="none" w:sz="0" w:space="0" w:color="auto"/>
          </w:divBdr>
        </w:div>
        <w:div w:id="879976864">
          <w:marLeft w:val="1800"/>
          <w:marRight w:val="0"/>
          <w:marTop w:val="77"/>
          <w:marBottom w:val="0"/>
          <w:divBdr>
            <w:top w:val="none" w:sz="0" w:space="0" w:color="auto"/>
            <w:left w:val="none" w:sz="0" w:space="0" w:color="auto"/>
            <w:bottom w:val="none" w:sz="0" w:space="0" w:color="auto"/>
            <w:right w:val="none" w:sz="0" w:space="0" w:color="auto"/>
          </w:divBdr>
        </w:div>
        <w:div w:id="1914663164">
          <w:marLeft w:val="1800"/>
          <w:marRight w:val="0"/>
          <w:marTop w:val="77"/>
          <w:marBottom w:val="0"/>
          <w:divBdr>
            <w:top w:val="none" w:sz="0" w:space="0" w:color="auto"/>
            <w:left w:val="none" w:sz="0" w:space="0" w:color="auto"/>
            <w:bottom w:val="none" w:sz="0" w:space="0" w:color="auto"/>
            <w:right w:val="none" w:sz="0" w:space="0" w:color="auto"/>
          </w:divBdr>
        </w:div>
        <w:div w:id="1938709395">
          <w:marLeft w:val="1800"/>
          <w:marRight w:val="0"/>
          <w:marTop w:val="77"/>
          <w:marBottom w:val="0"/>
          <w:divBdr>
            <w:top w:val="none" w:sz="0" w:space="0" w:color="auto"/>
            <w:left w:val="none" w:sz="0" w:space="0" w:color="auto"/>
            <w:bottom w:val="none" w:sz="0" w:space="0" w:color="auto"/>
            <w:right w:val="none" w:sz="0" w:space="0" w:color="auto"/>
          </w:divBdr>
        </w:div>
      </w:divsChild>
    </w:div>
    <w:div w:id="1029918712">
      <w:bodyDiv w:val="1"/>
      <w:marLeft w:val="0"/>
      <w:marRight w:val="0"/>
      <w:marTop w:val="0"/>
      <w:marBottom w:val="0"/>
      <w:divBdr>
        <w:top w:val="none" w:sz="0" w:space="0" w:color="auto"/>
        <w:left w:val="none" w:sz="0" w:space="0" w:color="auto"/>
        <w:bottom w:val="none" w:sz="0" w:space="0" w:color="auto"/>
        <w:right w:val="none" w:sz="0" w:space="0" w:color="auto"/>
      </w:divBdr>
    </w:div>
    <w:div w:id="1030499217">
      <w:bodyDiv w:val="1"/>
      <w:marLeft w:val="0"/>
      <w:marRight w:val="0"/>
      <w:marTop w:val="0"/>
      <w:marBottom w:val="0"/>
      <w:divBdr>
        <w:top w:val="none" w:sz="0" w:space="0" w:color="auto"/>
        <w:left w:val="none" w:sz="0" w:space="0" w:color="auto"/>
        <w:bottom w:val="none" w:sz="0" w:space="0" w:color="auto"/>
        <w:right w:val="none" w:sz="0" w:space="0" w:color="auto"/>
      </w:divBdr>
      <w:divsChild>
        <w:div w:id="65540519">
          <w:marLeft w:val="547"/>
          <w:marRight w:val="0"/>
          <w:marTop w:val="134"/>
          <w:marBottom w:val="120"/>
          <w:divBdr>
            <w:top w:val="none" w:sz="0" w:space="0" w:color="auto"/>
            <w:left w:val="none" w:sz="0" w:space="0" w:color="auto"/>
            <w:bottom w:val="none" w:sz="0" w:space="0" w:color="auto"/>
            <w:right w:val="none" w:sz="0" w:space="0" w:color="auto"/>
          </w:divBdr>
        </w:div>
        <w:div w:id="782187759">
          <w:marLeft w:val="1166"/>
          <w:marRight w:val="0"/>
          <w:marTop w:val="115"/>
          <w:marBottom w:val="120"/>
          <w:divBdr>
            <w:top w:val="none" w:sz="0" w:space="0" w:color="auto"/>
            <w:left w:val="none" w:sz="0" w:space="0" w:color="auto"/>
            <w:bottom w:val="none" w:sz="0" w:space="0" w:color="auto"/>
            <w:right w:val="none" w:sz="0" w:space="0" w:color="auto"/>
          </w:divBdr>
        </w:div>
        <w:div w:id="972488920">
          <w:marLeft w:val="1166"/>
          <w:marRight w:val="0"/>
          <w:marTop w:val="115"/>
          <w:marBottom w:val="120"/>
          <w:divBdr>
            <w:top w:val="none" w:sz="0" w:space="0" w:color="auto"/>
            <w:left w:val="none" w:sz="0" w:space="0" w:color="auto"/>
            <w:bottom w:val="none" w:sz="0" w:space="0" w:color="auto"/>
            <w:right w:val="none" w:sz="0" w:space="0" w:color="auto"/>
          </w:divBdr>
        </w:div>
        <w:div w:id="1901790654">
          <w:marLeft w:val="547"/>
          <w:marRight w:val="0"/>
          <w:marTop w:val="134"/>
          <w:marBottom w:val="120"/>
          <w:divBdr>
            <w:top w:val="none" w:sz="0" w:space="0" w:color="auto"/>
            <w:left w:val="none" w:sz="0" w:space="0" w:color="auto"/>
            <w:bottom w:val="none" w:sz="0" w:space="0" w:color="auto"/>
            <w:right w:val="none" w:sz="0" w:space="0" w:color="auto"/>
          </w:divBdr>
        </w:div>
      </w:divsChild>
    </w:div>
    <w:div w:id="1031682968">
      <w:bodyDiv w:val="1"/>
      <w:marLeft w:val="0"/>
      <w:marRight w:val="0"/>
      <w:marTop w:val="0"/>
      <w:marBottom w:val="0"/>
      <w:divBdr>
        <w:top w:val="none" w:sz="0" w:space="0" w:color="auto"/>
        <w:left w:val="none" w:sz="0" w:space="0" w:color="auto"/>
        <w:bottom w:val="none" w:sz="0" w:space="0" w:color="auto"/>
        <w:right w:val="none" w:sz="0" w:space="0" w:color="auto"/>
      </w:divBdr>
    </w:div>
    <w:div w:id="1032002031">
      <w:bodyDiv w:val="1"/>
      <w:marLeft w:val="0"/>
      <w:marRight w:val="0"/>
      <w:marTop w:val="0"/>
      <w:marBottom w:val="0"/>
      <w:divBdr>
        <w:top w:val="none" w:sz="0" w:space="0" w:color="auto"/>
        <w:left w:val="none" w:sz="0" w:space="0" w:color="auto"/>
        <w:bottom w:val="none" w:sz="0" w:space="0" w:color="auto"/>
        <w:right w:val="none" w:sz="0" w:space="0" w:color="auto"/>
      </w:divBdr>
    </w:div>
    <w:div w:id="1032733122">
      <w:bodyDiv w:val="1"/>
      <w:marLeft w:val="0"/>
      <w:marRight w:val="0"/>
      <w:marTop w:val="0"/>
      <w:marBottom w:val="0"/>
      <w:divBdr>
        <w:top w:val="none" w:sz="0" w:space="0" w:color="auto"/>
        <w:left w:val="none" w:sz="0" w:space="0" w:color="auto"/>
        <w:bottom w:val="none" w:sz="0" w:space="0" w:color="auto"/>
        <w:right w:val="none" w:sz="0" w:space="0" w:color="auto"/>
      </w:divBdr>
    </w:div>
    <w:div w:id="1033068452">
      <w:bodyDiv w:val="1"/>
      <w:marLeft w:val="0"/>
      <w:marRight w:val="0"/>
      <w:marTop w:val="0"/>
      <w:marBottom w:val="0"/>
      <w:divBdr>
        <w:top w:val="none" w:sz="0" w:space="0" w:color="auto"/>
        <w:left w:val="none" w:sz="0" w:space="0" w:color="auto"/>
        <w:bottom w:val="none" w:sz="0" w:space="0" w:color="auto"/>
        <w:right w:val="none" w:sz="0" w:space="0" w:color="auto"/>
      </w:divBdr>
    </w:div>
    <w:div w:id="1033384208">
      <w:bodyDiv w:val="1"/>
      <w:marLeft w:val="0"/>
      <w:marRight w:val="0"/>
      <w:marTop w:val="0"/>
      <w:marBottom w:val="0"/>
      <w:divBdr>
        <w:top w:val="none" w:sz="0" w:space="0" w:color="auto"/>
        <w:left w:val="none" w:sz="0" w:space="0" w:color="auto"/>
        <w:bottom w:val="none" w:sz="0" w:space="0" w:color="auto"/>
        <w:right w:val="none" w:sz="0" w:space="0" w:color="auto"/>
      </w:divBdr>
      <w:divsChild>
        <w:div w:id="111944651">
          <w:marLeft w:val="547"/>
          <w:marRight w:val="0"/>
          <w:marTop w:val="96"/>
          <w:marBottom w:val="0"/>
          <w:divBdr>
            <w:top w:val="none" w:sz="0" w:space="0" w:color="auto"/>
            <w:left w:val="none" w:sz="0" w:space="0" w:color="auto"/>
            <w:bottom w:val="none" w:sz="0" w:space="0" w:color="auto"/>
            <w:right w:val="none" w:sz="0" w:space="0" w:color="auto"/>
          </w:divBdr>
        </w:div>
      </w:divsChild>
    </w:div>
    <w:div w:id="1033388711">
      <w:bodyDiv w:val="1"/>
      <w:marLeft w:val="0"/>
      <w:marRight w:val="0"/>
      <w:marTop w:val="0"/>
      <w:marBottom w:val="0"/>
      <w:divBdr>
        <w:top w:val="none" w:sz="0" w:space="0" w:color="auto"/>
        <w:left w:val="none" w:sz="0" w:space="0" w:color="auto"/>
        <w:bottom w:val="none" w:sz="0" w:space="0" w:color="auto"/>
        <w:right w:val="none" w:sz="0" w:space="0" w:color="auto"/>
      </w:divBdr>
    </w:div>
    <w:div w:id="1034308093">
      <w:bodyDiv w:val="1"/>
      <w:marLeft w:val="0"/>
      <w:marRight w:val="0"/>
      <w:marTop w:val="0"/>
      <w:marBottom w:val="0"/>
      <w:divBdr>
        <w:top w:val="none" w:sz="0" w:space="0" w:color="auto"/>
        <w:left w:val="none" w:sz="0" w:space="0" w:color="auto"/>
        <w:bottom w:val="none" w:sz="0" w:space="0" w:color="auto"/>
        <w:right w:val="none" w:sz="0" w:space="0" w:color="auto"/>
      </w:divBdr>
    </w:div>
    <w:div w:id="1036852473">
      <w:bodyDiv w:val="1"/>
      <w:marLeft w:val="0"/>
      <w:marRight w:val="0"/>
      <w:marTop w:val="0"/>
      <w:marBottom w:val="0"/>
      <w:divBdr>
        <w:top w:val="none" w:sz="0" w:space="0" w:color="auto"/>
        <w:left w:val="none" w:sz="0" w:space="0" w:color="auto"/>
        <w:bottom w:val="none" w:sz="0" w:space="0" w:color="auto"/>
        <w:right w:val="none" w:sz="0" w:space="0" w:color="auto"/>
      </w:divBdr>
    </w:div>
    <w:div w:id="1036930229">
      <w:bodyDiv w:val="1"/>
      <w:marLeft w:val="0"/>
      <w:marRight w:val="0"/>
      <w:marTop w:val="0"/>
      <w:marBottom w:val="0"/>
      <w:divBdr>
        <w:top w:val="none" w:sz="0" w:space="0" w:color="auto"/>
        <w:left w:val="none" w:sz="0" w:space="0" w:color="auto"/>
        <w:bottom w:val="none" w:sz="0" w:space="0" w:color="auto"/>
        <w:right w:val="none" w:sz="0" w:space="0" w:color="auto"/>
      </w:divBdr>
    </w:div>
    <w:div w:id="1037046781">
      <w:bodyDiv w:val="1"/>
      <w:marLeft w:val="0"/>
      <w:marRight w:val="0"/>
      <w:marTop w:val="0"/>
      <w:marBottom w:val="0"/>
      <w:divBdr>
        <w:top w:val="none" w:sz="0" w:space="0" w:color="auto"/>
        <w:left w:val="none" w:sz="0" w:space="0" w:color="auto"/>
        <w:bottom w:val="none" w:sz="0" w:space="0" w:color="auto"/>
        <w:right w:val="none" w:sz="0" w:space="0" w:color="auto"/>
      </w:divBdr>
      <w:divsChild>
        <w:div w:id="1983263779">
          <w:marLeft w:val="360"/>
          <w:marRight w:val="0"/>
          <w:marTop w:val="200"/>
          <w:marBottom w:val="0"/>
          <w:divBdr>
            <w:top w:val="none" w:sz="0" w:space="0" w:color="auto"/>
            <w:left w:val="none" w:sz="0" w:space="0" w:color="auto"/>
            <w:bottom w:val="none" w:sz="0" w:space="0" w:color="auto"/>
            <w:right w:val="none" w:sz="0" w:space="0" w:color="auto"/>
          </w:divBdr>
        </w:div>
      </w:divsChild>
    </w:div>
    <w:div w:id="1037199492">
      <w:bodyDiv w:val="1"/>
      <w:marLeft w:val="0"/>
      <w:marRight w:val="0"/>
      <w:marTop w:val="0"/>
      <w:marBottom w:val="0"/>
      <w:divBdr>
        <w:top w:val="none" w:sz="0" w:space="0" w:color="auto"/>
        <w:left w:val="none" w:sz="0" w:space="0" w:color="auto"/>
        <w:bottom w:val="none" w:sz="0" w:space="0" w:color="auto"/>
        <w:right w:val="none" w:sz="0" w:space="0" w:color="auto"/>
      </w:divBdr>
    </w:div>
    <w:div w:id="1037394159">
      <w:bodyDiv w:val="1"/>
      <w:marLeft w:val="0"/>
      <w:marRight w:val="0"/>
      <w:marTop w:val="0"/>
      <w:marBottom w:val="0"/>
      <w:divBdr>
        <w:top w:val="none" w:sz="0" w:space="0" w:color="auto"/>
        <w:left w:val="none" w:sz="0" w:space="0" w:color="auto"/>
        <w:bottom w:val="none" w:sz="0" w:space="0" w:color="auto"/>
        <w:right w:val="none" w:sz="0" w:space="0" w:color="auto"/>
      </w:divBdr>
    </w:div>
    <w:div w:id="1039015609">
      <w:bodyDiv w:val="1"/>
      <w:marLeft w:val="0"/>
      <w:marRight w:val="0"/>
      <w:marTop w:val="0"/>
      <w:marBottom w:val="0"/>
      <w:divBdr>
        <w:top w:val="none" w:sz="0" w:space="0" w:color="auto"/>
        <w:left w:val="none" w:sz="0" w:space="0" w:color="auto"/>
        <w:bottom w:val="none" w:sz="0" w:space="0" w:color="auto"/>
        <w:right w:val="none" w:sz="0" w:space="0" w:color="auto"/>
      </w:divBdr>
    </w:div>
    <w:div w:id="1039162554">
      <w:bodyDiv w:val="1"/>
      <w:marLeft w:val="0"/>
      <w:marRight w:val="0"/>
      <w:marTop w:val="0"/>
      <w:marBottom w:val="0"/>
      <w:divBdr>
        <w:top w:val="none" w:sz="0" w:space="0" w:color="auto"/>
        <w:left w:val="none" w:sz="0" w:space="0" w:color="auto"/>
        <w:bottom w:val="none" w:sz="0" w:space="0" w:color="auto"/>
        <w:right w:val="none" w:sz="0" w:space="0" w:color="auto"/>
      </w:divBdr>
    </w:div>
    <w:div w:id="1040546447">
      <w:bodyDiv w:val="1"/>
      <w:marLeft w:val="0"/>
      <w:marRight w:val="0"/>
      <w:marTop w:val="0"/>
      <w:marBottom w:val="0"/>
      <w:divBdr>
        <w:top w:val="none" w:sz="0" w:space="0" w:color="auto"/>
        <w:left w:val="none" w:sz="0" w:space="0" w:color="auto"/>
        <w:bottom w:val="none" w:sz="0" w:space="0" w:color="auto"/>
        <w:right w:val="none" w:sz="0" w:space="0" w:color="auto"/>
      </w:divBdr>
    </w:div>
    <w:div w:id="1045448855">
      <w:bodyDiv w:val="1"/>
      <w:marLeft w:val="0"/>
      <w:marRight w:val="0"/>
      <w:marTop w:val="0"/>
      <w:marBottom w:val="0"/>
      <w:divBdr>
        <w:top w:val="none" w:sz="0" w:space="0" w:color="auto"/>
        <w:left w:val="none" w:sz="0" w:space="0" w:color="auto"/>
        <w:bottom w:val="none" w:sz="0" w:space="0" w:color="auto"/>
        <w:right w:val="none" w:sz="0" w:space="0" w:color="auto"/>
      </w:divBdr>
    </w:div>
    <w:div w:id="1045908153">
      <w:bodyDiv w:val="1"/>
      <w:marLeft w:val="0"/>
      <w:marRight w:val="0"/>
      <w:marTop w:val="0"/>
      <w:marBottom w:val="0"/>
      <w:divBdr>
        <w:top w:val="none" w:sz="0" w:space="0" w:color="auto"/>
        <w:left w:val="none" w:sz="0" w:space="0" w:color="auto"/>
        <w:bottom w:val="none" w:sz="0" w:space="0" w:color="auto"/>
        <w:right w:val="none" w:sz="0" w:space="0" w:color="auto"/>
      </w:divBdr>
    </w:div>
    <w:div w:id="1047338627">
      <w:bodyDiv w:val="1"/>
      <w:marLeft w:val="0"/>
      <w:marRight w:val="0"/>
      <w:marTop w:val="0"/>
      <w:marBottom w:val="0"/>
      <w:divBdr>
        <w:top w:val="none" w:sz="0" w:space="0" w:color="auto"/>
        <w:left w:val="none" w:sz="0" w:space="0" w:color="auto"/>
        <w:bottom w:val="none" w:sz="0" w:space="0" w:color="auto"/>
        <w:right w:val="none" w:sz="0" w:space="0" w:color="auto"/>
      </w:divBdr>
    </w:div>
    <w:div w:id="1047535508">
      <w:bodyDiv w:val="1"/>
      <w:marLeft w:val="0"/>
      <w:marRight w:val="0"/>
      <w:marTop w:val="0"/>
      <w:marBottom w:val="0"/>
      <w:divBdr>
        <w:top w:val="none" w:sz="0" w:space="0" w:color="auto"/>
        <w:left w:val="none" w:sz="0" w:space="0" w:color="auto"/>
        <w:bottom w:val="none" w:sz="0" w:space="0" w:color="auto"/>
        <w:right w:val="none" w:sz="0" w:space="0" w:color="auto"/>
      </w:divBdr>
    </w:div>
    <w:div w:id="1047921995">
      <w:bodyDiv w:val="1"/>
      <w:marLeft w:val="0"/>
      <w:marRight w:val="0"/>
      <w:marTop w:val="0"/>
      <w:marBottom w:val="0"/>
      <w:divBdr>
        <w:top w:val="none" w:sz="0" w:space="0" w:color="auto"/>
        <w:left w:val="none" w:sz="0" w:space="0" w:color="auto"/>
        <w:bottom w:val="none" w:sz="0" w:space="0" w:color="auto"/>
        <w:right w:val="none" w:sz="0" w:space="0" w:color="auto"/>
      </w:divBdr>
    </w:div>
    <w:div w:id="1049569081">
      <w:bodyDiv w:val="1"/>
      <w:marLeft w:val="0"/>
      <w:marRight w:val="0"/>
      <w:marTop w:val="0"/>
      <w:marBottom w:val="0"/>
      <w:divBdr>
        <w:top w:val="none" w:sz="0" w:space="0" w:color="auto"/>
        <w:left w:val="none" w:sz="0" w:space="0" w:color="auto"/>
        <w:bottom w:val="none" w:sz="0" w:space="0" w:color="auto"/>
        <w:right w:val="none" w:sz="0" w:space="0" w:color="auto"/>
      </w:divBdr>
    </w:div>
    <w:div w:id="1049574866">
      <w:bodyDiv w:val="1"/>
      <w:marLeft w:val="0"/>
      <w:marRight w:val="0"/>
      <w:marTop w:val="0"/>
      <w:marBottom w:val="0"/>
      <w:divBdr>
        <w:top w:val="none" w:sz="0" w:space="0" w:color="auto"/>
        <w:left w:val="none" w:sz="0" w:space="0" w:color="auto"/>
        <w:bottom w:val="none" w:sz="0" w:space="0" w:color="auto"/>
        <w:right w:val="none" w:sz="0" w:space="0" w:color="auto"/>
      </w:divBdr>
    </w:div>
    <w:div w:id="1049958616">
      <w:bodyDiv w:val="1"/>
      <w:marLeft w:val="0"/>
      <w:marRight w:val="0"/>
      <w:marTop w:val="0"/>
      <w:marBottom w:val="0"/>
      <w:divBdr>
        <w:top w:val="none" w:sz="0" w:space="0" w:color="auto"/>
        <w:left w:val="none" w:sz="0" w:space="0" w:color="auto"/>
        <w:bottom w:val="none" w:sz="0" w:space="0" w:color="auto"/>
        <w:right w:val="none" w:sz="0" w:space="0" w:color="auto"/>
      </w:divBdr>
    </w:div>
    <w:div w:id="1051424011">
      <w:bodyDiv w:val="1"/>
      <w:marLeft w:val="0"/>
      <w:marRight w:val="0"/>
      <w:marTop w:val="0"/>
      <w:marBottom w:val="0"/>
      <w:divBdr>
        <w:top w:val="none" w:sz="0" w:space="0" w:color="auto"/>
        <w:left w:val="none" w:sz="0" w:space="0" w:color="auto"/>
        <w:bottom w:val="none" w:sz="0" w:space="0" w:color="auto"/>
        <w:right w:val="none" w:sz="0" w:space="0" w:color="auto"/>
      </w:divBdr>
    </w:div>
    <w:div w:id="1051424335">
      <w:bodyDiv w:val="1"/>
      <w:marLeft w:val="0"/>
      <w:marRight w:val="0"/>
      <w:marTop w:val="0"/>
      <w:marBottom w:val="0"/>
      <w:divBdr>
        <w:top w:val="none" w:sz="0" w:space="0" w:color="auto"/>
        <w:left w:val="none" w:sz="0" w:space="0" w:color="auto"/>
        <w:bottom w:val="none" w:sz="0" w:space="0" w:color="auto"/>
        <w:right w:val="none" w:sz="0" w:space="0" w:color="auto"/>
      </w:divBdr>
    </w:div>
    <w:div w:id="1051539749">
      <w:bodyDiv w:val="1"/>
      <w:marLeft w:val="0"/>
      <w:marRight w:val="0"/>
      <w:marTop w:val="0"/>
      <w:marBottom w:val="0"/>
      <w:divBdr>
        <w:top w:val="none" w:sz="0" w:space="0" w:color="auto"/>
        <w:left w:val="none" w:sz="0" w:space="0" w:color="auto"/>
        <w:bottom w:val="none" w:sz="0" w:space="0" w:color="auto"/>
        <w:right w:val="none" w:sz="0" w:space="0" w:color="auto"/>
      </w:divBdr>
      <w:divsChild>
        <w:div w:id="1643071895">
          <w:marLeft w:val="547"/>
          <w:marRight w:val="0"/>
          <w:marTop w:val="0"/>
          <w:marBottom w:val="0"/>
          <w:divBdr>
            <w:top w:val="none" w:sz="0" w:space="0" w:color="auto"/>
            <w:left w:val="none" w:sz="0" w:space="0" w:color="auto"/>
            <w:bottom w:val="none" w:sz="0" w:space="0" w:color="auto"/>
            <w:right w:val="none" w:sz="0" w:space="0" w:color="auto"/>
          </w:divBdr>
        </w:div>
      </w:divsChild>
    </w:div>
    <w:div w:id="1051726860">
      <w:bodyDiv w:val="1"/>
      <w:marLeft w:val="0"/>
      <w:marRight w:val="0"/>
      <w:marTop w:val="0"/>
      <w:marBottom w:val="0"/>
      <w:divBdr>
        <w:top w:val="none" w:sz="0" w:space="0" w:color="auto"/>
        <w:left w:val="none" w:sz="0" w:space="0" w:color="auto"/>
        <w:bottom w:val="none" w:sz="0" w:space="0" w:color="auto"/>
        <w:right w:val="none" w:sz="0" w:space="0" w:color="auto"/>
      </w:divBdr>
      <w:divsChild>
        <w:div w:id="233010092">
          <w:marLeft w:val="302"/>
          <w:marRight w:val="0"/>
          <w:marTop w:val="0"/>
          <w:marBottom w:val="12"/>
          <w:divBdr>
            <w:top w:val="none" w:sz="0" w:space="0" w:color="auto"/>
            <w:left w:val="none" w:sz="0" w:space="0" w:color="auto"/>
            <w:bottom w:val="none" w:sz="0" w:space="0" w:color="auto"/>
            <w:right w:val="none" w:sz="0" w:space="0" w:color="auto"/>
          </w:divBdr>
        </w:div>
      </w:divsChild>
    </w:div>
    <w:div w:id="1051811597">
      <w:bodyDiv w:val="1"/>
      <w:marLeft w:val="0"/>
      <w:marRight w:val="0"/>
      <w:marTop w:val="0"/>
      <w:marBottom w:val="0"/>
      <w:divBdr>
        <w:top w:val="none" w:sz="0" w:space="0" w:color="auto"/>
        <w:left w:val="none" w:sz="0" w:space="0" w:color="auto"/>
        <w:bottom w:val="none" w:sz="0" w:space="0" w:color="auto"/>
        <w:right w:val="none" w:sz="0" w:space="0" w:color="auto"/>
      </w:divBdr>
    </w:div>
    <w:div w:id="1054698386">
      <w:bodyDiv w:val="1"/>
      <w:marLeft w:val="0"/>
      <w:marRight w:val="0"/>
      <w:marTop w:val="0"/>
      <w:marBottom w:val="0"/>
      <w:divBdr>
        <w:top w:val="none" w:sz="0" w:space="0" w:color="auto"/>
        <w:left w:val="none" w:sz="0" w:space="0" w:color="auto"/>
        <w:bottom w:val="none" w:sz="0" w:space="0" w:color="auto"/>
        <w:right w:val="none" w:sz="0" w:space="0" w:color="auto"/>
      </w:divBdr>
    </w:div>
    <w:div w:id="1055546670">
      <w:bodyDiv w:val="1"/>
      <w:marLeft w:val="0"/>
      <w:marRight w:val="0"/>
      <w:marTop w:val="0"/>
      <w:marBottom w:val="0"/>
      <w:divBdr>
        <w:top w:val="none" w:sz="0" w:space="0" w:color="auto"/>
        <w:left w:val="none" w:sz="0" w:space="0" w:color="auto"/>
        <w:bottom w:val="none" w:sz="0" w:space="0" w:color="auto"/>
        <w:right w:val="none" w:sz="0" w:space="0" w:color="auto"/>
      </w:divBdr>
    </w:div>
    <w:div w:id="1056130087">
      <w:bodyDiv w:val="1"/>
      <w:marLeft w:val="0"/>
      <w:marRight w:val="0"/>
      <w:marTop w:val="0"/>
      <w:marBottom w:val="0"/>
      <w:divBdr>
        <w:top w:val="none" w:sz="0" w:space="0" w:color="auto"/>
        <w:left w:val="none" w:sz="0" w:space="0" w:color="auto"/>
        <w:bottom w:val="none" w:sz="0" w:space="0" w:color="auto"/>
        <w:right w:val="none" w:sz="0" w:space="0" w:color="auto"/>
      </w:divBdr>
    </w:div>
    <w:div w:id="1056392851">
      <w:bodyDiv w:val="1"/>
      <w:marLeft w:val="0"/>
      <w:marRight w:val="0"/>
      <w:marTop w:val="0"/>
      <w:marBottom w:val="0"/>
      <w:divBdr>
        <w:top w:val="none" w:sz="0" w:space="0" w:color="auto"/>
        <w:left w:val="none" w:sz="0" w:space="0" w:color="auto"/>
        <w:bottom w:val="none" w:sz="0" w:space="0" w:color="auto"/>
        <w:right w:val="none" w:sz="0" w:space="0" w:color="auto"/>
      </w:divBdr>
    </w:div>
    <w:div w:id="1057049452">
      <w:bodyDiv w:val="1"/>
      <w:marLeft w:val="0"/>
      <w:marRight w:val="0"/>
      <w:marTop w:val="0"/>
      <w:marBottom w:val="0"/>
      <w:divBdr>
        <w:top w:val="none" w:sz="0" w:space="0" w:color="auto"/>
        <w:left w:val="none" w:sz="0" w:space="0" w:color="auto"/>
        <w:bottom w:val="none" w:sz="0" w:space="0" w:color="auto"/>
        <w:right w:val="none" w:sz="0" w:space="0" w:color="auto"/>
      </w:divBdr>
    </w:div>
    <w:div w:id="1057162707">
      <w:bodyDiv w:val="1"/>
      <w:marLeft w:val="0"/>
      <w:marRight w:val="0"/>
      <w:marTop w:val="0"/>
      <w:marBottom w:val="0"/>
      <w:divBdr>
        <w:top w:val="none" w:sz="0" w:space="0" w:color="auto"/>
        <w:left w:val="none" w:sz="0" w:space="0" w:color="auto"/>
        <w:bottom w:val="none" w:sz="0" w:space="0" w:color="auto"/>
        <w:right w:val="none" w:sz="0" w:space="0" w:color="auto"/>
      </w:divBdr>
    </w:div>
    <w:div w:id="1057508757">
      <w:bodyDiv w:val="1"/>
      <w:marLeft w:val="0"/>
      <w:marRight w:val="0"/>
      <w:marTop w:val="0"/>
      <w:marBottom w:val="0"/>
      <w:divBdr>
        <w:top w:val="none" w:sz="0" w:space="0" w:color="auto"/>
        <w:left w:val="none" w:sz="0" w:space="0" w:color="auto"/>
        <w:bottom w:val="none" w:sz="0" w:space="0" w:color="auto"/>
        <w:right w:val="none" w:sz="0" w:space="0" w:color="auto"/>
      </w:divBdr>
    </w:div>
    <w:div w:id="1057701214">
      <w:bodyDiv w:val="1"/>
      <w:marLeft w:val="0"/>
      <w:marRight w:val="0"/>
      <w:marTop w:val="0"/>
      <w:marBottom w:val="0"/>
      <w:divBdr>
        <w:top w:val="none" w:sz="0" w:space="0" w:color="auto"/>
        <w:left w:val="none" w:sz="0" w:space="0" w:color="auto"/>
        <w:bottom w:val="none" w:sz="0" w:space="0" w:color="auto"/>
        <w:right w:val="none" w:sz="0" w:space="0" w:color="auto"/>
      </w:divBdr>
      <w:divsChild>
        <w:div w:id="30765979">
          <w:marLeft w:val="1800"/>
          <w:marRight w:val="0"/>
          <w:marTop w:val="77"/>
          <w:marBottom w:val="0"/>
          <w:divBdr>
            <w:top w:val="none" w:sz="0" w:space="0" w:color="auto"/>
            <w:left w:val="none" w:sz="0" w:space="0" w:color="auto"/>
            <w:bottom w:val="none" w:sz="0" w:space="0" w:color="auto"/>
            <w:right w:val="none" w:sz="0" w:space="0" w:color="auto"/>
          </w:divBdr>
        </w:div>
        <w:div w:id="263266676">
          <w:marLeft w:val="1166"/>
          <w:marRight w:val="0"/>
          <w:marTop w:val="96"/>
          <w:marBottom w:val="0"/>
          <w:divBdr>
            <w:top w:val="none" w:sz="0" w:space="0" w:color="auto"/>
            <w:left w:val="none" w:sz="0" w:space="0" w:color="auto"/>
            <w:bottom w:val="none" w:sz="0" w:space="0" w:color="auto"/>
            <w:right w:val="none" w:sz="0" w:space="0" w:color="auto"/>
          </w:divBdr>
        </w:div>
        <w:div w:id="423646178">
          <w:marLeft w:val="1166"/>
          <w:marRight w:val="0"/>
          <w:marTop w:val="96"/>
          <w:marBottom w:val="0"/>
          <w:divBdr>
            <w:top w:val="none" w:sz="0" w:space="0" w:color="auto"/>
            <w:left w:val="none" w:sz="0" w:space="0" w:color="auto"/>
            <w:bottom w:val="none" w:sz="0" w:space="0" w:color="auto"/>
            <w:right w:val="none" w:sz="0" w:space="0" w:color="auto"/>
          </w:divBdr>
        </w:div>
        <w:div w:id="597833527">
          <w:marLeft w:val="1166"/>
          <w:marRight w:val="0"/>
          <w:marTop w:val="96"/>
          <w:marBottom w:val="0"/>
          <w:divBdr>
            <w:top w:val="none" w:sz="0" w:space="0" w:color="auto"/>
            <w:left w:val="none" w:sz="0" w:space="0" w:color="auto"/>
            <w:bottom w:val="none" w:sz="0" w:space="0" w:color="auto"/>
            <w:right w:val="none" w:sz="0" w:space="0" w:color="auto"/>
          </w:divBdr>
        </w:div>
        <w:div w:id="968824197">
          <w:marLeft w:val="547"/>
          <w:marRight w:val="0"/>
          <w:marTop w:val="115"/>
          <w:marBottom w:val="0"/>
          <w:divBdr>
            <w:top w:val="none" w:sz="0" w:space="0" w:color="auto"/>
            <w:left w:val="none" w:sz="0" w:space="0" w:color="auto"/>
            <w:bottom w:val="none" w:sz="0" w:space="0" w:color="auto"/>
            <w:right w:val="none" w:sz="0" w:space="0" w:color="auto"/>
          </w:divBdr>
        </w:div>
        <w:div w:id="1478111929">
          <w:marLeft w:val="1800"/>
          <w:marRight w:val="0"/>
          <w:marTop w:val="77"/>
          <w:marBottom w:val="0"/>
          <w:divBdr>
            <w:top w:val="none" w:sz="0" w:space="0" w:color="auto"/>
            <w:left w:val="none" w:sz="0" w:space="0" w:color="auto"/>
            <w:bottom w:val="none" w:sz="0" w:space="0" w:color="auto"/>
            <w:right w:val="none" w:sz="0" w:space="0" w:color="auto"/>
          </w:divBdr>
        </w:div>
        <w:div w:id="1571233262">
          <w:marLeft w:val="1166"/>
          <w:marRight w:val="0"/>
          <w:marTop w:val="96"/>
          <w:marBottom w:val="0"/>
          <w:divBdr>
            <w:top w:val="none" w:sz="0" w:space="0" w:color="auto"/>
            <w:left w:val="none" w:sz="0" w:space="0" w:color="auto"/>
            <w:bottom w:val="none" w:sz="0" w:space="0" w:color="auto"/>
            <w:right w:val="none" w:sz="0" w:space="0" w:color="auto"/>
          </w:divBdr>
        </w:div>
        <w:div w:id="1577594301">
          <w:marLeft w:val="1800"/>
          <w:marRight w:val="0"/>
          <w:marTop w:val="77"/>
          <w:marBottom w:val="0"/>
          <w:divBdr>
            <w:top w:val="none" w:sz="0" w:space="0" w:color="auto"/>
            <w:left w:val="none" w:sz="0" w:space="0" w:color="auto"/>
            <w:bottom w:val="none" w:sz="0" w:space="0" w:color="auto"/>
            <w:right w:val="none" w:sz="0" w:space="0" w:color="auto"/>
          </w:divBdr>
        </w:div>
        <w:div w:id="1580870696">
          <w:marLeft w:val="1800"/>
          <w:marRight w:val="0"/>
          <w:marTop w:val="77"/>
          <w:marBottom w:val="0"/>
          <w:divBdr>
            <w:top w:val="none" w:sz="0" w:space="0" w:color="auto"/>
            <w:left w:val="none" w:sz="0" w:space="0" w:color="auto"/>
            <w:bottom w:val="none" w:sz="0" w:space="0" w:color="auto"/>
            <w:right w:val="none" w:sz="0" w:space="0" w:color="auto"/>
          </w:divBdr>
        </w:div>
      </w:divsChild>
    </w:div>
    <w:div w:id="1057817532">
      <w:bodyDiv w:val="1"/>
      <w:marLeft w:val="0"/>
      <w:marRight w:val="0"/>
      <w:marTop w:val="0"/>
      <w:marBottom w:val="0"/>
      <w:divBdr>
        <w:top w:val="none" w:sz="0" w:space="0" w:color="auto"/>
        <w:left w:val="none" w:sz="0" w:space="0" w:color="auto"/>
        <w:bottom w:val="none" w:sz="0" w:space="0" w:color="auto"/>
        <w:right w:val="none" w:sz="0" w:space="0" w:color="auto"/>
      </w:divBdr>
    </w:div>
    <w:div w:id="1059861338">
      <w:bodyDiv w:val="1"/>
      <w:marLeft w:val="0"/>
      <w:marRight w:val="0"/>
      <w:marTop w:val="0"/>
      <w:marBottom w:val="0"/>
      <w:divBdr>
        <w:top w:val="none" w:sz="0" w:space="0" w:color="auto"/>
        <w:left w:val="none" w:sz="0" w:space="0" w:color="auto"/>
        <w:bottom w:val="none" w:sz="0" w:space="0" w:color="auto"/>
        <w:right w:val="none" w:sz="0" w:space="0" w:color="auto"/>
      </w:divBdr>
    </w:div>
    <w:div w:id="1060134825">
      <w:bodyDiv w:val="1"/>
      <w:marLeft w:val="0"/>
      <w:marRight w:val="0"/>
      <w:marTop w:val="0"/>
      <w:marBottom w:val="0"/>
      <w:divBdr>
        <w:top w:val="none" w:sz="0" w:space="0" w:color="auto"/>
        <w:left w:val="none" w:sz="0" w:space="0" w:color="auto"/>
        <w:bottom w:val="none" w:sz="0" w:space="0" w:color="auto"/>
        <w:right w:val="none" w:sz="0" w:space="0" w:color="auto"/>
      </w:divBdr>
    </w:div>
    <w:div w:id="1062292500">
      <w:bodyDiv w:val="1"/>
      <w:marLeft w:val="0"/>
      <w:marRight w:val="0"/>
      <w:marTop w:val="0"/>
      <w:marBottom w:val="0"/>
      <w:divBdr>
        <w:top w:val="none" w:sz="0" w:space="0" w:color="auto"/>
        <w:left w:val="none" w:sz="0" w:space="0" w:color="auto"/>
        <w:bottom w:val="none" w:sz="0" w:space="0" w:color="auto"/>
        <w:right w:val="none" w:sz="0" w:space="0" w:color="auto"/>
      </w:divBdr>
      <w:divsChild>
        <w:div w:id="25760833">
          <w:marLeft w:val="1166"/>
          <w:marRight w:val="0"/>
          <w:marTop w:val="106"/>
          <w:marBottom w:val="0"/>
          <w:divBdr>
            <w:top w:val="none" w:sz="0" w:space="0" w:color="auto"/>
            <w:left w:val="none" w:sz="0" w:space="0" w:color="auto"/>
            <w:bottom w:val="none" w:sz="0" w:space="0" w:color="auto"/>
            <w:right w:val="none" w:sz="0" w:space="0" w:color="auto"/>
          </w:divBdr>
        </w:div>
        <w:div w:id="159153160">
          <w:marLeft w:val="1166"/>
          <w:marRight w:val="0"/>
          <w:marTop w:val="106"/>
          <w:marBottom w:val="0"/>
          <w:divBdr>
            <w:top w:val="none" w:sz="0" w:space="0" w:color="auto"/>
            <w:left w:val="none" w:sz="0" w:space="0" w:color="auto"/>
            <w:bottom w:val="none" w:sz="0" w:space="0" w:color="auto"/>
            <w:right w:val="none" w:sz="0" w:space="0" w:color="auto"/>
          </w:divBdr>
        </w:div>
        <w:div w:id="678388436">
          <w:marLeft w:val="1166"/>
          <w:marRight w:val="0"/>
          <w:marTop w:val="106"/>
          <w:marBottom w:val="0"/>
          <w:divBdr>
            <w:top w:val="none" w:sz="0" w:space="0" w:color="auto"/>
            <w:left w:val="none" w:sz="0" w:space="0" w:color="auto"/>
            <w:bottom w:val="none" w:sz="0" w:space="0" w:color="auto"/>
            <w:right w:val="none" w:sz="0" w:space="0" w:color="auto"/>
          </w:divBdr>
        </w:div>
        <w:div w:id="979770327">
          <w:marLeft w:val="547"/>
          <w:marRight w:val="0"/>
          <w:marTop w:val="125"/>
          <w:marBottom w:val="0"/>
          <w:divBdr>
            <w:top w:val="none" w:sz="0" w:space="0" w:color="auto"/>
            <w:left w:val="none" w:sz="0" w:space="0" w:color="auto"/>
            <w:bottom w:val="none" w:sz="0" w:space="0" w:color="auto"/>
            <w:right w:val="none" w:sz="0" w:space="0" w:color="auto"/>
          </w:divBdr>
        </w:div>
        <w:div w:id="1006400138">
          <w:marLeft w:val="547"/>
          <w:marRight w:val="0"/>
          <w:marTop w:val="115"/>
          <w:marBottom w:val="0"/>
          <w:divBdr>
            <w:top w:val="none" w:sz="0" w:space="0" w:color="auto"/>
            <w:left w:val="none" w:sz="0" w:space="0" w:color="auto"/>
            <w:bottom w:val="none" w:sz="0" w:space="0" w:color="auto"/>
            <w:right w:val="none" w:sz="0" w:space="0" w:color="auto"/>
          </w:divBdr>
        </w:div>
        <w:div w:id="1630890357">
          <w:marLeft w:val="547"/>
          <w:marRight w:val="0"/>
          <w:marTop w:val="125"/>
          <w:marBottom w:val="0"/>
          <w:divBdr>
            <w:top w:val="none" w:sz="0" w:space="0" w:color="auto"/>
            <w:left w:val="none" w:sz="0" w:space="0" w:color="auto"/>
            <w:bottom w:val="none" w:sz="0" w:space="0" w:color="auto"/>
            <w:right w:val="none" w:sz="0" w:space="0" w:color="auto"/>
          </w:divBdr>
        </w:div>
        <w:div w:id="1845703809">
          <w:marLeft w:val="547"/>
          <w:marRight w:val="0"/>
          <w:marTop w:val="125"/>
          <w:marBottom w:val="0"/>
          <w:divBdr>
            <w:top w:val="none" w:sz="0" w:space="0" w:color="auto"/>
            <w:left w:val="none" w:sz="0" w:space="0" w:color="auto"/>
            <w:bottom w:val="none" w:sz="0" w:space="0" w:color="auto"/>
            <w:right w:val="none" w:sz="0" w:space="0" w:color="auto"/>
          </w:divBdr>
        </w:div>
      </w:divsChild>
    </w:div>
    <w:div w:id="1063911479">
      <w:bodyDiv w:val="1"/>
      <w:marLeft w:val="0"/>
      <w:marRight w:val="0"/>
      <w:marTop w:val="0"/>
      <w:marBottom w:val="0"/>
      <w:divBdr>
        <w:top w:val="none" w:sz="0" w:space="0" w:color="auto"/>
        <w:left w:val="none" w:sz="0" w:space="0" w:color="auto"/>
        <w:bottom w:val="none" w:sz="0" w:space="0" w:color="auto"/>
        <w:right w:val="none" w:sz="0" w:space="0" w:color="auto"/>
      </w:divBdr>
    </w:div>
    <w:div w:id="1064837704">
      <w:bodyDiv w:val="1"/>
      <w:marLeft w:val="0"/>
      <w:marRight w:val="0"/>
      <w:marTop w:val="0"/>
      <w:marBottom w:val="0"/>
      <w:divBdr>
        <w:top w:val="none" w:sz="0" w:space="0" w:color="auto"/>
        <w:left w:val="none" w:sz="0" w:space="0" w:color="auto"/>
        <w:bottom w:val="none" w:sz="0" w:space="0" w:color="auto"/>
        <w:right w:val="none" w:sz="0" w:space="0" w:color="auto"/>
      </w:divBdr>
    </w:div>
    <w:div w:id="1065034251">
      <w:bodyDiv w:val="1"/>
      <w:marLeft w:val="0"/>
      <w:marRight w:val="0"/>
      <w:marTop w:val="0"/>
      <w:marBottom w:val="0"/>
      <w:divBdr>
        <w:top w:val="none" w:sz="0" w:space="0" w:color="auto"/>
        <w:left w:val="none" w:sz="0" w:space="0" w:color="auto"/>
        <w:bottom w:val="none" w:sz="0" w:space="0" w:color="auto"/>
        <w:right w:val="none" w:sz="0" w:space="0" w:color="auto"/>
      </w:divBdr>
    </w:div>
    <w:div w:id="1065447831">
      <w:bodyDiv w:val="1"/>
      <w:marLeft w:val="0"/>
      <w:marRight w:val="0"/>
      <w:marTop w:val="0"/>
      <w:marBottom w:val="0"/>
      <w:divBdr>
        <w:top w:val="none" w:sz="0" w:space="0" w:color="auto"/>
        <w:left w:val="none" w:sz="0" w:space="0" w:color="auto"/>
        <w:bottom w:val="none" w:sz="0" w:space="0" w:color="auto"/>
        <w:right w:val="none" w:sz="0" w:space="0" w:color="auto"/>
      </w:divBdr>
    </w:div>
    <w:div w:id="1066412364">
      <w:bodyDiv w:val="1"/>
      <w:marLeft w:val="0"/>
      <w:marRight w:val="0"/>
      <w:marTop w:val="0"/>
      <w:marBottom w:val="0"/>
      <w:divBdr>
        <w:top w:val="none" w:sz="0" w:space="0" w:color="auto"/>
        <w:left w:val="none" w:sz="0" w:space="0" w:color="auto"/>
        <w:bottom w:val="none" w:sz="0" w:space="0" w:color="auto"/>
        <w:right w:val="none" w:sz="0" w:space="0" w:color="auto"/>
      </w:divBdr>
    </w:div>
    <w:div w:id="1066798376">
      <w:bodyDiv w:val="1"/>
      <w:marLeft w:val="0"/>
      <w:marRight w:val="0"/>
      <w:marTop w:val="0"/>
      <w:marBottom w:val="0"/>
      <w:divBdr>
        <w:top w:val="none" w:sz="0" w:space="0" w:color="auto"/>
        <w:left w:val="none" w:sz="0" w:space="0" w:color="auto"/>
        <w:bottom w:val="none" w:sz="0" w:space="0" w:color="auto"/>
        <w:right w:val="none" w:sz="0" w:space="0" w:color="auto"/>
      </w:divBdr>
    </w:div>
    <w:div w:id="1066880887">
      <w:bodyDiv w:val="1"/>
      <w:marLeft w:val="0"/>
      <w:marRight w:val="0"/>
      <w:marTop w:val="0"/>
      <w:marBottom w:val="0"/>
      <w:divBdr>
        <w:top w:val="none" w:sz="0" w:space="0" w:color="auto"/>
        <w:left w:val="none" w:sz="0" w:space="0" w:color="auto"/>
        <w:bottom w:val="none" w:sz="0" w:space="0" w:color="auto"/>
        <w:right w:val="none" w:sz="0" w:space="0" w:color="auto"/>
      </w:divBdr>
    </w:div>
    <w:div w:id="1067417431">
      <w:bodyDiv w:val="1"/>
      <w:marLeft w:val="0"/>
      <w:marRight w:val="0"/>
      <w:marTop w:val="0"/>
      <w:marBottom w:val="0"/>
      <w:divBdr>
        <w:top w:val="none" w:sz="0" w:space="0" w:color="auto"/>
        <w:left w:val="none" w:sz="0" w:space="0" w:color="auto"/>
        <w:bottom w:val="none" w:sz="0" w:space="0" w:color="auto"/>
        <w:right w:val="none" w:sz="0" w:space="0" w:color="auto"/>
      </w:divBdr>
    </w:div>
    <w:div w:id="1067613042">
      <w:bodyDiv w:val="1"/>
      <w:marLeft w:val="0"/>
      <w:marRight w:val="0"/>
      <w:marTop w:val="0"/>
      <w:marBottom w:val="0"/>
      <w:divBdr>
        <w:top w:val="none" w:sz="0" w:space="0" w:color="auto"/>
        <w:left w:val="none" w:sz="0" w:space="0" w:color="auto"/>
        <w:bottom w:val="none" w:sz="0" w:space="0" w:color="auto"/>
        <w:right w:val="none" w:sz="0" w:space="0" w:color="auto"/>
      </w:divBdr>
    </w:div>
    <w:div w:id="1067728782">
      <w:bodyDiv w:val="1"/>
      <w:marLeft w:val="0"/>
      <w:marRight w:val="0"/>
      <w:marTop w:val="0"/>
      <w:marBottom w:val="0"/>
      <w:divBdr>
        <w:top w:val="none" w:sz="0" w:space="0" w:color="auto"/>
        <w:left w:val="none" w:sz="0" w:space="0" w:color="auto"/>
        <w:bottom w:val="none" w:sz="0" w:space="0" w:color="auto"/>
        <w:right w:val="none" w:sz="0" w:space="0" w:color="auto"/>
      </w:divBdr>
    </w:div>
    <w:div w:id="1068264962">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574568">
      <w:bodyDiv w:val="1"/>
      <w:marLeft w:val="0"/>
      <w:marRight w:val="0"/>
      <w:marTop w:val="0"/>
      <w:marBottom w:val="0"/>
      <w:divBdr>
        <w:top w:val="none" w:sz="0" w:space="0" w:color="auto"/>
        <w:left w:val="none" w:sz="0" w:space="0" w:color="auto"/>
        <w:bottom w:val="none" w:sz="0" w:space="0" w:color="auto"/>
        <w:right w:val="none" w:sz="0" w:space="0" w:color="auto"/>
      </w:divBdr>
      <w:divsChild>
        <w:div w:id="910235005">
          <w:marLeft w:val="547"/>
          <w:marRight w:val="0"/>
          <w:marTop w:val="115"/>
          <w:marBottom w:val="0"/>
          <w:divBdr>
            <w:top w:val="none" w:sz="0" w:space="0" w:color="auto"/>
            <w:left w:val="none" w:sz="0" w:space="0" w:color="auto"/>
            <w:bottom w:val="none" w:sz="0" w:space="0" w:color="auto"/>
            <w:right w:val="none" w:sz="0" w:space="0" w:color="auto"/>
          </w:divBdr>
        </w:div>
        <w:div w:id="1374117517">
          <w:marLeft w:val="1166"/>
          <w:marRight w:val="0"/>
          <w:marTop w:val="86"/>
          <w:marBottom w:val="0"/>
          <w:divBdr>
            <w:top w:val="none" w:sz="0" w:space="0" w:color="auto"/>
            <w:left w:val="none" w:sz="0" w:space="0" w:color="auto"/>
            <w:bottom w:val="none" w:sz="0" w:space="0" w:color="auto"/>
            <w:right w:val="none" w:sz="0" w:space="0" w:color="auto"/>
          </w:divBdr>
        </w:div>
        <w:div w:id="1426879933">
          <w:marLeft w:val="1166"/>
          <w:marRight w:val="0"/>
          <w:marTop w:val="86"/>
          <w:marBottom w:val="0"/>
          <w:divBdr>
            <w:top w:val="none" w:sz="0" w:space="0" w:color="auto"/>
            <w:left w:val="none" w:sz="0" w:space="0" w:color="auto"/>
            <w:bottom w:val="none" w:sz="0" w:space="0" w:color="auto"/>
            <w:right w:val="none" w:sz="0" w:space="0" w:color="auto"/>
          </w:divBdr>
        </w:div>
        <w:div w:id="1645623165">
          <w:marLeft w:val="1166"/>
          <w:marRight w:val="0"/>
          <w:marTop w:val="86"/>
          <w:marBottom w:val="0"/>
          <w:divBdr>
            <w:top w:val="none" w:sz="0" w:space="0" w:color="auto"/>
            <w:left w:val="none" w:sz="0" w:space="0" w:color="auto"/>
            <w:bottom w:val="none" w:sz="0" w:space="0" w:color="auto"/>
            <w:right w:val="none" w:sz="0" w:space="0" w:color="auto"/>
          </w:divBdr>
        </w:div>
      </w:divsChild>
    </w:div>
    <w:div w:id="1069887161">
      <w:bodyDiv w:val="1"/>
      <w:marLeft w:val="0"/>
      <w:marRight w:val="0"/>
      <w:marTop w:val="0"/>
      <w:marBottom w:val="0"/>
      <w:divBdr>
        <w:top w:val="none" w:sz="0" w:space="0" w:color="auto"/>
        <w:left w:val="none" w:sz="0" w:space="0" w:color="auto"/>
        <w:bottom w:val="none" w:sz="0" w:space="0" w:color="auto"/>
        <w:right w:val="none" w:sz="0" w:space="0" w:color="auto"/>
      </w:divBdr>
    </w:div>
    <w:div w:id="1070158129">
      <w:bodyDiv w:val="1"/>
      <w:marLeft w:val="0"/>
      <w:marRight w:val="0"/>
      <w:marTop w:val="0"/>
      <w:marBottom w:val="0"/>
      <w:divBdr>
        <w:top w:val="none" w:sz="0" w:space="0" w:color="auto"/>
        <w:left w:val="none" w:sz="0" w:space="0" w:color="auto"/>
        <w:bottom w:val="none" w:sz="0" w:space="0" w:color="auto"/>
        <w:right w:val="none" w:sz="0" w:space="0" w:color="auto"/>
      </w:divBdr>
    </w:div>
    <w:div w:id="1070613765">
      <w:bodyDiv w:val="1"/>
      <w:marLeft w:val="0"/>
      <w:marRight w:val="0"/>
      <w:marTop w:val="0"/>
      <w:marBottom w:val="0"/>
      <w:divBdr>
        <w:top w:val="none" w:sz="0" w:space="0" w:color="auto"/>
        <w:left w:val="none" w:sz="0" w:space="0" w:color="auto"/>
        <w:bottom w:val="none" w:sz="0" w:space="0" w:color="auto"/>
        <w:right w:val="none" w:sz="0" w:space="0" w:color="auto"/>
      </w:divBdr>
    </w:div>
    <w:div w:id="1071076496">
      <w:bodyDiv w:val="1"/>
      <w:marLeft w:val="0"/>
      <w:marRight w:val="0"/>
      <w:marTop w:val="0"/>
      <w:marBottom w:val="0"/>
      <w:divBdr>
        <w:top w:val="none" w:sz="0" w:space="0" w:color="auto"/>
        <w:left w:val="none" w:sz="0" w:space="0" w:color="auto"/>
        <w:bottom w:val="none" w:sz="0" w:space="0" w:color="auto"/>
        <w:right w:val="none" w:sz="0" w:space="0" w:color="auto"/>
      </w:divBdr>
      <w:divsChild>
        <w:div w:id="179009766">
          <w:marLeft w:val="1886"/>
          <w:marRight w:val="0"/>
          <w:marTop w:val="96"/>
          <w:marBottom w:val="0"/>
          <w:divBdr>
            <w:top w:val="none" w:sz="0" w:space="0" w:color="auto"/>
            <w:left w:val="none" w:sz="0" w:space="0" w:color="auto"/>
            <w:bottom w:val="none" w:sz="0" w:space="0" w:color="auto"/>
            <w:right w:val="none" w:sz="0" w:space="0" w:color="auto"/>
          </w:divBdr>
        </w:div>
        <w:div w:id="1003163396">
          <w:marLeft w:val="1166"/>
          <w:marRight w:val="0"/>
          <w:marTop w:val="115"/>
          <w:marBottom w:val="0"/>
          <w:divBdr>
            <w:top w:val="none" w:sz="0" w:space="0" w:color="auto"/>
            <w:left w:val="none" w:sz="0" w:space="0" w:color="auto"/>
            <w:bottom w:val="none" w:sz="0" w:space="0" w:color="auto"/>
            <w:right w:val="none" w:sz="0" w:space="0" w:color="auto"/>
          </w:divBdr>
        </w:div>
        <w:div w:id="1530217790">
          <w:marLeft w:val="1166"/>
          <w:marRight w:val="0"/>
          <w:marTop w:val="115"/>
          <w:marBottom w:val="0"/>
          <w:divBdr>
            <w:top w:val="none" w:sz="0" w:space="0" w:color="auto"/>
            <w:left w:val="none" w:sz="0" w:space="0" w:color="auto"/>
            <w:bottom w:val="none" w:sz="0" w:space="0" w:color="auto"/>
            <w:right w:val="none" w:sz="0" w:space="0" w:color="auto"/>
          </w:divBdr>
        </w:div>
        <w:div w:id="1910073004">
          <w:marLeft w:val="547"/>
          <w:marRight w:val="0"/>
          <w:marTop w:val="134"/>
          <w:marBottom w:val="0"/>
          <w:divBdr>
            <w:top w:val="none" w:sz="0" w:space="0" w:color="auto"/>
            <w:left w:val="none" w:sz="0" w:space="0" w:color="auto"/>
            <w:bottom w:val="none" w:sz="0" w:space="0" w:color="auto"/>
            <w:right w:val="none" w:sz="0" w:space="0" w:color="auto"/>
          </w:divBdr>
        </w:div>
      </w:divsChild>
    </w:div>
    <w:div w:id="1071461509">
      <w:bodyDiv w:val="1"/>
      <w:marLeft w:val="0"/>
      <w:marRight w:val="0"/>
      <w:marTop w:val="0"/>
      <w:marBottom w:val="0"/>
      <w:divBdr>
        <w:top w:val="none" w:sz="0" w:space="0" w:color="auto"/>
        <w:left w:val="none" w:sz="0" w:space="0" w:color="auto"/>
        <w:bottom w:val="none" w:sz="0" w:space="0" w:color="auto"/>
        <w:right w:val="none" w:sz="0" w:space="0" w:color="auto"/>
      </w:divBdr>
    </w:div>
    <w:div w:id="1072309591">
      <w:bodyDiv w:val="1"/>
      <w:marLeft w:val="0"/>
      <w:marRight w:val="0"/>
      <w:marTop w:val="0"/>
      <w:marBottom w:val="0"/>
      <w:divBdr>
        <w:top w:val="none" w:sz="0" w:space="0" w:color="auto"/>
        <w:left w:val="none" w:sz="0" w:space="0" w:color="auto"/>
        <w:bottom w:val="none" w:sz="0" w:space="0" w:color="auto"/>
        <w:right w:val="none" w:sz="0" w:space="0" w:color="auto"/>
      </w:divBdr>
    </w:div>
    <w:div w:id="1072697563">
      <w:bodyDiv w:val="1"/>
      <w:marLeft w:val="0"/>
      <w:marRight w:val="0"/>
      <w:marTop w:val="0"/>
      <w:marBottom w:val="0"/>
      <w:divBdr>
        <w:top w:val="none" w:sz="0" w:space="0" w:color="auto"/>
        <w:left w:val="none" w:sz="0" w:space="0" w:color="auto"/>
        <w:bottom w:val="none" w:sz="0" w:space="0" w:color="auto"/>
        <w:right w:val="none" w:sz="0" w:space="0" w:color="auto"/>
      </w:divBdr>
    </w:div>
    <w:div w:id="1072853691">
      <w:bodyDiv w:val="1"/>
      <w:marLeft w:val="0"/>
      <w:marRight w:val="0"/>
      <w:marTop w:val="0"/>
      <w:marBottom w:val="0"/>
      <w:divBdr>
        <w:top w:val="none" w:sz="0" w:space="0" w:color="auto"/>
        <w:left w:val="none" w:sz="0" w:space="0" w:color="auto"/>
        <w:bottom w:val="none" w:sz="0" w:space="0" w:color="auto"/>
        <w:right w:val="none" w:sz="0" w:space="0" w:color="auto"/>
      </w:divBdr>
    </w:div>
    <w:div w:id="1074201459">
      <w:bodyDiv w:val="1"/>
      <w:marLeft w:val="0"/>
      <w:marRight w:val="0"/>
      <w:marTop w:val="0"/>
      <w:marBottom w:val="0"/>
      <w:divBdr>
        <w:top w:val="none" w:sz="0" w:space="0" w:color="auto"/>
        <w:left w:val="none" w:sz="0" w:space="0" w:color="auto"/>
        <w:bottom w:val="none" w:sz="0" w:space="0" w:color="auto"/>
        <w:right w:val="none" w:sz="0" w:space="0" w:color="auto"/>
      </w:divBdr>
      <w:divsChild>
        <w:div w:id="341930841">
          <w:marLeft w:val="1166"/>
          <w:marRight w:val="0"/>
          <w:marTop w:val="115"/>
          <w:marBottom w:val="0"/>
          <w:divBdr>
            <w:top w:val="none" w:sz="0" w:space="0" w:color="auto"/>
            <w:left w:val="none" w:sz="0" w:space="0" w:color="auto"/>
            <w:bottom w:val="none" w:sz="0" w:space="0" w:color="auto"/>
            <w:right w:val="none" w:sz="0" w:space="0" w:color="auto"/>
          </w:divBdr>
        </w:div>
        <w:div w:id="1183285106">
          <w:marLeft w:val="547"/>
          <w:marRight w:val="0"/>
          <w:marTop w:val="154"/>
          <w:marBottom w:val="0"/>
          <w:divBdr>
            <w:top w:val="none" w:sz="0" w:space="0" w:color="auto"/>
            <w:left w:val="none" w:sz="0" w:space="0" w:color="auto"/>
            <w:bottom w:val="none" w:sz="0" w:space="0" w:color="auto"/>
            <w:right w:val="none" w:sz="0" w:space="0" w:color="auto"/>
          </w:divBdr>
        </w:div>
      </w:divsChild>
    </w:div>
    <w:div w:id="1074278463">
      <w:bodyDiv w:val="1"/>
      <w:marLeft w:val="0"/>
      <w:marRight w:val="0"/>
      <w:marTop w:val="0"/>
      <w:marBottom w:val="0"/>
      <w:divBdr>
        <w:top w:val="none" w:sz="0" w:space="0" w:color="auto"/>
        <w:left w:val="none" w:sz="0" w:space="0" w:color="auto"/>
        <w:bottom w:val="none" w:sz="0" w:space="0" w:color="auto"/>
        <w:right w:val="none" w:sz="0" w:space="0" w:color="auto"/>
      </w:divBdr>
    </w:div>
    <w:div w:id="1074426828">
      <w:bodyDiv w:val="1"/>
      <w:marLeft w:val="0"/>
      <w:marRight w:val="0"/>
      <w:marTop w:val="0"/>
      <w:marBottom w:val="0"/>
      <w:divBdr>
        <w:top w:val="none" w:sz="0" w:space="0" w:color="auto"/>
        <w:left w:val="none" w:sz="0" w:space="0" w:color="auto"/>
        <w:bottom w:val="none" w:sz="0" w:space="0" w:color="auto"/>
        <w:right w:val="none" w:sz="0" w:space="0" w:color="auto"/>
      </w:divBdr>
    </w:div>
    <w:div w:id="1074621398">
      <w:bodyDiv w:val="1"/>
      <w:marLeft w:val="0"/>
      <w:marRight w:val="0"/>
      <w:marTop w:val="0"/>
      <w:marBottom w:val="0"/>
      <w:divBdr>
        <w:top w:val="none" w:sz="0" w:space="0" w:color="auto"/>
        <w:left w:val="none" w:sz="0" w:space="0" w:color="auto"/>
        <w:bottom w:val="none" w:sz="0" w:space="0" w:color="auto"/>
        <w:right w:val="none" w:sz="0" w:space="0" w:color="auto"/>
      </w:divBdr>
      <w:divsChild>
        <w:div w:id="111024233">
          <w:marLeft w:val="1166"/>
          <w:marRight w:val="0"/>
          <w:marTop w:val="115"/>
          <w:marBottom w:val="0"/>
          <w:divBdr>
            <w:top w:val="none" w:sz="0" w:space="0" w:color="auto"/>
            <w:left w:val="none" w:sz="0" w:space="0" w:color="auto"/>
            <w:bottom w:val="none" w:sz="0" w:space="0" w:color="auto"/>
            <w:right w:val="none" w:sz="0" w:space="0" w:color="auto"/>
          </w:divBdr>
        </w:div>
        <w:div w:id="1098520723">
          <w:marLeft w:val="547"/>
          <w:marRight w:val="0"/>
          <w:marTop w:val="134"/>
          <w:marBottom w:val="0"/>
          <w:divBdr>
            <w:top w:val="none" w:sz="0" w:space="0" w:color="auto"/>
            <w:left w:val="none" w:sz="0" w:space="0" w:color="auto"/>
            <w:bottom w:val="none" w:sz="0" w:space="0" w:color="auto"/>
            <w:right w:val="none" w:sz="0" w:space="0" w:color="auto"/>
          </w:divBdr>
        </w:div>
        <w:div w:id="1300498532">
          <w:marLeft w:val="1800"/>
          <w:marRight w:val="0"/>
          <w:marTop w:val="96"/>
          <w:marBottom w:val="0"/>
          <w:divBdr>
            <w:top w:val="none" w:sz="0" w:space="0" w:color="auto"/>
            <w:left w:val="none" w:sz="0" w:space="0" w:color="auto"/>
            <w:bottom w:val="none" w:sz="0" w:space="0" w:color="auto"/>
            <w:right w:val="none" w:sz="0" w:space="0" w:color="auto"/>
          </w:divBdr>
        </w:div>
        <w:div w:id="1936162231">
          <w:marLeft w:val="547"/>
          <w:marRight w:val="0"/>
          <w:marTop w:val="134"/>
          <w:marBottom w:val="0"/>
          <w:divBdr>
            <w:top w:val="none" w:sz="0" w:space="0" w:color="auto"/>
            <w:left w:val="none" w:sz="0" w:space="0" w:color="auto"/>
            <w:bottom w:val="none" w:sz="0" w:space="0" w:color="auto"/>
            <w:right w:val="none" w:sz="0" w:space="0" w:color="auto"/>
          </w:divBdr>
        </w:div>
      </w:divsChild>
    </w:div>
    <w:div w:id="1074814172">
      <w:bodyDiv w:val="1"/>
      <w:marLeft w:val="0"/>
      <w:marRight w:val="0"/>
      <w:marTop w:val="0"/>
      <w:marBottom w:val="0"/>
      <w:divBdr>
        <w:top w:val="none" w:sz="0" w:space="0" w:color="auto"/>
        <w:left w:val="none" w:sz="0" w:space="0" w:color="auto"/>
        <w:bottom w:val="none" w:sz="0" w:space="0" w:color="auto"/>
        <w:right w:val="none" w:sz="0" w:space="0" w:color="auto"/>
      </w:divBdr>
    </w:div>
    <w:div w:id="1075325254">
      <w:bodyDiv w:val="1"/>
      <w:marLeft w:val="0"/>
      <w:marRight w:val="0"/>
      <w:marTop w:val="0"/>
      <w:marBottom w:val="0"/>
      <w:divBdr>
        <w:top w:val="none" w:sz="0" w:space="0" w:color="auto"/>
        <w:left w:val="none" w:sz="0" w:space="0" w:color="auto"/>
        <w:bottom w:val="none" w:sz="0" w:space="0" w:color="auto"/>
        <w:right w:val="none" w:sz="0" w:space="0" w:color="auto"/>
      </w:divBdr>
    </w:div>
    <w:div w:id="1076516499">
      <w:bodyDiv w:val="1"/>
      <w:marLeft w:val="0"/>
      <w:marRight w:val="0"/>
      <w:marTop w:val="0"/>
      <w:marBottom w:val="0"/>
      <w:divBdr>
        <w:top w:val="none" w:sz="0" w:space="0" w:color="auto"/>
        <w:left w:val="none" w:sz="0" w:space="0" w:color="auto"/>
        <w:bottom w:val="none" w:sz="0" w:space="0" w:color="auto"/>
        <w:right w:val="none" w:sz="0" w:space="0" w:color="auto"/>
      </w:divBdr>
      <w:divsChild>
        <w:div w:id="228686554">
          <w:marLeft w:val="1800"/>
          <w:marRight w:val="0"/>
          <w:marTop w:val="77"/>
          <w:marBottom w:val="0"/>
          <w:divBdr>
            <w:top w:val="none" w:sz="0" w:space="0" w:color="auto"/>
            <w:left w:val="none" w:sz="0" w:space="0" w:color="auto"/>
            <w:bottom w:val="none" w:sz="0" w:space="0" w:color="auto"/>
            <w:right w:val="none" w:sz="0" w:space="0" w:color="auto"/>
          </w:divBdr>
        </w:div>
        <w:div w:id="334841401">
          <w:marLeft w:val="1166"/>
          <w:marRight w:val="0"/>
          <w:marTop w:val="96"/>
          <w:marBottom w:val="0"/>
          <w:divBdr>
            <w:top w:val="none" w:sz="0" w:space="0" w:color="auto"/>
            <w:left w:val="none" w:sz="0" w:space="0" w:color="auto"/>
            <w:bottom w:val="none" w:sz="0" w:space="0" w:color="auto"/>
            <w:right w:val="none" w:sz="0" w:space="0" w:color="auto"/>
          </w:divBdr>
        </w:div>
        <w:div w:id="495152785">
          <w:marLeft w:val="547"/>
          <w:marRight w:val="0"/>
          <w:marTop w:val="115"/>
          <w:marBottom w:val="0"/>
          <w:divBdr>
            <w:top w:val="none" w:sz="0" w:space="0" w:color="auto"/>
            <w:left w:val="none" w:sz="0" w:space="0" w:color="auto"/>
            <w:bottom w:val="none" w:sz="0" w:space="0" w:color="auto"/>
            <w:right w:val="none" w:sz="0" w:space="0" w:color="auto"/>
          </w:divBdr>
        </w:div>
        <w:div w:id="692193477">
          <w:marLeft w:val="547"/>
          <w:marRight w:val="0"/>
          <w:marTop w:val="115"/>
          <w:marBottom w:val="0"/>
          <w:divBdr>
            <w:top w:val="none" w:sz="0" w:space="0" w:color="auto"/>
            <w:left w:val="none" w:sz="0" w:space="0" w:color="auto"/>
            <w:bottom w:val="none" w:sz="0" w:space="0" w:color="auto"/>
            <w:right w:val="none" w:sz="0" w:space="0" w:color="auto"/>
          </w:divBdr>
        </w:div>
        <w:div w:id="1172648961">
          <w:marLeft w:val="1166"/>
          <w:marRight w:val="0"/>
          <w:marTop w:val="96"/>
          <w:marBottom w:val="0"/>
          <w:divBdr>
            <w:top w:val="none" w:sz="0" w:space="0" w:color="auto"/>
            <w:left w:val="none" w:sz="0" w:space="0" w:color="auto"/>
            <w:bottom w:val="none" w:sz="0" w:space="0" w:color="auto"/>
            <w:right w:val="none" w:sz="0" w:space="0" w:color="auto"/>
          </w:divBdr>
        </w:div>
        <w:div w:id="1314531270">
          <w:marLeft w:val="1166"/>
          <w:marRight w:val="0"/>
          <w:marTop w:val="96"/>
          <w:marBottom w:val="0"/>
          <w:divBdr>
            <w:top w:val="none" w:sz="0" w:space="0" w:color="auto"/>
            <w:left w:val="none" w:sz="0" w:space="0" w:color="auto"/>
            <w:bottom w:val="none" w:sz="0" w:space="0" w:color="auto"/>
            <w:right w:val="none" w:sz="0" w:space="0" w:color="auto"/>
          </w:divBdr>
        </w:div>
        <w:div w:id="1394816976">
          <w:marLeft w:val="547"/>
          <w:marRight w:val="0"/>
          <w:marTop w:val="115"/>
          <w:marBottom w:val="0"/>
          <w:divBdr>
            <w:top w:val="none" w:sz="0" w:space="0" w:color="auto"/>
            <w:left w:val="none" w:sz="0" w:space="0" w:color="auto"/>
            <w:bottom w:val="none" w:sz="0" w:space="0" w:color="auto"/>
            <w:right w:val="none" w:sz="0" w:space="0" w:color="auto"/>
          </w:divBdr>
        </w:div>
        <w:div w:id="1792285149">
          <w:marLeft w:val="1800"/>
          <w:marRight w:val="0"/>
          <w:marTop w:val="77"/>
          <w:marBottom w:val="0"/>
          <w:divBdr>
            <w:top w:val="none" w:sz="0" w:space="0" w:color="auto"/>
            <w:left w:val="none" w:sz="0" w:space="0" w:color="auto"/>
            <w:bottom w:val="none" w:sz="0" w:space="0" w:color="auto"/>
            <w:right w:val="none" w:sz="0" w:space="0" w:color="auto"/>
          </w:divBdr>
        </w:div>
        <w:div w:id="1923755565">
          <w:marLeft w:val="1800"/>
          <w:marRight w:val="0"/>
          <w:marTop w:val="77"/>
          <w:marBottom w:val="0"/>
          <w:divBdr>
            <w:top w:val="none" w:sz="0" w:space="0" w:color="auto"/>
            <w:left w:val="none" w:sz="0" w:space="0" w:color="auto"/>
            <w:bottom w:val="none" w:sz="0" w:space="0" w:color="auto"/>
            <w:right w:val="none" w:sz="0" w:space="0" w:color="auto"/>
          </w:divBdr>
        </w:div>
        <w:div w:id="1991249336">
          <w:marLeft w:val="1166"/>
          <w:marRight w:val="0"/>
          <w:marTop w:val="96"/>
          <w:marBottom w:val="0"/>
          <w:divBdr>
            <w:top w:val="none" w:sz="0" w:space="0" w:color="auto"/>
            <w:left w:val="none" w:sz="0" w:space="0" w:color="auto"/>
            <w:bottom w:val="none" w:sz="0" w:space="0" w:color="auto"/>
            <w:right w:val="none" w:sz="0" w:space="0" w:color="auto"/>
          </w:divBdr>
        </w:div>
      </w:divsChild>
    </w:div>
    <w:div w:id="1076560467">
      <w:bodyDiv w:val="1"/>
      <w:marLeft w:val="0"/>
      <w:marRight w:val="0"/>
      <w:marTop w:val="0"/>
      <w:marBottom w:val="0"/>
      <w:divBdr>
        <w:top w:val="none" w:sz="0" w:space="0" w:color="auto"/>
        <w:left w:val="none" w:sz="0" w:space="0" w:color="auto"/>
        <w:bottom w:val="none" w:sz="0" w:space="0" w:color="auto"/>
        <w:right w:val="none" w:sz="0" w:space="0" w:color="auto"/>
      </w:divBdr>
      <w:divsChild>
        <w:div w:id="206576742">
          <w:marLeft w:val="1166"/>
          <w:marRight w:val="0"/>
          <w:marTop w:val="115"/>
          <w:marBottom w:val="0"/>
          <w:divBdr>
            <w:top w:val="none" w:sz="0" w:space="0" w:color="auto"/>
            <w:left w:val="none" w:sz="0" w:space="0" w:color="auto"/>
            <w:bottom w:val="none" w:sz="0" w:space="0" w:color="auto"/>
            <w:right w:val="none" w:sz="0" w:space="0" w:color="auto"/>
          </w:divBdr>
        </w:div>
        <w:div w:id="972096131">
          <w:marLeft w:val="1166"/>
          <w:marRight w:val="0"/>
          <w:marTop w:val="115"/>
          <w:marBottom w:val="0"/>
          <w:divBdr>
            <w:top w:val="none" w:sz="0" w:space="0" w:color="auto"/>
            <w:left w:val="none" w:sz="0" w:space="0" w:color="auto"/>
            <w:bottom w:val="none" w:sz="0" w:space="0" w:color="auto"/>
            <w:right w:val="none" w:sz="0" w:space="0" w:color="auto"/>
          </w:divBdr>
        </w:div>
        <w:div w:id="1306009117">
          <w:marLeft w:val="1800"/>
          <w:marRight w:val="0"/>
          <w:marTop w:val="96"/>
          <w:marBottom w:val="0"/>
          <w:divBdr>
            <w:top w:val="none" w:sz="0" w:space="0" w:color="auto"/>
            <w:left w:val="none" w:sz="0" w:space="0" w:color="auto"/>
            <w:bottom w:val="none" w:sz="0" w:space="0" w:color="auto"/>
            <w:right w:val="none" w:sz="0" w:space="0" w:color="auto"/>
          </w:divBdr>
        </w:div>
        <w:div w:id="1505168695">
          <w:marLeft w:val="547"/>
          <w:marRight w:val="0"/>
          <w:marTop w:val="115"/>
          <w:marBottom w:val="0"/>
          <w:divBdr>
            <w:top w:val="none" w:sz="0" w:space="0" w:color="auto"/>
            <w:left w:val="none" w:sz="0" w:space="0" w:color="auto"/>
            <w:bottom w:val="none" w:sz="0" w:space="0" w:color="auto"/>
            <w:right w:val="none" w:sz="0" w:space="0" w:color="auto"/>
          </w:divBdr>
        </w:div>
      </w:divsChild>
    </w:div>
    <w:div w:id="1078333274">
      <w:bodyDiv w:val="1"/>
      <w:marLeft w:val="0"/>
      <w:marRight w:val="0"/>
      <w:marTop w:val="0"/>
      <w:marBottom w:val="0"/>
      <w:divBdr>
        <w:top w:val="none" w:sz="0" w:space="0" w:color="auto"/>
        <w:left w:val="none" w:sz="0" w:space="0" w:color="auto"/>
        <w:bottom w:val="none" w:sz="0" w:space="0" w:color="auto"/>
        <w:right w:val="none" w:sz="0" w:space="0" w:color="auto"/>
      </w:divBdr>
      <w:divsChild>
        <w:div w:id="169175471">
          <w:marLeft w:val="1800"/>
          <w:marRight w:val="0"/>
          <w:marTop w:val="86"/>
          <w:marBottom w:val="0"/>
          <w:divBdr>
            <w:top w:val="none" w:sz="0" w:space="0" w:color="auto"/>
            <w:left w:val="none" w:sz="0" w:space="0" w:color="auto"/>
            <w:bottom w:val="none" w:sz="0" w:space="0" w:color="auto"/>
            <w:right w:val="none" w:sz="0" w:space="0" w:color="auto"/>
          </w:divBdr>
        </w:div>
        <w:div w:id="513886598">
          <w:marLeft w:val="547"/>
          <w:marRight w:val="0"/>
          <w:marTop w:val="115"/>
          <w:marBottom w:val="0"/>
          <w:divBdr>
            <w:top w:val="none" w:sz="0" w:space="0" w:color="auto"/>
            <w:left w:val="none" w:sz="0" w:space="0" w:color="auto"/>
            <w:bottom w:val="none" w:sz="0" w:space="0" w:color="auto"/>
            <w:right w:val="none" w:sz="0" w:space="0" w:color="auto"/>
          </w:divBdr>
        </w:div>
        <w:div w:id="873537712">
          <w:marLeft w:val="547"/>
          <w:marRight w:val="0"/>
          <w:marTop w:val="115"/>
          <w:marBottom w:val="0"/>
          <w:divBdr>
            <w:top w:val="none" w:sz="0" w:space="0" w:color="auto"/>
            <w:left w:val="none" w:sz="0" w:space="0" w:color="auto"/>
            <w:bottom w:val="none" w:sz="0" w:space="0" w:color="auto"/>
            <w:right w:val="none" w:sz="0" w:space="0" w:color="auto"/>
          </w:divBdr>
        </w:div>
        <w:div w:id="1333533581">
          <w:marLeft w:val="1800"/>
          <w:marRight w:val="0"/>
          <w:marTop w:val="86"/>
          <w:marBottom w:val="0"/>
          <w:divBdr>
            <w:top w:val="none" w:sz="0" w:space="0" w:color="auto"/>
            <w:left w:val="none" w:sz="0" w:space="0" w:color="auto"/>
            <w:bottom w:val="none" w:sz="0" w:space="0" w:color="auto"/>
            <w:right w:val="none" w:sz="0" w:space="0" w:color="auto"/>
          </w:divBdr>
        </w:div>
        <w:div w:id="1618023812">
          <w:marLeft w:val="1166"/>
          <w:marRight w:val="0"/>
          <w:marTop w:val="96"/>
          <w:marBottom w:val="0"/>
          <w:divBdr>
            <w:top w:val="none" w:sz="0" w:space="0" w:color="auto"/>
            <w:left w:val="none" w:sz="0" w:space="0" w:color="auto"/>
            <w:bottom w:val="none" w:sz="0" w:space="0" w:color="auto"/>
            <w:right w:val="none" w:sz="0" w:space="0" w:color="auto"/>
          </w:divBdr>
        </w:div>
        <w:div w:id="1627007755">
          <w:marLeft w:val="1800"/>
          <w:marRight w:val="0"/>
          <w:marTop w:val="86"/>
          <w:marBottom w:val="0"/>
          <w:divBdr>
            <w:top w:val="none" w:sz="0" w:space="0" w:color="auto"/>
            <w:left w:val="none" w:sz="0" w:space="0" w:color="auto"/>
            <w:bottom w:val="none" w:sz="0" w:space="0" w:color="auto"/>
            <w:right w:val="none" w:sz="0" w:space="0" w:color="auto"/>
          </w:divBdr>
        </w:div>
        <w:div w:id="2094738574">
          <w:marLeft w:val="1166"/>
          <w:marRight w:val="0"/>
          <w:marTop w:val="96"/>
          <w:marBottom w:val="0"/>
          <w:divBdr>
            <w:top w:val="none" w:sz="0" w:space="0" w:color="auto"/>
            <w:left w:val="none" w:sz="0" w:space="0" w:color="auto"/>
            <w:bottom w:val="none" w:sz="0" w:space="0" w:color="auto"/>
            <w:right w:val="none" w:sz="0" w:space="0" w:color="auto"/>
          </w:divBdr>
        </w:div>
      </w:divsChild>
    </w:div>
    <w:div w:id="1078820797">
      <w:bodyDiv w:val="1"/>
      <w:marLeft w:val="0"/>
      <w:marRight w:val="0"/>
      <w:marTop w:val="0"/>
      <w:marBottom w:val="0"/>
      <w:divBdr>
        <w:top w:val="none" w:sz="0" w:space="0" w:color="auto"/>
        <w:left w:val="none" w:sz="0" w:space="0" w:color="auto"/>
        <w:bottom w:val="none" w:sz="0" w:space="0" w:color="auto"/>
        <w:right w:val="none" w:sz="0" w:space="0" w:color="auto"/>
      </w:divBdr>
    </w:div>
    <w:div w:id="1079324017">
      <w:bodyDiv w:val="1"/>
      <w:marLeft w:val="0"/>
      <w:marRight w:val="0"/>
      <w:marTop w:val="0"/>
      <w:marBottom w:val="0"/>
      <w:divBdr>
        <w:top w:val="none" w:sz="0" w:space="0" w:color="auto"/>
        <w:left w:val="none" w:sz="0" w:space="0" w:color="auto"/>
        <w:bottom w:val="none" w:sz="0" w:space="0" w:color="auto"/>
        <w:right w:val="none" w:sz="0" w:space="0" w:color="auto"/>
      </w:divBdr>
    </w:div>
    <w:div w:id="1079474925">
      <w:bodyDiv w:val="1"/>
      <w:marLeft w:val="0"/>
      <w:marRight w:val="0"/>
      <w:marTop w:val="0"/>
      <w:marBottom w:val="0"/>
      <w:divBdr>
        <w:top w:val="none" w:sz="0" w:space="0" w:color="auto"/>
        <w:left w:val="none" w:sz="0" w:space="0" w:color="auto"/>
        <w:bottom w:val="none" w:sz="0" w:space="0" w:color="auto"/>
        <w:right w:val="none" w:sz="0" w:space="0" w:color="auto"/>
      </w:divBdr>
      <w:divsChild>
        <w:div w:id="1303583021">
          <w:marLeft w:val="547"/>
          <w:marRight w:val="0"/>
          <w:marTop w:val="134"/>
          <w:marBottom w:val="0"/>
          <w:divBdr>
            <w:top w:val="none" w:sz="0" w:space="0" w:color="auto"/>
            <w:left w:val="none" w:sz="0" w:space="0" w:color="auto"/>
            <w:bottom w:val="none" w:sz="0" w:space="0" w:color="auto"/>
            <w:right w:val="none" w:sz="0" w:space="0" w:color="auto"/>
          </w:divBdr>
        </w:div>
        <w:div w:id="1843086939">
          <w:marLeft w:val="1166"/>
          <w:marRight w:val="0"/>
          <w:marTop w:val="115"/>
          <w:marBottom w:val="0"/>
          <w:divBdr>
            <w:top w:val="none" w:sz="0" w:space="0" w:color="auto"/>
            <w:left w:val="none" w:sz="0" w:space="0" w:color="auto"/>
            <w:bottom w:val="none" w:sz="0" w:space="0" w:color="auto"/>
            <w:right w:val="none" w:sz="0" w:space="0" w:color="auto"/>
          </w:divBdr>
        </w:div>
      </w:divsChild>
    </w:div>
    <w:div w:id="1079519525">
      <w:bodyDiv w:val="1"/>
      <w:marLeft w:val="0"/>
      <w:marRight w:val="0"/>
      <w:marTop w:val="0"/>
      <w:marBottom w:val="0"/>
      <w:divBdr>
        <w:top w:val="none" w:sz="0" w:space="0" w:color="auto"/>
        <w:left w:val="none" w:sz="0" w:space="0" w:color="auto"/>
        <w:bottom w:val="none" w:sz="0" w:space="0" w:color="auto"/>
        <w:right w:val="none" w:sz="0" w:space="0" w:color="auto"/>
      </w:divBdr>
    </w:div>
    <w:div w:id="1080250433">
      <w:bodyDiv w:val="1"/>
      <w:marLeft w:val="0"/>
      <w:marRight w:val="0"/>
      <w:marTop w:val="0"/>
      <w:marBottom w:val="0"/>
      <w:divBdr>
        <w:top w:val="none" w:sz="0" w:space="0" w:color="auto"/>
        <w:left w:val="none" w:sz="0" w:space="0" w:color="auto"/>
        <w:bottom w:val="none" w:sz="0" w:space="0" w:color="auto"/>
        <w:right w:val="none" w:sz="0" w:space="0" w:color="auto"/>
      </w:divBdr>
    </w:div>
    <w:div w:id="1081567371">
      <w:bodyDiv w:val="1"/>
      <w:marLeft w:val="0"/>
      <w:marRight w:val="0"/>
      <w:marTop w:val="0"/>
      <w:marBottom w:val="0"/>
      <w:divBdr>
        <w:top w:val="none" w:sz="0" w:space="0" w:color="auto"/>
        <w:left w:val="none" w:sz="0" w:space="0" w:color="auto"/>
        <w:bottom w:val="none" w:sz="0" w:space="0" w:color="auto"/>
        <w:right w:val="none" w:sz="0" w:space="0" w:color="auto"/>
      </w:divBdr>
    </w:div>
    <w:div w:id="1082488060">
      <w:bodyDiv w:val="1"/>
      <w:marLeft w:val="0"/>
      <w:marRight w:val="0"/>
      <w:marTop w:val="0"/>
      <w:marBottom w:val="0"/>
      <w:divBdr>
        <w:top w:val="none" w:sz="0" w:space="0" w:color="auto"/>
        <w:left w:val="none" w:sz="0" w:space="0" w:color="auto"/>
        <w:bottom w:val="none" w:sz="0" w:space="0" w:color="auto"/>
        <w:right w:val="none" w:sz="0" w:space="0" w:color="auto"/>
      </w:divBdr>
      <w:divsChild>
        <w:div w:id="735710804">
          <w:marLeft w:val="1166"/>
          <w:marRight w:val="0"/>
          <w:marTop w:val="96"/>
          <w:marBottom w:val="0"/>
          <w:divBdr>
            <w:top w:val="none" w:sz="0" w:space="0" w:color="auto"/>
            <w:left w:val="none" w:sz="0" w:space="0" w:color="auto"/>
            <w:bottom w:val="none" w:sz="0" w:space="0" w:color="auto"/>
            <w:right w:val="none" w:sz="0" w:space="0" w:color="auto"/>
          </w:divBdr>
        </w:div>
        <w:div w:id="2011251466">
          <w:marLeft w:val="547"/>
          <w:marRight w:val="0"/>
          <w:marTop w:val="115"/>
          <w:marBottom w:val="0"/>
          <w:divBdr>
            <w:top w:val="none" w:sz="0" w:space="0" w:color="auto"/>
            <w:left w:val="none" w:sz="0" w:space="0" w:color="auto"/>
            <w:bottom w:val="none" w:sz="0" w:space="0" w:color="auto"/>
            <w:right w:val="none" w:sz="0" w:space="0" w:color="auto"/>
          </w:divBdr>
        </w:div>
      </w:divsChild>
    </w:div>
    <w:div w:id="1082797955">
      <w:bodyDiv w:val="1"/>
      <w:marLeft w:val="0"/>
      <w:marRight w:val="0"/>
      <w:marTop w:val="0"/>
      <w:marBottom w:val="0"/>
      <w:divBdr>
        <w:top w:val="none" w:sz="0" w:space="0" w:color="auto"/>
        <w:left w:val="none" w:sz="0" w:space="0" w:color="auto"/>
        <w:bottom w:val="none" w:sz="0" w:space="0" w:color="auto"/>
        <w:right w:val="none" w:sz="0" w:space="0" w:color="auto"/>
      </w:divBdr>
    </w:div>
    <w:div w:id="1082988798">
      <w:bodyDiv w:val="1"/>
      <w:marLeft w:val="0"/>
      <w:marRight w:val="0"/>
      <w:marTop w:val="0"/>
      <w:marBottom w:val="0"/>
      <w:divBdr>
        <w:top w:val="none" w:sz="0" w:space="0" w:color="auto"/>
        <w:left w:val="none" w:sz="0" w:space="0" w:color="auto"/>
        <w:bottom w:val="none" w:sz="0" w:space="0" w:color="auto"/>
        <w:right w:val="none" w:sz="0" w:space="0" w:color="auto"/>
      </w:divBdr>
    </w:div>
    <w:div w:id="1083067191">
      <w:bodyDiv w:val="1"/>
      <w:marLeft w:val="0"/>
      <w:marRight w:val="0"/>
      <w:marTop w:val="0"/>
      <w:marBottom w:val="0"/>
      <w:divBdr>
        <w:top w:val="none" w:sz="0" w:space="0" w:color="auto"/>
        <w:left w:val="none" w:sz="0" w:space="0" w:color="auto"/>
        <w:bottom w:val="none" w:sz="0" w:space="0" w:color="auto"/>
        <w:right w:val="none" w:sz="0" w:space="0" w:color="auto"/>
      </w:divBdr>
      <w:divsChild>
        <w:div w:id="300623124">
          <w:marLeft w:val="547"/>
          <w:marRight w:val="0"/>
          <w:marTop w:val="115"/>
          <w:marBottom w:val="0"/>
          <w:divBdr>
            <w:top w:val="none" w:sz="0" w:space="0" w:color="auto"/>
            <w:left w:val="none" w:sz="0" w:space="0" w:color="auto"/>
            <w:bottom w:val="none" w:sz="0" w:space="0" w:color="auto"/>
            <w:right w:val="none" w:sz="0" w:space="0" w:color="auto"/>
          </w:divBdr>
        </w:div>
        <w:div w:id="555896171">
          <w:marLeft w:val="1166"/>
          <w:marRight w:val="0"/>
          <w:marTop w:val="86"/>
          <w:marBottom w:val="0"/>
          <w:divBdr>
            <w:top w:val="none" w:sz="0" w:space="0" w:color="auto"/>
            <w:left w:val="none" w:sz="0" w:space="0" w:color="auto"/>
            <w:bottom w:val="none" w:sz="0" w:space="0" w:color="auto"/>
            <w:right w:val="none" w:sz="0" w:space="0" w:color="auto"/>
          </w:divBdr>
        </w:div>
        <w:div w:id="1822110810">
          <w:marLeft w:val="547"/>
          <w:marRight w:val="0"/>
          <w:marTop w:val="115"/>
          <w:marBottom w:val="0"/>
          <w:divBdr>
            <w:top w:val="none" w:sz="0" w:space="0" w:color="auto"/>
            <w:left w:val="none" w:sz="0" w:space="0" w:color="auto"/>
            <w:bottom w:val="none" w:sz="0" w:space="0" w:color="auto"/>
            <w:right w:val="none" w:sz="0" w:space="0" w:color="auto"/>
          </w:divBdr>
        </w:div>
        <w:div w:id="1860583814">
          <w:marLeft w:val="1166"/>
          <w:marRight w:val="0"/>
          <w:marTop w:val="86"/>
          <w:marBottom w:val="0"/>
          <w:divBdr>
            <w:top w:val="none" w:sz="0" w:space="0" w:color="auto"/>
            <w:left w:val="none" w:sz="0" w:space="0" w:color="auto"/>
            <w:bottom w:val="none" w:sz="0" w:space="0" w:color="auto"/>
            <w:right w:val="none" w:sz="0" w:space="0" w:color="auto"/>
          </w:divBdr>
        </w:div>
      </w:divsChild>
    </w:div>
    <w:div w:id="1083068865">
      <w:bodyDiv w:val="1"/>
      <w:marLeft w:val="0"/>
      <w:marRight w:val="0"/>
      <w:marTop w:val="0"/>
      <w:marBottom w:val="0"/>
      <w:divBdr>
        <w:top w:val="none" w:sz="0" w:space="0" w:color="auto"/>
        <w:left w:val="none" w:sz="0" w:space="0" w:color="auto"/>
        <w:bottom w:val="none" w:sz="0" w:space="0" w:color="auto"/>
        <w:right w:val="none" w:sz="0" w:space="0" w:color="auto"/>
      </w:divBdr>
    </w:div>
    <w:div w:id="1083986075">
      <w:bodyDiv w:val="1"/>
      <w:marLeft w:val="0"/>
      <w:marRight w:val="0"/>
      <w:marTop w:val="0"/>
      <w:marBottom w:val="0"/>
      <w:divBdr>
        <w:top w:val="none" w:sz="0" w:space="0" w:color="auto"/>
        <w:left w:val="none" w:sz="0" w:space="0" w:color="auto"/>
        <w:bottom w:val="none" w:sz="0" w:space="0" w:color="auto"/>
        <w:right w:val="none" w:sz="0" w:space="0" w:color="auto"/>
      </w:divBdr>
      <w:divsChild>
        <w:div w:id="54743409">
          <w:marLeft w:val="1800"/>
          <w:marRight w:val="0"/>
          <w:marTop w:val="58"/>
          <w:marBottom w:val="0"/>
          <w:divBdr>
            <w:top w:val="none" w:sz="0" w:space="0" w:color="auto"/>
            <w:left w:val="none" w:sz="0" w:space="0" w:color="auto"/>
            <w:bottom w:val="none" w:sz="0" w:space="0" w:color="auto"/>
            <w:right w:val="none" w:sz="0" w:space="0" w:color="auto"/>
          </w:divBdr>
        </w:div>
        <w:div w:id="571087953">
          <w:marLeft w:val="547"/>
          <w:marRight w:val="0"/>
          <w:marTop w:val="96"/>
          <w:marBottom w:val="0"/>
          <w:divBdr>
            <w:top w:val="none" w:sz="0" w:space="0" w:color="auto"/>
            <w:left w:val="none" w:sz="0" w:space="0" w:color="auto"/>
            <w:bottom w:val="none" w:sz="0" w:space="0" w:color="auto"/>
            <w:right w:val="none" w:sz="0" w:space="0" w:color="auto"/>
          </w:divBdr>
        </w:div>
        <w:div w:id="1047025275">
          <w:marLeft w:val="1166"/>
          <w:marRight w:val="0"/>
          <w:marTop w:val="77"/>
          <w:marBottom w:val="0"/>
          <w:divBdr>
            <w:top w:val="none" w:sz="0" w:space="0" w:color="auto"/>
            <w:left w:val="none" w:sz="0" w:space="0" w:color="auto"/>
            <w:bottom w:val="none" w:sz="0" w:space="0" w:color="auto"/>
            <w:right w:val="none" w:sz="0" w:space="0" w:color="auto"/>
          </w:divBdr>
        </w:div>
        <w:div w:id="1109816995">
          <w:marLeft w:val="1166"/>
          <w:marRight w:val="0"/>
          <w:marTop w:val="77"/>
          <w:marBottom w:val="0"/>
          <w:divBdr>
            <w:top w:val="none" w:sz="0" w:space="0" w:color="auto"/>
            <w:left w:val="none" w:sz="0" w:space="0" w:color="auto"/>
            <w:bottom w:val="none" w:sz="0" w:space="0" w:color="auto"/>
            <w:right w:val="none" w:sz="0" w:space="0" w:color="auto"/>
          </w:divBdr>
        </w:div>
        <w:div w:id="1204713732">
          <w:marLeft w:val="547"/>
          <w:marRight w:val="0"/>
          <w:marTop w:val="96"/>
          <w:marBottom w:val="0"/>
          <w:divBdr>
            <w:top w:val="none" w:sz="0" w:space="0" w:color="auto"/>
            <w:left w:val="none" w:sz="0" w:space="0" w:color="auto"/>
            <w:bottom w:val="none" w:sz="0" w:space="0" w:color="auto"/>
            <w:right w:val="none" w:sz="0" w:space="0" w:color="auto"/>
          </w:divBdr>
        </w:div>
        <w:div w:id="1492258714">
          <w:marLeft w:val="1800"/>
          <w:marRight w:val="0"/>
          <w:marTop w:val="58"/>
          <w:marBottom w:val="0"/>
          <w:divBdr>
            <w:top w:val="none" w:sz="0" w:space="0" w:color="auto"/>
            <w:left w:val="none" w:sz="0" w:space="0" w:color="auto"/>
            <w:bottom w:val="none" w:sz="0" w:space="0" w:color="auto"/>
            <w:right w:val="none" w:sz="0" w:space="0" w:color="auto"/>
          </w:divBdr>
        </w:div>
        <w:div w:id="1505172413">
          <w:marLeft w:val="1166"/>
          <w:marRight w:val="0"/>
          <w:marTop w:val="77"/>
          <w:marBottom w:val="0"/>
          <w:divBdr>
            <w:top w:val="none" w:sz="0" w:space="0" w:color="auto"/>
            <w:left w:val="none" w:sz="0" w:space="0" w:color="auto"/>
            <w:bottom w:val="none" w:sz="0" w:space="0" w:color="auto"/>
            <w:right w:val="none" w:sz="0" w:space="0" w:color="auto"/>
          </w:divBdr>
        </w:div>
        <w:div w:id="1630163993">
          <w:marLeft w:val="1800"/>
          <w:marRight w:val="0"/>
          <w:marTop w:val="58"/>
          <w:marBottom w:val="0"/>
          <w:divBdr>
            <w:top w:val="none" w:sz="0" w:space="0" w:color="auto"/>
            <w:left w:val="none" w:sz="0" w:space="0" w:color="auto"/>
            <w:bottom w:val="none" w:sz="0" w:space="0" w:color="auto"/>
            <w:right w:val="none" w:sz="0" w:space="0" w:color="auto"/>
          </w:divBdr>
        </w:div>
        <w:div w:id="1730037305">
          <w:marLeft w:val="547"/>
          <w:marRight w:val="0"/>
          <w:marTop w:val="96"/>
          <w:marBottom w:val="0"/>
          <w:divBdr>
            <w:top w:val="none" w:sz="0" w:space="0" w:color="auto"/>
            <w:left w:val="none" w:sz="0" w:space="0" w:color="auto"/>
            <w:bottom w:val="none" w:sz="0" w:space="0" w:color="auto"/>
            <w:right w:val="none" w:sz="0" w:space="0" w:color="auto"/>
          </w:divBdr>
        </w:div>
        <w:div w:id="1973485575">
          <w:marLeft w:val="1166"/>
          <w:marRight w:val="0"/>
          <w:marTop w:val="77"/>
          <w:marBottom w:val="0"/>
          <w:divBdr>
            <w:top w:val="none" w:sz="0" w:space="0" w:color="auto"/>
            <w:left w:val="none" w:sz="0" w:space="0" w:color="auto"/>
            <w:bottom w:val="none" w:sz="0" w:space="0" w:color="auto"/>
            <w:right w:val="none" w:sz="0" w:space="0" w:color="auto"/>
          </w:divBdr>
        </w:div>
        <w:div w:id="2132699934">
          <w:marLeft w:val="1166"/>
          <w:marRight w:val="0"/>
          <w:marTop w:val="77"/>
          <w:marBottom w:val="0"/>
          <w:divBdr>
            <w:top w:val="none" w:sz="0" w:space="0" w:color="auto"/>
            <w:left w:val="none" w:sz="0" w:space="0" w:color="auto"/>
            <w:bottom w:val="none" w:sz="0" w:space="0" w:color="auto"/>
            <w:right w:val="none" w:sz="0" w:space="0" w:color="auto"/>
          </w:divBdr>
        </w:div>
        <w:div w:id="2143690372">
          <w:marLeft w:val="1166"/>
          <w:marRight w:val="0"/>
          <w:marTop w:val="77"/>
          <w:marBottom w:val="0"/>
          <w:divBdr>
            <w:top w:val="none" w:sz="0" w:space="0" w:color="auto"/>
            <w:left w:val="none" w:sz="0" w:space="0" w:color="auto"/>
            <w:bottom w:val="none" w:sz="0" w:space="0" w:color="auto"/>
            <w:right w:val="none" w:sz="0" w:space="0" w:color="auto"/>
          </w:divBdr>
        </w:div>
      </w:divsChild>
    </w:div>
    <w:div w:id="1084113092">
      <w:bodyDiv w:val="1"/>
      <w:marLeft w:val="0"/>
      <w:marRight w:val="0"/>
      <w:marTop w:val="0"/>
      <w:marBottom w:val="0"/>
      <w:divBdr>
        <w:top w:val="none" w:sz="0" w:space="0" w:color="auto"/>
        <w:left w:val="none" w:sz="0" w:space="0" w:color="auto"/>
        <w:bottom w:val="none" w:sz="0" w:space="0" w:color="auto"/>
        <w:right w:val="none" w:sz="0" w:space="0" w:color="auto"/>
      </w:divBdr>
    </w:div>
    <w:div w:id="1084686967">
      <w:bodyDiv w:val="1"/>
      <w:marLeft w:val="0"/>
      <w:marRight w:val="0"/>
      <w:marTop w:val="0"/>
      <w:marBottom w:val="0"/>
      <w:divBdr>
        <w:top w:val="none" w:sz="0" w:space="0" w:color="auto"/>
        <w:left w:val="none" w:sz="0" w:space="0" w:color="auto"/>
        <w:bottom w:val="none" w:sz="0" w:space="0" w:color="auto"/>
        <w:right w:val="none" w:sz="0" w:space="0" w:color="auto"/>
      </w:divBdr>
    </w:div>
    <w:div w:id="1086800423">
      <w:bodyDiv w:val="1"/>
      <w:marLeft w:val="0"/>
      <w:marRight w:val="0"/>
      <w:marTop w:val="0"/>
      <w:marBottom w:val="0"/>
      <w:divBdr>
        <w:top w:val="none" w:sz="0" w:space="0" w:color="auto"/>
        <w:left w:val="none" w:sz="0" w:space="0" w:color="auto"/>
        <w:bottom w:val="none" w:sz="0" w:space="0" w:color="auto"/>
        <w:right w:val="none" w:sz="0" w:space="0" w:color="auto"/>
      </w:divBdr>
    </w:div>
    <w:div w:id="1086849932">
      <w:bodyDiv w:val="1"/>
      <w:marLeft w:val="0"/>
      <w:marRight w:val="0"/>
      <w:marTop w:val="0"/>
      <w:marBottom w:val="0"/>
      <w:divBdr>
        <w:top w:val="none" w:sz="0" w:space="0" w:color="auto"/>
        <w:left w:val="none" w:sz="0" w:space="0" w:color="auto"/>
        <w:bottom w:val="none" w:sz="0" w:space="0" w:color="auto"/>
        <w:right w:val="none" w:sz="0" w:space="0" w:color="auto"/>
      </w:divBdr>
    </w:div>
    <w:div w:id="1086878465">
      <w:bodyDiv w:val="1"/>
      <w:marLeft w:val="0"/>
      <w:marRight w:val="0"/>
      <w:marTop w:val="0"/>
      <w:marBottom w:val="0"/>
      <w:divBdr>
        <w:top w:val="none" w:sz="0" w:space="0" w:color="auto"/>
        <w:left w:val="none" w:sz="0" w:space="0" w:color="auto"/>
        <w:bottom w:val="none" w:sz="0" w:space="0" w:color="auto"/>
        <w:right w:val="none" w:sz="0" w:space="0" w:color="auto"/>
      </w:divBdr>
      <w:divsChild>
        <w:div w:id="149297463">
          <w:marLeft w:val="547"/>
          <w:marRight w:val="0"/>
          <w:marTop w:val="134"/>
          <w:marBottom w:val="0"/>
          <w:divBdr>
            <w:top w:val="none" w:sz="0" w:space="0" w:color="auto"/>
            <w:left w:val="none" w:sz="0" w:space="0" w:color="auto"/>
            <w:bottom w:val="none" w:sz="0" w:space="0" w:color="auto"/>
            <w:right w:val="none" w:sz="0" w:space="0" w:color="auto"/>
          </w:divBdr>
        </w:div>
        <w:div w:id="1737164268">
          <w:marLeft w:val="1166"/>
          <w:marRight w:val="0"/>
          <w:marTop w:val="115"/>
          <w:marBottom w:val="0"/>
          <w:divBdr>
            <w:top w:val="none" w:sz="0" w:space="0" w:color="auto"/>
            <w:left w:val="none" w:sz="0" w:space="0" w:color="auto"/>
            <w:bottom w:val="none" w:sz="0" w:space="0" w:color="auto"/>
            <w:right w:val="none" w:sz="0" w:space="0" w:color="auto"/>
          </w:divBdr>
        </w:div>
      </w:divsChild>
    </w:div>
    <w:div w:id="1087771582">
      <w:bodyDiv w:val="1"/>
      <w:marLeft w:val="0"/>
      <w:marRight w:val="0"/>
      <w:marTop w:val="0"/>
      <w:marBottom w:val="0"/>
      <w:divBdr>
        <w:top w:val="none" w:sz="0" w:space="0" w:color="auto"/>
        <w:left w:val="none" w:sz="0" w:space="0" w:color="auto"/>
        <w:bottom w:val="none" w:sz="0" w:space="0" w:color="auto"/>
        <w:right w:val="none" w:sz="0" w:space="0" w:color="auto"/>
      </w:divBdr>
    </w:div>
    <w:div w:id="1088498931">
      <w:bodyDiv w:val="1"/>
      <w:marLeft w:val="0"/>
      <w:marRight w:val="0"/>
      <w:marTop w:val="0"/>
      <w:marBottom w:val="0"/>
      <w:divBdr>
        <w:top w:val="none" w:sz="0" w:space="0" w:color="auto"/>
        <w:left w:val="none" w:sz="0" w:space="0" w:color="auto"/>
        <w:bottom w:val="none" w:sz="0" w:space="0" w:color="auto"/>
        <w:right w:val="none" w:sz="0" w:space="0" w:color="auto"/>
      </w:divBdr>
    </w:div>
    <w:div w:id="1090540173">
      <w:bodyDiv w:val="1"/>
      <w:marLeft w:val="0"/>
      <w:marRight w:val="0"/>
      <w:marTop w:val="0"/>
      <w:marBottom w:val="0"/>
      <w:divBdr>
        <w:top w:val="none" w:sz="0" w:space="0" w:color="auto"/>
        <w:left w:val="none" w:sz="0" w:space="0" w:color="auto"/>
        <w:bottom w:val="none" w:sz="0" w:space="0" w:color="auto"/>
        <w:right w:val="none" w:sz="0" w:space="0" w:color="auto"/>
      </w:divBdr>
    </w:div>
    <w:div w:id="1090656323">
      <w:bodyDiv w:val="1"/>
      <w:marLeft w:val="0"/>
      <w:marRight w:val="0"/>
      <w:marTop w:val="0"/>
      <w:marBottom w:val="0"/>
      <w:divBdr>
        <w:top w:val="none" w:sz="0" w:space="0" w:color="auto"/>
        <w:left w:val="none" w:sz="0" w:space="0" w:color="auto"/>
        <w:bottom w:val="none" w:sz="0" w:space="0" w:color="auto"/>
        <w:right w:val="none" w:sz="0" w:space="0" w:color="auto"/>
      </w:divBdr>
      <w:divsChild>
        <w:div w:id="1140533955">
          <w:marLeft w:val="547"/>
          <w:marRight w:val="0"/>
          <w:marTop w:val="96"/>
          <w:marBottom w:val="0"/>
          <w:divBdr>
            <w:top w:val="none" w:sz="0" w:space="0" w:color="auto"/>
            <w:left w:val="none" w:sz="0" w:space="0" w:color="auto"/>
            <w:bottom w:val="none" w:sz="0" w:space="0" w:color="auto"/>
            <w:right w:val="none" w:sz="0" w:space="0" w:color="auto"/>
          </w:divBdr>
        </w:div>
        <w:div w:id="1449549565">
          <w:marLeft w:val="1166"/>
          <w:marRight w:val="0"/>
          <w:marTop w:val="96"/>
          <w:marBottom w:val="0"/>
          <w:divBdr>
            <w:top w:val="none" w:sz="0" w:space="0" w:color="auto"/>
            <w:left w:val="none" w:sz="0" w:space="0" w:color="auto"/>
            <w:bottom w:val="none" w:sz="0" w:space="0" w:color="auto"/>
            <w:right w:val="none" w:sz="0" w:space="0" w:color="auto"/>
          </w:divBdr>
        </w:div>
        <w:div w:id="2030716400">
          <w:marLeft w:val="1166"/>
          <w:marRight w:val="0"/>
          <w:marTop w:val="96"/>
          <w:marBottom w:val="0"/>
          <w:divBdr>
            <w:top w:val="none" w:sz="0" w:space="0" w:color="auto"/>
            <w:left w:val="none" w:sz="0" w:space="0" w:color="auto"/>
            <w:bottom w:val="none" w:sz="0" w:space="0" w:color="auto"/>
            <w:right w:val="none" w:sz="0" w:space="0" w:color="auto"/>
          </w:divBdr>
        </w:div>
      </w:divsChild>
    </w:div>
    <w:div w:id="1090656479">
      <w:bodyDiv w:val="1"/>
      <w:marLeft w:val="0"/>
      <w:marRight w:val="0"/>
      <w:marTop w:val="0"/>
      <w:marBottom w:val="0"/>
      <w:divBdr>
        <w:top w:val="none" w:sz="0" w:space="0" w:color="auto"/>
        <w:left w:val="none" w:sz="0" w:space="0" w:color="auto"/>
        <w:bottom w:val="none" w:sz="0" w:space="0" w:color="auto"/>
        <w:right w:val="none" w:sz="0" w:space="0" w:color="auto"/>
      </w:divBdr>
    </w:div>
    <w:div w:id="1091581238">
      <w:bodyDiv w:val="1"/>
      <w:marLeft w:val="0"/>
      <w:marRight w:val="0"/>
      <w:marTop w:val="0"/>
      <w:marBottom w:val="0"/>
      <w:divBdr>
        <w:top w:val="none" w:sz="0" w:space="0" w:color="auto"/>
        <w:left w:val="none" w:sz="0" w:space="0" w:color="auto"/>
        <w:bottom w:val="none" w:sz="0" w:space="0" w:color="auto"/>
        <w:right w:val="none" w:sz="0" w:space="0" w:color="auto"/>
      </w:divBdr>
    </w:div>
    <w:div w:id="1092704058">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093547268">
      <w:bodyDiv w:val="1"/>
      <w:marLeft w:val="0"/>
      <w:marRight w:val="0"/>
      <w:marTop w:val="0"/>
      <w:marBottom w:val="0"/>
      <w:divBdr>
        <w:top w:val="none" w:sz="0" w:space="0" w:color="auto"/>
        <w:left w:val="none" w:sz="0" w:space="0" w:color="auto"/>
        <w:bottom w:val="none" w:sz="0" w:space="0" w:color="auto"/>
        <w:right w:val="none" w:sz="0" w:space="0" w:color="auto"/>
      </w:divBdr>
    </w:div>
    <w:div w:id="1095596122">
      <w:bodyDiv w:val="1"/>
      <w:marLeft w:val="0"/>
      <w:marRight w:val="0"/>
      <w:marTop w:val="0"/>
      <w:marBottom w:val="0"/>
      <w:divBdr>
        <w:top w:val="none" w:sz="0" w:space="0" w:color="auto"/>
        <w:left w:val="none" w:sz="0" w:space="0" w:color="auto"/>
        <w:bottom w:val="none" w:sz="0" w:space="0" w:color="auto"/>
        <w:right w:val="none" w:sz="0" w:space="0" w:color="auto"/>
      </w:divBdr>
    </w:div>
    <w:div w:id="1096638399">
      <w:bodyDiv w:val="1"/>
      <w:marLeft w:val="0"/>
      <w:marRight w:val="0"/>
      <w:marTop w:val="0"/>
      <w:marBottom w:val="0"/>
      <w:divBdr>
        <w:top w:val="none" w:sz="0" w:space="0" w:color="auto"/>
        <w:left w:val="none" w:sz="0" w:space="0" w:color="auto"/>
        <w:bottom w:val="none" w:sz="0" w:space="0" w:color="auto"/>
        <w:right w:val="none" w:sz="0" w:space="0" w:color="auto"/>
      </w:divBdr>
    </w:div>
    <w:div w:id="1096898473">
      <w:bodyDiv w:val="1"/>
      <w:marLeft w:val="0"/>
      <w:marRight w:val="0"/>
      <w:marTop w:val="0"/>
      <w:marBottom w:val="0"/>
      <w:divBdr>
        <w:top w:val="none" w:sz="0" w:space="0" w:color="auto"/>
        <w:left w:val="none" w:sz="0" w:space="0" w:color="auto"/>
        <w:bottom w:val="none" w:sz="0" w:space="0" w:color="auto"/>
        <w:right w:val="none" w:sz="0" w:space="0" w:color="auto"/>
      </w:divBdr>
    </w:div>
    <w:div w:id="1097873907">
      <w:bodyDiv w:val="1"/>
      <w:marLeft w:val="0"/>
      <w:marRight w:val="0"/>
      <w:marTop w:val="0"/>
      <w:marBottom w:val="0"/>
      <w:divBdr>
        <w:top w:val="none" w:sz="0" w:space="0" w:color="auto"/>
        <w:left w:val="none" w:sz="0" w:space="0" w:color="auto"/>
        <w:bottom w:val="none" w:sz="0" w:space="0" w:color="auto"/>
        <w:right w:val="none" w:sz="0" w:space="0" w:color="auto"/>
      </w:divBdr>
    </w:div>
    <w:div w:id="1098720202">
      <w:bodyDiv w:val="1"/>
      <w:marLeft w:val="0"/>
      <w:marRight w:val="0"/>
      <w:marTop w:val="0"/>
      <w:marBottom w:val="0"/>
      <w:divBdr>
        <w:top w:val="none" w:sz="0" w:space="0" w:color="auto"/>
        <w:left w:val="none" w:sz="0" w:space="0" w:color="auto"/>
        <w:bottom w:val="none" w:sz="0" w:space="0" w:color="auto"/>
        <w:right w:val="none" w:sz="0" w:space="0" w:color="auto"/>
      </w:divBdr>
    </w:div>
    <w:div w:id="1099373255">
      <w:bodyDiv w:val="1"/>
      <w:marLeft w:val="0"/>
      <w:marRight w:val="0"/>
      <w:marTop w:val="0"/>
      <w:marBottom w:val="0"/>
      <w:divBdr>
        <w:top w:val="none" w:sz="0" w:space="0" w:color="auto"/>
        <w:left w:val="none" w:sz="0" w:space="0" w:color="auto"/>
        <w:bottom w:val="none" w:sz="0" w:space="0" w:color="auto"/>
        <w:right w:val="none" w:sz="0" w:space="0" w:color="auto"/>
      </w:divBdr>
    </w:div>
    <w:div w:id="1100485613">
      <w:bodyDiv w:val="1"/>
      <w:marLeft w:val="0"/>
      <w:marRight w:val="0"/>
      <w:marTop w:val="0"/>
      <w:marBottom w:val="0"/>
      <w:divBdr>
        <w:top w:val="none" w:sz="0" w:space="0" w:color="auto"/>
        <w:left w:val="none" w:sz="0" w:space="0" w:color="auto"/>
        <w:bottom w:val="none" w:sz="0" w:space="0" w:color="auto"/>
        <w:right w:val="none" w:sz="0" w:space="0" w:color="auto"/>
      </w:divBdr>
    </w:div>
    <w:div w:id="1100879041">
      <w:bodyDiv w:val="1"/>
      <w:marLeft w:val="0"/>
      <w:marRight w:val="0"/>
      <w:marTop w:val="0"/>
      <w:marBottom w:val="0"/>
      <w:divBdr>
        <w:top w:val="none" w:sz="0" w:space="0" w:color="auto"/>
        <w:left w:val="none" w:sz="0" w:space="0" w:color="auto"/>
        <w:bottom w:val="none" w:sz="0" w:space="0" w:color="auto"/>
        <w:right w:val="none" w:sz="0" w:space="0" w:color="auto"/>
      </w:divBdr>
    </w:div>
    <w:div w:id="1101678513">
      <w:bodyDiv w:val="1"/>
      <w:marLeft w:val="0"/>
      <w:marRight w:val="0"/>
      <w:marTop w:val="0"/>
      <w:marBottom w:val="0"/>
      <w:divBdr>
        <w:top w:val="none" w:sz="0" w:space="0" w:color="auto"/>
        <w:left w:val="none" w:sz="0" w:space="0" w:color="auto"/>
        <w:bottom w:val="none" w:sz="0" w:space="0" w:color="auto"/>
        <w:right w:val="none" w:sz="0" w:space="0" w:color="auto"/>
      </w:divBdr>
    </w:div>
    <w:div w:id="1103108070">
      <w:bodyDiv w:val="1"/>
      <w:marLeft w:val="0"/>
      <w:marRight w:val="0"/>
      <w:marTop w:val="0"/>
      <w:marBottom w:val="0"/>
      <w:divBdr>
        <w:top w:val="none" w:sz="0" w:space="0" w:color="auto"/>
        <w:left w:val="none" w:sz="0" w:space="0" w:color="auto"/>
        <w:bottom w:val="none" w:sz="0" w:space="0" w:color="auto"/>
        <w:right w:val="none" w:sz="0" w:space="0" w:color="auto"/>
      </w:divBdr>
    </w:div>
    <w:div w:id="1103916983">
      <w:bodyDiv w:val="1"/>
      <w:marLeft w:val="0"/>
      <w:marRight w:val="0"/>
      <w:marTop w:val="0"/>
      <w:marBottom w:val="0"/>
      <w:divBdr>
        <w:top w:val="none" w:sz="0" w:space="0" w:color="auto"/>
        <w:left w:val="none" w:sz="0" w:space="0" w:color="auto"/>
        <w:bottom w:val="none" w:sz="0" w:space="0" w:color="auto"/>
        <w:right w:val="none" w:sz="0" w:space="0" w:color="auto"/>
      </w:divBdr>
    </w:div>
    <w:div w:id="1104305346">
      <w:bodyDiv w:val="1"/>
      <w:marLeft w:val="0"/>
      <w:marRight w:val="0"/>
      <w:marTop w:val="0"/>
      <w:marBottom w:val="0"/>
      <w:divBdr>
        <w:top w:val="none" w:sz="0" w:space="0" w:color="auto"/>
        <w:left w:val="none" w:sz="0" w:space="0" w:color="auto"/>
        <w:bottom w:val="none" w:sz="0" w:space="0" w:color="auto"/>
        <w:right w:val="none" w:sz="0" w:space="0" w:color="auto"/>
      </w:divBdr>
    </w:div>
    <w:div w:id="1105148281">
      <w:bodyDiv w:val="1"/>
      <w:marLeft w:val="0"/>
      <w:marRight w:val="0"/>
      <w:marTop w:val="0"/>
      <w:marBottom w:val="0"/>
      <w:divBdr>
        <w:top w:val="none" w:sz="0" w:space="0" w:color="auto"/>
        <w:left w:val="none" w:sz="0" w:space="0" w:color="auto"/>
        <w:bottom w:val="none" w:sz="0" w:space="0" w:color="auto"/>
        <w:right w:val="none" w:sz="0" w:space="0" w:color="auto"/>
      </w:divBdr>
    </w:div>
    <w:div w:id="1105541500">
      <w:bodyDiv w:val="1"/>
      <w:marLeft w:val="0"/>
      <w:marRight w:val="0"/>
      <w:marTop w:val="0"/>
      <w:marBottom w:val="0"/>
      <w:divBdr>
        <w:top w:val="none" w:sz="0" w:space="0" w:color="auto"/>
        <w:left w:val="none" w:sz="0" w:space="0" w:color="auto"/>
        <w:bottom w:val="none" w:sz="0" w:space="0" w:color="auto"/>
        <w:right w:val="none" w:sz="0" w:space="0" w:color="auto"/>
      </w:divBdr>
    </w:div>
    <w:div w:id="1107385605">
      <w:bodyDiv w:val="1"/>
      <w:marLeft w:val="0"/>
      <w:marRight w:val="0"/>
      <w:marTop w:val="0"/>
      <w:marBottom w:val="0"/>
      <w:divBdr>
        <w:top w:val="none" w:sz="0" w:space="0" w:color="auto"/>
        <w:left w:val="none" w:sz="0" w:space="0" w:color="auto"/>
        <w:bottom w:val="none" w:sz="0" w:space="0" w:color="auto"/>
        <w:right w:val="none" w:sz="0" w:space="0" w:color="auto"/>
      </w:divBdr>
    </w:div>
    <w:div w:id="1107702288">
      <w:bodyDiv w:val="1"/>
      <w:marLeft w:val="0"/>
      <w:marRight w:val="0"/>
      <w:marTop w:val="0"/>
      <w:marBottom w:val="0"/>
      <w:divBdr>
        <w:top w:val="none" w:sz="0" w:space="0" w:color="auto"/>
        <w:left w:val="none" w:sz="0" w:space="0" w:color="auto"/>
        <w:bottom w:val="none" w:sz="0" w:space="0" w:color="auto"/>
        <w:right w:val="none" w:sz="0" w:space="0" w:color="auto"/>
      </w:divBdr>
      <w:divsChild>
        <w:div w:id="297882436">
          <w:marLeft w:val="1080"/>
          <w:marRight w:val="0"/>
          <w:marTop w:val="100"/>
          <w:marBottom w:val="0"/>
          <w:divBdr>
            <w:top w:val="none" w:sz="0" w:space="0" w:color="auto"/>
            <w:left w:val="none" w:sz="0" w:space="0" w:color="auto"/>
            <w:bottom w:val="none" w:sz="0" w:space="0" w:color="auto"/>
            <w:right w:val="none" w:sz="0" w:space="0" w:color="auto"/>
          </w:divBdr>
        </w:div>
        <w:div w:id="576595288">
          <w:marLeft w:val="360"/>
          <w:marRight w:val="0"/>
          <w:marTop w:val="200"/>
          <w:marBottom w:val="0"/>
          <w:divBdr>
            <w:top w:val="none" w:sz="0" w:space="0" w:color="auto"/>
            <w:left w:val="none" w:sz="0" w:space="0" w:color="auto"/>
            <w:bottom w:val="none" w:sz="0" w:space="0" w:color="auto"/>
            <w:right w:val="none" w:sz="0" w:space="0" w:color="auto"/>
          </w:divBdr>
        </w:div>
        <w:div w:id="2070837765">
          <w:marLeft w:val="1080"/>
          <w:marRight w:val="0"/>
          <w:marTop w:val="100"/>
          <w:marBottom w:val="0"/>
          <w:divBdr>
            <w:top w:val="none" w:sz="0" w:space="0" w:color="auto"/>
            <w:left w:val="none" w:sz="0" w:space="0" w:color="auto"/>
            <w:bottom w:val="none" w:sz="0" w:space="0" w:color="auto"/>
            <w:right w:val="none" w:sz="0" w:space="0" w:color="auto"/>
          </w:divBdr>
        </w:div>
      </w:divsChild>
    </w:div>
    <w:div w:id="1108045160">
      <w:bodyDiv w:val="1"/>
      <w:marLeft w:val="0"/>
      <w:marRight w:val="0"/>
      <w:marTop w:val="0"/>
      <w:marBottom w:val="0"/>
      <w:divBdr>
        <w:top w:val="none" w:sz="0" w:space="0" w:color="auto"/>
        <w:left w:val="none" w:sz="0" w:space="0" w:color="auto"/>
        <w:bottom w:val="none" w:sz="0" w:space="0" w:color="auto"/>
        <w:right w:val="none" w:sz="0" w:space="0" w:color="auto"/>
      </w:divBdr>
    </w:div>
    <w:div w:id="1108157881">
      <w:bodyDiv w:val="1"/>
      <w:marLeft w:val="0"/>
      <w:marRight w:val="0"/>
      <w:marTop w:val="0"/>
      <w:marBottom w:val="0"/>
      <w:divBdr>
        <w:top w:val="none" w:sz="0" w:space="0" w:color="auto"/>
        <w:left w:val="none" w:sz="0" w:space="0" w:color="auto"/>
        <w:bottom w:val="none" w:sz="0" w:space="0" w:color="auto"/>
        <w:right w:val="none" w:sz="0" w:space="0" w:color="auto"/>
      </w:divBdr>
    </w:div>
    <w:div w:id="1108549601">
      <w:bodyDiv w:val="1"/>
      <w:marLeft w:val="0"/>
      <w:marRight w:val="0"/>
      <w:marTop w:val="0"/>
      <w:marBottom w:val="0"/>
      <w:divBdr>
        <w:top w:val="none" w:sz="0" w:space="0" w:color="auto"/>
        <w:left w:val="none" w:sz="0" w:space="0" w:color="auto"/>
        <w:bottom w:val="none" w:sz="0" w:space="0" w:color="auto"/>
        <w:right w:val="none" w:sz="0" w:space="0" w:color="auto"/>
      </w:divBdr>
    </w:div>
    <w:div w:id="1110004468">
      <w:bodyDiv w:val="1"/>
      <w:marLeft w:val="0"/>
      <w:marRight w:val="0"/>
      <w:marTop w:val="0"/>
      <w:marBottom w:val="0"/>
      <w:divBdr>
        <w:top w:val="none" w:sz="0" w:space="0" w:color="auto"/>
        <w:left w:val="none" w:sz="0" w:space="0" w:color="auto"/>
        <w:bottom w:val="none" w:sz="0" w:space="0" w:color="auto"/>
        <w:right w:val="none" w:sz="0" w:space="0" w:color="auto"/>
      </w:divBdr>
      <w:divsChild>
        <w:div w:id="1842695539">
          <w:marLeft w:val="360"/>
          <w:marRight w:val="0"/>
          <w:marTop w:val="200"/>
          <w:marBottom w:val="0"/>
          <w:divBdr>
            <w:top w:val="none" w:sz="0" w:space="0" w:color="auto"/>
            <w:left w:val="none" w:sz="0" w:space="0" w:color="auto"/>
            <w:bottom w:val="none" w:sz="0" w:space="0" w:color="auto"/>
            <w:right w:val="none" w:sz="0" w:space="0" w:color="auto"/>
          </w:divBdr>
        </w:div>
      </w:divsChild>
    </w:div>
    <w:div w:id="1111163220">
      <w:bodyDiv w:val="1"/>
      <w:marLeft w:val="0"/>
      <w:marRight w:val="0"/>
      <w:marTop w:val="0"/>
      <w:marBottom w:val="0"/>
      <w:divBdr>
        <w:top w:val="none" w:sz="0" w:space="0" w:color="auto"/>
        <w:left w:val="none" w:sz="0" w:space="0" w:color="auto"/>
        <w:bottom w:val="none" w:sz="0" w:space="0" w:color="auto"/>
        <w:right w:val="none" w:sz="0" w:space="0" w:color="auto"/>
      </w:divBdr>
    </w:div>
    <w:div w:id="1111779543">
      <w:bodyDiv w:val="1"/>
      <w:marLeft w:val="0"/>
      <w:marRight w:val="0"/>
      <w:marTop w:val="0"/>
      <w:marBottom w:val="0"/>
      <w:divBdr>
        <w:top w:val="none" w:sz="0" w:space="0" w:color="auto"/>
        <w:left w:val="none" w:sz="0" w:space="0" w:color="auto"/>
        <w:bottom w:val="none" w:sz="0" w:space="0" w:color="auto"/>
        <w:right w:val="none" w:sz="0" w:space="0" w:color="auto"/>
      </w:divBdr>
      <w:divsChild>
        <w:div w:id="111680963">
          <w:marLeft w:val="1166"/>
          <w:marRight w:val="0"/>
          <w:marTop w:val="115"/>
          <w:marBottom w:val="0"/>
          <w:divBdr>
            <w:top w:val="none" w:sz="0" w:space="0" w:color="auto"/>
            <w:left w:val="none" w:sz="0" w:space="0" w:color="auto"/>
            <w:bottom w:val="none" w:sz="0" w:space="0" w:color="auto"/>
            <w:right w:val="none" w:sz="0" w:space="0" w:color="auto"/>
          </w:divBdr>
        </w:div>
        <w:div w:id="182593415">
          <w:marLeft w:val="1166"/>
          <w:marRight w:val="0"/>
          <w:marTop w:val="115"/>
          <w:marBottom w:val="0"/>
          <w:divBdr>
            <w:top w:val="none" w:sz="0" w:space="0" w:color="auto"/>
            <w:left w:val="none" w:sz="0" w:space="0" w:color="auto"/>
            <w:bottom w:val="none" w:sz="0" w:space="0" w:color="auto"/>
            <w:right w:val="none" w:sz="0" w:space="0" w:color="auto"/>
          </w:divBdr>
        </w:div>
        <w:div w:id="517541684">
          <w:marLeft w:val="1800"/>
          <w:marRight w:val="0"/>
          <w:marTop w:val="96"/>
          <w:marBottom w:val="0"/>
          <w:divBdr>
            <w:top w:val="none" w:sz="0" w:space="0" w:color="auto"/>
            <w:left w:val="none" w:sz="0" w:space="0" w:color="auto"/>
            <w:bottom w:val="none" w:sz="0" w:space="0" w:color="auto"/>
            <w:right w:val="none" w:sz="0" w:space="0" w:color="auto"/>
          </w:divBdr>
        </w:div>
        <w:div w:id="1081297711">
          <w:marLeft w:val="2520"/>
          <w:marRight w:val="0"/>
          <w:marTop w:val="86"/>
          <w:marBottom w:val="0"/>
          <w:divBdr>
            <w:top w:val="none" w:sz="0" w:space="0" w:color="auto"/>
            <w:left w:val="none" w:sz="0" w:space="0" w:color="auto"/>
            <w:bottom w:val="none" w:sz="0" w:space="0" w:color="auto"/>
            <w:right w:val="none" w:sz="0" w:space="0" w:color="auto"/>
          </w:divBdr>
        </w:div>
        <w:div w:id="1103187543">
          <w:marLeft w:val="547"/>
          <w:marRight w:val="0"/>
          <w:marTop w:val="134"/>
          <w:marBottom w:val="0"/>
          <w:divBdr>
            <w:top w:val="none" w:sz="0" w:space="0" w:color="auto"/>
            <w:left w:val="none" w:sz="0" w:space="0" w:color="auto"/>
            <w:bottom w:val="none" w:sz="0" w:space="0" w:color="auto"/>
            <w:right w:val="none" w:sz="0" w:space="0" w:color="auto"/>
          </w:divBdr>
        </w:div>
        <w:div w:id="1127816653">
          <w:marLeft w:val="1800"/>
          <w:marRight w:val="0"/>
          <w:marTop w:val="96"/>
          <w:marBottom w:val="0"/>
          <w:divBdr>
            <w:top w:val="none" w:sz="0" w:space="0" w:color="auto"/>
            <w:left w:val="none" w:sz="0" w:space="0" w:color="auto"/>
            <w:bottom w:val="none" w:sz="0" w:space="0" w:color="auto"/>
            <w:right w:val="none" w:sz="0" w:space="0" w:color="auto"/>
          </w:divBdr>
        </w:div>
        <w:div w:id="1404177189">
          <w:marLeft w:val="1800"/>
          <w:marRight w:val="0"/>
          <w:marTop w:val="96"/>
          <w:marBottom w:val="0"/>
          <w:divBdr>
            <w:top w:val="none" w:sz="0" w:space="0" w:color="auto"/>
            <w:left w:val="none" w:sz="0" w:space="0" w:color="auto"/>
            <w:bottom w:val="none" w:sz="0" w:space="0" w:color="auto"/>
            <w:right w:val="none" w:sz="0" w:space="0" w:color="auto"/>
          </w:divBdr>
        </w:div>
        <w:div w:id="1702048673">
          <w:marLeft w:val="2520"/>
          <w:marRight w:val="0"/>
          <w:marTop w:val="86"/>
          <w:marBottom w:val="0"/>
          <w:divBdr>
            <w:top w:val="none" w:sz="0" w:space="0" w:color="auto"/>
            <w:left w:val="none" w:sz="0" w:space="0" w:color="auto"/>
            <w:bottom w:val="none" w:sz="0" w:space="0" w:color="auto"/>
            <w:right w:val="none" w:sz="0" w:space="0" w:color="auto"/>
          </w:divBdr>
        </w:div>
        <w:div w:id="1856113042">
          <w:marLeft w:val="2520"/>
          <w:marRight w:val="0"/>
          <w:marTop w:val="86"/>
          <w:marBottom w:val="0"/>
          <w:divBdr>
            <w:top w:val="none" w:sz="0" w:space="0" w:color="auto"/>
            <w:left w:val="none" w:sz="0" w:space="0" w:color="auto"/>
            <w:bottom w:val="none" w:sz="0" w:space="0" w:color="auto"/>
            <w:right w:val="none" w:sz="0" w:space="0" w:color="auto"/>
          </w:divBdr>
        </w:div>
        <w:div w:id="2107069997">
          <w:marLeft w:val="547"/>
          <w:marRight w:val="0"/>
          <w:marTop w:val="134"/>
          <w:marBottom w:val="0"/>
          <w:divBdr>
            <w:top w:val="none" w:sz="0" w:space="0" w:color="auto"/>
            <w:left w:val="none" w:sz="0" w:space="0" w:color="auto"/>
            <w:bottom w:val="none" w:sz="0" w:space="0" w:color="auto"/>
            <w:right w:val="none" w:sz="0" w:space="0" w:color="auto"/>
          </w:divBdr>
        </w:div>
      </w:divsChild>
    </w:div>
    <w:div w:id="1112476581">
      <w:bodyDiv w:val="1"/>
      <w:marLeft w:val="0"/>
      <w:marRight w:val="0"/>
      <w:marTop w:val="0"/>
      <w:marBottom w:val="0"/>
      <w:divBdr>
        <w:top w:val="none" w:sz="0" w:space="0" w:color="auto"/>
        <w:left w:val="none" w:sz="0" w:space="0" w:color="auto"/>
        <w:bottom w:val="none" w:sz="0" w:space="0" w:color="auto"/>
        <w:right w:val="none" w:sz="0" w:space="0" w:color="auto"/>
      </w:divBdr>
    </w:div>
    <w:div w:id="1114786647">
      <w:bodyDiv w:val="1"/>
      <w:marLeft w:val="0"/>
      <w:marRight w:val="0"/>
      <w:marTop w:val="0"/>
      <w:marBottom w:val="0"/>
      <w:divBdr>
        <w:top w:val="none" w:sz="0" w:space="0" w:color="auto"/>
        <w:left w:val="none" w:sz="0" w:space="0" w:color="auto"/>
        <w:bottom w:val="none" w:sz="0" w:space="0" w:color="auto"/>
        <w:right w:val="none" w:sz="0" w:space="0" w:color="auto"/>
      </w:divBdr>
      <w:divsChild>
        <w:div w:id="816263467">
          <w:marLeft w:val="1166"/>
          <w:marRight w:val="0"/>
          <w:marTop w:val="96"/>
          <w:marBottom w:val="0"/>
          <w:divBdr>
            <w:top w:val="none" w:sz="0" w:space="0" w:color="auto"/>
            <w:left w:val="none" w:sz="0" w:space="0" w:color="auto"/>
            <w:bottom w:val="none" w:sz="0" w:space="0" w:color="auto"/>
            <w:right w:val="none" w:sz="0" w:space="0" w:color="auto"/>
          </w:divBdr>
        </w:div>
        <w:div w:id="1113325975">
          <w:marLeft w:val="547"/>
          <w:marRight w:val="0"/>
          <w:marTop w:val="115"/>
          <w:marBottom w:val="0"/>
          <w:divBdr>
            <w:top w:val="none" w:sz="0" w:space="0" w:color="auto"/>
            <w:left w:val="none" w:sz="0" w:space="0" w:color="auto"/>
            <w:bottom w:val="none" w:sz="0" w:space="0" w:color="auto"/>
            <w:right w:val="none" w:sz="0" w:space="0" w:color="auto"/>
          </w:divBdr>
        </w:div>
      </w:divsChild>
    </w:div>
    <w:div w:id="1114835052">
      <w:bodyDiv w:val="1"/>
      <w:marLeft w:val="0"/>
      <w:marRight w:val="0"/>
      <w:marTop w:val="0"/>
      <w:marBottom w:val="0"/>
      <w:divBdr>
        <w:top w:val="none" w:sz="0" w:space="0" w:color="auto"/>
        <w:left w:val="none" w:sz="0" w:space="0" w:color="auto"/>
        <w:bottom w:val="none" w:sz="0" w:space="0" w:color="auto"/>
        <w:right w:val="none" w:sz="0" w:space="0" w:color="auto"/>
      </w:divBdr>
    </w:div>
    <w:div w:id="1115566333">
      <w:bodyDiv w:val="1"/>
      <w:marLeft w:val="0"/>
      <w:marRight w:val="0"/>
      <w:marTop w:val="0"/>
      <w:marBottom w:val="0"/>
      <w:divBdr>
        <w:top w:val="none" w:sz="0" w:space="0" w:color="auto"/>
        <w:left w:val="none" w:sz="0" w:space="0" w:color="auto"/>
        <w:bottom w:val="none" w:sz="0" w:space="0" w:color="auto"/>
        <w:right w:val="none" w:sz="0" w:space="0" w:color="auto"/>
      </w:divBdr>
    </w:div>
    <w:div w:id="1115636874">
      <w:bodyDiv w:val="1"/>
      <w:marLeft w:val="0"/>
      <w:marRight w:val="0"/>
      <w:marTop w:val="0"/>
      <w:marBottom w:val="0"/>
      <w:divBdr>
        <w:top w:val="none" w:sz="0" w:space="0" w:color="auto"/>
        <w:left w:val="none" w:sz="0" w:space="0" w:color="auto"/>
        <w:bottom w:val="none" w:sz="0" w:space="0" w:color="auto"/>
        <w:right w:val="none" w:sz="0" w:space="0" w:color="auto"/>
      </w:divBdr>
    </w:div>
    <w:div w:id="1115752381">
      <w:bodyDiv w:val="1"/>
      <w:marLeft w:val="0"/>
      <w:marRight w:val="0"/>
      <w:marTop w:val="0"/>
      <w:marBottom w:val="0"/>
      <w:divBdr>
        <w:top w:val="none" w:sz="0" w:space="0" w:color="auto"/>
        <w:left w:val="none" w:sz="0" w:space="0" w:color="auto"/>
        <w:bottom w:val="none" w:sz="0" w:space="0" w:color="auto"/>
        <w:right w:val="none" w:sz="0" w:space="0" w:color="auto"/>
      </w:divBdr>
      <w:divsChild>
        <w:div w:id="154998812">
          <w:marLeft w:val="547"/>
          <w:marRight w:val="0"/>
          <w:marTop w:val="115"/>
          <w:marBottom w:val="0"/>
          <w:divBdr>
            <w:top w:val="none" w:sz="0" w:space="0" w:color="auto"/>
            <w:left w:val="none" w:sz="0" w:space="0" w:color="auto"/>
            <w:bottom w:val="none" w:sz="0" w:space="0" w:color="auto"/>
            <w:right w:val="none" w:sz="0" w:space="0" w:color="auto"/>
          </w:divBdr>
        </w:div>
        <w:div w:id="269633075">
          <w:marLeft w:val="1166"/>
          <w:marRight w:val="0"/>
          <w:marTop w:val="96"/>
          <w:marBottom w:val="0"/>
          <w:divBdr>
            <w:top w:val="none" w:sz="0" w:space="0" w:color="auto"/>
            <w:left w:val="none" w:sz="0" w:space="0" w:color="auto"/>
            <w:bottom w:val="none" w:sz="0" w:space="0" w:color="auto"/>
            <w:right w:val="none" w:sz="0" w:space="0" w:color="auto"/>
          </w:divBdr>
        </w:div>
        <w:div w:id="1906452404">
          <w:marLeft w:val="1800"/>
          <w:marRight w:val="0"/>
          <w:marTop w:val="86"/>
          <w:marBottom w:val="0"/>
          <w:divBdr>
            <w:top w:val="none" w:sz="0" w:space="0" w:color="auto"/>
            <w:left w:val="none" w:sz="0" w:space="0" w:color="auto"/>
            <w:bottom w:val="none" w:sz="0" w:space="0" w:color="auto"/>
            <w:right w:val="none" w:sz="0" w:space="0" w:color="auto"/>
          </w:divBdr>
        </w:div>
        <w:div w:id="1931114197">
          <w:marLeft w:val="2520"/>
          <w:marRight w:val="0"/>
          <w:marTop w:val="77"/>
          <w:marBottom w:val="0"/>
          <w:divBdr>
            <w:top w:val="none" w:sz="0" w:space="0" w:color="auto"/>
            <w:left w:val="none" w:sz="0" w:space="0" w:color="auto"/>
            <w:bottom w:val="none" w:sz="0" w:space="0" w:color="auto"/>
            <w:right w:val="none" w:sz="0" w:space="0" w:color="auto"/>
          </w:divBdr>
        </w:div>
        <w:div w:id="2099327549">
          <w:marLeft w:val="1800"/>
          <w:marRight w:val="0"/>
          <w:marTop w:val="86"/>
          <w:marBottom w:val="0"/>
          <w:divBdr>
            <w:top w:val="none" w:sz="0" w:space="0" w:color="auto"/>
            <w:left w:val="none" w:sz="0" w:space="0" w:color="auto"/>
            <w:bottom w:val="none" w:sz="0" w:space="0" w:color="auto"/>
            <w:right w:val="none" w:sz="0" w:space="0" w:color="auto"/>
          </w:divBdr>
        </w:div>
      </w:divsChild>
    </w:div>
    <w:div w:id="1116175288">
      <w:bodyDiv w:val="1"/>
      <w:marLeft w:val="0"/>
      <w:marRight w:val="0"/>
      <w:marTop w:val="0"/>
      <w:marBottom w:val="0"/>
      <w:divBdr>
        <w:top w:val="none" w:sz="0" w:space="0" w:color="auto"/>
        <w:left w:val="none" w:sz="0" w:space="0" w:color="auto"/>
        <w:bottom w:val="none" w:sz="0" w:space="0" w:color="auto"/>
        <w:right w:val="none" w:sz="0" w:space="0" w:color="auto"/>
      </w:divBdr>
    </w:div>
    <w:div w:id="1116489483">
      <w:bodyDiv w:val="1"/>
      <w:marLeft w:val="0"/>
      <w:marRight w:val="0"/>
      <w:marTop w:val="0"/>
      <w:marBottom w:val="0"/>
      <w:divBdr>
        <w:top w:val="none" w:sz="0" w:space="0" w:color="auto"/>
        <w:left w:val="none" w:sz="0" w:space="0" w:color="auto"/>
        <w:bottom w:val="none" w:sz="0" w:space="0" w:color="auto"/>
        <w:right w:val="none" w:sz="0" w:space="0" w:color="auto"/>
      </w:divBdr>
      <w:divsChild>
        <w:div w:id="239876184">
          <w:marLeft w:val="1166"/>
          <w:marRight w:val="0"/>
          <w:marTop w:val="115"/>
          <w:marBottom w:val="0"/>
          <w:divBdr>
            <w:top w:val="none" w:sz="0" w:space="0" w:color="auto"/>
            <w:left w:val="none" w:sz="0" w:space="0" w:color="auto"/>
            <w:bottom w:val="none" w:sz="0" w:space="0" w:color="auto"/>
            <w:right w:val="none" w:sz="0" w:space="0" w:color="auto"/>
          </w:divBdr>
        </w:div>
        <w:div w:id="828402395">
          <w:marLeft w:val="547"/>
          <w:marRight w:val="0"/>
          <w:marTop w:val="134"/>
          <w:marBottom w:val="0"/>
          <w:divBdr>
            <w:top w:val="none" w:sz="0" w:space="0" w:color="auto"/>
            <w:left w:val="none" w:sz="0" w:space="0" w:color="auto"/>
            <w:bottom w:val="none" w:sz="0" w:space="0" w:color="auto"/>
            <w:right w:val="none" w:sz="0" w:space="0" w:color="auto"/>
          </w:divBdr>
        </w:div>
        <w:div w:id="1446578263">
          <w:marLeft w:val="1166"/>
          <w:marRight w:val="0"/>
          <w:marTop w:val="115"/>
          <w:marBottom w:val="0"/>
          <w:divBdr>
            <w:top w:val="none" w:sz="0" w:space="0" w:color="auto"/>
            <w:left w:val="none" w:sz="0" w:space="0" w:color="auto"/>
            <w:bottom w:val="none" w:sz="0" w:space="0" w:color="auto"/>
            <w:right w:val="none" w:sz="0" w:space="0" w:color="auto"/>
          </w:divBdr>
        </w:div>
        <w:div w:id="1629045743">
          <w:marLeft w:val="1166"/>
          <w:marRight w:val="0"/>
          <w:marTop w:val="115"/>
          <w:marBottom w:val="0"/>
          <w:divBdr>
            <w:top w:val="none" w:sz="0" w:space="0" w:color="auto"/>
            <w:left w:val="none" w:sz="0" w:space="0" w:color="auto"/>
            <w:bottom w:val="none" w:sz="0" w:space="0" w:color="auto"/>
            <w:right w:val="none" w:sz="0" w:space="0" w:color="auto"/>
          </w:divBdr>
        </w:div>
        <w:div w:id="1787046041">
          <w:marLeft w:val="547"/>
          <w:marRight w:val="0"/>
          <w:marTop w:val="134"/>
          <w:marBottom w:val="0"/>
          <w:divBdr>
            <w:top w:val="none" w:sz="0" w:space="0" w:color="auto"/>
            <w:left w:val="none" w:sz="0" w:space="0" w:color="auto"/>
            <w:bottom w:val="none" w:sz="0" w:space="0" w:color="auto"/>
            <w:right w:val="none" w:sz="0" w:space="0" w:color="auto"/>
          </w:divBdr>
        </w:div>
      </w:divsChild>
    </w:div>
    <w:div w:id="1117600620">
      <w:bodyDiv w:val="1"/>
      <w:marLeft w:val="0"/>
      <w:marRight w:val="0"/>
      <w:marTop w:val="0"/>
      <w:marBottom w:val="0"/>
      <w:divBdr>
        <w:top w:val="none" w:sz="0" w:space="0" w:color="auto"/>
        <w:left w:val="none" w:sz="0" w:space="0" w:color="auto"/>
        <w:bottom w:val="none" w:sz="0" w:space="0" w:color="auto"/>
        <w:right w:val="none" w:sz="0" w:space="0" w:color="auto"/>
      </w:divBdr>
      <w:divsChild>
        <w:div w:id="624772129">
          <w:marLeft w:val="360"/>
          <w:marRight w:val="0"/>
          <w:marTop w:val="200"/>
          <w:marBottom w:val="0"/>
          <w:divBdr>
            <w:top w:val="none" w:sz="0" w:space="0" w:color="auto"/>
            <w:left w:val="none" w:sz="0" w:space="0" w:color="auto"/>
            <w:bottom w:val="none" w:sz="0" w:space="0" w:color="auto"/>
            <w:right w:val="none" w:sz="0" w:space="0" w:color="auto"/>
          </w:divBdr>
        </w:div>
      </w:divsChild>
    </w:div>
    <w:div w:id="1117944322">
      <w:bodyDiv w:val="1"/>
      <w:marLeft w:val="0"/>
      <w:marRight w:val="0"/>
      <w:marTop w:val="0"/>
      <w:marBottom w:val="0"/>
      <w:divBdr>
        <w:top w:val="none" w:sz="0" w:space="0" w:color="auto"/>
        <w:left w:val="none" w:sz="0" w:space="0" w:color="auto"/>
        <w:bottom w:val="none" w:sz="0" w:space="0" w:color="auto"/>
        <w:right w:val="none" w:sz="0" w:space="0" w:color="auto"/>
      </w:divBdr>
    </w:div>
    <w:div w:id="1118643486">
      <w:bodyDiv w:val="1"/>
      <w:marLeft w:val="0"/>
      <w:marRight w:val="0"/>
      <w:marTop w:val="0"/>
      <w:marBottom w:val="0"/>
      <w:divBdr>
        <w:top w:val="none" w:sz="0" w:space="0" w:color="auto"/>
        <w:left w:val="none" w:sz="0" w:space="0" w:color="auto"/>
        <w:bottom w:val="none" w:sz="0" w:space="0" w:color="auto"/>
        <w:right w:val="none" w:sz="0" w:space="0" w:color="auto"/>
      </w:divBdr>
    </w:div>
    <w:div w:id="1118836689">
      <w:bodyDiv w:val="1"/>
      <w:marLeft w:val="0"/>
      <w:marRight w:val="0"/>
      <w:marTop w:val="0"/>
      <w:marBottom w:val="0"/>
      <w:divBdr>
        <w:top w:val="none" w:sz="0" w:space="0" w:color="auto"/>
        <w:left w:val="none" w:sz="0" w:space="0" w:color="auto"/>
        <w:bottom w:val="none" w:sz="0" w:space="0" w:color="auto"/>
        <w:right w:val="none" w:sz="0" w:space="0" w:color="auto"/>
      </w:divBdr>
    </w:div>
    <w:div w:id="1119759433">
      <w:bodyDiv w:val="1"/>
      <w:marLeft w:val="0"/>
      <w:marRight w:val="0"/>
      <w:marTop w:val="0"/>
      <w:marBottom w:val="0"/>
      <w:divBdr>
        <w:top w:val="none" w:sz="0" w:space="0" w:color="auto"/>
        <w:left w:val="none" w:sz="0" w:space="0" w:color="auto"/>
        <w:bottom w:val="none" w:sz="0" w:space="0" w:color="auto"/>
        <w:right w:val="none" w:sz="0" w:space="0" w:color="auto"/>
      </w:divBdr>
      <w:divsChild>
        <w:div w:id="1525099527">
          <w:marLeft w:val="360"/>
          <w:marRight w:val="0"/>
          <w:marTop w:val="200"/>
          <w:marBottom w:val="0"/>
          <w:divBdr>
            <w:top w:val="none" w:sz="0" w:space="0" w:color="auto"/>
            <w:left w:val="none" w:sz="0" w:space="0" w:color="auto"/>
            <w:bottom w:val="none" w:sz="0" w:space="0" w:color="auto"/>
            <w:right w:val="none" w:sz="0" w:space="0" w:color="auto"/>
          </w:divBdr>
        </w:div>
        <w:div w:id="1173761400">
          <w:marLeft w:val="1080"/>
          <w:marRight w:val="0"/>
          <w:marTop w:val="100"/>
          <w:marBottom w:val="0"/>
          <w:divBdr>
            <w:top w:val="none" w:sz="0" w:space="0" w:color="auto"/>
            <w:left w:val="none" w:sz="0" w:space="0" w:color="auto"/>
            <w:bottom w:val="none" w:sz="0" w:space="0" w:color="auto"/>
            <w:right w:val="none" w:sz="0" w:space="0" w:color="auto"/>
          </w:divBdr>
        </w:div>
        <w:div w:id="1953319701">
          <w:marLeft w:val="1800"/>
          <w:marRight w:val="0"/>
          <w:marTop w:val="100"/>
          <w:marBottom w:val="0"/>
          <w:divBdr>
            <w:top w:val="none" w:sz="0" w:space="0" w:color="auto"/>
            <w:left w:val="none" w:sz="0" w:space="0" w:color="auto"/>
            <w:bottom w:val="none" w:sz="0" w:space="0" w:color="auto"/>
            <w:right w:val="none" w:sz="0" w:space="0" w:color="auto"/>
          </w:divBdr>
        </w:div>
        <w:div w:id="220335043">
          <w:marLeft w:val="1080"/>
          <w:marRight w:val="0"/>
          <w:marTop w:val="100"/>
          <w:marBottom w:val="0"/>
          <w:divBdr>
            <w:top w:val="none" w:sz="0" w:space="0" w:color="auto"/>
            <w:left w:val="none" w:sz="0" w:space="0" w:color="auto"/>
            <w:bottom w:val="none" w:sz="0" w:space="0" w:color="auto"/>
            <w:right w:val="none" w:sz="0" w:space="0" w:color="auto"/>
          </w:divBdr>
        </w:div>
        <w:div w:id="559705232">
          <w:marLeft w:val="1080"/>
          <w:marRight w:val="0"/>
          <w:marTop w:val="100"/>
          <w:marBottom w:val="0"/>
          <w:divBdr>
            <w:top w:val="none" w:sz="0" w:space="0" w:color="auto"/>
            <w:left w:val="none" w:sz="0" w:space="0" w:color="auto"/>
            <w:bottom w:val="none" w:sz="0" w:space="0" w:color="auto"/>
            <w:right w:val="none" w:sz="0" w:space="0" w:color="auto"/>
          </w:divBdr>
        </w:div>
        <w:div w:id="1741904218">
          <w:marLeft w:val="360"/>
          <w:marRight w:val="0"/>
          <w:marTop w:val="200"/>
          <w:marBottom w:val="0"/>
          <w:divBdr>
            <w:top w:val="none" w:sz="0" w:space="0" w:color="auto"/>
            <w:left w:val="none" w:sz="0" w:space="0" w:color="auto"/>
            <w:bottom w:val="none" w:sz="0" w:space="0" w:color="auto"/>
            <w:right w:val="none" w:sz="0" w:space="0" w:color="auto"/>
          </w:divBdr>
        </w:div>
        <w:div w:id="75783885">
          <w:marLeft w:val="1080"/>
          <w:marRight w:val="0"/>
          <w:marTop w:val="100"/>
          <w:marBottom w:val="0"/>
          <w:divBdr>
            <w:top w:val="none" w:sz="0" w:space="0" w:color="auto"/>
            <w:left w:val="none" w:sz="0" w:space="0" w:color="auto"/>
            <w:bottom w:val="none" w:sz="0" w:space="0" w:color="auto"/>
            <w:right w:val="none" w:sz="0" w:space="0" w:color="auto"/>
          </w:divBdr>
        </w:div>
        <w:div w:id="1764689858">
          <w:marLeft w:val="1800"/>
          <w:marRight w:val="0"/>
          <w:marTop w:val="100"/>
          <w:marBottom w:val="0"/>
          <w:divBdr>
            <w:top w:val="none" w:sz="0" w:space="0" w:color="auto"/>
            <w:left w:val="none" w:sz="0" w:space="0" w:color="auto"/>
            <w:bottom w:val="none" w:sz="0" w:space="0" w:color="auto"/>
            <w:right w:val="none" w:sz="0" w:space="0" w:color="auto"/>
          </w:divBdr>
        </w:div>
        <w:div w:id="1137644465">
          <w:marLeft w:val="1080"/>
          <w:marRight w:val="0"/>
          <w:marTop w:val="100"/>
          <w:marBottom w:val="0"/>
          <w:divBdr>
            <w:top w:val="none" w:sz="0" w:space="0" w:color="auto"/>
            <w:left w:val="none" w:sz="0" w:space="0" w:color="auto"/>
            <w:bottom w:val="none" w:sz="0" w:space="0" w:color="auto"/>
            <w:right w:val="none" w:sz="0" w:space="0" w:color="auto"/>
          </w:divBdr>
        </w:div>
        <w:div w:id="162933978">
          <w:marLeft w:val="1800"/>
          <w:marRight w:val="0"/>
          <w:marTop w:val="100"/>
          <w:marBottom w:val="0"/>
          <w:divBdr>
            <w:top w:val="none" w:sz="0" w:space="0" w:color="auto"/>
            <w:left w:val="none" w:sz="0" w:space="0" w:color="auto"/>
            <w:bottom w:val="none" w:sz="0" w:space="0" w:color="auto"/>
            <w:right w:val="none" w:sz="0" w:space="0" w:color="auto"/>
          </w:divBdr>
        </w:div>
      </w:divsChild>
    </w:div>
    <w:div w:id="1119834716">
      <w:bodyDiv w:val="1"/>
      <w:marLeft w:val="0"/>
      <w:marRight w:val="0"/>
      <w:marTop w:val="0"/>
      <w:marBottom w:val="0"/>
      <w:divBdr>
        <w:top w:val="none" w:sz="0" w:space="0" w:color="auto"/>
        <w:left w:val="none" w:sz="0" w:space="0" w:color="auto"/>
        <w:bottom w:val="none" w:sz="0" w:space="0" w:color="auto"/>
        <w:right w:val="none" w:sz="0" w:space="0" w:color="auto"/>
      </w:divBdr>
    </w:div>
    <w:div w:id="1120681409">
      <w:bodyDiv w:val="1"/>
      <w:marLeft w:val="0"/>
      <w:marRight w:val="0"/>
      <w:marTop w:val="0"/>
      <w:marBottom w:val="0"/>
      <w:divBdr>
        <w:top w:val="none" w:sz="0" w:space="0" w:color="auto"/>
        <w:left w:val="none" w:sz="0" w:space="0" w:color="auto"/>
        <w:bottom w:val="none" w:sz="0" w:space="0" w:color="auto"/>
        <w:right w:val="none" w:sz="0" w:space="0" w:color="auto"/>
      </w:divBdr>
    </w:div>
    <w:div w:id="1121069597">
      <w:bodyDiv w:val="1"/>
      <w:marLeft w:val="0"/>
      <w:marRight w:val="0"/>
      <w:marTop w:val="0"/>
      <w:marBottom w:val="0"/>
      <w:divBdr>
        <w:top w:val="none" w:sz="0" w:space="0" w:color="auto"/>
        <w:left w:val="none" w:sz="0" w:space="0" w:color="auto"/>
        <w:bottom w:val="none" w:sz="0" w:space="0" w:color="auto"/>
        <w:right w:val="none" w:sz="0" w:space="0" w:color="auto"/>
      </w:divBdr>
    </w:div>
    <w:div w:id="1121460127">
      <w:bodyDiv w:val="1"/>
      <w:marLeft w:val="0"/>
      <w:marRight w:val="0"/>
      <w:marTop w:val="0"/>
      <w:marBottom w:val="0"/>
      <w:divBdr>
        <w:top w:val="none" w:sz="0" w:space="0" w:color="auto"/>
        <w:left w:val="none" w:sz="0" w:space="0" w:color="auto"/>
        <w:bottom w:val="none" w:sz="0" w:space="0" w:color="auto"/>
        <w:right w:val="none" w:sz="0" w:space="0" w:color="auto"/>
      </w:divBdr>
    </w:div>
    <w:div w:id="1122268808">
      <w:bodyDiv w:val="1"/>
      <w:marLeft w:val="0"/>
      <w:marRight w:val="0"/>
      <w:marTop w:val="0"/>
      <w:marBottom w:val="0"/>
      <w:divBdr>
        <w:top w:val="none" w:sz="0" w:space="0" w:color="auto"/>
        <w:left w:val="none" w:sz="0" w:space="0" w:color="auto"/>
        <w:bottom w:val="none" w:sz="0" w:space="0" w:color="auto"/>
        <w:right w:val="none" w:sz="0" w:space="0" w:color="auto"/>
      </w:divBdr>
    </w:div>
    <w:div w:id="1122919523">
      <w:bodyDiv w:val="1"/>
      <w:marLeft w:val="0"/>
      <w:marRight w:val="0"/>
      <w:marTop w:val="0"/>
      <w:marBottom w:val="0"/>
      <w:divBdr>
        <w:top w:val="none" w:sz="0" w:space="0" w:color="auto"/>
        <w:left w:val="none" w:sz="0" w:space="0" w:color="auto"/>
        <w:bottom w:val="none" w:sz="0" w:space="0" w:color="auto"/>
        <w:right w:val="none" w:sz="0" w:space="0" w:color="auto"/>
      </w:divBdr>
      <w:divsChild>
        <w:div w:id="960037893">
          <w:marLeft w:val="1166"/>
          <w:marRight w:val="0"/>
          <w:marTop w:val="115"/>
          <w:marBottom w:val="120"/>
          <w:divBdr>
            <w:top w:val="none" w:sz="0" w:space="0" w:color="auto"/>
            <w:left w:val="none" w:sz="0" w:space="0" w:color="auto"/>
            <w:bottom w:val="none" w:sz="0" w:space="0" w:color="auto"/>
            <w:right w:val="none" w:sz="0" w:space="0" w:color="auto"/>
          </w:divBdr>
        </w:div>
        <w:div w:id="1988514636">
          <w:marLeft w:val="1166"/>
          <w:marRight w:val="0"/>
          <w:marTop w:val="115"/>
          <w:marBottom w:val="120"/>
          <w:divBdr>
            <w:top w:val="none" w:sz="0" w:space="0" w:color="auto"/>
            <w:left w:val="none" w:sz="0" w:space="0" w:color="auto"/>
            <w:bottom w:val="none" w:sz="0" w:space="0" w:color="auto"/>
            <w:right w:val="none" w:sz="0" w:space="0" w:color="auto"/>
          </w:divBdr>
        </w:div>
        <w:div w:id="2098015589">
          <w:marLeft w:val="547"/>
          <w:marRight w:val="0"/>
          <w:marTop w:val="134"/>
          <w:marBottom w:val="120"/>
          <w:divBdr>
            <w:top w:val="none" w:sz="0" w:space="0" w:color="auto"/>
            <w:left w:val="none" w:sz="0" w:space="0" w:color="auto"/>
            <w:bottom w:val="none" w:sz="0" w:space="0" w:color="auto"/>
            <w:right w:val="none" w:sz="0" w:space="0" w:color="auto"/>
          </w:divBdr>
        </w:div>
      </w:divsChild>
    </w:div>
    <w:div w:id="1122991140">
      <w:bodyDiv w:val="1"/>
      <w:marLeft w:val="0"/>
      <w:marRight w:val="0"/>
      <w:marTop w:val="0"/>
      <w:marBottom w:val="0"/>
      <w:divBdr>
        <w:top w:val="none" w:sz="0" w:space="0" w:color="auto"/>
        <w:left w:val="none" w:sz="0" w:space="0" w:color="auto"/>
        <w:bottom w:val="none" w:sz="0" w:space="0" w:color="auto"/>
        <w:right w:val="none" w:sz="0" w:space="0" w:color="auto"/>
      </w:divBdr>
      <w:divsChild>
        <w:div w:id="263927032">
          <w:marLeft w:val="1800"/>
          <w:marRight w:val="0"/>
          <w:marTop w:val="91"/>
          <w:marBottom w:val="0"/>
          <w:divBdr>
            <w:top w:val="none" w:sz="0" w:space="0" w:color="auto"/>
            <w:left w:val="none" w:sz="0" w:space="0" w:color="auto"/>
            <w:bottom w:val="none" w:sz="0" w:space="0" w:color="auto"/>
            <w:right w:val="none" w:sz="0" w:space="0" w:color="auto"/>
          </w:divBdr>
        </w:div>
        <w:div w:id="267736005">
          <w:marLeft w:val="547"/>
          <w:marRight w:val="0"/>
          <w:marTop w:val="120"/>
          <w:marBottom w:val="0"/>
          <w:divBdr>
            <w:top w:val="none" w:sz="0" w:space="0" w:color="auto"/>
            <w:left w:val="none" w:sz="0" w:space="0" w:color="auto"/>
            <w:bottom w:val="none" w:sz="0" w:space="0" w:color="auto"/>
            <w:right w:val="none" w:sz="0" w:space="0" w:color="auto"/>
          </w:divBdr>
        </w:div>
        <w:div w:id="371148504">
          <w:marLeft w:val="1166"/>
          <w:marRight w:val="0"/>
          <w:marTop w:val="106"/>
          <w:marBottom w:val="0"/>
          <w:divBdr>
            <w:top w:val="none" w:sz="0" w:space="0" w:color="auto"/>
            <w:left w:val="none" w:sz="0" w:space="0" w:color="auto"/>
            <w:bottom w:val="none" w:sz="0" w:space="0" w:color="auto"/>
            <w:right w:val="none" w:sz="0" w:space="0" w:color="auto"/>
          </w:divBdr>
        </w:div>
        <w:div w:id="529150446">
          <w:marLeft w:val="1800"/>
          <w:marRight w:val="0"/>
          <w:marTop w:val="91"/>
          <w:marBottom w:val="0"/>
          <w:divBdr>
            <w:top w:val="none" w:sz="0" w:space="0" w:color="auto"/>
            <w:left w:val="none" w:sz="0" w:space="0" w:color="auto"/>
            <w:bottom w:val="none" w:sz="0" w:space="0" w:color="auto"/>
            <w:right w:val="none" w:sz="0" w:space="0" w:color="auto"/>
          </w:divBdr>
        </w:div>
        <w:div w:id="594674023">
          <w:marLeft w:val="1800"/>
          <w:marRight w:val="0"/>
          <w:marTop w:val="91"/>
          <w:marBottom w:val="0"/>
          <w:divBdr>
            <w:top w:val="none" w:sz="0" w:space="0" w:color="auto"/>
            <w:left w:val="none" w:sz="0" w:space="0" w:color="auto"/>
            <w:bottom w:val="none" w:sz="0" w:space="0" w:color="auto"/>
            <w:right w:val="none" w:sz="0" w:space="0" w:color="auto"/>
          </w:divBdr>
        </w:div>
        <w:div w:id="652099304">
          <w:marLeft w:val="1166"/>
          <w:marRight w:val="0"/>
          <w:marTop w:val="106"/>
          <w:marBottom w:val="0"/>
          <w:divBdr>
            <w:top w:val="none" w:sz="0" w:space="0" w:color="auto"/>
            <w:left w:val="none" w:sz="0" w:space="0" w:color="auto"/>
            <w:bottom w:val="none" w:sz="0" w:space="0" w:color="auto"/>
            <w:right w:val="none" w:sz="0" w:space="0" w:color="auto"/>
          </w:divBdr>
        </w:div>
        <w:div w:id="1075780557">
          <w:marLeft w:val="547"/>
          <w:marRight w:val="0"/>
          <w:marTop w:val="120"/>
          <w:marBottom w:val="0"/>
          <w:divBdr>
            <w:top w:val="none" w:sz="0" w:space="0" w:color="auto"/>
            <w:left w:val="none" w:sz="0" w:space="0" w:color="auto"/>
            <w:bottom w:val="none" w:sz="0" w:space="0" w:color="auto"/>
            <w:right w:val="none" w:sz="0" w:space="0" w:color="auto"/>
          </w:divBdr>
        </w:div>
        <w:div w:id="1263145813">
          <w:marLeft w:val="1166"/>
          <w:marRight w:val="0"/>
          <w:marTop w:val="106"/>
          <w:marBottom w:val="0"/>
          <w:divBdr>
            <w:top w:val="none" w:sz="0" w:space="0" w:color="auto"/>
            <w:left w:val="none" w:sz="0" w:space="0" w:color="auto"/>
            <w:bottom w:val="none" w:sz="0" w:space="0" w:color="auto"/>
            <w:right w:val="none" w:sz="0" w:space="0" w:color="auto"/>
          </w:divBdr>
        </w:div>
        <w:div w:id="1287933186">
          <w:marLeft w:val="547"/>
          <w:marRight w:val="0"/>
          <w:marTop w:val="120"/>
          <w:marBottom w:val="0"/>
          <w:divBdr>
            <w:top w:val="none" w:sz="0" w:space="0" w:color="auto"/>
            <w:left w:val="none" w:sz="0" w:space="0" w:color="auto"/>
            <w:bottom w:val="none" w:sz="0" w:space="0" w:color="auto"/>
            <w:right w:val="none" w:sz="0" w:space="0" w:color="auto"/>
          </w:divBdr>
        </w:div>
        <w:div w:id="1534340911">
          <w:marLeft w:val="1166"/>
          <w:marRight w:val="0"/>
          <w:marTop w:val="106"/>
          <w:marBottom w:val="0"/>
          <w:divBdr>
            <w:top w:val="none" w:sz="0" w:space="0" w:color="auto"/>
            <w:left w:val="none" w:sz="0" w:space="0" w:color="auto"/>
            <w:bottom w:val="none" w:sz="0" w:space="0" w:color="auto"/>
            <w:right w:val="none" w:sz="0" w:space="0" w:color="auto"/>
          </w:divBdr>
        </w:div>
        <w:div w:id="1603954387">
          <w:marLeft w:val="1166"/>
          <w:marRight w:val="0"/>
          <w:marTop w:val="106"/>
          <w:marBottom w:val="0"/>
          <w:divBdr>
            <w:top w:val="none" w:sz="0" w:space="0" w:color="auto"/>
            <w:left w:val="none" w:sz="0" w:space="0" w:color="auto"/>
            <w:bottom w:val="none" w:sz="0" w:space="0" w:color="auto"/>
            <w:right w:val="none" w:sz="0" w:space="0" w:color="auto"/>
          </w:divBdr>
        </w:div>
        <w:div w:id="2028018112">
          <w:marLeft w:val="1166"/>
          <w:marRight w:val="0"/>
          <w:marTop w:val="106"/>
          <w:marBottom w:val="0"/>
          <w:divBdr>
            <w:top w:val="none" w:sz="0" w:space="0" w:color="auto"/>
            <w:left w:val="none" w:sz="0" w:space="0" w:color="auto"/>
            <w:bottom w:val="none" w:sz="0" w:space="0" w:color="auto"/>
            <w:right w:val="none" w:sz="0" w:space="0" w:color="auto"/>
          </w:divBdr>
        </w:div>
      </w:divsChild>
    </w:div>
    <w:div w:id="1124348852">
      <w:bodyDiv w:val="1"/>
      <w:marLeft w:val="0"/>
      <w:marRight w:val="0"/>
      <w:marTop w:val="0"/>
      <w:marBottom w:val="0"/>
      <w:divBdr>
        <w:top w:val="none" w:sz="0" w:space="0" w:color="auto"/>
        <w:left w:val="none" w:sz="0" w:space="0" w:color="auto"/>
        <w:bottom w:val="none" w:sz="0" w:space="0" w:color="auto"/>
        <w:right w:val="none" w:sz="0" w:space="0" w:color="auto"/>
      </w:divBdr>
    </w:div>
    <w:div w:id="1125348451">
      <w:bodyDiv w:val="1"/>
      <w:marLeft w:val="0"/>
      <w:marRight w:val="0"/>
      <w:marTop w:val="0"/>
      <w:marBottom w:val="0"/>
      <w:divBdr>
        <w:top w:val="none" w:sz="0" w:space="0" w:color="auto"/>
        <w:left w:val="none" w:sz="0" w:space="0" w:color="auto"/>
        <w:bottom w:val="none" w:sz="0" w:space="0" w:color="auto"/>
        <w:right w:val="none" w:sz="0" w:space="0" w:color="auto"/>
      </w:divBdr>
    </w:div>
    <w:div w:id="1125850734">
      <w:bodyDiv w:val="1"/>
      <w:marLeft w:val="0"/>
      <w:marRight w:val="0"/>
      <w:marTop w:val="0"/>
      <w:marBottom w:val="0"/>
      <w:divBdr>
        <w:top w:val="none" w:sz="0" w:space="0" w:color="auto"/>
        <w:left w:val="none" w:sz="0" w:space="0" w:color="auto"/>
        <w:bottom w:val="none" w:sz="0" w:space="0" w:color="auto"/>
        <w:right w:val="none" w:sz="0" w:space="0" w:color="auto"/>
      </w:divBdr>
    </w:div>
    <w:div w:id="1128742603">
      <w:bodyDiv w:val="1"/>
      <w:marLeft w:val="0"/>
      <w:marRight w:val="0"/>
      <w:marTop w:val="0"/>
      <w:marBottom w:val="0"/>
      <w:divBdr>
        <w:top w:val="none" w:sz="0" w:space="0" w:color="auto"/>
        <w:left w:val="none" w:sz="0" w:space="0" w:color="auto"/>
        <w:bottom w:val="none" w:sz="0" w:space="0" w:color="auto"/>
        <w:right w:val="none" w:sz="0" w:space="0" w:color="auto"/>
      </w:divBdr>
    </w:div>
    <w:div w:id="1129975582">
      <w:bodyDiv w:val="1"/>
      <w:marLeft w:val="0"/>
      <w:marRight w:val="0"/>
      <w:marTop w:val="0"/>
      <w:marBottom w:val="0"/>
      <w:divBdr>
        <w:top w:val="none" w:sz="0" w:space="0" w:color="auto"/>
        <w:left w:val="none" w:sz="0" w:space="0" w:color="auto"/>
        <w:bottom w:val="none" w:sz="0" w:space="0" w:color="auto"/>
        <w:right w:val="none" w:sz="0" w:space="0" w:color="auto"/>
      </w:divBdr>
      <w:divsChild>
        <w:div w:id="276638666">
          <w:marLeft w:val="547"/>
          <w:marRight w:val="0"/>
          <w:marTop w:val="86"/>
          <w:marBottom w:val="0"/>
          <w:divBdr>
            <w:top w:val="none" w:sz="0" w:space="0" w:color="auto"/>
            <w:left w:val="none" w:sz="0" w:space="0" w:color="auto"/>
            <w:bottom w:val="none" w:sz="0" w:space="0" w:color="auto"/>
            <w:right w:val="none" w:sz="0" w:space="0" w:color="auto"/>
          </w:divBdr>
        </w:div>
        <w:div w:id="755514911">
          <w:marLeft w:val="1166"/>
          <w:marRight w:val="0"/>
          <w:marTop w:val="86"/>
          <w:marBottom w:val="0"/>
          <w:divBdr>
            <w:top w:val="none" w:sz="0" w:space="0" w:color="auto"/>
            <w:left w:val="none" w:sz="0" w:space="0" w:color="auto"/>
            <w:bottom w:val="none" w:sz="0" w:space="0" w:color="auto"/>
            <w:right w:val="none" w:sz="0" w:space="0" w:color="auto"/>
          </w:divBdr>
        </w:div>
        <w:div w:id="1814443691">
          <w:marLeft w:val="547"/>
          <w:marRight w:val="0"/>
          <w:marTop w:val="86"/>
          <w:marBottom w:val="0"/>
          <w:divBdr>
            <w:top w:val="none" w:sz="0" w:space="0" w:color="auto"/>
            <w:left w:val="none" w:sz="0" w:space="0" w:color="auto"/>
            <w:bottom w:val="none" w:sz="0" w:space="0" w:color="auto"/>
            <w:right w:val="none" w:sz="0" w:space="0" w:color="auto"/>
          </w:divBdr>
        </w:div>
      </w:divsChild>
    </w:div>
    <w:div w:id="1130586633">
      <w:bodyDiv w:val="1"/>
      <w:marLeft w:val="0"/>
      <w:marRight w:val="0"/>
      <w:marTop w:val="0"/>
      <w:marBottom w:val="0"/>
      <w:divBdr>
        <w:top w:val="none" w:sz="0" w:space="0" w:color="auto"/>
        <w:left w:val="none" w:sz="0" w:space="0" w:color="auto"/>
        <w:bottom w:val="none" w:sz="0" w:space="0" w:color="auto"/>
        <w:right w:val="none" w:sz="0" w:space="0" w:color="auto"/>
      </w:divBdr>
    </w:div>
    <w:div w:id="1130827264">
      <w:bodyDiv w:val="1"/>
      <w:marLeft w:val="0"/>
      <w:marRight w:val="0"/>
      <w:marTop w:val="0"/>
      <w:marBottom w:val="0"/>
      <w:divBdr>
        <w:top w:val="none" w:sz="0" w:space="0" w:color="auto"/>
        <w:left w:val="none" w:sz="0" w:space="0" w:color="auto"/>
        <w:bottom w:val="none" w:sz="0" w:space="0" w:color="auto"/>
        <w:right w:val="none" w:sz="0" w:space="0" w:color="auto"/>
      </w:divBdr>
    </w:div>
    <w:div w:id="1130976949">
      <w:bodyDiv w:val="1"/>
      <w:marLeft w:val="0"/>
      <w:marRight w:val="0"/>
      <w:marTop w:val="0"/>
      <w:marBottom w:val="0"/>
      <w:divBdr>
        <w:top w:val="none" w:sz="0" w:space="0" w:color="auto"/>
        <w:left w:val="none" w:sz="0" w:space="0" w:color="auto"/>
        <w:bottom w:val="none" w:sz="0" w:space="0" w:color="auto"/>
        <w:right w:val="none" w:sz="0" w:space="0" w:color="auto"/>
      </w:divBdr>
      <w:divsChild>
        <w:div w:id="1342506136">
          <w:marLeft w:val="547"/>
          <w:marRight w:val="0"/>
          <w:marTop w:val="96"/>
          <w:marBottom w:val="0"/>
          <w:divBdr>
            <w:top w:val="none" w:sz="0" w:space="0" w:color="auto"/>
            <w:left w:val="none" w:sz="0" w:space="0" w:color="auto"/>
            <w:bottom w:val="none" w:sz="0" w:space="0" w:color="auto"/>
            <w:right w:val="none" w:sz="0" w:space="0" w:color="auto"/>
          </w:divBdr>
        </w:div>
      </w:divsChild>
    </w:div>
    <w:div w:id="1131098792">
      <w:bodyDiv w:val="1"/>
      <w:marLeft w:val="0"/>
      <w:marRight w:val="0"/>
      <w:marTop w:val="0"/>
      <w:marBottom w:val="0"/>
      <w:divBdr>
        <w:top w:val="none" w:sz="0" w:space="0" w:color="auto"/>
        <w:left w:val="none" w:sz="0" w:space="0" w:color="auto"/>
        <w:bottom w:val="none" w:sz="0" w:space="0" w:color="auto"/>
        <w:right w:val="none" w:sz="0" w:space="0" w:color="auto"/>
      </w:divBdr>
    </w:div>
    <w:div w:id="1132135299">
      <w:bodyDiv w:val="1"/>
      <w:marLeft w:val="0"/>
      <w:marRight w:val="0"/>
      <w:marTop w:val="0"/>
      <w:marBottom w:val="0"/>
      <w:divBdr>
        <w:top w:val="none" w:sz="0" w:space="0" w:color="auto"/>
        <w:left w:val="none" w:sz="0" w:space="0" w:color="auto"/>
        <w:bottom w:val="none" w:sz="0" w:space="0" w:color="auto"/>
        <w:right w:val="none" w:sz="0" w:space="0" w:color="auto"/>
      </w:divBdr>
    </w:div>
    <w:div w:id="1132214543">
      <w:bodyDiv w:val="1"/>
      <w:marLeft w:val="0"/>
      <w:marRight w:val="0"/>
      <w:marTop w:val="0"/>
      <w:marBottom w:val="0"/>
      <w:divBdr>
        <w:top w:val="none" w:sz="0" w:space="0" w:color="auto"/>
        <w:left w:val="none" w:sz="0" w:space="0" w:color="auto"/>
        <w:bottom w:val="none" w:sz="0" w:space="0" w:color="auto"/>
        <w:right w:val="none" w:sz="0" w:space="0" w:color="auto"/>
      </w:divBdr>
    </w:div>
    <w:div w:id="1132560058">
      <w:bodyDiv w:val="1"/>
      <w:marLeft w:val="0"/>
      <w:marRight w:val="0"/>
      <w:marTop w:val="0"/>
      <w:marBottom w:val="0"/>
      <w:divBdr>
        <w:top w:val="none" w:sz="0" w:space="0" w:color="auto"/>
        <w:left w:val="none" w:sz="0" w:space="0" w:color="auto"/>
        <w:bottom w:val="none" w:sz="0" w:space="0" w:color="auto"/>
        <w:right w:val="none" w:sz="0" w:space="0" w:color="auto"/>
      </w:divBdr>
    </w:div>
    <w:div w:id="1132675833">
      <w:bodyDiv w:val="1"/>
      <w:marLeft w:val="0"/>
      <w:marRight w:val="0"/>
      <w:marTop w:val="0"/>
      <w:marBottom w:val="0"/>
      <w:divBdr>
        <w:top w:val="none" w:sz="0" w:space="0" w:color="auto"/>
        <w:left w:val="none" w:sz="0" w:space="0" w:color="auto"/>
        <w:bottom w:val="none" w:sz="0" w:space="0" w:color="auto"/>
        <w:right w:val="none" w:sz="0" w:space="0" w:color="auto"/>
      </w:divBdr>
      <w:divsChild>
        <w:div w:id="234514765">
          <w:marLeft w:val="547"/>
          <w:marRight w:val="0"/>
          <w:marTop w:val="96"/>
          <w:marBottom w:val="0"/>
          <w:divBdr>
            <w:top w:val="none" w:sz="0" w:space="0" w:color="auto"/>
            <w:left w:val="none" w:sz="0" w:space="0" w:color="auto"/>
            <w:bottom w:val="none" w:sz="0" w:space="0" w:color="auto"/>
            <w:right w:val="none" w:sz="0" w:space="0" w:color="auto"/>
          </w:divBdr>
        </w:div>
        <w:div w:id="565914675">
          <w:marLeft w:val="1166"/>
          <w:marRight w:val="0"/>
          <w:marTop w:val="86"/>
          <w:marBottom w:val="0"/>
          <w:divBdr>
            <w:top w:val="none" w:sz="0" w:space="0" w:color="auto"/>
            <w:left w:val="none" w:sz="0" w:space="0" w:color="auto"/>
            <w:bottom w:val="none" w:sz="0" w:space="0" w:color="auto"/>
            <w:right w:val="none" w:sz="0" w:space="0" w:color="auto"/>
          </w:divBdr>
        </w:div>
      </w:divsChild>
    </w:div>
    <w:div w:id="1133014754">
      <w:bodyDiv w:val="1"/>
      <w:marLeft w:val="0"/>
      <w:marRight w:val="0"/>
      <w:marTop w:val="0"/>
      <w:marBottom w:val="0"/>
      <w:divBdr>
        <w:top w:val="none" w:sz="0" w:space="0" w:color="auto"/>
        <w:left w:val="none" w:sz="0" w:space="0" w:color="auto"/>
        <w:bottom w:val="none" w:sz="0" w:space="0" w:color="auto"/>
        <w:right w:val="none" w:sz="0" w:space="0" w:color="auto"/>
      </w:divBdr>
    </w:div>
    <w:div w:id="1133447119">
      <w:bodyDiv w:val="1"/>
      <w:marLeft w:val="0"/>
      <w:marRight w:val="0"/>
      <w:marTop w:val="0"/>
      <w:marBottom w:val="0"/>
      <w:divBdr>
        <w:top w:val="none" w:sz="0" w:space="0" w:color="auto"/>
        <w:left w:val="none" w:sz="0" w:space="0" w:color="auto"/>
        <w:bottom w:val="none" w:sz="0" w:space="0" w:color="auto"/>
        <w:right w:val="none" w:sz="0" w:space="0" w:color="auto"/>
      </w:divBdr>
      <w:divsChild>
        <w:div w:id="450973558">
          <w:marLeft w:val="547"/>
          <w:marRight w:val="0"/>
          <w:marTop w:val="115"/>
          <w:marBottom w:val="0"/>
          <w:divBdr>
            <w:top w:val="none" w:sz="0" w:space="0" w:color="auto"/>
            <w:left w:val="none" w:sz="0" w:space="0" w:color="auto"/>
            <w:bottom w:val="none" w:sz="0" w:space="0" w:color="auto"/>
            <w:right w:val="none" w:sz="0" w:space="0" w:color="auto"/>
          </w:divBdr>
        </w:div>
        <w:div w:id="756024113">
          <w:marLeft w:val="1166"/>
          <w:marRight w:val="0"/>
          <w:marTop w:val="96"/>
          <w:marBottom w:val="0"/>
          <w:divBdr>
            <w:top w:val="none" w:sz="0" w:space="0" w:color="auto"/>
            <w:left w:val="none" w:sz="0" w:space="0" w:color="auto"/>
            <w:bottom w:val="none" w:sz="0" w:space="0" w:color="auto"/>
            <w:right w:val="none" w:sz="0" w:space="0" w:color="auto"/>
          </w:divBdr>
        </w:div>
        <w:div w:id="1441336761">
          <w:marLeft w:val="547"/>
          <w:marRight w:val="0"/>
          <w:marTop w:val="115"/>
          <w:marBottom w:val="0"/>
          <w:divBdr>
            <w:top w:val="none" w:sz="0" w:space="0" w:color="auto"/>
            <w:left w:val="none" w:sz="0" w:space="0" w:color="auto"/>
            <w:bottom w:val="none" w:sz="0" w:space="0" w:color="auto"/>
            <w:right w:val="none" w:sz="0" w:space="0" w:color="auto"/>
          </w:divBdr>
        </w:div>
        <w:div w:id="1682127020">
          <w:marLeft w:val="547"/>
          <w:marRight w:val="0"/>
          <w:marTop w:val="115"/>
          <w:marBottom w:val="0"/>
          <w:divBdr>
            <w:top w:val="none" w:sz="0" w:space="0" w:color="auto"/>
            <w:left w:val="none" w:sz="0" w:space="0" w:color="auto"/>
            <w:bottom w:val="none" w:sz="0" w:space="0" w:color="auto"/>
            <w:right w:val="none" w:sz="0" w:space="0" w:color="auto"/>
          </w:divBdr>
        </w:div>
        <w:div w:id="1909419575">
          <w:marLeft w:val="1166"/>
          <w:marRight w:val="0"/>
          <w:marTop w:val="96"/>
          <w:marBottom w:val="0"/>
          <w:divBdr>
            <w:top w:val="none" w:sz="0" w:space="0" w:color="auto"/>
            <w:left w:val="none" w:sz="0" w:space="0" w:color="auto"/>
            <w:bottom w:val="none" w:sz="0" w:space="0" w:color="auto"/>
            <w:right w:val="none" w:sz="0" w:space="0" w:color="auto"/>
          </w:divBdr>
        </w:div>
        <w:div w:id="1954903079">
          <w:marLeft w:val="547"/>
          <w:marRight w:val="0"/>
          <w:marTop w:val="115"/>
          <w:marBottom w:val="0"/>
          <w:divBdr>
            <w:top w:val="none" w:sz="0" w:space="0" w:color="auto"/>
            <w:left w:val="none" w:sz="0" w:space="0" w:color="auto"/>
            <w:bottom w:val="none" w:sz="0" w:space="0" w:color="auto"/>
            <w:right w:val="none" w:sz="0" w:space="0" w:color="auto"/>
          </w:divBdr>
        </w:div>
      </w:divsChild>
    </w:div>
    <w:div w:id="1133983590">
      <w:bodyDiv w:val="1"/>
      <w:marLeft w:val="0"/>
      <w:marRight w:val="0"/>
      <w:marTop w:val="0"/>
      <w:marBottom w:val="0"/>
      <w:divBdr>
        <w:top w:val="none" w:sz="0" w:space="0" w:color="auto"/>
        <w:left w:val="none" w:sz="0" w:space="0" w:color="auto"/>
        <w:bottom w:val="none" w:sz="0" w:space="0" w:color="auto"/>
        <w:right w:val="none" w:sz="0" w:space="0" w:color="auto"/>
      </w:divBdr>
    </w:div>
    <w:div w:id="1134447755">
      <w:bodyDiv w:val="1"/>
      <w:marLeft w:val="0"/>
      <w:marRight w:val="0"/>
      <w:marTop w:val="0"/>
      <w:marBottom w:val="0"/>
      <w:divBdr>
        <w:top w:val="none" w:sz="0" w:space="0" w:color="auto"/>
        <w:left w:val="none" w:sz="0" w:space="0" w:color="auto"/>
        <w:bottom w:val="none" w:sz="0" w:space="0" w:color="auto"/>
        <w:right w:val="none" w:sz="0" w:space="0" w:color="auto"/>
      </w:divBdr>
    </w:div>
    <w:div w:id="1135218896">
      <w:bodyDiv w:val="1"/>
      <w:marLeft w:val="0"/>
      <w:marRight w:val="0"/>
      <w:marTop w:val="0"/>
      <w:marBottom w:val="0"/>
      <w:divBdr>
        <w:top w:val="none" w:sz="0" w:space="0" w:color="auto"/>
        <w:left w:val="none" w:sz="0" w:space="0" w:color="auto"/>
        <w:bottom w:val="none" w:sz="0" w:space="0" w:color="auto"/>
        <w:right w:val="none" w:sz="0" w:space="0" w:color="auto"/>
      </w:divBdr>
    </w:div>
    <w:div w:id="1136067340">
      <w:bodyDiv w:val="1"/>
      <w:marLeft w:val="0"/>
      <w:marRight w:val="0"/>
      <w:marTop w:val="0"/>
      <w:marBottom w:val="0"/>
      <w:divBdr>
        <w:top w:val="none" w:sz="0" w:space="0" w:color="auto"/>
        <w:left w:val="none" w:sz="0" w:space="0" w:color="auto"/>
        <w:bottom w:val="none" w:sz="0" w:space="0" w:color="auto"/>
        <w:right w:val="none" w:sz="0" w:space="0" w:color="auto"/>
      </w:divBdr>
    </w:div>
    <w:div w:id="1137722701">
      <w:bodyDiv w:val="1"/>
      <w:marLeft w:val="0"/>
      <w:marRight w:val="0"/>
      <w:marTop w:val="0"/>
      <w:marBottom w:val="0"/>
      <w:divBdr>
        <w:top w:val="none" w:sz="0" w:space="0" w:color="auto"/>
        <w:left w:val="none" w:sz="0" w:space="0" w:color="auto"/>
        <w:bottom w:val="none" w:sz="0" w:space="0" w:color="auto"/>
        <w:right w:val="none" w:sz="0" w:space="0" w:color="auto"/>
      </w:divBdr>
      <w:divsChild>
        <w:div w:id="1032462886">
          <w:marLeft w:val="1800"/>
          <w:marRight w:val="0"/>
          <w:marTop w:val="100"/>
          <w:marBottom w:val="0"/>
          <w:divBdr>
            <w:top w:val="none" w:sz="0" w:space="0" w:color="auto"/>
            <w:left w:val="none" w:sz="0" w:space="0" w:color="auto"/>
            <w:bottom w:val="none" w:sz="0" w:space="0" w:color="auto"/>
            <w:right w:val="none" w:sz="0" w:space="0" w:color="auto"/>
          </w:divBdr>
        </w:div>
        <w:div w:id="2127701303">
          <w:marLeft w:val="1800"/>
          <w:marRight w:val="0"/>
          <w:marTop w:val="100"/>
          <w:marBottom w:val="0"/>
          <w:divBdr>
            <w:top w:val="none" w:sz="0" w:space="0" w:color="auto"/>
            <w:left w:val="none" w:sz="0" w:space="0" w:color="auto"/>
            <w:bottom w:val="none" w:sz="0" w:space="0" w:color="auto"/>
            <w:right w:val="none" w:sz="0" w:space="0" w:color="auto"/>
          </w:divBdr>
        </w:div>
      </w:divsChild>
    </w:div>
    <w:div w:id="1138499558">
      <w:bodyDiv w:val="1"/>
      <w:marLeft w:val="0"/>
      <w:marRight w:val="0"/>
      <w:marTop w:val="0"/>
      <w:marBottom w:val="0"/>
      <w:divBdr>
        <w:top w:val="none" w:sz="0" w:space="0" w:color="auto"/>
        <w:left w:val="none" w:sz="0" w:space="0" w:color="auto"/>
        <w:bottom w:val="none" w:sz="0" w:space="0" w:color="auto"/>
        <w:right w:val="none" w:sz="0" w:space="0" w:color="auto"/>
      </w:divBdr>
      <w:divsChild>
        <w:div w:id="151339648">
          <w:marLeft w:val="547"/>
          <w:marRight w:val="0"/>
          <w:marTop w:val="115"/>
          <w:marBottom w:val="0"/>
          <w:divBdr>
            <w:top w:val="none" w:sz="0" w:space="0" w:color="auto"/>
            <w:left w:val="none" w:sz="0" w:space="0" w:color="auto"/>
            <w:bottom w:val="none" w:sz="0" w:space="0" w:color="auto"/>
            <w:right w:val="none" w:sz="0" w:space="0" w:color="auto"/>
          </w:divBdr>
        </w:div>
        <w:div w:id="1423915858">
          <w:marLeft w:val="1267"/>
          <w:marRight w:val="0"/>
          <w:marTop w:val="96"/>
          <w:marBottom w:val="0"/>
          <w:divBdr>
            <w:top w:val="none" w:sz="0" w:space="0" w:color="auto"/>
            <w:left w:val="none" w:sz="0" w:space="0" w:color="auto"/>
            <w:bottom w:val="none" w:sz="0" w:space="0" w:color="auto"/>
            <w:right w:val="none" w:sz="0" w:space="0" w:color="auto"/>
          </w:divBdr>
        </w:div>
      </w:divsChild>
    </w:div>
    <w:div w:id="1138643706">
      <w:bodyDiv w:val="1"/>
      <w:marLeft w:val="0"/>
      <w:marRight w:val="0"/>
      <w:marTop w:val="0"/>
      <w:marBottom w:val="0"/>
      <w:divBdr>
        <w:top w:val="none" w:sz="0" w:space="0" w:color="auto"/>
        <w:left w:val="none" w:sz="0" w:space="0" w:color="auto"/>
        <w:bottom w:val="none" w:sz="0" w:space="0" w:color="auto"/>
        <w:right w:val="none" w:sz="0" w:space="0" w:color="auto"/>
      </w:divBdr>
    </w:div>
    <w:div w:id="1141651576">
      <w:bodyDiv w:val="1"/>
      <w:marLeft w:val="0"/>
      <w:marRight w:val="0"/>
      <w:marTop w:val="0"/>
      <w:marBottom w:val="0"/>
      <w:divBdr>
        <w:top w:val="none" w:sz="0" w:space="0" w:color="auto"/>
        <w:left w:val="none" w:sz="0" w:space="0" w:color="auto"/>
        <w:bottom w:val="none" w:sz="0" w:space="0" w:color="auto"/>
        <w:right w:val="none" w:sz="0" w:space="0" w:color="auto"/>
      </w:divBdr>
    </w:div>
    <w:div w:id="1142043156">
      <w:bodyDiv w:val="1"/>
      <w:marLeft w:val="0"/>
      <w:marRight w:val="0"/>
      <w:marTop w:val="0"/>
      <w:marBottom w:val="0"/>
      <w:divBdr>
        <w:top w:val="none" w:sz="0" w:space="0" w:color="auto"/>
        <w:left w:val="none" w:sz="0" w:space="0" w:color="auto"/>
        <w:bottom w:val="none" w:sz="0" w:space="0" w:color="auto"/>
        <w:right w:val="none" w:sz="0" w:space="0" w:color="auto"/>
      </w:divBdr>
      <w:divsChild>
        <w:div w:id="15473021">
          <w:marLeft w:val="1166"/>
          <w:marRight w:val="0"/>
          <w:marTop w:val="106"/>
          <w:marBottom w:val="0"/>
          <w:divBdr>
            <w:top w:val="none" w:sz="0" w:space="0" w:color="auto"/>
            <w:left w:val="none" w:sz="0" w:space="0" w:color="auto"/>
            <w:bottom w:val="none" w:sz="0" w:space="0" w:color="auto"/>
            <w:right w:val="none" w:sz="0" w:space="0" w:color="auto"/>
          </w:divBdr>
        </w:div>
        <w:div w:id="497235736">
          <w:marLeft w:val="1166"/>
          <w:marRight w:val="0"/>
          <w:marTop w:val="106"/>
          <w:marBottom w:val="0"/>
          <w:divBdr>
            <w:top w:val="none" w:sz="0" w:space="0" w:color="auto"/>
            <w:left w:val="none" w:sz="0" w:space="0" w:color="auto"/>
            <w:bottom w:val="none" w:sz="0" w:space="0" w:color="auto"/>
            <w:right w:val="none" w:sz="0" w:space="0" w:color="auto"/>
          </w:divBdr>
        </w:div>
        <w:div w:id="1460293753">
          <w:marLeft w:val="1166"/>
          <w:marRight w:val="0"/>
          <w:marTop w:val="106"/>
          <w:marBottom w:val="0"/>
          <w:divBdr>
            <w:top w:val="none" w:sz="0" w:space="0" w:color="auto"/>
            <w:left w:val="none" w:sz="0" w:space="0" w:color="auto"/>
            <w:bottom w:val="none" w:sz="0" w:space="0" w:color="auto"/>
            <w:right w:val="none" w:sz="0" w:space="0" w:color="auto"/>
          </w:divBdr>
        </w:div>
        <w:div w:id="2016573266">
          <w:marLeft w:val="547"/>
          <w:marRight w:val="0"/>
          <w:marTop w:val="115"/>
          <w:marBottom w:val="0"/>
          <w:divBdr>
            <w:top w:val="none" w:sz="0" w:space="0" w:color="auto"/>
            <w:left w:val="none" w:sz="0" w:space="0" w:color="auto"/>
            <w:bottom w:val="none" w:sz="0" w:space="0" w:color="auto"/>
            <w:right w:val="none" w:sz="0" w:space="0" w:color="auto"/>
          </w:divBdr>
        </w:div>
      </w:divsChild>
    </w:div>
    <w:div w:id="1143278049">
      <w:bodyDiv w:val="1"/>
      <w:marLeft w:val="0"/>
      <w:marRight w:val="0"/>
      <w:marTop w:val="0"/>
      <w:marBottom w:val="0"/>
      <w:divBdr>
        <w:top w:val="none" w:sz="0" w:space="0" w:color="auto"/>
        <w:left w:val="none" w:sz="0" w:space="0" w:color="auto"/>
        <w:bottom w:val="none" w:sz="0" w:space="0" w:color="auto"/>
        <w:right w:val="none" w:sz="0" w:space="0" w:color="auto"/>
      </w:divBdr>
    </w:div>
    <w:div w:id="1144202745">
      <w:bodyDiv w:val="1"/>
      <w:marLeft w:val="0"/>
      <w:marRight w:val="0"/>
      <w:marTop w:val="0"/>
      <w:marBottom w:val="0"/>
      <w:divBdr>
        <w:top w:val="none" w:sz="0" w:space="0" w:color="auto"/>
        <w:left w:val="none" w:sz="0" w:space="0" w:color="auto"/>
        <w:bottom w:val="none" w:sz="0" w:space="0" w:color="auto"/>
        <w:right w:val="none" w:sz="0" w:space="0" w:color="auto"/>
      </w:divBdr>
    </w:div>
    <w:div w:id="1146508630">
      <w:bodyDiv w:val="1"/>
      <w:marLeft w:val="0"/>
      <w:marRight w:val="0"/>
      <w:marTop w:val="0"/>
      <w:marBottom w:val="0"/>
      <w:divBdr>
        <w:top w:val="none" w:sz="0" w:space="0" w:color="auto"/>
        <w:left w:val="none" w:sz="0" w:space="0" w:color="auto"/>
        <w:bottom w:val="none" w:sz="0" w:space="0" w:color="auto"/>
        <w:right w:val="none" w:sz="0" w:space="0" w:color="auto"/>
      </w:divBdr>
      <w:divsChild>
        <w:div w:id="258878457">
          <w:marLeft w:val="2520"/>
          <w:marRight w:val="0"/>
          <w:marTop w:val="67"/>
          <w:marBottom w:val="0"/>
          <w:divBdr>
            <w:top w:val="none" w:sz="0" w:space="0" w:color="auto"/>
            <w:left w:val="none" w:sz="0" w:space="0" w:color="auto"/>
            <w:bottom w:val="none" w:sz="0" w:space="0" w:color="auto"/>
            <w:right w:val="none" w:sz="0" w:space="0" w:color="auto"/>
          </w:divBdr>
        </w:div>
        <w:div w:id="291526127">
          <w:marLeft w:val="1166"/>
          <w:marRight w:val="0"/>
          <w:marTop w:val="86"/>
          <w:marBottom w:val="0"/>
          <w:divBdr>
            <w:top w:val="none" w:sz="0" w:space="0" w:color="auto"/>
            <w:left w:val="none" w:sz="0" w:space="0" w:color="auto"/>
            <w:bottom w:val="none" w:sz="0" w:space="0" w:color="auto"/>
            <w:right w:val="none" w:sz="0" w:space="0" w:color="auto"/>
          </w:divBdr>
        </w:div>
        <w:div w:id="306712252">
          <w:marLeft w:val="1166"/>
          <w:marRight w:val="0"/>
          <w:marTop w:val="96"/>
          <w:marBottom w:val="0"/>
          <w:divBdr>
            <w:top w:val="none" w:sz="0" w:space="0" w:color="auto"/>
            <w:left w:val="none" w:sz="0" w:space="0" w:color="auto"/>
            <w:bottom w:val="none" w:sz="0" w:space="0" w:color="auto"/>
            <w:right w:val="none" w:sz="0" w:space="0" w:color="auto"/>
          </w:divBdr>
        </w:div>
        <w:div w:id="577910037">
          <w:marLeft w:val="1800"/>
          <w:marRight w:val="0"/>
          <w:marTop w:val="77"/>
          <w:marBottom w:val="0"/>
          <w:divBdr>
            <w:top w:val="none" w:sz="0" w:space="0" w:color="auto"/>
            <w:left w:val="none" w:sz="0" w:space="0" w:color="auto"/>
            <w:bottom w:val="none" w:sz="0" w:space="0" w:color="auto"/>
            <w:right w:val="none" w:sz="0" w:space="0" w:color="auto"/>
          </w:divBdr>
        </w:div>
        <w:div w:id="950237700">
          <w:marLeft w:val="1166"/>
          <w:marRight w:val="0"/>
          <w:marTop w:val="96"/>
          <w:marBottom w:val="0"/>
          <w:divBdr>
            <w:top w:val="none" w:sz="0" w:space="0" w:color="auto"/>
            <w:left w:val="none" w:sz="0" w:space="0" w:color="auto"/>
            <w:bottom w:val="none" w:sz="0" w:space="0" w:color="auto"/>
            <w:right w:val="none" w:sz="0" w:space="0" w:color="auto"/>
          </w:divBdr>
        </w:div>
        <w:div w:id="1208373771">
          <w:marLeft w:val="1800"/>
          <w:marRight w:val="0"/>
          <w:marTop w:val="77"/>
          <w:marBottom w:val="0"/>
          <w:divBdr>
            <w:top w:val="none" w:sz="0" w:space="0" w:color="auto"/>
            <w:left w:val="none" w:sz="0" w:space="0" w:color="auto"/>
            <w:bottom w:val="none" w:sz="0" w:space="0" w:color="auto"/>
            <w:right w:val="none" w:sz="0" w:space="0" w:color="auto"/>
          </w:divBdr>
        </w:div>
        <w:div w:id="1221358685">
          <w:marLeft w:val="547"/>
          <w:marRight w:val="0"/>
          <w:marTop w:val="115"/>
          <w:marBottom w:val="0"/>
          <w:divBdr>
            <w:top w:val="none" w:sz="0" w:space="0" w:color="auto"/>
            <w:left w:val="none" w:sz="0" w:space="0" w:color="auto"/>
            <w:bottom w:val="none" w:sz="0" w:space="0" w:color="auto"/>
            <w:right w:val="none" w:sz="0" w:space="0" w:color="auto"/>
          </w:divBdr>
        </w:div>
        <w:div w:id="2134787241">
          <w:marLeft w:val="2520"/>
          <w:marRight w:val="0"/>
          <w:marTop w:val="67"/>
          <w:marBottom w:val="0"/>
          <w:divBdr>
            <w:top w:val="none" w:sz="0" w:space="0" w:color="auto"/>
            <w:left w:val="none" w:sz="0" w:space="0" w:color="auto"/>
            <w:bottom w:val="none" w:sz="0" w:space="0" w:color="auto"/>
            <w:right w:val="none" w:sz="0" w:space="0" w:color="auto"/>
          </w:divBdr>
        </w:div>
      </w:divsChild>
    </w:div>
    <w:div w:id="1147355064">
      <w:bodyDiv w:val="1"/>
      <w:marLeft w:val="0"/>
      <w:marRight w:val="0"/>
      <w:marTop w:val="0"/>
      <w:marBottom w:val="0"/>
      <w:divBdr>
        <w:top w:val="none" w:sz="0" w:space="0" w:color="auto"/>
        <w:left w:val="none" w:sz="0" w:space="0" w:color="auto"/>
        <w:bottom w:val="none" w:sz="0" w:space="0" w:color="auto"/>
        <w:right w:val="none" w:sz="0" w:space="0" w:color="auto"/>
      </w:divBdr>
    </w:div>
    <w:div w:id="1148280981">
      <w:bodyDiv w:val="1"/>
      <w:marLeft w:val="0"/>
      <w:marRight w:val="0"/>
      <w:marTop w:val="0"/>
      <w:marBottom w:val="0"/>
      <w:divBdr>
        <w:top w:val="none" w:sz="0" w:space="0" w:color="auto"/>
        <w:left w:val="none" w:sz="0" w:space="0" w:color="auto"/>
        <w:bottom w:val="none" w:sz="0" w:space="0" w:color="auto"/>
        <w:right w:val="none" w:sz="0" w:space="0" w:color="auto"/>
      </w:divBdr>
    </w:div>
    <w:div w:id="1148594085">
      <w:bodyDiv w:val="1"/>
      <w:marLeft w:val="0"/>
      <w:marRight w:val="0"/>
      <w:marTop w:val="0"/>
      <w:marBottom w:val="0"/>
      <w:divBdr>
        <w:top w:val="none" w:sz="0" w:space="0" w:color="auto"/>
        <w:left w:val="none" w:sz="0" w:space="0" w:color="auto"/>
        <w:bottom w:val="none" w:sz="0" w:space="0" w:color="auto"/>
        <w:right w:val="none" w:sz="0" w:space="0" w:color="auto"/>
      </w:divBdr>
    </w:div>
    <w:div w:id="1149204002">
      <w:bodyDiv w:val="1"/>
      <w:marLeft w:val="0"/>
      <w:marRight w:val="0"/>
      <w:marTop w:val="0"/>
      <w:marBottom w:val="0"/>
      <w:divBdr>
        <w:top w:val="none" w:sz="0" w:space="0" w:color="auto"/>
        <w:left w:val="none" w:sz="0" w:space="0" w:color="auto"/>
        <w:bottom w:val="none" w:sz="0" w:space="0" w:color="auto"/>
        <w:right w:val="none" w:sz="0" w:space="0" w:color="auto"/>
      </w:divBdr>
    </w:div>
    <w:div w:id="1149320027">
      <w:bodyDiv w:val="1"/>
      <w:marLeft w:val="0"/>
      <w:marRight w:val="0"/>
      <w:marTop w:val="0"/>
      <w:marBottom w:val="0"/>
      <w:divBdr>
        <w:top w:val="none" w:sz="0" w:space="0" w:color="auto"/>
        <w:left w:val="none" w:sz="0" w:space="0" w:color="auto"/>
        <w:bottom w:val="none" w:sz="0" w:space="0" w:color="auto"/>
        <w:right w:val="none" w:sz="0" w:space="0" w:color="auto"/>
      </w:divBdr>
      <w:divsChild>
        <w:div w:id="141167724">
          <w:marLeft w:val="1166"/>
          <w:marRight w:val="0"/>
          <w:marTop w:val="134"/>
          <w:marBottom w:val="0"/>
          <w:divBdr>
            <w:top w:val="none" w:sz="0" w:space="0" w:color="auto"/>
            <w:left w:val="none" w:sz="0" w:space="0" w:color="auto"/>
            <w:bottom w:val="none" w:sz="0" w:space="0" w:color="auto"/>
            <w:right w:val="none" w:sz="0" w:space="0" w:color="auto"/>
          </w:divBdr>
        </w:div>
        <w:div w:id="343364682">
          <w:marLeft w:val="1166"/>
          <w:marRight w:val="0"/>
          <w:marTop w:val="134"/>
          <w:marBottom w:val="0"/>
          <w:divBdr>
            <w:top w:val="none" w:sz="0" w:space="0" w:color="auto"/>
            <w:left w:val="none" w:sz="0" w:space="0" w:color="auto"/>
            <w:bottom w:val="none" w:sz="0" w:space="0" w:color="auto"/>
            <w:right w:val="none" w:sz="0" w:space="0" w:color="auto"/>
          </w:divBdr>
        </w:div>
        <w:div w:id="483399579">
          <w:marLeft w:val="1166"/>
          <w:marRight w:val="0"/>
          <w:marTop w:val="134"/>
          <w:marBottom w:val="0"/>
          <w:divBdr>
            <w:top w:val="none" w:sz="0" w:space="0" w:color="auto"/>
            <w:left w:val="none" w:sz="0" w:space="0" w:color="auto"/>
            <w:bottom w:val="none" w:sz="0" w:space="0" w:color="auto"/>
            <w:right w:val="none" w:sz="0" w:space="0" w:color="auto"/>
          </w:divBdr>
        </w:div>
        <w:div w:id="508713065">
          <w:marLeft w:val="1166"/>
          <w:marRight w:val="0"/>
          <w:marTop w:val="134"/>
          <w:marBottom w:val="0"/>
          <w:divBdr>
            <w:top w:val="none" w:sz="0" w:space="0" w:color="auto"/>
            <w:left w:val="none" w:sz="0" w:space="0" w:color="auto"/>
            <w:bottom w:val="none" w:sz="0" w:space="0" w:color="auto"/>
            <w:right w:val="none" w:sz="0" w:space="0" w:color="auto"/>
          </w:divBdr>
        </w:div>
        <w:div w:id="749160344">
          <w:marLeft w:val="1800"/>
          <w:marRight w:val="0"/>
          <w:marTop w:val="115"/>
          <w:marBottom w:val="0"/>
          <w:divBdr>
            <w:top w:val="none" w:sz="0" w:space="0" w:color="auto"/>
            <w:left w:val="none" w:sz="0" w:space="0" w:color="auto"/>
            <w:bottom w:val="none" w:sz="0" w:space="0" w:color="auto"/>
            <w:right w:val="none" w:sz="0" w:space="0" w:color="auto"/>
          </w:divBdr>
        </w:div>
        <w:div w:id="1021665551">
          <w:marLeft w:val="1166"/>
          <w:marRight w:val="0"/>
          <w:marTop w:val="134"/>
          <w:marBottom w:val="0"/>
          <w:divBdr>
            <w:top w:val="none" w:sz="0" w:space="0" w:color="auto"/>
            <w:left w:val="none" w:sz="0" w:space="0" w:color="auto"/>
            <w:bottom w:val="none" w:sz="0" w:space="0" w:color="auto"/>
            <w:right w:val="none" w:sz="0" w:space="0" w:color="auto"/>
          </w:divBdr>
        </w:div>
        <w:div w:id="1725449268">
          <w:marLeft w:val="547"/>
          <w:marRight w:val="0"/>
          <w:marTop w:val="154"/>
          <w:marBottom w:val="0"/>
          <w:divBdr>
            <w:top w:val="none" w:sz="0" w:space="0" w:color="auto"/>
            <w:left w:val="none" w:sz="0" w:space="0" w:color="auto"/>
            <w:bottom w:val="none" w:sz="0" w:space="0" w:color="auto"/>
            <w:right w:val="none" w:sz="0" w:space="0" w:color="auto"/>
          </w:divBdr>
        </w:div>
      </w:divsChild>
    </w:div>
    <w:div w:id="1149589843">
      <w:bodyDiv w:val="1"/>
      <w:marLeft w:val="0"/>
      <w:marRight w:val="0"/>
      <w:marTop w:val="0"/>
      <w:marBottom w:val="0"/>
      <w:divBdr>
        <w:top w:val="none" w:sz="0" w:space="0" w:color="auto"/>
        <w:left w:val="none" w:sz="0" w:space="0" w:color="auto"/>
        <w:bottom w:val="none" w:sz="0" w:space="0" w:color="auto"/>
        <w:right w:val="none" w:sz="0" w:space="0" w:color="auto"/>
      </w:divBdr>
    </w:div>
    <w:div w:id="1149595710">
      <w:bodyDiv w:val="1"/>
      <w:marLeft w:val="0"/>
      <w:marRight w:val="0"/>
      <w:marTop w:val="0"/>
      <w:marBottom w:val="0"/>
      <w:divBdr>
        <w:top w:val="none" w:sz="0" w:space="0" w:color="auto"/>
        <w:left w:val="none" w:sz="0" w:space="0" w:color="auto"/>
        <w:bottom w:val="none" w:sz="0" w:space="0" w:color="auto"/>
        <w:right w:val="none" w:sz="0" w:space="0" w:color="auto"/>
      </w:divBdr>
      <w:divsChild>
        <w:div w:id="232588179">
          <w:marLeft w:val="1166"/>
          <w:marRight w:val="0"/>
          <w:marTop w:val="0"/>
          <w:marBottom w:val="120"/>
          <w:divBdr>
            <w:top w:val="none" w:sz="0" w:space="0" w:color="auto"/>
            <w:left w:val="none" w:sz="0" w:space="0" w:color="auto"/>
            <w:bottom w:val="none" w:sz="0" w:space="0" w:color="auto"/>
            <w:right w:val="none" w:sz="0" w:space="0" w:color="auto"/>
          </w:divBdr>
        </w:div>
        <w:div w:id="434248255">
          <w:marLeft w:val="1166"/>
          <w:marRight w:val="0"/>
          <w:marTop w:val="0"/>
          <w:marBottom w:val="120"/>
          <w:divBdr>
            <w:top w:val="none" w:sz="0" w:space="0" w:color="auto"/>
            <w:left w:val="none" w:sz="0" w:space="0" w:color="auto"/>
            <w:bottom w:val="none" w:sz="0" w:space="0" w:color="auto"/>
            <w:right w:val="none" w:sz="0" w:space="0" w:color="auto"/>
          </w:divBdr>
        </w:div>
        <w:div w:id="524639404">
          <w:marLeft w:val="1166"/>
          <w:marRight w:val="0"/>
          <w:marTop w:val="0"/>
          <w:marBottom w:val="120"/>
          <w:divBdr>
            <w:top w:val="none" w:sz="0" w:space="0" w:color="auto"/>
            <w:left w:val="none" w:sz="0" w:space="0" w:color="auto"/>
            <w:bottom w:val="none" w:sz="0" w:space="0" w:color="auto"/>
            <w:right w:val="none" w:sz="0" w:space="0" w:color="auto"/>
          </w:divBdr>
        </w:div>
        <w:div w:id="862398054">
          <w:marLeft w:val="1166"/>
          <w:marRight w:val="0"/>
          <w:marTop w:val="0"/>
          <w:marBottom w:val="120"/>
          <w:divBdr>
            <w:top w:val="none" w:sz="0" w:space="0" w:color="auto"/>
            <w:left w:val="none" w:sz="0" w:space="0" w:color="auto"/>
            <w:bottom w:val="none" w:sz="0" w:space="0" w:color="auto"/>
            <w:right w:val="none" w:sz="0" w:space="0" w:color="auto"/>
          </w:divBdr>
        </w:div>
        <w:div w:id="1693606780">
          <w:marLeft w:val="1166"/>
          <w:marRight w:val="0"/>
          <w:marTop w:val="0"/>
          <w:marBottom w:val="120"/>
          <w:divBdr>
            <w:top w:val="none" w:sz="0" w:space="0" w:color="auto"/>
            <w:left w:val="none" w:sz="0" w:space="0" w:color="auto"/>
            <w:bottom w:val="none" w:sz="0" w:space="0" w:color="auto"/>
            <w:right w:val="none" w:sz="0" w:space="0" w:color="auto"/>
          </w:divBdr>
        </w:div>
        <w:div w:id="1722090402">
          <w:marLeft w:val="547"/>
          <w:marRight w:val="0"/>
          <w:marTop w:val="0"/>
          <w:marBottom w:val="120"/>
          <w:divBdr>
            <w:top w:val="none" w:sz="0" w:space="0" w:color="auto"/>
            <w:left w:val="none" w:sz="0" w:space="0" w:color="auto"/>
            <w:bottom w:val="none" w:sz="0" w:space="0" w:color="auto"/>
            <w:right w:val="none" w:sz="0" w:space="0" w:color="auto"/>
          </w:divBdr>
        </w:div>
        <w:div w:id="1884750050">
          <w:marLeft w:val="1166"/>
          <w:marRight w:val="0"/>
          <w:marTop w:val="0"/>
          <w:marBottom w:val="120"/>
          <w:divBdr>
            <w:top w:val="none" w:sz="0" w:space="0" w:color="auto"/>
            <w:left w:val="none" w:sz="0" w:space="0" w:color="auto"/>
            <w:bottom w:val="none" w:sz="0" w:space="0" w:color="auto"/>
            <w:right w:val="none" w:sz="0" w:space="0" w:color="auto"/>
          </w:divBdr>
        </w:div>
      </w:divsChild>
    </w:div>
    <w:div w:id="1149664582">
      <w:bodyDiv w:val="1"/>
      <w:marLeft w:val="0"/>
      <w:marRight w:val="0"/>
      <w:marTop w:val="0"/>
      <w:marBottom w:val="0"/>
      <w:divBdr>
        <w:top w:val="none" w:sz="0" w:space="0" w:color="auto"/>
        <w:left w:val="none" w:sz="0" w:space="0" w:color="auto"/>
        <w:bottom w:val="none" w:sz="0" w:space="0" w:color="auto"/>
        <w:right w:val="none" w:sz="0" w:space="0" w:color="auto"/>
      </w:divBdr>
    </w:div>
    <w:div w:id="1149713307">
      <w:bodyDiv w:val="1"/>
      <w:marLeft w:val="0"/>
      <w:marRight w:val="0"/>
      <w:marTop w:val="0"/>
      <w:marBottom w:val="0"/>
      <w:divBdr>
        <w:top w:val="none" w:sz="0" w:space="0" w:color="auto"/>
        <w:left w:val="none" w:sz="0" w:space="0" w:color="auto"/>
        <w:bottom w:val="none" w:sz="0" w:space="0" w:color="auto"/>
        <w:right w:val="none" w:sz="0" w:space="0" w:color="auto"/>
      </w:divBdr>
    </w:div>
    <w:div w:id="1149782964">
      <w:bodyDiv w:val="1"/>
      <w:marLeft w:val="0"/>
      <w:marRight w:val="0"/>
      <w:marTop w:val="0"/>
      <w:marBottom w:val="0"/>
      <w:divBdr>
        <w:top w:val="none" w:sz="0" w:space="0" w:color="auto"/>
        <w:left w:val="none" w:sz="0" w:space="0" w:color="auto"/>
        <w:bottom w:val="none" w:sz="0" w:space="0" w:color="auto"/>
        <w:right w:val="none" w:sz="0" w:space="0" w:color="auto"/>
      </w:divBdr>
    </w:div>
    <w:div w:id="1149829928">
      <w:bodyDiv w:val="1"/>
      <w:marLeft w:val="0"/>
      <w:marRight w:val="0"/>
      <w:marTop w:val="0"/>
      <w:marBottom w:val="0"/>
      <w:divBdr>
        <w:top w:val="none" w:sz="0" w:space="0" w:color="auto"/>
        <w:left w:val="none" w:sz="0" w:space="0" w:color="auto"/>
        <w:bottom w:val="none" w:sz="0" w:space="0" w:color="auto"/>
        <w:right w:val="none" w:sz="0" w:space="0" w:color="auto"/>
      </w:divBdr>
    </w:div>
    <w:div w:id="1150052901">
      <w:bodyDiv w:val="1"/>
      <w:marLeft w:val="0"/>
      <w:marRight w:val="0"/>
      <w:marTop w:val="0"/>
      <w:marBottom w:val="0"/>
      <w:divBdr>
        <w:top w:val="none" w:sz="0" w:space="0" w:color="auto"/>
        <w:left w:val="none" w:sz="0" w:space="0" w:color="auto"/>
        <w:bottom w:val="none" w:sz="0" w:space="0" w:color="auto"/>
        <w:right w:val="none" w:sz="0" w:space="0" w:color="auto"/>
      </w:divBdr>
    </w:div>
    <w:div w:id="1151215333">
      <w:bodyDiv w:val="1"/>
      <w:marLeft w:val="0"/>
      <w:marRight w:val="0"/>
      <w:marTop w:val="0"/>
      <w:marBottom w:val="0"/>
      <w:divBdr>
        <w:top w:val="none" w:sz="0" w:space="0" w:color="auto"/>
        <w:left w:val="none" w:sz="0" w:space="0" w:color="auto"/>
        <w:bottom w:val="none" w:sz="0" w:space="0" w:color="auto"/>
        <w:right w:val="none" w:sz="0" w:space="0" w:color="auto"/>
      </w:divBdr>
      <w:divsChild>
        <w:div w:id="413861570">
          <w:marLeft w:val="547"/>
          <w:marRight w:val="0"/>
          <w:marTop w:val="154"/>
          <w:marBottom w:val="0"/>
          <w:divBdr>
            <w:top w:val="none" w:sz="0" w:space="0" w:color="auto"/>
            <w:left w:val="none" w:sz="0" w:space="0" w:color="auto"/>
            <w:bottom w:val="none" w:sz="0" w:space="0" w:color="auto"/>
            <w:right w:val="none" w:sz="0" w:space="0" w:color="auto"/>
          </w:divBdr>
        </w:div>
        <w:div w:id="1067066813">
          <w:marLeft w:val="1166"/>
          <w:marRight w:val="0"/>
          <w:marTop w:val="96"/>
          <w:marBottom w:val="0"/>
          <w:divBdr>
            <w:top w:val="none" w:sz="0" w:space="0" w:color="auto"/>
            <w:left w:val="none" w:sz="0" w:space="0" w:color="auto"/>
            <w:bottom w:val="none" w:sz="0" w:space="0" w:color="auto"/>
            <w:right w:val="none" w:sz="0" w:space="0" w:color="auto"/>
          </w:divBdr>
        </w:div>
        <w:div w:id="1589146585">
          <w:marLeft w:val="1166"/>
          <w:marRight w:val="0"/>
          <w:marTop w:val="96"/>
          <w:marBottom w:val="0"/>
          <w:divBdr>
            <w:top w:val="none" w:sz="0" w:space="0" w:color="auto"/>
            <w:left w:val="none" w:sz="0" w:space="0" w:color="auto"/>
            <w:bottom w:val="none" w:sz="0" w:space="0" w:color="auto"/>
            <w:right w:val="none" w:sz="0" w:space="0" w:color="auto"/>
          </w:divBdr>
        </w:div>
      </w:divsChild>
    </w:div>
    <w:div w:id="1151365426">
      <w:bodyDiv w:val="1"/>
      <w:marLeft w:val="0"/>
      <w:marRight w:val="0"/>
      <w:marTop w:val="0"/>
      <w:marBottom w:val="0"/>
      <w:divBdr>
        <w:top w:val="none" w:sz="0" w:space="0" w:color="auto"/>
        <w:left w:val="none" w:sz="0" w:space="0" w:color="auto"/>
        <w:bottom w:val="none" w:sz="0" w:space="0" w:color="auto"/>
        <w:right w:val="none" w:sz="0" w:space="0" w:color="auto"/>
      </w:divBdr>
    </w:div>
    <w:div w:id="1151365981">
      <w:bodyDiv w:val="1"/>
      <w:marLeft w:val="0"/>
      <w:marRight w:val="0"/>
      <w:marTop w:val="0"/>
      <w:marBottom w:val="0"/>
      <w:divBdr>
        <w:top w:val="none" w:sz="0" w:space="0" w:color="auto"/>
        <w:left w:val="none" w:sz="0" w:space="0" w:color="auto"/>
        <w:bottom w:val="none" w:sz="0" w:space="0" w:color="auto"/>
        <w:right w:val="none" w:sz="0" w:space="0" w:color="auto"/>
      </w:divBdr>
    </w:div>
    <w:div w:id="1151947196">
      <w:bodyDiv w:val="1"/>
      <w:marLeft w:val="0"/>
      <w:marRight w:val="0"/>
      <w:marTop w:val="0"/>
      <w:marBottom w:val="0"/>
      <w:divBdr>
        <w:top w:val="none" w:sz="0" w:space="0" w:color="auto"/>
        <w:left w:val="none" w:sz="0" w:space="0" w:color="auto"/>
        <w:bottom w:val="none" w:sz="0" w:space="0" w:color="auto"/>
        <w:right w:val="none" w:sz="0" w:space="0" w:color="auto"/>
      </w:divBdr>
      <w:divsChild>
        <w:div w:id="138770422">
          <w:marLeft w:val="1800"/>
          <w:marRight w:val="0"/>
          <w:marTop w:val="125"/>
          <w:marBottom w:val="0"/>
          <w:divBdr>
            <w:top w:val="none" w:sz="0" w:space="0" w:color="auto"/>
            <w:left w:val="none" w:sz="0" w:space="0" w:color="auto"/>
            <w:bottom w:val="none" w:sz="0" w:space="0" w:color="auto"/>
            <w:right w:val="none" w:sz="0" w:space="0" w:color="auto"/>
          </w:divBdr>
        </w:div>
        <w:div w:id="1055616132">
          <w:marLeft w:val="1166"/>
          <w:marRight w:val="0"/>
          <w:marTop w:val="149"/>
          <w:marBottom w:val="0"/>
          <w:divBdr>
            <w:top w:val="none" w:sz="0" w:space="0" w:color="auto"/>
            <w:left w:val="none" w:sz="0" w:space="0" w:color="auto"/>
            <w:bottom w:val="none" w:sz="0" w:space="0" w:color="auto"/>
            <w:right w:val="none" w:sz="0" w:space="0" w:color="auto"/>
          </w:divBdr>
        </w:div>
        <w:div w:id="2063210651">
          <w:marLeft w:val="1800"/>
          <w:marRight w:val="0"/>
          <w:marTop w:val="120"/>
          <w:marBottom w:val="0"/>
          <w:divBdr>
            <w:top w:val="none" w:sz="0" w:space="0" w:color="auto"/>
            <w:left w:val="none" w:sz="0" w:space="0" w:color="auto"/>
            <w:bottom w:val="none" w:sz="0" w:space="0" w:color="auto"/>
            <w:right w:val="none" w:sz="0" w:space="0" w:color="auto"/>
          </w:divBdr>
        </w:div>
      </w:divsChild>
    </w:div>
    <w:div w:id="1152286122">
      <w:bodyDiv w:val="1"/>
      <w:marLeft w:val="0"/>
      <w:marRight w:val="0"/>
      <w:marTop w:val="0"/>
      <w:marBottom w:val="0"/>
      <w:divBdr>
        <w:top w:val="none" w:sz="0" w:space="0" w:color="auto"/>
        <w:left w:val="none" w:sz="0" w:space="0" w:color="auto"/>
        <w:bottom w:val="none" w:sz="0" w:space="0" w:color="auto"/>
        <w:right w:val="none" w:sz="0" w:space="0" w:color="auto"/>
      </w:divBdr>
    </w:div>
    <w:div w:id="1152521868">
      <w:bodyDiv w:val="1"/>
      <w:marLeft w:val="0"/>
      <w:marRight w:val="0"/>
      <w:marTop w:val="0"/>
      <w:marBottom w:val="0"/>
      <w:divBdr>
        <w:top w:val="none" w:sz="0" w:space="0" w:color="auto"/>
        <w:left w:val="none" w:sz="0" w:space="0" w:color="auto"/>
        <w:bottom w:val="none" w:sz="0" w:space="0" w:color="auto"/>
        <w:right w:val="none" w:sz="0" w:space="0" w:color="auto"/>
      </w:divBdr>
    </w:div>
    <w:div w:id="1152674704">
      <w:bodyDiv w:val="1"/>
      <w:marLeft w:val="0"/>
      <w:marRight w:val="0"/>
      <w:marTop w:val="0"/>
      <w:marBottom w:val="0"/>
      <w:divBdr>
        <w:top w:val="none" w:sz="0" w:space="0" w:color="auto"/>
        <w:left w:val="none" w:sz="0" w:space="0" w:color="auto"/>
        <w:bottom w:val="none" w:sz="0" w:space="0" w:color="auto"/>
        <w:right w:val="none" w:sz="0" w:space="0" w:color="auto"/>
      </w:divBdr>
      <w:divsChild>
        <w:div w:id="885680978">
          <w:marLeft w:val="1166"/>
          <w:marRight w:val="0"/>
          <w:marTop w:val="115"/>
          <w:marBottom w:val="120"/>
          <w:divBdr>
            <w:top w:val="none" w:sz="0" w:space="0" w:color="auto"/>
            <w:left w:val="none" w:sz="0" w:space="0" w:color="auto"/>
            <w:bottom w:val="none" w:sz="0" w:space="0" w:color="auto"/>
            <w:right w:val="none" w:sz="0" w:space="0" w:color="auto"/>
          </w:divBdr>
        </w:div>
        <w:div w:id="946890106">
          <w:marLeft w:val="547"/>
          <w:marRight w:val="0"/>
          <w:marTop w:val="134"/>
          <w:marBottom w:val="120"/>
          <w:divBdr>
            <w:top w:val="none" w:sz="0" w:space="0" w:color="auto"/>
            <w:left w:val="none" w:sz="0" w:space="0" w:color="auto"/>
            <w:bottom w:val="none" w:sz="0" w:space="0" w:color="auto"/>
            <w:right w:val="none" w:sz="0" w:space="0" w:color="auto"/>
          </w:divBdr>
        </w:div>
        <w:div w:id="1069303557">
          <w:marLeft w:val="1166"/>
          <w:marRight w:val="0"/>
          <w:marTop w:val="115"/>
          <w:marBottom w:val="120"/>
          <w:divBdr>
            <w:top w:val="none" w:sz="0" w:space="0" w:color="auto"/>
            <w:left w:val="none" w:sz="0" w:space="0" w:color="auto"/>
            <w:bottom w:val="none" w:sz="0" w:space="0" w:color="auto"/>
            <w:right w:val="none" w:sz="0" w:space="0" w:color="auto"/>
          </w:divBdr>
        </w:div>
        <w:div w:id="1949046954">
          <w:marLeft w:val="1166"/>
          <w:marRight w:val="0"/>
          <w:marTop w:val="115"/>
          <w:marBottom w:val="120"/>
          <w:divBdr>
            <w:top w:val="none" w:sz="0" w:space="0" w:color="auto"/>
            <w:left w:val="none" w:sz="0" w:space="0" w:color="auto"/>
            <w:bottom w:val="none" w:sz="0" w:space="0" w:color="auto"/>
            <w:right w:val="none" w:sz="0" w:space="0" w:color="auto"/>
          </w:divBdr>
        </w:div>
        <w:div w:id="2101178790">
          <w:marLeft w:val="547"/>
          <w:marRight w:val="0"/>
          <w:marTop w:val="134"/>
          <w:marBottom w:val="120"/>
          <w:divBdr>
            <w:top w:val="none" w:sz="0" w:space="0" w:color="auto"/>
            <w:left w:val="none" w:sz="0" w:space="0" w:color="auto"/>
            <w:bottom w:val="none" w:sz="0" w:space="0" w:color="auto"/>
            <w:right w:val="none" w:sz="0" w:space="0" w:color="auto"/>
          </w:divBdr>
        </w:div>
      </w:divsChild>
    </w:div>
    <w:div w:id="1154955761">
      <w:bodyDiv w:val="1"/>
      <w:marLeft w:val="0"/>
      <w:marRight w:val="0"/>
      <w:marTop w:val="0"/>
      <w:marBottom w:val="0"/>
      <w:divBdr>
        <w:top w:val="none" w:sz="0" w:space="0" w:color="auto"/>
        <w:left w:val="none" w:sz="0" w:space="0" w:color="auto"/>
        <w:bottom w:val="none" w:sz="0" w:space="0" w:color="auto"/>
        <w:right w:val="none" w:sz="0" w:space="0" w:color="auto"/>
      </w:divBdr>
    </w:div>
    <w:div w:id="1155877068">
      <w:bodyDiv w:val="1"/>
      <w:marLeft w:val="0"/>
      <w:marRight w:val="0"/>
      <w:marTop w:val="0"/>
      <w:marBottom w:val="0"/>
      <w:divBdr>
        <w:top w:val="none" w:sz="0" w:space="0" w:color="auto"/>
        <w:left w:val="none" w:sz="0" w:space="0" w:color="auto"/>
        <w:bottom w:val="none" w:sz="0" w:space="0" w:color="auto"/>
        <w:right w:val="none" w:sz="0" w:space="0" w:color="auto"/>
      </w:divBdr>
    </w:div>
    <w:div w:id="1157378510">
      <w:bodyDiv w:val="1"/>
      <w:marLeft w:val="0"/>
      <w:marRight w:val="0"/>
      <w:marTop w:val="0"/>
      <w:marBottom w:val="0"/>
      <w:divBdr>
        <w:top w:val="none" w:sz="0" w:space="0" w:color="auto"/>
        <w:left w:val="none" w:sz="0" w:space="0" w:color="auto"/>
        <w:bottom w:val="none" w:sz="0" w:space="0" w:color="auto"/>
        <w:right w:val="none" w:sz="0" w:space="0" w:color="auto"/>
      </w:divBdr>
    </w:div>
    <w:div w:id="1157571821">
      <w:bodyDiv w:val="1"/>
      <w:marLeft w:val="0"/>
      <w:marRight w:val="0"/>
      <w:marTop w:val="0"/>
      <w:marBottom w:val="0"/>
      <w:divBdr>
        <w:top w:val="none" w:sz="0" w:space="0" w:color="auto"/>
        <w:left w:val="none" w:sz="0" w:space="0" w:color="auto"/>
        <w:bottom w:val="none" w:sz="0" w:space="0" w:color="auto"/>
        <w:right w:val="none" w:sz="0" w:space="0" w:color="auto"/>
      </w:divBdr>
      <w:divsChild>
        <w:div w:id="1005281213">
          <w:marLeft w:val="547"/>
          <w:marRight w:val="0"/>
          <w:marTop w:val="77"/>
          <w:marBottom w:val="0"/>
          <w:divBdr>
            <w:top w:val="none" w:sz="0" w:space="0" w:color="auto"/>
            <w:left w:val="none" w:sz="0" w:space="0" w:color="auto"/>
            <w:bottom w:val="none" w:sz="0" w:space="0" w:color="auto"/>
            <w:right w:val="none" w:sz="0" w:space="0" w:color="auto"/>
          </w:divBdr>
        </w:div>
        <w:div w:id="1171221557">
          <w:marLeft w:val="1166"/>
          <w:marRight w:val="0"/>
          <w:marTop w:val="67"/>
          <w:marBottom w:val="0"/>
          <w:divBdr>
            <w:top w:val="none" w:sz="0" w:space="0" w:color="auto"/>
            <w:left w:val="none" w:sz="0" w:space="0" w:color="auto"/>
            <w:bottom w:val="none" w:sz="0" w:space="0" w:color="auto"/>
            <w:right w:val="none" w:sz="0" w:space="0" w:color="auto"/>
          </w:divBdr>
        </w:div>
      </w:divsChild>
    </w:div>
    <w:div w:id="1158036802">
      <w:bodyDiv w:val="1"/>
      <w:marLeft w:val="0"/>
      <w:marRight w:val="0"/>
      <w:marTop w:val="0"/>
      <w:marBottom w:val="0"/>
      <w:divBdr>
        <w:top w:val="none" w:sz="0" w:space="0" w:color="auto"/>
        <w:left w:val="none" w:sz="0" w:space="0" w:color="auto"/>
        <w:bottom w:val="none" w:sz="0" w:space="0" w:color="auto"/>
        <w:right w:val="none" w:sz="0" w:space="0" w:color="auto"/>
      </w:divBdr>
    </w:div>
    <w:div w:id="1158498424">
      <w:bodyDiv w:val="1"/>
      <w:marLeft w:val="0"/>
      <w:marRight w:val="0"/>
      <w:marTop w:val="0"/>
      <w:marBottom w:val="0"/>
      <w:divBdr>
        <w:top w:val="none" w:sz="0" w:space="0" w:color="auto"/>
        <w:left w:val="none" w:sz="0" w:space="0" w:color="auto"/>
        <w:bottom w:val="none" w:sz="0" w:space="0" w:color="auto"/>
        <w:right w:val="none" w:sz="0" w:space="0" w:color="auto"/>
      </w:divBdr>
    </w:div>
    <w:div w:id="1161235146">
      <w:bodyDiv w:val="1"/>
      <w:marLeft w:val="0"/>
      <w:marRight w:val="0"/>
      <w:marTop w:val="0"/>
      <w:marBottom w:val="0"/>
      <w:divBdr>
        <w:top w:val="none" w:sz="0" w:space="0" w:color="auto"/>
        <w:left w:val="none" w:sz="0" w:space="0" w:color="auto"/>
        <w:bottom w:val="none" w:sz="0" w:space="0" w:color="auto"/>
        <w:right w:val="none" w:sz="0" w:space="0" w:color="auto"/>
      </w:divBdr>
    </w:div>
    <w:div w:id="1163277846">
      <w:bodyDiv w:val="1"/>
      <w:marLeft w:val="0"/>
      <w:marRight w:val="0"/>
      <w:marTop w:val="0"/>
      <w:marBottom w:val="0"/>
      <w:divBdr>
        <w:top w:val="none" w:sz="0" w:space="0" w:color="auto"/>
        <w:left w:val="none" w:sz="0" w:space="0" w:color="auto"/>
        <w:bottom w:val="none" w:sz="0" w:space="0" w:color="auto"/>
        <w:right w:val="none" w:sz="0" w:space="0" w:color="auto"/>
      </w:divBdr>
    </w:div>
    <w:div w:id="1166633568">
      <w:bodyDiv w:val="1"/>
      <w:marLeft w:val="0"/>
      <w:marRight w:val="0"/>
      <w:marTop w:val="0"/>
      <w:marBottom w:val="0"/>
      <w:divBdr>
        <w:top w:val="none" w:sz="0" w:space="0" w:color="auto"/>
        <w:left w:val="none" w:sz="0" w:space="0" w:color="auto"/>
        <w:bottom w:val="none" w:sz="0" w:space="0" w:color="auto"/>
        <w:right w:val="none" w:sz="0" w:space="0" w:color="auto"/>
      </w:divBdr>
    </w:div>
    <w:div w:id="1166673136">
      <w:bodyDiv w:val="1"/>
      <w:marLeft w:val="0"/>
      <w:marRight w:val="0"/>
      <w:marTop w:val="0"/>
      <w:marBottom w:val="0"/>
      <w:divBdr>
        <w:top w:val="none" w:sz="0" w:space="0" w:color="auto"/>
        <w:left w:val="none" w:sz="0" w:space="0" w:color="auto"/>
        <w:bottom w:val="none" w:sz="0" w:space="0" w:color="auto"/>
        <w:right w:val="none" w:sz="0" w:space="0" w:color="auto"/>
      </w:divBdr>
    </w:div>
    <w:div w:id="1166818466">
      <w:bodyDiv w:val="1"/>
      <w:marLeft w:val="0"/>
      <w:marRight w:val="0"/>
      <w:marTop w:val="0"/>
      <w:marBottom w:val="0"/>
      <w:divBdr>
        <w:top w:val="none" w:sz="0" w:space="0" w:color="auto"/>
        <w:left w:val="none" w:sz="0" w:space="0" w:color="auto"/>
        <w:bottom w:val="none" w:sz="0" w:space="0" w:color="auto"/>
        <w:right w:val="none" w:sz="0" w:space="0" w:color="auto"/>
      </w:divBdr>
    </w:div>
    <w:div w:id="1167592533">
      <w:bodyDiv w:val="1"/>
      <w:marLeft w:val="0"/>
      <w:marRight w:val="0"/>
      <w:marTop w:val="0"/>
      <w:marBottom w:val="0"/>
      <w:divBdr>
        <w:top w:val="none" w:sz="0" w:space="0" w:color="auto"/>
        <w:left w:val="none" w:sz="0" w:space="0" w:color="auto"/>
        <w:bottom w:val="none" w:sz="0" w:space="0" w:color="auto"/>
        <w:right w:val="none" w:sz="0" w:space="0" w:color="auto"/>
      </w:divBdr>
    </w:div>
    <w:div w:id="1169757869">
      <w:bodyDiv w:val="1"/>
      <w:marLeft w:val="0"/>
      <w:marRight w:val="0"/>
      <w:marTop w:val="0"/>
      <w:marBottom w:val="0"/>
      <w:divBdr>
        <w:top w:val="none" w:sz="0" w:space="0" w:color="auto"/>
        <w:left w:val="none" w:sz="0" w:space="0" w:color="auto"/>
        <w:bottom w:val="none" w:sz="0" w:space="0" w:color="auto"/>
        <w:right w:val="none" w:sz="0" w:space="0" w:color="auto"/>
      </w:divBdr>
    </w:div>
    <w:div w:id="1170951108">
      <w:bodyDiv w:val="1"/>
      <w:marLeft w:val="0"/>
      <w:marRight w:val="0"/>
      <w:marTop w:val="0"/>
      <w:marBottom w:val="0"/>
      <w:divBdr>
        <w:top w:val="none" w:sz="0" w:space="0" w:color="auto"/>
        <w:left w:val="none" w:sz="0" w:space="0" w:color="auto"/>
        <w:bottom w:val="none" w:sz="0" w:space="0" w:color="auto"/>
        <w:right w:val="none" w:sz="0" w:space="0" w:color="auto"/>
      </w:divBdr>
    </w:div>
    <w:div w:id="1171916608">
      <w:bodyDiv w:val="1"/>
      <w:marLeft w:val="0"/>
      <w:marRight w:val="0"/>
      <w:marTop w:val="0"/>
      <w:marBottom w:val="0"/>
      <w:divBdr>
        <w:top w:val="none" w:sz="0" w:space="0" w:color="auto"/>
        <w:left w:val="none" w:sz="0" w:space="0" w:color="auto"/>
        <w:bottom w:val="none" w:sz="0" w:space="0" w:color="auto"/>
        <w:right w:val="none" w:sz="0" w:space="0" w:color="auto"/>
      </w:divBdr>
      <w:divsChild>
        <w:div w:id="62677359">
          <w:marLeft w:val="547"/>
          <w:marRight w:val="0"/>
          <w:marTop w:val="96"/>
          <w:marBottom w:val="0"/>
          <w:divBdr>
            <w:top w:val="none" w:sz="0" w:space="0" w:color="auto"/>
            <w:left w:val="none" w:sz="0" w:space="0" w:color="auto"/>
            <w:bottom w:val="none" w:sz="0" w:space="0" w:color="auto"/>
            <w:right w:val="none" w:sz="0" w:space="0" w:color="auto"/>
          </w:divBdr>
        </w:div>
        <w:div w:id="70273504">
          <w:marLeft w:val="1166"/>
          <w:marRight w:val="0"/>
          <w:marTop w:val="86"/>
          <w:marBottom w:val="0"/>
          <w:divBdr>
            <w:top w:val="none" w:sz="0" w:space="0" w:color="auto"/>
            <w:left w:val="none" w:sz="0" w:space="0" w:color="auto"/>
            <w:bottom w:val="none" w:sz="0" w:space="0" w:color="auto"/>
            <w:right w:val="none" w:sz="0" w:space="0" w:color="auto"/>
          </w:divBdr>
        </w:div>
        <w:div w:id="372115139">
          <w:marLeft w:val="1166"/>
          <w:marRight w:val="0"/>
          <w:marTop w:val="86"/>
          <w:marBottom w:val="0"/>
          <w:divBdr>
            <w:top w:val="none" w:sz="0" w:space="0" w:color="auto"/>
            <w:left w:val="none" w:sz="0" w:space="0" w:color="auto"/>
            <w:bottom w:val="none" w:sz="0" w:space="0" w:color="auto"/>
            <w:right w:val="none" w:sz="0" w:space="0" w:color="auto"/>
          </w:divBdr>
        </w:div>
        <w:div w:id="413672383">
          <w:marLeft w:val="1166"/>
          <w:marRight w:val="0"/>
          <w:marTop w:val="86"/>
          <w:marBottom w:val="0"/>
          <w:divBdr>
            <w:top w:val="none" w:sz="0" w:space="0" w:color="auto"/>
            <w:left w:val="none" w:sz="0" w:space="0" w:color="auto"/>
            <w:bottom w:val="none" w:sz="0" w:space="0" w:color="auto"/>
            <w:right w:val="none" w:sz="0" w:space="0" w:color="auto"/>
          </w:divBdr>
        </w:div>
        <w:div w:id="512651133">
          <w:marLeft w:val="547"/>
          <w:marRight w:val="0"/>
          <w:marTop w:val="96"/>
          <w:marBottom w:val="0"/>
          <w:divBdr>
            <w:top w:val="none" w:sz="0" w:space="0" w:color="auto"/>
            <w:left w:val="none" w:sz="0" w:space="0" w:color="auto"/>
            <w:bottom w:val="none" w:sz="0" w:space="0" w:color="auto"/>
            <w:right w:val="none" w:sz="0" w:space="0" w:color="auto"/>
          </w:divBdr>
        </w:div>
        <w:div w:id="752356304">
          <w:marLeft w:val="547"/>
          <w:marRight w:val="0"/>
          <w:marTop w:val="96"/>
          <w:marBottom w:val="0"/>
          <w:divBdr>
            <w:top w:val="none" w:sz="0" w:space="0" w:color="auto"/>
            <w:left w:val="none" w:sz="0" w:space="0" w:color="auto"/>
            <w:bottom w:val="none" w:sz="0" w:space="0" w:color="auto"/>
            <w:right w:val="none" w:sz="0" w:space="0" w:color="auto"/>
          </w:divBdr>
        </w:div>
        <w:div w:id="969895309">
          <w:marLeft w:val="1166"/>
          <w:marRight w:val="0"/>
          <w:marTop w:val="86"/>
          <w:marBottom w:val="0"/>
          <w:divBdr>
            <w:top w:val="none" w:sz="0" w:space="0" w:color="auto"/>
            <w:left w:val="none" w:sz="0" w:space="0" w:color="auto"/>
            <w:bottom w:val="none" w:sz="0" w:space="0" w:color="auto"/>
            <w:right w:val="none" w:sz="0" w:space="0" w:color="auto"/>
          </w:divBdr>
        </w:div>
        <w:div w:id="1115102806">
          <w:marLeft w:val="547"/>
          <w:marRight w:val="0"/>
          <w:marTop w:val="96"/>
          <w:marBottom w:val="0"/>
          <w:divBdr>
            <w:top w:val="none" w:sz="0" w:space="0" w:color="auto"/>
            <w:left w:val="none" w:sz="0" w:space="0" w:color="auto"/>
            <w:bottom w:val="none" w:sz="0" w:space="0" w:color="auto"/>
            <w:right w:val="none" w:sz="0" w:space="0" w:color="auto"/>
          </w:divBdr>
        </w:div>
        <w:div w:id="1155873955">
          <w:marLeft w:val="1166"/>
          <w:marRight w:val="0"/>
          <w:marTop w:val="86"/>
          <w:marBottom w:val="0"/>
          <w:divBdr>
            <w:top w:val="none" w:sz="0" w:space="0" w:color="auto"/>
            <w:left w:val="none" w:sz="0" w:space="0" w:color="auto"/>
            <w:bottom w:val="none" w:sz="0" w:space="0" w:color="auto"/>
            <w:right w:val="none" w:sz="0" w:space="0" w:color="auto"/>
          </w:divBdr>
        </w:div>
        <w:div w:id="1439565901">
          <w:marLeft w:val="547"/>
          <w:marRight w:val="0"/>
          <w:marTop w:val="96"/>
          <w:marBottom w:val="0"/>
          <w:divBdr>
            <w:top w:val="none" w:sz="0" w:space="0" w:color="auto"/>
            <w:left w:val="none" w:sz="0" w:space="0" w:color="auto"/>
            <w:bottom w:val="none" w:sz="0" w:space="0" w:color="auto"/>
            <w:right w:val="none" w:sz="0" w:space="0" w:color="auto"/>
          </w:divBdr>
        </w:div>
        <w:div w:id="2056393726">
          <w:marLeft w:val="1166"/>
          <w:marRight w:val="0"/>
          <w:marTop w:val="86"/>
          <w:marBottom w:val="0"/>
          <w:divBdr>
            <w:top w:val="none" w:sz="0" w:space="0" w:color="auto"/>
            <w:left w:val="none" w:sz="0" w:space="0" w:color="auto"/>
            <w:bottom w:val="none" w:sz="0" w:space="0" w:color="auto"/>
            <w:right w:val="none" w:sz="0" w:space="0" w:color="auto"/>
          </w:divBdr>
        </w:div>
      </w:divsChild>
    </w:div>
    <w:div w:id="1172068864">
      <w:bodyDiv w:val="1"/>
      <w:marLeft w:val="0"/>
      <w:marRight w:val="0"/>
      <w:marTop w:val="0"/>
      <w:marBottom w:val="0"/>
      <w:divBdr>
        <w:top w:val="none" w:sz="0" w:space="0" w:color="auto"/>
        <w:left w:val="none" w:sz="0" w:space="0" w:color="auto"/>
        <w:bottom w:val="none" w:sz="0" w:space="0" w:color="auto"/>
        <w:right w:val="none" w:sz="0" w:space="0" w:color="auto"/>
      </w:divBdr>
    </w:div>
    <w:div w:id="1172336244">
      <w:bodyDiv w:val="1"/>
      <w:marLeft w:val="0"/>
      <w:marRight w:val="0"/>
      <w:marTop w:val="0"/>
      <w:marBottom w:val="0"/>
      <w:divBdr>
        <w:top w:val="none" w:sz="0" w:space="0" w:color="auto"/>
        <w:left w:val="none" w:sz="0" w:space="0" w:color="auto"/>
        <w:bottom w:val="none" w:sz="0" w:space="0" w:color="auto"/>
        <w:right w:val="none" w:sz="0" w:space="0" w:color="auto"/>
      </w:divBdr>
    </w:div>
    <w:div w:id="1172523361">
      <w:bodyDiv w:val="1"/>
      <w:marLeft w:val="0"/>
      <w:marRight w:val="0"/>
      <w:marTop w:val="0"/>
      <w:marBottom w:val="0"/>
      <w:divBdr>
        <w:top w:val="none" w:sz="0" w:space="0" w:color="auto"/>
        <w:left w:val="none" w:sz="0" w:space="0" w:color="auto"/>
        <w:bottom w:val="none" w:sz="0" w:space="0" w:color="auto"/>
        <w:right w:val="none" w:sz="0" w:space="0" w:color="auto"/>
      </w:divBdr>
    </w:div>
    <w:div w:id="1173839528">
      <w:bodyDiv w:val="1"/>
      <w:marLeft w:val="0"/>
      <w:marRight w:val="0"/>
      <w:marTop w:val="0"/>
      <w:marBottom w:val="0"/>
      <w:divBdr>
        <w:top w:val="none" w:sz="0" w:space="0" w:color="auto"/>
        <w:left w:val="none" w:sz="0" w:space="0" w:color="auto"/>
        <w:bottom w:val="none" w:sz="0" w:space="0" w:color="auto"/>
        <w:right w:val="none" w:sz="0" w:space="0" w:color="auto"/>
      </w:divBdr>
      <w:divsChild>
        <w:div w:id="662508399">
          <w:marLeft w:val="547"/>
          <w:marRight w:val="0"/>
          <w:marTop w:val="134"/>
          <w:marBottom w:val="0"/>
          <w:divBdr>
            <w:top w:val="none" w:sz="0" w:space="0" w:color="auto"/>
            <w:left w:val="none" w:sz="0" w:space="0" w:color="auto"/>
            <w:bottom w:val="none" w:sz="0" w:space="0" w:color="auto"/>
            <w:right w:val="none" w:sz="0" w:space="0" w:color="auto"/>
          </w:divBdr>
        </w:div>
        <w:div w:id="919363712">
          <w:marLeft w:val="1166"/>
          <w:marRight w:val="0"/>
          <w:marTop w:val="115"/>
          <w:marBottom w:val="0"/>
          <w:divBdr>
            <w:top w:val="none" w:sz="0" w:space="0" w:color="auto"/>
            <w:left w:val="none" w:sz="0" w:space="0" w:color="auto"/>
            <w:bottom w:val="none" w:sz="0" w:space="0" w:color="auto"/>
            <w:right w:val="none" w:sz="0" w:space="0" w:color="auto"/>
          </w:divBdr>
        </w:div>
        <w:div w:id="1740056325">
          <w:marLeft w:val="1166"/>
          <w:marRight w:val="0"/>
          <w:marTop w:val="115"/>
          <w:marBottom w:val="0"/>
          <w:divBdr>
            <w:top w:val="none" w:sz="0" w:space="0" w:color="auto"/>
            <w:left w:val="none" w:sz="0" w:space="0" w:color="auto"/>
            <w:bottom w:val="none" w:sz="0" w:space="0" w:color="auto"/>
            <w:right w:val="none" w:sz="0" w:space="0" w:color="auto"/>
          </w:divBdr>
        </w:div>
      </w:divsChild>
    </w:div>
    <w:div w:id="1174615322">
      <w:bodyDiv w:val="1"/>
      <w:marLeft w:val="0"/>
      <w:marRight w:val="0"/>
      <w:marTop w:val="0"/>
      <w:marBottom w:val="0"/>
      <w:divBdr>
        <w:top w:val="none" w:sz="0" w:space="0" w:color="auto"/>
        <w:left w:val="none" w:sz="0" w:space="0" w:color="auto"/>
        <w:bottom w:val="none" w:sz="0" w:space="0" w:color="auto"/>
        <w:right w:val="none" w:sz="0" w:space="0" w:color="auto"/>
      </w:divBdr>
    </w:div>
    <w:div w:id="1174684966">
      <w:bodyDiv w:val="1"/>
      <w:marLeft w:val="0"/>
      <w:marRight w:val="0"/>
      <w:marTop w:val="0"/>
      <w:marBottom w:val="0"/>
      <w:divBdr>
        <w:top w:val="none" w:sz="0" w:space="0" w:color="auto"/>
        <w:left w:val="none" w:sz="0" w:space="0" w:color="auto"/>
        <w:bottom w:val="none" w:sz="0" w:space="0" w:color="auto"/>
        <w:right w:val="none" w:sz="0" w:space="0" w:color="auto"/>
      </w:divBdr>
      <w:divsChild>
        <w:div w:id="298416418">
          <w:marLeft w:val="547"/>
          <w:marRight w:val="0"/>
          <w:marTop w:val="106"/>
          <w:marBottom w:val="0"/>
          <w:divBdr>
            <w:top w:val="none" w:sz="0" w:space="0" w:color="auto"/>
            <w:left w:val="none" w:sz="0" w:space="0" w:color="auto"/>
            <w:bottom w:val="none" w:sz="0" w:space="0" w:color="auto"/>
            <w:right w:val="none" w:sz="0" w:space="0" w:color="auto"/>
          </w:divBdr>
        </w:div>
        <w:div w:id="459302779">
          <w:marLeft w:val="547"/>
          <w:marRight w:val="0"/>
          <w:marTop w:val="106"/>
          <w:marBottom w:val="0"/>
          <w:divBdr>
            <w:top w:val="none" w:sz="0" w:space="0" w:color="auto"/>
            <w:left w:val="none" w:sz="0" w:space="0" w:color="auto"/>
            <w:bottom w:val="none" w:sz="0" w:space="0" w:color="auto"/>
            <w:right w:val="none" w:sz="0" w:space="0" w:color="auto"/>
          </w:divBdr>
        </w:div>
        <w:div w:id="480345538">
          <w:marLeft w:val="1800"/>
          <w:marRight w:val="0"/>
          <w:marTop w:val="72"/>
          <w:marBottom w:val="0"/>
          <w:divBdr>
            <w:top w:val="none" w:sz="0" w:space="0" w:color="auto"/>
            <w:left w:val="none" w:sz="0" w:space="0" w:color="auto"/>
            <w:bottom w:val="none" w:sz="0" w:space="0" w:color="auto"/>
            <w:right w:val="none" w:sz="0" w:space="0" w:color="auto"/>
          </w:divBdr>
        </w:div>
        <w:div w:id="1398045529">
          <w:marLeft w:val="1166"/>
          <w:marRight w:val="0"/>
          <w:marTop w:val="91"/>
          <w:marBottom w:val="0"/>
          <w:divBdr>
            <w:top w:val="none" w:sz="0" w:space="0" w:color="auto"/>
            <w:left w:val="none" w:sz="0" w:space="0" w:color="auto"/>
            <w:bottom w:val="none" w:sz="0" w:space="0" w:color="auto"/>
            <w:right w:val="none" w:sz="0" w:space="0" w:color="auto"/>
          </w:divBdr>
        </w:div>
        <w:div w:id="1449855261">
          <w:marLeft w:val="547"/>
          <w:marRight w:val="0"/>
          <w:marTop w:val="106"/>
          <w:marBottom w:val="0"/>
          <w:divBdr>
            <w:top w:val="none" w:sz="0" w:space="0" w:color="auto"/>
            <w:left w:val="none" w:sz="0" w:space="0" w:color="auto"/>
            <w:bottom w:val="none" w:sz="0" w:space="0" w:color="auto"/>
            <w:right w:val="none" w:sz="0" w:space="0" w:color="auto"/>
          </w:divBdr>
        </w:div>
      </w:divsChild>
    </w:div>
    <w:div w:id="1175412123">
      <w:bodyDiv w:val="1"/>
      <w:marLeft w:val="0"/>
      <w:marRight w:val="0"/>
      <w:marTop w:val="0"/>
      <w:marBottom w:val="0"/>
      <w:divBdr>
        <w:top w:val="none" w:sz="0" w:space="0" w:color="auto"/>
        <w:left w:val="none" w:sz="0" w:space="0" w:color="auto"/>
        <w:bottom w:val="none" w:sz="0" w:space="0" w:color="auto"/>
        <w:right w:val="none" w:sz="0" w:space="0" w:color="auto"/>
      </w:divBdr>
    </w:div>
    <w:div w:id="1176765752">
      <w:bodyDiv w:val="1"/>
      <w:marLeft w:val="0"/>
      <w:marRight w:val="0"/>
      <w:marTop w:val="0"/>
      <w:marBottom w:val="0"/>
      <w:divBdr>
        <w:top w:val="none" w:sz="0" w:space="0" w:color="auto"/>
        <w:left w:val="none" w:sz="0" w:space="0" w:color="auto"/>
        <w:bottom w:val="none" w:sz="0" w:space="0" w:color="auto"/>
        <w:right w:val="none" w:sz="0" w:space="0" w:color="auto"/>
      </w:divBdr>
    </w:div>
    <w:div w:id="1177312257">
      <w:bodyDiv w:val="1"/>
      <w:marLeft w:val="0"/>
      <w:marRight w:val="0"/>
      <w:marTop w:val="0"/>
      <w:marBottom w:val="0"/>
      <w:divBdr>
        <w:top w:val="none" w:sz="0" w:space="0" w:color="auto"/>
        <w:left w:val="none" w:sz="0" w:space="0" w:color="auto"/>
        <w:bottom w:val="none" w:sz="0" w:space="0" w:color="auto"/>
        <w:right w:val="none" w:sz="0" w:space="0" w:color="auto"/>
      </w:divBdr>
    </w:div>
    <w:div w:id="1178665211">
      <w:bodyDiv w:val="1"/>
      <w:marLeft w:val="0"/>
      <w:marRight w:val="0"/>
      <w:marTop w:val="0"/>
      <w:marBottom w:val="0"/>
      <w:divBdr>
        <w:top w:val="none" w:sz="0" w:space="0" w:color="auto"/>
        <w:left w:val="none" w:sz="0" w:space="0" w:color="auto"/>
        <w:bottom w:val="none" w:sz="0" w:space="0" w:color="auto"/>
        <w:right w:val="none" w:sz="0" w:space="0" w:color="auto"/>
      </w:divBdr>
    </w:div>
    <w:div w:id="1181893565">
      <w:bodyDiv w:val="1"/>
      <w:marLeft w:val="0"/>
      <w:marRight w:val="0"/>
      <w:marTop w:val="0"/>
      <w:marBottom w:val="0"/>
      <w:divBdr>
        <w:top w:val="none" w:sz="0" w:space="0" w:color="auto"/>
        <w:left w:val="none" w:sz="0" w:space="0" w:color="auto"/>
        <w:bottom w:val="none" w:sz="0" w:space="0" w:color="auto"/>
        <w:right w:val="none" w:sz="0" w:space="0" w:color="auto"/>
      </w:divBdr>
      <w:divsChild>
        <w:div w:id="1859422">
          <w:marLeft w:val="1166"/>
          <w:marRight w:val="0"/>
          <w:marTop w:val="115"/>
          <w:marBottom w:val="120"/>
          <w:divBdr>
            <w:top w:val="none" w:sz="0" w:space="0" w:color="auto"/>
            <w:left w:val="none" w:sz="0" w:space="0" w:color="auto"/>
            <w:bottom w:val="none" w:sz="0" w:space="0" w:color="auto"/>
            <w:right w:val="none" w:sz="0" w:space="0" w:color="auto"/>
          </w:divBdr>
        </w:div>
        <w:div w:id="281965418">
          <w:marLeft w:val="1166"/>
          <w:marRight w:val="0"/>
          <w:marTop w:val="115"/>
          <w:marBottom w:val="120"/>
          <w:divBdr>
            <w:top w:val="none" w:sz="0" w:space="0" w:color="auto"/>
            <w:left w:val="none" w:sz="0" w:space="0" w:color="auto"/>
            <w:bottom w:val="none" w:sz="0" w:space="0" w:color="auto"/>
            <w:right w:val="none" w:sz="0" w:space="0" w:color="auto"/>
          </w:divBdr>
        </w:div>
        <w:div w:id="1024482093">
          <w:marLeft w:val="547"/>
          <w:marRight w:val="0"/>
          <w:marTop w:val="134"/>
          <w:marBottom w:val="120"/>
          <w:divBdr>
            <w:top w:val="none" w:sz="0" w:space="0" w:color="auto"/>
            <w:left w:val="none" w:sz="0" w:space="0" w:color="auto"/>
            <w:bottom w:val="none" w:sz="0" w:space="0" w:color="auto"/>
            <w:right w:val="none" w:sz="0" w:space="0" w:color="auto"/>
          </w:divBdr>
        </w:div>
        <w:div w:id="1574003913">
          <w:marLeft w:val="1166"/>
          <w:marRight w:val="0"/>
          <w:marTop w:val="115"/>
          <w:marBottom w:val="120"/>
          <w:divBdr>
            <w:top w:val="none" w:sz="0" w:space="0" w:color="auto"/>
            <w:left w:val="none" w:sz="0" w:space="0" w:color="auto"/>
            <w:bottom w:val="none" w:sz="0" w:space="0" w:color="auto"/>
            <w:right w:val="none" w:sz="0" w:space="0" w:color="auto"/>
          </w:divBdr>
        </w:div>
        <w:div w:id="1946495249">
          <w:marLeft w:val="547"/>
          <w:marRight w:val="0"/>
          <w:marTop w:val="134"/>
          <w:marBottom w:val="120"/>
          <w:divBdr>
            <w:top w:val="none" w:sz="0" w:space="0" w:color="auto"/>
            <w:left w:val="none" w:sz="0" w:space="0" w:color="auto"/>
            <w:bottom w:val="none" w:sz="0" w:space="0" w:color="auto"/>
            <w:right w:val="none" w:sz="0" w:space="0" w:color="auto"/>
          </w:divBdr>
        </w:div>
        <w:div w:id="1975014886">
          <w:marLeft w:val="547"/>
          <w:marRight w:val="0"/>
          <w:marTop w:val="134"/>
          <w:marBottom w:val="120"/>
          <w:divBdr>
            <w:top w:val="none" w:sz="0" w:space="0" w:color="auto"/>
            <w:left w:val="none" w:sz="0" w:space="0" w:color="auto"/>
            <w:bottom w:val="none" w:sz="0" w:space="0" w:color="auto"/>
            <w:right w:val="none" w:sz="0" w:space="0" w:color="auto"/>
          </w:divBdr>
        </w:div>
      </w:divsChild>
    </w:div>
    <w:div w:id="1182233972">
      <w:bodyDiv w:val="1"/>
      <w:marLeft w:val="0"/>
      <w:marRight w:val="0"/>
      <w:marTop w:val="0"/>
      <w:marBottom w:val="0"/>
      <w:divBdr>
        <w:top w:val="none" w:sz="0" w:space="0" w:color="auto"/>
        <w:left w:val="none" w:sz="0" w:space="0" w:color="auto"/>
        <w:bottom w:val="none" w:sz="0" w:space="0" w:color="auto"/>
        <w:right w:val="none" w:sz="0" w:space="0" w:color="auto"/>
      </w:divBdr>
    </w:div>
    <w:div w:id="1184518995">
      <w:bodyDiv w:val="1"/>
      <w:marLeft w:val="0"/>
      <w:marRight w:val="0"/>
      <w:marTop w:val="0"/>
      <w:marBottom w:val="0"/>
      <w:divBdr>
        <w:top w:val="none" w:sz="0" w:space="0" w:color="auto"/>
        <w:left w:val="none" w:sz="0" w:space="0" w:color="auto"/>
        <w:bottom w:val="none" w:sz="0" w:space="0" w:color="auto"/>
        <w:right w:val="none" w:sz="0" w:space="0" w:color="auto"/>
      </w:divBdr>
    </w:div>
    <w:div w:id="1184781670">
      <w:bodyDiv w:val="1"/>
      <w:marLeft w:val="0"/>
      <w:marRight w:val="0"/>
      <w:marTop w:val="0"/>
      <w:marBottom w:val="0"/>
      <w:divBdr>
        <w:top w:val="none" w:sz="0" w:space="0" w:color="auto"/>
        <w:left w:val="none" w:sz="0" w:space="0" w:color="auto"/>
        <w:bottom w:val="none" w:sz="0" w:space="0" w:color="auto"/>
        <w:right w:val="none" w:sz="0" w:space="0" w:color="auto"/>
      </w:divBdr>
    </w:div>
    <w:div w:id="1184898464">
      <w:bodyDiv w:val="1"/>
      <w:marLeft w:val="0"/>
      <w:marRight w:val="0"/>
      <w:marTop w:val="0"/>
      <w:marBottom w:val="0"/>
      <w:divBdr>
        <w:top w:val="none" w:sz="0" w:space="0" w:color="auto"/>
        <w:left w:val="none" w:sz="0" w:space="0" w:color="auto"/>
        <w:bottom w:val="none" w:sz="0" w:space="0" w:color="auto"/>
        <w:right w:val="none" w:sz="0" w:space="0" w:color="auto"/>
      </w:divBdr>
    </w:div>
    <w:div w:id="1185049728">
      <w:bodyDiv w:val="1"/>
      <w:marLeft w:val="0"/>
      <w:marRight w:val="0"/>
      <w:marTop w:val="0"/>
      <w:marBottom w:val="0"/>
      <w:divBdr>
        <w:top w:val="none" w:sz="0" w:space="0" w:color="auto"/>
        <w:left w:val="none" w:sz="0" w:space="0" w:color="auto"/>
        <w:bottom w:val="none" w:sz="0" w:space="0" w:color="auto"/>
        <w:right w:val="none" w:sz="0" w:space="0" w:color="auto"/>
      </w:divBdr>
    </w:div>
    <w:div w:id="1185634697">
      <w:bodyDiv w:val="1"/>
      <w:marLeft w:val="0"/>
      <w:marRight w:val="0"/>
      <w:marTop w:val="0"/>
      <w:marBottom w:val="0"/>
      <w:divBdr>
        <w:top w:val="none" w:sz="0" w:space="0" w:color="auto"/>
        <w:left w:val="none" w:sz="0" w:space="0" w:color="auto"/>
        <w:bottom w:val="none" w:sz="0" w:space="0" w:color="auto"/>
        <w:right w:val="none" w:sz="0" w:space="0" w:color="auto"/>
      </w:divBdr>
    </w:div>
    <w:div w:id="1185636324">
      <w:bodyDiv w:val="1"/>
      <w:marLeft w:val="0"/>
      <w:marRight w:val="0"/>
      <w:marTop w:val="0"/>
      <w:marBottom w:val="0"/>
      <w:divBdr>
        <w:top w:val="none" w:sz="0" w:space="0" w:color="auto"/>
        <w:left w:val="none" w:sz="0" w:space="0" w:color="auto"/>
        <w:bottom w:val="none" w:sz="0" w:space="0" w:color="auto"/>
        <w:right w:val="none" w:sz="0" w:space="0" w:color="auto"/>
      </w:divBdr>
    </w:div>
    <w:div w:id="1186559562">
      <w:bodyDiv w:val="1"/>
      <w:marLeft w:val="0"/>
      <w:marRight w:val="0"/>
      <w:marTop w:val="0"/>
      <w:marBottom w:val="0"/>
      <w:divBdr>
        <w:top w:val="none" w:sz="0" w:space="0" w:color="auto"/>
        <w:left w:val="none" w:sz="0" w:space="0" w:color="auto"/>
        <w:bottom w:val="none" w:sz="0" w:space="0" w:color="auto"/>
        <w:right w:val="none" w:sz="0" w:space="0" w:color="auto"/>
      </w:divBdr>
    </w:div>
    <w:div w:id="1187717158">
      <w:bodyDiv w:val="1"/>
      <w:marLeft w:val="0"/>
      <w:marRight w:val="0"/>
      <w:marTop w:val="0"/>
      <w:marBottom w:val="0"/>
      <w:divBdr>
        <w:top w:val="none" w:sz="0" w:space="0" w:color="auto"/>
        <w:left w:val="none" w:sz="0" w:space="0" w:color="auto"/>
        <w:bottom w:val="none" w:sz="0" w:space="0" w:color="auto"/>
        <w:right w:val="none" w:sz="0" w:space="0" w:color="auto"/>
      </w:divBdr>
    </w:div>
    <w:div w:id="1187719628">
      <w:bodyDiv w:val="1"/>
      <w:marLeft w:val="0"/>
      <w:marRight w:val="0"/>
      <w:marTop w:val="0"/>
      <w:marBottom w:val="0"/>
      <w:divBdr>
        <w:top w:val="none" w:sz="0" w:space="0" w:color="auto"/>
        <w:left w:val="none" w:sz="0" w:space="0" w:color="auto"/>
        <w:bottom w:val="none" w:sz="0" w:space="0" w:color="auto"/>
        <w:right w:val="none" w:sz="0" w:space="0" w:color="auto"/>
      </w:divBdr>
    </w:div>
    <w:div w:id="1189180262">
      <w:bodyDiv w:val="1"/>
      <w:marLeft w:val="0"/>
      <w:marRight w:val="0"/>
      <w:marTop w:val="0"/>
      <w:marBottom w:val="0"/>
      <w:divBdr>
        <w:top w:val="none" w:sz="0" w:space="0" w:color="auto"/>
        <w:left w:val="none" w:sz="0" w:space="0" w:color="auto"/>
        <w:bottom w:val="none" w:sz="0" w:space="0" w:color="auto"/>
        <w:right w:val="none" w:sz="0" w:space="0" w:color="auto"/>
      </w:divBdr>
    </w:div>
    <w:div w:id="1189372879">
      <w:bodyDiv w:val="1"/>
      <w:marLeft w:val="0"/>
      <w:marRight w:val="0"/>
      <w:marTop w:val="0"/>
      <w:marBottom w:val="0"/>
      <w:divBdr>
        <w:top w:val="none" w:sz="0" w:space="0" w:color="auto"/>
        <w:left w:val="none" w:sz="0" w:space="0" w:color="auto"/>
        <w:bottom w:val="none" w:sz="0" w:space="0" w:color="auto"/>
        <w:right w:val="none" w:sz="0" w:space="0" w:color="auto"/>
      </w:divBdr>
    </w:div>
    <w:div w:id="1190224335">
      <w:bodyDiv w:val="1"/>
      <w:marLeft w:val="0"/>
      <w:marRight w:val="0"/>
      <w:marTop w:val="0"/>
      <w:marBottom w:val="0"/>
      <w:divBdr>
        <w:top w:val="none" w:sz="0" w:space="0" w:color="auto"/>
        <w:left w:val="none" w:sz="0" w:space="0" w:color="auto"/>
        <w:bottom w:val="none" w:sz="0" w:space="0" w:color="auto"/>
        <w:right w:val="none" w:sz="0" w:space="0" w:color="auto"/>
      </w:divBdr>
    </w:div>
    <w:div w:id="1190724573">
      <w:bodyDiv w:val="1"/>
      <w:marLeft w:val="0"/>
      <w:marRight w:val="0"/>
      <w:marTop w:val="0"/>
      <w:marBottom w:val="0"/>
      <w:divBdr>
        <w:top w:val="none" w:sz="0" w:space="0" w:color="auto"/>
        <w:left w:val="none" w:sz="0" w:space="0" w:color="auto"/>
        <w:bottom w:val="none" w:sz="0" w:space="0" w:color="auto"/>
        <w:right w:val="none" w:sz="0" w:space="0" w:color="auto"/>
      </w:divBdr>
      <w:divsChild>
        <w:div w:id="270432294">
          <w:marLeft w:val="547"/>
          <w:marRight w:val="0"/>
          <w:marTop w:val="134"/>
          <w:marBottom w:val="0"/>
          <w:divBdr>
            <w:top w:val="none" w:sz="0" w:space="0" w:color="auto"/>
            <w:left w:val="none" w:sz="0" w:space="0" w:color="auto"/>
            <w:bottom w:val="none" w:sz="0" w:space="0" w:color="auto"/>
            <w:right w:val="none" w:sz="0" w:space="0" w:color="auto"/>
          </w:divBdr>
        </w:div>
        <w:div w:id="856164045">
          <w:marLeft w:val="1166"/>
          <w:marRight w:val="0"/>
          <w:marTop w:val="115"/>
          <w:marBottom w:val="0"/>
          <w:divBdr>
            <w:top w:val="none" w:sz="0" w:space="0" w:color="auto"/>
            <w:left w:val="none" w:sz="0" w:space="0" w:color="auto"/>
            <w:bottom w:val="none" w:sz="0" w:space="0" w:color="auto"/>
            <w:right w:val="none" w:sz="0" w:space="0" w:color="auto"/>
          </w:divBdr>
        </w:div>
        <w:div w:id="1256285940">
          <w:marLeft w:val="1166"/>
          <w:marRight w:val="0"/>
          <w:marTop w:val="115"/>
          <w:marBottom w:val="0"/>
          <w:divBdr>
            <w:top w:val="none" w:sz="0" w:space="0" w:color="auto"/>
            <w:left w:val="none" w:sz="0" w:space="0" w:color="auto"/>
            <w:bottom w:val="none" w:sz="0" w:space="0" w:color="auto"/>
            <w:right w:val="none" w:sz="0" w:space="0" w:color="auto"/>
          </w:divBdr>
        </w:div>
        <w:div w:id="1890728469">
          <w:marLeft w:val="1166"/>
          <w:marRight w:val="0"/>
          <w:marTop w:val="115"/>
          <w:marBottom w:val="0"/>
          <w:divBdr>
            <w:top w:val="none" w:sz="0" w:space="0" w:color="auto"/>
            <w:left w:val="none" w:sz="0" w:space="0" w:color="auto"/>
            <w:bottom w:val="none" w:sz="0" w:space="0" w:color="auto"/>
            <w:right w:val="none" w:sz="0" w:space="0" w:color="auto"/>
          </w:divBdr>
        </w:div>
      </w:divsChild>
    </w:div>
    <w:div w:id="1190947955">
      <w:bodyDiv w:val="1"/>
      <w:marLeft w:val="0"/>
      <w:marRight w:val="0"/>
      <w:marTop w:val="0"/>
      <w:marBottom w:val="0"/>
      <w:divBdr>
        <w:top w:val="none" w:sz="0" w:space="0" w:color="auto"/>
        <w:left w:val="none" w:sz="0" w:space="0" w:color="auto"/>
        <w:bottom w:val="none" w:sz="0" w:space="0" w:color="auto"/>
        <w:right w:val="none" w:sz="0" w:space="0" w:color="auto"/>
      </w:divBdr>
    </w:div>
    <w:div w:id="1191145539">
      <w:bodyDiv w:val="1"/>
      <w:marLeft w:val="0"/>
      <w:marRight w:val="0"/>
      <w:marTop w:val="0"/>
      <w:marBottom w:val="0"/>
      <w:divBdr>
        <w:top w:val="none" w:sz="0" w:space="0" w:color="auto"/>
        <w:left w:val="none" w:sz="0" w:space="0" w:color="auto"/>
        <w:bottom w:val="none" w:sz="0" w:space="0" w:color="auto"/>
        <w:right w:val="none" w:sz="0" w:space="0" w:color="auto"/>
      </w:divBdr>
    </w:div>
    <w:div w:id="1192497890">
      <w:bodyDiv w:val="1"/>
      <w:marLeft w:val="0"/>
      <w:marRight w:val="0"/>
      <w:marTop w:val="0"/>
      <w:marBottom w:val="0"/>
      <w:divBdr>
        <w:top w:val="none" w:sz="0" w:space="0" w:color="auto"/>
        <w:left w:val="none" w:sz="0" w:space="0" w:color="auto"/>
        <w:bottom w:val="none" w:sz="0" w:space="0" w:color="auto"/>
        <w:right w:val="none" w:sz="0" w:space="0" w:color="auto"/>
      </w:divBdr>
    </w:div>
    <w:div w:id="1192644180">
      <w:bodyDiv w:val="1"/>
      <w:marLeft w:val="0"/>
      <w:marRight w:val="0"/>
      <w:marTop w:val="0"/>
      <w:marBottom w:val="0"/>
      <w:divBdr>
        <w:top w:val="none" w:sz="0" w:space="0" w:color="auto"/>
        <w:left w:val="none" w:sz="0" w:space="0" w:color="auto"/>
        <w:bottom w:val="none" w:sz="0" w:space="0" w:color="auto"/>
        <w:right w:val="none" w:sz="0" w:space="0" w:color="auto"/>
      </w:divBdr>
    </w:div>
    <w:div w:id="1192651727">
      <w:bodyDiv w:val="1"/>
      <w:marLeft w:val="0"/>
      <w:marRight w:val="0"/>
      <w:marTop w:val="0"/>
      <w:marBottom w:val="0"/>
      <w:divBdr>
        <w:top w:val="none" w:sz="0" w:space="0" w:color="auto"/>
        <w:left w:val="none" w:sz="0" w:space="0" w:color="auto"/>
        <w:bottom w:val="none" w:sz="0" w:space="0" w:color="auto"/>
        <w:right w:val="none" w:sz="0" w:space="0" w:color="auto"/>
      </w:divBdr>
    </w:div>
    <w:div w:id="1193032145">
      <w:bodyDiv w:val="1"/>
      <w:marLeft w:val="0"/>
      <w:marRight w:val="0"/>
      <w:marTop w:val="0"/>
      <w:marBottom w:val="0"/>
      <w:divBdr>
        <w:top w:val="none" w:sz="0" w:space="0" w:color="auto"/>
        <w:left w:val="none" w:sz="0" w:space="0" w:color="auto"/>
        <w:bottom w:val="none" w:sz="0" w:space="0" w:color="auto"/>
        <w:right w:val="none" w:sz="0" w:space="0" w:color="auto"/>
      </w:divBdr>
    </w:div>
    <w:div w:id="1193035713">
      <w:bodyDiv w:val="1"/>
      <w:marLeft w:val="0"/>
      <w:marRight w:val="0"/>
      <w:marTop w:val="0"/>
      <w:marBottom w:val="0"/>
      <w:divBdr>
        <w:top w:val="none" w:sz="0" w:space="0" w:color="auto"/>
        <w:left w:val="none" w:sz="0" w:space="0" w:color="auto"/>
        <w:bottom w:val="none" w:sz="0" w:space="0" w:color="auto"/>
        <w:right w:val="none" w:sz="0" w:space="0" w:color="auto"/>
      </w:divBdr>
    </w:div>
    <w:div w:id="1193224144">
      <w:bodyDiv w:val="1"/>
      <w:marLeft w:val="0"/>
      <w:marRight w:val="0"/>
      <w:marTop w:val="0"/>
      <w:marBottom w:val="0"/>
      <w:divBdr>
        <w:top w:val="none" w:sz="0" w:space="0" w:color="auto"/>
        <w:left w:val="none" w:sz="0" w:space="0" w:color="auto"/>
        <w:bottom w:val="none" w:sz="0" w:space="0" w:color="auto"/>
        <w:right w:val="none" w:sz="0" w:space="0" w:color="auto"/>
      </w:divBdr>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195076064">
      <w:bodyDiv w:val="1"/>
      <w:marLeft w:val="0"/>
      <w:marRight w:val="0"/>
      <w:marTop w:val="0"/>
      <w:marBottom w:val="0"/>
      <w:divBdr>
        <w:top w:val="none" w:sz="0" w:space="0" w:color="auto"/>
        <w:left w:val="none" w:sz="0" w:space="0" w:color="auto"/>
        <w:bottom w:val="none" w:sz="0" w:space="0" w:color="auto"/>
        <w:right w:val="none" w:sz="0" w:space="0" w:color="auto"/>
      </w:divBdr>
    </w:div>
    <w:div w:id="1195462359">
      <w:bodyDiv w:val="1"/>
      <w:marLeft w:val="0"/>
      <w:marRight w:val="0"/>
      <w:marTop w:val="0"/>
      <w:marBottom w:val="0"/>
      <w:divBdr>
        <w:top w:val="none" w:sz="0" w:space="0" w:color="auto"/>
        <w:left w:val="none" w:sz="0" w:space="0" w:color="auto"/>
        <w:bottom w:val="none" w:sz="0" w:space="0" w:color="auto"/>
        <w:right w:val="none" w:sz="0" w:space="0" w:color="auto"/>
      </w:divBdr>
    </w:div>
    <w:div w:id="1197548937">
      <w:bodyDiv w:val="1"/>
      <w:marLeft w:val="0"/>
      <w:marRight w:val="0"/>
      <w:marTop w:val="0"/>
      <w:marBottom w:val="0"/>
      <w:divBdr>
        <w:top w:val="none" w:sz="0" w:space="0" w:color="auto"/>
        <w:left w:val="none" w:sz="0" w:space="0" w:color="auto"/>
        <w:bottom w:val="none" w:sz="0" w:space="0" w:color="auto"/>
        <w:right w:val="none" w:sz="0" w:space="0" w:color="auto"/>
      </w:divBdr>
    </w:div>
    <w:div w:id="1197962404">
      <w:bodyDiv w:val="1"/>
      <w:marLeft w:val="0"/>
      <w:marRight w:val="0"/>
      <w:marTop w:val="0"/>
      <w:marBottom w:val="0"/>
      <w:divBdr>
        <w:top w:val="none" w:sz="0" w:space="0" w:color="auto"/>
        <w:left w:val="none" w:sz="0" w:space="0" w:color="auto"/>
        <w:bottom w:val="none" w:sz="0" w:space="0" w:color="auto"/>
        <w:right w:val="none" w:sz="0" w:space="0" w:color="auto"/>
      </w:divBdr>
    </w:div>
    <w:div w:id="1201362945">
      <w:bodyDiv w:val="1"/>
      <w:marLeft w:val="0"/>
      <w:marRight w:val="0"/>
      <w:marTop w:val="0"/>
      <w:marBottom w:val="0"/>
      <w:divBdr>
        <w:top w:val="none" w:sz="0" w:space="0" w:color="auto"/>
        <w:left w:val="none" w:sz="0" w:space="0" w:color="auto"/>
        <w:bottom w:val="none" w:sz="0" w:space="0" w:color="auto"/>
        <w:right w:val="none" w:sz="0" w:space="0" w:color="auto"/>
      </w:divBdr>
    </w:div>
    <w:div w:id="1201474805">
      <w:bodyDiv w:val="1"/>
      <w:marLeft w:val="0"/>
      <w:marRight w:val="0"/>
      <w:marTop w:val="0"/>
      <w:marBottom w:val="0"/>
      <w:divBdr>
        <w:top w:val="none" w:sz="0" w:space="0" w:color="auto"/>
        <w:left w:val="none" w:sz="0" w:space="0" w:color="auto"/>
        <w:bottom w:val="none" w:sz="0" w:space="0" w:color="auto"/>
        <w:right w:val="none" w:sz="0" w:space="0" w:color="auto"/>
      </w:divBdr>
    </w:div>
    <w:div w:id="1201744025">
      <w:bodyDiv w:val="1"/>
      <w:marLeft w:val="0"/>
      <w:marRight w:val="0"/>
      <w:marTop w:val="0"/>
      <w:marBottom w:val="0"/>
      <w:divBdr>
        <w:top w:val="none" w:sz="0" w:space="0" w:color="auto"/>
        <w:left w:val="none" w:sz="0" w:space="0" w:color="auto"/>
        <w:bottom w:val="none" w:sz="0" w:space="0" w:color="auto"/>
        <w:right w:val="none" w:sz="0" w:space="0" w:color="auto"/>
      </w:divBdr>
      <w:divsChild>
        <w:div w:id="285235058">
          <w:marLeft w:val="547"/>
          <w:marRight w:val="0"/>
          <w:marTop w:val="96"/>
          <w:marBottom w:val="0"/>
          <w:divBdr>
            <w:top w:val="none" w:sz="0" w:space="0" w:color="auto"/>
            <w:left w:val="none" w:sz="0" w:space="0" w:color="auto"/>
            <w:bottom w:val="none" w:sz="0" w:space="0" w:color="auto"/>
            <w:right w:val="none" w:sz="0" w:space="0" w:color="auto"/>
          </w:divBdr>
        </w:div>
        <w:div w:id="1913730127">
          <w:marLeft w:val="1166"/>
          <w:marRight w:val="0"/>
          <w:marTop w:val="77"/>
          <w:marBottom w:val="0"/>
          <w:divBdr>
            <w:top w:val="none" w:sz="0" w:space="0" w:color="auto"/>
            <w:left w:val="none" w:sz="0" w:space="0" w:color="auto"/>
            <w:bottom w:val="none" w:sz="0" w:space="0" w:color="auto"/>
            <w:right w:val="none" w:sz="0" w:space="0" w:color="auto"/>
          </w:divBdr>
        </w:div>
        <w:div w:id="2017919194">
          <w:marLeft w:val="547"/>
          <w:marRight w:val="0"/>
          <w:marTop w:val="96"/>
          <w:marBottom w:val="0"/>
          <w:divBdr>
            <w:top w:val="none" w:sz="0" w:space="0" w:color="auto"/>
            <w:left w:val="none" w:sz="0" w:space="0" w:color="auto"/>
            <w:bottom w:val="none" w:sz="0" w:space="0" w:color="auto"/>
            <w:right w:val="none" w:sz="0" w:space="0" w:color="auto"/>
          </w:divBdr>
        </w:div>
        <w:div w:id="2033065714">
          <w:marLeft w:val="547"/>
          <w:marRight w:val="0"/>
          <w:marTop w:val="96"/>
          <w:marBottom w:val="0"/>
          <w:divBdr>
            <w:top w:val="none" w:sz="0" w:space="0" w:color="auto"/>
            <w:left w:val="none" w:sz="0" w:space="0" w:color="auto"/>
            <w:bottom w:val="none" w:sz="0" w:space="0" w:color="auto"/>
            <w:right w:val="none" w:sz="0" w:space="0" w:color="auto"/>
          </w:divBdr>
        </w:div>
      </w:divsChild>
    </w:div>
    <w:div w:id="1203010094">
      <w:bodyDiv w:val="1"/>
      <w:marLeft w:val="0"/>
      <w:marRight w:val="0"/>
      <w:marTop w:val="0"/>
      <w:marBottom w:val="0"/>
      <w:divBdr>
        <w:top w:val="none" w:sz="0" w:space="0" w:color="auto"/>
        <w:left w:val="none" w:sz="0" w:space="0" w:color="auto"/>
        <w:bottom w:val="none" w:sz="0" w:space="0" w:color="auto"/>
        <w:right w:val="none" w:sz="0" w:space="0" w:color="auto"/>
      </w:divBdr>
      <w:divsChild>
        <w:div w:id="1053775786">
          <w:marLeft w:val="806"/>
          <w:marRight w:val="0"/>
          <w:marTop w:val="120"/>
          <w:marBottom w:val="0"/>
          <w:divBdr>
            <w:top w:val="none" w:sz="0" w:space="0" w:color="auto"/>
            <w:left w:val="none" w:sz="0" w:space="0" w:color="auto"/>
            <w:bottom w:val="none" w:sz="0" w:space="0" w:color="auto"/>
            <w:right w:val="none" w:sz="0" w:space="0" w:color="auto"/>
          </w:divBdr>
        </w:div>
        <w:div w:id="1070808925">
          <w:marLeft w:val="806"/>
          <w:marRight w:val="0"/>
          <w:marTop w:val="120"/>
          <w:marBottom w:val="0"/>
          <w:divBdr>
            <w:top w:val="none" w:sz="0" w:space="0" w:color="auto"/>
            <w:left w:val="none" w:sz="0" w:space="0" w:color="auto"/>
            <w:bottom w:val="none" w:sz="0" w:space="0" w:color="auto"/>
            <w:right w:val="none" w:sz="0" w:space="0" w:color="auto"/>
          </w:divBdr>
        </w:div>
        <w:div w:id="1448354285">
          <w:marLeft w:val="806"/>
          <w:marRight w:val="0"/>
          <w:marTop w:val="120"/>
          <w:marBottom w:val="0"/>
          <w:divBdr>
            <w:top w:val="none" w:sz="0" w:space="0" w:color="auto"/>
            <w:left w:val="none" w:sz="0" w:space="0" w:color="auto"/>
            <w:bottom w:val="none" w:sz="0" w:space="0" w:color="auto"/>
            <w:right w:val="none" w:sz="0" w:space="0" w:color="auto"/>
          </w:divBdr>
        </w:div>
        <w:div w:id="1678195883">
          <w:marLeft w:val="274"/>
          <w:marRight w:val="0"/>
          <w:marTop w:val="120"/>
          <w:marBottom w:val="0"/>
          <w:divBdr>
            <w:top w:val="none" w:sz="0" w:space="0" w:color="auto"/>
            <w:left w:val="none" w:sz="0" w:space="0" w:color="auto"/>
            <w:bottom w:val="none" w:sz="0" w:space="0" w:color="auto"/>
            <w:right w:val="none" w:sz="0" w:space="0" w:color="auto"/>
          </w:divBdr>
        </w:div>
      </w:divsChild>
    </w:div>
    <w:div w:id="1203052319">
      <w:bodyDiv w:val="1"/>
      <w:marLeft w:val="0"/>
      <w:marRight w:val="0"/>
      <w:marTop w:val="0"/>
      <w:marBottom w:val="0"/>
      <w:divBdr>
        <w:top w:val="none" w:sz="0" w:space="0" w:color="auto"/>
        <w:left w:val="none" w:sz="0" w:space="0" w:color="auto"/>
        <w:bottom w:val="none" w:sz="0" w:space="0" w:color="auto"/>
        <w:right w:val="none" w:sz="0" w:space="0" w:color="auto"/>
      </w:divBdr>
    </w:div>
    <w:div w:id="1203057192">
      <w:bodyDiv w:val="1"/>
      <w:marLeft w:val="0"/>
      <w:marRight w:val="0"/>
      <w:marTop w:val="0"/>
      <w:marBottom w:val="0"/>
      <w:divBdr>
        <w:top w:val="none" w:sz="0" w:space="0" w:color="auto"/>
        <w:left w:val="none" w:sz="0" w:space="0" w:color="auto"/>
        <w:bottom w:val="none" w:sz="0" w:space="0" w:color="auto"/>
        <w:right w:val="none" w:sz="0" w:space="0" w:color="auto"/>
      </w:divBdr>
    </w:div>
    <w:div w:id="1203326479">
      <w:bodyDiv w:val="1"/>
      <w:marLeft w:val="0"/>
      <w:marRight w:val="0"/>
      <w:marTop w:val="0"/>
      <w:marBottom w:val="0"/>
      <w:divBdr>
        <w:top w:val="none" w:sz="0" w:space="0" w:color="auto"/>
        <w:left w:val="none" w:sz="0" w:space="0" w:color="auto"/>
        <w:bottom w:val="none" w:sz="0" w:space="0" w:color="auto"/>
        <w:right w:val="none" w:sz="0" w:space="0" w:color="auto"/>
      </w:divBdr>
    </w:div>
    <w:div w:id="1203372118">
      <w:bodyDiv w:val="1"/>
      <w:marLeft w:val="0"/>
      <w:marRight w:val="0"/>
      <w:marTop w:val="0"/>
      <w:marBottom w:val="0"/>
      <w:divBdr>
        <w:top w:val="none" w:sz="0" w:space="0" w:color="auto"/>
        <w:left w:val="none" w:sz="0" w:space="0" w:color="auto"/>
        <w:bottom w:val="none" w:sz="0" w:space="0" w:color="auto"/>
        <w:right w:val="none" w:sz="0" w:space="0" w:color="auto"/>
      </w:divBdr>
    </w:div>
    <w:div w:id="1203901743">
      <w:bodyDiv w:val="1"/>
      <w:marLeft w:val="0"/>
      <w:marRight w:val="0"/>
      <w:marTop w:val="0"/>
      <w:marBottom w:val="0"/>
      <w:divBdr>
        <w:top w:val="none" w:sz="0" w:space="0" w:color="auto"/>
        <w:left w:val="none" w:sz="0" w:space="0" w:color="auto"/>
        <w:bottom w:val="none" w:sz="0" w:space="0" w:color="auto"/>
        <w:right w:val="none" w:sz="0" w:space="0" w:color="auto"/>
      </w:divBdr>
    </w:div>
    <w:div w:id="1204708016">
      <w:bodyDiv w:val="1"/>
      <w:marLeft w:val="0"/>
      <w:marRight w:val="0"/>
      <w:marTop w:val="0"/>
      <w:marBottom w:val="0"/>
      <w:divBdr>
        <w:top w:val="none" w:sz="0" w:space="0" w:color="auto"/>
        <w:left w:val="none" w:sz="0" w:space="0" w:color="auto"/>
        <w:bottom w:val="none" w:sz="0" w:space="0" w:color="auto"/>
        <w:right w:val="none" w:sz="0" w:space="0" w:color="auto"/>
      </w:divBdr>
    </w:div>
    <w:div w:id="1204904143">
      <w:bodyDiv w:val="1"/>
      <w:marLeft w:val="0"/>
      <w:marRight w:val="0"/>
      <w:marTop w:val="0"/>
      <w:marBottom w:val="0"/>
      <w:divBdr>
        <w:top w:val="none" w:sz="0" w:space="0" w:color="auto"/>
        <w:left w:val="none" w:sz="0" w:space="0" w:color="auto"/>
        <w:bottom w:val="none" w:sz="0" w:space="0" w:color="auto"/>
        <w:right w:val="none" w:sz="0" w:space="0" w:color="auto"/>
      </w:divBdr>
      <w:divsChild>
        <w:div w:id="392973342">
          <w:marLeft w:val="1166"/>
          <w:marRight w:val="0"/>
          <w:marTop w:val="72"/>
          <w:marBottom w:val="0"/>
          <w:divBdr>
            <w:top w:val="none" w:sz="0" w:space="0" w:color="auto"/>
            <w:left w:val="none" w:sz="0" w:space="0" w:color="auto"/>
            <w:bottom w:val="none" w:sz="0" w:space="0" w:color="auto"/>
            <w:right w:val="none" w:sz="0" w:space="0" w:color="auto"/>
          </w:divBdr>
        </w:div>
      </w:divsChild>
    </w:div>
    <w:div w:id="1206524824">
      <w:bodyDiv w:val="1"/>
      <w:marLeft w:val="0"/>
      <w:marRight w:val="0"/>
      <w:marTop w:val="0"/>
      <w:marBottom w:val="0"/>
      <w:divBdr>
        <w:top w:val="none" w:sz="0" w:space="0" w:color="auto"/>
        <w:left w:val="none" w:sz="0" w:space="0" w:color="auto"/>
        <w:bottom w:val="none" w:sz="0" w:space="0" w:color="auto"/>
        <w:right w:val="none" w:sz="0" w:space="0" w:color="auto"/>
      </w:divBdr>
    </w:div>
    <w:div w:id="1207258011">
      <w:bodyDiv w:val="1"/>
      <w:marLeft w:val="0"/>
      <w:marRight w:val="0"/>
      <w:marTop w:val="0"/>
      <w:marBottom w:val="0"/>
      <w:divBdr>
        <w:top w:val="none" w:sz="0" w:space="0" w:color="auto"/>
        <w:left w:val="none" w:sz="0" w:space="0" w:color="auto"/>
        <w:bottom w:val="none" w:sz="0" w:space="0" w:color="auto"/>
        <w:right w:val="none" w:sz="0" w:space="0" w:color="auto"/>
      </w:divBdr>
    </w:div>
    <w:div w:id="1208831983">
      <w:bodyDiv w:val="1"/>
      <w:marLeft w:val="0"/>
      <w:marRight w:val="0"/>
      <w:marTop w:val="0"/>
      <w:marBottom w:val="0"/>
      <w:divBdr>
        <w:top w:val="none" w:sz="0" w:space="0" w:color="auto"/>
        <w:left w:val="none" w:sz="0" w:space="0" w:color="auto"/>
        <w:bottom w:val="none" w:sz="0" w:space="0" w:color="auto"/>
        <w:right w:val="none" w:sz="0" w:space="0" w:color="auto"/>
      </w:divBdr>
    </w:div>
    <w:div w:id="1208840170">
      <w:bodyDiv w:val="1"/>
      <w:marLeft w:val="0"/>
      <w:marRight w:val="0"/>
      <w:marTop w:val="0"/>
      <w:marBottom w:val="0"/>
      <w:divBdr>
        <w:top w:val="none" w:sz="0" w:space="0" w:color="auto"/>
        <w:left w:val="none" w:sz="0" w:space="0" w:color="auto"/>
        <w:bottom w:val="none" w:sz="0" w:space="0" w:color="auto"/>
        <w:right w:val="none" w:sz="0" w:space="0" w:color="auto"/>
      </w:divBdr>
    </w:div>
    <w:div w:id="1209684762">
      <w:bodyDiv w:val="1"/>
      <w:marLeft w:val="0"/>
      <w:marRight w:val="0"/>
      <w:marTop w:val="0"/>
      <w:marBottom w:val="0"/>
      <w:divBdr>
        <w:top w:val="none" w:sz="0" w:space="0" w:color="auto"/>
        <w:left w:val="none" w:sz="0" w:space="0" w:color="auto"/>
        <w:bottom w:val="none" w:sz="0" w:space="0" w:color="auto"/>
        <w:right w:val="none" w:sz="0" w:space="0" w:color="auto"/>
      </w:divBdr>
      <w:divsChild>
        <w:div w:id="1386835884">
          <w:marLeft w:val="1800"/>
          <w:marRight w:val="0"/>
          <w:marTop w:val="82"/>
          <w:marBottom w:val="0"/>
          <w:divBdr>
            <w:top w:val="none" w:sz="0" w:space="0" w:color="auto"/>
            <w:left w:val="none" w:sz="0" w:space="0" w:color="auto"/>
            <w:bottom w:val="none" w:sz="0" w:space="0" w:color="auto"/>
            <w:right w:val="none" w:sz="0" w:space="0" w:color="auto"/>
          </w:divBdr>
        </w:div>
      </w:divsChild>
    </w:div>
    <w:div w:id="1210459153">
      <w:bodyDiv w:val="1"/>
      <w:marLeft w:val="0"/>
      <w:marRight w:val="0"/>
      <w:marTop w:val="0"/>
      <w:marBottom w:val="0"/>
      <w:divBdr>
        <w:top w:val="none" w:sz="0" w:space="0" w:color="auto"/>
        <w:left w:val="none" w:sz="0" w:space="0" w:color="auto"/>
        <w:bottom w:val="none" w:sz="0" w:space="0" w:color="auto"/>
        <w:right w:val="none" w:sz="0" w:space="0" w:color="auto"/>
      </w:divBdr>
    </w:div>
    <w:div w:id="1210724966">
      <w:bodyDiv w:val="1"/>
      <w:marLeft w:val="0"/>
      <w:marRight w:val="0"/>
      <w:marTop w:val="0"/>
      <w:marBottom w:val="0"/>
      <w:divBdr>
        <w:top w:val="none" w:sz="0" w:space="0" w:color="auto"/>
        <w:left w:val="none" w:sz="0" w:space="0" w:color="auto"/>
        <w:bottom w:val="none" w:sz="0" w:space="0" w:color="auto"/>
        <w:right w:val="none" w:sz="0" w:space="0" w:color="auto"/>
      </w:divBdr>
    </w:div>
    <w:div w:id="1211304137">
      <w:bodyDiv w:val="1"/>
      <w:marLeft w:val="0"/>
      <w:marRight w:val="0"/>
      <w:marTop w:val="0"/>
      <w:marBottom w:val="0"/>
      <w:divBdr>
        <w:top w:val="none" w:sz="0" w:space="0" w:color="auto"/>
        <w:left w:val="none" w:sz="0" w:space="0" w:color="auto"/>
        <w:bottom w:val="none" w:sz="0" w:space="0" w:color="auto"/>
        <w:right w:val="none" w:sz="0" w:space="0" w:color="auto"/>
      </w:divBdr>
      <w:divsChild>
        <w:div w:id="62222710">
          <w:marLeft w:val="1080"/>
          <w:marRight w:val="0"/>
          <w:marTop w:val="100"/>
          <w:marBottom w:val="0"/>
          <w:divBdr>
            <w:top w:val="none" w:sz="0" w:space="0" w:color="auto"/>
            <w:left w:val="none" w:sz="0" w:space="0" w:color="auto"/>
            <w:bottom w:val="none" w:sz="0" w:space="0" w:color="auto"/>
            <w:right w:val="none" w:sz="0" w:space="0" w:color="auto"/>
          </w:divBdr>
        </w:div>
        <w:div w:id="227499517">
          <w:marLeft w:val="1080"/>
          <w:marRight w:val="0"/>
          <w:marTop w:val="100"/>
          <w:marBottom w:val="0"/>
          <w:divBdr>
            <w:top w:val="none" w:sz="0" w:space="0" w:color="auto"/>
            <w:left w:val="none" w:sz="0" w:space="0" w:color="auto"/>
            <w:bottom w:val="none" w:sz="0" w:space="0" w:color="auto"/>
            <w:right w:val="none" w:sz="0" w:space="0" w:color="auto"/>
          </w:divBdr>
        </w:div>
        <w:div w:id="450242337">
          <w:marLeft w:val="360"/>
          <w:marRight w:val="0"/>
          <w:marTop w:val="200"/>
          <w:marBottom w:val="0"/>
          <w:divBdr>
            <w:top w:val="none" w:sz="0" w:space="0" w:color="auto"/>
            <w:left w:val="none" w:sz="0" w:space="0" w:color="auto"/>
            <w:bottom w:val="none" w:sz="0" w:space="0" w:color="auto"/>
            <w:right w:val="none" w:sz="0" w:space="0" w:color="auto"/>
          </w:divBdr>
        </w:div>
        <w:div w:id="898708362">
          <w:marLeft w:val="360"/>
          <w:marRight w:val="0"/>
          <w:marTop w:val="200"/>
          <w:marBottom w:val="0"/>
          <w:divBdr>
            <w:top w:val="none" w:sz="0" w:space="0" w:color="auto"/>
            <w:left w:val="none" w:sz="0" w:space="0" w:color="auto"/>
            <w:bottom w:val="none" w:sz="0" w:space="0" w:color="auto"/>
            <w:right w:val="none" w:sz="0" w:space="0" w:color="auto"/>
          </w:divBdr>
        </w:div>
        <w:div w:id="1456486610">
          <w:marLeft w:val="360"/>
          <w:marRight w:val="0"/>
          <w:marTop w:val="200"/>
          <w:marBottom w:val="0"/>
          <w:divBdr>
            <w:top w:val="none" w:sz="0" w:space="0" w:color="auto"/>
            <w:left w:val="none" w:sz="0" w:space="0" w:color="auto"/>
            <w:bottom w:val="none" w:sz="0" w:space="0" w:color="auto"/>
            <w:right w:val="none" w:sz="0" w:space="0" w:color="auto"/>
          </w:divBdr>
        </w:div>
      </w:divsChild>
    </w:div>
    <w:div w:id="1211454409">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13616786">
      <w:bodyDiv w:val="1"/>
      <w:marLeft w:val="0"/>
      <w:marRight w:val="0"/>
      <w:marTop w:val="0"/>
      <w:marBottom w:val="0"/>
      <w:divBdr>
        <w:top w:val="none" w:sz="0" w:space="0" w:color="auto"/>
        <w:left w:val="none" w:sz="0" w:space="0" w:color="auto"/>
        <w:bottom w:val="none" w:sz="0" w:space="0" w:color="auto"/>
        <w:right w:val="none" w:sz="0" w:space="0" w:color="auto"/>
      </w:divBdr>
      <w:divsChild>
        <w:div w:id="763378666">
          <w:marLeft w:val="1166"/>
          <w:marRight w:val="0"/>
          <w:marTop w:val="125"/>
          <w:marBottom w:val="0"/>
          <w:divBdr>
            <w:top w:val="none" w:sz="0" w:space="0" w:color="auto"/>
            <w:left w:val="none" w:sz="0" w:space="0" w:color="auto"/>
            <w:bottom w:val="none" w:sz="0" w:space="0" w:color="auto"/>
            <w:right w:val="none" w:sz="0" w:space="0" w:color="auto"/>
          </w:divBdr>
        </w:div>
        <w:div w:id="1171262562">
          <w:marLeft w:val="547"/>
          <w:marRight w:val="0"/>
          <w:marTop w:val="144"/>
          <w:marBottom w:val="0"/>
          <w:divBdr>
            <w:top w:val="none" w:sz="0" w:space="0" w:color="auto"/>
            <w:left w:val="none" w:sz="0" w:space="0" w:color="auto"/>
            <w:bottom w:val="none" w:sz="0" w:space="0" w:color="auto"/>
            <w:right w:val="none" w:sz="0" w:space="0" w:color="auto"/>
          </w:divBdr>
        </w:div>
        <w:div w:id="1323922842">
          <w:marLeft w:val="547"/>
          <w:marRight w:val="0"/>
          <w:marTop w:val="144"/>
          <w:marBottom w:val="0"/>
          <w:divBdr>
            <w:top w:val="none" w:sz="0" w:space="0" w:color="auto"/>
            <w:left w:val="none" w:sz="0" w:space="0" w:color="auto"/>
            <w:bottom w:val="none" w:sz="0" w:space="0" w:color="auto"/>
            <w:right w:val="none" w:sz="0" w:space="0" w:color="auto"/>
          </w:divBdr>
        </w:div>
        <w:div w:id="1435202043">
          <w:marLeft w:val="1166"/>
          <w:marRight w:val="0"/>
          <w:marTop w:val="125"/>
          <w:marBottom w:val="0"/>
          <w:divBdr>
            <w:top w:val="none" w:sz="0" w:space="0" w:color="auto"/>
            <w:left w:val="none" w:sz="0" w:space="0" w:color="auto"/>
            <w:bottom w:val="none" w:sz="0" w:space="0" w:color="auto"/>
            <w:right w:val="none" w:sz="0" w:space="0" w:color="auto"/>
          </w:divBdr>
        </w:div>
        <w:div w:id="2016836321">
          <w:marLeft w:val="1166"/>
          <w:marRight w:val="0"/>
          <w:marTop w:val="125"/>
          <w:marBottom w:val="0"/>
          <w:divBdr>
            <w:top w:val="none" w:sz="0" w:space="0" w:color="auto"/>
            <w:left w:val="none" w:sz="0" w:space="0" w:color="auto"/>
            <w:bottom w:val="none" w:sz="0" w:space="0" w:color="auto"/>
            <w:right w:val="none" w:sz="0" w:space="0" w:color="auto"/>
          </w:divBdr>
        </w:div>
      </w:divsChild>
    </w:div>
    <w:div w:id="1213732106">
      <w:bodyDiv w:val="1"/>
      <w:marLeft w:val="0"/>
      <w:marRight w:val="0"/>
      <w:marTop w:val="0"/>
      <w:marBottom w:val="0"/>
      <w:divBdr>
        <w:top w:val="none" w:sz="0" w:space="0" w:color="auto"/>
        <w:left w:val="none" w:sz="0" w:space="0" w:color="auto"/>
        <w:bottom w:val="none" w:sz="0" w:space="0" w:color="auto"/>
        <w:right w:val="none" w:sz="0" w:space="0" w:color="auto"/>
      </w:divBdr>
    </w:div>
    <w:div w:id="1214465479">
      <w:bodyDiv w:val="1"/>
      <w:marLeft w:val="0"/>
      <w:marRight w:val="0"/>
      <w:marTop w:val="0"/>
      <w:marBottom w:val="0"/>
      <w:divBdr>
        <w:top w:val="none" w:sz="0" w:space="0" w:color="auto"/>
        <w:left w:val="none" w:sz="0" w:space="0" w:color="auto"/>
        <w:bottom w:val="none" w:sz="0" w:space="0" w:color="auto"/>
        <w:right w:val="none" w:sz="0" w:space="0" w:color="auto"/>
      </w:divBdr>
    </w:div>
    <w:div w:id="1214999923">
      <w:bodyDiv w:val="1"/>
      <w:marLeft w:val="0"/>
      <w:marRight w:val="0"/>
      <w:marTop w:val="0"/>
      <w:marBottom w:val="0"/>
      <w:divBdr>
        <w:top w:val="none" w:sz="0" w:space="0" w:color="auto"/>
        <w:left w:val="none" w:sz="0" w:space="0" w:color="auto"/>
        <w:bottom w:val="none" w:sz="0" w:space="0" w:color="auto"/>
        <w:right w:val="none" w:sz="0" w:space="0" w:color="auto"/>
      </w:divBdr>
    </w:div>
    <w:div w:id="1216039246">
      <w:bodyDiv w:val="1"/>
      <w:marLeft w:val="0"/>
      <w:marRight w:val="0"/>
      <w:marTop w:val="0"/>
      <w:marBottom w:val="0"/>
      <w:divBdr>
        <w:top w:val="none" w:sz="0" w:space="0" w:color="auto"/>
        <w:left w:val="none" w:sz="0" w:space="0" w:color="auto"/>
        <w:bottom w:val="none" w:sz="0" w:space="0" w:color="auto"/>
        <w:right w:val="none" w:sz="0" w:space="0" w:color="auto"/>
      </w:divBdr>
    </w:div>
    <w:div w:id="1218127861">
      <w:bodyDiv w:val="1"/>
      <w:marLeft w:val="0"/>
      <w:marRight w:val="0"/>
      <w:marTop w:val="0"/>
      <w:marBottom w:val="0"/>
      <w:divBdr>
        <w:top w:val="none" w:sz="0" w:space="0" w:color="auto"/>
        <w:left w:val="none" w:sz="0" w:space="0" w:color="auto"/>
        <w:bottom w:val="none" w:sz="0" w:space="0" w:color="auto"/>
        <w:right w:val="none" w:sz="0" w:space="0" w:color="auto"/>
      </w:divBdr>
    </w:div>
    <w:div w:id="1218207614">
      <w:bodyDiv w:val="1"/>
      <w:marLeft w:val="0"/>
      <w:marRight w:val="0"/>
      <w:marTop w:val="0"/>
      <w:marBottom w:val="0"/>
      <w:divBdr>
        <w:top w:val="none" w:sz="0" w:space="0" w:color="auto"/>
        <w:left w:val="none" w:sz="0" w:space="0" w:color="auto"/>
        <w:bottom w:val="none" w:sz="0" w:space="0" w:color="auto"/>
        <w:right w:val="none" w:sz="0" w:space="0" w:color="auto"/>
      </w:divBdr>
      <w:divsChild>
        <w:div w:id="350031748">
          <w:marLeft w:val="1166"/>
          <w:marRight w:val="0"/>
          <w:marTop w:val="134"/>
          <w:marBottom w:val="0"/>
          <w:divBdr>
            <w:top w:val="none" w:sz="0" w:space="0" w:color="auto"/>
            <w:left w:val="none" w:sz="0" w:space="0" w:color="auto"/>
            <w:bottom w:val="none" w:sz="0" w:space="0" w:color="auto"/>
            <w:right w:val="none" w:sz="0" w:space="0" w:color="auto"/>
          </w:divBdr>
        </w:div>
        <w:div w:id="438179062">
          <w:marLeft w:val="1166"/>
          <w:marRight w:val="0"/>
          <w:marTop w:val="134"/>
          <w:marBottom w:val="0"/>
          <w:divBdr>
            <w:top w:val="none" w:sz="0" w:space="0" w:color="auto"/>
            <w:left w:val="none" w:sz="0" w:space="0" w:color="auto"/>
            <w:bottom w:val="none" w:sz="0" w:space="0" w:color="auto"/>
            <w:right w:val="none" w:sz="0" w:space="0" w:color="auto"/>
          </w:divBdr>
        </w:div>
        <w:div w:id="1178085479">
          <w:marLeft w:val="547"/>
          <w:marRight w:val="0"/>
          <w:marTop w:val="154"/>
          <w:marBottom w:val="0"/>
          <w:divBdr>
            <w:top w:val="none" w:sz="0" w:space="0" w:color="auto"/>
            <w:left w:val="none" w:sz="0" w:space="0" w:color="auto"/>
            <w:bottom w:val="none" w:sz="0" w:space="0" w:color="auto"/>
            <w:right w:val="none" w:sz="0" w:space="0" w:color="auto"/>
          </w:divBdr>
        </w:div>
      </w:divsChild>
    </w:div>
    <w:div w:id="1218513158">
      <w:bodyDiv w:val="1"/>
      <w:marLeft w:val="0"/>
      <w:marRight w:val="0"/>
      <w:marTop w:val="0"/>
      <w:marBottom w:val="0"/>
      <w:divBdr>
        <w:top w:val="none" w:sz="0" w:space="0" w:color="auto"/>
        <w:left w:val="none" w:sz="0" w:space="0" w:color="auto"/>
        <w:bottom w:val="none" w:sz="0" w:space="0" w:color="auto"/>
        <w:right w:val="none" w:sz="0" w:space="0" w:color="auto"/>
      </w:divBdr>
    </w:div>
    <w:div w:id="1219241512">
      <w:bodyDiv w:val="1"/>
      <w:marLeft w:val="0"/>
      <w:marRight w:val="0"/>
      <w:marTop w:val="0"/>
      <w:marBottom w:val="0"/>
      <w:divBdr>
        <w:top w:val="none" w:sz="0" w:space="0" w:color="auto"/>
        <w:left w:val="none" w:sz="0" w:space="0" w:color="auto"/>
        <w:bottom w:val="none" w:sz="0" w:space="0" w:color="auto"/>
        <w:right w:val="none" w:sz="0" w:space="0" w:color="auto"/>
      </w:divBdr>
    </w:div>
    <w:div w:id="1220290888">
      <w:bodyDiv w:val="1"/>
      <w:marLeft w:val="0"/>
      <w:marRight w:val="0"/>
      <w:marTop w:val="0"/>
      <w:marBottom w:val="0"/>
      <w:divBdr>
        <w:top w:val="none" w:sz="0" w:space="0" w:color="auto"/>
        <w:left w:val="none" w:sz="0" w:space="0" w:color="auto"/>
        <w:bottom w:val="none" w:sz="0" w:space="0" w:color="auto"/>
        <w:right w:val="none" w:sz="0" w:space="0" w:color="auto"/>
      </w:divBdr>
    </w:div>
    <w:div w:id="1221943459">
      <w:bodyDiv w:val="1"/>
      <w:marLeft w:val="0"/>
      <w:marRight w:val="0"/>
      <w:marTop w:val="0"/>
      <w:marBottom w:val="0"/>
      <w:divBdr>
        <w:top w:val="none" w:sz="0" w:space="0" w:color="auto"/>
        <w:left w:val="none" w:sz="0" w:space="0" w:color="auto"/>
        <w:bottom w:val="none" w:sz="0" w:space="0" w:color="auto"/>
        <w:right w:val="none" w:sz="0" w:space="0" w:color="auto"/>
      </w:divBdr>
    </w:div>
    <w:div w:id="1222641729">
      <w:bodyDiv w:val="1"/>
      <w:marLeft w:val="0"/>
      <w:marRight w:val="0"/>
      <w:marTop w:val="0"/>
      <w:marBottom w:val="0"/>
      <w:divBdr>
        <w:top w:val="none" w:sz="0" w:space="0" w:color="auto"/>
        <w:left w:val="none" w:sz="0" w:space="0" w:color="auto"/>
        <w:bottom w:val="none" w:sz="0" w:space="0" w:color="auto"/>
        <w:right w:val="none" w:sz="0" w:space="0" w:color="auto"/>
      </w:divBdr>
    </w:div>
    <w:div w:id="1223327629">
      <w:bodyDiv w:val="1"/>
      <w:marLeft w:val="0"/>
      <w:marRight w:val="0"/>
      <w:marTop w:val="0"/>
      <w:marBottom w:val="0"/>
      <w:divBdr>
        <w:top w:val="none" w:sz="0" w:space="0" w:color="auto"/>
        <w:left w:val="none" w:sz="0" w:space="0" w:color="auto"/>
        <w:bottom w:val="none" w:sz="0" w:space="0" w:color="auto"/>
        <w:right w:val="none" w:sz="0" w:space="0" w:color="auto"/>
      </w:divBdr>
    </w:div>
    <w:div w:id="1223758703">
      <w:bodyDiv w:val="1"/>
      <w:marLeft w:val="0"/>
      <w:marRight w:val="0"/>
      <w:marTop w:val="0"/>
      <w:marBottom w:val="0"/>
      <w:divBdr>
        <w:top w:val="none" w:sz="0" w:space="0" w:color="auto"/>
        <w:left w:val="none" w:sz="0" w:space="0" w:color="auto"/>
        <w:bottom w:val="none" w:sz="0" w:space="0" w:color="auto"/>
        <w:right w:val="none" w:sz="0" w:space="0" w:color="auto"/>
      </w:divBdr>
    </w:div>
    <w:div w:id="1224873687">
      <w:bodyDiv w:val="1"/>
      <w:marLeft w:val="0"/>
      <w:marRight w:val="0"/>
      <w:marTop w:val="0"/>
      <w:marBottom w:val="0"/>
      <w:divBdr>
        <w:top w:val="none" w:sz="0" w:space="0" w:color="auto"/>
        <w:left w:val="none" w:sz="0" w:space="0" w:color="auto"/>
        <w:bottom w:val="none" w:sz="0" w:space="0" w:color="auto"/>
        <w:right w:val="none" w:sz="0" w:space="0" w:color="auto"/>
      </w:divBdr>
      <w:divsChild>
        <w:div w:id="1366833158">
          <w:marLeft w:val="0"/>
          <w:marRight w:val="0"/>
          <w:marTop w:val="0"/>
          <w:marBottom w:val="0"/>
          <w:divBdr>
            <w:top w:val="none" w:sz="0" w:space="0" w:color="auto"/>
            <w:left w:val="none" w:sz="0" w:space="0" w:color="auto"/>
            <w:bottom w:val="none" w:sz="0" w:space="0" w:color="auto"/>
            <w:right w:val="none" w:sz="0" w:space="0" w:color="auto"/>
          </w:divBdr>
          <w:divsChild>
            <w:div w:id="1860317453">
              <w:marLeft w:val="0"/>
              <w:marRight w:val="0"/>
              <w:marTop w:val="0"/>
              <w:marBottom w:val="0"/>
              <w:divBdr>
                <w:top w:val="none" w:sz="0" w:space="0" w:color="auto"/>
                <w:left w:val="none" w:sz="0" w:space="0" w:color="auto"/>
                <w:bottom w:val="none" w:sz="0" w:space="0" w:color="auto"/>
                <w:right w:val="none" w:sz="0" w:space="0" w:color="auto"/>
              </w:divBdr>
              <w:divsChild>
                <w:div w:id="1588349193">
                  <w:marLeft w:val="0"/>
                  <w:marRight w:val="0"/>
                  <w:marTop w:val="0"/>
                  <w:marBottom w:val="0"/>
                  <w:divBdr>
                    <w:top w:val="none" w:sz="0" w:space="0" w:color="auto"/>
                    <w:left w:val="none" w:sz="0" w:space="0" w:color="auto"/>
                    <w:bottom w:val="none" w:sz="0" w:space="0" w:color="auto"/>
                    <w:right w:val="none" w:sz="0" w:space="0" w:color="auto"/>
                  </w:divBdr>
                  <w:divsChild>
                    <w:div w:id="886913611">
                      <w:marLeft w:val="0"/>
                      <w:marRight w:val="0"/>
                      <w:marTop w:val="0"/>
                      <w:marBottom w:val="0"/>
                      <w:divBdr>
                        <w:top w:val="none" w:sz="0" w:space="0" w:color="auto"/>
                        <w:left w:val="none" w:sz="0" w:space="0" w:color="auto"/>
                        <w:bottom w:val="none" w:sz="0" w:space="0" w:color="auto"/>
                        <w:right w:val="none" w:sz="0" w:space="0" w:color="auto"/>
                      </w:divBdr>
                      <w:divsChild>
                        <w:div w:id="1641765542">
                          <w:marLeft w:val="0"/>
                          <w:marRight w:val="0"/>
                          <w:marTop w:val="0"/>
                          <w:marBottom w:val="0"/>
                          <w:divBdr>
                            <w:top w:val="none" w:sz="0" w:space="0" w:color="auto"/>
                            <w:left w:val="none" w:sz="0" w:space="0" w:color="auto"/>
                            <w:bottom w:val="none" w:sz="0" w:space="0" w:color="auto"/>
                            <w:right w:val="none" w:sz="0" w:space="0" w:color="auto"/>
                          </w:divBdr>
                          <w:divsChild>
                            <w:div w:id="1975795282">
                              <w:marLeft w:val="0"/>
                              <w:marRight w:val="0"/>
                              <w:marTop w:val="0"/>
                              <w:marBottom w:val="0"/>
                              <w:divBdr>
                                <w:top w:val="none" w:sz="0" w:space="0" w:color="auto"/>
                                <w:left w:val="none" w:sz="0" w:space="0" w:color="auto"/>
                                <w:bottom w:val="none" w:sz="0" w:space="0" w:color="auto"/>
                                <w:right w:val="none" w:sz="0" w:space="0" w:color="auto"/>
                              </w:divBdr>
                              <w:divsChild>
                                <w:div w:id="1849756519">
                                  <w:marLeft w:val="0"/>
                                  <w:marRight w:val="0"/>
                                  <w:marTop w:val="0"/>
                                  <w:marBottom w:val="0"/>
                                  <w:divBdr>
                                    <w:top w:val="none" w:sz="0" w:space="0" w:color="auto"/>
                                    <w:left w:val="none" w:sz="0" w:space="0" w:color="auto"/>
                                    <w:bottom w:val="none" w:sz="0" w:space="0" w:color="auto"/>
                                    <w:right w:val="none" w:sz="0" w:space="0" w:color="auto"/>
                                  </w:divBdr>
                                  <w:divsChild>
                                    <w:div w:id="1532454605">
                                      <w:marLeft w:val="0"/>
                                      <w:marRight w:val="0"/>
                                      <w:marTop w:val="0"/>
                                      <w:marBottom w:val="0"/>
                                      <w:divBdr>
                                        <w:top w:val="none" w:sz="0" w:space="0" w:color="auto"/>
                                        <w:left w:val="none" w:sz="0" w:space="0" w:color="auto"/>
                                        <w:bottom w:val="none" w:sz="0" w:space="0" w:color="auto"/>
                                        <w:right w:val="none" w:sz="0" w:space="0" w:color="auto"/>
                                      </w:divBdr>
                                      <w:divsChild>
                                        <w:div w:id="107354823">
                                          <w:marLeft w:val="0"/>
                                          <w:marRight w:val="0"/>
                                          <w:marTop w:val="0"/>
                                          <w:marBottom w:val="0"/>
                                          <w:divBdr>
                                            <w:top w:val="none" w:sz="0" w:space="0" w:color="auto"/>
                                            <w:left w:val="none" w:sz="0" w:space="0" w:color="auto"/>
                                            <w:bottom w:val="none" w:sz="0" w:space="0" w:color="auto"/>
                                            <w:right w:val="none" w:sz="0" w:space="0" w:color="auto"/>
                                          </w:divBdr>
                                          <w:divsChild>
                                            <w:div w:id="888420720">
                                              <w:marLeft w:val="0"/>
                                              <w:marRight w:val="0"/>
                                              <w:marTop w:val="0"/>
                                              <w:marBottom w:val="0"/>
                                              <w:divBdr>
                                                <w:top w:val="none" w:sz="0" w:space="0" w:color="auto"/>
                                                <w:left w:val="none" w:sz="0" w:space="0" w:color="auto"/>
                                                <w:bottom w:val="none" w:sz="0" w:space="0" w:color="auto"/>
                                                <w:right w:val="none" w:sz="0" w:space="0" w:color="auto"/>
                                              </w:divBdr>
                                              <w:divsChild>
                                                <w:div w:id="1772965334">
                                                  <w:marLeft w:val="0"/>
                                                  <w:marRight w:val="0"/>
                                                  <w:marTop w:val="0"/>
                                                  <w:marBottom w:val="0"/>
                                                  <w:divBdr>
                                                    <w:top w:val="none" w:sz="0" w:space="0" w:color="auto"/>
                                                    <w:left w:val="none" w:sz="0" w:space="0" w:color="auto"/>
                                                    <w:bottom w:val="none" w:sz="0" w:space="0" w:color="auto"/>
                                                    <w:right w:val="none" w:sz="0" w:space="0" w:color="auto"/>
                                                  </w:divBdr>
                                                  <w:divsChild>
                                                    <w:div w:id="170141001">
                                                      <w:marLeft w:val="0"/>
                                                      <w:marRight w:val="0"/>
                                                      <w:marTop w:val="0"/>
                                                      <w:marBottom w:val="0"/>
                                                      <w:divBdr>
                                                        <w:top w:val="none" w:sz="0" w:space="0" w:color="auto"/>
                                                        <w:left w:val="none" w:sz="0" w:space="0" w:color="auto"/>
                                                        <w:bottom w:val="none" w:sz="0" w:space="0" w:color="auto"/>
                                                        <w:right w:val="none" w:sz="0" w:space="0" w:color="auto"/>
                                                      </w:divBdr>
                                                      <w:divsChild>
                                                        <w:div w:id="146751803">
                                                          <w:marLeft w:val="0"/>
                                                          <w:marRight w:val="0"/>
                                                          <w:marTop w:val="0"/>
                                                          <w:marBottom w:val="0"/>
                                                          <w:divBdr>
                                                            <w:top w:val="none" w:sz="0" w:space="0" w:color="auto"/>
                                                            <w:left w:val="none" w:sz="0" w:space="0" w:color="auto"/>
                                                            <w:bottom w:val="none" w:sz="0" w:space="0" w:color="auto"/>
                                                            <w:right w:val="none" w:sz="0" w:space="0" w:color="auto"/>
                                                          </w:divBdr>
                                                          <w:divsChild>
                                                            <w:div w:id="1560046910">
                                                              <w:marLeft w:val="0"/>
                                                              <w:marRight w:val="0"/>
                                                              <w:marTop w:val="0"/>
                                                              <w:marBottom w:val="0"/>
                                                              <w:divBdr>
                                                                <w:top w:val="none" w:sz="0" w:space="0" w:color="auto"/>
                                                                <w:left w:val="none" w:sz="0" w:space="0" w:color="auto"/>
                                                                <w:bottom w:val="none" w:sz="0" w:space="0" w:color="auto"/>
                                                                <w:right w:val="none" w:sz="0" w:space="0" w:color="auto"/>
                                                              </w:divBdr>
                                                              <w:divsChild>
                                                                <w:div w:id="1754936082">
                                                                  <w:marLeft w:val="0"/>
                                                                  <w:marRight w:val="0"/>
                                                                  <w:marTop w:val="0"/>
                                                                  <w:marBottom w:val="0"/>
                                                                  <w:divBdr>
                                                                    <w:top w:val="none" w:sz="0" w:space="0" w:color="auto"/>
                                                                    <w:left w:val="none" w:sz="0" w:space="0" w:color="auto"/>
                                                                    <w:bottom w:val="none" w:sz="0" w:space="0" w:color="auto"/>
                                                                    <w:right w:val="none" w:sz="0" w:space="0" w:color="auto"/>
                                                                  </w:divBdr>
                                                                  <w:divsChild>
                                                                    <w:div w:id="1004865359">
                                                                      <w:marLeft w:val="0"/>
                                                                      <w:marRight w:val="0"/>
                                                                      <w:marTop w:val="0"/>
                                                                      <w:marBottom w:val="0"/>
                                                                      <w:divBdr>
                                                                        <w:top w:val="none" w:sz="0" w:space="0" w:color="auto"/>
                                                                        <w:left w:val="none" w:sz="0" w:space="0" w:color="auto"/>
                                                                        <w:bottom w:val="none" w:sz="0" w:space="0" w:color="auto"/>
                                                                        <w:right w:val="none" w:sz="0" w:space="0" w:color="auto"/>
                                                                      </w:divBdr>
                                                                      <w:divsChild>
                                                                        <w:div w:id="1834834500">
                                                                          <w:marLeft w:val="0"/>
                                                                          <w:marRight w:val="0"/>
                                                                          <w:marTop w:val="0"/>
                                                                          <w:marBottom w:val="0"/>
                                                                          <w:divBdr>
                                                                            <w:top w:val="none" w:sz="0" w:space="0" w:color="auto"/>
                                                                            <w:left w:val="none" w:sz="0" w:space="0" w:color="auto"/>
                                                                            <w:bottom w:val="none" w:sz="0" w:space="0" w:color="auto"/>
                                                                            <w:right w:val="none" w:sz="0" w:space="0" w:color="auto"/>
                                                                          </w:divBdr>
                                                                          <w:divsChild>
                                                                            <w:div w:id="442841115">
                                                                              <w:marLeft w:val="0"/>
                                                                              <w:marRight w:val="0"/>
                                                                              <w:marTop w:val="0"/>
                                                                              <w:marBottom w:val="0"/>
                                                                              <w:divBdr>
                                                                                <w:top w:val="none" w:sz="0" w:space="0" w:color="auto"/>
                                                                                <w:left w:val="none" w:sz="0" w:space="0" w:color="auto"/>
                                                                                <w:bottom w:val="none" w:sz="0" w:space="0" w:color="auto"/>
                                                                                <w:right w:val="none" w:sz="0" w:space="0" w:color="auto"/>
                                                                              </w:divBdr>
                                                                              <w:divsChild>
                                                                                <w:div w:id="1805730644">
                                                                                  <w:marLeft w:val="0"/>
                                                                                  <w:marRight w:val="0"/>
                                                                                  <w:marTop w:val="0"/>
                                                                                  <w:marBottom w:val="0"/>
                                                                                  <w:divBdr>
                                                                                    <w:top w:val="none" w:sz="0" w:space="0" w:color="auto"/>
                                                                                    <w:left w:val="none" w:sz="0" w:space="0" w:color="auto"/>
                                                                                    <w:bottom w:val="none" w:sz="0" w:space="0" w:color="auto"/>
                                                                                    <w:right w:val="none" w:sz="0" w:space="0" w:color="auto"/>
                                                                                  </w:divBdr>
                                                                                  <w:divsChild>
                                                                                    <w:div w:id="95253822">
                                                                                      <w:marLeft w:val="0"/>
                                                                                      <w:marRight w:val="0"/>
                                                                                      <w:marTop w:val="0"/>
                                                                                      <w:marBottom w:val="0"/>
                                                                                      <w:divBdr>
                                                                                        <w:top w:val="none" w:sz="0" w:space="0" w:color="auto"/>
                                                                                        <w:left w:val="none" w:sz="0" w:space="0" w:color="auto"/>
                                                                                        <w:bottom w:val="none" w:sz="0" w:space="0" w:color="auto"/>
                                                                                        <w:right w:val="none" w:sz="0" w:space="0" w:color="auto"/>
                                                                                      </w:divBdr>
                                                                                      <w:divsChild>
                                                                                        <w:div w:id="1770664246">
                                                                                          <w:marLeft w:val="0"/>
                                                                                          <w:marRight w:val="0"/>
                                                                                          <w:marTop w:val="0"/>
                                                                                          <w:marBottom w:val="0"/>
                                                                                          <w:divBdr>
                                                                                            <w:top w:val="none" w:sz="0" w:space="0" w:color="auto"/>
                                                                                            <w:left w:val="none" w:sz="0" w:space="0" w:color="auto"/>
                                                                                            <w:bottom w:val="none" w:sz="0" w:space="0" w:color="auto"/>
                                                                                            <w:right w:val="none" w:sz="0" w:space="0" w:color="auto"/>
                                                                                          </w:divBdr>
                                                                                          <w:divsChild>
                                                                                            <w:div w:id="180823579">
                                                                                              <w:marLeft w:val="0"/>
                                                                                              <w:marRight w:val="120"/>
                                                                                              <w:marTop w:val="0"/>
                                                                                              <w:marBottom w:val="150"/>
                                                                                              <w:divBdr>
                                                                                                <w:top w:val="single" w:sz="2" w:space="0" w:color="EFEFEF"/>
                                                                                                <w:left w:val="single" w:sz="6" w:space="0" w:color="EFEFEF"/>
                                                                                                <w:bottom w:val="single" w:sz="6" w:space="0" w:color="E2E2E2"/>
                                                                                                <w:right w:val="single" w:sz="6" w:space="0" w:color="EFEFEF"/>
                                                                                              </w:divBdr>
                                                                                              <w:divsChild>
                                                                                                <w:div w:id="867647156">
                                                                                                  <w:marLeft w:val="0"/>
                                                                                                  <w:marRight w:val="0"/>
                                                                                                  <w:marTop w:val="0"/>
                                                                                                  <w:marBottom w:val="0"/>
                                                                                                  <w:divBdr>
                                                                                                    <w:top w:val="none" w:sz="0" w:space="0" w:color="auto"/>
                                                                                                    <w:left w:val="none" w:sz="0" w:space="0" w:color="auto"/>
                                                                                                    <w:bottom w:val="none" w:sz="0" w:space="0" w:color="auto"/>
                                                                                                    <w:right w:val="none" w:sz="0" w:space="0" w:color="auto"/>
                                                                                                  </w:divBdr>
                                                                                                  <w:divsChild>
                                                                                                    <w:div w:id="33509052">
                                                                                                      <w:marLeft w:val="0"/>
                                                                                                      <w:marRight w:val="0"/>
                                                                                                      <w:marTop w:val="0"/>
                                                                                                      <w:marBottom w:val="0"/>
                                                                                                      <w:divBdr>
                                                                                                        <w:top w:val="none" w:sz="0" w:space="0" w:color="auto"/>
                                                                                                        <w:left w:val="none" w:sz="0" w:space="0" w:color="auto"/>
                                                                                                        <w:bottom w:val="none" w:sz="0" w:space="0" w:color="auto"/>
                                                                                                        <w:right w:val="none" w:sz="0" w:space="0" w:color="auto"/>
                                                                                                      </w:divBdr>
                                                                                                      <w:divsChild>
                                                                                                        <w:div w:id="553321165">
                                                                                                          <w:marLeft w:val="0"/>
                                                                                                          <w:marRight w:val="0"/>
                                                                                                          <w:marTop w:val="0"/>
                                                                                                          <w:marBottom w:val="0"/>
                                                                                                          <w:divBdr>
                                                                                                            <w:top w:val="none" w:sz="0" w:space="0" w:color="auto"/>
                                                                                                            <w:left w:val="none" w:sz="0" w:space="0" w:color="auto"/>
                                                                                                            <w:bottom w:val="none" w:sz="0" w:space="0" w:color="auto"/>
                                                                                                            <w:right w:val="none" w:sz="0" w:space="0" w:color="auto"/>
                                                                                                          </w:divBdr>
                                                                                                          <w:divsChild>
                                                                                                            <w:div w:id="1997148565">
                                                                                                              <w:marLeft w:val="0"/>
                                                                                                              <w:marRight w:val="0"/>
                                                                                                              <w:marTop w:val="0"/>
                                                                                                              <w:marBottom w:val="0"/>
                                                                                                              <w:divBdr>
                                                                                                                <w:top w:val="none" w:sz="0" w:space="0" w:color="auto"/>
                                                                                                                <w:left w:val="none" w:sz="0" w:space="0" w:color="auto"/>
                                                                                                                <w:bottom w:val="none" w:sz="0" w:space="0" w:color="auto"/>
                                                                                                                <w:right w:val="none" w:sz="0" w:space="0" w:color="auto"/>
                                                                                                              </w:divBdr>
                                                                                                              <w:divsChild>
                                                                                                                <w:div w:id="2108429900">
                                                                                                                  <w:marLeft w:val="0"/>
                                                                                                                  <w:marRight w:val="0"/>
                                                                                                                  <w:marTop w:val="0"/>
                                                                                                                  <w:marBottom w:val="0"/>
                                                                                                                  <w:divBdr>
                                                                                                                    <w:top w:val="single" w:sz="2" w:space="4" w:color="D8D8D8"/>
                                                                                                                    <w:left w:val="single" w:sz="2" w:space="0" w:color="D8D8D8"/>
                                                                                                                    <w:bottom w:val="single" w:sz="2" w:space="4" w:color="D8D8D8"/>
                                                                                                                    <w:right w:val="single" w:sz="2" w:space="0" w:color="D8D8D8"/>
                                                                                                                  </w:divBdr>
                                                                                                                  <w:divsChild>
                                                                                                                    <w:div w:id="1868760628">
                                                                                                                      <w:marLeft w:val="225"/>
                                                                                                                      <w:marRight w:val="225"/>
                                                                                                                      <w:marTop w:val="75"/>
                                                                                                                      <w:marBottom w:val="75"/>
                                                                                                                      <w:divBdr>
                                                                                                                        <w:top w:val="none" w:sz="0" w:space="0" w:color="auto"/>
                                                                                                                        <w:left w:val="none" w:sz="0" w:space="0" w:color="auto"/>
                                                                                                                        <w:bottom w:val="none" w:sz="0" w:space="0" w:color="auto"/>
                                                                                                                        <w:right w:val="none" w:sz="0" w:space="0" w:color="auto"/>
                                                                                                                      </w:divBdr>
                                                                                                                      <w:divsChild>
                                                                                                                        <w:div w:id="1173569510">
                                                                                                                          <w:marLeft w:val="0"/>
                                                                                                                          <w:marRight w:val="0"/>
                                                                                                                          <w:marTop w:val="0"/>
                                                                                                                          <w:marBottom w:val="0"/>
                                                                                                                          <w:divBdr>
                                                                                                                            <w:top w:val="single" w:sz="6" w:space="0" w:color="auto"/>
                                                                                                                            <w:left w:val="single" w:sz="6" w:space="0" w:color="auto"/>
                                                                                                                            <w:bottom w:val="single" w:sz="6" w:space="0" w:color="auto"/>
                                                                                                                            <w:right w:val="single" w:sz="6" w:space="0" w:color="auto"/>
                                                                                                                          </w:divBdr>
                                                                                                                          <w:divsChild>
                                                                                                                            <w:div w:id="1917784077">
                                                                                                                              <w:marLeft w:val="0"/>
                                                                                                                              <w:marRight w:val="0"/>
                                                                                                                              <w:marTop w:val="0"/>
                                                                                                                              <w:marBottom w:val="0"/>
                                                                                                                              <w:divBdr>
                                                                                                                                <w:top w:val="none" w:sz="0" w:space="0" w:color="auto"/>
                                                                                                                                <w:left w:val="none" w:sz="0" w:space="0" w:color="auto"/>
                                                                                                                                <w:bottom w:val="none" w:sz="0" w:space="0" w:color="auto"/>
                                                                                                                                <w:right w:val="none" w:sz="0" w:space="0" w:color="auto"/>
                                                                                                                              </w:divBdr>
                                                                                                                              <w:divsChild>
                                                                                                                                <w:div w:id="10145784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225873404">
      <w:bodyDiv w:val="1"/>
      <w:marLeft w:val="0"/>
      <w:marRight w:val="0"/>
      <w:marTop w:val="0"/>
      <w:marBottom w:val="0"/>
      <w:divBdr>
        <w:top w:val="none" w:sz="0" w:space="0" w:color="auto"/>
        <w:left w:val="none" w:sz="0" w:space="0" w:color="auto"/>
        <w:bottom w:val="none" w:sz="0" w:space="0" w:color="auto"/>
        <w:right w:val="none" w:sz="0" w:space="0" w:color="auto"/>
      </w:divBdr>
    </w:div>
    <w:div w:id="1227717180">
      <w:bodyDiv w:val="1"/>
      <w:marLeft w:val="0"/>
      <w:marRight w:val="0"/>
      <w:marTop w:val="0"/>
      <w:marBottom w:val="0"/>
      <w:divBdr>
        <w:top w:val="none" w:sz="0" w:space="0" w:color="auto"/>
        <w:left w:val="none" w:sz="0" w:space="0" w:color="auto"/>
        <w:bottom w:val="none" w:sz="0" w:space="0" w:color="auto"/>
        <w:right w:val="none" w:sz="0" w:space="0" w:color="auto"/>
      </w:divBdr>
      <w:divsChild>
        <w:div w:id="20085157">
          <w:marLeft w:val="1080"/>
          <w:marRight w:val="0"/>
          <w:marTop w:val="100"/>
          <w:marBottom w:val="0"/>
          <w:divBdr>
            <w:top w:val="none" w:sz="0" w:space="0" w:color="auto"/>
            <w:left w:val="none" w:sz="0" w:space="0" w:color="auto"/>
            <w:bottom w:val="none" w:sz="0" w:space="0" w:color="auto"/>
            <w:right w:val="none" w:sz="0" w:space="0" w:color="auto"/>
          </w:divBdr>
        </w:div>
        <w:div w:id="104153331">
          <w:marLeft w:val="360"/>
          <w:marRight w:val="0"/>
          <w:marTop w:val="200"/>
          <w:marBottom w:val="0"/>
          <w:divBdr>
            <w:top w:val="none" w:sz="0" w:space="0" w:color="auto"/>
            <w:left w:val="none" w:sz="0" w:space="0" w:color="auto"/>
            <w:bottom w:val="none" w:sz="0" w:space="0" w:color="auto"/>
            <w:right w:val="none" w:sz="0" w:space="0" w:color="auto"/>
          </w:divBdr>
        </w:div>
        <w:div w:id="770007813">
          <w:marLeft w:val="1080"/>
          <w:marRight w:val="0"/>
          <w:marTop w:val="100"/>
          <w:marBottom w:val="0"/>
          <w:divBdr>
            <w:top w:val="none" w:sz="0" w:space="0" w:color="auto"/>
            <w:left w:val="none" w:sz="0" w:space="0" w:color="auto"/>
            <w:bottom w:val="none" w:sz="0" w:space="0" w:color="auto"/>
            <w:right w:val="none" w:sz="0" w:space="0" w:color="auto"/>
          </w:divBdr>
        </w:div>
        <w:div w:id="912936611">
          <w:marLeft w:val="1080"/>
          <w:marRight w:val="0"/>
          <w:marTop w:val="100"/>
          <w:marBottom w:val="0"/>
          <w:divBdr>
            <w:top w:val="none" w:sz="0" w:space="0" w:color="auto"/>
            <w:left w:val="none" w:sz="0" w:space="0" w:color="auto"/>
            <w:bottom w:val="none" w:sz="0" w:space="0" w:color="auto"/>
            <w:right w:val="none" w:sz="0" w:space="0" w:color="auto"/>
          </w:divBdr>
        </w:div>
        <w:div w:id="1936743948">
          <w:marLeft w:val="1080"/>
          <w:marRight w:val="0"/>
          <w:marTop w:val="100"/>
          <w:marBottom w:val="0"/>
          <w:divBdr>
            <w:top w:val="none" w:sz="0" w:space="0" w:color="auto"/>
            <w:left w:val="none" w:sz="0" w:space="0" w:color="auto"/>
            <w:bottom w:val="none" w:sz="0" w:space="0" w:color="auto"/>
            <w:right w:val="none" w:sz="0" w:space="0" w:color="auto"/>
          </w:divBdr>
        </w:div>
      </w:divsChild>
    </w:div>
    <w:div w:id="1227761631">
      <w:bodyDiv w:val="1"/>
      <w:marLeft w:val="0"/>
      <w:marRight w:val="0"/>
      <w:marTop w:val="0"/>
      <w:marBottom w:val="0"/>
      <w:divBdr>
        <w:top w:val="none" w:sz="0" w:space="0" w:color="auto"/>
        <w:left w:val="none" w:sz="0" w:space="0" w:color="auto"/>
        <w:bottom w:val="none" w:sz="0" w:space="0" w:color="auto"/>
        <w:right w:val="none" w:sz="0" w:space="0" w:color="auto"/>
      </w:divBdr>
    </w:div>
    <w:div w:id="1227961247">
      <w:bodyDiv w:val="1"/>
      <w:marLeft w:val="0"/>
      <w:marRight w:val="0"/>
      <w:marTop w:val="0"/>
      <w:marBottom w:val="0"/>
      <w:divBdr>
        <w:top w:val="none" w:sz="0" w:space="0" w:color="auto"/>
        <w:left w:val="none" w:sz="0" w:space="0" w:color="auto"/>
        <w:bottom w:val="none" w:sz="0" w:space="0" w:color="auto"/>
        <w:right w:val="none" w:sz="0" w:space="0" w:color="auto"/>
      </w:divBdr>
      <w:divsChild>
        <w:div w:id="326594628">
          <w:marLeft w:val="1166"/>
          <w:marRight w:val="0"/>
          <w:marTop w:val="0"/>
          <w:marBottom w:val="0"/>
          <w:divBdr>
            <w:top w:val="none" w:sz="0" w:space="0" w:color="auto"/>
            <w:left w:val="none" w:sz="0" w:space="0" w:color="auto"/>
            <w:bottom w:val="none" w:sz="0" w:space="0" w:color="auto"/>
            <w:right w:val="none" w:sz="0" w:space="0" w:color="auto"/>
          </w:divBdr>
        </w:div>
        <w:div w:id="577978788">
          <w:marLeft w:val="1166"/>
          <w:marRight w:val="0"/>
          <w:marTop w:val="0"/>
          <w:marBottom w:val="0"/>
          <w:divBdr>
            <w:top w:val="none" w:sz="0" w:space="0" w:color="auto"/>
            <w:left w:val="none" w:sz="0" w:space="0" w:color="auto"/>
            <w:bottom w:val="none" w:sz="0" w:space="0" w:color="auto"/>
            <w:right w:val="none" w:sz="0" w:space="0" w:color="auto"/>
          </w:divBdr>
        </w:div>
        <w:div w:id="664019298">
          <w:marLeft w:val="1800"/>
          <w:marRight w:val="0"/>
          <w:marTop w:val="0"/>
          <w:marBottom w:val="0"/>
          <w:divBdr>
            <w:top w:val="none" w:sz="0" w:space="0" w:color="auto"/>
            <w:left w:val="none" w:sz="0" w:space="0" w:color="auto"/>
            <w:bottom w:val="none" w:sz="0" w:space="0" w:color="auto"/>
            <w:right w:val="none" w:sz="0" w:space="0" w:color="auto"/>
          </w:divBdr>
        </w:div>
        <w:div w:id="765541832">
          <w:marLeft w:val="547"/>
          <w:marRight w:val="0"/>
          <w:marTop w:val="0"/>
          <w:marBottom w:val="0"/>
          <w:divBdr>
            <w:top w:val="none" w:sz="0" w:space="0" w:color="auto"/>
            <w:left w:val="none" w:sz="0" w:space="0" w:color="auto"/>
            <w:bottom w:val="none" w:sz="0" w:space="0" w:color="auto"/>
            <w:right w:val="none" w:sz="0" w:space="0" w:color="auto"/>
          </w:divBdr>
        </w:div>
        <w:div w:id="919755567">
          <w:marLeft w:val="1800"/>
          <w:marRight w:val="0"/>
          <w:marTop w:val="0"/>
          <w:marBottom w:val="0"/>
          <w:divBdr>
            <w:top w:val="none" w:sz="0" w:space="0" w:color="auto"/>
            <w:left w:val="none" w:sz="0" w:space="0" w:color="auto"/>
            <w:bottom w:val="none" w:sz="0" w:space="0" w:color="auto"/>
            <w:right w:val="none" w:sz="0" w:space="0" w:color="auto"/>
          </w:divBdr>
        </w:div>
        <w:div w:id="1654337942">
          <w:marLeft w:val="1166"/>
          <w:marRight w:val="0"/>
          <w:marTop w:val="0"/>
          <w:marBottom w:val="0"/>
          <w:divBdr>
            <w:top w:val="none" w:sz="0" w:space="0" w:color="auto"/>
            <w:left w:val="none" w:sz="0" w:space="0" w:color="auto"/>
            <w:bottom w:val="none" w:sz="0" w:space="0" w:color="auto"/>
            <w:right w:val="none" w:sz="0" w:space="0" w:color="auto"/>
          </w:divBdr>
        </w:div>
        <w:div w:id="2034762229">
          <w:marLeft w:val="1800"/>
          <w:marRight w:val="0"/>
          <w:marTop w:val="0"/>
          <w:marBottom w:val="0"/>
          <w:divBdr>
            <w:top w:val="none" w:sz="0" w:space="0" w:color="auto"/>
            <w:left w:val="none" w:sz="0" w:space="0" w:color="auto"/>
            <w:bottom w:val="none" w:sz="0" w:space="0" w:color="auto"/>
            <w:right w:val="none" w:sz="0" w:space="0" w:color="auto"/>
          </w:divBdr>
        </w:div>
      </w:divsChild>
    </w:div>
    <w:div w:id="1228606988">
      <w:bodyDiv w:val="1"/>
      <w:marLeft w:val="0"/>
      <w:marRight w:val="0"/>
      <w:marTop w:val="0"/>
      <w:marBottom w:val="0"/>
      <w:divBdr>
        <w:top w:val="none" w:sz="0" w:space="0" w:color="auto"/>
        <w:left w:val="none" w:sz="0" w:space="0" w:color="auto"/>
        <w:bottom w:val="none" w:sz="0" w:space="0" w:color="auto"/>
        <w:right w:val="none" w:sz="0" w:space="0" w:color="auto"/>
      </w:divBdr>
    </w:div>
    <w:div w:id="1228614058">
      <w:bodyDiv w:val="1"/>
      <w:marLeft w:val="0"/>
      <w:marRight w:val="0"/>
      <w:marTop w:val="0"/>
      <w:marBottom w:val="0"/>
      <w:divBdr>
        <w:top w:val="none" w:sz="0" w:space="0" w:color="auto"/>
        <w:left w:val="none" w:sz="0" w:space="0" w:color="auto"/>
        <w:bottom w:val="none" w:sz="0" w:space="0" w:color="auto"/>
        <w:right w:val="none" w:sz="0" w:space="0" w:color="auto"/>
      </w:divBdr>
    </w:div>
    <w:div w:id="1230191227">
      <w:bodyDiv w:val="1"/>
      <w:marLeft w:val="0"/>
      <w:marRight w:val="0"/>
      <w:marTop w:val="0"/>
      <w:marBottom w:val="0"/>
      <w:divBdr>
        <w:top w:val="none" w:sz="0" w:space="0" w:color="auto"/>
        <w:left w:val="none" w:sz="0" w:space="0" w:color="auto"/>
        <w:bottom w:val="none" w:sz="0" w:space="0" w:color="auto"/>
        <w:right w:val="none" w:sz="0" w:space="0" w:color="auto"/>
      </w:divBdr>
      <w:divsChild>
        <w:div w:id="20474819">
          <w:marLeft w:val="1166"/>
          <w:marRight w:val="0"/>
          <w:marTop w:val="115"/>
          <w:marBottom w:val="0"/>
          <w:divBdr>
            <w:top w:val="none" w:sz="0" w:space="0" w:color="auto"/>
            <w:left w:val="none" w:sz="0" w:space="0" w:color="auto"/>
            <w:bottom w:val="none" w:sz="0" w:space="0" w:color="auto"/>
            <w:right w:val="none" w:sz="0" w:space="0" w:color="auto"/>
          </w:divBdr>
        </w:div>
        <w:div w:id="1050573598">
          <w:marLeft w:val="547"/>
          <w:marRight w:val="0"/>
          <w:marTop w:val="134"/>
          <w:marBottom w:val="0"/>
          <w:divBdr>
            <w:top w:val="none" w:sz="0" w:space="0" w:color="auto"/>
            <w:left w:val="none" w:sz="0" w:space="0" w:color="auto"/>
            <w:bottom w:val="none" w:sz="0" w:space="0" w:color="auto"/>
            <w:right w:val="none" w:sz="0" w:space="0" w:color="auto"/>
          </w:divBdr>
        </w:div>
        <w:div w:id="1808468881">
          <w:marLeft w:val="1800"/>
          <w:marRight w:val="0"/>
          <w:marTop w:val="96"/>
          <w:marBottom w:val="0"/>
          <w:divBdr>
            <w:top w:val="none" w:sz="0" w:space="0" w:color="auto"/>
            <w:left w:val="none" w:sz="0" w:space="0" w:color="auto"/>
            <w:bottom w:val="none" w:sz="0" w:space="0" w:color="auto"/>
            <w:right w:val="none" w:sz="0" w:space="0" w:color="auto"/>
          </w:divBdr>
        </w:div>
      </w:divsChild>
    </w:div>
    <w:div w:id="1230655393">
      <w:bodyDiv w:val="1"/>
      <w:marLeft w:val="0"/>
      <w:marRight w:val="0"/>
      <w:marTop w:val="0"/>
      <w:marBottom w:val="0"/>
      <w:divBdr>
        <w:top w:val="none" w:sz="0" w:space="0" w:color="auto"/>
        <w:left w:val="none" w:sz="0" w:space="0" w:color="auto"/>
        <w:bottom w:val="none" w:sz="0" w:space="0" w:color="auto"/>
        <w:right w:val="none" w:sz="0" w:space="0" w:color="auto"/>
      </w:divBdr>
    </w:div>
    <w:div w:id="1232227657">
      <w:bodyDiv w:val="1"/>
      <w:marLeft w:val="0"/>
      <w:marRight w:val="0"/>
      <w:marTop w:val="0"/>
      <w:marBottom w:val="0"/>
      <w:divBdr>
        <w:top w:val="none" w:sz="0" w:space="0" w:color="auto"/>
        <w:left w:val="none" w:sz="0" w:space="0" w:color="auto"/>
        <w:bottom w:val="none" w:sz="0" w:space="0" w:color="auto"/>
        <w:right w:val="none" w:sz="0" w:space="0" w:color="auto"/>
      </w:divBdr>
    </w:div>
    <w:div w:id="1232540924">
      <w:bodyDiv w:val="1"/>
      <w:marLeft w:val="0"/>
      <w:marRight w:val="0"/>
      <w:marTop w:val="0"/>
      <w:marBottom w:val="0"/>
      <w:divBdr>
        <w:top w:val="none" w:sz="0" w:space="0" w:color="auto"/>
        <w:left w:val="none" w:sz="0" w:space="0" w:color="auto"/>
        <w:bottom w:val="none" w:sz="0" w:space="0" w:color="auto"/>
        <w:right w:val="none" w:sz="0" w:space="0" w:color="auto"/>
      </w:divBdr>
    </w:div>
    <w:div w:id="1232547454">
      <w:bodyDiv w:val="1"/>
      <w:marLeft w:val="0"/>
      <w:marRight w:val="0"/>
      <w:marTop w:val="0"/>
      <w:marBottom w:val="0"/>
      <w:divBdr>
        <w:top w:val="none" w:sz="0" w:space="0" w:color="auto"/>
        <w:left w:val="none" w:sz="0" w:space="0" w:color="auto"/>
        <w:bottom w:val="none" w:sz="0" w:space="0" w:color="auto"/>
        <w:right w:val="none" w:sz="0" w:space="0" w:color="auto"/>
      </w:divBdr>
      <w:divsChild>
        <w:div w:id="667634736">
          <w:marLeft w:val="1166"/>
          <w:marRight w:val="0"/>
          <w:marTop w:val="134"/>
          <w:marBottom w:val="0"/>
          <w:divBdr>
            <w:top w:val="none" w:sz="0" w:space="0" w:color="auto"/>
            <w:left w:val="none" w:sz="0" w:space="0" w:color="auto"/>
            <w:bottom w:val="none" w:sz="0" w:space="0" w:color="auto"/>
            <w:right w:val="none" w:sz="0" w:space="0" w:color="auto"/>
          </w:divBdr>
        </w:div>
        <w:div w:id="1434858124">
          <w:marLeft w:val="1800"/>
          <w:marRight w:val="0"/>
          <w:marTop w:val="115"/>
          <w:marBottom w:val="0"/>
          <w:divBdr>
            <w:top w:val="none" w:sz="0" w:space="0" w:color="auto"/>
            <w:left w:val="none" w:sz="0" w:space="0" w:color="auto"/>
            <w:bottom w:val="none" w:sz="0" w:space="0" w:color="auto"/>
            <w:right w:val="none" w:sz="0" w:space="0" w:color="auto"/>
          </w:divBdr>
        </w:div>
        <w:div w:id="1732727756">
          <w:marLeft w:val="1166"/>
          <w:marRight w:val="0"/>
          <w:marTop w:val="134"/>
          <w:marBottom w:val="0"/>
          <w:divBdr>
            <w:top w:val="none" w:sz="0" w:space="0" w:color="auto"/>
            <w:left w:val="none" w:sz="0" w:space="0" w:color="auto"/>
            <w:bottom w:val="none" w:sz="0" w:space="0" w:color="auto"/>
            <w:right w:val="none" w:sz="0" w:space="0" w:color="auto"/>
          </w:divBdr>
        </w:div>
        <w:div w:id="1761176225">
          <w:marLeft w:val="547"/>
          <w:marRight w:val="0"/>
          <w:marTop w:val="154"/>
          <w:marBottom w:val="0"/>
          <w:divBdr>
            <w:top w:val="none" w:sz="0" w:space="0" w:color="auto"/>
            <w:left w:val="none" w:sz="0" w:space="0" w:color="auto"/>
            <w:bottom w:val="none" w:sz="0" w:space="0" w:color="auto"/>
            <w:right w:val="none" w:sz="0" w:space="0" w:color="auto"/>
          </w:divBdr>
        </w:div>
      </w:divsChild>
    </w:div>
    <w:div w:id="1234583399">
      <w:bodyDiv w:val="1"/>
      <w:marLeft w:val="0"/>
      <w:marRight w:val="0"/>
      <w:marTop w:val="0"/>
      <w:marBottom w:val="0"/>
      <w:divBdr>
        <w:top w:val="none" w:sz="0" w:space="0" w:color="auto"/>
        <w:left w:val="none" w:sz="0" w:space="0" w:color="auto"/>
        <w:bottom w:val="none" w:sz="0" w:space="0" w:color="auto"/>
        <w:right w:val="none" w:sz="0" w:space="0" w:color="auto"/>
      </w:divBdr>
    </w:div>
    <w:div w:id="1235506028">
      <w:bodyDiv w:val="1"/>
      <w:marLeft w:val="0"/>
      <w:marRight w:val="0"/>
      <w:marTop w:val="0"/>
      <w:marBottom w:val="0"/>
      <w:divBdr>
        <w:top w:val="none" w:sz="0" w:space="0" w:color="auto"/>
        <w:left w:val="none" w:sz="0" w:space="0" w:color="auto"/>
        <w:bottom w:val="none" w:sz="0" w:space="0" w:color="auto"/>
        <w:right w:val="none" w:sz="0" w:space="0" w:color="auto"/>
      </w:divBdr>
    </w:div>
    <w:div w:id="1235506694">
      <w:bodyDiv w:val="1"/>
      <w:marLeft w:val="0"/>
      <w:marRight w:val="0"/>
      <w:marTop w:val="0"/>
      <w:marBottom w:val="0"/>
      <w:divBdr>
        <w:top w:val="none" w:sz="0" w:space="0" w:color="auto"/>
        <w:left w:val="none" w:sz="0" w:space="0" w:color="auto"/>
        <w:bottom w:val="none" w:sz="0" w:space="0" w:color="auto"/>
        <w:right w:val="none" w:sz="0" w:space="0" w:color="auto"/>
      </w:divBdr>
    </w:div>
    <w:div w:id="1236402864">
      <w:bodyDiv w:val="1"/>
      <w:marLeft w:val="0"/>
      <w:marRight w:val="0"/>
      <w:marTop w:val="0"/>
      <w:marBottom w:val="0"/>
      <w:divBdr>
        <w:top w:val="none" w:sz="0" w:space="0" w:color="auto"/>
        <w:left w:val="none" w:sz="0" w:space="0" w:color="auto"/>
        <w:bottom w:val="none" w:sz="0" w:space="0" w:color="auto"/>
        <w:right w:val="none" w:sz="0" w:space="0" w:color="auto"/>
      </w:divBdr>
    </w:div>
    <w:div w:id="1236932945">
      <w:bodyDiv w:val="1"/>
      <w:marLeft w:val="0"/>
      <w:marRight w:val="0"/>
      <w:marTop w:val="0"/>
      <w:marBottom w:val="0"/>
      <w:divBdr>
        <w:top w:val="none" w:sz="0" w:space="0" w:color="auto"/>
        <w:left w:val="none" w:sz="0" w:space="0" w:color="auto"/>
        <w:bottom w:val="none" w:sz="0" w:space="0" w:color="auto"/>
        <w:right w:val="none" w:sz="0" w:space="0" w:color="auto"/>
      </w:divBdr>
      <w:divsChild>
        <w:div w:id="137958336">
          <w:marLeft w:val="1166"/>
          <w:marRight w:val="0"/>
          <w:marTop w:val="96"/>
          <w:marBottom w:val="0"/>
          <w:divBdr>
            <w:top w:val="none" w:sz="0" w:space="0" w:color="auto"/>
            <w:left w:val="none" w:sz="0" w:space="0" w:color="auto"/>
            <w:bottom w:val="none" w:sz="0" w:space="0" w:color="auto"/>
            <w:right w:val="none" w:sz="0" w:space="0" w:color="auto"/>
          </w:divBdr>
        </w:div>
        <w:div w:id="277883325">
          <w:marLeft w:val="1166"/>
          <w:marRight w:val="0"/>
          <w:marTop w:val="96"/>
          <w:marBottom w:val="0"/>
          <w:divBdr>
            <w:top w:val="none" w:sz="0" w:space="0" w:color="auto"/>
            <w:left w:val="none" w:sz="0" w:space="0" w:color="auto"/>
            <w:bottom w:val="none" w:sz="0" w:space="0" w:color="auto"/>
            <w:right w:val="none" w:sz="0" w:space="0" w:color="auto"/>
          </w:divBdr>
        </w:div>
        <w:div w:id="366028271">
          <w:marLeft w:val="1166"/>
          <w:marRight w:val="0"/>
          <w:marTop w:val="96"/>
          <w:marBottom w:val="0"/>
          <w:divBdr>
            <w:top w:val="none" w:sz="0" w:space="0" w:color="auto"/>
            <w:left w:val="none" w:sz="0" w:space="0" w:color="auto"/>
            <w:bottom w:val="none" w:sz="0" w:space="0" w:color="auto"/>
            <w:right w:val="none" w:sz="0" w:space="0" w:color="auto"/>
          </w:divBdr>
        </w:div>
        <w:div w:id="414977183">
          <w:marLeft w:val="1166"/>
          <w:marRight w:val="0"/>
          <w:marTop w:val="96"/>
          <w:marBottom w:val="0"/>
          <w:divBdr>
            <w:top w:val="none" w:sz="0" w:space="0" w:color="auto"/>
            <w:left w:val="none" w:sz="0" w:space="0" w:color="auto"/>
            <w:bottom w:val="none" w:sz="0" w:space="0" w:color="auto"/>
            <w:right w:val="none" w:sz="0" w:space="0" w:color="auto"/>
          </w:divBdr>
        </w:div>
        <w:div w:id="435172405">
          <w:marLeft w:val="1166"/>
          <w:marRight w:val="0"/>
          <w:marTop w:val="96"/>
          <w:marBottom w:val="0"/>
          <w:divBdr>
            <w:top w:val="none" w:sz="0" w:space="0" w:color="auto"/>
            <w:left w:val="none" w:sz="0" w:space="0" w:color="auto"/>
            <w:bottom w:val="none" w:sz="0" w:space="0" w:color="auto"/>
            <w:right w:val="none" w:sz="0" w:space="0" w:color="auto"/>
          </w:divBdr>
        </w:div>
        <w:div w:id="551695541">
          <w:marLeft w:val="547"/>
          <w:marRight w:val="0"/>
          <w:marTop w:val="115"/>
          <w:marBottom w:val="0"/>
          <w:divBdr>
            <w:top w:val="none" w:sz="0" w:space="0" w:color="auto"/>
            <w:left w:val="none" w:sz="0" w:space="0" w:color="auto"/>
            <w:bottom w:val="none" w:sz="0" w:space="0" w:color="auto"/>
            <w:right w:val="none" w:sz="0" w:space="0" w:color="auto"/>
          </w:divBdr>
        </w:div>
        <w:div w:id="1513488774">
          <w:marLeft w:val="1166"/>
          <w:marRight w:val="0"/>
          <w:marTop w:val="96"/>
          <w:marBottom w:val="0"/>
          <w:divBdr>
            <w:top w:val="none" w:sz="0" w:space="0" w:color="auto"/>
            <w:left w:val="none" w:sz="0" w:space="0" w:color="auto"/>
            <w:bottom w:val="none" w:sz="0" w:space="0" w:color="auto"/>
            <w:right w:val="none" w:sz="0" w:space="0" w:color="auto"/>
          </w:divBdr>
        </w:div>
        <w:div w:id="1826167044">
          <w:marLeft w:val="547"/>
          <w:marRight w:val="0"/>
          <w:marTop w:val="115"/>
          <w:marBottom w:val="0"/>
          <w:divBdr>
            <w:top w:val="none" w:sz="0" w:space="0" w:color="auto"/>
            <w:left w:val="none" w:sz="0" w:space="0" w:color="auto"/>
            <w:bottom w:val="none" w:sz="0" w:space="0" w:color="auto"/>
            <w:right w:val="none" w:sz="0" w:space="0" w:color="auto"/>
          </w:divBdr>
        </w:div>
      </w:divsChild>
    </w:div>
    <w:div w:id="1239250845">
      <w:bodyDiv w:val="1"/>
      <w:marLeft w:val="0"/>
      <w:marRight w:val="0"/>
      <w:marTop w:val="0"/>
      <w:marBottom w:val="0"/>
      <w:divBdr>
        <w:top w:val="none" w:sz="0" w:space="0" w:color="auto"/>
        <w:left w:val="none" w:sz="0" w:space="0" w:color="auto"/>
        <w:bottom w:val="none" w:sz="0" w:space="0" w:color="auto"/>
        <w:right w:val="none" w:sz="0" w:space="0" w:color="auto"/>
      </w:divBdr>
    </w:div>
    <w:div w:id="1240752755">
      <w:bodyDiv w:val="1"/>
      <w:marLeft w:val="0"/>
      <w:marRight w:val="0"/>
      <w:marTop w:val="0"/>
      <w:marBottom w:val="0"/>
      <w:divBdr>
        <w:top w:val="none" w:sz="0" w:space="0" w:color="auto"/>
        <w:left w:val="none" w:sz="0" w:space="0" w:color="auto"/>
        <w:bottom w:val="none" w:sz="0" w:space="0" w:color="auto"/>
        <w:right w:val="none" w:sz="0" w:space="0" w:color="auto"/>
      </w:divBdr>
    </w:div>
    <w:div w:id="1240824249">
      <w:bodyDiv w:val="1"/>
      <w:marLeft w:val="0"/>
      <w:marRight w:val="0"/>
      <w:marTop w:val="0"/>
      <w:marBottom w:val="0"/>
      <w:divBdr>
        <w:top w:val="none" w:sz="0" w:space="0" w:color="auto"/>
        <w:left w:val="none" w:sz="0" w:space="0" w:color="auto"/>
        <w:bottom w:val="none" w:sz="0" w:space="0" w:color="auto"/>
        <w:right w:val="none" w:sz="0" w:space="0" w:color="auto"/>
      </w:divBdr>
    </w:div>
    <w:div w:id="1240940247">
      <w:bodyDiv w:val="1"/>
      <w:marLeft w:val="0"/>
      <w:marRight w:val="0"/>
      <w:marTop w:val="0"/>
      <w:marBottom w:val="0"/>
      <w:divBdr>
        <w:top w:val="none" w:sz="0" w:space="0" w:color="auto"/>
        <w:left w:val="none" w:sz="0" w:space="0" w:color="auto"/>
        <w:bottom w:val="none" w:sz="0" w:space="0" w:color="auto"/>
        <w:right w:val="none" w:sz="0" w:space="0" w:color="auto"/>
      </w:divBdr>
    </w:div>
    <w:div w:id="1241017144">
      <w:bodyDiv w:val="1"/>
      <w:marLeft w:val="0"/>
      <w:marRight w:val="0"/>
      <w:marTop w:val="0"/>
      <w:marBottom w:val="0"/>
      <w:divBdr>
        <w:top w:val="none" w:sz="0" w:space="0" w:color="auto"/>
        <w:left w:val="none" w:sz="0" w:space="0" w:color="auto"/>
        <w:bottom w:val="none" w:sz="0" w:space="0" w:color="auto"/>
        <w:right w:val="none" w:sz="0" w:space="0" w:color="auto"/>
      </w:divBdr>
    </w:div>
    <w:div w:id="1241136524">
      <w:bodyDiv w:val="1"/>
      <w:marLeft w:val="0"/>
      <w:marRight w:val="0"/>
      <w:marTop w:val="0"/>
      <w:marBottom w:val="0"/>
      <w:divBdr>
        <w:top w:val="none" w:sz="0" w:space="0" w:color="auto"/>
        <w:left w:val="none" w:sz="0" w:space="0" w:color="auto"/>
        <w:bottom w:val="none" w:sz="0" w:space="0" w:color="auto"/>
        <w:right w:val="none" w:sz="0" w:space="0" w:color="auto"/>
      </w:divBdr>
    </w:div>
    <w:div w:id="1241326842">
      <w:bodyDiv w:val="1"/>
      <w:marLeft w:val="0"/>
      <w:marRight w:val="0"/>
      <w:marTop w:val="0"/>
      <w:marBottom w:val="0"/>
      <w:divBdr>
        <w:top w:val="none" w:sz="0" w:space="0" w:color="auto"/>
        <w:left w:val="none" w:sz="0" w:space="0" w:color="auto"/>
        <w:bottom w:val="none" w:sz="0" w:space="0" w:color="auto"/>
        <w:right w:val="none" w:sz="0" w:space="0" w:color="auto"/>
      </w:divBdr>
    </w:div>
    <w:div w:id="1241401522">
      <w:bodyDiv w:val="1"/>
      <w:marLeft w:val="0"/>
      <w:marRight w:val="0"/>
      <w:marTop w:val="0"/>
      <w:marBottom w:val="0"/>
      <w:divBdr>
        <w:top w:val="none" w:sz="0" w:space="0" w:color="auto"/>
        <w:left w:val="none" w:sz="0" w:space="0" w:color="auto"/>
        <w:bottom w:val="none" w:sz="0" w:space="0" w:color="auto"/>
        <w:right w:val="none" w:sz="0" w:space="0" w:color="auto"/>
      </w:divBdr>
    </w:div>
    <w:div w:id="1244022053">
      <w:bodyDiv w:val="1"/>
      <w:marLeft w:val="0"/>
      <w:marRight w:val="0"/>
      <w:marTop w:val="0"/>
      <w:marBottom w:val="0"/>
      <w:divBdr>
        <w:top w:val="none" w:sz="0" w:space="0" w:color="auto"/>
        <w:left w:val="none" w:sz="0" w:space="0" w:color="auto"/>
        <w:bottom w:val="none" w:sz="0" w:space="0" w:color="auto"/>
        <w:right w:val="none" w:sz="0" w:space="0" w:color="auto"/>
      </w:divBdr>
    </w:div>
    <w:div w:id="1245185233">
      <w:bodyDiv w:val="1"/>
      <w:marLeft w:val="0"/>
      <w:marRight w:val="0"/>
      <w:marTop w:val="0"/>
      <w:marBottom w:val="0"/>
      <w:divBdr>
        <w:top w:val="none" w:sz="0" w:space="0" w:color="auto"/>
        <w:left w:val="none" w:sz="0" w:space="0" w:color="auto"/>
        <w:bottom w:val="none" w:sz="0" w:space="0" w:color="auto"/>
        <w:right w:val="none" w:sz="0" w:space="0" w:color="auto"/>
      </w:divBdr>
      <w:divsChild>
        <w:div w:id="1567766080">
          <w:marLeft w:val="547"/>
          <w:marRight w:val="0"/>
          <w:marTop w:val="154"/>
          <w:marBottom w:val="0"/>
          <w:divBdr>
            <w:top w:val="none" w:sz="0" w:space="0" w:color="auto"/>
            <w:left w:val="none" w:sz="0" w:space="0" w:color="auto"/>
            <w:bottom w:val="none" w:sz="0" w:space="0" w:color="auto"/>
            <w:right w:val="none" w:sz="0" w:space="0" w:color="auto"/>
          </w:divBdr>
        </w:div>
      </w:divsChild>
    </w:div>
    <w:div w:id="1245339281">
      <w:bodyDiv w:val="1"/>
      <w:marLeft w:val="0"/>
      <w:marRight w:val="0"/>
      <w:marTop w:val="0"/>
      <w:marBottom w:val="0"/>
      <w:divBdr>
        <w:top w:val="none" w:sz="0" w:space="0" w:color="auto"/>
        <w:left w:val="none" w:sz="0" w:space="0" w:color="auto"/>
        <w:bottom w:val="none" w:sz="0" w:space="0" w:color="auto"/>
        <w:right w:val="none" w:sz="0" w:space="0" w:color="auto"/>
      </w:divBdr>
    </w:div>
    <w:div w:id="1245795864">
      <w:bodyDiv w:val="1"/>
      <w:marLeft w:val="0"/>
      <w:marRight w:val="0"/>
      <w:marTop w:val="0"/>
      <w:marBottom w:val="0"/>
      <w:divBdr>
        <w:top w:val="none" w:sz="0" w:space="0" w:color="auto"/>
        <w:left w:val="none" w:sz="0" w:space="0" w:color="auto"/>
        <w:bottom w:val="none" w:sz="0" w:space="0" w:color="auto"/>
        <w:right w:val="none" w:sz="0" w:space="0" w:color="auto"/>
      </w:divBdr>
    </w:div>
    <w:div w:id="1246567886">
      <w:bodyDiv w:val="1"/>
      <w:marLeft w:val="0"/>
      <w:marRight w:val="0"/>
      <w:marTop w:val="0"/>
      <w:marBottom w:val="0"/>
      <w:divBdr>
        <w:top w:val="none" w:sz="0" w:space="0" w:color="auto"/>
        <w:left w:val="none" w:sz="0" w:space="0" w:color="auto"/>
        <w:bottom w:val="none" w:sz="0" w:space="0" w:color="auto"/>
        <w:right w:val="none" w:sz="0" w:space="0" w:color="auto"/>
      </w:divBdr>
    </w:div>
    <w:div w:id="1246920533">
      <w:bodyDiv w:val="1"/>
      <w:marLeft w:val="0"/>
      <w:marRight w:val="0"/>
      <w:marTop w:val="0"/>
      <w:marBottom w:val="0"/>
      <w:divBdr>
        <w:top w:val="none" w:sz="0" w:space="0" w:color="auto"/>
        <w:left w:val="none" w:sz="0" w:space="0" w:color="auto"/>
        <w:bottom w:val="none" w:sz="0" w:space="0" w:color="auto"/>
        <w:right w:val="none" w:sz="0" w:space="0" w:color="auto"/>
      </w:divBdr>
    </w:div>
    <w:div w:id="1248268529">
      <w:bodyDiv w:val="1"/>
      <w:marLeft w:val="0"/>
      <w:marRight w:val="0"/>
      <w:marTop w:val="0"/>
      <w:marBottom w:val="0"/>
      <w:divBdr>
        <w:top w:val="none" w:sz="0" w:space="0" w:color="auto"/>
        <w:left w:val="none" w:sz="0" w:space="0" w:color="auto"/>
        <w:bottom w:val="none" w:sz="0" w:space="0" w:color="auto"/>
        <w:right w:val="none" w:sz="0" w:space="0" w:color="auto"/>
      </w:divBdr>
    </w:div>
    <w:div w:id="1250115450">
      <w:bodyDiv w:val="1"/>
      <w:marLeft w:val="0"/>
      <w:marRight w:val="0"/>
      <w:marTop w:val="0"/>
      <w:marBottom w:val="0"/>
      <w:divBdr>
        <w:top w:val="none" w:sz="0" w:space="0" w:color="auto"/>
        <w:left w:val="none" w:sz="0" w:space="0" w:color="auto"/>
        <w:bottom w:val="none" w:sz="0" w:space="0" w:color="auto"/>
        <w:right w:val="none" w:sz="0" w:space="0" w:color="auto"/>
      </w:divBdr>
    </w:div>
    <w:div w:id="1252278788">
      <w:bodyDiv w:val="1"/>
      <w:marLeft w:val="0"/>
      <w:marRight w:val="0"/>
      <w:marTop w:val="0"/>
      <w:marBottom w:val="0"/>
      <w:divBdr>
        <w:top w:val="none" w:sz="0" w:space="0" w:color="auto"/>
        <w:left w:val="none" w:sz="0" w:space="0" w:color="auto"/>
        <w:bottom w:val="none" w:sz="0" w:space="0" w:color="auto"/>
        <w:right w:val="none" w:sz="0" w:space="0" w:color="auto"/>
      </w:divBdr>
    </w:div>
    <w:div w:id="1253009999">
      <w:bodyDiv w:val="1"/>
      <w:marLeft w:val="0"/>
      <w:marRight w:val="0"/>
      <w:marTop w:val="0"/>
      <w:marBottom w:val="0"/>
      <w:divBdr>
        <w:top w:val="none" w:sz="0" w:space="0" w:color="auto"/>
        <w:left w:val="none" w:sz="0" w:space="0" w:color="auto"/>
        <w:bottom w:val="none" w:sz="0" w:space="0" w:color="auto"/>
        <w:right w:val="none" w:sz="0" w:space="0" w:color="auto"/>
      </w:divBdr>
    </w:div>
    <w:div w:id="1254778279">
      <w:bodyDiv w:val="1"/>
      <w:marLeft w:val="0"/>
      <w:marRight w:val="0"/>
      <w:marTop w:val="0"/>
      <w:marBottom w:val="0"/>
      <w:divBdr>
        <w:top w:val="none" w:sz="0" w:space="0" w:color="auto"/>
        <w:left w:val="none" w:sz="0" w:space="0" w:color="auto"/>
        <w:bottom w:val="none" w:sz="0" w:space="0" w:color="auto"/>
        <w:right w:val="none" w:sz="0" w:space="0" w:color="auto"/>
      </w:divBdr>
    </w:div>
    <w:div w:id="1255554172">
      <w:bodyDiv w:val="1"/>
      <w:marLeft w:val="0"/>
      <w:marRight w:val="0"/>
      <w:marTop w:val="0"/>
      <w:marBottom w:val="0"/>
      <w:divBdr>
        <w:top w:val="none" w:sz="0" w:space="0" w:color="auto"/>
        <w:left w:val="none" w:sz="0" w:space="0" w:color="auto"/>
        <w:bottom w:val="none" w:sz="0" w:space="0" w:color="auto"/>
        <w:right w:val="none" w:sz="0" w:space="0" w:color="auto"/>
      </w:divBdr>
    </w:div>
    <w:div w:id="1257321094">
      <w:bodyDiv w:val="1"/>
      <w:marLeft w:val="0"/>
      <w:marRight w:val="0"/>
      <w:marTop w:val="0"/>
      <w:marBottom w:val="0"/>
      <w:divBdr>
        <w:top w:val="none" w:sz="0" w:space="0" w:color="auto"/>
        <w:left w:val="none" w:sz="0" w:space="0" w:color="auto"/>
        <w:bottom w:val="none" w:sz="0" w:space="0" w:color="auto"/>
        <w:right w:val="none" w:sz="0" w:space="0" w:color="auto"/>
      </w:divBdr>
    </w:div>
    <w:div w:id="1257442549">
      <w:bodyDiv w:val="1"/>
      <w:marLeft w:val="0"/>
      <w:marRight w:val="0"/>
      <w:marTop w:val="0"/>
      <w:marBottom w:val="0"/>
      <w:divBdr>
        <w:top w:val="none" w:sz="0" w:space="0" w:color="auto"/>
        <w:left w:val="none" w:sz="0" w:space="0" w:color="auto"/>
        <w:bottom w:val="none" w:sz="0" w:space="0" w:color="auto"/>
        <w:right w:val="none" w:sz="0" w:space="0" w:color="auto"/>
      </w:divBdr>
      <w:divsChild>
        <w:div w:id="174923480">
          <w:marLeft w:val="1166"/>
          <w:marRight w:val="0"/>
          <w:marTop w:val="86"/>
          <w:marBottom w:val="0"/>
          <w:divBdr>
            <w:top w:val="none" w:sz="0" w:space="0" w:color="auto"/>
            <w:left w:val="none" w:sz="0" w:space="0" w:color="auto"/>
            <w:bottom w:val="none" w:sz="0" w:space="0" w:color="auto"/>
            <w:right w:val="none" w:sz="0" w:space="0" w:color="auto"/>
          </w:divBdr>
        </w:div>
        <w:div w:id="358623138">
          <w:marLeft w:val="547"/>
          <w:marRight w:val="0"/>
          <w:marTop w:val="115"/>
          <w:marBottom w:val="0"/>
          <w:divBdr>
            <w:top w:val="none" w:sz="0" w:space="0" w:color="auto"/>
            <w:left w:val="none" w:sz="0" w:space="0" w:color="auto"/>
            <w:bottom w:val="none" w:sz="0" w:space="0" w:color="auto"/>
            <w:right w:val="none" w:sz="0" w:space="0" w:color="auto"/>
          </w:divBdr>
        </w:div>
        <w:div w:id="463277191">
          <w:marLeft w:val="1800"/>
          <w:marRight w:val="0"/>
          <w:marTop w:val="86"/>
          <w:marBottom w:val="0"/>
          <w:divBdr>
            <w:top w:val="none" w:sz="0" w:space="0" w:color="auto"/>
            <w:left w:val="none" w:sz="0" w:space="0" w:color="auto"/>
            <w:bottom w:val="none" w:sz="0" w:space="0" w:color="auto"/>
            <w:right w:val="none" w:sz="0" w:space="0" w:color="auto"/>
          </w:divBdr>
        </w:div>
        <w:div w:id="644512244">
          <w:marLeft w:val="1166"/>
          <w:marRight w:val="0"/>
          <w:marTop w:val="86"/>
          <w:marBottom w:val="0"/>
          <w:divBdr>
            <w:top w:val="none" w:sz="0" w:space="0" w:color="auto"/>
            <w:left w:val="none" w:sz="0" w:space="0" w:color="auto"/>
            <w:bottom w:val="none" w:sz="0" w:space="0" w:color="auto"/>
            <w:right w:val="none" w:sz="0" w:space="0" w:color="auto"/>
          </w:divBdr>
        </w:div>
        <w:div w:id="750927803">
          <w:marLeft w:val="1166"/>
          <w:marRight w:val="0"/>
          <w:marTop w:val="86"/>
          <w:marBottom w:val="0"/>
          <w:divBdr>
            <w:top w:val="none" w:sz="0" w:space="0" w:color="auto"/>
            <w:left w:val="none" w:sz="0" w:space="0" w:color="auto"/>
            <w:bottom w:val="none" w:sz="0" w:space="0" w:color="auto"/>
            <w:right w:val="none" w:sz="0" w:space="0" w:color="auto"/>
          </w:divBdr>
        </w:div>
        <w:div w:id="764499600">
          <w:marLeft w:val="1166"/>
          <w:marRight w:val="0"/>
          <w:marTop w:val="86"/>
          <w:marBottom w:val="0"/>
          <w:divBdr>
            <w:top w:val="none" w:sz="0" w:space="0" w:color="auto"/>
            <w:left w:val="none" w:sz="0" w:space="0" w:color="auto"/>
            <w:bottom w:val="none" w:sz="0" w:space="0" w:color="auto"/>
            <w:right w:val="none" w:sz="0" w:space="0" w:color="auto"/>
          </w:divBdr>
        </w:div>
        <w:div w:id="911548719">
          <w:marLeft w:val="1800"/>
          <w:marRight w:val="0"/>
          <w:marTop w:val="86"/>
          <w:marBottom w:val="0"/>
          <w:divBdr>
            <w:top w:val="none" w:sz="0" w:space="0" w:color="auto"/>
            <w:left w:val="none" w:sz="0" w:space="0" w:color="auto"/>
            <w:bottom w:val="none" w:sz="0" w:space="0" w:color="auto"/>
            <w:right w:val="none" w:sz="0" w:space="0" w:color="auto"/>
          </w:divBdr>
        </w:div>
        <w:div w:id="1095977177">
          <w:marLeft w:val="1166"/>
          <w:marRight w:val="0"/>
          <w:marTop w:val="86"/>
          <w:marBottom w:val="0"/>
          <w:divBdr>
            <w:top w:val="none" w:sz="0" w:space="0" w:color="auto"/>
            <w:left w:val="none" w:sz="0" w:space="0" w:color="auto"/>
            <w:bottom w:val="none" w:sz="0" w:space="0" w:color="auto"/>
            <w:right w:val="none" w:sz="0" w:space="0" w:color="auto"/>
          </w:divBdr>
        </w:div>
        <w:div w:id="1113942731">
          <w:marLeft w:val="1166"/>
          <w:marRight w:val="0"/>
          <w:marTop w:val="86"/>
          <w:marBottom w:val="0"/>
          <w:divBdr>
            <w:top w:val="none" w:sz="0" w:space="0" w:color="auto"/>
            <w:left w:val="none" w:sz="0" w:space="0" w:color="auto"/>
            <w:bottom w:val="none" w:sz="0" w:space="0" w:color="auto"/>
            <w:right w:val="none" w:sz="0" w:space="0" w:color="auto"/>
          </w:divBdr>
        </w:div>
        <w:div w:id="1243757395">
          <w:marLeft w:val="547"/>
          <w:marRight w:val="0"/>
          <w:marTop w:val="115"/>
          <w:marBottom w:val="0"/>
          <w:divBdr>
            <w:top w:val="none" w:sz="0" w:space="0" w:color="auto"/>
            <w:left w:val="none" w:sz="0" w:space="0" w:color="auto"/>
            <w:bottom w:val="none" w:sz="0" w:space="0" w:color="auto"/>
            <w:right w:val="none" w:sz="0" w:space="0" w:color="auto"/>
          </w:divBdr>
        </w:div>
        <w:div w:id="1720980495">
          <w:marLeft w:val="1166"/>
          <w:marRight w:val="0"/>
          <w:marTop w:val="86"/>
          <w:marBottom w:val="0"/>
          <w:divBdr>
            <w:top w:val="none" w:sz="0" w:space="0" w:color="auto"/>
            <w:left w:val="none" w:sz="0" w:space="0" w:color="auto"/>
            <w:bottom w:val="none" w:sz="0" w:space="0" w:color="auto"/>
            <w:right w:val="none" w:sz="0" w:space="0" w:color="auto"/>
          </w:divBdr>
        </w:div>
        <w:div w:id="1761947946">
          <w:marLeft w:val="1166"/>
          <w:marRight w:val="0"/>
          <w:marTop w:val="86"/>
          <w:marBottom w:val="0"/>
          <w:divBdr>
            <w:top w:val="none" w:sz="0" w:space="0" w:color="auto"/>
            <w:left w:val="none" w:sz="0" w:space="0" w:color="auto"/>
            <w:bottom w:val="none" w:sz="0" w:space="0" w:color="auto"/>
            <w:right w:val="none" w:sz="0" w:space="0" w:color="auto"/>
          </w:divBdr>
        </w:div>
        <w:div w:id="1917860705">
          <w:marLeft w:val="547"/>
          <w:marRight w:val="0"/>
          <w:marTop w:val="115"/>
          <w:marBottom w:val="0"/>
          <w:divBdr>
            <w:top w:val="none" w:sz="0" w:space="0" w:color="auto"/>
            <w:left w:val="none" w:sz="0" w:space="0" w:color="auto"/>
            <w:bottom w:val="none" w:sz="0" w:space="0" w:color="auto"/>
            <w:right w:val="none" w:sz="0" w:space="0" w:color="auto"/>
          </w:divBdr>
        </w:div>
      </w:divsChild>
    </w:div>
    <w:div w:id="1259485215">
      <w:bodyDiv w:val="1"/>
      <w:marLeft w:val="0"/>
      <w:marRight w:val="0"/>
      <w:marTop w:val="0"/>
      <w:marBottom w:val="0"/>
      <w:divBdr>
        <w:top w:val="none" w:sz="0" w:space="0" w:color="auto"/>
        <w:left w:val="none" w:sz="0" w:space="0" w:color="auto"/>
        <w:bottom w:val="none" w:sz="0" w:space="0" w:color="auto"/>
        <w:right w:val="none" w:sz="0" w:space="0" w:color="auto"/>
      </w:divBdr>
    </w:div>
    <w:div w:id="1261252579">
      <w:bodyDiv w:val="1"/>
      <w:marLeft w:val="0"/>
      <w:marRight w:val="0"/>
      <w:marTop w:val="0"/>
      <w:marBottom w:val="0"/>
      <w:divBdr>
        <w:top w:val="none" w:sz="0" w:space="0" w:color="auto"/>
        <w:left w:val="none" w:sz="0" w:space="0" w:color="auto"/>
        <w:bottom w:val="none" w:sz="0" w:space="0" w:color="auto"/>
        <w:right w:val="none" w:sz="0" w:space="0" w:color="auto"/>
      </w:divBdr>
    </w:div>
    <w:div w:id="1261255164">
      <w:bodyDiv w:val="1"/>
      <w:marLeft w:val="0"/>
      <w:marRight w:val="0"/>
      <w:marTop w:val="0"/>
      <w:marBottom w:val="0"/>
      <w:divBdr>
        <w:top w:val="none" w:sz="0" w:space="0" w:color="auto"/>
        <w:left w:val="none" w:sz="0" w:space="0" w:color="auto"/>
        <w:bottom w:val="none" w:sz="0" w:space="0" w:color="auto"/>
        <w:right w:val="none" w:sz="0" w:space="0" w:color="auto"/>
      </w:divBdr>
    </w:div>
    <w:div w:id="1261528200">
      <w:bodyDiv w:val="1"/>
      <w:marLeft w:val="0"/>
      <w:marRight w:val="0"/>
      <w:marTop w:val="0"/>
      <w:marBottom w:val="0"/>
      <w:divBdr>
        <w:top w:val="none" w:sz="0" w:space="0" w:color="auto"/>
        <w:left w:val="none" w:sz="0" w:space="0" w:color="auto"/>
        <w:bottom w:val="none" w:sz="0" w:space="0" w:color="auto"/>
        <w:right w:val="none" w:sz="0" w:space="0" w:color="auto"/>
      </w:divBdr>
    </w:div>
    <w:div w:id="1261790995">
      <w:bodyDiv w:val="1"/>
      <w:marLeft w:val="0"/>
      <w:marRight w:val="0"/>
      <w:marTop w:val="0"/>
      <w:marBottom w:val="0"/>
      <w:divBdr>
        <w:top w:val="none" w:sz="0" w:space="0" w:color="auto"/>
        <w:left w:val="none" w:sz="0" w:space="0" w:color="auto"/>
        <w:bottom w:val="none" w:sz="0" w:space="0" w:color="auto"/>
        <w:right w:val="none" w:sz="0" w:space="0" w:color="auto"/>
      </w:divBdr>
      <w:divsChild>
        <w:div w:id="300381230">
          <w:marLeft w:val="1800"/>
          <w:marRight w:val="0"/>
          <w:marTop w:val="91"/>
          <w:marBottom w:val="0"/>
          <w:divBdr>
            <w:top w:val="none" w:sz="0" w:space="0" w:color="auto"/>
            <w:left w:val="none" w:sz="0" w:space="0" w:color="auto"/>
            <w:bottom w:val="none" w:sz="0" w:space="0" w:color="auto"/>
            <w:right w:val="none" w:sz="0" w:space="0" w:color="auto"/>
          </w:divBdr>
        </w:div>
        <w:div w:id="579481795">
          <w:marLeft w:val="1800"/>
          <w:marRight w:val="0"/>
          <w:marTop w:val="91"/>
          <w:marBottom w:val="0"/>
          <w:divBdr>
            <w:top w:val="none" w:sz="0" w:space="0" w:color="auto"/>
            <w:left w:val="none" w:sz="0" w:space="0" w:color="auto"/>
            <w:bottom w:val="none" w:sz="0" w:space="0" w:color="auto"/>
            <w:right w:val="none" w:sz="0" w:space="0" w:color="auto"/>
          </w:divBdr>
        </w:div>
        <w:div w:id="611517828">
          <w:marLeft w:val="2520"/>
          <w:marRight w:val="0"/>
          <w:marTop w:val="77"/>
          <w:marBottom w:val="0"/>
          <w:divBdr>
            <w:top w:val="none" w:sz="0" w:space="0" w:color="auto"/>
            <w:left w:val="none" w:sz="0" w:space="0" w:color="auto"/>
            <w:bottom w:val="none" w:sz="0" w:space="0" w:color="auto"/>
            <w:right w:val="none" w:sz="0" w:space="0" w:color="auto"/>
          </w:divBdr>
        </w:div>
        <w:div w:id="1254242460">
          <w:marLeft w:val="1800"/>
          <w:marRight w:val="0"/>
          <w:marTop w:val="91"/>
          <w:marBottom w:val="0"/>
          <w:divBdr>
            <w:top w:val="none" w:sz="0" w:space="0" w:color="auto"/>
            <w:left w:val="none" w:sz="0" w:space="0" w:color="auto"/>
            <w:bottom w:val="none" w:sz="0" w:space="0" w:color="auto"/>
            <w:right w:val="none" w:sz="0" w:space="0" w:color="auto"/>
          </w:divBdr>
        </w:div>
        <w:div w:id="1274629188">
          <w:marLeft w:val="1166"/>
          <w:marRight w:val="0"/>
          <w:marTop w:val="106"/>
          <w:marBottom w:val="0"/>
          <w:divBdr>
            <w:top w:val="none" w:sz="0" w:space="0" w:color="auto"/>
            <w:left w:val="none" w:sz="0" w:space="0" w:color="auto"/>
            <w:bottom w:val="none" w:sz="0" w:space="0" w:color="auto"/>
            <w:right w:val="none" w:sz="0" w:space="0" w:color="auto"/>
          </w:divBdr>
        </w:div>
        <w:div w:id="1395352092">
          <w:marLeft w:val="2520"/>
          <w:marRight w:val="0"/>
          <w:marTop w:val="82"/>
          <w:marBottom w:val="0"/>
          <w:divBdr>
            <w:top w:val="none" w:sz="0" w:space="0" w:color="auto"/>
            <w:left w:val="none" w:sz="0" w:space="0" w:color="auto"/>
            <w:bottom w:val="none" w:sz="0" w:space="0" w:color="auto"/>
            <w:right w:val="none" w:sz="0" w:space="0" w:color="auto"/>
          </w:divBdr>
        </w:div>
        <w:div w:id="1476874671">
          <w:marLeft w:val="1800"/>
          <w:marRight w:val="0"/>
          <w:marTop w:val="91"/>
          <w:marBottom w:val="0"/>
          <w:divBdr>
            <w:top w:val="none" w:sz="0" w:space="0" w:color="auto"/>
            <w:left w:val="none" w:sz="0" w:space="0" w:color="auto"/>
            <w:bottom w:val="none" w:sz="0" w:space="0" w:color="auto"/>
            <w:right w:val="none" w:sz="0" w:space="0" w:color="auto"/>
          </w:divBdr>
        </w:div>
        <w:div w:id="1721247412">
          <w:marLeft w:val="547"/>
          <w:marRight w:val="0"/>
          <w:marTop w:val="125"/>
          <w:marBottom w:val="0"/>
          <w:divBdr>
            <w:top w:val="none" w:sz="0" w:space="0" w:color="auto"/>
            <w:left w:val="none" w:sz="0" w:space="0" w:color="auto"/>
            <w:bottom w:val="none" w:sz="0" w:space="0" w:color="auto"/>
            <w:right w:val="none" w:sz="0" w:space="0" w:color="auto"/>
          </w:divBdr>
        </w:div>
        <w:div w:id="2020228024">
          <w:marLeft w:val="1166"/>
          <w:marRight w:val="0"/>
          <w:marTop w:val="106"/>
          <w:marBottom w:val="0"/>
          <w:divBdr>
            <w:top w:val="none" w:sz="0" w:space="0" w:color="auto"/>
            <w:left w:val="none" w:sz="0" w:space="0" w:color="auto"/>
            <w:bottom w:val="none" w:sz="0" w:space="0" w:color="auto"/>
            <w:right w:val="none" w:sz="0" w:space="0" w:color="auto"/>
          </w:divBdr>
        </w:div>
      </w:divsChild>
    </w:div>
    <w:div w:id="1262645185">
      <w:bodyDiv w:val="1"/>
      <w:marLeft w:val="0"/>
      <w:marRight w:val="0"/>
      <w:marTop w:val="0"/>
      <w:marBottom w:val="0"/>
      <w:divBdr>
        <w:top w:val="none" w:sz="0" w:space="0" w:color="auto"/>
        <w:left w:val="none" w:sz="0" w:space="0" w:color="auto"/>
        <w:bottom w:val="none" w:sz="0" w:space="0" w:color="auto"/>
        <w:right w:val="none" w:sz="0" w:space="0" w:color="auto"/>
      </w:divBdr>
    </w:div>
    <w:div w:id="1263757600">
      <w:bodyDiv w:val="1"/>
      <w:marLeft w:val="0"/>
      <w:marRight w:val="0"/>
      <w:marTop w:val="0"/>
      <w:marBottom w:val="0"/>
      <w:divBdr>
        <w:top w:val="none" w:sz="0" w:space="0" w:color="auto"/>
        <w:left w:val="none" w:sz="0" w:space="0" w:color="auto"/>
        <w:bottom w:val="none" w:sz="0" w:space="0" w:color="auto"/>
        <w:right w:val="none" w:sz="0" w:space="0" w:color="auto"/>
      </w:divBdr>
    </w:div>
    <w:div w:id="1264993656">
      <w:bodyDiv w:val="1"/>
      <w:marLeft w:val="0"/>
      <w:marRight w:val="0"/>
      <w:marTop w:val="0"/>
      <w:marBottom w:val="0"/>
      <w:divBdr>
        <w:top w:val="none" w:sz="0" w:space="0" w:color="auto"/>
        <w:left w:val="none" w:sz="0" w:space="0" w:color="auto"/>
        <w:bottom w:val="none" w:sz="0" w:space="0" w:color="auto"/>
        <w:right w:val="none" w:sz="0" w:space="0" w:color="auto"/>
      </w:divBdr>
      <w:divsChild>
        <w:div w:id="39404604">
          <w:marLeft w:val="0"/>
          <w:marRight w:val="0"/>
          <w:marTop w:val="0"/>
          <w:marBottom w:val="0"/>
          <w:divBdr>
            <w:top w:val="none" w:sz="0" w:space="0" w:color="auto"/>
            <w:left w:val="none" w:sz="0" w:space="0" w:color="auto"/>
            <w:bottom w:val="none" w:sz="0" w:space="0" w:color="auto"/>
            <w:right w:val="none" w:sz="0" w:space="0" w:color="auto"/>
          </w:divBdr>
        </w:div>
      </w:divsChild>
    </w:div>
    <w:div w:id="1265531793">
      <w:bodyDiv w:val="1"/>
      <w:marLeft w:val="0"/>
      <w:marRight w:val="0"/>
      <w:marTop w:val="0"/>
      <w:marBottom w:val="0"/>
      <w:divBdr>
        <w:top w:val="none" w:sz="0" w:space="0" w:color="auto"/>
        <w:left w:val="none" w:sz="0" w:space="0" w:color="auto"/>
        <w:bottom w:val="none" w:sz="0" w:space="0" w:color="auto"/>
        <w:right w:val="none" w:sz="0" w:space="0" w:color="auto"/>
      </w:divBdr>
    </w:div>
    <w:div w:id="1267351658">
      <w:bodyDiv w:val="1"/>
      <w:marLeft w:val="0"/>
      <w:marRight w:val="0"/>
      <w:marTop w:val="0"/>
      <w:marBottom w:val="0"/>
      <w:divBdr>
        <w:top w:val="none" w:sz="0" w:space="0" w:color="auto"/>
        <w:left w:val="none" w:sz="0" w:space="0" w:color="auto"/>
        <w:bottom w:val="none" w:sz="0" w:space="0" w:color="auto"/>
        <w:right w:val="none" w:sz="0" w:space="0" w:color="auto"/>
      </w:divBdr>
    </w:div>
    <w:div w:id="1271084186">
      <w:bodyDiv w:val="1"/>
      <w:marLeft w:val="0"/>
      <w:marRight w:val="0"/>
      <w:marTop w:val="0"/>
      <w:marBottom w:val="0"/>
      <w:divBdr>
        <w:top w:val="none" w:sz="0" w:space="0" w:color="auto"/>
        <w:left w:val="none" w:sz="0" w:space="0" w:color="auto"/>
        <w:bottom w:val="none" w:sz="0" w:space="0" w:color="auto"/>
        <w:right w:val="none" w:sz="0" w:space="0" w:color="auto"/>
      </w:divBdr>
    </w:div>
    <w:div w:id="1271233219">
      <w:bodyDiv w:val="1"/>
      <w:marLeft w:val="0"/>
      <w:marRight w:val="0"/>
      <w:marTop w:val="0"/>
      <w:marBottom w:val="0"/>
      <w:divBdr>
        <w:top w:val="none" w:sz="0" w:space="0" w:color="auto"/>
        <w:left w:val="none" w:sz="0" w:space="0" w:color="auto"/>
        <w:bottom w:val="none" w:sz="0" w:space="0" w:color="auto"/>
        <w:right w:val="none" w:sz="0" w:space="0" w:color="auto"/>
      </w:divBdr>
    </w:div>
    <w:div w:id="1271744136">
      <w:bodyDiv w:val="1"/>
      <w:marLeft w:val="0"/>
      <w:marRight w:val="0"/>
      <w:marTop w:val="0"/>
      <w:marBottom w:val="0"/>
      <w:divBdr>
        <w:top w:val="none" w:sz="0" w:space="0" w:color="auto"/>
        <w:left w:val="none" w:sz="0" w:space="0" w:color="auto"/>
        <w:bottom w:val="none" w:sz="0" w:space="0" w:color="auto"/>
        <w:right w:val="none" w:sz="0" w:space="0" w:color="auto"/>
      </w:divBdr>
      <w:divsChild>
        <w:div w:id="160630539">
          <w:marLeft w:val="1166"/>
          <w:marRight w:val="0"/>
          <w:marTop w:val="96"/>
          <w:marBottom w:val="0"/>
          <w:divBdr>
            <w:top w:val="none" w:sz="0" w:space="0" w:color="auto"/>
            <w:left w:val="none" w:sz="0" w:space="0" w:color="auto"/>
            <w:bottom w:val="none" w:sz="0" w:space="0" w:color="auto"/>
            <w:right w:val="none" w:sz="0" w:space="0" w:color="auto"/>
          </w:divBdr>
        </w:div>
        <w:div w:id="366757958">
          <w:marLeft w:val="547"/>
          <w:marRight w:val="0"/>
          <w:marTop w:val="115"/>
          <w:marBottom w:val="0"/>
          <w:divBdr>
            <w:top w:val="none" w:sz="0" w:space="0" w:color="auto"/>
            <w:left w:val="none" w:sz="0" w:space="0" w:color="auto"/>
            <w:bottom w:val="none" w:sz="0" w:space="0" w:color="auto"/>
            <w:right w:val="none" w:sz="0" w:space="0" w:color="auto"/>
          </w:divBdr>
        </w:div>
        <w:div w:id="513425894">
          <w:marLeft w:val="1166"/>
          <w:marRight w:val="0"/>
          <w:marTop w:val="96"/>
          <w:marBottom w:val="0"/>
          <w:divBdr>
            <w:top w:val="none" w:sz="0" w:space="0" w:color="auto"/>
            <w:left w:val="none" w:sz="0" w:space="0" w:color="auto"/>
            <w:bottom w:val="none" w:sz="0" w:space="0" w:color="auto"/>
            <w:right w:val="none" w:sz="0" w:space="0" w:color="auto"/>
          </w:divBdr>
        </w:div>
        <w:div w:id="1843278695">
          <w:marLeft w:val="547"/>
          <w:marRight w:val="0"/>
          <w:marTop w:val="115"/>
          <w:marBottom w:val="0"/>
          <w:divBdr>
            <w:top w:val="none" w:sz="0" w:space="0" w:color="auto"/>
            <w:left w:val="none" w:sz="0" w:space="0" w:color="auto"/>
            <w:bottom w:val="none" w:sz="0" w:space="0" w:color="auto"/>
            <w:right w:val="none" w:sz="0" w:space="0" w:color="auto"/>
          </w:divBdr>
        </w:div>
      </w:divsChild>
    </w:div>
    <w:div w:id="1273247037">
      <w:bodyDiv w:val="1"/>
      <w:marLeft w:val="0"/>
      <w:marRight w:val="0"/>
      <w:marTop w:val="0"/>
      <w:marBottom w:val="0"/>
      <w:divBdr>
        <w:top w:val="none" w:sz="0" w:space="0" w:color="auto"/>
        <w:left w:val="none" w:sz="0" w:space="0" w:color="auto"/>
        <w:bottom w:val="none" w:sz="0" w:space="0" w:color="auto"/>
        <w:right w:val="none" w:sz="0" w:space="0" w:color="auto"/>
      </w:divBdr>
    </w:div>
    <w:div w:id="1273635243">
      <w:bodyDiv w:val="1"/>
      <w:marLeft w:val="0"/>
      <w:marRight w:val="0"/>
      <w:marTop w:val="0"/>
      <w:marBottom w:val="0"/>
      <w:divBdr>
        <w:top w:val="none" w:sz="0" w:space="0" w:color="auto"/>
        <w:left w:val="none" w:sz="0" w:space="0" w:color="auto"/>
        <w:bottom w:val="none" w:sz="0" w:space="0" w:color="auto"/>
        <w:right w:val="none" w:sz="0" w:space="0" w:color="auto"/>
      </w:divBdr>
    </w:div>
    <w:div w:id="1275675724">
      <w:bodyDiv w:val="1"/>
      <w:marLeft w:val="0"/>
      <w:marRight w:val="0"/>
      <w:marTop w:val="0"/>
      <w:marBottom w:val="0"/>
      <w:divBdr>
        <w:top w:val="none" w:sz="0" w:space="0" w:color="auto"/>
        <w:left w:val="none" w:sz="0" w:space="0" w:color="auto"/>
        <w:bottom w:val="none" w:sz="0" w:space="0" w:color="auto"/>
        <w:right w:val="none" w:sz="0" w:space="0" w:color="auto"/>
      </w:divBdr>
    </w:div>
    <w:div w:id="1278489301">
      <w:bodyDiv w:val="1"/>
      <w:marLeft w:val="0"/>
      <w:marRight w:val="0"/>
      <w:marTop w:val="0"/>
      <w:marBottom w:val="0"/>
      <w:divBdr>
        <w:top w:val="none" w:sz="0" w:space="0" w:color="auto"/>
        <w:left w:val="none" w:sz="0" w:space="0" w:color="auto"/>
        <w:bottom w:val="none" w:sz="0" w:space="0" w:color="auto"/>
        <w:right w:val="none" w:sz="0" w:space="0" w:color="auto"/>
      </w:divBdr>
    </w:div>
    <w:div w:id="1278755969">
      <w:bodyDiv w:val="1"/>
      <w:marLeft w:val="0"/>
      <w:marRight w:val="0"/>
      <w:marTop w:val="0"/>
      <w:marBottom w:val="0"/>
      <w:divBdr>
        <w:top w:val="none" w:sz="0" w:space="0" w:color="auto"/>
        <w:left w:val="none" w:sz="0" w:space="0" w:color="auto"/>
        <w:bottom w:val="none" w:sz="0" w:space="0" w:color="auto"/>
        <w:right w:val="none" w:sz="0" w:space="0" w:color="auto"/>
      </w:divBdr>
    </w:div>
    <w:div w:id="1278944946">
      <w:bodyDiv w:val="1"/>
      <w:marLeft w:val="0"/>
      <w:marRight w:val="0"/>
      <w:marTop w:val="0"/>
      <w:marBottom w:val="0"/>
      <w:divBdr>
        <w:top w:val="none" w:sz="0" w:space="0" w:color="auto"/>
        <w:left w:val="none" w:sz="0" w:space="0" w:color="auto"/>
        <w:bottom w:val="none" w:sz="0" w:space="0" w:color="auto"/>
        <w:right w:val="none" w:sz="0" w:space="0" w:color="auto"/>
      </w:divBdr>
    </w:div>
    <w:div w:id="1279340738">
      <w:bodyDiv w:val="1"/>
      <w:marLeft w:val="0"/>
      <w:marRight w:val="0"/>
      <w:marTop w:val="0"/>
      <w:marBottom w:val="0"/>
      <w:divBdr>
        <w:top w:val="none" w:sz="0" w:space="0" w:color="auto"/>
        <w:left w:val="none" w:sz="0" w:space="0" w:color="auto"/>
        <w:bottom w:val="none" w:sz="0" w:space="0" w:color="auto"/>
        <w:right w:val="none" w:sz="0" w:space="0" w:color="auto"/>
      </w:divBdr>
    </w:div>
    <w:div w:id="1279871182">
      <w:bodyDiv w:val="1"/>
      <w:marLeft w:val="0"/>
      <w:marRight w:val="0"/>
      <w:marTop w:val="0"/>
      <w:marBottom w:val="0"/>
      <w:divBdr>
        <w:top w:val="none" w:sz="0" w:space="0" w:color="auto"/>
        <w:left w:val="none" w:sz="0" w:space="0" w:color="auto"/>
        <w:bottom w:val="none" w:sz="0" w:space="0" w:color="auto"/>
        <w:right w:val="none" w:sz="0" w:space="0" w:color="auto"/>
      </w:divBdr>
    </w:div>
    <w:div w:id="1280064646">
      <w:bodyDiv w:val="1"/>
      <w:marLeft w:val="0"/>
      <w:marRight w:val="0"/>
      <w:marTop w:val="0"/>
      <w:marBottom w:val="0"/>
      <w:divBdr>
        <w:top w:val="none" w:sz="0" w:space="0" w:color="auto"/>
        <w:left w:val="none" w:sz="0" w:space="0" w:color="auto"/>
        <w:bottom w:val="none" w:sz="0" w:space="0" w:color="auto"/>
        <w:right w:val="none" w:sz="0" w:space="0" w:color="auto"/>
      </w:divBdr>
    </w:div>
    <w:div w:id="1280842894">
      <w:bodyDiv w:val="1"/>
      <w:marLeft w:val="0"/>
      <w:marRight w:val="0"/>
      <w:marTop w:val="0"/>
      <w:marBottom w:val="0"/>
      <w:divBdr>
        <w:top w:val="none" w:sz="0" w:space="0" w:color="auto"/>
        <w:left w:val="none" w:sz="0" w:space="0" w:color="auto"/>
        <w:bottom w:val="none" w:sz="0" w:space="0" w:color="auto"/>
        <w:right w:val="none" w:sz="0" w:space="0" w:color="auto"/>
      </w:divBdr>
    </w:div>
    <w:div w:id="1281381583">
      <w:bodyDiv w:val="1"/>
      <w:marLeft w:val="0"/>
      <w:marRight w:val="0"/>
      <w:marTop w:val="0"/>
      <w:marBottom w:val="0"/>
      <w:divBdr>
        <w:top w:val="none" w:sz="0" w:space="0" w:color="auto"/>
        <w:left w:val="none" w:sz="0" w:space="0" w:color="auto"/>
        <w:bottom w:val="none" w:sz="0" w:space="0" w:color="auto"/>
        <w:right w:val="none" w:sz="0" w:space="0" w:color="auto"/>
      </w:divBdr>
    </w:div>
    <w:div w:id="1282151065">
      <w:bodyDiv w:val="1"/>
      <w:marLeft w:val="0"/>
      <w:marRight w:val="0"/>
      <w:marTop w:val="0"/>
      <w:marBottom w:val="0"/>
      <w:divBdr>
        <w:top w:val="none" w:sz="0" w:space="0" w:color="auto"/>
        <w:left w:val="none" w:sz="0" w:space="0" w:color="auto"/>
        <w:bottom w:val="none" w:sz="0" w:space="0" w:color="auto"/>
        <w:right w:val="none" w:sz="0" w:space="0" w:color="auto"/>
      </w:divBdr>
    </w:div>
    <w:div w:id="1283074999">
      <w:bodyDiv w:val="1"/>
      <w:marLeft w:val="0"/>
      <w:marRight w:val="0"/>
      <w:marTop w:val="0"/>
      <w:marBottom w:val="0"/>
      <w:divBdr>
        <w:top w:val="none" w:sz="0" w:space="0" w:color="auto"/>
        <w:left w:val="none" w:sz="0" w:space="0" w:color="auto"/>
        <w:bottom w:val="none" w:sz="0" w:space="0" w:color="auto"/>
        <w:right w:val="none" w:sz="0" w:space="0" w:color="auto"/>
      </w:divBdr>
    </w:div>
    <w:div w:id="1284195074">
      <w:bodyDiv w:val="1"/>
      <w:marLeft w:val="0"/>
      <w:marRight w:val="0"/>
      <w:marTop w:val="0"/>
      <w:marBottom w:val="0"/>
      <w:divBdr>
        <w:top w:val="none" w:sz="0" w:space="0" w:color="auto"/>
        <w:left w:val="none" w:sz="0" w:space="0" w:color="auto"/>
        <w:bottom w:val="none" w:sz="0" w:space="0" w:color="auto"/>
        <w:right w:val="none" w:sz="0" w:space="0" w:color="auto"/>
      </w:divBdr>
    </w:div>
    <w:div w:id="1284459823">
      <w:bodyDiv w:val="1"/>
      <w:marLeft w:val="0"/>
      <w:marRight w:val="0"/>
      <w:marTop w:val="0"/>
      <w:marBottom w:val="0"/>
      <w:divBdr>
        <w:top w:val="none" w:sz="0" w:space="0" w:color="auto"/>
        <w:left w:val="none" w:sz="0" w:space="0" w:color="auto"/>
        <w:bottom w:val="none" w:sz="0" w:space="0" w:color="auto"/>
        <w:right w:val="none" w:sz="0" w:space="0" w:color="auto"/>
      </w:divBdr>
    </w:div>
    <w:div w:id="1284726997">
      <w:bodyDiv w:val="1"/>
      <w:marLeft w:val="0"/>
      <w:marRight w:val="0"/>
      <w:marTop w:val="0"/>
      <w:marBottom w:val="0"/>
      <w:divBdr>
        <w:top w:val="none" w:sz="0" w:space="0" w:color="auto"/>
        <w:left w:val="none" w:sz="0" w:space="0" w:color="auto"/>
        <w:bottom w:val="none" w:sz="0" w:space="0" w:color="auto"/>
        <w:right w:val="none" w:sz="0" w:space="0" w:color="auto"/>
      </w:divBdr>
    </w:div>
    <w:div w:id="1286275074">
      <w:bodyDiv w:val="1"/>
      <w:marLeft w:val="0"/>
      <w:marRight w:val="0"/>
      <w:marTop w:val="0"/>
      <w:marBottom w:val="0"/>
      <w:divBdr>
        <w:top w:val="none" w:sz="0" w:space="0" w:color="auto"/>
        <w:left w:val="none" w:sz="0" w:space="0" w:color="auto"/>
        <w:bottom w:val="none" w:sz="0" w:space="0" w:color="auto"/>
        <w:right w:val="none" w:sz="0" w:space="0" w:color="auto"/>
      </w:divBdr>
    </w:div>
    <w:div w:id="1286814979">
      <w:bodyDiv w:val="1"/>
      <w:marLeft w:val="0"/>
      <w:marRight w:val="0"/>
      <w:marTop w:val="0"/>
      <w:marBottom w:val="0"/>
      <w:divBdr>
        <w:top w:val="none" w:sz="0" w:space="0" w:color="auto"/>
        <w:left w:val="none" w:sz="0" w:space="0" w:color="auto"/>
        <w:bottom w:val="none" w:sz="0" w:space="0" w:color="auto"/>
        <w:right w:val="none" w:sz="0" w:space="0" w:color="auto"/>
      </w:divBdr>
    </w:div>
    <w:div w:id="1288315148">
      <w:bodyDiv w:val="1"/>
      <w:marLeft w:val="0"/>
      <w:marRight w:val="0"/>
      <w:marTop w:val="0"/>
      <w:marBottom w:val="0"/>
      <w:divBdr>
        <w:top w:val="none" w:sz="0" w:space="0" w:color="auto"/>
        <w:left w:val="none" w:sz="0" w:space="0" w:color="auto"/>
        <w:bottom w:val="none" w:sz="0" w:space="0" w:color="auto"/>
        <w:right w:val="none" w:sz="0" w:space="0" w:color="auto"/>
      </w:divBdr>
      <w:divsChild>
        <w:div w:id="617640822">
          <w:marLeft w:val="1166"/>
          <w:marRight w:val="0"/>
          <w:marTop w:val="96"/>
          <w:marBottom w:val="0"/>
          <w:divBdr>
            <w:top w:val="none" w:sz="0" w:space="0" w:color="auto"/>
            <w:left w:val="none" w:sz="0" w:space="0" w:color="auto"/>
            <w:bottom w:val="none" w:sz="0" w:space="0" w:color="auto"/>
            <w:right w:val="none" w:sz="0" w:space="0" w:color="auto"/>
          </w:divBdr>
        </w:div>
        <w:div w:id="1448426095">
          <w:marLeft w:val="547"/>
          <w:marRight w:val="0"/>
          <w:marTop w:val="115"/>
          <w:marBottom w:val="0"/>
          <w:divBdr>
            <w:top w:val="none" w:sz="0" w:space="0" w:color="auto"/>
            <w:left w:val="none" w:sz="0" w:space="0" w:color="auto"/>
            <w:bottom w:val="none" w:sz="0" w:space="0" w:color="auto"/>
            <w:right w:val="none" w:sz="0" w:space="0" w:color="auto"/>
          </w:divBdr>
        </w:div>
        <w:div w:id="1538085622">
          <w:marLeft w:val="1166"/>
          <w:marRight w:val="0"/>
          <w:marTop w:val="115"/>
          <w:marBottom w:val="0"/>
          <w:divBdr>
            <w:top w:val="none" w:sz="0" w:space="0" w:color="auto"/>
            <w:left w:val="none" w:sz="0" w:space="0" w:color="auto"/>
            <w:bottom w:val="none" w:sz="0" w:space="0" w:color="auto"/>
            <w:right w:val="none" w:sz="0" w:space="0" w:color="auto"/>
          </w:divBdr>
        </w:div>
        <w:div w:id="1863400034">
          <w:marLeft w:val="547"/>
          <w:marRight w:val="0"/>
          <w:marTop w:val="115"/>
          <w:marBottom w:val="0"/>
          <w:divBdr>
            <w:top w:val="none" w:sz="0" w:space="0" w:color="auto"/>
            <w:left w:val="none" w:sz="0" w:space="0" w:color="auto"/>
            <w:bottom w:val="none" w:sz="0" w:space="0" w:color="auto"/>
            <w:right w:val="none" w:sz="0" w:space="0" w:color="auto"/>
          </w:divBdr>
        </w:div>
        <w:div w:id="1922056949">
          <w:marLeft w:val="1800"/>
          <w:marRight w:val="0"/>
          <w:marTop w:val="77"/>
          <w:marBottom w:val="0"/>
          <w:divBdr>
            <w:top w:val="none" w:sz="0" w:space="0" w:color="auto"/>
            <w:left w:val="none" w:sz="0" w:space="0" w:color="auto"/>
            <w:bottom w:val="none" w:sz="0" w:space="0" w:color="auto"/>
            <w:right w:val="none" w:sz="0" w:space="0" w:color="auto"/>
          </w:divBdr>
        </w:div>
        <w:div w:id="1924294577">
          <w:marLeft w:val="1166"/>
          <w:marRight w:val="0"/>
          <w:marTop w:val="115"/>
          <w:marBottom w:val="0"/>
          <w:divBdr>
            <w:top w:val="none" w:sz="0" w:space="0" w:color="auto"/>
            <w:left w:val="none" w:sz="0" w:space="0" w:color="auto"/>
            <w:bottom w:val="none" w:sz="0" w:space="0" w:color="auto"/>
            <w:right w:val="none" w:sz="0" w:space="0" w:color="auto"/>
          </w:divBdr>
        </w:div>
        <w:div w:id="2039693639">
          <w:marLeft w:val="1800"/>
          <w:marRight w:val="0"/>
          <w:marTop w:val="77"/>
          <w:marBottom w:val="0"/>
          <w:divBdr>
            <w:top w:val="none" w:sz="0" w:space="0" w:color="auto"/>
            <w:left w:val="none" w:sz="0" w:space="0" w:color="auto"/>
            <w:bottom w:val="none" w:sz="0" w:space="0" w:color="auto"/>
            <w:right w:val="none" w:sz="0" w:space="0" w:color="auto"/>
          </w:divBdr>
        </w:div>
      </w:divsChild>
    </w:div>
    <w:div w:id="1288775931">
      <w:bodyDiv w:val="1"/>
      <w:marLeft w:val="0"/>
      <w:marRight w:val="0"/>
      <w:marTop w:val="0"/>
      <w:marBottom w:val="0"/>
      <w:divBdr>
        <w:top w:val="none" w:sz="0" w:space="0" w:color="auto"/>
        <w:left w:val="none" w:sz="0" w:space="0" w:color="auto"/>
        <w:bottom w:val="none" w:sz="0" w:space="0" w:color="auto"/>
        <w:right w:val="none" w:sz="0" w:space="0" w:color="auto"/>
      </w:divBdr>
    </w:div>
    <w:div w:id="1290013778">
      <w:bodyDiv w:val="1"/>
      <w:marLeft w:val="0"/>
      <w:marRight w:val="0"/>
      <w:marTop w:val="0"/>
      <w:marBottom w:val="0"/>
      <w:divBdr>
        <w:top w:val="none" w:sz="0" w:space="0" w:color="auto"/>
        <w:left w:val="none" w:sz="0" w:space="0" w:color="auto"/>
        <w:bottom w:val="none" w:sz="0" w:space="0" w:color="auto"/>
        <w:right w:val="none" w:sz="0" w:space="0" w:color="auto"/>
      </w:divBdr>
      <w:divsChild>
        <w:div w:id="11223300">
          <w:marLeft w:val="547"/>
          <w:marRight w:val="0"/>
          <w:marTop w:val="115"/>
          <w:marBottom w:val="0"/>
          <w:divBdr>
            <w:top w:val="none" w:sz="0" w:space="0" w:color="auto"/>
            <w:left w:val="none" w:sz="0" w:space="0" w:color="auto"/>
            <w:bottom w:val="none" w:sz="0" w:space="0" w:color="auto"/>
            <w:right w:val="none" w:sz="0" w:space="0" w:color="auto"/>
          </w:divBdr>
        </w:div>
        <w:div w:id="377628156">
          <w:marLeft w:val="1166"/>
          <w:marRight w:val="0"/>
          <w:marTop w:val="96"/>
          <w:marBottom w:val="0"/>
          <w:divBdr>
            <w:top w:val="none" w:sz="0" w:space="0" w:color="auto"/>
            <w:left w:val="none" w:sz="0" w:space="0" w:color="auto"/>
            <w:bottom w:val="none" w:sz="0" w:space="0" w:color="auto"/>
            <w:right w:val="none" w:sz="0" w:space="0" w:color="auto"/>
          </w:divBdr>
        </w:div>
        <w:div w:id="837228186">
          <w:marLeft w:val="1166"/>
          <w:marRight w:val="0"/>
          <w:marTop w:val="96"/>
          <w:marBottom w:val="0"/>
          <w:divBdr>
            <w:top w:val="none" w:sz="0" w:space="0" w:color="auto"/>
            <w:left w:val="none" w:sz="0" w:space="0" w:color="auto"/>
            <w:bottom w:val="none" w:sz="0" w:space="0" w:color="auto"/>
            <w:right w:val="none" w:sz="0" w:space="0" w:color="auto"/>
          </w:divBdr>
        </w:div>
        <w:div w:id="1030760889">
          <w:marLeft w:val="1166"/>
          <w:marRight w:val="0"/>
          <w:marTop w:val="96"/>
          <w:marBottom w:val="0"/>
          <w:divBdr>
            <w:top w:val="none" w:sz="0" w:space="0" w:color="auto"/>
            <w:left w:val="none" w:sz="0" w:space="0" w:color="auto"/>
            <w:bottom w:val="none" w:sz="0" w:space="0" w:color="auto"/>
            <w:right w:val="none" w:sz="0" w:space="0" w:color="auto"/>
          </w:divBdr>
        </w:div>
        <w:div w:id="1091662449">
          <w:marLeft w:val="1166"/>
          <w:marRight w:val="0"/>
          <w:marTop w:val="96"/>
          <w:marBottom w:val="0"/>
          <w:divBdr>
            <w:top w:val="none" w:sz="0" w:space="0" w:color="auto"/>
            <w:left w:val="none" w:sz="0" w:space="0" w:color="auto"/>
            <w:bottom w:val="none" w:sz="0" w:space="0" w:color="auto"/>
            <w:right w:val="none" w:sz="0" w:space="0" w:color="auto"/>
          </w:divBdr>
        </w:div>
        <w:div w:id="2018917071">
          <w:marLeft w:val="547"/>
          <w:marRight w:val="0"/>
          <w:marTop w:val="115"/>
          <w:marBottom w:val="0"/>
          <w:divBdr>
            <w:top w:val="none" w:sz="0" w:space="0" w:color="auto"/>
            <w:left w:val="none" w:sz="0" w:space="0" w:color="auto"/>
            <w:bottom w:val="none" w:sz="0" w:space="0" w:color="auto"/>
            <w:right w:val="none" w:sz="0" w:space="0" w:color="auto"/>
          </w:divBdr>
        </w:div>
        <w:div w:id="2099789615">
          <w:marLeft w:val="547"/>
          <w:marRight w:val="0"/>
          <w:marTop w:val="115"/>
          <w:marBottom w:val="0"/>
          <w:divBdr>
            <w:top w:val="none" w:sz="0" w:space="0" w:color="auto"/>
            <w:left w:val="none" w:sz="0" w:space="0" w:color="auto"/>
            <w:bottom w:val="none" w:sz="0" w:space="0" w:color="auto"/>
            <w:right w:val="none" w:sz="0" w:space="0" w:color="auto"/>
          </w:divBdr>
        </w:div>
      </w:divsChild>
    </w:div>
    <w:div w:id="1290089095">
      <w:bodyDiv w:val="1"/>
      <w:marLeft w:val="0"/>
      <w:marRight w:val="0"/>
      <w:marTop w:val="0"/>
      <w:marBottom w:val="0"/>
      <w:divBdr>
        <w:top w:val="none" w:sz="0" w:space="0" w:color="auto"/>
        <w:left w:val="none" w:sz="0" w:space="0" w:color="auto"/>
        <w:bottom w:val="none" w:sz="0" w:space="0" w:color="auto"/>
        <w:right w:val="none" w:sz="0" w:space="0" w:color="auto"/>
      </w:divBdr>
    </w:div>
    <w:div w:id="1290162160">
      <w:bodyDiv w:val="1"/>
      <w:marLeft w:val="0"/>
      <w:marRight w:val="0"/>
      <w:marTop w:val="0"/>
      <w:marBottom w:val="0"/>
      <w:divBdr>
        <w:top w:val="none" w:sz="0" w:space="0" w:color="auto"/>
        <w:left w:val="none" w:sz="0" w:space="0" w:color="auto"/>
        <w:bottom w:val="none" w:sz="0" w:space="0" w:color="auto"/>
        <w:right w:val="none" w:sz="0" w:space="0" w:color="auto"/>
      </w:divBdr>
      <w:divsChild>
        <w:div w:id="207955967">
          <w:marLeft w:val="1166"/>
          <w:marRight w:val="0"/>
          <w:marTop w:val="86"/>
          <w:marBottom w:val="0"/>
          <w:divBdr>
            <w:top w:val="none" w:sz="0" w:space="0" w:color="auto"/>
            <w:left w:val="none" w:sz="0" w:space="0" w:color="auto"/>
            <w:bottom w:val="none" w:sz="0" w:space="0" w:color="auto"/>
            <w:right w:val="none" w:sz="0" w:space="0" w:color="auto"/>
          </w:divBdr>
        </w:div>
        <w:div w:id="448666658">
          <w:marLeft w:val="1800"/>
          <w:marRight w:val="0"/>
          <w:marTop w:val="77"/>
          <w:marBottom w:val="0"/>
          <w:divBdr>
            <w:top w:val="none" w:sz="0" w:space="0" w:color="auto"/>
            <w:left w:val="none" w:sz="0" w:space="0" w:color="auto"/>
            <w:bottom w:val="none" w:sz="0" w:space="0" w:color="auto"/>
            <w:right w:val="none" w:sz="0" w:space="0" w:color="auto"/>
          </w:divBdr>
        </w:div>
        <w:div w:id="637297556">
          <w:marLeft w:val="1166"/>
          <w:marRight w:val="0"/>
          <w:marTop w:val="86"/>
          <w:marBottom w:val="0"/>
          <w:divBdr>
            <w:top w:val="none" w:sz="0" w:space="0" w:color="auto"/>
            <w:left w:val="none" w:sz="0" w:space="0" w:color="auto"/>
            <w:bottom w:val="none" w:sz="0" w:space="0" w:color="auto"/>
            <w:right w:val="none" w:sz="0" w:space="0" w:color="auto"/>
          </w:divBdr>
        </w:div>
        <w:div w:id="1183739200">
          <w:marLeft w:val="1800"/>
          <w:marRight w:val="0"/>
          <w:marTop w:val="77"/>
          <w:marBottom w:val="0"/>
          <w:divBdr>
            <w:top w:val="none" w:sz="0" w:space="0" w:color="auto"/>
            <w:left w:val="none" w:sz="0" w:space="0" w:color="auto"/>
            <w:bottom w:val="none" w:sz="0" w:space="0" w:color="auto"/>
            <w:right w:val="none" w:sz="0" w:space="0" w:color="auto"/>
          </w:divBdr>
        </w:div>
        <w:div w:id="1353071149">
          <w:marLeft w:val="547"/>
          <w:marRight w:val="0"/>
          <w:marTop w:val="115"/>
          <w:marBottom w:val="0"/>
          <w:divBdr>
            <w:top w:val="none" w:sz="0" w:space="0" w:color="auto"/>
            <w:left w:val="none" w:sz="0" w:space="0" w:color="auto"/>
            <w:bottom w:val="none" w:sz="0" w:space="0" w:color="auto"/>
            <w:right w:val="none" w:sz="0" w:space="0" w:color="auto"/>
          </w:divBdr>
        </w:div>
        <w:div w:id="1825389799">
          <w:marLeft w:val="1166"/>
          <w:marRight w:val="0"/>
          <w:marTop w:val="86"/>
          <w:marBottom w:val="0"/>
          <w:divBdr>
            <w:top w:val="none" w:sz="0" w:space="0" w:color="auto"/>
            <w:left w:val="none" w:sz="0" w:space="0" w:color="auto"/>
            <w:bottom w:val="none" w:sz="0" w:space="0" w:color="auto"/>
            <w:right w:val="none" w:sz="0" w:space="0" w:color="auto"/>
          </w:divBdr>
        </w:div>
        <w:div w:id="1830095832">
          <w:marLeft w:val="1800"/>
          <w:marRight w:val="0"/>
          <w:marTop w:val="86"/>
          <w:marBottom w:val="0"/>
          <w:divBdr>
            <w:top w:val="none" w:sz="0" w:space="0" w:color="auto"/>
            <w:left w:val="none" w:sz="0" w:space="0" w:color="auto"/>
            <w:bottom w:val="none" w:sz="0" w:space="0" w:color="auto"/>
            <w:right w:val="none" w:sz="0" w:space="0" w:color="auto"/>
          </w:divBdr>
        </w:div>
        <w:div w:id="2086300912">
          <w:marLeft w:val="1800"/>
          <w:marRight w:val="0"/>
          <w:marTop w:val="77"/>
          <w:marBottom w:val="0"/>
          <w:divBdr>
            <w:top w:val="none" w:sz="0" w:space="0" w:color="auto"/>
            <w:left w:val="none" w:sz="0" w:space="0" w:color="auto"/>
            <w:bottom w:val="none" w:sz="0" w:space="0" w:color="auto"/>
            <w:right w:val="none" w:sz="0" w:space="0" w:color="auto"/>
          </w:divBdr>
        </w:div>
      </w:divsChild>
    </w:div>
    <w:div w:id="1290239602">
      <w:bodyDiv w:val="1"/>
      <w:marLeft w:val="0"/>
      <w:marRight w:val="0"/>
      <w:marTop w:val="0"/>
      <w:marBottom w:val="0"/>
      <w:divBdr>
        <w:top w:val="none" w:sz="0" w:space="0" w:color="auto"/>
        <w:left w:val="none" w:sz="0" w:space="0" w:color="auto"/>
        <w:bottom w:val="none" w:sz="0" w:space="0" w:color="auto"/>
        <w:right w:val="none" w:sz="0" w:space="0" w:color="auto"/>
      </w:divBdr>
    </w:div>
    <w:div w:id="1291398949">
      <w:bodyDiv w:val="1"/>
      <w:marLeft w:val="0"/>
      <w:marRight w:val="0"/>
      <w:marTop w:val="0"/>
      <w:marBottom w:val="0"/>
      <w:divBdr>
        <w:top w:val="none" w:sz="0" w:space="0" w:color="auto"/>
        <w:left w:val="none" w:sz="0" w:space="0" w:color="auto"/>
        <w:bottom w:val="none" w:sz="0" w:space="0" w:color="auto"/>
        <w:right w:val="none" w:sz="0" w:space="0" w:color="auto"/>
      </w:divBdr>
    </w:div>
    <w:div w:id="1292174689">
      <w:bodyDiv w:val="1"/>
      <w:marLeft w:val="0"/>
      <w:marRight w:val="0"/>
      <w:marTop w:val="0"/>
      <w:marBottom w:val="0"/>
      <w:divBdr>
        <w:top w:val="none" w:sz="0" w:space="0" w:color="auto"/>
        <w:left w:val="none" w:sz="0" w:space="0" w:color="auto"/>
        <w:bottom w:val="none" w:sz="0" w:space="0" w:color="auto"/>
        <w:right w:val="none" w:sz="0" w:space="0" w:color="auto"/>
      </w:divBdr>
    </w:div>
    <w:div w:id="1294561854">
      <w:bodyDiv w:val="1"/>
      <w:marLeft w:val="0"/>
      <w:marRight w:val="0"/>
      <w:marTop w:val="0"/>
      <w:marBottom w:val="0"/>
      <w:divBdr>
        <w:top w:val="none" w:sz="0" w:space="0" w:color="auto"/>
        <w:left w:val="none" w:sz="0" w:space="0" w:color="auto"/>
        <w:bottom w:val="none" w:sz="0" w:space="0" w:color="auto"/>
        <w:right w:val="none" w:sz="0" w:space="0" w:color="auto"/>
      </w:divBdr>
    </w:div>
    <w:div w:id="1296595392">
      <w:bodyDiv w:val="1"/>
      <w:marLeft w:val="0"/>
      <w:marRight w:val="0"/>
      <w:marTop w:val="0"/>
      <w:marBottom w:val="0"/>
      <w:divBdr>
        <w:top w:val="none" w:sz="0" w:space="0" w:color="auto"/>
        <w:left w:val="none" w:sz="0" w:space="0" w:color="auto"/>
        <w:bottom w:val="none" w:sz="0" w:space="0" w:color="auto"/>
        <w:right w:val="none" w:sz="0" w:space="0" w:color="auto"/>
      </w:divBdr>
    </w:div>
    <w:div w:id="1297492136">
      <w:bodyDiv w:val="1"/>
      <w:marLeft w:val="0"/>
      <w:marRight w:val="0"/>
      <w:marTop w:val="0"/>
      <w:marBottom w:val="0"/>
      <w:divBdr>
        <w:top w:val="none" w:sz="0" w:space="0" w:color="auto"/>
        <w:left w:val="none" w:sz="0" w:space="0" w:color="auto"/>
        <w:bottom w:val="none" w:sz="0" w:space="0" w:color="auto"/>
        <w:right w:val="none" w:sz="0" w:space="0" w:color="auto"/>
      </w:divBdr>
    </w:div>
    <w:div w:id="1298804510">
      <w:bodyDiv w:val="1"/>
      <w:marLeft w:val="0"/>
      <w:marRight w:val="0"/>
      <w:marTop w:val="0"/>
      <w:marBottom w:val="0"/>
      <w:divBdr>
        <w:top w:val="none" w:sz="0" w:space="0" w:color="auto"/>
        <w:left w:val="none" w:sz="0" w:space="0" w:color="auto"/>
        <w:bottom w:val="none" w:sz="0" w:space="0" w:color="auto"/>
        <w:right w:val="none" w:sz="0" w:space="0" w:color="auto"/>
      </w:divBdr>
    </w:div>
    <w:div w:id="1299217135">
      <w:bodyDiv w:val="1"/>
      <w:marLeft w:val="0"/>
      <w:marRight w:val="0"/>
      <w:marTop w:val="0"/>
      <w:marBottom w:val="0"/>
      <w:divBdr>
        <w:top w:val="none" w:sz="0" w:space="0" w:color="auto"/>
        <w:left w:val="none" w:sz="0" w:space="0" w:color="auto"/>
        <w:bottom w:val="none" w:sz="0" w:space="0" w:color="auto"/>
        <w:right w:val="none" w:sz="0" w:space="0" w:color="auto"/>
      </w:divBdr>
    </w:div>
    <w:div w:id="1300303469">
      <w:bodyDiv w:val="1"/>
      <w:marLeft w:val="0"/>
      <w:marRight w:val="0"/>
      <w:marTop w:val="0"/>
      <w:marBottom w:val="0"/>
      <w:divBdr>
        <w:top w:val="none" w:sz="0" w:space="0" w:color="auto"/>
        <w:left w:val="none" w:sz="0" w:space="0" w:color="auto"/>
        <w:bottom w:val="none" w:sz="0" w:space="0" w:color="auto"/>
        <w:right w:val="none" w:sz="0" w:space="0" w:color="auto"/>
      </w:divBdr>
    </w:div>
    <w:div w:id="1300304705">
      <w:bodyDiv w:val="1"/>
      <w:marLeft w:val="0"/>
      <w:marRight w:val="0"/>
      <w:marTop w:val="0"/>
      <w:marBottom w:val="0"/>
      <w:divBdr>
        <w:top w:val="none" w:sz="0" w:space="0" w:color="auto"/>
        <w:left w:val="none" w:sz="0" w:space="0" w:color="auto"/>
        <w:bottom w:val="none" w:sz="0" w:space="0" w:color="auto"/>
        <w:right w:val="none" w:sz="0" w:space="0" w:color="auto"/>
      </w:divBdr>
    </w:div>
    <w:div w:id="1300502478">
      <w:bodyDiv w:val="1"/>
      <w:marLeft w:val="0"/>
      <w:marRight w:val="0"/>
      <w:marTop w:val="0"/>
      <w:marBottom w:val="0"/>
      <w:divBdr>
        <w:top w:val="none" w:sz="0" w:space="0" w:color="auto"/>
        <w:left w:val="none" w:sz="0" w:space="0" w:color="auto"/>
        <w:bottom w:val="none" w:sz="0" w:space="0" w:color="auto"/>
        <w:right w:val="none" w:sz="0" w:space="0" w:color="auto"/>
      </w:divBdr>
    </w:div>
    <w:div w:id="1302271598">
      <w:bodyDiv w:val="1"/>
      <w:marLeft w:val="0"/>
      <w:marRight w:val="0"/>
      <w:marTop w:val="0"/>
      <w:marBottom w:val="0"/>
      <w:divBdr>
        <w:top w:val="none" w:sz="0" w:space="0" w:color="auto"/>
        <w:left w:val="none" w:sz="0" w:space="0" w:color="auto"/>
        <w:bottom w:val="none" w:sz="0" w:space="0" w:color="auto"/>
        <w:right w:val="none" w:sz="0" w:space="0" w:color="auto"/>
      </w:divBdr>
      <w:divsChild>
        <w:div w:id="254829103">
          <w:marLeft w:val="274"/>
          <w:marRight w:val="0"/>
          <w:marTop w:val="115"/>
          <w:marBottom w:val="0"/>
          <w:divBdr>
            <w:top w:val="none" w:sz="0" w:space="0" w:color="auto"/>
            <w:left w:val="none" w:sz="0" w:space="0" w:color="auto"/>
            <w:bottom w:val="none" w:sz="0" w:space="0" w:color="auto"/>
            <w:right w:val="none" w:sz="0" w:space="0" w:color="auto"/>
          </w:divBdr>
        </w:div>
        <w:div w:id="559903350">
          <w:marLeft w:val="1411"/>
          <w:marRight w:val="0"/>
          <w:marTop w:val="96"/>
          <w:marBottom w:val="0"/>
          <w:divBdr>
            <w:top w:val="none" w:sz="0" w:space="0" w:color="auto"/>
            <w:left w:val="none" w:sz="0" w:space="0" w:color="auto"/>
            <w:bottom w:val="none" w:sz="0" w:space="0" w:color="auto"/>
            <w:right w:val="none" w:sz="0" w:space="0" w:color="auto"/>
          </w:divBdr>
        </w:div>
        <w:div w:id="590820131">
          <w:marLeft w:val="835"/>
          <w:marRight w:val="0"/>
          <w:marTop w:val="96"/>
          <w:marBottom w:val="0"/>
          <w:divBdr>
            <w:top w:val="none" w:sz="0" w:space="0" w:color="auto"/>
            <w:left w:val="none" w:sz="0" w:space="0" w:color="auto"/>
            <w:bottom w:val="none" w:sz="0" w:space="0" w:color="auto"/>
            <w:right w:val="none" w:sz="0" w:space="0" w:color="auto"/>
          </w:divBdr>
        </w:div>
        <w:div w:id="1397822828">
          <w:marLeft w:val="1411"/>
          <w:marRight w:val="0"/>
          <w:marTop w:val="96"/>
          <w:marBottom w:val="0"/>
          <w:divBdr>
            <w:top w:val="none" w:sz="0" w:space="0" w:color="auto"/>
            <w:left w:val="none" w:sz="0" w:space="0" w:color="auto"/>
            <w:bottom w:val="none" w:sz="0" w:space="0" w:color="auto"/>
            <w:right w:val="none" w:sz="0" w:space="0" w:color="auto"/>
          </w:divBdr>
        </w:div>
        <w:div w:id="2030983248">
          <w:marLeft w:val="1411"/>
          <w:marRight w:val="0"/>
          <w:marTop w:val="96"/>
          <w:marBottom w:val="0"/>
          <w:divBdr>
            <w:top w:val="none" w:sz="0" w:space="0" w:color="auto"/>
            <w:left w:val="none" w:sz="0" w:space="0" w:color="auto"/>
            <w:bottom w:val="none" w:sz="0" w:space="0" w:color="auto"/>
            <w:right w:val="none" w:sz="0" w:space="0" w:color="auto"/>
          </w:divBdr>
        </w:div>
        <w:div w:id="2067289188">
          <w:marLeft w:val="274"/>
          <w:marRight w:val="0"/>
          <w:marTop w:val="115"/>
          <w:marBottom w:val="0"/>
          <w:divBdr>
            <w:top w:val="none" w:sz="0" w:space="0" w:color="auto"/>
            <w:left w:val="none" w:sz="0" w:space="0" w:color="auto"/>
            <w:bottom w:val="none" w:sz="0" w:space="0" w:color="auto"/>
            <w:right w:val="none" w:sz="0" w:space="0" w:color="auto"/>
          </w:divBdr>
        </w:div>
      </w:divsChild>
    </w:div>
    <w:div w:id="1303535297">
      <w:bodyDiv w:val="1"/>
      <w:marLeft w:val="0"/>
      <w:marRight w:val="0"/>
      <w:marTop w:val="0"/>
      <w:marBottom w:val="0"/>
      <w:divBdr>
        <w:top w:val="none" w:sz="0" w:space="0" w:color="auto"/>
        <w:left w:val="none" w:sz="0" w:space="0" w:color="auto"/>
        <w:bottom w:val="none" w:sz="0" w:space="0" w:color="auto"/>
        <w:right w:val="none" w:sz="0" w:space="0" w:color="auto"/>
      </w:divBdr>
    </w:div>
    <w:div w:id="1303585647">
      <w:bodyDiv w:val="1"/>
      <w:marLeft w:val="0"/>
      <w:marRight w:val="0"/>
      <w:marTop w:val="0"/>
      <w:marBottom w:val="0"/>
      <w:divBdr>
        <w:top w:val="none" w:sz="0" w:space="0" w:color="auto"/>
        <w:left w:val="none" w:sz="0" w:space="0" w:color="auto"/>
        <w:bottom w:val="none" w:sz="0" w:space="0" w:color="auto"/>
        <w:right w:val="none" w:sz="0" w:space="0" w:color="auto"/>
      </w:divBdr>
      <w:divsChild>
        <w:div w:id="251477079">
          <w:marLeft w:val="1080"/>
          <w:marRight w:val="0"/>
          <w:marTop w:val="100"/>
          <w:marBottom w:val="0"/>
          <w:divBdr>
            <w:top w:val="none" w:sz="0" w:space="0" w:color="auto"/>
            <w:left w:val="none" w:sz="0" w:space="0" w:color="auto"/>
            <w:bottom w:val="none" w:sz="0" w:space="0" w:color="auto"/>
            <w:right w:val="none" w:sz="0" w:space="0" w:color="auto"/>
          </w:divBdr>
        </w:div>
        <w:div w:id="953100140">
          <w:marLeft w:val="1080"/>
          <w:marRight w:val="0"/>
          <w:marTop w:val="100"/>
          <w:marBottom w:val="0"/>
          <w:divBdr>
            <w:top w:val="none" w:sz="0" w:space="0" w:color="auto"/>
            <w:left w:val="none" w:sz="0" w:space="0" w:color="auto"/>
            <w:bottom w:val="none" w:sz="0" w:space="0" w:color="auto"/>
            <w:right w:val="none" w:sz="0" w:space="0" w:color="auto"/>
          </w:divBdr>
        </w:div>
        <w:div w:id="1118187289">
          <w:marLeft w:val="1080"/>
          <w:marRight w:val="0"/>
          <w:marTop w:val="100"/>
          <w:marBottom w:val="0"/>
          <w:divBdr>
            <w:top w:val="none" w:sz="0" w:space="0" w:color="auto"/>
            <w:left w:val="none" w:sz="0" w:space="0" w:color="auto"/>
            <w:bottom w:val="none" w:sz="0" w:space="0" w:color="auto"/>
            <w:right w:val="none" w:sz="0" w:space="0" w:color="auto"/>
          </w:divBdr>
        </w:div>
        <w:div w:id="1718776308">
          <w:marLeft w:val="1080"/>
          <w:marRight w:val="0"/>
          <w:marTop w:val="100"/>
          <w:marBottom w:val="0"/>
          <w:divBdr>
            <w:top w:val="none" w:sz="0" w:space="0" w:color="auto"/>
            <w:left w:val="none" w:sz="0" w:space="0" w:color="auto"/>
            <w:bottom w:val="none" w:sz="0" w:space="0" w:color="auto"/>
            <w:right w:val="none" w:sz="0" w:space="0" w:color="auto"/>
          </w:divBdr>
        </w:div>
        <w:div w:id="1834954152">
          <w:marLeft w:val="1080"/>
          <w:marRight w:val="0"/>
          <w:marTop w:val="100"/>
          <w:marBottom w:val="0"/>
          <w:divBdr>
            <w:top w:val="none" w:sz="0" w:space="0" w:color="auto"/>
            <w:left w:val="none" w:sz="0" w:space="0" w:color="auto"/>
            <w:bottom w:val="none" w:sz="0" w:space="0" w:color="auto"/>
            <w:right w:val="none" w:sz="0" w:space="0" w:color="auto"/>
          </w:divBdr>
        </w:div>
        <w:div w:id="2138403658">
          <w:marLeft w:val="360"/>
          <w:marRight w:val="0"/>
          <w:marTop w:val="200"/>
          <w:marBottom w:val="0"/>
          <w:divBdr>
            <w:top w:val="none" w:sz="0" w:space="0" w:color="auto"/>
            <w:left w:val="none" w:sz="0" w:space="0" w:color="auto"/>
            <w:bottom w:val="none" w:sz="0" w:space="0" w:color="auto"/>
            <w:right w:val="none" w:sz="0" w:space="0" w:color="auto"/>
          </w:divBdr>
        </w:div>
      </w:divsChild>
    </w:div>
    <w:div w:id="1304041292">
      <w:bodyDiv w:val="1"/>
      <w:marLeft w:val="0"/>
      <w:marRight w:val="0"/>
      <w:marTop w:val="0"/>
      <w:marBottom w:val="0"/>
      <w:divBdr>
        <w:top w:val="none" w:sz="0" w:space="0" w:color="auto"/>
        <w:left w:val="none" w:sz="0" w:space="0" w:color="auto"/>
        <w:bottom w:val="none" w:sz="0" w:space="0" w:color="auto"/>
        <w:right w:val="none" w:sz="0" w:space="0" w:color="auto"/>
      </w:divBdr>
    </w:div>
    <w:div w:id="1304189423">
      <w:bodyDiv w:val="1"/>
      <w:marLeft w:val="0"/>
      <w:marRight w:val="0"/>
      <w:marTop w:val="0"/>
      <w:marBottom w:val="0"/>
      <w:divBdr>
        <w:top w:val="none" w:sz="0" w:space="0" w:color="auto"/>
        <w:left w:val="none" w:sz="0" w:space="0" w:color="auto"/>
        <w:bottom w:val="none" w:sz="0" w:space="0" w:color="auto"/>
        <w:right w:val="none" w:sz="0" w:space="0" w:color="auto"/>
      </w:divBdr>
      <w:divsChild>
        <w:div w:id="501579440">
          <w:marLeft w:val="1166"/>
          <w:marRight w:val="0"/>
          <w:marTop w:val="91"/>
          <w:marBottom w:val="0"/>
          <w:divBdr>
            <w:top w:val="none" w:sz="0" w:space="0" w:color="auto"/>
            <w:left w:val="none" w:sz="0" w:space="0" w:color="auto"/>
            <w:bottom w:val="none" w:sz="0" w:space="0" w:color="auto"/>
            <w:right w:val="none" w:sz="0" w:space="0" w:color="auto"/>
          </w:divBdr>
        </w:div>
        <w:div w:id="729160678">
          <w:marLeft w:val="1166"/>
          <w:marRight w:val="0"/>
          <w:marTop w:val="91"/>
          <w:marBottom w:val="0"/>
          <w:divBdr>
            <w:top w:val="none" w:sz="0" w:space="0" w:color="auto"/>
            <w:left w:val="none" w:sz="0" w:space="0" w:color="auto"/>
            <w:bottom w:val="none" w:sz="0" w:space="0" w:color="auto"/>
            <w:right w:val="none" w:sz="0" w:space="0" w:color="auto"/>
          </w:divBdr>
        </w:div>
        <w:div w:id="977106700">
          <w:marLeft w:val="1166"/>
          <w:marRight w:val="0"/>
          <w:marTop w:val="91"/>
          <w:marBottom w:val="0"/>
          <w:divBdr>
            <w:top w:val="none" w:sz="0" w:space="0" w:color="auto"/>
            <w:left w:val="none" w:sz="0" w:space="0" w:color="auto"/>
            <w:bottom w:val="none" w:sz="0" w:space="0" w:color="auto"/>
            <w:right w:val="none" w:sz="0" w:space="0" w:color="auto"/>
          </w:divBdr>
        </w:div>
        <w:div w:id="995449791">
          <w:marLeft w:val="1166"/>
          <w:marRight w:val="0"/>
          <w:marTop w:val="91"/>
          <w:marBottom w:val="0"/>
          <w:divBdr>
            <w:top w:val="none" w:sz="0" w:space="0" w:color="auto"/>
            <w:left w:val="none" w:sz="0" w:space="0" w:color="auto"/>
            <w:bottom w:val="none" w:sz="0" w:space="0" w:color="auto"/>
            <w:right w:val="none" w:sz="0" w:space="0" w:color="auto"/>
          </w:divBdr>
        </w:div>
        <w:div w:id="1112557370">
          <w:marLeft w:val="547"/>
          <w:marRight w:val="0"/>
          <w:marTop w:val="106"/>
          <w:marBottom w:val="0"/>
          <w:divBdr>
            <w:top w:val="none" w:sz="0" w:space="0" w:color="auto"/>
            <w:left w:val="none" w:sz="0" w:space="0" w:color="auto"/>
            <w:bottom w:val="none" w:sz="0" w:space="0" w:color="auto"/>
            <w:right w:val="none" w:sz="0" w:space="0" w:color="auto"/>
          </w:divBdr>
        </w:div>
        <w:div w:id="1146510341">
          <w:marLeft w:val="547"/>
          <w:marRight w:val="0"/>
          <w:marTop w:val="106"/>
          <w:marBottom w:val="0"/>
          <w:divBdr>
            <w:top w:val="none" w:sz="0" w:space="0" w:color="auto"/>
            <w:left w:val="none" w:sz="0" w:space="0" w:color="auto"/>
            <w:bottom w:val="none" w:sz="0" w:space="0" w:color="auto"/>
            <w:right w:val="none" w:sz="0" w:space="0" w:color="auto"/>
          </w:divBdr>
        </w:div>
        <w:div w:id="1202938023">
          <w:marLeft w:val="1166"/>
          <w:marRight w:val="0"/>
          <w:marTop w:val="72"/>
          <w:marBottom w:val="0"/>
          <w:divBdr>
            <w:top w:val="none" w:sz="0" w:space="0" w:color="auto"/>
            <w:left w:val="none" w:sz="0" w:space="0" w:color="auto"/>
            <w:bottom w:val="none" w:sz="0" w:space="0" w:color="auto"/>
            <w:right w:val="none" w:sz="0" w:space="0" w:color="auto"/>
          </w:divBdr>
        </w:div>
        <w:div w:id="1325158616">
          <w:marLeft w:val="547"/>
          <w:marRight w:val="0"/>
          <w:marTop w:val="106"/>
          <w:marBottom w:val="0"/>
          <w:divBdr>
            <w:top w:val="none" w:sz="0" w:space="0" w:color="auto"/>
            <w:left w:val="none" w:sz="0" w:space="0" w:color="auto"/>
            <w:bottom w:val="none" w:sz="0" w:space="0" w:color="auto"/>
            <w:right w:val="none" w:sz="0" w:space="0" w:color="auto"/>
          </w:divBdr>
        </w:div>
        <w:div w:id="1912883996">
          <w:marLeft w:val="1166"/>
          <w:marRight w:val="0"/>
          <w:marTop w:val="72"/>
          <w:marBottom w:val="0"/>
          <w:divBdr>
            <w:top w:val="none" w:sz="0" w:space="0" w:color="auto"/>
            <w:left w:val="none" w:sz="0" w:space="0" w:color="auto"/>
            <w:bottom w:val="none" w:sz="0" w:space="0" w:color="auto"/>
            <w:right w:val="none" w:sz="0" w:space="0" w:color="auto"/>
          </w:divBdr>
        </w:div>
      </w:divsChild>
    </w:div>
    <w:div w:id="1305084410">
      <w:bodyDiv w:val="1"/>
      <w:marLeft w:val="0"/>
      <w:marRight w:val="0"/>
      <w:marTop w:val="0"/>
      <w:marBottom w:val="0"/>
      <w:divBdr>
        <w:top w:val="none" w:sz="0" w:space="0" w:color="auto"/>
        <w:left w:val="none" w:sz="0" w:space="0" w:color="auto"/>
        <w:bottom w:val="none" w:sz="0" w:space="0" w:color="auto"/>
        <w:right w:val="none" w:sz="0" w:space="0" w:color="auto"/>
      </w:divBdr>
    </w:div>
    <w:div w:id="1305084611">
      <w:bodyDiv w:val="1"/>
      <w:marLeft w:val="0"/>
      <w:marRight w:val="0"/>
      <w:marTop w:val="0"/>
      <w:marBottom w:val="0"/>
      <w:divBdr>
        <w:top w:val="none" w:sz="0" w:space="0" w:color="auto"/>
        <w:left w:val="none" w:sz="0" w:space="0" w:color="auto"/>
        <w:bottom w:val="none" w:sz="0" w:space="0" w:color="auto"/>
        <w:right w:val="none" w:sz="0" w:space="0" w:color="auto"/>
      </w:divBdr>
    </w:div>
    <w:div w:id="1307010844">
      <w:bodyDiv w:val="1"/>
      <w:marLeft w:val="0"/>
      <w:marRight w:val="0"/>
      <w:marTop w:val="0"/>
      <w:marBottom w:val="0"/>
      <w:divBdr>
        <w:top w:val="none" w:sz="0" w:space="0" w:color="auto"/>
        <w:left w:val="none" w:sz="0" w:space="0" w:color="auto"/>
        <w:bottom w:val="none" w:sz="0" w:space="0" w:color="auto"/>
        <w:right w:val="none" w:sz="0" w:space="0" w:color="auto"/>
      </w:divBdr>
    </w:div>
    <w:div w:id="1307272379">
      <w:bodyDiv w:val="1"/>
      <w:marLeft w:val="0"/>
      <w:marRight w:val="0"/>
      <w:marTop w:val="0"/>
      <w:marBottom w:val="0"/>
      <w:divBdr>
        <w:top w:val="none" w:sz="0" w:space="0" w:color="auto"/>
        <w:left w:val="none" w:sz="0" w:space="0" w:color="auto"/>
        <w:bottom w:val="none" w:sz="0" w:space="0" w:color="auto"/>
        <w:right w:val="none" w:sz="0" w:space="0" w:color="auto"/>
      </w:divBdr>
    </w:div>
    <w:div w:id="1307472135">
      <w:bodyDiv w:val="1"/>
      <w:marLeft w:val="0"/>
      <w:marRight w:val="0"/>
      <w:marTop w:val="0"/>
      <w:marBottom w:val="0"/>
      <w:divBdr>
        <w:top w:val="none" w:sz="0" w:space="0" w:color="auto"/>
        <w:left w:val="none" w:sz="0" w:space="0" w:color="auto"/>
        <w:bottom w:val="none" w:sz="0" w:space="0" w:color="auto"/>
        <w:right w:val="none" w:sz="0" w:space="0" w:color="auto"/>
      </w:divBdr>
    </w:div>
    <w:div w:id="1307972551">
      <w:bodyDiv w:val="1"/>
      <w:marLeft w:val="0"/>
      <w:marRight w:val="0"/>
      <w:marTop w:val="0"/>
      <w:marBottom w:val="0"/>
      <w:divBdr>
        <w:top w:val="none" w:sz="0" w:space="0" w:color="auto"/>
        <w:left w:val="none" w:sz="0" w:space="0" w:color="auto"/>
        <w:bottom w:val="none" w:sz="0" w:space="0" w:color="auto"/>
        <w:right w:val="none" w:sz="0" w:space="0" w:color="auto"/>
      </w:divBdr>
    </w:div>
    <w:div w:id="1307976362">
      <w:bodyDiv w:val="1"/>
      <w:marLeft w:val="0"/>
      <w:marRight w:val="0"/>
      <w:marTop w:val="0"/>
      <w:marBottom w:val="0"/>
      <w:divBdr>
        <w:top w:val="none" w:sz="0" w:space="0" w:color="auto"/>
        <w:left w:val="none" w:sz="0" w:space="0" w:color="auto"/>
        <w:bottom w:val="none" w:sz="0" w:space="0" w:color="auto"/>
        <w:right w:val="none" w:sz="0" w:space="0" w:color="auto"/>
      </w:divBdr>
    </w:div>
    <w:div w:id="1308172027">
      <w:bodyDiv w:val="1"/>
      <w:marLeft w:val="0"/>
      <w:marRight w:val="0"/>
      <w:marTop w:val="0"/>
      <w:marBottom w:val="0"/>
      <w:divBdr>
        <w:top w:val="none" w:sz="0" w:space="0" w:color="auto"/>
        <w:left w:val="none" w:sz="0" w:space="0" w:color="auto"/>
        <w:bottom w:val="none" w:sz="0" w:space="0" w:color="auto"/>
        <w:right w:val="none" w:sz="0" w:space="0" w:color="auto"/>
      </w:divBdr>
    </w:div>
    <w:div w:id="1310328126">
      <w:bodyDiv w:val="1"/>
      <w:marLeft w:val="0"/>
      <w:marRight w:val="0"/>
      <w:marTop w:val="0"/>
      <w:marBottom w:val="0"/>
      <w:divBdr>
        <w:top w:val="none" w:sz="0" w:space="0" w:color="auto"/>
        <w:left w:val="none" w:sz="0" w:space="0" w:color="auto"/>
        <w:bottom w:val="none" w:sz="0" w:space="0" w:color="auto"/>
        <w:right w:val="none" w:sz="0" w:space="0" w:color="auto"/>
      </w:divBdr>
    </w:div>
    <w:div w:id="1310398776">
      <w:bodyDiv w:val="1"/>
      <w:marLeft w:val="0"/>
      <w:marRight w:val="0"/>
      <w:marTop w:val="0"/>
      <w:marBottom w:val="0"/>
      <w:divBdr>
        <w:top w:val="none" w:sz="0" w:space="0" w:color="auto"/>
        <w:left w:val="none" w:sz="0" w:space="0" w:color="auto"/>
        <w:bottom w:val="none" w:sz="0" w:space="0" w:color="auto"/>
        <w:right w:val="none" w:sz="0" w:space="0" w:color="auto"/>
      </w:divBdr>
    </w:div>
    <w:div w:id="1310788099">
      <w:bodyDiv w:val="1"/>
      <w:marLeft w:val="0"/>
      <w:marRight w:val="0"/>
      <w:marTop w:val="0"/>
      <w:marBottom w:val="0"/>
      <w:divBdr>
        <w:top w:val="none" w:sz="0" w:space="0" w:color="auto"/>
        <w:left w:val="none" w:sz="0" w:space="0" w:color="auto"/>
        <w:bottom w:val="none" w:sz="0" w:space="0" w:color="auto"/>
        <w:right w:val="none" w:sz="0" w:space="0" w:color="auto"/>
      </w:divBdr>
    </w:div>
    <w:div w:id="1311640491">
      <w:bodyDiv w:val="1"/>
      <w:marLeft w:val="0"/>
      <w:marRight w:val="0"/>
      <w:marTop w:val="0"/>
      <w:marBottom w:val="0"/>
      <w:divBdr>
        <w:top w:val="none" w:sz="0" w:space="0" w:color="auto"/>
        <w:left w:val="none" w:sz="0" w:space="0" w:color="auto"/>
        <w:bottom w:val="none" w:sz="0" w:space="0" w:color="auto"/>
        <w:right w:val="none" w:sz="0" w:space="0" w:color="auto"/>
      </w:divBdr>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4216337">
      <w:bodyDiv w:val="1"/>
      <w:marLeft w:val="0"/>
      <w:marRight w:val="0"/>
      <w:marTop w:val="0"/>
      <w:marBottom w:val="0"/>
      <w:divBdr>
        <w:top w:val="none" w:sz="0" w:space="0" w:color="auto"/>
        <w:left w:val="none" w:sz="0" w:space="0" w:color="auto"/>
        <w:bottom w:val="none" w:sz="0" w:space="0" w:color="auto"/>
        <w:right w:val="none" w:sz="0" w:space="0" w:color="auto"/>
      </w:divBdr>
      <w:divsChild>
        <w:div w:id="178546744">
          <w:marLeft w:val="1800"/>
          <w:marRight w:val="0"/>
          <w:marTop w:val="67"/>
          <w:marBottom w:val="0"/>
          <w:divBdr>
            <w:top w:val="none" w:sz="0" w:space="0" w:color="auto"/>
            <w:left w:val="none" w:sz="0" w:space="0" w:color="auto"/>
            <w:bottom w:val="none" w:sz="0" w:space="0" w:color="auto"/>
            <w:right w:val="none" w:sz="0" w:space="0" w:color="auto"/>
          </w:divBdr>
        </w:div>
        <w:div w:id="207305675">
          <w:marLeft w:val="2520"/>
          <w:marRight w:val="0"/>
          <w:marTop w:val="58"/>
          <w:marBottom w:val="0"/>
          <w:divBdr>
            <w:top w:val="none" w:sz="0" w:space="0" w:color="auto"/>
            <w:left w:val="none" w:sz="0" w:space="0" w:color="auto"/>
            <w:bottom w:val="none" w:sz="0" w:space="0" w:color="auto"/>
            <w:right w:val="none" w:sz="0" w:space="0" w:color="auto"/>
          </w:divBdr>
        </w:div>
        <w:div w:id="596792105">
          <w:marLeft w:val="1166"/>
          <w:marRight w:val="0"/>
          <w:marTop w:val="77"/>
          <w:marBottom w:val="0"/>
          <w:divBdr>
            <w:top w:val="none" w:sz="0" w:space="0" w:color="auto"/>
            <w:left w:val="none" w:sz="0" w:space="0" w:color="auto"/>
            <w:bottom w:val="none" w:sz="0" w:space="0" w:color="auto"/>
            <w:right w:val="none" w:sz="0" w:space="0" w:color="auto"/>
          </w:divBdr>
        </w:div>
        <w:div w:id="814298490">
          <w:marLeft w:val="1166"/>
          <w:marRight w:val="0"/>
          <w:marTop w:val="77"/>
          <w:marBottom w:val="0"/>
          <w:divBdr>
            <w:top w:val="none" w:sz="0" w:space="0" w:color="auto"/>
            <w:left w:val="none" w:sz="0" w:space="0" w:color="auto"/>
            <w:bottom w:val="none" w:sz="0" w:space="0" w:color="auto"/>
            <w:right w:val="none" w:sz="0" w:space="0" w:color="auto"/>
          </w:divBdr>
        </w:div>
        <w:div w:id="1042168964">
          <w:marLeft w:val="1166"/>
          <w:marRight w:val="0"/>
          <w:marTop w:val="77"/>
          <w:marBottom w:val="0"/>
          <w:divBdr>
            <w:top w:val="none" w:sz="0" w:space="0" w:color="auto"/>
            <w:left w:val="none" w:sz="0" w:space="0" w:color="auto"/>
            <w:bottom w:val="none" w:sz="0" w:space="0" w:color="auto"/>
            <w:right w:val="none" w:sz="0" w:space="0" w:color="auto"/>
          </w:divBdr>
        </w:div>
        <w:div w:id="1253393098">
          <w:marLeft w:val="2520"/>
          <w:marRight w:val="0"/>
          <w:marTop w:val="58"/>
          <w:marBottom w:val="0"/>
          <w:divBdr>
            <w:top w:val="none" w:sz="0" w:space="0" w:color="auto"/>
            <w:left w:val="none" w:sz="0" w:space="0" w:color="auto"/>
            <w:bottom w:val="none" w:sz="0" w:space="0" w:color="auto"/>
            <w:right w:val="none" w:sz="0" w:space="0" w:color="auto"/>
          </w:divBdr>
        </w:div>
        <w:div w:id="1351758469">
          <w:marLeft w:val="1800"/>
          <w:marRight w:val="0"/>
          <w:marTop w:val="67"/>
          <w:marBottom w:val="0"/>
          <w:divBdr>
            <w:top w:val="none" w:sz="0" w:space="0" w:color="auto"/>
            <w:left w:val="none" w:sz="0" w:space="0" w:color="auto"/>
            <w:bottom w:val="none" w:sz="0" w:space="0" w:color="auto"/>
            <w:right w:val="none" w:sz="0" w:space="0" w:color="auto"/>
          </w:divBdr>
        </w:div>
        <w:div w:id="1409956639">
          <w:marLeft w:val="2520"/>
          <w:marRight w:val="0"/>
          <w:marTop w:val="58"/>
          <w:marBottom w:val="0"/>
          <w:divBdr>
            <w:top w:val="none" w:sz="0" w:space="0" w:color="auto"/>
            <w:left w:val="none" w:sz="0" w:space="0" w:color="auto"/>
            <w:bottom w:val="none" w:sz="0" w:space="0" w:color="auto"/>
            <w:right w:val="none" w:sz="0" w:space="0" w:color="auto"/>
          </w:divBdr>
        </w:div>
        <w:div w:id="1447233081">
          <w:marLeft w:val="547"/>
          <w:marRight w:val="0"/>
          <w:marTop w:val="86"/>
          <w:marBottom w:val="0"/>
          <w:divBdr>
            <w:top w:val="none" w:sz="0" w:space="0" w:color="auto"/>
            <w:left w:val="none" w:sz="0" w:space="0" w:color="auto"/>
            <w:bottom w:val="none" w:sz="0" w:space="0" w:color="auto"/>
            <w:right w:val="none" w:sz="0" w:space="0" w:color="auto"/>
          </w:divBdr>
        </w:div>
        <w:div w:id="1523275297">
          <w:marLeft w:val="1800"/>
          <w:marRight w:val="0"/>
          <w:marTop w:val="58"/>
          <w:marBottom w:val="0"/>
          <w:divBdr>
            <w:top w:val="none" w:sz="0" w:space="0" w:color="auto"/>
            <w:left w:val="none" w:sz="0" w:space="0" w:color="auto"/>
            <w:bottom w:val="none" w:sz="0" w:space="0" w:color="auto"/>
            <w:right w:val="none" w:sz="0" w:space="0" w:color="auto"/>
          </w:divBdr>
        </w:div>
        <w:div w:id="1541087416">
          <w:marLeft w:val="2520"/>
          <w:marRight w:val="0"/>
          <w:marTop w:val="58"/>
          <w:marBottom w:val="0"/>
          <w:divBdr>
            <w:top w:val="none" w:sz="0" w:space="0" w:color="auto"/>
            <w:left w:val="none" w:sz="0" w:space="0" w:color="auto"/>
            <w:bottom w:val="none" w:sz="0" w:space="0" w:color="auto"/>
            <w:right w:val="none" w:sz="0" w:space="0" w:color="auto"/>
          </w:divBdr>
        </w:div>
        <w:div w:id="1592272888">
          <w:marLeft w:val="2520"/>
          <w:marRight w:val="0"/>
          <w:marTop w:val="58"/>
          <w:marBottom w:val="0"/>
          <w:divBdr>
            <w:top w:val="none" w:sz="0" w:space="0" w:color="auto"/>
            <w:left w:val="none" w:sz="0" w:space="0" w:color="auto"/>
            <w:bottom w:val="none" w:sz="0" w:space="0" w:color="auto"/>
            <w:right w:val="none" w:sz="0" w:space="0" w:color="auto"/>
          </w:divBdr>
        </w:div>
        <w:div w:id="1726219761">
          <w:marLeft w:val="1800"/>
          <w:marRight w:val="0"/>
          <w:marTop w:val="58"/>
          <w:marBottom w:val="0"/>
          <w:divBdr>
            <w:top w:val="none" w:sz="0" w:space="0" w:color="auto"/>
            <w:left w:val="none" w:sz="0" w:space="0" w:color="auto"/>
            <w:bottom w:val="none" w:sz="0" w:space="0" w:color="auto"/>
            <w:right w:val="none" w:sz="0" w:space="0" w:color="auto"/>
          </w:divBdr>
        </w:div>
        <w:div w:id="1727756355">
          <w:marLeft w:val="1800"/>
          <w:marRight w:val="0"/>
          <w:marTop w:val="67"/>
          <w:marBottom w:val="0"/>
          <w:divBdr>
            <w:top w:val="none" w:sz="0" w:space="0" w:color="auto"/>
            <w:left w:val="none" w:sz="0" w:space="0" w:color="auto"/>
            <w:bottom w:val="none" w:sz="0" w:space="0" w:color="auto"/>
            <w:right w:val="none" w:sz="0" w:space="0" w:color="auto"/>
          </w:divBdr>
        </w:div>
        <w:div w:id="2091344493">
          <w:marLeft w:val="547"/>
          <w:marRight w:val="0"/>
          <w:marTop w:val="86"/>
          <w:marBottom w:val="0"/>
          <w:divBdr>
            <w:top w:val="none" w:sz="0" w:space="0" w:color="auto"/>
            <w:left w:val="none" w:sz="0" w:space="0" w:color="auto"/>
            <w:bottom w:val="none" w:sz="0" w:space="0" w:color="auto"/>
            <w:right w:val="none" w:sz="0" w:space="0" w:color="auto"/>
          </w:divBdr>
        </w:div>
        <w:div w:id="2131782806">
          <w:marLeft w:val="1800"/>
          <w:marRight w:val="0"/>
          <w:marTop w:val="67"/>
          <w:marBottom w:val="0"/>
          <w:divBdr>
            <w:top w:val="none" w:sz="0" w:space="0" w:color="auto"/>
            <w:left w:val="none" w:sz="0" w:space="0" w:color="auto"/>
            <w:bottom w:val="none" w:sz="0" w:space="0" w:color="auto"/>
            <w:right w:val="none" w:sz="0" w:space="0" w:color="auto"/>
          </w:divBdr>
        </w:div>
      </w:divsChild>
    </w:div>
    <w:div w:id="1314412569">
      <w:bodyDiv w:val="1"/>
      <w:marLeft w:val="0"/>
      <w:marRight w:val="0"/>
      <w:marTop w:val="0"/>
      <w:marBottom w:val="0"/>
      <w:divBdr>
        <w:top w:val="none" w:sz="0" w:space="0" w:color="auto"/>
        <w:left w:val="none" w:sz="0" w:space="0" w:color="auto"/>
        <w:bottom w:val="none" w:sz="0" w:space="0" w:color="auto"/>
        <w:right w:val="none" w:sz="0" w:space="0" w:color="auto"/>
      </w:divBdr>
    </w:div>
    <w:div w:id="1314531505">
      <w:bodyDiv w:val="1"/>
      <w:marLeft w:val="0"/>
      <w:marRight w:val="0"/>
      <w:marTop w:val="0"/>
      <w:marBottom w:val="0"/>
      <w:divBdr>
        <w:top w:val="none" w:sz="0" w:space="0" w:color="auto"/>
        <w:left w:val="none" w:sz="0" w:space="0" w:color="auto"/>
        <w:bottom w:val="none" w:sz="0" w:space="0" w:color="auto"/>
        <w:right w:val="none" w:sz="0" w:space="0" w:color="auto"/>
      </w:divBdr>
    </w:div>
    <w:div w:id="1315060093">
      <w:bodyDiv w:val="1"/>
      <w:marLeft w:val="0"/>
      <w:marRight w:val="0"/>
      <w:marTop w:val="0"/>
      <w:marBottom w:val="0"/>
      <w:divBdr>
        <w:top w:val="none" w:sz="0" w:space="0" w:color="auto"/>
        <w:left w:val="none" w:sz="0" w:space="0" w:color="auto"/>
        <w:bottom w:val="none" w:sz="0" w:space="0" w:color="auto"/>
        <w:right w:val="none" w:sz="0" w:space="0" w:color="auto"/>
      </w:divBdr>
      <w:divsChild>
        <w:div w:id="148137325">
          <w:marLeft w:val="1800"/>
          <w:marRight w:val="0"/>
          <w:marTop w:val="115"/>
          <w:marBottom w:val="0"/>
          <w:divBdr>
            <w:top w:val="none" w:sz="0" w:space="0" w:color="auto"/>
            <w:left w:val="none" w:sz="0" w:space="0" w:color="auto"/>
            <w:bottom w:val="none" w:sz="0" w:space="0" w:color="auto"/>
            <w:right w:val="none" w:sz="0" w:space="0" w:color="auto"/>
          </w:divBdr>
        </w:div>
        <w:div w:id="518855190">
          <w:marLeft w:val="1166"/>
          <w:marRight w:val="0"/>
          <w:marTop w:val="134"/>
          <w:marBottom w:val="0"/>
          <w:divBdr>
            <w:top w:val="none" w:sz="0" w:space="0" w:color="auto"/>
            <w:left w:val="none" w:sz="0" w:space="0" w:color="auto"/>
            <w:bottom w:val="none" w:sz="0" w:space="0" w:color="auto"/>
            <w:right w:val="none" w:sz="0" w:space="0" w:color="auto"/>
          </w:divBdr>
        </w:div>
        <w:div w:id="713582557">
          <w:marLeft w:val="1166"/>
          <w:marRight w:val="0"/>
          <w:marTop w:val="134"/>
          <w:marBottom w:val="0"/>
          <w:divBdr>
            <w:top w:val="none" w:sz="0" w:space="0" w:color="auto"/>
            <w:left w:val="none" w:sz="0" w:space="0" w:color="auto"/>
            <w:bottom w:val="none" w:sz="0" w:space="0" w:color="auto"/>
            <w:right w:val="none" w:sz="0" w:space="0" w:color="auto"/>
          </w:divBdr>
        </w:div>
        <w:div w:id="829759188">
          <w:marLeft w:val="547"/>
          <w:marRight w:val="0"/>
          <w:marTop w:val="154"/>
          <w:marBottom w:val="0"/>
          <w:divBdr>
            <w:top w:val="none" w:sz="0" w:space="0" w:color="auto"/>
            <w:left w:val="none" w:sz="0" w:space="0" w:color="auto"/>
            <w:bottom w:val="none" w:sz="0" w:space="0" w:color="auto"/>
            <w:right w:val="none" w:sz="0" w:space="0" w:color="auto"/>
          </w:divBdr>
        </w:div>
        <w:div w:id="1087312699">
          <w:marLeft w:val="1166"/>
          <w:marRight w:val="0"/>
          <w:marTop w:val="134"/>
          <w:marBottom w:val="0"/>
          <w:divBdr>
            <w:top w:val="none" w:sz="0" w:space="0" w:color="auto"/>
            <w:left w:val="none" w:sz="0" w:space="0" w:color="auto"/>
            <w:bottom w:val="none" w:sz="0" w:space="0" w:color="auto"/>
            <w:right w:val="none" w:sz="0" w:space="0" w:color="auto"/>
          </w:divBdr>
        </w:div>
        <w:div w:id="1787653370">
          <w:marLeft w:val="547"/>
          <w:marRight w:val="0"/>
          <w:marTop w:val="154"/>
          <w:marBottom w:val="0"/>
          <w:divBdr>
            <w:top w:val="none" w:sz="0" w:space="0" w:color="auto"/>
            <w:left w:val="none" w:sz="0" w:space="0" w:color="auto"/>
            <w:bottom w:val="none" w:sz="0" w:space="0" w:color="auto"/>
            <w:right w:val="none" w:sz="0" w:space="0" w:color="auto"/>
          </w:divBdr>
        </w:div>
        <w:div w:id="2019384291">
          <w:marLeft w:val="547"/>
          <w:marRight w:val="0"/>
          <w:marTop w:val="154"/>
          <w:marBottom w:val="0"/>
          <w:divBdr>
            <w:top w:val="none" w:sz="0" w:space="0" w:color="auto"/>
            <w:left w:val="none" w:sz="0" w:space="0" w:color="auto"/>
            <w:bottom w:val="none" w:sz="0" w:space="0" w:color="auto"/>
            <w:right w:val="none" w:sz="0" w:space="0" w:color="auto"/>
          </w:divBdr>
        </w:div>
      </w:divsChild>
    </w:div>
    <w:div w:id="1315060544">
      <w:bodyDiv w:val="1"/>
      <w:marLeft w:val="0"/>
      <w:marRight w:val="0"/>
      <w:marTop w:val="0"/>
      <w:marBottom w:val="0"/>
      <w:divBdr>
        <w:top w:val="none" w:sz="0" w:space="0" w:color="auto"/>
        <w:left w:val="none" w:sz="0" w:space="0" w:color="auto"/>
        <w:bottom w:val="none" w:sz="0" w:space="0" w:color="auto"/>
        <w:right w:val="none" w:sz="0" w:space="0" w:color="auto"/>
      </w:divBdr>
      <w:divsChild>
        <w:div w:id="166598426">
          <w:marLeft w:val="1440"/>
          <w:marRight w:val="0"/>
          <w:marTop w:val="0"/>
          <w:marBottom w:val="0"/>
          <w:divBdr>
            <w:top w:val="none" w:sz="0" w:space="0" w:color="auto"/>
            <w:left w:val="none" w:sz="0" w:space="0" w:color="auto"/>
            <w:bottom w:val="none" w:sz="0" w:space="0" w:color="auto"/>
            <w:right w:val="none" w:sz="0" w:space="0" w:color="auto"/>
          </w:divBdr>
        </w:div>
        <w:div w:id="652299217">
          <w:marLeft w:val="2160"/>
          <w:marRight w:val="0"/>
          <w:marTop w:val="0"/>
          <w:marBottom w:val="0"/>
          <w:divBdr>
            <w:top w:val="none" w:sz="0" w:space="0" w:color="auto"/>
            <w:left w:val="none" w:sz="0" w:space="0" w:color="auto"/>
            <w:bottom w:val="none" w:sz="0" w:space="0" w:color="auto"/>
            <w:right w:val="none" w:sz="0" w:space="0" w:color="auto"/>
          </w:divBdr>
        </w:div>
        <w:div w:id="942610081">
          <w:marLeft w:val="1440"/>
          <w:marRight w:val="0"/>
          <w:marTop w:val="0"/>
          <w:marBottom w:val="0"/>
          <w:divBdr>
            <w:top w:val="none" w:sz="0" w:space="0" w:color="auto"/>
            <w:left w:val="none" w:sz="0" w:space="0" w:color="auto"/>
            <w:bottom w:val="none" w:sz="0" w:space="0" w:color="auto"/>
            <w:right w:val="none" w:sz="0" w:space="0" w:color="auto"/>
          </w:divBdr>
        </w:div>
        <w:div w:id="1732579227">
          <w:marLeft w:val="720"/>
          <w:marRight w:val="0"/>
          <w:marTop w:val="0"/>
          <w:marBottom w:val="0"/>
          <w:divBdr>
            <w:top w:val="none" w:sz="0" w:space="0" w:color="auto"/>
            <w:left w:val="none" w:sz="0" w:space="0" w:color="auto"/>
            <w:bottom w:val="none" w:sz="0" w:space="0" w:color="auto"/>
            <w:right w:val="none" w:sz="0" w:space="0" w:color="auto"/>
          </w:divBdr>
        </w:div>
        <w:div w:id="1939831320">
          <w:marLeft w:val="720"/>
          <w:marRight w:val="0"/>
          <w:marTop w:val="0"/>
          <w:marBottom w:val="0"/>
          <w:divBdr>
            <w:top w:val="none" w:sz="0" w:space="0" w:color="auto"/>
            <w:left w:val="none" w:sz="0" w:space="0" w:color="auto"/>
            <w:bottom w:val="none" w:sz="0" w:space="0" w:color="auto"/>
            <w:right w:val="none" w:sz="0" w:space="0" w:color="auto"/>
          </w:divBdr>
        </w:div>
        <w:div w:id="2140564016">
          <w:marLeft w:val="720"/>
          <w:marRight w:val="0"/>
          <w:marTop w:val="0"/>
          <w:marBottom w:val="0"/>
          <w:divBdr>
            <w:top w:val="none" w:sz="0" w:space="0" w:color="auto"/>
            <w:left w:val="none" w:sz="0" w:space="0" w:color="auto"/>
            <w:bottom w:val="none" w:sz="0" w:space="0" w:color="auto"/>
            <w:right w:val="none" w:sz="0" w:space="0" w:color="auto"/>
          </w:divBdr>
        </w:div>
      </w:divsChild>
    </w:div>
    <w:div w:id="1316035503">
      <w:bodyDiv w:val="1"/>
      <w:marLeft w:val="0"/>
      <w:marRight w:val="0"/>
      <w:marTop w:val="0"/>
      <w:marBottom w:val="0"/>
      <w:divBdr>
        <w:top w:val="none" w:sz="0" w:space="0" w:color="auto"/>
        <w:left w:val="none" w:sz="0" w:space="0" w:color="auto"/>
        <w:bottom w:val="none" w:sz="0" w:space="0" w:color="auto"/>
        <w:right w:val="none" w:sz="0" w:space="0" w:color="auto"/>
      </w:divBdr>
      <w:divsChild>
        <w:div w:id="1347949034">
          <w:marLeft w:val="547"/>
          <w:marRight w:val="0"/>
          <w:marTop w:val="154"/>
          <w:marBottom w:val="0"/>
          <w:divBdr>
            <w:top w:val="none" w:sz="0" w:space="0" w:color="auto"/>
            <w:left w:val="none" w:sz="0" w:space="0" w:color="auto"/>
            <w:bottom w:val="none" w:sz="0" w:space="0" w:color="auto"/>
            <w:right w:val="none" w:sz="0" w:space="0" w:color="auto"/>
          </w:divBdr>
        </w:div>
      </w:divsChild>
    </w:div>
    <w:div w:id="1316880414">
      <w:bodyDiv w:val="1"/>
      <w:marLeft w:val="0"/>
      <w:marRight w:val="0"/>
      <w:marTop w:val="0"/>
      <w:marBottom w:val="0"/>
      <w:divBdr>
        <w:top w:val="none" w:sz="0" w:space="0" w:color="auto"/>
        <w:left w:val="none" w:sz="0" w:space="0" w:color="auto"/>
        <w:bottom w:val="none" w:sz="0" w:space="0" w:color="auto"/>
        <w:right w:val="none" w:sz="0" w:space="0" w:color="auto"/>
      </w:divBdr>
    </w:div>
    <w:div w:id="1318412252">
      <w:bodyDiv w:val="1"/>
      <w:marLeft w:val="0"/>
      <w:marRight w:val="0"/>
      <w:marTop w:val="0"/>
      <w:marBottom w:val="0"/>
      <w:divBdr>
        <w:top w:val="none" w:sz="0" w:space="0" w:color="auto"/>
        <w:left w:val="none" w:sz="0" w:space="0" w:color="auto"/>
        <w:bottom w:val="none" w:sz="0" w:space="0" w:color="auto"/>
        <w:right w:val="none" w:sz="0" w:space="0" w:color="auto"/>
      </w:divBdr>
    </w:div>
    <w:div w:id="1319335674">
      <w:bodyDiv w:val="1"/>
      <w:marLeft w:val="0"/>
      <w:marRight w:val="0"/>
      <w:marTop w:val="0"/>
      <w:marBottom w:val="0"/>
      <w:divBdr>
        <w:top w:val="none" w:sz="0" w:space="0" w:color="auto"/>
        <w:left w:val="none" w:sz="0" w:space="0" w:color="auto"/>
        <w:bottom w:val="none" w:sz="0" w:space="0" w:color="auto"/>
        <w:right w:val="none" w:sz="0" w:space="0" w:color="auto"/>
      </w:divBdr>
    </w:div>
    <w:div w:id="1319502419">
      <w:bodyDiv w:val="1"/>
      <w:marLeft w:val="0"/>
      <w:marRight w:val="0"/>
      <w:marTop w:val="0"/>
      <w:marBottom w:val="0"/>
      <w:divBdr>
        <w:top w:val="none" w:sz="0" w:space="0" w:color="auto"/>
        <w:left w:val="none" w:sz="0" w:space="0" w:color="auto"/>
        <w:bottom w:val="none" w:sz="0" w:space="0" w:color="auto"/>
        <w:right w:val="none" w:sz="0" w:space="0" w:color="auto"/>
      </w:divBdr>
    </w:div>
    <w:div w:id="1320308140">
      <w:bodyDiv w:val="1"/>
      <w:marLeft w:val="0"/>
      <w:marRight w:val="0"/>
      <w:marTop w:val="0"/>
      <w:marBottom w:val="0"/>
      <w:divBdr>
        <w:top w:val="none" w:sz="0" w:space="0" w:color="auto"/>
        <w:left w:val="none" w:sz="0" w:space="0" w:color="auto"/>
        <w:bottom w:val="none" w:sz="0" w:space="0" w:color="auto"/>
        <w:right w:val="none" w:sz="0" w:space="0" w:color="auto"/>
      </w:divBdr>
    </w:div>
    <w:div w:id="1320771746">
      <w:bodyDiv w:val="1"/>
      <w:marLeft w:val="0"/>
      <w:marRight w:val="0"/>
      <w:marTop w:val="0"/>
      <w:marBottom w:val="0"/>
      <w:divBdr>
        <w:top w:val="none" w:sz="0" w:space="0" w:color="auto"/>
        <w:left w:val="none" w:sz="0" w:space="0" w:color="auto"/>
        <w:bottom w:val="none" w:sz="0" w:space="0" w:color="auto"/>
        <w:right w:val="none" w:sz="0" w:space="0" w:color="auto"/>
      </w:divBdr>
    </w:div>
    <w:div w:id="1321696262">
      <w:bodyDiv w:val="1"/>
      <w:marLeft w:val="0"/>
      <w:marRight w:val="0"/>
      <w:marTop w:val="0"/>
      <w:marBottom w:val="0"/>
      <w:divBdr>
        <w:top w:val="none" w:sz="0" w:space="0" w:color="auto"/>
        <w:left w:val="none" w:sz="0" w:space="0" w:color="auto"/>
        <w:bottom w:val="none" w:sz="0" w:space="0" w:color="auto"/>
        <w:right w:val="none" w:sz="0" w:space="0" w:color="auto"/>
      </w:divBdr>
    </w:div>
    <w:div w:id="1322737167">
      <w:bodyDiv w:val="1"/>
      <w:marLeft w:val="0"/>
      <w:marRight w:val="0"/>
      <w:marTop w:val="0"/>
      <w:marBottom w:val="0"/>
      <w:divBdr>
        <w:top w:val="none" w:sz="0" w:space="0" w:color="auto"/>
        <w:left w:val="none" w:sz="0" w:space="0" w:color="auto"/>
        <w:bottom w:val="none" w:sz="0" w:space="0" w:color="auto"/>
        <w:right w:val="none" w:sz="0" w:space="0" w:color="auto"/>
      </w:divBdr>
      <w:divsChild>
        <w:div w:id="144592886">
          <w:marLeft w:val="1800"/>
          <w:marRight w:val="0"/>
          <w:marTop w:val="86"/>
          <w:marBottom w:val="0"/>
          <w:divBdr>
            <w:top w:val="none" w:sz="0" w:space="0" w:color="auto"/>
            <w:left w:val="none" w:sz="0" w:space="0" w:color="auto"/>
            <w:bottom w:val="none" w:sz="0" w:space="0" w:color="auto"/>
            <w:right w:val="none" w:sz="0" w:space="0" w:color="auto"/>
          </w:divBdr>
        </w:div>
        <w:div w:id="160586847">
          <w:marLeft w:val="1800"/>
          <w:marRight w:val="0"/>
          <w:marTop w:val="86"/>
          <w:marBottom w:val="0"/>
          <w:divBdr>
            <w:top w:val="none" w:sz="0" w:space="0" w:color="auto"/>
            <w:left w:val="none" w:sz="0" w:space="0" w:color="auto"/>
            <w:bottom w:val="none" w:sz="0" w:space="0" w:color="auto"/>
            <w:right w:val="none" w:sz="0" w:space="0" w:color="auto"/>
          </w:divBdr>
        </w:div>
        <w:div w:id="215043843">
          <w:marLeft w:val="547"/>
          <w:marRight w:val="0"/>
          <w:marTop w:val="115"/>
          <w:marBottom w:val="0"/>
          <w:divBdr>
            <w:top w:val="none" w:sz="0" w:space="0" w:color="auto"/>
            <w:left w:val="none" w:sz="0" w:space="0" w:color="auto"/>
            <w:bottom w:val="none" w:sz="0" w:space="0" w:color="auto"/>
            <w:right w:val="none" w:sz="0" w:space="0" w:color="auto"/>
          </w:divBdr>
        </w:div>
        <w:div w:id="783888394">
          <w:marLeft w:val="1800"/>
          <w:marRight w:val="0"/>
          <w:marTop w:val="86"/>
          <w:marBottom w:val="0"/>
          <w:divBdr>
            <w:top w:val="none" w:sz="0" w:space="0" w:color="auto"/>
            <w:left w:val="none" w:sz="0" w:space="0" w:color="auto"/>
            <w:bottom w:val="none" w:sz="0" w:space="0" w:color="auto"/>
            <w:right w:val="none" w:sz="0" w:space="0" w:color="auto"/>
          </w:divBdr>
        </w:div>
        <w:div w:id="1338850514">
          <w:marLeft w:val="1166"/>
          <w:marRight w:val="0"/>
          <w:marTop w:val="96"/>
          <w:marBottom w:val="0"/>
          <w:divBdr>
            <w:top w:val="none" w:sz="0" w:space="0" w:color="auto"/>
            <w:left w:val="none" w:sz="0" w:space="0" w:color="auto"/>
            <w:bottom w:val="none" w:sz="0" w:space="0" w:color="auto"/>
            <w:right w:val="none" w:sz="0" w:space="0" w:color="auto"/>
          </w:divBdr>
        </w:div>
        <w:div w:id="1428305316">
          <w:marLeft w:val="547"/>
          <w:marRight w:val="0"/>
          <w:marTop w:val="115"/>
          <w:marBottom w:val="0"/>
          <w:divBdr>
            <w:top w:val="none" w:sz="0" w:space="0" w:color="auto"/>
            <w:left w:val="none" w:sz="0" w:space="0" w:color="auto"/>
            <w:bottom w:val="none" w:sz="0" w:space="0" w:color="auto"/>
            <w:right w:val="none" w:sz="0" w:space="0" w:color="auto"/>
          </w:divBdr>
        </w:div>
        <w:div w:id="1444769211">
          <w:marLeft w:val="1166"/>
          <w:marRight w:val="0"/>
          <w:marTop w:val="96"/>
          <w:marBottom w:val="0"/>
          <w:divBdr>
            <w:top w:val="none" w:sz="0" w:space="0" w:color="auto"/>
            <w:left w:val="none" w:sz="0" w:space="0" w:color="auto"/>
            <w:bottom w:val="none" w:sz="0" w:space="0" w:color="auto"/>
            <w:right w:val="none" w:sz="0" w:space="0" w:color="auto"/>
          </w:divBdr>
        </w:div>
        <w:div w:id="2001687551">
          <w:marLeft w:val="1800"/>
          <w:marRight w:val="0"/>
          <w:marTop w:val="86"/>
          <w:marBottom w:val="0"/>
          <w:divBdr>
            <w:top w:val="none" w:sz="0" w:space="0" w:color="auto"/>
            <w:left w:val="none" w:sz="0" w:space="0" w:color="auto"/>
            <w:bottom w:val="none" w:sz="0" w:space="0" w:color="auto"/>
            <w:right w:val="none" w:sz="0" w:space="0" w:color="auto"/>
          </w:divBdr>
        </w:div>
        <w:div w:id="2059741327">
          <w:marLeft w:val="547"/>
          <w:marRight w:val="0"/>
          <w:marTop w:val="115"/>
          <w:marBottom w:val="0"/>
          <w:divBdr>
            <w:top w:val="none" w:sz="0" w:space="0" w:color="auto"/>
            <w:left w:val="none" w:sz="0" w:space="0" w:color="auto"/>
            <w:bottom w:val="none" w:sz="0" w:space="0" w:color="auto"/>
            <w:right w:val="none" w:sz="0" w:space="0" w:color="auto"/>
          </w:divBdr>
        </w:div>
      </w:divsChild>
    </w:div>
    <w:div w:id="1323465262">
      <w:bodyDiv w:val="1"/>
      <w:marLeft w:val="0"/>
      <w:marRight w:val="0"/>
      <w:marTop w:val="0"/>
      <w:marBottom w:val="0"/>
      <w:divBdr>
        <w:top w:val="none" w:sz="0" w:space="0" w:color="auto"/>
        <w:left w:val="none" w:sz="0" w:space="0" w:color="auto"/>
        <w:bottom w:val="none" w:sz="0" w:space="0" w:color="auto"/>
        <w:right w:val="none" w:sz="0" w:space="0" w:color="auto"/>
      </w:divBdr>
    </w:div>
    <w:div w:id="1327976020">
      <w:bodyDiv w:val="1"/>
      <w:marLeft w:val="0"/>
      <w:marRight w:val="0"/>
      <w:marTop w:val="0"/>
      <w:marBottom w:val="0"/>
      <w:divBdr>
        <w:top w:val="none" w:sz="0" w:space="0" w:color="auto"/>
        <w:left w:val="none" w:sz="0" w:space="0" w:color="auto"/>
        <w:bottom w:val="none" w:sz="0" w:space="0" w:color="auto"/>
        <w:right w:val="none" w:sz="0" w:space="0" w:color="auto"/>
      </w:divBdr>
    </w:div>
    <w:div w:id="1329215440">
      <w:bodyDiv w:val="1"/>
      <w:marLeft w:val="0"/>
      <w:marRight w:val="0"/>
      <w:marTop w:val="0"/>
      <w:marBottom w:val="0"/>
      <w:divBdr>
        <w:top w:val="none" w:sz="0" w:space="0" w:color="auto"/>
        <w:left w:val="none" w:sz="0" w:space="0" w:color="auto"/>
        <w:bottom w:val="none" w:sz="0" w:space="0" w:color="auto"/>
        <w:right w:val="none" w:sz="0" w:space="0" w:color="auto"/>
      </w:divBdr>
    </w:div>
    <w:div w:id="1331105113">
      <w:bodyDiv w:val="1"/>
      <w:marLeft w:val="0"/>
      <w:marRight w:val="0"/>
      <w:marTop w:val="0"/>
      <w:marBottom w:val="0"/>
      <w:divBdr>
        <w:top w:val="none" w:sz="0" w:space="0" w:color="auto"/>
        <w:left w:val="none" w:sz="0" w:space="0" w:color="auto"/>
        <w:bottom w:val="none" w:sz="0" w:space="0" w:color="auto"/>
        <w:right w:val="none" w:sz="0" w:space="0" w:color="auto"/>
      </w:divBdr>
    </w:div>
    <w:div w:id="1331521205">
      <w:bodyDiv w:val="1"/>
      <w:marLeft w:val="0"/>
      <w:marRight w:val="0"/>
      <w:marTop w:val="0"/>
      <w:marBottom w:val="0"/>
      <w:divBdr>
        <w:top w:val="none" w:sz="0" w:space="0" w:color="auto"/>
        <w:left w:val="none" w:sz="0" w:space="0" w:color="auto"/>
        <w:bottom w:val="none" w:sz="0" w:space="0" w:color="auto"/>
        <w:right w:val="none" w:sz="0" w:space="0" w:color="auto"/>
      </w:divBdr>
      <w:divsChild>
        <w:div w:id="786003393">
          <w:marLeft w:val="1166"/>
          <w:marRight w:val="0"/>
          <w:marTop w:val="96"/>
          <w:marBottom w:val="0"/>
          <w:divBdr>
            <w:top w:val="none" w:sz="0" w:space="0" w:color="auto"/>
            <w:left w:val="none" w:sz="0" w:space="0" w:color="auto"/>
            <w:bottom w:val="none" w:sz="0" w:space="0" w:color="auto"/>
            <w:right w:val="none" w:sz="0" w:space="0" w:color="auto"/>
          </w:divBdr>
        </w:div>
        <w:div w:id="850029513">
          <w:marLeft w:val="547"/>
          <w:marRight w:val="0"/>
          <w:marTop w:val="115"/>
          <w:marBottom w:val="0"/>
          <w:divBdr>
            <w:top w:val="none" w:sz="0" w:space="0" w:color="auto"/>
            <w:left w:val="none" w:sz="0" w:space="0" w:color="auto"/>
            <w:bottom w:val="none" w:sz="0" w:space="0" w:color="auto"/>
            <w:right w:val="none" w:sz="0" w:space="0" w:color="auto"/>
          </w:divBdr>
        </w:div>
        <w:div w:id="1453674862">
          <w:marLeft w:val="547"/>
          <w:marRight w:val="0"/>
          <w:marTop w:val="115"/>
          <w:marBottom w:val="0"/>
          <w:divBdr>
            <w:top w:val="none" w:sz="0" w:space="0" w:color="auto"/>
            <w:left w:val="none" w:sz="0" w:space="0" w:color="auto"/>
            <w:bottom w:val="none" w:sz="0" w:space="0" w:color="auto"/>
            <w:right w:val="none" w:sz="0" w:space="0" w:color="auto"/>
          </w:divBdr>
        </w:div>
        <w:div w:id="1543978541">
          <w:marLeft w:val="547"/>
          <w:marRight w:val="0"/>
          <w:marTop w:val="115"/>
          <w:marBottom w:val="0"/>
          <w:divBdr>
            <w:top w:val="none" w:sz="0" w:space="0" w:color="auto"/>
            <w:left w:val="none" w:sz="0" w:space="0" w:color="auto"/>
            <w:bottom w:val="none" w:sz="0" w:space="0" w:color="auto"/>
            <w:right w:val="none" w:sz="0" w:space="0" w:color="auto"/>
          </w:divBdr>
        </w:div>
        <w:div w:id="1719623110">
          <w:marLeft w:val="1166"/>
          <w:marRight w:val="0"/>
          <w:marTop w:val="96"/>
          <w:marBottom w:val="0"/>
          <w:divBdr>
            <w:top w:val="none" w:sz="0" w:space="0" w:color="auto"/>
            <w:left w:val="none" w:sz="0" w:space="0" w:color="auto"/>
            <w:bottom w:val="none" w:sz="0" w:space="0" w:color="auto"/>
            <w:right w:val="none" w:sz="0" w:space="0" w:color="auto"/>
          </w:divBdr>
        </w:div>
        <w:div w:id="1731347896">
          <w:marLeft w:val="547"/>
          <w:marRight w:val="0"/>
          <w:marTop w:val="115"/>
          <w:marBottom w:val="0"/>
          <w:divBdr>
            <w:top w:val="none" w:sz="0" w:space="0" w:color="auto"/>
            <w:left w:val="none" w:sz="0" w:space="0" w:color="auto"/>
            <w:bottom w:val="none" w:sz="0" w:space="0" w:color="auto"/>
            <w:right w:val="none" w:sz="0" w:space="0" w:color="auto"/>
          </w:divBdr>
        </w:div>
      </w:divsChild>
    </w:div>
    <w:div w:id="1333796694">
      <w:bodyDiv w:val="1"/>
      <w:marLeft w:val="0"/>
      <w:marRight w:val="0"/>
      <w:marTop w:val="0"/>
      <w:marBottom w:val="0"/>
      <w:divBdr>
        <w:top w:val="none" w:sz="0" w:space="0" w:color="auto"/>
        <w:left w:val="none" w:sz="0" w:space="0" w:color="auto"/>
        <w:bottom w:val="none" w:sz="0" w:space="0" w:color="auto"/>
        <w:right w:val="none" w:sz="0" w:space="0" w:color="auto"/>
      </w:divBdr>
      <w:divsChild>
        <w:div w:id="406004068">
          <w:marLeft w:val="547"/>
          <w:marRight w:val="0"/>
          <w:marTop w:val="96"/>
          <w:marBottom w:val="0"/>
          <w:divBdr>
            <w:top w:val="none" w:sz="0" w:space="0" w:color="auto"/>
            <w:left w:val="none" w:sz="0" w:space="0" w:color="auto"/>
            <w:bottom w:val="none" w:sz="0" w:space="0" w:color="auto"/>
            <w:right w:val="none" w:sz="0" w:space="0" w:color="auto"/>
          </w:divBdr>
        </w:div>
        <w:div w:id="583537282">
          <w:marLeft w:val="547"/>
          <w:marRight w:val="0"/>
          <w:marTop w:val="96"/>
          <w:marBottom w:val="0"/>
          <w:divBdr>
            <w:top w:val="none" w:sz="0" w:space="0" w:color="auto"/>
            <w:left w:val="none" w:sz="0" w:space="0" w:color="auto"/>
            <w:bottom w:val="none" w:sz="0" w:space="0" w:color="auto"/>
            <w:right w:val="none" w:sz="0" w:space="0" w:color="auto"/>
          </w:divBdr>
        </w:div>
        <w:div w:id="1030644038">
          <w:marLeft w:val="547"/>
          <w:marRight w:val="0"/>
          <w:marTop w:val="96"/>
          <w:marBottom w:val="0"/>
          <w:divBdr>
            <w:top w:val="none" w:sz="0" w:space="0" w:color="auto"/>
            <w:left w:val="none" w:sz="0" w:space="0" w:color="auto"/>
            <w:bottom w:val="none" w:sz="0" w:space="0" w:color="auto"/>
            <w:right w:val="none" w:sz="0" w:space="0" w:color="auto"/>
          </w:divBdr>
        </w:div>
        <w:div w:id="1199464851">
          <w:marLeft w:val="1166"/>
          <w:marRight w:val="0"/>
          <w:marTop w:val="86"/>
          <w:marBottom w:val="0"/>
          <w:divBdr>
            <w:top w:val="none" w:sz="0" w:space="0" w:color="auto"/>
            <w:left w:val="none" w:sz="0" w:space="0" w:color="auto"/>
            <w:bottom w:val="none" w:sz="0" w:space="0" w:color="auto"/>
            <w:right w:val="none" w:sz="0" w:space="0" w:color="auto"/>
          </w:divBdr>
        </w:div>
        <w:div w:id="1295403016">
          <w:marLeft w:val="1166"/>
          <w:marRight w:val="0"/>
          <w:marTop w:val="86"/>
          <w:marBottom w:val="0"/>
          <w:divBdr>
            <w:top w:val="none" w:sz="0" w:space="0" w:color="auto"/>
            <w:left w:val="none" w:sz="0" w:space="0" w:color="auto"/>
            <w:bottom w:val="none" w:sz="0" w:space="0" w:color="auto"/>
            <w:right w:val="none" w:sz="0" w:space="0" w:color="auto"/>
          </w:divBdr>
        </w:div>
        <w:div w:id="1662418193">
          <w:marLeft w:val="547"/>
          <w:marRight w:val="0"/>
          <w:marTop w:val="96"/>
          <w:marBottom w:val="0"/>
          <w:divBdr>
            <w:top w:val="none" w:sz="0" w:space="0" w:color="auto"/>
            <w:left w:val="none" w:sz="0" w:space="0" w:color="auto"/>
            <w:bottom w:val="none" w:sz="0" w:space="0" w:color="auto"/>
            <w:right w:val="none" w:sz="0" w:space="0" w:color="auto"/>
          </w:divBdr>
        </w:div>
        <w:div w:id="1808235006">
          <w:marLeft w:val="547"/>
          <w:marRight w:val="0"/>
          <w:marTop w:val="96"/>
          <w:marBottom w:val="0"/>
          <w:divBdr>
            <w:top w:val="none" w:sz="0" w:space="0" w:color="auto"/>
            <w:left w:val="none" w:sz="0" w:space="0" w:color="auto"/>
            <w:bottom w:val="none" w:sz="0" w:space="0" w:color="auto"/>
            <w:right w:val="none" w:sz="0" w:space="0" w:color="auto"/>
          </w:divBdr>
        </w:div>
        <w:div w:id="1825126325">
          <w:marLeft w:val="1166"/>
          <w:marRight w:val="0"/>
          <w:marTop w:val="86"/>
          <w:marBottom w:val="0"/>
          <w:divBdr>
            <w:top w:val="none" w:sz="0" w:space="0" w:color="auto"/>
            <w:left w:val="none" w:sz="0" w:space="0" w:color="auto"/>
            <w:bottom w:val="none" w:sz="0" w:space="0" w:color="auto"/>
            <w:right w:val="none" w:sz="0" w:space="0" w:color="auto"/>
          </w:divBdr>
        </w:div>
        <w:div w:id="1935435007">
          <w:marLeft w:val="1166"/>
          <w:marRight w:val="0"/>
          <w:marTop w:val="86"/>
          <w:marBottom w:val="0"/>
          <w:divBdr>
            <w:top w:val="none" w:sz="0" w:space="0" w:color="auto"/>
            <w:left w:val="none" w:sz="0" w:space="0" w:color="auto"/>
            <w:bottom w:val="none" w:sz="0" w:space="0" w:color="auto"/>
            <w:right w:val="none" w:sz="0" w:space="0" w:color="auto"/>
          </w:divBdr>
        </w:div>
        <w:div w:id="2114325699">
          <w:marLeft w:val="1166"/>
          <w:marRight w:val="0"/>
          <w:marTop w:val="86"/>
          <w:marBottom w:val="0"/>
          <w:divBdr>
            <w:top w:val="none" w:sz="0" w:space="0" w:color="auto"/>
            <w:left w:val="none" w:sz="0" w:space="0" w:color="auto"/>
            <w:bottom w:val="none" w:sz="0" w:space="0" w:color="auto"/>
            <w:right w:val="none" w:sz="0" w:space="0" w:color="auto"/>
          </w:divBdr>
        </w:div>
      </w:divsChild>
    </w:div>
    <w:div w:id="1334064360">
      <w:bodyDiv w:val="1"/>
      <w:marLeft w:val="0"/>
      <w:marRight w:val="0"/>
      <w:marTop w:val="0"/>
      <w:marBottom w:val="0"/>
      <w:divBdr>
        <w:top w:val="none" w:sz="0" w:space="0" w:color="auto"/>
        <w:left w:val="none" w:sz="0" w:space="0" w:color="auto"/>
        <w:bottom w:val="none" w:sz="0" w:space="0" w:color="auto"/>
        <w:right w:val="none" w:sz="0" w:space="0" w:color="auto"/>
      </w:divBdr>
    </w:div>
    <w:div w:id="1336110998">
      <w:bodyDiv w:val="1"/>
      <w:marLeft w:val="0"/>
      <w:marRight w:val="0"/>
      <w:marTop w:val="0"/>
      <w:marBottom w:val="0"/>
      <w:divBdr>
        <w:top w:val="none" w:sz="0" w:space="0" w:color="auto"/>
        <w:left w:val="none" w:sz="0" w:space="0" w:color="auto"/>
        <w:bottom w:val="none" w:sz="0" w:space="0" w:color="auto"/>
        <w:right w:val="none" w:sz="0" w:space="0" w:color="auto"/>
      </w:divBdr>
    </w:div>
    <w:div w:id="1336956735">
      <w:bodyDiv w:val="1"/>
      <w:marLeft w:val="0"/>
      <w:marRight w:val="0"/>
      <w:marTop w:val="0"/>
      <w:marBottom w:val="0"/>
      <w:divBdr>
        <w:top w:val="none" w:sz="0" w:space="0" w:color="auto"/>
        <w:left w:val="none" w:sz="0" w:space="0" w:color="auto"/>
        <w:bottom w:val="none" w:sz="0" w:space="0" w:color="auto"/>
        <w:right w:val="none" w:sz="0" w:space="0" w:color="auto"/>
      </w:divBdr>
      <w:divsChild>
        <w:div w:id="490560906">
          <w:marLeft w:val="547"/>
          <w:marRight w:val="0"/>
          <w:marTop w:val="134"/>
          <w:marBottom w:val="0"/>
          <w:divBdr>
            <w:top w:val="none" w:sz="0" w:space="0" w:color="auto"/>
            <w:left w:val="none" w:sz="0" w:space="0" w:color="auto"/>
            <w:bottom w:val="none" w:sz="0" w:space="0" w:color="auto"/>
            <w:right w:val="none" w:sz="0" w:space="0" w:color="auto"/>
          </w:divBdr>
        </w:div>
        <w:div w:id="603416855">
          <w:marLeft w:val="1166"/>
          <w:marRight w:val="0"/>
          <w:marTop w:val="134"/>
          <w:marBottom w:val="0"/>
          <w:divBdr>
            <w:top w:val="none" w:sz="0" w:space="0" w:color="auto"/>
            <w:left w:val="none" w:sz="0" w:space="0" w:color="auto"/>
            <w:bottom w:val="none" w:sz="0" w:space="0" w:color="auto"/>
            <w:right w:val="none" w:sz="0" w:space="0" w:color="auto"/>
          </w:divBdr>
        </w:div>
      </w:divsChild>
    </w:div>
    <w:div w:id="1337073279">
      <w:bodyDiv w:val="1"/>
      <w:marLeft w:val="0"/>
      <w:marRight w:val="0"/>
      <w:marTop w:val="0"/>
      <w:marBottom w:val="0"/>
      <w:divBdr>
        <w:top w:val="none" w:sz="0" w:space="0" w:color="auto"/>
        <w:left w:val="none" w:sz="0" w:space="0" w:color="auto"/>
        <w:bottom w:val="none" w:sz="0" w:space="0" w:color="auto"/>
        <w:right w:val="none" w:sz="0" w:space="0" w:color="auto"/>
      </w:divBdr>
    </w:div>
    <w:div w:id="1337226313">
      <w:bodyDiv w:val="1"/>
      <w:marLeft w:val="0"/>
      <w:marRight w:val="0"/>
      <w:marTop w:val="0"/>
      <w:marBottom w:val="0"/>
      <w:divBdr>
        <w:top w:val="none" w:sz="0" w:space="0" w:color="auto"/>
        <w:left w:val="none" w:sz="0" w:space="0" w:color="auto"/>
        <w:bottom w:val="none" w:sz="0" w:space="0" w:color="auto"/>
        <w:right w:val="none" w:sz="0" w:space="0" w:color="auto"/>
      </w:divBdr>
    </w:div>
    <w:div w:id="1337347082">
      <w:bodyDiv w:val="1"/>
      <w:marLeft w:val="0"/>
      <w:marRight w:val="0"/>
      <w:marTop w:val="0"/>
      <w:marBottom w:val="0"/>
      <w:divBdr>
        <w:top w:val="none" w:sz="0" w:space="0" w:color="auto"/>
        <w:left w:val="none" w:sz="0" w:space="0" w:color="auto"/>
        <w:bottom w:val="none" w:sz="0" w:space="0" w:color="auto"/>
        <w:right w:val="none" w:sz="0" w:space="0" w:color="auto"/>
      </w:divBdr>
    </w:div>
    <w:div w:id="1337459945">
      <w:bodyDiv w:val="1"/>
      <w:marLeft w:val="0"/>
      <w:marRight w:val="0"/>
      <w:marTop w:val="0"/>
      <w:marBottom w:val="0"/>
      <w:divBdr>
        <w:top w:val="none" w:sz="0" w:space="0" w:color="auto"/>
        <w:left w:val="none" w:sz="0" w:space="0" w:color="auto"/>
        <w:bottom w:val="none" w:sz="0" w:space="0" w:color="auto"/>
        <w:right w:val="none" w:sz="0" w:space="0" w:color="auto"/>
      </w:divBdr>
      <w:divsChild>
        <w:div w:id="528907428">
          <w:marLeft w:val="1166"/>
          <w:marRight w:val="0"/>
          <w:marTop w:val="115"/>
          <w:marBottom w:val="0"/>
          <w:divBdr>
            <w:top w:val="none" w:sz="0" w:space="0" w:color="auto"/>
            <w:left w:val="none" w:sz="0" w:space="0" w:color="auto"/>
            <w:bottom w:val="none" w:sz="0" w:space="0" w:color="auto"/>
            <w:right w:val="none" w:sz="0" w:space="0" w:color="auto"/>
          </w:divBdr>
        </w:div>
        <w:div w:id="897014130">
          <w:marLeft w:val="547"/>
          <w:marRight w:val="0"/>
          <w:marTop w:val="115"/>
          <w:marBottom w:val="0"/>
          <w:divBdr>
            <w:top w:val="none" w:sz="0" w:space="0" w:color="auto"/>
            <w:left w:val="none" w:sz="0" w:space="0" w:color="auto"/>
            <w:bottom w:val="none" w:sz="0" w:space="0" w:color="auto"/>
            <w:right w:val="none" w:sz="0" w:space="0" w:color="auto"/>
          </w:divBdr>
        </w:div>
        <w:div w:id="1235820670">
          <w:marLeft w:val="1166"/>
          <w:marRight w:val="0"/>
          <w:marTop w:val="115"/>
          <w:marBottom w:val="0"/>
          <w:divBdr>
            <w:top w:val="none" w:sz="0" w:space="0" w:color="auto"/>
            <w:left w:val="none" w:sz="0" w:space="0" w:color="auto"/>
            <w:bottom w:val="none" w:sz="0" w:space="0" w:color="auto"/>
            <w:right w:val="none" w:sz="0" w:space="0" w:color="auto"/>
          </w:divBdr>
        </w:div>
      </w:divsChild>
    </w:div>
    <w:div w:id="1338920715">
      <w:bodyDiv w:val="1"/>
      <w:marLeft w:val="0"/>
      <w:marRight w:val="0"/>
      <w:marTop w:val="0"/>
      <w:marBottom w:val="0"/>
      <w:divBdr>
        <w:top w:val="none" w:sz="0" w:space="0" w:color="auto"/>
        <w:left w:val="none" w:sz="0" w:space="0" w:color="auto"/>
        <w:bottom w:val="none" w:sz="0" w:space="0" w:color="auto"/>
        <w:right w:val="none" w:sz="0" w:space="0" w:color="auto"/>
      </w:divBdr>
    </w:div>
    <w:div w:id="1338966062">
      <w:bodyDiv w:val="1"/>
      <w:marLeft w:val="0"/>
      <w:marRight w:val="0"/>
      <w:marTop w:val="0"/>
      <w:marBottom w:val="0"/>
      <w:divBdr>
        <w:top w:val="none" w:sz="0" w:space="0" w:color="auto"/>
        <w:left w:val="none" w:sz="0" w:space="0" w:color="auto"/>
        <w:bottom w:val="none" w:sz="0" w:space="0" w:color="auto"/>
        <w:right w:val="none" w:sz="0" w:space="0" w:color="auto"/>
      </w:divBdr>
    </w:div>
    <w:div w:id="1340350339">
      <w:bodyDiv w:val="1"/>
      <w:marLeft w:val="0"/>
      <w:marRight w:val="0"/>
      <w:marTop w:val="0"/>
      <w:marBottom w:val="0"/>
      <w:divBdr>
        <w:top w:val="none" w:sz="0" w:space="0" w:color="auto"/>
        <w:left w:val="none" w:sz="0" w:space="0" w:color="auto"/>
        <w:bottom w:val="none" w:sz="0" w:space="0" w:color="auto"/>
        <w:right w:val="none" w:sz="0" w:space="0" w:color="auto"/>
      </w:divBdr>
    </w:div>
    <w:div w:id="1340425299">
      <w:bodyDiv w:val="1"/>
      <w:marLeft w:val="0"/>
      <w:marRight w:val="0"/>
      <w:marTop w:val="0"/>
      <w:marBottom w:val="0"/>
      <w:divBdr>
        <w:top w:val="none" w:sz="0" w:space="0" w:color="auto"/>
        <w:left w:val="none" w:sz="0" w:space="0" w:color="auto"/>
        <w:bottom w:val="none" w:sz="0" w:space="0" w:color="auto"/>
        <w:right w:val="none" w:sz="0" w:space="0" w:color="auto"/>
      </w:divBdr>
      <w:divsChild>
        <w:div w:id="515122701">
          <w:marLeft w:val="547"/>
          <w:marRight w:val="0"/>
          <w:marTop w:val="154"/>
          <w:marBottom w:val="0"/>
          <w:divBdr>
            <w:top w:val="none" w:sz="0" w:space="0" w:color="auto"/>
            <w:left w:val="none" w:sz="0" w:space="0" w:color="auto"/>
            <w:bottom w:val="none" w:sz="0" w:space="0" w:color="auto"/>
            <w:right w:val="none" w:sz="0" w:space="0" w:color="auto"/>
          </w:divBdr>
        </w:div>
        <w:div w:id="517886146">
          <w:marLeft w:val="1800"/>
          <w:marRight w:val="0"/>
          <w:marTop w:val="115"/>
          <w:marBottom w:val="0"/>
          <w:divBdr>
            <w:top w:val="none" w:sz="0" w:space="0" w:color="auto"/>
            <w:left w:val="none" w:sz="0" w:space="0" w:color="auto"/>
            <w:bottom w:val="none" w:sz="0" w:space="0" w:color="auto"/>
            <w:right w:val="none" w:sz="0" w:space="0" w:color="auto"/>
          </w:divBdr>
        </w:div>
        <w:div w:id="975256068">
          <w:marLeft w:val="1166"/>
          <w:marRight w:val="0"/>
          <w:marTop w:val="134"/>
          <w:marBottom w:val="0"/>
          <w:divBdr>
            <w:top w:val="none" w:sz="0" w:space="0" w:color="auto"/>
            <w:left w:val="none" w:sz="0" w:space="0" w:color="auto"/>
            <w:bottom w:val="none" w:sz="0" w:space="0" w:color="auto"/>
            <w:right w:val="none" w:sz="0" w:space="0" w:color="auto"/>
          </w:divBdr>
        </w:div>
        <w:div w:id="1428766425">
          <w:marLeft w:val="1800"/>
          <w:marRight w:val="0"/>
          <w:marTop w:val="115"/>
          <w:marBottom w:val="0"/>
          <w:divBdr>
            <w:top w:val="none" w:sz="0" w:space="0" w:color="auto"/>
            <w:left w:val="none" w:sz="0" w:space="0" w:color="auto"/>
            <w:bottom w:val="none" w:sz="0" w:space="0" w:color="auto"/>
            <w:right w:val="none" w:sz="0" w:space="0" w:color="auto"/>
          </w:divBdr>
        </w:div>
        <w:div w:id="1714579149">
          <w:marLeft w:val="1800"/>
          <w:marRight w:val="0"/>
          <w:marTop w:val="115"/>
          <w:marBottom w:val="0"/>
          <w:divBdr>
            <w:top w:val="none" w:sz="0" w:space="0" w:color="auto"/>
            <w:left w:val="none" w:sz="0" w:space="0" w:color="auto"/>
            <w:bottom w:val="none" w:sz="0" w:space="0" w:color="auto"/>
            <w:right w:val="none" w:sz="0" w:space="0" w:color="auto"/>
          </w:divBdr>
        </w:div>
        <w:div w:id="1794325483">
          <w:marLeft w:val="1800"/>
          <w:marRight w:val="0"/>
          <w:marTop w:val="115"/>
          <w:marBottom w:val="0"/>
          <w:divBdr>
            <w:top w:val="none" w:sz="0" w:space="0" w:color="auto"/>
            <w:left w:val="none" w:sz="0" w:space="0" w:color="auto"/>
            <w:bottom w:val="none" w:sz="0" w:space="0" w:color="auto"/>
            <w:right w:val="none" w:sz="0" w:space="0" w:color="auto"/>
          </w:divBdr>
        </w:div>
        <w:div w:id="1870683862">
          <w:marLeft w:val="1800"/>
          <w:marRight w:val="0"/>
          <w:marTop w:val="115"/>
          <w:marBottom w:val="0"/>
          <w:divBdr>
            <w:top w:val="none" w:sz="0" w:space="0" w:color="auto"/>
            <w:left w:val="none" w:sz="0" w:space="0" w:color="auto"/>
            <w:bottom w:val="none" w:sz="0" w:space="0" w:color="auto"/>
            <w:right w:val="none" w:sz="0" w:space="0" w:color="auto"/>
          </w:divBdr>
        </w:div>
        <w:div w:id="2144108079">
          <w:marLeft w:val="1166"/>
          <w:marRight w:val="0"/>
          <w:marTop w:val="134"/>
          <w:marBottom w:val="0"/>
          <w:divBdr>
            <w:top w:val="none" w:sz="0" w:space="0" w:color="auto"/>
            <w:left w:val="none" w:sz="0" w:space="0" w:color="auto"/>
            <w:bottom w:val="none" w:sz="0" w:space="0" w:color="auto"/>
            <w:right w:val="none" w:sz="0" w:space="0" w:color="auto"/>
          </w:divBdr>
        </w:div>
      </w:divsChild>
    </w:div>
    <w:div w:id="1340959811">
      <w:bodyDiv w:val="1"/>
      <w:marLeft w:val="0"/>
      <w:marRight w:val="0"/>
      <w:marTop w:val="0"/>
      <w:marBottom w:val="0"/>
      <w:divBdr>
        <w:top w:val="none" w:sz="0" w:space="0" w:color="auto"/>
        <w:left w:val="none" w:sz="0" w:space="0" w:color="auto"/>
        <w:bottom w:val="none" w:sz="0" w:space="0" w:color="auto"/>
        <w:right w:val="none" w:sz="0" w:space="0" w:color="auto"/>
      </w:divBdr>
    </w:div>
    <w:div w:id="1341659294">
      <w:bodyDiv w:val="1"/>
      <w:marLeft w:val="0"/>
      <w:marRight w:val="0"/>
      <w:marTop w:val="0"/>
      <w:marBottom w:val="0"/>
      <w:divBdr>
        <w:top w:val="none" w:sz="0" w:space="0" w:color="auto"/>
        <w:left w:val="none" w:sz="0" w:space="0" w:color="auto"/>
        <w:bottom w:val="none" w:sz="0" w:space="0" w:color="auto"/>
        <w:right w:val="none" w:sz="0" w:space="0" w:color="auto"/>
      </w:divBdr>
    </w:div>
    <w:div w:id="1342856406">
      <w:bodyDiv w:val="1"/>
      <w:marLeft w:val="0"/>
      <w:marRight w:val="0"/>
      <w:marTop w:val="0"/>
      <w:marBottom w:val="0"/>
      <w:divBdr>
        <w:top w:val="none" w:sz="0" w:space="0" w:color="auto"/>
        <w:left w:val="none" w:sz="0" w:space="0" w:color="auto"/>
        <w:bottom w:val="none" w:sz="0" w:space="0" w:color="auto"/>
        <w:right w:val="none" w:sz="0" w:space="0" w:color="auto"/>
      </w:divBdr>
      <w:divsChild>
        <w:div w:id="1761023490">
          <w:marLeft w:val="547"/>
          <w:marRight w:val="0"/>
          <w:marTop w:val="96"/>
          <w:marBottom w:val="0"/>
          <w:divBdr>
            <w:top w:val="none" w:sz="0" w:space="0" w:color="auto"/>
            <w:left w:val="none" w:sz="0" w:space="0" w:color="auto"/>
            <w:bottom w:val="none" w:sz="0" w:space="0" w:color="auto"/>
            <w:right w:val="none" w:sz="0" w:space="0" w:color="auto"/>
          </w:divBdr>
        </w:div>
      </w:divsChild>
    </w:div>
    <w:div w:id="1343779647">
      <w:bodyDiv w:val="1"/>
      <w:marLeft w:val="0"/>
      <w:marRight w:val="0"/>
      <w:marTop w:val="0"/>
      <w:marBottom w:val="0"/>
      <w:divBdr>
        <w:top w:val="none" w:sz="0" w:space="0" w:color="auto"/>
        <w:left w:val="none" w:sz="0" w:space="0" w:color="auto"/>
        <w:bottom w:val="none" w:sz="0" w:space="0" w:color="auto"/>
        <w:right w:val="none" w:sz="0" w:space="0" w:color="auto"/>
      </w:divBdr>
    </w:div>
    <w:div w:id="1344042326">
      <w:bodyDiv w:val="1"/>
      <w:marLeft w:val="0"/>
      <w:marRight w:val="0"/>
      <w:marTop w:val="0"/>
      <w:marBottom w:val="0"/>
      <w:divBdr>
        <w:top w:val="none" w:sz="0" w:space="0" w:color="auto"/>
        <w:left w:val="none" w:sz="0" w:space="0" w:color="auto"/>
        <w:bottom w:val="none" w:sz="0" w:space="0" w:color="auto"/>
        <w:right w:val="none" w:sz="0" w:space="0" w:color="auto"/>
      </w:divBdr>
    </w:div>
    <w:div w:id="1344631726">
      <w:bodyDiv w:val="1"/>
      <w:marLeft w:val="0"/>
      <w:marRight w:val="0"/>
      <w:marTop w:val="0"/>
      <w:marBottom w:val="0"/>
      <w:divBdr>
        <w:top w:val="none" w:sz="0" w:space="0" w:color="auto"/>
        <w:left w:val="none" w:sz="0" w:space="0" w:color="auto"/>
        <w:bottom w:val="none" w:sz="0" w:space="0" w:color="auto"/>
        <w:right w:val="none" w:sz="0" w:space="0" w:color="auto"/>
      </w:divBdr>
    </w:div>
    <w:div w:id="1344941106">
      <w:bodyDiv w:val="1"/>
      <w:marLeft w:val="0"/>
      <w:marRight w:val="0"/>
      <w:marTop w:val="0"/>
      <w:marBottom w:val="0"/>
      <w:divBdr>
        <w:top w:val="none" w:sz="0" w:space="0" w:color="auto"/>
        <w:left w:val="none" w:sz="0" w:space="0" w:color="auto"/>
        <w:bottom w:val="none" w:sz="0" w:space="0" w:color="auto"/>
        <w:right w:val="none" w:sz="0" w:space="0" w:color="auto"/>
      </w:divBdr>
    </w:div>
    <w:div w:id="1345476920">
      <w:bodyDiv w:val="1"/>
      <w:marLeft w:val="0"/>
      <w:marRight w:val="0"/>
      <w:marTop w:val="0"/>
      <w:marBottom w:val="0"/>
      <w:divBdr>
        <w:top w:val="none" w:sz="0" w:space="0" w:color="auto"/>
        <w:left w:val="none" w:sz="0" w:space="0" w:color="auto"/>
        <w:bottom w:val="none" w:sz="0" w:space="0" w:color="auto"/>
        <w:right w:val="none" w:sz="0" w:space="0" w:color="auto"/>
      </w:divBdr>
    </w:div>
    <w:div w:id="1345941776">
      <w:bodyDiv w:val="1"/>
      <w:marLeft w:val="0"/>
      <w:marRight w:val="0"/>
      <w:marTop w:val="0"/>
      <w:marBottom w:val="0"/>
      <w:divBdr>
        <w:top w:val="none" w:sz="0" w:space="0" w:color="auto"/>
        <w:left w:val="none" w:sz="0" w:space="0" w:color="auto"/>
        <w:bottom w:val="none" w:sz="0" w:space="0" w:color="auto"/>
        <w:right w:val="none" w:sz="0" w:space="0" w:color="auto"/>
      </w:divBdr>
    </w:div>
    <w:div w:id="1346789487">
      <w:bodyDiv w:val="1"/>
      <w:marLeft w:val="0"/>
      <w:marRight w:val="0"/>
      <w:marTop w:val="0"/>
      <w:marBottom w:val="0"/>
      <w:divBdr>
        <w:top w:val="none" w:sz="0" w:space="0" w:color="auto"/>
        <w:left w:val="none" w:sz="0" w:space="0" w:color="auto"/>
        <w:bottom w:val="none" w:sz="0" w:space="0" w:color="auto"/>
        <w:right w:val="none" w:sz="0" w:space="0" w:color="auto"/>
      </w:divBdr>
      <w:divsChild>
        <w:div w:id="1108349803">
          <w:marLeft w:val="547"/>
          <w:marRight w:val="0"/>
          <w:marTop w:val="154"/>
          <w:marBottom w:val="0"/>
          <w:divBdr>
            <w:top w:val="none" w:sz="0" w:space="0" w:color="auto"/>
            <w:left w:val="none" w:sz="0" w:space="0" w:color="auto"/>
            <w:bottom w:val="none" w:sz="0" w:space="0" w:color="auto"/>
            <w:right w:val="none" w:sz="0" w:space="0" w:color="auto"/>
          </w:divBdr>
        </w:div>
        <w:div w:id="2120372655">
          <w:marLeft w:val="1166"/>
          <w:marRight w:val="0"/>
          <w:marTop w:val="134"/>
          <w:marBottom w:val="0"/>
          <w:divBdr>
            <w:top w:val="none" w:sz="0" w:space="0" w:color="auto"/>
            <w:left w:val="none" w:sz="0" w:space="0" w:color="auto"/>
            <w:bottom w:val="none" w:sz="0" w:space="0" w:color="auto"/>
            <w:right w:val="none" w:sz="0" w:space="0" w:color="auto"/>
          </w:divBdr>
        </w:div>
      </w:divsChild>
    </w:div>
    <w:div w:id="1348826516">
      <w:bodyDiv w:val="1"/>
      <w:marLeft w:val="0"/>
      <w:marRight w:val="0"/>
      <w:marTop w:val="0"/>
      <w:marBottom w:val="0"/>
      <w:divBdr>
        <w:top w:val="none" w:sz="0" w:space="0" w:color="auto"/>
        <w:left w:val="none" w:sz="0" w:space="0" w:color="auto"/>
        <w:bottom w:val="none" w:sz="0" w:space="0" w:color="auto"/>
        <w:right w:val="none" w:sz="0" w:space="0" w:color="auto"/>
      </w:divBdr>
    </w:div>
    <w:div w:id="1349525066">
      <w:bodyDiv w:val="1"/>
      <w:marLeft w:val="0"/>
      <w:marRight w:val="0"/>
      <w:marTop w:val="0"/>
      <w:marBottom w:val="0"/>
      <w:divBdr>
        <w:top w:val="none" w:sz="0" w:space="0" w:color="auto"/>
        <w:left w:val="none" w:sz="0" w:space="0" w:color="auto"/>
        <w:bottom w:val="none" w:sz="0" w:space="0" w:color="auto"/>
        <w:right w:val="none" w:sz="0" w:space="0" w:color="auto"/>
      </w:divBdr>
    </w:div>
    <w:div w:id="1349983833">
      <w:bodyDiv w:val="1"/>
      <w:marLeft w:val="0"/>
      <w:marRight w:val="0"/>
      <w:marTop w:val="0"/>
      <w:marBottom w:val="0"/>
      <w:divBdr>
        <w:top w:val="none" w:sz="0" w:space="0" w:color="auto"/>
        <w:left w:val="none" w:sz="0" w:space="0" w:color="auto"/>
        <w:bottom w:val="none" w:sz="0" w:space="0" w:color="auto"/>
        <w:right w:val="none" w:sz="0" w:space="0" w:color="auto"/>
      </w:divBdr>
      <w:divsChild>
        <w:div w:id="525749809">
          <w:marLeft w:val="0"/>
          <w:marRight w:val="0"/>
          <w:marTop w:val="0"/>
          <w:marBottom w:val="0"/>
          <w:divBdr>
            <w:top w:val="none" w:sz="0" w:space="0" w:color="auto"/>
            <w:left w:val="none" w:sz="0" w:space="0" w:color="auto"/>
            <w:bottom w:val="none" w:sz="0" w:space="0" w:color="auto"/>
            <w:right w:val="none" w:sz="0" w:space="0" w:color="auto"/>
          </w:divBdr>
          <w:divsChild>
            <w:div w:id="1128550059">
              <w:marLeft w:val="0"/>
              <w:marRight w:val="0"/>
              <w:marTop w:val="0"/>
              <w:marBottom w:val="0"/>
              <w:divBdr>
                <w:top w:val="none" w:sz="0" w:space="0" w:color="auto"/>
                <w:left w:val="none" w:sz="0" w:space="0" w:color="auto"/>
                <w:bottom w:val="none" w:sz="0" w:space="0" w:color="auto"/>
                <w:right w:val="none" w:sz="0" w:space="0" w:color="auto"/>
              </w:divBdr>
              <w:divsChild>
                <w:div w:id="219248907">
                  <w:marLeft w:val="0"/>
                  <w:marRight w:val="0"/>
                  <w:marTop w:val="0"/>
                  <w:marBottom w:val="0"/>
                  <w:divBdr>
                    <w:top w:val="none" w:sz="0" w:space="0" w:color="auto"/>
                    <w:left w:val="none" w:sz="0" w:space="0" w:color="auto"/>
                    <w:bottom w:val="none" w:sz="0" w:space="0" w:color="auto"/>
                    <w:right w:val="none" w:sz="0" w:space="0" w:color="auto"/>
                  </w:divBdr>
                  <w:divsChild>
                    <w:div w:id="976565072">
                      <w:marLeft w:val="0"/>
                      <w:marRight w:val="0"/>
                      <w:marTop w:val="0"/>
                      <w:marBottom w:val="0"/>
                      <w:divBdr>
                        <w:top w:val="none" w:sz="0" w:space="0" w:color="auto"/>
                        <w:left w:val="none" w:sz="0" w:space="0" w:color="auto"/>
                        <w:bottom w:val="none" w:sz="0" w:space="0" w:color="auto"/>
                        <w:right w:val="none" w:sz="0" w:space="0" w:color="auto"/>
                      </w:divBdr>
                      <w:divsChild>
                        <w:div w:id="386146248">
                          <w:marLeft w:val="0"/>
                          <w:marRight w:val="0"/>
                          <w:marTop w:val="0"/>
                          <w:marBottom w:val="0"/>
                          <w:divBdr>
                            <w:top w:val="none" w:sz="0" w:space="0" w:color="auto"/>
                            <w:left w:val="none" w:sz="0" w:space="0" w:color="auto"/>
                            <w:bottom w:val="none" w:sz="0" w:space="0" w:color="auto"/>
                            <w:right w:val="none" w:sz="0" w:space="0" w:color="auto"/>
                          </w:divBdr>
                          <w:divsChild>
                            <w:div w:id="1991517304">
                              <w:marLeft w:val="0"/>
                              <w:marRight w:val="0"/>
                              <w:marTop w:val="0"/>
                              <w:marBottom w:val="0"/>
                              <w:divBdr>
                                <w:top w:val="none" w:sz="0" w:space="0" w:color="auto"/>
                                <w:left w:val="none" w:sz="0" w:space="0" w:color="auto"/>
                                <w:bottom w:val="none" w:sz="0" w:space="0" w:color="auto"/>
                                <w:right w:val="none" w:sz="0" w:space="0" w:color="auto"/>
                              </w:divBdr>
                              <w:divsChild>
                                <w:div w:id="703752426">
                                  <w:marLeft w:val="0"/>
                                  <w:marRight w:val="0"/>
                                  <w:marTop w:val="0"/>
                                  <w:marBottom w:val="0"/>
                                  <w:divBdr>
                                    <w:top w:val="none" w:sz="0" w:space="0" w:color="auto"/>
                                    <w:left w:val="none" w:sz="0" w:space="0" w:color="auto"/>
                                    <w:bottom w:val="none" w:sz="0" w:space="0" w:color="auto"/>
                                    <w:right w:val="none" w:sz="0" w:space="0" w:color="auto"/>
                                  </w:divBdr>
                                  <w:divsChild>
                                    <w:div w:id="1819373657">
                                      <w:marLeft w:val="0"/>
                                      <w:marRight w:val="0"/>
                                      <w:marTop w:val="0"/>
                                      <w:marBottom w:val="0"/>
                                      <w:divBdr>
                                        <w:top w:val="none" w:sz="0" w:space="0" w:color="auto"/>
                                        <w:left w:val="none" w:sz="0" w:space="0" w:color="auto"/>
                                        <w:bottom w:val="none" w:sz="0" w:space="0" w:color="auto"/>
                                        <w:right w:val="none" w:sz="0" w:space="0" w:color="auto"/>
                                      </w:divBdr>
                                      <w:divsChild>
                                        <w:div w:id="759452954">
                                          <w:marLeft w:val="0"/>
                                          <w:marRight w:val="0"/>
                                          <w:marTop w:val="0"/>
                                          <w:marBottom w:val="0"/>
                                          <w:divBdr>
                                            <w:top w:val="none" w:sz="0" w:space="0" w:color="auto"/>
                                            <w:left w:val="none" w:sz="0" w:space="0" w:color="auto"/>
                                            <w:bottom w:val="none" w:sz="0" w:space="0" w:color="auto"/>
                                            <w:right w:val="none" w:sz="0" w:space="0" w:color="auto"/>
                                          </w:divBdr>
                                          <w:divsChild>
                                            <w:div w:id="1015352612">
                                              <w:marLeft w:val="0"/>
                                              <w:marRight w:val="0"/>
                                              <w:marTop w:val="0"/>
                                              <w:marBottom w:val="0"/>
                                              <w:divBdr>
                                                <w:top w:val="none" w:sz="0" w:space="0" w:color="auto"/>
                                                <w:left w:val="none" w:sz="0" w:space="0" w:color="auto"/>
                                                <w:bottom w:val="none" w:sz="0" w:space="0" w:color="auto"/>
                                                <w:right w:val="none" w:sz="0" w:space="0" w:color="auto"/>
                                              </w:divBdr>
                                              <w:divsChild>
                                                <w:div w:id="1169180241">
                                                  <w:marLeft w:val="0"/>
                                                  <w:marRight w:val="0"/>
                                                  <w:marTop w:val="0"/>
                                                  <w:marBottom w:val="0"/>
                                                  <w:divBdr>
                                                    <w:top w:val="single" w:sz="12" w:space="2" w:color="FFFFCC"/>
                                                    <w:left w:val="single" w:sz="12" w:space="2" w:color="FFFFCC"/>
                                                    <w:bottom w:val="single" w:sz="12" w:space="2" w:color="FFFFCC"/>
                                                    <w:right w:val="single" w:sz="12" w:space="0" w:color="FFFFCC"/>
                                                  </w:divBdr>
                                                  <w:divsChild>
                                                    <w:div w:id="385034625">
                                                      <w:marLeft w:val="0"/>
                                                      <w:marRight w:val="0"/>
                                                      <w:marTop w:val="0"/>
                                                      <w:marBottom w:val="0"/>
                                                      <w:divBdr>
                                                        <w:top w:val="none" w:sz="0" w:space="0" w:color="auto"/>
                                                        <w:left w:val="none" w:sz="0" w:space="0" w:color="auto"/>
                                                        <w:bottom w:val="none" w:sz="0" w:space="0" w:color="auto"/>
                                                        <w:right w:val="none" w:sz="0" w:space="0" w:color="auto"/>
                                                      </w:divBdr>
                                                      <w:divsChild>
                                                        <w:div w:id="735202917">
                                                          <w:marLeft w:val="0"/>
                                                          <w:marRight w:val="0"/>
                                                          <w:marTop w:val="0"/>
                                                          <w:marBottom w:val="0"/>
                                                          <w:divBdr>
                                                            <w:top w:val="none" w:sz="0" w:space="0" w:color="auto"/>
                                                            <w:left w:val="none" w:sz="0" w:space="0" w:color="auto"/>
                                                            <w:bottom w:val="none" w:sz="0" w:space="0" w:color="auto"/>
                                                            <w:right w:val="none" w:sz="0" w:space="0" w:color="auto"/>
                                                          </w:divBdr>
                                                          <w:divsChild>
                                                            <w:div w:id="634214430">
                                                              <w:marLeft w:val="0"/>
                                                              <w:marRight w:val="0"/>
                                                              <w:marTop w:val="0"/>
                                                              <w:marBottom w:val="0"/>
                                                              <w:divBdr>
                                                                <w:top w:val="none" w:sz="0" w:space="0" w:color="auto"/>
                                                                <w:left w:val="none" w:sz="0" w:space="0" w:color="auto"/>
                                                                <w:bottom w:val="none" w:sz="0" w:space="0" w:color="auto"/>
                                                                <w:right w:val="none" w:sz="0" w:space="0" w:color="auto"/>
                                                              </w:divBdr>
                                                              <w:divsChild>
                                                                <w:div w:id="198444380">
                                                                  <w:marLeft w:val="0"/>
                                                                  <w:marRight w:val="0"/>
                                                                  <w:marTop w:val="0"/>
                                                                  <w:marBottom w:val="0"/>
                                                                  <w:divBdr>
                                                                    <w:top w:val="none" w:sz="0" w:space="0" w:color="auto"/>
                                                                    <w:left w:val="none" w:sz="0" w:space="0" w:color="auto"/>
                                                                    <w:bottom w:val="none" w:sz="0" w:space="0" w:color="auto"/>
                                                                    <w:right w:val="none" w:sz="0" w:space="0" w:color="auto"/>
                                                                  </w:divBdr>
                                                                  <w:divsChild>
                                                                    <w:div w:id="1774282416">
                                                                      <w:marLeft w:val="0"/>
                                                                      <w:marRight w:val="0"/>
                                                                      <w:marTop w:val="0"/>
                                                                      <w:marBottom w:val="0"/>
                                                                      <w:divBdr>
                                                                        <w:top w:val="none" w:sz="0" w:space="0" w:color="auto"/>
                                                                        <w:left w:val="none" w:sz="0" w:space="0" w:color="auto"/>
                                                                        <w:bottom w:val="none" w:sz="0" w:space="0" w:color="auto"/>
                                                                        <w:right w:val="none" w:sz="0" w:space="0" w:color="auto"/>
                                                                      </w:divBdr>
                                                                      <w:divsChild>
                                                                        <w:div w:id="72750484">
                                                                          <w:marLeft w:val="0"/>
                                                                          <w:marRight w:val="0"/>
                                                                          <w:marTop w:val="0"/>
                                                                          <w:marBottom w:val="0"/>
                                                                          <w:divBdr>
                                                                            <w:top w:val="none" w:sz="0" w:space="0" w:color="auto"/>
                                                                            <w:left w:val="none" w:sz="0" w:space="0" w:color="auto"/>
                                                                            <w:bottom w:val="none" w:sz="0" w:space="0" w:color="auto"/>
                                                                            <w:right w:val="none" w:sz="0" w:space="0" w:color="auto"/>
                                                                          </w:divBdr>
                                                                          <w:divsChild>
                                                                            <w:div w:id="1467311802">
                                                                              <w:marLeft w:val="0"/>
                                                                              <w:marRight w:val="0"/>
                                                                              <w:marTop w:val="0"/>
                                                                              <w:marBottom w:val="0"/>
                                                                              <w:divBdr>
                                                                                <w:top w:val="none" w:sz="0" w:space="0" w:color="auto"/>
                                                                                <w:left w:val="none" w:sz="0" w:space="0" w:color="auto"/>
                                                                                <w:bottom w:val="none" w:sz="0" w:space="0" w:color="auto"/>
                                                                                <w:right w:val="none" w:sz="0" w:space="0" w:color="auto"/>
                                                                              </w:divBdr>
                                                                              <w:divsChild>
                                                                                <w:div w:id="1782992880">
                                                                                  <w:marLeft w:val="0"/>
                                                                                  <w:marRight w:val="0"/>
                                                                                  <w:marTop w:val="0"/>
                                                                                  <w:marBottom w:val="0"/>
                                                                                  <w:divBdr>
                                                                                    <w:top w:val="none" w:sz="0" w:space="0" w:color="auto"/>
                                                                                    <w:left w:val="none" w:sz="0" w:space="0" w:color="auto"/>
                                                                                    <w:bottom w:val="none" w:sz="0" w:space="0" w:color="auto"/>
                                                                                    <w:right w:val="none" w:sz="0" w:space="0" w:color="auto"/>
                                                                                  </w:divBdr>
                                                                                  <w:divsChild>
                                                                                    <w:div w:id="1094277342">
                                                                                      <w:marLeft w:val="0"/>
                                                                                      <w:marRight w:val="0"/>
                                                                                      <w:marTop w:val="0"/>
                                                                                      <w:marBottom w:val="0"/>
                                                                                      <w:divBdr>
                                                                                        <w:top w:val="none" w:sz="0" w:space="0" w:color="auto"/>
                                                                                        <w:left w:val="none" w:sz="0" w:space="0" w:color="auto"/>
                                                                                        <w:bottom w:val="none" w:sz="0" w:space="0" w:color="auto"/>
                                                                                        <w:right w:val="none" w:sz="0" w:space="0" w:color="auto"/>
                                                                                      </w:divBdr>
                                                                                      <w:divsChild>
                                                                                        <w:div w:id="1212964769">
                                                                                          <w:marLeft w:val="0"/>
                                                                                          <w:marRight w:val="0"/>
                                                                                          <w:marTop w:val="0"/>
                                                                                          <w:marBottom w:val="0"/>
                                                                                          <w:divBdr>
                                                                                            <w:top w:val="none" w:sz="0" w:space="0" w:color="auto"/>
                                                                                            <w:left w:val="none" w:sz="0" w:space="0" w:color="auto"/>
                                                                                            <w:bottom w:val="none" w:sz="0" w:space="0" w:color="auto"/>
                                                                                            <w:right w:val="none" w:sz="0" w:space="0" w:color="auto"/>
                                                                                          </w:divBdr>
                                                                                          <w:divsChild>
                                                                                            <w:div w:id="231015333">
                                                                                              <w:marLeft w:val="0"/>
                                                                                              <w:marRight w:val="120"/>
                                                                                              <w:marTop w:val="0"/>
                                                                                              <w:marBottom w:val="150"/>
                                                                                              <w:divBdr>
                                                                                                <w:top w:val="single" w:sz="2" w:space="0" w:color="EFEFEF"/>
                                                                                                <w:left w:val="single" w:sz="6" w:space="0" w:color="EFEFEF"/>
                                                                                                <w:bottom w:val="single" w:sz="6" w:space="0" w:color="E2E2E2"/>
                                                                                                <w:right w:val="single" w:sz="6" w:space="0" w:color="EFEFEF"/>
                                                                                              </w:divBdr>
                                                                                              <w:divsChild>
                                                                                                <w:div w:id="2099211922">
                                                                                                  <w:marLeft w:val="0"/>
                                                                                                  <w:marRight w:val="0"/>
                                                                                                  <w:marTop w:val="0"/>
                                                                                                  <w:marBottom w:val="0"/>
                                                                                                  <w:divBdr>
                                                                                                    <w:top w:val="none" w:sz="0" w:space="0" w:color="auto"/>
                                                                                                    <w:left w:val="none" w:sz="0" w:space="0" w:color="auto"/>
                                                                                                    <w:bottom w:val="none" w:sz="0" w:space="0" w:color="auto"/>
                                                                                                    <w:right w:val="none" w:sz="0" w:space="0" w:color="auto"/>
                                                                                                  </w:divBdr>
                                                                                                  <w:divsChild>
                                                                                                    <w:div w:id="1799642492">
                                                                                                      <w:marLeft w:val="0"/>
                                                                                                      <w:marRight w:val="0"/>
                                                                                                      <w:marTop w:val="0"/>
                                                                                                      <w:marBottom w:val="0"/>
                                                                                                      <w:divBdr>
                                                                                                        <w:top w:val="none" w:sz="0" w:space="0" w:color="auto"/>
                                                                                                        <w:left w:val="none" w:sz="0" w:space="0" w:color="auto"/>
                                                                                                        <w:bottom w:val="none" w:sz="0" w:space="0" w:color="auto"/>
                                                                                                        <w:right w:val="none" w:sz="0" w:space="0" w:color="auto"/>
                                                                                                      </w:divBdr>
                                                                                                      <w:divsChild>
                                                                                                        <w:div w:id="272443394">
                                                                                                          <w:marLeft w:val="0"/>
                                                                                                          <w:marRight w:val="0"/>
                                                                                                          <w:marTop w:val="0"/>
                                                                                                          <w:marBottom w:val="0"/>
                                                                                                          <w:divBdr>
                                                                                                            <w:top w:val="none" w:sz="0" w:space="0" w:color="auto"/>
                                                                                                            <w:left w:val="none" w:sz="0" w:space="0" w:color="auto"/>
                                                                                                            <w:bottom w:val="none" w:sz="0" w:space="0" w:color="auto"/>
                                                                                                            <w:right w:val="none" w:sz="0" w:space="0" w:color="auto"/>
                                                                                                          </w:divBdr>
                                                                                                          <w:divsChild>
                                                                                                            <w:div w:id="1623610618">
                                                                                                              <w:marLeft w:val="0"/>
                                                                                                              <w:marRight w:val="0"/>
                                                                                                              <w:marTop w:val="0"/>
                                                                                                              <w:marBottom w:val="0"/>
                                                                                                              <w:divBdr>
                                                                                                                <w:top w:val="none" w:sz="0" w:space="0" w:color="auto"/>
                                                                                                                <w:left w:val="none" w:sz="0" w:space="0" w:color="auto"/>
                                                                                                                <w:bottom w:val="none" w:sz="0" w:space="0" w:color="auto"/>
                                                                                                                <w:right w:val="none" w:sz="0" w:space="0" w:color="auto"/>
                                                                                                              </w:divBdr>
                                                                                                              <w:divsChild>
                                                                                                                <w:div w:id="901332178">
                                                                                                                  <w:marLeft w:val="0"/>
                                                                                                                  <w:marRight w:val="0"/>
                                                                                                                  <w:marTop w:val="0"/>
                                                                                                                  <w:marBottom w:val="0"/>
                                                                                                                  <w:divBdr>
                                                                                                                    <w:top w:val="single" w:sz="2" w:space="4" w:color="D8D8D8"/>
                                                                                                                    <w:left w:val="single" w:sz="2" w:space="0" w:color="D8D8D8"/>
                                                                                                                    <w:bottom w:val="single" w:sz="2" w:space="4" w:color="D8D8D8"/>
                                                                                                                    <w:right w:val="single" w:sz="2" w:space="0" w:color="D8D8D8"/>
                                                                                                                  </w:divBdr>
                                                                                                                  <w:divsChild>
                                                                                                                    <w:div w:id="6297082">
                                                                                                                      <w:marLeft w:val="225"/>
                                                                                                                      <w:marRight w:val="225"/>
                                                                                                                      <w:marTop w:val="75"/>
                                                                                                                      <w:marBottom w:val="75"/>
                                                                                                                      <w:divBdr>
                                                                                                                        <w:top w:val="none" w:sz="0" w:space="0" w:color="auto"/>
                                                                                                                        <w:left w:val="none" w:sz="0" w:space="0" w:color="auto"/>
                                                                                                                        <w:bottom w:val="none" w:sz="0" w:space="0" w:color="auto"/>
                                                                                                                        <w:right w:val="none" w:sz="0" w:space="0" w:color="auto"/>
                                                                                                                      </w:divBdr>
                                                                                                                      <w:divsChild>
                                                                                                                        <w:div w:id="1382098827">
                                                                                                                          <w:marLeft w:val="0"/>
                                                                                                                          <w:marRight w:val="0"/>
                                                                                                                          <w:marTop w:val="0"/>
                                                                                                                          <w:marBottom w:val="0"/>
                                                                                                                          <w:divBdr>
                                                                                                                            <w:top w:val="single" w:sz="6" w:space="0" w:color="auto"/>
                                                                                                                            <w:left w:val="single" w:sz="6" w:space="0" w:color="auto"/>
                                                                                                                            <w:bottom w:val="single" w:sz="6" w:space="0" w:color="auto"/>
                                                                                                                            <w:right w:val="single" w:sz="6" w:space="0" w:color="auto"/>
                                                                                                                          </w:divBdr>
                                                                                                                          <w:divsChild>
                                                                                                                            <w:div w:id="351416706">
                                                                                                                              <w:marLeft w:val="0"/>
                                                                                                                              <w:marRight w:val="0"/>
                                                                                                                              <w:marTop w:val="0"/>
                                                                                                                              <w:marBottom w:val="0"/>
                                                                                                                              <w:divBdr>
                                                                                                                                <w:top w:val="none" w:sz="0" w:space="0" w:color="auto"/>
                                                                                                                                <w:left w:val="none" w:sz="0" w:space="0" w:color="auto"/>
                                                                                                                                <w:bottom w:val="none" w:sz="0" w:space="0" w:color="auto"/>
                                                                                                                                <w:right w:val="none" w:sz="0" w:space="0" w:color="auto"/>
                                                                                                                              </w:divBdr>
                                                                                                                              <w:divsChild>
                                                                                                                                <w:div w:id="6357945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350180788">
      <w:bodyDiv w:val="1"/>
      <w:marLeft w:val="0"/>
      <w:marRight w:val="0"/>
      <w:marTop w:val="0"/>
      <w:marBottom w:val="0"/>
      <w:divBdr>
        <w:top w:val="none" w:sz="0" w:space="0" w:color="auto"/>
        <w:left w:val="none" w:sz="0" w:space="0" w:color="auto"/>
        <w:bottom w:val="none" w:sz="0" w:space="0" w:color="auto"/>
        <w:right w:val="none" w:sz="0" w:space="0" w:color="auto"/>
      </w:divBdr>
    </w:div>
    <w:div w:id="1352225179">
      <w:bodyDiv w:val="1"/>
      <w:marLeft w:val="0"/>
      <w:marRight w:val="0"/>
      <w:marTop w:val="0"/>
      <w:marBottom w:val="0"/>
      <w:divBdr>
        <w:top w:val="none" w:sz="0" w:space="0" w:color="auto"/>
        <w:left w:val="none" w:sz="0" w:space="0" w:color="auto"/>
        <w:bottom w:val="none" w:sz="0" w:space="0" w:color="auto"/>
        <w:right w:val="none" w:sz="0" w:space="0" w:color="auto"/>
      </w:divBdr>
    </w:div>
    <w:div w:id="1352343041">
      <w:bodyDiv w:val="1"/>
      <w:marLeft w:val="0"/>
      <w:marRight w:val="0"/>
      <w:marTop w:val="0"/>
      <w:marBottom w:val="0"/>
      <w:divBdr>
        <w:top w:val="none" w:sz="0" w:space="0" w:color="auto"/>
        <w:left w:val="none" w:sz="0" w:space="0" w:color="auto"/>
        <w:bottom w:val="none" w:sz="0" w:space="0" w:color="auto"/>
        <w:right w:val="none" w:sz="0" w:space="0" w:color="auto"/>
      </w:divBdr>
    </w:div>
    <w:div w:id="1353217514">
      <w:bodyDiv w:val="1"/>
      <w:marLeft w:val="0"/>
      <w:marRight w:val="0"/>
      <w:marTop w:val="0"/>
      <w:marBottom w:val="0"/>
      <w:divBdr>
        <w:top w:val="none" w:sz="0" w:space="0" w:color="auto"/>
        <w:left w:val="none" w:sz="0" w:space="0" w:color="auto"/>
        <w:bottom w:val="none" w:sz="0" w:space="0" w:color="auto"/>
        <w:right w:val="none" w:sz="0" w:space="0" w:color="auto"/>
      </w:divBdr>
    </w:div>
    <w:div w:id="1353341272">
      <w:bodyDiv w:val="1"/>
      <w:marLeft w:val="0"/>
      <w:marRight w:val="0"/>
      <w:marTop w:val="0"/>
      <w:marBottom w:val="0"/>
      <w:divBdr>
        <w:top w:val="none" w:sz="0" w:space="0" w:color="auto"/>
        <w:left w:val="none" w:sz="0" w:space="0" w:color="auto"/>
        <w:bottom w:val="none" w:sz="0" w:space="0" w:color="auto"/>
        <w:right w:val="none" w:sz="0" w:space="0" w:color="auto"/>
      </w:divBdr>
      <w:divsChild>
        <w:div w:id="2043480427">
          <w:marLeft w:val="1166"/>
          <w:marRight w:val="0"/>
          <w:marTop w:val="115"/>
          <w:marBottom w:val="0"/>
          <w:divBdr>
            <w:top w:val="none" w:sz="0" w:space="0" w:color="auto"/>
            <w:left w:val="none" w:sz="0" w:space="0" w:color="auto"/>
            <w:bottom w:val="none" w:sz="0" w:space="0" w:color="auto"/>
            <w:right w:val="none" w:sz="0" w:space="0" w:color="auto"/>
          </w:divBdr>
        </w:div>
        <w:div w:id="2072190688">
          <w:marLeft w:val="1166"/>
          <w:marRight w:val="0"/>
          <w:marTop w:val="115"/>
          <w:marBottom w:val="0"/>
          <w:divBdr>
            <w:top w:val="none" w:sz="0" w:space="0" w:color="auto"/>
            <w:left w:val="none" w:sz="0" w:space="0" w:color="auto"/>
            <w:bottom w:val="none" w:sz="0" w:space="0" w:color="auto"/>
            <w:right w:val="none" w:sz="0" w:space="0" w:color="auto"/>
          </w:divBdr>
        </w:div>
        <w:div w:id="2111000348">
          <w:marLeft w:val="547"/>
          <w:marRight w:val="0"/>
          <w:marTop w:val="134"/>
          <w:marBottom w:val="0"/>
          <w:divBdr>
            <w:top w:val="none" w:sz="0" w:space="0" w:color="auto"/>
            <w:left w:val="none" w:sz="0" w:space="0" w:color="auto"/>
            <w:bottom w:val="none" w:sz="0" w:space="0" w:color="auto"/>
            <w:right w:val="none" w:sz="0" w:space="0" w:color="auto"/>
          </w:divBdr>
        </w:div>
      </w:divsChild>
    </w:div>
    <w:div w:id="1353727902">
      <w:bodyDiv w:val="1"/>
      <w:marLeft w:val="0"/>
      <w:marRight w:val="0"/>
      <w:marTop w:val="0"/>
      <w:marBottom w:val="0"/>
      <w:divBdr>
        <w:top w:val="none" w:sz="0" w:space="0" w:color="auto"/>
        <w:left w:val="none" w:sz="0" w:space="0" w:color="auto"/>
        <w:bottom w:val="none" w:sz="0" w:space="0" w:color="auto"/>
        <w:right w:val="none" w:sz="0" w:space="0" w:color="auto"/>
      </w:divBdr>
    </w:div>
    <w:div w:id="1355613857">
      <w:bodyDiv w:val="1"/>
      <w:marLeft w:val="0"/>
      <w:marRight w:val="0"/>
      <w:marTop w:val="0"/>
      <w:marBottom w:val="0"/>
      <w:divBdr>
        <w:top w:val="none" w:sz="0" w:space="0" w:color="auto"/>
        <w:left w:val="none" w:sz="0" w:space="0" w:color="auto"/>
        <w:bottom w:val="none" w:sz="0" w:space="0" w:color="auto"/>
        <w:right w:val="none" w:sz="0" w:space="0" w:color="auto"/>
      </w:divBdr>
    </w:div>
    <w:div w:id="1356342399">
      <w:bodyDiv w:val="1"/>
      <w:marLeft w:val="0"/>
      <w:marRight w:val="0"/>
      <w:marTop w:val="0"/>
      <w:marBottom w:val="0"/>
      <w:divBdr>
        <w:top w:val="none" w:sz="0" w:space="0" w:color="auto"/>
        <w:left w:val="none" w:sz="0" w:space="0" w:color="auto"/>
        <w:bottom w:val="none" w:sz="0" w:space="0" w:color="auto"/>
        <w:right w:val="none" w:sz="0" w:space="0" w:color="auto"/>
      </w:divBdr>
    </w:div>
    <w:div w:id="1356538796">
      <w:bodyDiv w:val="1"/>
      <w:marLeft w:val="0"/>
      <w:marRight w:val="0"/>
      <w:marTop w:val="0"/>
      <w:marBottom w:val="0"/>
      <w:divBdr>
        <w:top w:val="none" w:sz="0" w:space="0" w:color="auto"/>
        <w:left w:val="none" w:sz="0" w:space="0" w:color="auto"/>
        <w:bottom w:val="none" w:sz="0" w:space="0" w:color="auto"/>
        <w:right w:val="none" w:sz="0" w:space="0" w:color="auto"/>
      </w:divBdr>
    </w:div>
    <w:div w:id="1356661448">
      <w:bodyDiv w:val="1"/>
      <w:marLeft w:val="0"/>
      <w:marRight w:val="0"/>
      <w:marTop w:val="0"/>
      <w:marBottom w:val="0"/>
      <w:divBdr>
        <w:top w:val="none" w:sz="0" w:space="0" w:color="auto"/>
        <w:left w:val="none" w:sz="0" w:space="0" w:color="auto"/>
        <w:bottom w:val="none" w:sz="0" w:space="0" w:color="auto"/>
        <w:right w:val="none" w:sz="0" w:space="0" w:color="auto"/>
      </w:divBdr>
    </w:div>
    <w:div w:id="1357192793">
      <w:bodyDiv w:val="1"/>
      <w:marLeft w:val="0"/>
      <w:marRight w:val="0"/>
      <w:marTop w:val="0"/>
      <w:marBottom w:val="0"/>
      <w:divBdr>
        <w:top w:val="none" w:sz="0" w:space="0" w:color="auto"/>
        <w:left w:val="none" w:sz="0" w:space="0" w:color="auto"/>
        <w:bottom w:val="none" w:sz="0" w:space="0" w:color="auto"/>
        <w:right w:val="none" w:sz="0" w:space="0" w:color="auto"/>
      </w:divBdr>
    </w:div>
    <w:div w:id="1358040437">
      <w:bodyDiv w:val="1"/>
      <w:marLeft w:val="0"/>
      <w:marRight w:val="0"/>
      <w:marTop w:val="0"/>
      <w:marBottom w:val="0"/>
      <w:divBdr>
        <w:top w:val="none" w:sz="0" w:space="0" w:color="auto"/>
        <w:left w:val="none" w:sz="0" w:space="0" w:color="auto"/>
        <w:bottom w:val="none" w:sz="0" w:space="0" w:color="auto"/>
        <w:right w:val="none" w:sz="0" w:space="0" w:color="auto"/>
      </w:divBdr>
      <w:divsChild>
        <w:div w:id="154151118">
          <w:marLeft w:val="1166"/>
          <w:marRight w:val="0"/>
          <w:marTop w:val="115"/>
          <w:marBottom w:val="0"/>
          <w:divBdr>
            <w:top w:val="none" w:sz="0" w:space="0" w:color="auto"/>
            <w:left w:val="none" w:sz="0" w:space="0" w:color="auto"/>
            <w:bottom w:val="none" w:sz="0" w:space="0" w:color="auto"/>
            <w:right w:val="none" w:sz="0" w:space="0" w:color="auto"/>
          </w:divBdr>
        </w:div>
        <w:div w:id="183709824">
          <w:marLeft w:val="1166"/>
          <w:marRight w:val="0"/>
          <w:marTop w:val="115"/>
          <w:marBottom w:val="0"/>
          <w:divBdr>
            <w:top w:val="none" w:sz="0" w:space="0" w:color="auto"/>
            <w:left w:val="none" w:sz="0" w:space="0" w:color="auto"/>
            <w:bottom w:val="none" w:sz="0" w:space="0" w:color="auto"/>
            <w:right w:val="none" w:sz="0" w:space="0" w:color="auto"/>
          </w:divBdr>
        </w:div>
        <w:div w:id="464664597">
          <w:marLeft w:val="1166"/>
          <w:marRight w:val="0"/>
          <w:marTop w:val="115"/>
          <w:marBottom w:val="0"/>
          <w:divBdr>
            <w:top w:val="none" w:sz="0" w:space="0" w:color="auto"/>
            <w:left w:val="none" w:sz="0" w:space="0" w:color="auto"/>
            <w:bottom w:val="none" w:sz="0" w:space="0" w:color="auto"/>
            <w:right w:val="none" w:sz="0" w:space="0" w:color="auto"/>
          </w:divBdr>
        </w:div>
        <w:div w:id="975840838">
          <w:marLeft w:val="1166"/>
          <w:marRight w:val="0"/>
          <w:marTop w:val="115"/>
          <w:marBottom w:val="0"/>
          <w:divBdr>
            <w:top w:val="none" w:sz="0" w:space="0" w:color="auto"/>
            <w:left w:val="none" w:sz="0" w:space="0" w:color="auto"/>
            <w:bottom w:val="none" w:sz="0" w:space="0" w:color="auto"/>
            <w:right w:val="none" w:sz="0" w:space="0" w:color="auto"/>
          </w:divBdr>
        </w:div>
        <w:div w:id="1259295323">
          <w:marLeft w:val="547"/>
          <w:marRight w:val="0"/>
          <w:marTop w:val="130"/>
          <w:marBottom w:val="0"/>
          <w:divBdr>
            <w:top w:val="none" w:sz="0" w:space="0" w:color="auto"/>
            <w:left w:val="none" w:sz="0" w:space="0" w:color="auto"/>
            <w:bottom w:val="none" w:sz="0" w:space="0" w:color="auto"/>
            <w:right w:val="none" w:sz="0" w:space="0" w:color="auto"/>
          </w:divBdr>
        </w:div>
      </w:divsChild>
    </w:div>
    <w:div w:id="1358234557">
      <w:bodyDiv w:val="1"/>
      <w:marLeft w:val="0"/>
      <w:marRight w:val="0"/>
      <w:marTop w:val="0"/>
      <w:marBottom w:val="0"/>
      <w:divBdr>
        <w:top w:val="none" w:sz="0" w:space="0" w:color="auto"/>
        <w:left w:val="none" w:sz="0" w:space="0" w:color="auto"/>
        <w:bottom w:val="none" w:sz="0" w:space="0" w:color="auto"/>
        <w:right w:val="none" w:sz="0" w:space="0" w:color="auto"/>
      </w:divBdr>
    </w:div>
    <w:div w:id="1358652175">
      <w:bodyDiv w:val="1"/>
      <w:marLeft w:val="0"/>
      <w:marRight w:val="0"/>
      <w:marTop w:val="0"/>
      <w:marBottom w:val="0"/>
      <w:divBdr>
        <w:top w:val="none" w:sz="0" w:space="0" w:color="auto"/>
        <w:left w:val="none" w:sz="0" w:space="0" w:color="auto"/>
        <w:bottom w:val="none" w:sz="0" w:space="0" w:color="auto"/>
        <w:right w:val="none" w:sz="0" w:space="0" w:color="auto"/>
      </w:divBdr>
    </w:div>
    <w:div w:id="1359089019">
      <w:bodyDiv w:val="1"/>
      <w:marLeft w:val="0"/>
      <w:marRight w:val="0"/>
      <w:marTop w:val="0"/>
      <w:marBottom w:val="0"/>
      <w:divBdr>
        <w:top w:val="none" w:sz="0" w:space="0" w:color="auto"/>
        <w:left w:val="none" w:sz="0" w:space="0" w:color="auto"/>
        <w:bottom w:val="none" w:sz="0" w:space="0" w:color="auto"/>
        <w:right w:val="none" w:sz="0" w:space="0" w:color="auto"/>
      </w:divBdr>
    </w:div>
    <w:div w:id="1359158281">
      <w:bodyDiv w:val="1"/>
      <w:marLeft w:val="0"/>
      <w:marRight w:val="0"/>
      <w:marTop w:val="0"/>
      <w:marBottom w:val="0"/>
      <w:divBdr>
        <w:top w:val="none" w:sz="0" w:space="0" w:color="auto"/>
        <w:left w:val="none" w:sz="0" w:space="0" w:color="auto"/>
        <w:bottom w:val="none" w:sz="0" w:space="0" w:color="auto"/>
        <w:right w:val="none" w:sz="0" w:space="0" w:color="auto"/>
      </w:divBdr>
    </w:div>
    <w:div w:id="1359235871">
      <w:bodyDiv w:val="1"/>
      <w:marLeft w:val="0"/>
      <w:marRight w:val="0"/>
      <w:marTop w:val="0"/>
      <w:marBottom w:val="0"/>
      <w:divBdr>
        <w:top w:val="none" w:sz="0" w:space="0" w:color="auto"/>
        <w:left w:val="none" w:sz="0" w:space="0" w:color="auto"/>
        <w:bottom w:val="none" w:sz="0" w:space="0" w:color="auto"/>
        <w:right w:val="none" w:sz="0" w:space="0" w:color="auto"/>
      </w:divBdr>
    </w:div>
    <w:div w:id="1360351513">
      <w:bodyDiv w:val="1"/>
      <w:marLeft w:val="0"/>
      <w:marRight w:val="0"/>
      <w:marTop w:val="0"/>
      <w:marBottom w:val="0"/>
      <w:divBdr>
        <w:top w:val="none" w:sz="0" w:space="0" w:color="auto"/>
        <w:left w:val="none" w:sz="0" w:space="0" w:color="auto"/>
        <w:bottom w:val="none" w:sz="0" w:space="0" w:color="auto"/>
        <w:right w:val="none" w:sz="0" w:space="0" w:color="auto"/>
      </w:divBdr>
    </w:div>
    <w:div w:id="1360935561">
      <w:bodyDiv w:val="1"/>
      <w:marLeft w:val="0"/>
      <w:marRight w:val="0"/>
      <w:marTop w:val="0"/>
      <w:marBottom w:val="0"/>
      <w:divBdr>
        <w:top w:val="none" w:sz="0" w:space="0" w:color="auto"/>
        <w:left w:val="none" w:sz="0" w:space="0" w:color="auto"/>
        <w:bottom w:val="none" w:sz="0" w:space="0" w:color="auto"/>
        <w:right w:val="none" w:sz="0" w:space="0" w:color="auto"/>
      </w:divBdr>
      <w:divsChild>
        <w:div w:id="731271943">
          <w:marLeft w:val="547"/>
          <w:marRight w:val="0"/>
          <w:marTop w:val="154"/>
          <w:marBottom w:val="0"/>
          <w:divBdr>
            <w:top w:val="none" w:sz="0" w:space="0" w:color="auto"/>
            <w:left w:val="none" w:sz="0" w:space="0" w:color="auto"/>
            <w:bottom w:val="none" w:sz="0" w:space="0" w:color="auto"/>
            <w:right w:val="none" w:sz="0" w:space="0" w:color="auto"/>
          </w:divBdr>
        </w:div>
        <w:div w:id="808981269">
          <w:marLeft w:val="547"/>
          <w:marRight w:val="0"/>
          <w:marTop w:val="154"/>
          <w:marBottom w:val="0"/>
          <w:divBdr>
            <w:top w:val="none" w:sz="0" w:space="0" w:color="auto"/>
            <w:left w:val="none" w:sz="0" w:space="0" w:color="auto"/>
            <w:bottom w:val="none" w:sz="0" w:space="0" w:color="auto"/>
            <w:right w:val="none" w:sz="0" w:space="0" w:color="auto"/>
          </w:divBdr>
        </w:div>
        <w:div w:id="1300650300">
          <w:marLeft w:val="1166"/>
          <w:marRight w:val="0"/>
          <w:marTop w:val="134"/>
          <w:marBottom w:val="0"/>
          <w:divBdr>
            <w:top w:val="none" w:sz="0" w:space="0" w:color="auto"/>
            <w:left w:val="none" w:sz="0" w:space="0" w:color="auto"/>
            <w:bottom w:val="none" w:sz="0" w:space="0" w:color="auto"/>
            <w:right w:val="none" w:sz="0" w:space="0" w:color="auto"/>
          </w:divBdr>
        </w:div>
        <w:div w:id="1960839367">
          <w:marLeft w:val="1166"/>
          <w:marRight w:val="0"/>
          <w:marTop w:val="134"/>
          <w:marBottom w:val="0"/>
          <w:divBdr>
            <w:top w:val="none" w:sz="0" w:space="0" w:color="auto"/>
            <w:left w:val="none" w:sz="0" w:space="0" w:color="auto"/>
            <w:bottom w:val="none" w:sz="0" w:space="0" w:color="auto"/>
            <w:right w:val="none" w:sz="0" w:space="0" w:color="auto"/>
          </w:divBdr>
        </w:div>
      </w:divsChild>
    </w:div>
    <w:div w:id="1361736952">
      <w:bodyDiv w:val="1"/>
      <w:marLeft w:val="0"/>
      <w:marRight w:val="0"/>
      <w:marTop w:val="0"/>
      <w:marBottom w:val="0"/>
      <w:divBdr>
        <w:top w:val="none" w:sz="0" w:space="0" w:color="auto"/>
        <w:left w:val="none" w:sz="0" w:space="0" w:color="auto"/>
        <w:bottom w:val="none" w:sz="0" w:space="0" w:color="auto"/>
        <w:right w:val="none" w:sz="0" w:space="0" w:color="auto"/>
      </w:divBdr>
      <w:divsChild>
        <w:div w:id="576520701">
          <w:marLeft w:val="1526"/>
          <w:marRight w:val="0"/>
          <w:marTop w:val="115"/>
          <w:marBottom w:val="0"/>
          <w:divBdr>
            <w:top w:val="none" w:sz="0" w:space="0" w:color="auto"/>
            <w:left w:val="none" w:sz="0" w:space="0" w:color="auto"/>
            <w:bottom w:val="none" w:sz="0" w:space="0" w:color="auto"/>
            <w:right w:val="none" w:sz="0" w:space="0" w:color="auto"/>
          </w:divBdr>
        </w:div>
        <w:div w:id="634139337">
          <w:marLeft w:val="547"/>
          <w:marRight w:val="0"/>
          <w:marTop w:val="130"/>
          <w:marBottom w:val="0"/>
          <w:divBdr>
            <w:top w:val="none" w:sz="0" w:space="0" w:color="auto"/>
            <w:left w:val="none" w:sz="0" w:space="0" w:color="auto"/>
            <w:bottom w:val="none" w:sz="0" w:space="0" w:color="auto"/>
            <w:right w:val="none" w:sz="0" w:space="0" w:color="auto"/>
          </w:divBdr>
        </w:div>
        <w:div w:id="1375538001">
          <w:marLeft w:val="547"/>
          <w:marRight w:val="0"/>
          <w:marTop w:val="130"/>
          <w:marBottom w:val="0"/>
          <w:divBdr>
            <w:top w:val="none" w:sz="0" w:space="0" w:color="auto"/>
            <w:left w:val="none" w:sz="0" w:space="0" w:color="auto"/>
            <w:bottom w:val="none" w:sz="0" w:space="0" w:color="auto"/>
            <w:right w:val="none" w:sz="0" w:space="0" w:color="auto"/>
          </w:divBdr>
        </w:div>
        <w:div w:id="1844127634">
          <w:marLeft w:val="1526"/>
          <w:marRight w:val="0"/>
          <w:marTop w:val="115"/>
          <w:marBottom w:val="0"/>
          <w:divBdr>
            <w:top w:val="none" w:sz="0" w:space="0" w:color="auto"/>
            <w:left w:val="none" w:sz="0" w:space="0" w:color="auto"/>
            <w:bottom w:val="none" w:sz="0" w:space="0" w:color="auto"/>
            <w:right w:val="none" w:sz="0" w:space="0" w:color="auto"/>
          </w:divBdr>
        </w:div>
        <w:div w:id="2089643782">
          <w:marLeft w:val="1800"/>
          <w:marRight w:val="0"/>
          <w:marTop w:val="96"/>
          <w:marBottom w:val="0"/>
          <w:divBdr>
            <w:top w:val="none" w:sz="0" w:space="0" w:color="auto"/>
            <w:left w:val="none" w:sz="0" w:space="0" w:color="auto"/>
            <w:bottom w:val="none" w:sz="0" w:space="0" w:color="auto"/>
            <w:right w:val="none" w:sz="0" w:space="0" w:color="auto"/>
          </w:divBdr>
        </w:div>
      </w:divsChild>
    </w:div>
    <w:div w:id="1362512299">
      <w:bodyDiv w:val="1"/>
      <w:marLeft w:val="0"/>
      <w:marRight w:val="0"/>
      <w:marTop w:val="0"/>
      <w:marBottom w:val="0"/>
      <w:divBdr>
        <w:top w:val="none" w:sz="0" w:space="0" w:color="auto"/>
        <w:left w:val="none" w:sz="0" w:space="0" w:color="auto"/>
        <w:bottom w:val="none" w:sz="0" w:space="0" w:color="auto"/>
        <w:right w:val="none" w:sz="0" w:space="0" w:color="auto"/>
      </w:divBdr>
    </w:div>
    <w:div w:id="1362634673">
      <w:bodyDiv w:val="1"/>
      <w:marLeft w:val="0"/>
      <w:marRight w:val="0"/>
      <w:marTop w:val="0"/>
      <w:marBottom w:val="0"/>
      <w:divBdr>
        <w:top w:val="none" w:sz="0" w:space="0" w:color="auto"/>
        <w:left w:val="none" w:sz="0" w:space="0" w:color="auto"/>
        <w:bottom w:val="none" w:sz="0" w:space="0" w:color="auto"/>
        <w:right w:val="none" w:sz="0" w:space="0" w:color="auto"/>
      </w:divBdr>
    </w:div>
    <w:div w:id="1362828466">
      <w:bodyDiv w:val="1"/>
      <w:marLeft w:val="0"/>
      <w:marRight w:val="0"/>
      <w:marTop w:val="0"/>
      <w:marBottom w:val="0"/>
      <w:divBdr>
        <w:top w:val="none" w:sz="0" w:space="0" w:color="auto"/>
        <w:left w:val="none" w:sz="0" w:space="0" w:color="auto"/>
        <w:bottom w:val="none" w:sz="0" w:space="0" w:color="auto"/>
        <w:right w:val="none" w:sz="0" w:space="0" w:color="auto"/>
      </w:divBdr>
    </w:div>
    <w:div w:id="1362971798">
      <w:bodyDiv w:val="1"/>
      <w:marLeft w:val="0"/>
      <w:marRight w:val="0"/>
      <w:marTop w:val="0"/>
      <w:marBottom w:val="0"/>
      <w:divBdr>
        <w:top w:val="none" w:sz="0" w:space="0" w:color="auto"/>
        <w:left w:val="none" w:sz="0" w:space="0" w:color="auto"/>
        <w:bottom w:val="none" w:sz="0" w:space="0" w:color="auto"/>
        <w:right w:val="none" w:sz="0" w:space="0" w:color="auto"/>
      </w:divBdr>
    </w:div>
    <w:div w:id="1363242969">
      <w:bodyDiv w:val="1"/>
      <w:marLeft w:val="0"/>
      <w:marRight w:val="0"/>
      <w:marTop w:val="0"/>
      <w:marBottom w:val="0"/>
      <w:divBdr>
        <w:top w:val="none" w:sz="0" w:space="0" w:color="auto"/>
        <w:left w:val="none" w:sz="0" w:space="0" w:color="auto"/>
        <w:bottom w:val="none" w:sz="0" w:space="0" w:color="auto"/>
        <w:right w:val="none" w:sz="0" w:space="0" w:color="auto"/>
      </w:divBdr>
    </w:div>
    <w:div w:id="1363553698">
      <w:bodyDiv w:val="1"/>
      <w:marLeft w:val="0"/>
      <w:marRight w:val="0"/>
      <w:marTop w:val="0"/>
      <w:marBottom w:val="0"/>
      <w:divBdr>
        <w:top w:val="none" w:sz="0" w:space="0" w:color="auto"/>
        <w:left w:val="none" w:sz="0" w:space="0" w:color="auto"/>
        <w:bottom w:val="none" w:sz="0" w:space="0" w:color="auto"/>
        <w:right w:val="none" w:sz="0" w:space="0" w:color="auto"/>
      </w:divBdr>
    </w:div>
    <w:div w:id="1363556620">
      <w:bodyDiv w:val="1"/>
      <w:marLeft w:val="0"/>
      <w:marRight w:val="0"/>
      <w:marTop w:val="0"/>
      <w:marBottom w:val="0"/>
      <w:divBdr>
        <w:top w:val="none" w:sz="0" w:space="0" w:color="auto"/>
        <w:left w:val="none" w:sz="0" w:space="0" w:color="auto"/>
        <w:bottom w:val="none" w:sz="0" w:space="0" w:color="auto"/>
        <w:right w:val="none" w:sz="0" w:space="0" w:color="auto"/>
      </w:divBdr>
    </w:div>
    <w:div w:id="1364281491">
      <w:bodyDiv w:val="1"/>
      <w:marLeft w:val="0"/>
      <w:marRight w:val="0"/>
      <w:marTop w:val="0"/>
      <w:marBottom w:val="0"/>
      <w:divBdr>
        <w:top w:val="none" w:sz="0" w:space="0" w:color="auto"/>
        <w:left w:val="none" w:sz="0" w:space="0" w:color="auto"/>
        <w:bottom w:val="none" w:sz="0" w:space="0" w:color="auto"/>
        <w:right w:val="none" w:sz="0" w:space="0" w:color="auto"/>
      </w:divBdr>
    </w:div>
    <w:div w:id="1365014544">
      <w:bodyDiv w:val="1"/>
      <w:marLeft w:val="0"/>
      <w:marRight w:val="0"/>
      <w:marTop w:val="0"/>
      <w:marBottom w:val="0"/>
      <w:divBdr>
        <w:top w:val="none" w:sz="0" w:space="0" w:color="auto"/>
        <w:left w:val="none" w:sz="0" w:space="0" w:color="auto"/>
        <w:bottom w:val="none" w:sz="0" w:space="0" w:color="auto"/>
        <w:right w:val="none" w:sz="0" w:space="0" w:color="auto"/>
      </w:divBdr>
    </w:div>
    <w:div w:id="1365403994">
      <w:bodyDiv w:val="1"/>
      <w:marLeft w:val="0"/>
      <w:marRight w:val="0"/>
      <w:marTop w:val="0"/>
      <w:marBottom w:val="0"/>
      <w:divBdr>
        <w:top w:val="none" w:sz="0" w:space="0" w:color="auto"/>
        <w:left w:val="none" w:sz="0" w:space="0" w:color="auto"/>
        <w:bottom w:val="none" w:sz="0" w:space="0" w:color="auto"/>
        <w:right w:val="none" w:sz="0" w:space="0" w:color="auto"/>
      </w:divBdr>
    </w:div>
    <w:div w:id="1366295754">
      <w:bodyDiv w:val="1"/>
      <w:marLeft w:val="0"/>
      <w:marRight w:val="0"/>
      <w:marTop w:val="0"/>
      <w:marBottom w:val="0"/>
      <w:divBdr>
        <w:top w:val="none" w:sz="0" w:space="0" w:color="auto"/>
        <w:left w:val="none" w:sz="0" w:space="0" w:color="auto"/>
        <w:bottom w:val="none" w:sz="0" w:space="0" w:color="auto"/>
        <w:right w:val="none" w:sz="0" w:space="0" w:color="auto"/>
      </w:divBdr>
    </w:div>
    <w:div w:id="1366367030">
      <w:bodyDiv w:val="1"/>
      <w:marLeft w:val="0"/>
      <w:marRight w:val="0"/>
      <w:marTop w:val="0"/>
      <w:marBottom w:val="0"/>
      <w:divBdr>
        <w:top w:val="none" w:sz="0" w:space="0" w:color="auto"/>
        <w:left w:val="none" w:sz="0" w:space="0" w:color="auto"/>
        <w:bottom w:val="none" w:sz="0" w:space="0" w:color="auto"/>
        <w:right w:val="none" w:sz="0" w:space="0" w:color="auto"/>
      </w:divBdr>
    </w:div>
    <w:div w:id="1367871003">
      <w:bodyDiv w:val="1"/>
      <w:marLeft w:val="0"/>
      <w:marRight w:val="0"/>
      <w:marTop w:val="0"/>
      <w:marBottom w:val="0"/>
      <w:divBdr>
        <w:top w:val="none" w:sz="0" w:space="0" w:color="auto"/>
        <w:left w:val="none" w:sz="0" w:space="0" w:color="auto"/>
        <w:bottom w:val="none" w:sz="0" w:space="0" w:color="auto"/>
        <w:right w:val="none" w:sz="0" w:space="0" w:color="auto"/>
      </w:divBdr>
      <w:divsChild>
        <w:div w:id="69280087">
          <w:marLeft w:val="1166"/>
          <w:marRight w:val="0"/>
          <w:marTop w:val="86"/>
          <w:marBottom w:val="0"/>
          <w:divBdr>
            <w:top w:val="none" w:sz="0" w:space="0" w:color="auto"/>
            <w:left w:val="none" w:sz="0" w:space="0" w:color="auto"/>
            <w:bottom w:val="none" w:sz="0" w:space="0" w:color="auto"/>
            <w:right w:val="none" w:sz="0" w:space="0" w:color="auto"/>
          </w:divBdr>
        </w:div>
        <w:div w:id="138352253">
          <w:marLeft w:val="1166"/>
          <w:marRight w:val="0"/>
          <w:marTop w:val="86"/>
          <w:marBottom w:val="0"/>
          <w:divBdr>
            <w:top w:val="none" w:sz="0" w:space="0" w:color="auto"/>
            <w:left w:val="none" w:sz="0" w:space="0" w:color="auto"/>
            <w:bottom w:val="none" w:sz="0" w:space="0" w:color="auto"/>
            <w:right w:val="none" w:sz="0" w:space="0" w:color="auto"/>
          </w:divBdr>
        </w:div>
        <w:div w:id="140315915">
          <w:marLeft w:val="1166"/>
          <w:marRight w:val="0"/>
          <w:marTop w:val="86"/>
          <w:marBottom w:val="0"/>
          <w:divBdr>
            <w:top w:val="none" w:sz="0" w:space="0" w:color="auto"/>
            <w:left w:val="none" w:sz="0" w:space="0" w:color="auto"/>
            <w:bottom w:val="none" w:sz="0" w:space="0" w:color="auto"/>
            <w:right w:val="none" w:sz="0" w:space="0" w:color="auto"/>
          </w:divBdr>
        </w:div>
        <w:div w:id="233245220">
          <w:marLeft w:val="1166"/>
          <w:marRight w:val="0"/>
          <w:marTop w:val="86"/>
          <w:marBottom w:val="0"/>
          <w:divBdr>
            <w:top w:val="none" w:sz="0" w:space="0" w:color="auto"/>
            <w:left w:val="none" w:sz="0" w:space="0" w:color="auto"/>
            <w:bottom w:val="none" w:sz="0" w:space="0" w:color="auto"/>
            <w:right w:val="none" w:sz="0" w:space="0" w:color="auto"/>
          </w:divBdr>
        </w:div>
        <w:div w:id="443503778">
          <w:marLeft w:val="1800"/>
          <w:marRight w:val="0"/>
          <w:marTop w:val="86"/>
          <w:marBottom w:val="0"/>
          <w:divBdr>
            <w:top w:val="none" w:sz="0" w:space="0" w:color="auto"/>
            <w:left w:val="none" w:sz="0" w:space="0" w:color="auto"/>
            <w:bottom w:val="none" w:sz="0" w:space="0" w:color="auto"/>
            <w:right w:val="none" w:sz="0" w:space="0" w:color="auto"/>
          </w:divBdr>
        </w:div>
        <w:div w:id="554244915">
          <w:marLeft w:val="547"/>
          <w:marRight w:val="0"/>
          <w:marTop w:val="86"/>
          <w:marBottom w:val="0"/>
          <w:divBdr>
            <w:top w:val="none" w:sz="0" w:space="0" w:color="auto"/>
            <w:left w:val="none" w:sz="0" w:space="0" w:color="auto"/>
            <w:bottom w:val="none" w:sz="0" w:space="0" w:color="auto"/>
            <w:right w:val="none" w:sz="0" w:space="0" w:color="auto"/>
          </w:divBdr>
        </w:div>
        <w:div w:id="706296375">
          <w:marLeft w:val="1166"/>
          <w:marRight w:val="0"/>
          <w:marTop w:val="86"/>
          <w:marBottom w:val="0"/>
          <w:divBdr>
            <w:top w:val="none" w:sz="0" w:space="0" w:color="auto"/>
            <w:left w:val="none" w:sz="0" w:space="0" w:color="auto"/>
            <w:bottom w:val="none" w:sz="0" w:space="0" w:color="auto"/>
            <w:right w:val="none" w:sz="0" w:space="0" w:color="auto"/>
          </w:divBdr>
        </w:div>
        <w:div w:id="1803307739">
          <w:marLeft w:val="1166"/>
          <w:marRight w:val="0"/>
          <w:marTop w:val="86"/>
          <w:marBottom w:val="0"/>
          <w:divBdr>
            <w:top w:val="none" w:sz="0" w:space="0" w:color="auto"/>
            <w:left w:val="none" w:sz="0" w:space="0" w:color="auto"/>
            <w:bottom w:val="none" w:sz="0" w:space="0" w:color="auto"/>
            <w:right w:val="none" w:sz="0" w:space="0" w:color="auto"/>
          </w:divBdr>
        </w:div>
      </w:divsChild>
    </w:div>
    <w:div w:id="1370495611">
      <w:bodyDiv w:val="1"/>
      <w:marLeft w:val="0"/>
      <w:marRight w:val="0"/>
      <w:marTop w:val="0"/>
      <w:marBottom w:val="0"/>
      <w:divBdr>
        <w:top w:val="none" w:sz="0" w:space="0" w:color="auto"/>
        <w:left w:val="none" w:sz="0" w:space="0" w:color="auto"/>
        <w:bottom w:val="none" w:sz="0" w:space="0" w:color="auto"/>
        <w:right w:val="none" w:sz="0" w:space="0" w:color="auto"/>
      </w:divBdr>
      <w:divsChild>
        <w:div w:id="386493804">
          <w:marLeft w:val="547"/>
          <w:marRight w:val="0"/>
          <w:marTop w:val="96"/>
          <w:marBottom w:val="0"/>
          <w:divBdr>
            <w:top w:val="none" w:sz="0" w:space="0" w:color="auto"/>
            <w:left w:val="none" w:sz="0" w:space="0" w:color="auto"/>
            <w:bottom w:val="none" w:sz="0" w:space="0" w:color="auto"/>
            <w:right w:val="none" w:sz="0" w:space="0" w:color="auto"/>
          </w:divBdr>
        </w:div>
        <w:div w:id="425229685">
          <w:marLeft w:val="547"/>
          <w:marRight w:val="0"/>
          <w:marTop w:val="96"/>
          <w:marBottom w:val="0"/>
          <w:divBdr>
            <w:top w:val="none" w:sz="0" w:space="0" w:color="auto"/>
            <w:left w:val="none" w:sz="0" w:space="0" w:color="auto"/>
            <w:bottom w:val="none" w:sz="0" w:space="0" w:color="auto"/>
            <w:right w:val="none" w:sz="0" w:space="0" w:color="auto"/>
          </w:divBdr>
        </w:div>
        <w:div w:id="507794066">
          <w:marLeft w:val="1166"/>
          <w:marRight w:val="0"/>
          <w:marTop w:val="86"/>
          <w:marBottom w:val="0"/>
          <w:divBdr>
            <w:top w:val="none" w:sz="0" w:space="0" w:color="auto"/>
            <w:left w:val="none" w:sz="0" w:space="0" w:color="auto"/>
            <w:bottom w:val="none" w:sz="0" w:space="0" w:color="auto"/>
            <w:right w:val="none" w:sz="0" w:space="0" w:color="auto"/>
          </w:divBdr>
        </w:div>
        <w:div w:id="732896263">
          <w:marLeft w:val="547"/>
          <w:marRight w:val="0"/>
          <w:marTop w:val="96"/>
          <w:marBottom w:val="0"/>
          <w:divBdr>
            <w:top w:val="none" w:sz="0" w:space="0" w:color="auto"/>
            <w:left w:val="none" w:sz="0" w:space="0" w:color="auto"/>
            <w:bottom w:val="none" w:sz="0" w:space="0" w:color="auto"/>
            <w:right w:val="none" w:sz="0" w:space="0" w:color="auto"/>
          </w:divBdr>
        </w:div>
        <w:div w:id="1647931092">
          <w:marLeft w:val="547"/>
          <w:marRight w:val="0"/>
          <w:marTop w:val="96"/>
          <w:marBottom w:val="0"/>
          <w:divBdr>
            <w:top w:val="none" w:sz="0" w:space="0" w:color="auto"/>
            <w:left w:val="none" w:sz="0" w:space="0" w:color="auto"/>
            <w:bottom w:val="none" w:sz="0" w:space="0" w:color="auto"/>
            <w:right w:val="none" w:sz="0" w:space="0" w:color="auto"/>
          </w:divBdr>
        </w:div>
      </w:divsChild>
    </w:div>
    <w:div w:id="1372151207">
      <w:bodyDiv w:val="1"/>
      <w:marLeft w:val="0"/>
      <w:marRight w:val="0"/>
      <w:marTop w:val="0"/>
      <w:marBottom w:val="0"/>
      <w:divBdr>
        <w:top w:val="none" w:sz="0" w:space="0" w:color="auto"/>
        <w:left w:val="none" w:sz="0" w:space="0" w:color="auto"/>
        <w:bottom w:val="none" w:sz="0" w:space="0" w:color="auto"/>
        <w:right w:val="none" w:sz="0" w:space="0" w:color="auto"/>
      </w:divBdr>
    </w:div>
    <w:div w:id="1373993430">
      <w:bodyDiv w:val="1"/>
      <w:marLeft w:val="0"/>
      <w:marRight w:val="0"/>
      <w:marTop w:val="0"/>
      <w:marBottom w:val="0"/>
      <w:divBdr>
        <w:top w:val="none" w:sz="0" w:space="0" w:color="auto"/>
        <w:left w:val="none" w:sz="0" w:space="0" w:color="auto"/>
        <w:bottom w:val="none" w:sz="0" w:space="0" w:color="auto"/>
        <w:right w:val="none" w:sz="0" w:space="0" w:color="auto"/>
      </w:divBdr>
    </w:div>
    <w:div w:id="1374185561">
      <w:bodyDiv w:val="1"/>
      <w:marLeft w:val="0"/>
      <w:marRight w:val="0"/>
      <w:marTop w:val="0"/>
      <w:marBottom w:val="0"/>
      <w:divBdr>
        <w:top w:val="none" w:sz="0" w:space="0" w:color="auto"/>
        <w:left w:val="none" w:sz="0" w:space="0" w:color="auto"/>
        <w:bottom w:val="none" w:sz="0" w:space="0" w:color="auto"/>
        <w:right w:val="none" w:sz="0" w:space="0" w:color="auto"/>
      </w:divBdr>
    </w:div>
    <w:div w:id="1374696568">
      <w:bodyDiv w:val="1"/>
      <w:marLeft w:val="0"/>
      <w:marRight w:val="0"/>
      <w:marTop w:val="0"/>
      <w:marBottom w:val="0"/>
      <w:divBdr>
        <w:top w:val="none" w:sz="0" w:space="0" w:color="auto"/>
        <w:left w:val="none" w:sz="0" w:space="0" w:color="auto"/>
        <w:bottom w:val="none" w:sz="0" w:space="0" w:color="auto"/>
        <w:right w:val="none" w:sz="0" w:space="0" w:color="auto"/>
      </w:divBdr>
    </w:div>
    <w:div w:id="1375077163">
      <w:bodyDiv w:val="1"/>
      <w:marLeft w:val="0"/>
      <w:marRight w:val="0"/>
      <w:marTop w:val="0"/>
      <w:marBottom w:val="0"/>
      <w:divBdr>
        <w:top w:val="none" w:sz="0" w:space="0" w:color="auto"/>
        <w:left w:val="none" w:sz="0" w:space="0" w:color="auto"/>
        <w:bottom w:val="none" w:sz="0" w:space="0" w:color="auto"/>
        <w:right w:val="none" w:sz="0" w:space="0" w:color="auto"/>
      </w:divBdr>
      <w:divsChild>
        <w:div w:id="899173253">
          <w:marLeft w:val="1166"/>
          <w:marRight w:val="0"/>
          <w:marTop w:val="115"/>
          <w:marBottom w:val="0"/>
          <w:divBdr>
            <w:top w:val="none" w:sz="0" w:space="0" w:color="auto"/>
            <w:left w:val="none" w:sz="0" w:space="0" w:color="auto"/>
            <w:bottom w:val="none" w:sz="0" w:space="0" w:color="auto"/>
            <w:right w:val="none" w:sz="0" w:space="0" w:color="auto"/>
          </w:divBdr>
        </w:div>
        <w:div w:id="1066222223">
          <w:marLeft w:val="547"/>
          <w:marRight w:val="0"/>
          <w:marTop w:val="115"/>
          <w:marBottom w:val="0"/>
          <w:divBdr>
            <w:top w:val="none" w:sz="0" w:space="0" w:color="auto"/>
            <w:left w:val="none" w:sz="0" w:space="0" w:color="auto"/>
            <w:bottom w:val="none" w:sz="0" w:space="0" w:color="auto"/>
            <w:right w:val="none" w:sz="0" w:space="0" w:color="auto"/>
          </w:divBdr>
        </w:div>
      </w:divsChild>
    </w:div>
    <w:div w:id="1377852842">
      <w:bodyDiv w:val="1"/>
      <w:marLeft w:val="0"/>
      <w:marRight w:val="0"/>
      <w:marTop w:val="0"/>
      <w:marBottom w:val="0"/>
      <w:divBdr>
        <w:top w:val="none" w:sz="0" w:space="0" w:color="auto"/>
        <w:left w:val="none" w:sz="0" w:space="0" w:color="auto"/>
        <w:bottom w:val="none" w:sz="0" w:space="0" w:color="auto"/>
        <w:right w:val="none" w:sz="0" w:space="0" w:color="auto"/>
      </w:divBdr>
    </w:div>
    <w:div w:id="1379739819">
      <w:bodyDiv w:val="1"/>
      <w:marLeft w:val="0"/>
      <w:marRight w:val="0"/>
      <w:marTop w:val="0"/>
      <w:marBottom w:val="0"/>
      <w:divBdr>
        <w:top w:val="none" w:sz="0" w:space="0" w:color="auto"/>
        <w:left w:val="none" w:sz="0" w:space="0" w:color="auto"/>
        <w:bottom w:val="none" w:sz="0" w:space="0" w:color="auto"/>
        <w:right w:val="none" w:sz="0" w:space="0" w:color="auto"/>
      </w:divBdr>
    </w:div>
    <w:div w:id="1380787333">
      <w:bodyDiv w:val="1"/>
      <w:marLeft w:val="0"/>
      <w:marRight w:val="0"/>
      <w:marTop w:val="0"/>
      <w:marBottom w:val="0"/>
      <w:divBdr>
        <w:top w:val="none" w:sz="0" w:space="0" w:color="auto"/>
        <w:left w:val="none" w:sz="0" w:space="0" w:color="auto"/>
        <w:bottom w:val="none" w:sz="0" w:space="0" w:color="auto"/>
        <w:right w:val="none" w:sz="0" w:space="0" w:color="auto"/>
      </w:divBdr>
    </w:div>
    <w:div w:id="1380936203">
      <w:bodyDiv w:val="1"/>
      <w:marLeft w:val="0"/>
      <w:marRight w:val="0"/>
      <w:marTop w:val="0"/>
      <w:marBottom w:val="0"/>
      <w:divBdr>
        <w:top w:val="none" w:sz="0" w:space="0" w:color="auto"/>
        <w:left w:val="none" w:sz="0" w:space="0" w:color="auto"/>
        <w:bottom w:val="none" w:sz="0" w:space="0" w:color="auto"/>
        <w:right w:val="none" w:sz="0" w:space="0" w:color="auto"/>
      </w:divBdr>
    </w:div>
    <w:div w:id="1381318359">
      <w:bodyDiv w:val="1"/>
      <w:marLeft w:val="0"/>
      <w:marRight w:val="0"/>
      <w:marTop w:val="0"/>
      <w:marBottom w:val="0"/>
      <w:divBdr>
        <w:top w:val="none" w:sz="0" w:space="0" w:color="auto"/>
        <w:left w:val="none" w:sz="0" w:space="0" w:color="auto"/>
        <w:bottom w:val="none" w:sz="0" w:space="0" w:color="auto"/>
        <w:right w:val="none" w:sz="0" w:space="0" w:color="auto"/>
      </w:divBdr>
    </w:div>
    <w:div w:id="1381320871">
      <w:bodyDiv w:val="1"/>
      <w:marLeft w:val="0"/>
      <w:marRight w:val="0"/>
      <w:marTop w:val="0"/>
      <w:marBottom w:val="0"/>
      <w:divBdr>
        <w:top w:val="none" w:sz="0" w:space="0" w:color="auto"/>
        <w:left w:val="none" w:sz="0" w:space="0" w:color="auto"/>
        <w:bottom w:val="none" w:sz="0" w:space="0" w:color="auto"/>
        <w:right w:val="none" w:sz="0" w:space="0" w:color="auto"/>
      </w:divBdr>
    </w:div>
    <w:div w:id="1382092251">
      <w:bodyDiv w:val="1"/>
      <w:marLeft w:val="0"/>
      <w:marRight w:val="0"/>
      <w:marTop w:val="0"/>
      <w:marBottom w:val="0"/>
      <w:divBdr>
        <w:top w:val="none" w:sz="0" w:space="0" w:color="auto"/>
        <w:left w:val="none" w:sz="0" w:space="0" w:color="auto"/>
        <w:bottom w:val="none" w:sz="0" w:space="0" w:color="auto"/>
        <w:right w:val="none" w:sz="0" w:space="0" w:color="auto"/>
      </w:divBdr>
    </w:div>
    <w:div w:id="1382367475">
      <w:bodyDiv w:val="1"/>
      <w:marLeft w:val="0"/>
      <w:marRight w:val="0"/>
      <w:marTop w:val="0"/>
      <w:marBottom w:val="0"/>
      <w:divBdr>
        <w:top w:val="none" w:sz="0" w:space="0" w:color="auto"/>
        <w:left w:val="none" w:sz="0" w:space="0" w:color="auto"/>
        <w:bottom w:val="none" w:sz="0" w:space="0" w:color="auto"/>
        <w:right w:val="none" w:sz="0" w:space="0" w:color="auto"/>
      </w:divBdr>
      <w:divsChild>
        <w:div w:id="541329838">
          <w:marLeft w:val="547"/>
          <w:marRight w:val="0"/>
          <w:marTop w:val="134"/>
          <w:marBottom w:val="0"/>
          <w:divBdr>
            <w:top w:val="none" w:sz="0" w:space="0" w:color="auto"/>
            <w:left w:val="none" w:sz="0" w:space="0" w:color="auto"/>
            <w:bottom w:val="none" w:sz="0" w:space="0" w:color="auto"/>
            <w:right w:val="none" w:sz="0" w:space="0" w:color="auto"/>
          </w:divBdr>
        </w:div>
        <w:div w:id="1185635937">
          <w:marLeft w:val="547"/>
          <w:marRight w:val="0"/>
          <w:marTop w:val="134"/>
          <w:marBottom w:val="0"/>
          <w:divBdr>
            <w:top w:val="none" w:sz="0" w:space="0" w:color="auto"/>
            <w:left w:val="none" w:sz="0" w:space="0" w:color="auto"/>
            <w:bottom w:val="none" w:sz="0" w:space="0" w:color="auto"/>
            <w:right w:val="none" w:sz="0" w:space="0" w:color="auto"/>
          </w:divBdr>
        </w:div>
        <w:div w:id="1492673233">
          <w:marLeft w:val="547"/>
          <w:marRight w:val="0"/>
          <w:marTop w:val="134"/>
          <w:marBottom w:val="0"/>
          <w:divBdr>
            <w:top w:val="none" w:sz="0" w:space="0" w:color="auto"/>
            <w:left w:val="none" w:sz="0" w:space="0" w:color="auto"/>
            <w:bottom w:val="none" w:sz="0" w:space="0" w:color="auto"/>
            <w:right w:val="none" w:sz="0" w:space="0" w:color="auto"/>
          </w:divBdr>
        </w:div>
        <w:div w:id="1657567472">
          <w:marLeft w:val="547"/>
          <w:marRight w:val="0"/>
          <w:marTop w:val="134"/>
          <w:marBottom w:val="0"/>
          <w:divBdr>
            <w:top w:val="none" w:sz="0" w:space="0" w:color="auto"/>
            <w:left w:val="none" w:sz="0" w:space="0" w:color="auto"/>
            <w:bottom w:val="none" w:sz="0" w:space="0" w:color="auto"/>
            <w:right w:val="none" w:sz="0" w:space="0" w:color="auto"/>
          </w:divBdr>
        </w:div>
      </w:divsChild>
    </w:div>
    <w:div w:id="1382946134">
      <w:bodyDiv w:val="1"/>
      <w:marLeft w:val="0"/>
      <w:marRight w:val="0"/>
      <w:marTop w:val="0"/>
      <w:marBottom w:val="0"/>
      <w:divBdr>
        <w:top w:val="none" w:sz="0" w:space="0" w:color="auto"/>
        <w:left w:val="none" w:sz="0" w:space="0" w:color="auto"/>
        <w:bottom w:val="none" w:sz="0" w:space="0" w:color="auto"/>
        <w:right w:val="none" w:sz="0" w:space="0" w:color="auto"/>
      </w:divBdr>
    </w:div>
    <w:div w:id="1383138231">
      <w:bodyDiv w:val="1"/>
      <w:marLeft w:val="0"/>
      <w:marRight w:val="0"/>
      <w:marTop w:val="0"/>
      <w:marBottom w:val="0"/>
      <w:divBdr>
        <w:top w:val="none" w:sz="0" w:space="0" w:color="auto"/>
        <w:left w:val="none" w:sz="0" w:space="0" w:color="auto"/>
        <w:bottom w:val="none" w:sz="0" w:space="0" w:color="auto"/>
        <w:right w:val="none" w:sz="0" w:space="0" w:color="auto"/>
      </w:divBdr>
    </w:div>
    <w:div w:id="1383365959">
      <w:bodyDiv w:val="1"/>
      <w:marLeft w:val="0"/>
      <w:marRight w:val="0"/>
      <w:marTop w:val="0"/>
      <w:marBottom w:val="0"/>
      <w:divBdr>
        <w:top w:val="none" w:sz="0" w:space="0" w:color="auto"/>
        <w:left w:val="none" w:sz="0" w:space="0" w:color="auto"/>
        <w:bottom w:val="none" w:sz="0" w:space="0" w:color="auto"/>
        <w:right w:val="none" w:sz="0" w:space="0" w:color="auto"/>
      </w:divBdr>
    </w:div>
    <w:div w:id="1384523051">
      <w:bodyDiv w:val="1"/>
      <w:marLeft w:val="0"/>
      <w:marRight w:val="0"/>
      <w:marTop w:val="0"/>
      <w:marBottom w:val="0"/>
      <w:divBdr>
        <w:top w:val="none" w:sz="0" w:space="0" w:color="auto"/>
        <w:left w:val="none" w:sz="0" w:space="0" w:color="auto"/>
        <w:bottom w:val="none" w:sz="0" w:space="0" w:color="auto"/>
        <w:right w:val="none" w:sz="0" w:space="0" w:color="auto"/>
      </w:divBdr>
    </w:div>
    <w:div w:id="1384983532">
      <w:bodyDiv w:val="1"/>
      <w:marLeft w:val="0"/>
      <w:marRight w:val="0"/>
      <w:marTop w:val="0"/>
      <w:marBottom w:val="0"/>
      <w:divBdr>
        <w:top w:val="none" w:sz="0" w:space="0" w:color="auto"/>
        <w:left w:val="none" w:sz="0" w:space="0" w:color="auto"/>
        <w:bottom w:val="none" w:sz="0" w:space="0" w:color="auto"/>
        <w:right w:val="none" w:sz="0" w:space="0" w:color="auto"/>
      </w:divBdr>
    </w:div>
    <w:div w:id="1387297491">
      <w:bodyDiv w:val="1"/>
      <w:marLeft w:val="0"/>
      <w:marRight w:val="0"/>
      <w:marTop w:val="0"/>
      <w:marBottom w:val="0"/>
      <w:divBdr>
        <w:top w:val="none" w:sz="0" w:space="0" w:color="auto"/>
        <w:left w:val="none" w:sz="0" w:space="0" w:color="auto"/>
        <w:bottom w:val="none" w:sz="0" w:space="0" w:color="auto"/>
        <w:right w:val="none" w:sz="0" w:space="0" w:color="auto"/>
      </w:divBdr>
    </w:div>
    <w:div w:id="1387682412">
      <w:bodyDiv w:val="1"/>
      <w:marLeft w:val="0"/>
      <w:marRight w:val="0"/>
      <w:marTop w:val="0"/>
      <w:marBottom w:val="0"/>
      <w:divBdr>
        <w:top w:val="none" w:sz="0" w:space="0" w:color="auto"/>
        <w:left w:val="none" w:sz="0" w:space="0" w:color="auto"/>
        <w:bottom w:val="none" w:sz="0" w:space="0" w:color="auto"/>
        <w:right w:val="none" w:sz="0" w:space="0" w:color="auto"/>
      </w:divBdr>
      <w:divsChild>
        <w:div w:id="550927224">
          <w:marLeft w:val="547"/>
          <w:marRight w:val="0"/>
          <w:marTop w:val="115"/>
          <w:marBottom w:val="0"/>
          <w:divBdr>
            <w:top w:val="none" w:sz="0" w:space="0" w:color="auto"/>
            <w:left w:val="none" w:sz="0" w:space="0" w:color="auto"/>
            <w:bottom w:val="none" w:sz="0" w:space="0" w:color="auto"/>
            <w:right w:val="none" w:sz="0" w:space="0" w:color="auto"/>
          </w:divBdr>
        </w:div>
        <w:div w:id="721053680">
          <w:marLeft w:val="547"/>
          <w:marRight w:val="0"/>
          <w:marTop w:val="115"/>
          <w:marBottom w:val="0"/>
          <w:divBdr>
            <w:top w:val="none" w:sz="0" w:space="0" w:color="auto"/>
            <w:left w:val="none" w:sz="0" w:space="0" w:color="auto"/>
            <w:bottom w:val="none" w:sz="0" w:space="0" w:color="auto"/>
            <w:right w:val="none" w:sz="0" w:space="0" w:color="auto"/>
          </w:divBdr>
        </w:div>
        <w:div w:id="1645693495">
          <w:marLeft w:val="547"/>
          <w:marRight w:val="0"/>
          <w:marTop w:val="115"/>
          <w:marBottom w:val="0"/>
          <w:divBdr>
            <w:top w:val="none" w:sz="0" w:space="0" w:color="auto"/>
            <w:left w:val="none" w:sz="0" w:space="0" w:color="auto"/>
            <w:bottom w:val="none" w:sz="0" w:space="0" w:color="auto"/>
            <w:right w:val="none" w:sz="0" w:space="0" w:color="auto"/>
          </w:divBdr>
        </w:div>
      </w:divsChild>
    </w:div>
    <w:div w:id="1387879164">
      <w:bodyDiv w:val="1"/>
      <w:marLeft w:val="0"/>
      <w:marRight w:val="0"/>
      <w:marTop w:val="0"/>
      <w:marBottom w:val="0"/>
      <w:divBdr>
        <w:top w:val="none" w:sz="0" w:space="0" w:color="auto"/>
        <w:left w:val="none" w:sz="0" w:space="0" w:color="auto"/>
        <w:bottom w:val="none" w:sz="0" w:space="0" w:color="auto"/>
        <w:right w:val="none" w:sz="0" w:space="0" w:color="auto"/>
      </w:divBdr>
      <w:divsChild>
        <w:div w:id="543324427">
          <w:marLeft w:val="547"/>
          <w:marRight w:val="0"/>
          <w:marTop w:val="115"/>
          <w:marBottom w:val="0"/>
          <w:divBdr>
            <w:top w:val="none" w:sz="0" w:space="0" w:color="auto"/>
            <w:left w:val="none" w:sz="0" w:space="0" w:color="auto"/>
            <w:bottom w:val="none" w:sz="0" w:space="0" w:color="auto"/>
            <w:right w:val="none" w:sz="0" w:space="0" w:color="auto"/>
          </w:divBdr>
        </w:div>
        <w:div w:id="575936069">
          <w:marLeft w:val="1166"/>
          <w:marRight w:val="0"/>
          <w:marTop w:val="115"/>
          <w:marBottom w:val="0"/>
          <w:divBdr>
            <w:top w:val="none" w:sz="0" w:space="0" w:color="auto"/>
            <w:left w:val="none" w:sz="0" w:space="0" w:color="auto"/>
            <w:bottom w:val="none" w:sz="0" w:space="0" w:color="auto"/>
            <w:right w:val="none" w:sz="0" w:space="0" w:color="auto"/>
          </w:divBdr>
        </w:div>
      </w:divsChild>
    </w:div>
    <w:div w:id="1387951313">
      <w:bodyDiv w:val="1"/>
      <w:marLeft w:val="0"/>
      <w:marRight w:val="0"/>
      <w:marTop w:val="0"/>
      <w:marBottom w:val="0"/>
      <w:divBdr>
        <w:top w:val="none" w:sz="0" w:space="0" w:color="auto"/>
        <w:left w:val="none" w:sz="0" w:space="0" w:color="auto"/>
        <w:bottom w:val="none" w:sz="0" w:space="0" w:color="auto"/>
        <w:right w:val="none" w:sz="0" w:space="0" w:color="auto"/>
      </w:divBdr>
      <w:divsChild>
        <w:div w:id="1121535834">
          <w:marLeft w:val="1166"/>
          <w:marRight w:val="0"/>
          <w:marTop w:val="96"/>
          <w:marBottom w:val="0"/>
          <w:divBdr>
            <w:top w:val="none" w:sz="0" w:space="0" w:color="auto"/>
            <w:left w:val="none" w:sz="0" w:space="0" w:color="auto"/>
            <w:bottom w:val="none" w:sz="0" w:space="0" w:color="auto"/>
            <w:right w:val="none" w:sz="0" w:space="0" w:color="auto"/>
          </w:divBdr>
        </w:div>
        <w:div w:id="1142575138">
          <w:marLeft w:val="1166"/>
          <w:marRight w:val="0"/>
          <w:marTop w:val="96"/>
          <w:marBottom w:val="0"/>
          <w:divBdr>
            <w:top w:val="none" w:sz="0" w:space="0" w:color="auto"/>
            <w:left w:val="none" w:sz="0" w:space="0" w:color="auto"/>
            <w:bottom w:val="none" w:sz="0" w:space="0" w:color="auto"/>
            <w:right w:val="none" w:sz="0" w:space="0" w:color="auto"/>
          </w:divBdr>
        </w:div>
        <w:div w:id="1414087234">
          <w:marLeft w:val="547"/>
          <w:marRight w:val="0"/>
          <w:marTop w:val="115"/>
          <w:marBottom w:val="0"/>
          <w:divBdr>
            <w:top w:val="none" w:sz="0" w:space="0" w:color="auto"/>
            <w:left w:val="none" w:sz="0" w:space="0" w:color="auto"/>
            <w:bottom w:val="none" w:sz="0" w:space="0" w:color="auto"/>
            <w:right w:val="none" w:sz="0" w:space="0" w:color="auto"/>
          </w:divBdr>
        </w:div>
        <w:div w:id="1445231164">
          <w:marLeft w:val="1166"/>
          <w:marRight w:val="0"/>
          <w:marTop w:val="96"/>
          <w:marBottom w:val="0"/>
          <w:divBdr>
            <w:top w:val="none" w:sz="0" w:space="0" w:color="auto"/>
            <w:left w:val="none" w:sz="0" w:space="0" w:color="auto"/>
            <w:bottom w:val="none" w:sz="0" w:space="0" w:color="auto"/>
            <w:right w:val="none" w:sz="0" w:space="0" w:color="auto"/>
          </w:divBdr>
        </w:div>
        <w:div w:id="1526749799">
          <w:marLeft w:val="547"/>
          <w:marRight w:val="0"/>
          <w:marTop w:val="115"/>
          <w:marBottom w:val="0"/>
          <w:divBdr>
            <w:top w:val="none" w:sz="0" w:space="0" w:color="auto"/>
            <w:left w:val="none" w:sz="0" w:space="0" w:color="auto"/>
            <w:bottom w:val="none" w:sz="0" w:space="0" w:color="auto"/>
            <w:right w:val="none" w:sz="0" w:space="0" w:color="auto"/>
          </w:divBdr>
        </w:div>
        <w:div w:id="1544755877">
          <w:marLeft w:val="547"/>
          <w:marRight w:val="0"/>
          <w:marTop w:val="115"/>
          <w:marBottom w:val="0"/>
          <w:divBdr>
            <w:top w:val="none" w:sz="0" w:space="0" w:color="auto"/>
            <w:left w:val="none" w:sz="0" w:space="0" w:color="auto"/>
            <w:bottom w:val="none" w:sz="0" w:space="0" w:color="auto"/>
            <w:right w:val="none" w:sz="0" w:space="0" w:color="auto"/>
          </w:divBdr>
        </w:div>
        <w:div w:id="1893733371">
          <w:marLeft w:val="1166"/>
          <w:marRight w:val="0"/>
          <w:marTop w:val="96"/>
          <w:marBottom w:val="0"/>
          <w:divBdr>
            <w:top w:val="none" w:sz="0" w:space="0" w:color="auto"/>
            <w:left w:val="none" w:sz="0" w:space="0" w:color="auto"/>
            <w:bottom w:val="none" w:sz="0" w:space="0" w:color="auto"/>
            <w:right w:val="none" w:sz="0" w:space="0" w:color="auto"/>
          </w:divBdr>
        </w:div>
      </w:divsChild>
    </w:div>
    <w:div w:id="1388608490">
      <w:bodyDiv w:val="1"/>
      <w:marLeft w:val="0"/>
      <w:marRight w:val="0"/>
      <w:marTop w:val="0"/>
      <w:marBottom w:val="0"/>
      <w:divBdr>
        <w:top w:val="none" w:sz="0" w:space="0" w:color="auto"/>
        <w:left w:val="none" w:sz="0" w:space="0" w:color="auto"/>
        <w:bottom w:val="none" w:sz="0" w:space="0" w:color="auto"/>
        <w:right w:val="none" w:sz="0" w:space="0" w:color="auto"/>
      </w:divBdr>
      <w:divsChild>
        <w:div w:id="1707019981">
          <w:marLeft w:val="547"/>
          <w:marRight w:val="0"/>
          <w:marTop w:val="115"/>
          <w:marBottom w:val="0"/>
          <w:divBdr>
            <w:top w:val="none" w:sz="0" w:space="0" w:color="auto"/>
            <w:left w:val="none" w:sz="0" w:space="0" w:color="auto"/>
            <w:bottom w:val="none" w:sz="0" w:space="0" w:color="auto"/>
            <w:right w:val="none" w:sz="0" w:space="0" w:color="auto"/>
          </w:divBdr>
        </w:div>
      </w:divsChild>
    </w:div>
    <w:div w:id="1388645712">
      <w:bodyDiv w:val="1"/>
      <w:marLeft w:val="0"/>
      <w:marRight w:val="0"/>
      <w:marTop w:val="0"/>
      <w:marBottom w:val="0"/>
      <w:divBdr>
        <w:top w:val="none" w:sz="0" w:space="0" w:color="auto"/>
        <w:left w:val="none" w:sz="0" w:space="0" w:color="auto"/>
        <w:bottom w:val="none" w:sz="0" w:space="0" w:color="auto"/>
        <w:right w:val="none" w:sz="0" w:space="0" w:color="auto"/>
      </w:divBdr>
    </w:div>
    <w:div w:id="1388646114">
      <w:bodyDiv w:val="1"/>
      <w:marLeft w:val="0"/>
      <w:marRight w:val="0"/>
      <w:marTop w:val="0"/>
      <w:marBottom w:val="0"/>
      <w:divBdr>
        <w:top w:val="none" w:sz="0" w:space="0" w:color="auto"/>
        <w:left w:val="none" w:sz="0" w:space="0" w:color="auto"/>
        <w:bottom w:val="none" w:sz="0" w:space="0" w:color="auto"/>
        <w:right w:val="none" w:sz="0" w:space="0" w:color="auto"/>
      </w:divBdr>
    </w:div>
    <w:div w:id="1388797973">
      <w:bodyDiv w:val="1"/>
      <w:marLeft w:val="0"/>
      <w:marRight w:val="0"/>
      <w:marTop w:val="0"/>
      <w:marBottom w:val="0"/>
      <w:divBdr>
        <w:top w:val="none" w:sz="0" w:space="0" w:color="auto"/>
        <w:left w:val="none" w:sz="0" w:space="0" w:color="auto"/>
        <w:bottom w:val="none" w:sz="0" w:space="0" w:color="auto"/>
        <w:right w:val="none" w:sz="0" w:space="0" w:color="auto"/>
      </w:divBdr>
    </w:div>
    <w:div w:id="1388844976">
      <w:bodyDiv w:val="1"/>
      <w:marLeft w:val="0"/>
      <w:marRight w:val="0"/>
      <w:marTop w:val="0"/>
      <w:marBottom w:val="0"/>
      <w:divBdr>
        <w:top w:val="none" w:sz="0" w:space="0" w:color="auto"/>
        <w:left w:val="none" w:sz="0" w:space="0" w:color="auto"/>
        <w:bottom w:val="none" w:sz="0" w:space="0" w:color="auto"/>
        <w:right w:val="none" w:sz="0" w:space="0" w:color="auto"/>
      </w:divBdr>
    </w:div>
    <w:div w:id="1389450419">
      <w:bodyDiv w:val="1"/>
      <w:marLeft w:val="0"/>
      <w:marRight w:val="0"/>
      <w:marTop w:val="0"/>
      <w:marBottom w:val="0"/>
      <w:divBdr>
        <w:top w:val="none" w:sz="0" w:space="0" w:color="auto"/>
        <w:left w:val="none" w:sz="0" w:space="0" w:color="auto"/>
        <w:bottom w:val="none" w:sz="0" w:space="0" w:color="auto"/>
        <w:right w:val="none" w:sz="0" w:space="0" w:color="auto"/>
      </w:divBdr>
    </w:div>
    <w:div w:id="1389693543">
      <w:bodyDiv w:val="1"/>
      <w:marLeft w:val="0"/>
      <w:marRight w:val="0"/>
      <w:marTop w:val="0"/>
      <w:marBottom w:val="0"/>
      <w:divBdr>
        <w:top w:val="none" w:sz="0" w:space="0" w:color="auto"/>
        <w:left w:val="none" w:sz="0" w:space="0" w:color="auto"/>
        <w:bottom w:val="none" w:sz="0" w:space="0" w:color="auto"/>
        <w:right w:val="none" w:sz="0" w:space="0" w:color="auto"/>
      </w:divBdr>
    </w:div>
    <w:div w:id="1390112964">
      <w:bodyDiv w:val="1"/>
      <w:marLeft w:val="0"/>
      <w:marRight w:val="0"/>
      <w:marTop w:val="0"/>
      <w:marBottom w:val="0"/>
      <w:divBdr>
        <w:top w:val="none" w:sz="0" w:space="0" w:color="auto"/>
        <w:left w:val="none" w:sz="0" w:space="0" w:color="auto"/>
        <w:bottom w:val="none" w:sz="0" w:space="0" w:color="auto"/>
        <w:right w:val="none" w:sz="0" w:space="0" w:color="auto"/>
      </w:divBdr>
      <w:divsChild>
        <w:div w:id="560288099">
          <w:marLeft w:val="1800"/>
          <w:marRight w:val="0"/>
          <w:marTop w:val="115"/>
          <w:marBottom w:val="0"/>
          <w:divBdr>
            <w:top w:val="none" w:sz="0" w:space="0" w:color="auto"/>
            <w:left w:val="none" w:sz="0" w:space="0" w:color="auto"/>
            <w:bottom w:val="none" w:sz="0" w:space="0" w:color="auto"/>
            <w:right w:val="none" w:sz="0" w:space="0" w:color="auto"/>
          </w:divBdr>
        </w:div>
        <w:div w:id="1186675385">
          <w:marLeft w:val="2520"/>
          <w:marRight w:val="0"/>
          <w:marTop w:val="86"/>
          <w:marBottom w:val="0"/>
          <w:divBdr>
            <w:top w:val="none" w:sz="0" w:space="0" w:color="auto"/>
            <w:left w:val="none" w:sz="0" w:space="0" w:color="auto"/>
            <w:bottom w:val="none" w:sz="0" w:space="0" w:color="auto"/>
            <w:right w:val="none" w:sz="0" w:space="0" w:color="auto"/>
          </w:divBdr>
        </w:div>
        <w:div w:id="1223057822">
          <w:marLeft w:val="1800"/>
          <w:marRight w:val="0"/>
          <w:marTop w:val="115"/>
          <w:marBottom w:val="0"/>
          <w:divBdr>
            <w:top w:val="none" w:sz="0" w:space="0" w:color="auto"/>
            <w:left w:val="none" w:sz="0" w:space="0" w:color="auto"/>
            <w:bottom w:val="none" w:sz="0" w:space="0" w:color="auto"/>
            <w:right w:val="none" w:sz="0" w:space="0" w:color="auto"/>
          </w:divBdr>
        </w:div>
        <w:div w:id="1675305581">
          <w:marLeft w:val="547"/>
          <w:marRight w:val="0"/>
          <w:marTop w:val="154"/>
          <w:marBottom w:val="0"/>
          <w:divBdr>
            <w:top w:val="none" w:sz="0" w:space="0" w:color="auto"/>
            <w:left w:val="none" w:sz="0" w:space="0" w:color="auto"/>
            <w:bottom w:val="none" w:sz="0" w:space="0" w:color="auto"/>
            <w:right w:val="none" w:sz="0" w:space="0" w:color="auto"/>
          </w:divBdr>
        </w:div>
        <w:div w:id="1705056673">
          <w:marLeft w:val="2520"/>
          <w:marRight w:val="0"/>
          <w:marTop w:val="86"/>
          <w:marBottom w:val="0"/>
          <w:divBdr>
            <w:top w:val="none" w:sz="0" w:space="0" w:color="auto"/>
            <w:left w:val="none" w:sz="0" w:space="0" w:color="auto"/>
            <w:bottom w:val="none" w:sz="0" w:space="0" w:color="auto"/>
            <w:right w:val="none" w:sz="0" w:space="0" w:color="auto"/>
          </w:divBdr>
        </w:div>
      </w:divsChild>
    </w:div>
    <w:div w:id="1390420146">
      <w:bodyDiv w:val="1"/>
      <w:marLeft w:val="0"/>
      <w:marRight w:val="0"/>
      <w:marTop w:val="0"/>
      <w:marBottom w:val="0"/>
      <w:divBdr>
        <w:top w:val="none" w:sz="0" w:space="0" w:color="auto"/>
        <w:left w:val="none" w:sz="0" w:space="0" w:color="auto"/>
        <w:bottom w:val="none" w:sz="0" w:space="0" w:color="auto"/>
        <w:right w:val="none" w:sz="0" w:space="0" w:color="auto"/>
      </w:divBdr>
    </w:div>
    <w:div w:id="1391342969">
      <w:bodyDiv w:val="1"/>
      <w:marLeft w:val="0"/>
      <w:marRight w:val="0"/>
      <w:marTop w:val="0"/>
      <w:marBottom w:val="0"/>
      <w:divBdr>
        <w:top w:val="none" w:sz="0" w:space="0" w:color="auto"/>
        <w:left w:val="none" w:sz="0" w:space="0" w:color="auto"/>
        <w:bottom w:val="none" w:sz="0" w:space="0" w:color="auto"/>
        <w:right w:val="none" w:sz="0" w:space="0" w:color="auto"/>
      </w:divBdr>
    </w:div>
    <w:div w:id="1392460274">
      <w:bodyDiv w:val="1"/>
      <w:marLeft w:val="0"/>
      <w:marRight w:val="0"/>
      <w:marTop w:val="0"/>
      <w:marBottom w:val="0"/>
      <w:divBdr>
        <w:top w:val="none" w:sz="0" w:space="0" w:color="auto"/>
        <w:left w:val="none" w:sz="0" w:space="0" w:color="auto"/>
        <w:bottom w:val="none" w:sz="0" w:space="0" w:color="auto"/>
        <w:right w:val="none" w:sz="0" w:space="0" w:color="auto"/>
      </w:divBdr>
      <w:divsChild>
        <w:div w:id="237591707">
          <w:marLeft w:val="1166"/>
          <w:marRight w:val="0"/>
          <w:marTop w:val="0"/>
          <w:marBottom w:val="0"/>
          <w:divBdr>
            <w:top w:val="none" w:sz="0" w:space="0" w:color="auto"/>
            <w:left w:val="none" w:sz="0" w:space="0" w:color="auto"/>
            <w:bottom w:val="none" w:sz="0" w:space="0" w:color="auto"/>
            <w:right w:val="none" w:sz="0" w:space="0" w:color="auto"/>
          </w:divBdr>
        </w:div>
        <w:div w:id="619073301">
          <w:marLeft w:val="1166"/>
          <w:marRight w:val="0"/>
          <w:marTop w:val="0"/>
          <w:marBottom w:val="0"/>
          <w:divBdr>
            <w:top w:val="none" w:sz="0" w:space="0" w:color="auto"/>
            <w:left w:val="none" w:sz="0" w:space="0" w:color="auto"/>
            <w:bottom w:val="none" w:sz="0" w:space="0" w:color="auto"/>
            <w:right w:val="none" w:sz="0" w:space="0" w:color="auto"/>
          </w:divBdr>
        </w:div>
        <w:div w:id="999163458">
          <w:marLeft w:val="547"/>
          <w:marRight w:val="0"/>
          <w:marTop w:val="0"/>
          <w:marBottom w:val="0"/>
          <w:divBdr>
            <w:top w:val="none" w:sz="0" w:space="0" w:color="auto"/>
            <w:left w:val="none" w:sz="0" w:space="0" w:color="auto"/>
            <w:bottom w:val="none" w:sz="0" w:space="0" w:color="auto"/>
            <w:right w:val="none" w:sz="0" w:space="0" w:color="auto"/>
          </w:divBdr>
        </w:div>
      </w:divsChild>
    </w:div>
    <w:div w:id="1394043366">
      <w:bodyDiv w:val="1"/>
      <w:marLeft w:val="0"/>
      <w:marRight w:val="0"/>
      <w:marTop w:val="0"/>
      <w:marBottom w:val="0"/>
      <w:divBdr>
        <w:top w:val="none" w:sz="0" w:space="0" w:color="auto"/>
        <w:left w:val="none" w:sz="0" w:space="0" w:color="auto"/>
        <w:bottom w:val="none" w:sz="0" w:space="0" w:color="auto"/>
        <w:right w:val="none" w:sz="0" w:space="0" w:color="auto"/>
      </w:divBdr>
    </w:div>
    <w:div w:id="1394699104">
      <w:bodyDiv w:val="1"/>
      <w:marLeft w:val="0"/>
      <w:marRight w:val="0"/>
      <w:marTop w:val="0"/>
      <w:marBottom w:val="0"/>
      <w:divBdr>
        <w:top w:val="none" w:sz="0" w:space="0" w:color="auto"/>
        <w:left w:val="none" w:sz="0" w:space="0" w:color="auto"/>
        <w:bottom w:val="none" w:sz="0" w:space="0" w:color="auto"/>
        <w:right w:val="none" w:sz="0" w:space="0" w:color="auto"/>
      </w:divBdr>
      <w:divsChild>
        <w:div w:id="196623083">
          <w:marLeft w:val="1440"/>
          <w:marRight w:val="0"/>
          <w:marTop w:val="120"/>
          <w:marBottom w:val="0"/>
          <w:divBdr>
            <w:top w:val="none" w:sz="0" w:space="0" w:color="auto"/>
            <w:left w:val="none" w:sz="0" w:space="0" w:color="auto"/>
            <w:bottom w:val="none" w:sz="0" w:space="0" w:color="auto"/>
            <w:right w:val="none" w:sz="0" w:space="0" w:color="auto"/>
          </w:divBdr>
        </w:div>
        <w:div w:id="255670908">
          <w:marLeft w:val="720"/>
          <w:marRight w:val="0"/>
          <w:marTop w:val="240"/>
          <w:marBottom w:val="0"/>
          <w:divBdr>
            <w:top w:val="none" w:sz="0" w:space="0" w:color="auto"/>
            <w:left w:val="none" w:sz="0" w:space="0" w:color="auto"/>
            <w:bottom w:val="none" w:sz="0" w:space="0" w:color="auto"/>
            <w:right w:val="none" w:sz="0" w:space="0" w:color="auto"/>
          </w:divBdr>
        </w:div>
        <w:div w:id="688869607">
          <w:marLeft w:val="1440"/>
          <w:marRight w:val="0"/>
          <w:marTop w:val="120"/>
          <w:marBottom w:val="0"/>
          <w:divBdr>
            <w:top w:val="none" w:sz="0" w:space="0" w:color="auto"/>
            <w:left w:val="none" w:sz="0" w:space="0" w:color="auto"/>
            <w:bottom w:val="none" w:sz="0" w:space="0" w:color="auto"/>
            <w:right w:val="none" w:sz="0" w:space="0" w:color="auto"/>
          </w:divBdr>
        </w:div>
        <w:div w:id="959922705">
          <w:marLeft w:val="1440"/>
          <w:marRight w:val="0"/>
          <w:marTop w:val="120"/>
          <w:marBottom w:val="0"/>
          <w:divBdr>
            <w:top w:val="none" w:sz="0" w:space="0" w:color="auto"/>
            <w:left w:val="none" w:sz="0" w:space="0" w:color="auto"/>
            <w:bottom w:val="none" w:sz="0" w:space="0" w:color="auto"/>
            <w:right w:val="none" w:sz="0" w:space="0" w:color="auto"/>
          </w:divBdr>
        </w:div>
        <w:div w:id="1968775476">
          <w:marLeft w:val="720"/>
          <w:marRight w:val="0"/>
          <w:marTop w:val="240"/>
          <w:marBottom w:val="0"/>
          <w:divBdr>
            <w:top w:val="none" w:sz="0" w:space="0" w:color="auto"/>
            <w:left w:val="none" w:sz="0" w:space="0" w:color="auto"/>
            <w:bottom w:val="none" w:sz="0" w:space="0" w:color="auto"/>
            <w:right w:val="none" w:sz="0" w:space="0" w:color="auto"/>
          </w:divBdr>
        </w:div>
      </w:divsChild>
    </w:div>
    <w:div w:id="1395086004">
      <w:bodyDiv w:val="1"/>
      <w:marLeft w:val="0"/>
      <w:marRight w:val="0"/>
      <w:marTop w:val="0"/>
      <w:marBottom w:val="0"/>
      <w:divBdr>
        <w:top w:val="none" w:sz="0" w:space="0" w:color="auto"/>
        <w:left w:val="none" w:sz="0" w:space="0" w:color="auto"/>
        <w:bottom w:val="none" w:sz="0" w:space="0" w:color="auto"/>
        <w:right w:val="none" w:sz="0" w:space="0" w:color="auto"/>
      </w:divBdr>
    </w:div>
    <w:div w:id="1395471558">
      <w:bodyDiv w:val="1"/>
      <w:marLeft w:val="0"/>
      <w:marRight w:val="0"/>
      <w:marTop w:val="0"/>
      <w:marBottom w:val="0"/>
      <w:divBdr>
        <w:top w:val="none" w:sz="0" w:space="0" w:color="auto"/>
        <w:left w:val="none" w:sz="0" w:space="0" w:color="auto"/>
        <w:bottom w:val="none" w:sz="0" w:space="0" w:color="auto"/>
        <w:right w:val="none" w:sz="0" w:space="0" w:color="auto"/>
      </w:divBdr>
    </w:div>
    <w:div w:id="1395474036">
      <w:bodyDiv w:val="1"/>
      <w:marLeft w:val="0"/>
      <w:marRight w:val="0"/>
      <w:marTop w:val="0"/>
      <w:marBottom w:val="0"/>
      <w:divBdr>
        <w:top w:val="none" w:sz="0" w:space="0" w:color="auto"/>
        <w:left w:val="none" w:sz="0" w:space="0" w:color="auto"/>
        <w:bottom w:val="none" w:sz="0" w:space="0" w:color="auto"/>
        <w:right w:val="none" w:sz="0" w:space="0" w:color="auto"/>
      </w:divBdr>
    </w:div>
    <w:div w:id="1395545666">
      <w:bodyDiv w:val="1"/>
      <w:marLeft w:val="0"/>
      <w:marRight w:val="0"/>
      <w:marTop w:val="0"/>
      <w:marBottom w:val="0"/>
      <w:divBdr>
        <w:top w:val="none" w:sz="0" w:space="0" w:color="auto"/>
        <w:left w:val="none" w:sz="0" w:space="0" w:color="auto"/>
        <w:bottom w:val="none" w:sz="0" w:space="0" w:color="auto"/>
        <w:right w:val="none" w:sz="0" w:space="0" w:color="auto"/>
      </w:divBdr>
      <w:divsChild>
        <w:div w:id="401293978">
          <w:marLeft w:val="1166"/>
          <w:marRight w:val="0"/>
          <w:marTop w:val="96"/>
          <w:marBottom w:val="0"/>
          <w:divBdr>
            <w:top w:val="none" w:sz="0" w:space="0" w:color="auto"/>
            <w:left w:val="none" w:sz="0" w:space="0" w:color="auto"/>
            <w:bottom w:val="none" w:sz="0" w:space="0" w:color="auto"/>
            <w:right w:val="none" w:sz="0" w:space="0" w:color="auto"/>
          </w:divBdr>
        </w:div>
        <w:div w:id="504784986">
          <w:marLeft w:val="547"/>
          <w:marRight w:val="0"/>
          <w:marTop w:val="96"/>
          <w:marBottom w:val="0"/>
          <w:divBdr>
            <w:top w:val="none" w:sz="0" w:space="0" w:color="auto"/>
            <w:left w:val="none" w:sz="0" w:space="0" w:color="auto"/>
            <w:bottom w:val="none" w:sz="0" w:space="0" w:color="auto"/>
            <w:right w:val="none" w:sz="0" w:space="0" w:color="auto"/>
          </w:divBdr>
        </w:div>
        <w:div w:id="1047485498">
          <w:marLeft w:val="1166"/>
          <w:marRight w:val="0"/>
          <w:marTop w:val="96"/>
          <w:marBottom w:val="0"/>
          <w:divBdr>
            <w:top w:val="none" w:sz="0" w:space="0" w:color="auto"/>
            <w:left w:val="none" w:sz="0" w:space="0" w:color="auto"/>
            <w:bottom w:val="none" w:sz="0" w:space="0" w:color="auto"/>
            <w:right w:val="none" w:sz="0" w:space="0" w:color="auto"/>
          </w:divBdr>
        </w:div>
        <w:div w:id="1310939667">
          <w:marLeft w:val="547"/>
          <w:marRight w:val="0"/>
          <w:marTop w:val="96"/>
          <w:marBottom w:val="0"/>
          <w:divBdr>
            <w:top w:val="none" w:sz="0" w:space="0" w:color="auto"/>
            <w:left w:val="none" w:sz="0" w:space="0" w:color="auto"/>
            <w:bottom w:val="none" w:sz="0" w:space="0" w:color="auto"/>
            <w:right w:val="none" w:sz="0" w:space="0" w:color="auto"/>
          </w:divBdr>
        </w:div>
        <w:div w:id="1333222198">
          <w:marLeft w:val="547"/>
          <w:marRight w:val="0"/>
          <w:marTop w:val="96"/>
          <w:marBottom w:val="0"/>
          <w:divBdr>
            <w:top w:val="none" w:sz="0" w:space="0" w:color="auto"/>
            <w:left w:val="none" w:sz="0" w:space="0" w:color="auto"/>
            <w:bottom w:val="none" w:sz="0" w:space="0" w:color="auto"/>
            <w:right w:val="none" w:sz="0" w:space="0" w:color="auto"/>
          </w:divBdr>
        </w:div>
        <w:div w:id="1362898358">
          <w:marLeft w:val="1166"/>
          <w:marRight w:val="0"/>
          <w:marTop w:val="96"/>
          <w:marBottom w:val="0"/>
          <w:divBdr>
            <w:top w:val="none" w:sz="0" w:space="0" w:color="auto"/>
            <w:left w:val="none" w:sz="0" w:space="0" w:color="auto"/>
            <w:bottom w:val="none" w:sz="0" w:space="0" w:color="auto"/>
            <w:right w:val="none" w:sz="0" w:space="0" w:color="auto"/>
          </w:divBdr>
        </w:div>
        <w:div w:id="1565027697">
          <w:marLeft w:val="1166"/>
          <w:marRight w:val="0"/>
          <w:marTop w:val="96"/>
          <w:marBottom w:val="0"/>
          <w:divBdr>
            <w:top w:val="none" w:sz="0" w:space="0" w:color="auto"/>
            <w:left w:val="none" w:sz="0" w:space="0" w:color="auto"/>
            <w:bottom w:val="none" w:sz="0" w:space="0" w:color="auto"/>
            <w:right w:val="none" w:sz="0" w:space="0" w:color="auto"/>
          </w:divBdr>
        </w:div>
      </w:divsChild>
    </w:div>
    <w:div w:id="1395854503">
      <w:bodyDiv w:val="1"/>
      <w:marLeft w:val="0"/>
      <w:marRight w:val="0"/>
      <w:marTop w:val="0"/>
      <w:marBottom w:val="0"/>
      <w:divBdr>
        <w:top w:val="none" w:sz="0" w:space="0" w:color="auto"/>
        <w:left w:val="none" w:sz="0" w:space="0" w:color="auto"/>
        <w:bottom w:val="none" w:sz="0" w:space="0" w:color="auto"/>
        <w:right w:val="none" w:sz="0" w:space="0" w:color="auto"/>
      </w:divBdr>
    </w:div>
    <w:div w:id="1395854860">
      <w:bodyDiv w:val="1"/>
      <w:marLeft w:val="0"/>
      <w:marRight w:val="0"/>
      <w:marTop w:val="0"/>
      <w:marBottom w:val="0"/>
      <w:divBdr>
        <w:top w:val="none" w:sz="0" w:space="0" w:color="auto"/>
        <w:left w:val="none" w:sz="0" w:space="0" w:color="auto"/>
        <w:bottom w:val="none" w:sz="0" w:space="0" w:color="auto"/>
        <w:right w:val="none" w:sz="0" w:space="0" w:color="auto"/>
      </w:divBdr>
    </w:div>
    <w:div w:id="1395934960">
      <w:bodyDiv w:val="1"/>
      <w:marLeft w:val="0"/>
      <w:marRight w:val="0"/>
      <w:marTop w:val="0"/>
      <w:marBottom w:val="0"/>
      <w:divBdr>
        <w:top w:val="none" w:sz="0" w:space="0" w:color="auto"/>
        <w:left w:val="none" w:sz="0" w:space="0" w:color="auto"/>
        <w:bottom w:val="none" w:sz="0" w:space="0" w:color="auto"/>
        <w:right w:val="none" w:sz="0" w:space="0" w:color="auto"/>
      </w:divBdr>
      <w:divsChild>
        <w:div w:id="79108535">
          <w:marLeft w:val="360"/>
          <w:marRight w:val="0"/>
          <w:marTop w:val="200"/>
          <w:marBottom w:val="0"/>
          <w:divBdr>
            <w:top w:val="none" w:sz="0" w:space="0" w:color="auto"/>
            <w:left w:val="none" w:sz="0" w:space="0" w:color="auto"/>
            <w:bottom w:val="none" w:sz="0" w:space="0" w:color="auto"/>
            <w:right w:val="none" w:sz="0" w:space="0" w:color="auto"/>
          </w:divBdr>
        </w:div>
        <w:div w:id="779763601">
          <w:marLeft w:val="2520"/>
          <w:marRight w:val="0"/>
          <w:marTop w:val="100"/>
          <w:marBottom w:val="0"/>
          <w:divBdr>
            <w:top w:val="none" w:sz="0" w:space="0" w:color="auto"/>
            <w:left w:val="none" w:sz="0" w:space="0" w:color="auto"/>
            <w:bottom w:val="none" w:sz="0" w:space="0" w:color="auto"/>
            <w:right w:val="none" w:sz="0" w:space="0" w:color="auto"/>
          </w:divBdr>
        </w:div>
        <w:div w:id="799878780">
          <w:marLeft w:val="360"/>
          <w:marRight w:val="0"/>
          <w:marTop w:val="200"/>
          <w:marBottom w:val="0"/>
          <w:divBdr>
            <w:top w:val="none" w:sz="0" w:space="0" w:color="auto"/>
            <w:left w:val="none" w:sz="0" w:space="0" w:color="auto"/>
            <w:bottom w:val="none" w:sz="0" w:space="0" w:color="auto"/>
            <w:right w:val="none" w:sz="0" w:space="0" w:color="auto"/>
          </w:divBdr>
        </w:div>
        <w:div w:id="872424627">
          <w:marLeft w:val="1800"/>
          <w:marRight w:val="0"/>
          <w:marTop w:val="100"/>
          <w:marBottom w:val="0"/>
          <w:divBdr>
            <w:top w:val="none" w:sz="0" w:space="0" w:color="auto"/>
            <w:left w:val="none" w:sz="0" w:space="0" w:color="auto"/>
            <w:bottom w:val="none" w:sz="0" w:space="0" w:color="auto"/>
            <w:right w:val="none" w:sz="0" w:space="0" w:color="auto"/>
          </w:divBdr>
        </w:div>
        <w:div w:id="1008292305">
          <w:marLeft w:val="2520"/>
          <w:marRight w:val="0"/>
          <w:marTop w:val="100"/>
          <w:marBottom w:val="0"/>
          <w:divBdr>
            <w:top w:val="none" w:sz="0" w:space="0" w:color="auto"/>
            <w:left w:val="none" w:sz="0" w:space="0" w:color="auto"/>
            <w:bottom w:val="none" w:sz="0" w:space="0" w:color="auto"/>
            <w:right w:val="none" w:sz="0" w:space="0" w:color="auto"/>
          </w:divBdr>
        </w:div>
        <w:div w:id="1187673862">
          <w:marLeft w:val="1080"/>
          <w:marRight w:val="0"/>
          <w:marTop w:val="100"/>
          <w:marBottom w:val="0"/>
          <w:divBdr>
            <w:top w:val="none" w:sz="0" w:space="0" w:color="auto"/>
            <w:left w:val="none" w:sz="0" w:space="0" w:color="auto"/>
            <w:bottom w:val="none" w:sz="0" w:space="0" w:color="auto"/>
            <w:right w:val="none" w:sz="0" w:space="0" w:color="auto"/>
          </w:divBdr>
        </w:div>
        <w:div w:id="1554846346">
          <w:marLeft w:val="1080"/>
          <w:marRight w:val="0"/>
          <w:marTop w:val="100"/>
          <w:marBottom w:val="0"/>
          <w:divBdr>
            <w:top w:val="none" w:sz="0" w:space="0" w:color="auto"/>
            <w:left w:val="none" w:sz="0" w:space="0" w:color="auto"/>
            <w:bottom w:val="none" w:sz="0" w:space="0" w:color="auto"/>
            <w:right w:val="none" w:sz="0" w:space="0" w:color="auto"/>
          </w:divBdr>
        </w:div>
        <w:div w:id="2070179960">
          <w:marLeft w:val="1080"/>
          <w:marRight w:val="0"/>
          <w:marTop w:val="100"/>
          <w:marBottom w:val="0"/>
          <w:divBdr>
            <w:top w:val="none" w:sz="0" w:space="0" w:color="auto"/>
            <w:left w:val="none" w:sz="0" w:space="0" w:color="auto"/>
            <w:bottom w:val="none" w:sz="0" w:space="0" w:color="auto"/>
            <w:right w:val="none" w:sz="0" w:space="0" w:color="auto"/>
          </w:divBdr>
        </w:div>
      </w:divsChild>
    </w:div>
    <w:div w:id="1396124757">
      <w:bodyDiv w:val="1"/>
      <w:marLeft w:val="0"/>
      <w:marRight w:val="0"/>
      <w:marTop w:val="0"/>
      <w:marBottom w:val="0"/>
      <w:divBdr>
        <w:top w:val="none" w:sz="0" w:space="0" w:color="auto"/>
        <w:left w:val="none" w:sz="0" w:space="0" w:color="auto"/>
        <w:bottom w:val="none" w:sz="0" w:space="0" w:color="auto"/>
        <w:right w:val="none" w:sz="0" w:space="0" w:color="auto"/>
      </w:divBdr>
      <w:divsChild>
        <w:div w:id="26221238">
          <w:marLeft w:val="1166"/>
          <w:marRight w:val="0"/>
          <w:marTop w:val="134"/>
          <w:marBottom w:val="0"/>
          <w:divBdr>
            <w:top w:val="none" w:sz="0" w:space="0" w:color="auto"/>
            <w:left w:val="none" w:sz="0" w:space="0" w:color="auto"/>
            <w:bottom w:val="none" w:sz="0" w:space="0" w:color="auto"/>
            <w:right w:val="none" w:sz="0" w:space="0" w:color="auto"/>
          </w:divBdr>
        </w:div>
        <w:div w:id="905454029">
          <w:marLeft w:val="547"/>
          <w:marRight w:val="0"/>
          <w:marTop w:val="154"/>
          <w:marBottom w:val="0"/>
          <w:divBdr>
            <w:top w:val="none" w:sz="0" w:space="0" w:color="auto"/>
            <w:left w:val="none" w:sz="0" w:space="0" w:color="auto"/>
            <w:bottom w:val="none" w:sz="0" w:space="0" w:color="auto"/>
            <w:right w:val="none" w:sz="0" w:space="0" w:color="auto"/>
          </w:divBdr>
        </w:div>
        <w:div w:id="970398082">
          <w:marLeft w:val="1166"/>
          <w:marRight w:val="0"/>
          <w:marTop w:val="134"/>
          <w:marBottom w:val="0"/>
          <w:divBdr>
            <w:top w:val="none" w:sz="0" w:space="0" w:color="auto"/>
            <w:left w:val="none" w:sz="0" w:space="0" w:color="auto"/>
            <w:bottom w:val="none" w:sz="0" w:space="0" w:color="auto"/>
            <w:right w:val="none" w:sz="0" w:space="0" w:color="auto"/>
          </w:divBdr>
        </w:div>
        <w:div w:id="1451782743">
          <w:marLeft w:val="547"/>
          <w:marRight w:val="0"/>
          <w:marTop w:val="154"/>
          <w:marBottom w:val="0"/>
          <w:divBdr>
            <w:top w:val="none" w:sz="0" w:space="0" w:color="auto"/>
            <w:left w:val="none" w:sz="0" w:space="0" w:color="auto"/>
            <w:bottom w:val="none" w:sz="0" w:space="0" w:color="auto"/>
            <w:right w:val="none" w:sz="0" w:space="0" w:color="auto"/>
          </w:divBdr>
        </w:div>
        <w:div w:id="1528832822">
          <w:marLeft w:val="547"/>
          <w:marRight w:val="0"/>
          <w:marTop w:val="154"/>
          <w:marBottom w:val="0"/>
          <w:divBdr>
            <w:top w:val="none" w:sz="0" w:space="0" w:color="auto"/>
            <w:left w:val="none" w:sz="0" w:space="0" w:color="auto"/>
            <w:bottom w:val="none" w:sz="0" w:space="0" w:color="auto"/>
            <w:right w:val="none" w:sz="0" w:space="0" w:color="auto"/>
          </w:divBdr>
        </w:div>
        <w:div w:id="1775902766">
          <w:marLeft w:val="1166"/>
          <w:marRight w:val="0"/>
          <w:marTop w:val="134"/>
          <w:marBottom w:val="0"/>
          <w:divBdr>
            <w:top w:val="none" w:sz="0" w:space="0" w:color="auto"/>
            <w:left w:val="none" w:sz="0" w:space="0" w:color="auto"/>
            <w:bottom w:val="none" w:sz="0" w:space="0" w:color="auto"/>
            <w:right w:val="none" w:sz="0" w:space="0" w:color="auto"/>
          </w:divBdr>
        </w:div>
      </w:divsChild>
    </w:div>
    <w:div w:id="1397783618">
      <w:bodyDiv w:val="1"/>
      <w:marLeft w:val="0"/>
      <w:marRight w:val="0"/>
      <w:marTop w:val="0"/>
      <w:marBottom w:val="0"/>
      <w:divBdr>
        <w:top w:val="none" w:sz="0" w:space="0" w:color="auto"/>
        <w:left w:val="none" w:sz="0" w:space="0" w:color="auto"/>
        <w:bottom w:val="none" w:sz="0" w:space="0" w:color="auto"/>
        <w:right w:val="none" w:sz="0" w:space="0" w:color="auto"/>
      </w:divBdr>
    </w:div>
    <w:div w:id="1398016945">
      <w:bodyDiv w:val="1"/>
      <w:marLeft w:val="0"/>
      <w:marRight w:val="0"/>
      <w:marTop w:val="0"/>
      <w:marBottom w:val="0"/>
      <w:divBdr>
        <w:top w:val="none" w:sz="0" w:space="0" w:color="auto"/>
        <w:left w:val="none" w:sz="0" w:space="0" w:color="auto"/>
        <w:bottom w:val="none" w:sz="0" w:space="0" w:color="auto"/>
        <w:right w:val="none" w:sz="0" w:space="0" w:color="auto"/>
      </w:divBdr>
    </w:div>
    <w:div w:id="1398505271">
      <w:bodyDiv w:val="1"/>
      <w:marLeft w:val="0"/>
      <w:marRight w:val="0"/>
      <w:marTop w:val="0"/>
      <w:marBottom w:val="0"/>
      <w:divBdr>
        <w:top w:val="none" w:sz="0" w:space="0" w:color="auto"/>
        <w:left w:val="none" w:sz="0" w:space="0" w:color="auto"/>
        <w:bottom w:val="none" w:sz="0" w:space="0" w:color="auto"/>
        <w:right w:val="none" w:sz="0" w:space="0" w:color="auto"/>
      </w:divBdr>
      <w:divsChild>
        <w:div w:id="114060541">
          <w:marLeft w:val="1800"/>
          <w:marRight w:val="0"/>
          <w:marTop w:val="53"/>
          <w:marBottom w:val="0"/>
          <w:divBdr>
            <w:top w:val="none" w:sz="0" w:space="0" w:color="auto"/>
            <w:left w:val="none" w:sz="0" w:space="0" w:color="auto"/>
            <w:bottom w:val="none" w:sz="0" w:space="0" w:color="auto"/>
            <w:right w:val="none" w:sz="0" w:space="0" w:color="auto"/>
          </w:divBdr>
        </w:div>
        <w:div w:id="115568393">
          <w:marLeft w:val="547"/>
          <w:marRight w:val="0"/>
          <w:marTop w:val="67"/>
          <w:marBottom w:val="0"/>
          <w:divBdr>
            <w:top w:val="none" w:sz="0" w:space="0" w:color="auto"/>
            <w:left w:val="none" w:sz="0" w:space="0" w:color="auto"/>
            <w:bottom w:val="none" w:sz="0" w:space="0" w:color="auto"/>
            <w:right w:val="none" w:sz="0" w:space="0" w:color="auto"/>
          </w:divBdr>
        </w:div>
        <w:div w:id="172577780">
          <w:marLeft w:val="547"/>
          <w:marRight w:val="0"/>
          <w:marTop w:val="67"/>
          <w:marBottom w:val="0"/>
          <w:divBdr>
            <w:top w:val="none" w:sz="0" w:space="0" w:color="auto"/>
            <w:left w:val="none" w:sz="0" w:space="0" w:color="auto"/>
            <w:bottom w:val="none" w:sz="0" w:space="0" w:color="auto"/>
            <w:right w:val="none" w:sz="0" w:space="0" w:color="auto"/>
          </w:divBdr>
        </w:div>
        <w:div w:id="179975629">
          <w:marLeft w:val="1166"/>
          <w:marRight w:val="0"/>
          <w:marTop w:val="58"/>
          <w:marBottom w:val="0"/>
          <w:divBdr>
            <w:top w:val="none" w:sz="0" w:space="0" w:color="auto"/>
            <w:left w:val="none" w:sz="0" w:space="0" w:color="auto"/>
            <w:bottom w:val="none" w:sz="0" w:space="0" w:color="auto"/>
            <w:right w:val="none" w:sz="0" w:space="0" w:color="auto"/>
          </w:divBdr>
        </w:div>
        <w:div w:id="292296733">
          <w:marLeft w:val="1800"/>
          <w:marRight w:val="0"/>
          <w:marTop w:val="53"/>
          <w:marBottom w:val="0"/>
          <w:divBdr>
            <w:top w:val="none" w:sz="0" w:space="0" w:color="auto"/>
            <w:left w:val="none" w:sz="0" w:space="0" w:color="auto"/>
            <w:bottom w:val="none" w:sz="0" w:space="0" w:color="auto"/>
            <w:right w:val="none" w:sz="0" w:space="0" w:color="auto"/>
          </w:divBdr>
        </w:div>
        <w:div w:id="328217247">
          <w:marLeft w:val="1166"/>
          <w:marRight w:val="0"/>
          <w:marTop w:val="58"/>
          <w:marBottom w:val="0"/>
          <w:divBdr>
            <w:top w:val="none" w:sz="0" w:space="0" w:color="auto"/>
            <w:left w:val="none" w:sz="0" w:space="0" w:color="auto"/>
            <w:bottom w:val="none" w:sz="0" w:space="0" w:color="auto"/>
            <w:right w:val="none" w:sz="0" w:space="0" w:color="auto"/>
          </w:divBdr>
        </w:div>
        <w:div w:id="437067261">
          <w:marLeft w:val="1166"/>
          <w:marRight w:val="0"/>
          <w:marTop w:val="58"/>
          <w:marBottom w:val="0"/>
          <w:divBdr>
            <w:top w:val="none" w:sz="0" w:space="0" w:color="auto"/>
            <w:left w:val="none" w:sz="0" w:space="0" w:color="auto"/>
            <w:bottom w:val="none" w:sz="0" w:space="0" w:color="auto"/>
            <w:right w:val="none" w:sz="0" w:space="0" w:color="auto"/>
          </w:divBdr>
        </w:div>
        <w:div w:id="510920569">
          <w:marLeft w:val="1166"/>
          <w:marRight w:val="0"/>
          <w:marTop w:val="58"/>
          <w:marBottom w:val="0"/>
          <w:divBdr>
            <w:top w:val="none" w:sz="0" w:space="0" w:color="auto"/>
            <w:left w:val="none" w:sz="0" w:space="0" w:color="auto"/>
            <w:bottom w:val="none" w:sz="0" w:space="0" w:color="auto"/>
            <w:right w:val="none" w:sz="0" w:space="0" w:color="auto"/>
          </w:divBdr>
        </w:div>
        <w:div w:id="659039287">
          <w:marLeft w:val="1166"/>
          <w:marRight w:val="0"/>
          <w:marTop w:val="58"/>
          <w:marBottom w:val="0"/>
          <w:divBdr>
            <w:top w:val="none" w:sz="0" w:space="0" w:color="auto"/>
            <w:left w:val="none" w:sz="0" w:space="0" w:color="auto"/>
            <w:bottom w:val="none" w:sz="0" w:space="0" w:color="auto"/>
            <w:right w:val="none" w:sz="0" w:space="0" w:color="auto"/>
          </w:divBdr>
        </w:div>
        <w:div w:id="936254327">
          <w:marLeft w:val="1166"/>
          <w:marRight w:val="0"/>
          <w:marTop w:val="58"/>
          <w:marBottom w:val="0"/>
          <w:divBdr>
            <w:top w:val="none" w:sz="0" w:space="0" w:color="auto"/>
            <w:left w:val="none" w:sz="0" w:space="0" w:color="auto"/>
            <w:bottom w:val="none" w:sz="0" w:space="0" w:color="auto"/>
            <w:right w:val="none" w:sz="0" w:space="0" w:color="auto"/>
          </w:divBdr>
        </w:div>
        <w:div w:id="950018154">
          <w:marLeft w:val="547"/>
          <w:marRight w:val="0"/>
          <w:marTop w:val="67"/>
          <w:marBottom w:val="0"/>
          <w:divBdr>
            <w:top w:val="none" w:sz="0" w:space="0" w:color="auto"/>
            <w:left w:val="none" w:sz="0" w:space="0" w:color="auto"/>
            <w:bottom w:val="none" w:sz="0" w:space="0" w:color="auto"/>
            <w:right w:val="none" w:sz="0" w:space="0" w:color="auto"/>
          </w:divBdr>
        </w:div>
        <w:div w:id="1008406119">
          <w:marLeft w:val="547"/>
          <w:marRight w:val="0"/>
          <w:marTop w:val="67"/>
          <w:marBottom w:val="0"/>
          <w:divBdr>
            <w:top w:val="none" w:sz="0" w:space="0" w:color="auto"/>
            <w:left w:val="none" w:sz="0" w:space="0" w:color="auto"/>
            <w:bottom w:val="none" w:sz="0" w:space="0" w:color="auto"/>
            <w:right w:val="none" w:sz="0" w:space="0" w:color="auto"/>
          </w:divBdr>
        </w:div>
        <w:div w:id="1087456820">
          <w:marLeft w:val="547"/>
          <w:marRight w:val="0"/>
          <w:marTop w:val="67"/>
          <w:marBottom w:val="0"/>
          <w:divBdr>
            <w:top w:val="none" w:sz="0" w:space="0" w:color="auto"/>
            <w:left w:val="none" w:sz="0" w:space="0" w:color="auto"/>
            <w:bottom w:val="none" w:sz="0" w:space="0" w:color="auto"/>
            <w:right w:val="none" w:sz="0" w:space="0" w:color="auto"/>
          </w:divBdr>
        </w:div>
        <w:div w:id="1250306209">
          <w:marLeft w:val="547"/>
          <w:marRight w:val="0"/>
          <w:marTop w:val="67"/>
          <w:marBottom w:val="0"/>
          <w:divBdr>
            <w:top w:val="none" w:sz="0" w:space="0" w:color="auto"/>
            <w:left w:val="none" w:sz="0" w:space="0" w:color="auto"/>
            <w:bottom w:val="none" w:sz="0" w:space="0" w:color="auto"/>
            <w:right w:val="none" w:sz="0" w:space="0" w:color="auto"/>
          </w:divBdr>
        </w:div>
        <w:div w:id="1321692952">
          <w:marLeft w:val="1166"/>
          <w:marRight w:val="0"/>
          <w:marTop w:val="58"/>
          <w:marBottom w:val="0"/>
          <w:divBdr>
            <w:top w:val="none" w:sz="0" w:space="0" w:color="auto"/>
            <w:left w:val="none" w:sz="0" w:space="0" w:color="auto"/>
            <w:bottom w:val="none" w:sz="0" w:space="0" w:color="auto"/>
            <w:right w:val="none" w:sz="0" w:space="0" w:color="auto"/>
          </w:divBdr>
        </w:div>
        <w:div w:id="1367294610">
          <w:marLeft w:val="1800"/>
          <w:marRight w:val="0"/>
          <w:marTop w:val="53"/>
          <w:marBottom w:val="0"/>
          <w:divBdr>
            <w:top w:val="none" w:sz="0" w:space="0" w:color="auto"/>
            <w:left w:val="none" w:sz="0" w:space="0" w:color="auto"/>
            <w:bottom w:val="none" w:sz="0" w:space="0" w:color="auto"/>
            <w:right w:val="none" w:sz="0" w:space="0" w:color="auto"/>
          </w:divBdr>
        </w:div>
        <w:div w:id="1395663340">
          <w:marLeft w:val="1166"/>
          <w:marRight w:val="0"/>
          <w:marTop w:val="58"/>
          <w:marBottom w:val="0"/>
          <w:divBdr>
            <w:top w:val="none" w:sz="0" w:space="0" w:color="auto"/>
            <w:left w:val="none" w:sz="0" w:space="0" w:color="auto"/>
            <w:bottom w:val="none" w:sz="0" w:space="0" w:color="auto"/>
            <w:right w:val="none" w:sz="0" w:space="0" w:color="auto"/>
          </w:divBdr>
        </w:div>
        <w:div w:id="1969779893">
          <w:marLeft w:val="1166"/>
          <w:marRight w:val="0"/>
          <w:marTop w:val="58"/>
          <w:marBottom w:val="0"/>
          <w:divBdr>
            <w:top w:val="none" w:sz="0" w:space="0" w:color="auto"/>
            <w:left w:val="none" w:sz="0" w:space="0" w:color="auto"/>
            <w:bottom w:val="none" w:sz="0" w:space="0" w:color="auto"/>
            <w:right w:val="none" w:sz="0" w:space="0" w:color="auto"/>
          </w:divBdr>
        </w:div>
      </w:divsChild>
    </w:div>
    <w:div w:id="1398894659">
      <w:bodyDiv w:val="1"/>
      <w:marLeft w:val="0"/>
      <w:marRight w:val="0"/>
      <w:marTop w:val="0"/>
      <w:marBottom w:val="0"/>
      <w:divBdr>
        <w:top w:val="none" w:sz="0" w:space="0" w:color="auto"/>
        <w:left w:val="none" w:sz="0" w:space="0" w:color="auto"/>
        <w:bottom w:val="none" w:sz="0" w:space="0" w:color="auto"/>
        <w:right w:val="none" w:sz="0" w:space="0" w:color="auto"/>
      </w:divBdr>
      <w:divsChild>
        <w:div w:id="32852105">
          <w:marLeft w:val="1800"/>
          <w:marRight w:val="0"/>
          <w:marTop w:val="120"/>
          <w:marBottom w:val="120"/>
          <w:divBdr>
            <w:top w:val="none" w:sz="0" w:space="0" w:color="auto"/>
            <w:left w:val="none" w:sz="0" w:space="0" w:color="auto"/>
            <w:bottom w:val="none" w:sz="0" w:space="0" w:color="auto"/>
            <w:right w:val="none" w:sz="0" w:space="0" w:color="auto"/>
          </w:divBdr>
        </w:div>
        <w:div w:id="69818862">
          <w:marLeft w:val="1166"/>
          <w:marRight w:val="0"/>
          <w:marTop w:val="120"/>
          <w:marBottom w:val="120"/>
          <w:divBdr>
            <w:top w:val="none" w:sz="0" w:space="0" w:color="auto"/>
            <w:left w:val="none" w:sz="0" w:space="0" w:color="auto"/>
            <w:bottom w:val="none" w:sz="0" w:space="0" w:color="auto"/>
            <w:right w:val="none" w:sz="0" w:space="0" w:color="auto"/>
          </w:divBdr>
        </w:div>
        <w:div w:id="128667604">
          <w:marLeft w:val="1800"/>
          <w:marRight w:val="0"/>
          <w:marTop w:val="120"/>
          <w:marBottom w:val="120"/>
          <w:divBdr>
            <w:top w:val="none" w:sz="0" w:space="0" w:color="auto"/>
            <w:left w:val="none" w:sz="0" w:space="0" w:color="auto"/>
            <w:bottom w:val="none" w:sz="0" w:space="0" w:color="auto"/>
            <w:right w:val="none" w:sz="0" w:space="0" w:color="auto"/>
          </w:divBdr>
        </w:div>
        <w:div w:id="157817199">
          <w:marLeft w:val="1800"/>
          <w:marRight w:val="0"/>
          <w:marTop w:val="120"/>
          <w:marBottom w:val="120"/>
          <w:divBdr>
            <w:top w:val="none" w:sz="0" w:space="0" w:color="auto"/>
            <w:left w:val="none" w:sz="0" w:space="0" w:color="auto"/>
            <w:bottom w:val="none" w:sz="0" w:space="0" w:color="auto"/>
            <w:right w:val="none" w:sz="0" w:space="0" w:color="auto"/>
          </w:divBdr>
        </w:div>
        <w:div w:id="338393949">
          <w:marLeft w:val="1800"/>
          <w:marRight w:val="0"/>
          <w:marTop w:val="120"/>
          <w:marBottom w:val="120"/>
          <w:divBdr>
            <w:top w:val="none" w:sz="0" w:space="0" w:color="auto"/>
            <w:left w:val="none" w:sz="0" w:space="0" w:color="auto"/>
            <w:bottom w:val="none" w:sz="0" w:space="0" w:color="auto"/>
            <w:right w:val="none" w:sz="0" w:space="0" w:color="auto"/>
          </w:divBdr>
        </w:div>
        <w:div w:id="439643679">
          <w:marLeft w:val="1800"/>
          <w:marRight w:val="0"/>
          <w:marTop w:val="120"/>
          <w:marBottom w:val="120"/>
          <w:divBdr>
            <w:top w:val="none" w:sz="0" w:space="0" w:color="auto"/>
            <w:left w:val="none" w:sz="0" w:space="0" w:color="auto"/>
            <w:bottom w:val="none" w:sz="0" w:space="0" w:color="auto"/>
            <w:right w:val="none" w:sz="0" w:space="0" w:color="auto"/>
          </w:divBdr>
        </w:div>
        <w:div w:id="460152859">
          <w:marLeft w:val="1800"/>
          <w:marRight w:val="0"/>
          <w:marTop w:val="120"/>
          <w:marBottom w:val="120"/>
          <w:divBdr>
            <w:top w:val="none" w:sz="0" w:space="0" w:color="auto"/>
            <w:left w:val="none" w:sz="0" w:space="0" w:color="auto"/>
            <w:bottom w:val="none" w:sz="0" w:space="0" w:color="auto"/>
            <w:right w:val="none" w:sz="0" w:space="0" w:color="auto"/>
          </w:divBdr>
        </w:div>
        <w:div w:id="974337006">
          <w:marLeft w:val="1800"/>
          <w:marRight w:val="0"/>
          <w:marTop w:val="120"/>
          <w:marBottom w:val="120"/>
          <w:divBdr>
            <w:top w:val="none" w:sz="0" w:space="0" w:color="auto"/>
            <w:left w:val="none" w:sz="0" w:space="0" w:color="auto"/>
            <w:bottom w:val="none" w:sz="0" w:space="0" w:color="auto"/>
            <w:right w:val="none" w:sz="0" w:space="0" w:color="auto"/>
          </w:divBdr>
        </w:div>
        <w:div w:id="987125069">
          <w:marLeft w:val="1800"/>
          <w:marRight w:val="0"/>
          <w:marTop w:val="120"/>
          <w:marBottom w:val="120"/>
          <w:divBdr>
            <w:top w:val="none" w:sz="0" w:space="0" w:color="auto"/>
            <w:left w:val="none" w:sz="0" w:space="0" w:color="auto"/>
            <w:bottom w:val="none" w:sz="0" w:space="0" w:color="auto"/>
            <w:right w:val="none" w:sz="0" w:space="0" w:color="auto"/>
          </w:divBdr>
        </w:div>
        <w:div w:id="1042483047">
          <w:marLeft w:val="1166"/>
          <w:marRight w:val="0"/>
          <w:marTop w:val="120"/>
          <w:marBottom w:val="120"/>
          <w:divBdr>
            <w:top w:val="none" w:sz="0" w:space="0" w:color="auto"/>
            <w:left w:val="none" w:sz="0" w:space="0" w:color="auto"/>
            <w:bottom w:val="none" w:sz="0" w:space="0" w:color="auto"/>
            <w:right w:val="none" w:sz="0" w:space="0" w:color="auto"/>
          </w:divBdr>
        </w:div>
        <w:div w:id="1265843659">
          <w:marLeft w:val="1166"/>
          <w:marRight w:val="0"/>
          <w:marTop w:val="120"/>
          <w:marBottom w:val="120"/>
          <w:divBdr>
            <w:top w:val="none" w:sz="0" w:space="0" w:color="auto"/>
            <w:left w:val="none" w:sz="0" w:space="0" w:color="auto"/>
            <w:bottom w:val="none" w:sz="0" w:space="0" w:color="auto"/>
            <w:right w:val="none" w:sz="0" w:space="0" w:color="auto"/>
          </w:divBdr>
        </w:div>
        <w:div w:id="1724907860">
          <w:marLeft w:val="547"/>
          <w:marRight w:val="0"/>
          <w:marTop w:val="120"/>
          <w:marBottom w:val="120"/>
          <w:divBdr>
            <w:top w:val="none" w:sz="0" w:space="0" w:color="auto"/>
            <w:left w:val="none" w:sz="0" w:space="0" w:color="auto"/>
            <w:bottom w:val="none" w:sz="0" w:space="0" w:color="auto"/>
            <w:right w:val="none" w:sz="0" w:space="0" w:color="auto"/>
          </w:divBdr>
        </w:div>
        <w:div w:id="1781218453">
          <w:marLeft w:val="1800"/>
          <w:marRight w:val="0"/>
          <w:marTop w:val="120"/>
          <w:marBottom w:val="120"/>
          <w:divBdr>
            <w:top w:val="none" w:sz="0" w:space="0" w:color="auto"/>
            <w:left w:val="none" w:sz="0" w:space="0" w:color="auto"/>
            <w:bottom w:val="none" w:sz="0" w:space="0" w:color="auto"/>
            <w:right w:val="none" w:sz="0" w:space="0" w:color="auto"/>
          </w:divBdr>
        </w:div>
        <w:div w:id="1805155966">
          <w:marLeft w:val="2520"/>
          <w:marRight w:val="0"/>
          <w:marTop w:val="120"/>
          <w:marBottom w:val="120"/>
          <w:divBdr>
            <w:top w:val="none" w:sz="0" w:space="0" w:color="auto"/>
            <w:left w:val="none" w:sz="0" w:space="0" w:color="auto"/>
            <w:bottom w:val="none" w:sz="0" w:space="0" w:color="auto"/>
            <w:right w:val="none" w:sz="0" w:space="0" w:color="auto"/>
          </w:divBdr>
        </w:div>
        <w:div w:id="1873610740">
          <w:marLeft w:val="1166"/>
          <w:marRight w:val="0"/>
          <w:marTop w:val="120"/>
          <w:marBottom w:val="120"/>
          <w:divBdr>
            <w:top w:val="none" w:sz="0" w:space="0" w:color="auto"/>
            <w:left w:val="none" w:sz="0" w:space="0" w:color="auto"/>
            <w:bottom w:val="none" w:sz="0" w:space="0" w:color="auto"/>
            <w:right w:val="none" w:sz="0" w:space="0" w:color="auto"/>
          </w:divBdr>
        </w:div>
        <w:div w:id="1900628395">
          <w:marLeft w:val="1800"/>
          <w:marRight w:val="0"/>
          <w:marTop w:val="120"/>
          <w:marBottom w:val="120"/>
          <w:divBdr>
            <w:top w:val="none" w:sz="0" w:space="0" w:color="auto"/>
            <w:left w:val="none" w:sz="0" w:space="0" w:color="auto"/>
            <w:bottom w:val="none" w:sz="0" w:space="0" w:color="auto"/>
            <w:right w:val="none" w:sz="0" w:space="0" w:color="auto"/>
          </w:divBdr>
        </w:div>
        <w:div w:id="1921283899">
          <w:marLeft w:val="1800"/>
          <w:marRight w:val="0"/>
          <w:marTop w:val="120"/>
          <w:marBottom w:val="120"/>
          <w:divBdr>
            <w:top w:val="none" w:sz="0" w:space="0" w:color="auto"/>
            <w:left w:val="none" w:sz="0" w:space="0" w:color="auto"/>
            <w:bottom w:val="none" w:sz="0" w:space="0" w:color="auto"/>
            <w:right w:val="none" w:sz="0" w:space="0" w:color="auto"/>
          </w:divBdr>
        </w:div>
      </w:divsChild>
    </w:div>
    <w:div w:id="1400664355">
      <w:bodyDiv w:val="1"/>
      <w:marLeft w:val="0"/>
      <w:marRight w:val="0"/>
      <w:marTop w:val="0"/>
      <w:marBottom w:val="0"/>
      <w:divBdr>
        <w:top w:val="none" w:sz="0" w:space="0" w:color="auto"/>
        <w:left w:val="none" w:sz="0" w:space="0" w:color="auto"/>
        <w:bottom w:val="none" w:sz="0" w:space="0" w:color="auto"/>
        <w:right w:val="none" w:sz="0" w:space="0" w:color="auto"/>
      </w:divBdr>
    </w:div>
    <w:div w:id="1401367502">
      <w:bodyDiv w:val="1"/>
      <w:marLeft w:val="0"/>
      <w:marRight w:val="0"/>
      <w:marTop w:val="0"/>
      <w:marBottom w:val="0"/>
      <w:divBdr>
        <w:top w:val="none" w:sz="0" w:space="0" w:color="auto"/>
        <w:left w:val="none" w:sz="0" w:space="0" w:color="auto"/>
        <w:bottom w:val="none" w:sz="0" w:space="0" w:color="auto"/>
        <w:right w:val="none" w:sz="0" w:space="0" w:color="auto"/>
      </w:divBdr>
      <w:divsChild>
        <w:div w:id="178468615">
          <w:marLeft w:val="360"/>
          <w:marRight w:val="0"/>
          <w:marTop w:val="200"/>
          <w:marBottom w:val="0"/>
          <w:divBdr>
            <w:top w:val="none" w:sz="0" w:space="0" w:color="auto"/>
            <w:left w:val="none" w:sz="0" w:space="0" w:color="auto"/>
            <w:bottom w:val="none" w:sz="0" w:space="0" w:color="auto"/>
            <w:right w:val="none" w:sz="0" w:space="0" w:color="auto"/>
          </w:divBdr>
        </w:div>
        <w:div w:id="716123546">
          <w:marLeft w:val="2160"/>
          <w:marRight w:val="0"/>
          <w:marTop w:val="100"/>
          <w:marBottom w:val="0"/>
          <w:divBdr>
            <w:top w:val="none" w:sz="0" w:space="0" w:color="auto"/>
            <w:left w:val="none" w:sz="0" w:space="0" w:color="auto"/>
            <w:bottom w:val="none" w:sz="0" w:space="0" w:color="auto"/>
            <w:right w:val="none" w:sz="0" w:space="0" w:color="auto"/>
          </w:divBdr>
        </w:div>
        <w:div w:id="1704556948">
          <w:marLeft w:val="2160"/>
          <w:marRight w:val="0"/>
          <w:marTop w:val="100"/>
          <w:marBottom w:val="0"/>
          <w:divBdr>
            <w:top w:val="none" w:sz="0" w:space="0" w:color="auto"/>
            <w:left w:val="none" w:sz="0" w:space="0" w:color="auto"/>
            <w:bottom w:val="none" w:sz="0" w:space="0" w:color="auto"/>
            <w:right w:val="none" w:sz="0" w:space="0" w:color="auto"/>
          </w:divBdr>
        </w:div>
        <w:div w:id="1711150704">
          <w:marLeft w:val="1080"/>
          <w:marRight w:val="0"/>
          <w:marTop w:val="100"/>
          <w:marBottom w:val="0"/>
          <w:divBdr>
            <w:top w:val="none" w:sz="0" w:space="0" w:color="auto"/>
            <w:left w:val="none" w:sz="0" w:space="0" w:color="auto"/>
            <w:bottom w:val="none" w:sz="0" w:space="0" w:color="auto"/>
            <w:right w:val="none" w:sz="0" w:space="0" w:color="auto"/>
          </w:divBdr>
        </w:div>
      </w:divsChild>
    </w:div>
    <w:div w:id="1402175026">
      <w:bodyDiv w:val="1"/>
      <w:marLeft w:val="0"/>
      <w:marRight w:val="0"/>
      <w:marTop w:val="0"/>
      <w:marBottom w:val="0"/>
      <w:divBdr>
        <w:top w:val="none" w:sz="0" w:space="0" w:color="auto"/>
        <w:left w:val="none" w:sz="0" w:space="0" w:color="auto"/>
        <w:bottom w:val="none" w:sz="0" w:space="0" w:color="auto"/>
        <w:right w:val="none" w:sz="0" w:space="0" w:color="auto"/>
      </w:divBdr>
    </w:div>
    <w:div w:id="1402486198">
      <w:bodyDiv w:val="1"/>
      <w:marLeft w:val="0"/>
      <w:marRight w:val="0"/>
      <w:marTop w:val="0"/>
      <w:marBottom w:val="0"/>
      <w:divBdr>
        <w:top w:val="none" w:sz="0" w:space="0" w:color="auto"/>
        <w:left w:val="none" w:sz="0" w:space="0" w:color="auto"/>
        <w:bottom w:val="none" w:sz="0" w:space="0" w:color="auto"/>
        <w:right w:val="none" w:sz="0" w:space="0" w:color="auto"/>
      </w:divBdr>
      <w:divsChild>
        <w:div w:id="85539092">
          <w:marLeft w:val="1166"/>
          <w:marRight w:val="0"/>
          <w:marTop w:val="96"/>
          <w:marBottom w:val="0"/>
          <w:divBdr>
            <w:top w:val="none" w:sz="0" w:space="0" w:color="auto"/>
            <w:left w:val="none" w:sz="0" w:space="0" w:color="auto"/>
            <w:bottom w:val="none" w:sz="0" w:space="0" w:color="auto"/>
            <w:right w:val="none" w:sz="0" w:space="0" w:color="auto"/>
          </w:divBdr>
        </w:div>
        <w:div w:id="402679994">
          <w:marLeft w:val="1166"/>
          <w:marRight w:val="0"/>
          <w:marTop w:val="96"/>
          <w:marBottom w:val="0"/>
          <w:divBdr>
            <w:top w:val="none" w:sz="0" w:space="0" w:color="auto"/>
            <w:left w:val="none" w:sz="0" w:space="0" w:color="auto"/>
            <w:bottom w:val="none" w:sz="0" w:space="0" w:color="auto"/>
            <w:right w:val="none" w:sz="0" w:space="0" w:color="auto"/>
          </w:divBdr>
        </w:div>
        <w:div w:id="780687050">
          <w:marLeft w:val="1800"/>
          <w:marRight w:val="0"/>
          <w:marTop w:val="82"/>
          <w:marBottom w:val="0"/>
          <w:divBdr>
            <w:top w:val="none" w:sz="0" w:space="0" w:color="auto"/>
            <w:left w:val="none" w:sz="0" w:space="0" w:color="auto"/>
            <w:bottom w:val="none" w:sz="0" w:space="0" w:color="auto"/>
            <w:right w:val="none" w:sz="0" w:space="0" w:color="auto"/>
          </w:divBdr>
        </w:div>
        <w:div w:id="946616070">
          <w:marLeft w:val="547"/>
          <w:marRight w:val="0"/>
          <w:marTop w:val="106"/>
          <w:marBottom w:val="0"/>
          <w:divBdr>
            <w:top w:val="none" w:sz="0" w:space="0" w:color="auto"/>
            <w:left w:val="none" w:sz="0" w:space="0" w:color="auto"/>
            <w:bottom w:val="none" w:sz="0" w:space="0" w:color="auto"/>
            <w:right w:val="none" w:sz="0" w:space="0" w:color="auto"/>
          </w:divBdr>
        </w:div>
        <w:div w:id="1110200573">
          <w:marLeft w:val="1800"/>
          <w:marRight w:val="0"/>
          <w:marTop w:val="82"/>
          <w:marBottom w:val="0"/>
          <w:divBdr>
            <w:top w:val="none" w:sz="0" w:space="0" w:color="auto"/>
            <w:left w:val="none" w:sz="0" w:space="0" w:color="auto"/>
            <w:bottom w:val="none" w:sz="0" w:space="0" w:color="auto"/>
            <w:right w:val="none" w:sz="0" w:space="0" w:color="auto"/>
          </w:divBdr>
        </w:div>
        <w:div w:id="1140076330">
          <w:marLeft w:val="1166"/>
          <w:marRight w:val="0"/>
          <w:marTop w:val="96"/>
          <w:marBottom w:val="0"/>
          <w:divBdr>
            <w:top w:val="none" w:sz="0" w:space="0" w:color="auto"/>
            <w:left w:val="none" w:sz="0" w:space="0" w:color="auto"/>
            <w:bottom w:val="none" w:sz="0" w:space="0" w:color="auto"/>
            <w:right w:val="none" w:sz="0" w:space="0" w:color="auto"/>
          </w:divBdr>
        </w:div>
        <w:div w:id="1145977179">
          <w:marLeft w:val="1166"/>
          <w:marRight w:val="0"/>
          <w:marTop w:val="96"/>
          <w:marBottom w:val="0"/>
          <w:divBdr>
            <w:top w:val="none" w:sz="0" w:space="0" w:color="auto"/>
            <w:left w:val="none" w:sz="0" w:space="0" w:color="auto"/>
            <w:bottom w:val="none" w:sz="0" w:space="0" w:color="auto"/>
            <w:right w:val="none" w:sz="0" w:space="0" w:color="auto"/>
          </w:divBdr>
        </w:div>
        <w:div w:id="1270162734">
          <w:marLeft w:val="1800"/>
          <w:marRight w:val="0"/>
          <w:marTop w:val="82"/>
          <w:marBottom w:val="0"/>
          <w:divBdr>
            <w:top w:val="none" w:sz="0" w:space="0" w:color="auto"/>
            <w:left w:val="none" w:sz="0" w:space="0" w:color="auto"/>
            <w:bottom w:val="none" w:sz="0" w:space="0" w:color="auto"/>
            <w:right w:val="none" w:sz="0" w:space="0" w:color="auto"/>
          </w:divBdr>
        </w:div>
        <w:div w:id="1393427533">
          <w:marLeft w:val="1800"/>
          <w:marRight w:val="0"/>
          <w:marTop w:val="82"/>
          <w:marBottom w:val="0"/>
          <w:divBdr>
            <w:top w:val="none" w:sz="0" w:space="0" w:color="auto"/>
            <w:left w:val="none" w:sz="0" w:space="0" w:color="auto"/>
            <w:bottom w:val="none" w:sz="0" w:space="0" w:color="auto"/>
            <w:right w:val="none" w:sz="0" w:space="0" w:color="auto"/>
          </w:divBdr>
        </w:div>
        <w:div w:id="1606227098">
          <w:marLeft w:val="1166"/>
          <w:marRight w:val="0"/>
          <w:marTop w:val="96"/>
          <w:marBottom w:val="0"/>
          <w:divBdr>
            <w:top w:val="none" w:sz="0" w:space="0" w:color="auto"/>
            <w:left w:val="none" w:sz="0" w:space="0" w:color="auto"/>
            <w:bottom w:val="none" w:sz="0" w:space="0" w:color="auto"/>
            <w:right w:val="none" w:sz="0" w:space="0" w:color="auto"/>
          </w:divBdr>
        </w:div>
        <w:div w:id="1616407763">
          <w:marLeft w:val="1800"/>
          <w:marRight w:val="0"/>
          <w:marTop w:val="82"/>
          <w:marBottom w:val="0"/>
          <w:divBdr>
            <w:top w:val="none" w:sz="0" w:space="0" w:color="auto"/>
            <w:left w:val="none" w:sz="0" w:space="0" w:color="auto"/>
            <w:bottom w:val="none" w:sz="0" w:space="0" w:color="auto"/>
            <w:right w:val="none" w:sz="0" w:space="0" w:color="auto"/>
          </w:divBdr>
        </w:div>
        <w:div w:id="1632710519">
          <w:marLeft w:val="1166"/>
          <w:marRight w:val="0"/>
          <w:marTop w:val="96"/>
          <w:marBottom w:val="0"/>
          <w:divBdr>
            <w:top w:val="none" w:sz="0" w:space="0" w:color="auto"/>
            <w:left w:val="none" w:sz="0" w:space="0" w:color="auto"/>
            <w:bottom w:val="none" w:sz="0" w:space="0" w:color="auto"/>
            <w:right w:val="none" w:sz="0" w:space="0" w:color="auto"/>
          </w:divBdr>
        </w:div>
        <w:div w:id="1727685767">
          <w:marLeft w:val="1166"/>
          <w:marRight w:val="0"/>
          <w:marTop w:val="96"/>
          <w:marBottom w:val="0"/>
          <w:divBdr>
            <w:top w:val="none" w:sz="0" w:space="0" w:color="auto"/>
            <w:left w:val="none" w:sz="0" w:space="0" w:color="auto"/>
            <w:bottom w:val="none" w:sz="0" w:space="0" w:color="auto"/>
            <w:right w:val="none" w:sz="0" w:space="0" w:color="auto"/>
          </w:divBdr>
        </w:div>
      </w:divsChild>
    </w:div>
    <w:div w:id="1404521653">
      <w:bodyDiv w:val="1"/>
      <w:marLeft w:val="0"/>
      <w:marRight w:val="0"/>
      <w:marTop w:val="0"/>
      <w:marBottom w:val="0"/>
      <w:divBdr>
        <w:top w:val="none" w:sz="0" w:space="0" w:color="auto"/>
        <w:left w:val="none" w:sz="0" w:space="0" w:color="auto"/>
        <w:bottom w:val="none" w:sz="0" w:space="0" w:color="auto"/>
        <w:right w:val="none" w:sz="0" w:space="0" w:color="auto"/>
      </w:divBdr>
    </w:div>
    <w:div w:id="1404525353">
      <w:bodyDiv w:val="1"/>
      <w:marLeft w:val="0"/>
      <w:marRight w:val="0"/>
      <w:marTop w:val="0"/>
      <w:marBottom w:val="0"/>
      <w:divBdr>
        <w:top w:val="none" w:sz="0" w:space="0" w:color="auto"/>
        <w:left w:val="none" w:sz="0" w:space="0" w:color="auto"/>
        <w:bottom w:val="none" w:sz="0" w:space="0" w:color="auto"/>
        <w:right w:val="none" w:sz="0" w:space="0" w:color="auto"/>
      </w:divBdr>
    </w:div>
    <w:div w:id="1405839375">
      <w:bodyDiv w:val="1"/>
      <w:marLeft w:val="0"/>
      <w:marRight w:val="0"/>
      <w:marTop w:val="0"/>
      <w:marBottom w:val="0"/>
      <w:divBdr>
        <w:top w:val="none" w:sz="0" w:space="0" w:color="auto"/>
        <w:left w:val="none" w:sz="0" w:space="0" w:color="auto"/>
        <w:bottom w:val="none" w:sz="0" w:space="0" w:color="auto"/>
        <w:right w:val="none" w:sz="0" w:space="0" w:color="auto"/>
      </w:divBdr>
    </w:div>
    <w:div w:id="1406107236">
      <w:bodyDiv w:val="1"/>
      <w:marLeft w:val="0"/>
      <w:marRight w:val="0"/>
      <w:marTop w:val="0"/>
      <w:marBottom w:val="0"/>
      <w:divBdr>
        <w:top w:val="none" w:sz="0" w:space="0" w:color="auto"/>
        <w:left w:val="none" w:sz="0" w:space="0" w:color="auto"/>
        <w:bottom w:val="none" w:sz="0" w:space="0" w:color="auto"/>
        <w:right w:val="none" w:sz="0" w:space="0" w:color="auto"/>
      </w:divBdr>
    </w:div>
    <w:div w:id="1407072910">
      <w:bodyDiv w:val="1"/>
      <w:marLeft w:val="0"/>
      <w:marRight w:val="0"/>
      <w:marTop w:val="0"/>
      <w:marBottom w:val="0"/>
      <w:divBdr>
        <w:top w:val="none" w:sz="0" w:space="0" w:color="auto"/>
        <w:left w:val="none" w:sz="0" w:space="0" w:color="auto"/>
        <w:bottom w:val="none" w:sz="0" w:space="0" w:color="auto"/>
        <w:right w:val="none" w:sz="0" w:space="0" w:color="auto"/>
      </w:divBdr>
    </w:div>
    <w:div w:id="1407652593">
      <w:bodyDiv w:val="1"/>
      <w:marLeft w:val="0"/>
      <w:marRight w:val="0"/>
      <w:marTop w:val="0"/>
      <w:marBottom w:val="0"/>
      <w:divBdr>
        <w:top w:val="none" w:sz="0" w:space="0" w:color="auto"/>
        <w:left w:val="none" w:sz="0" w:space="0" w:color="auto"/>
        <w:bottom w:val="none" w:sz="0" w:space="0" w:color="auto"/>
        <w:right w:val="none" w:sz="0" w:space="0" w:color="auto"/>
      </w:divBdr>
      <w:divsChild>
        <w:div w:id="278463256">
          <w:marLeft w:val="1166"/>
          <w:marRight w:val="0"/>
          <w:marTop w:val="106"/>
          <w:marBottom w:val="0"/>
          <w:divBdr>
            <w:top w:val="none" w:sz="0" w:space="0" w:color="auto"/>
            <w:left w:val="none" w:sz="0" w:space="0" w:color="auto"/>
            <w:bottom w:val="none" w:sz="0" w:space="0" w:color="auto"/>
            <w:right w:val="none" w:sz="0" w:space="0" w:color="auto"/>
          </w:divBdr>
        </w:div>
        <w:div w:id="834567662">
          <w:marLeft w:val="547"/>
          <w:marRight w:val="0"/>
          <w:marTop w:val="120"/>
          <w:marBottom w:val="0"/>
          <w:divBdr>
            <w:top w:val="none" w:sz="0" w:space="0" w:color="auto"/>
            <w:left w:val="none" w:sz="0" w:space="0" w:color="auto"/>
            <w:bottom w:val="none" w:sz="0" w:space="0" w:color="auto"/>
            <w:right w:val="none" w:sz="0" w:space="0" w:color="auto"/>
          </w:divBdr>
        </w:div>
        <w:div w:id="838040075">
          <w:marLeft w:val="547"/>
          <w:marRight w:val="0"/>
          <w:marTop w:val="120"/>
          <w:marBottom w:val="0"/>
          <w:divBdr>
            <w:top w:val="none" w:sz="0" w:space="0" w:color="auto"/>
            <w:left w:val="none" w:sz="0" w:space="0" w:color="auto"/>
            <w:bottom w:val="none" w:sz="0" w:space="0" w:color="auto"/>
            <w:right w:val="none" w:sz="0" w:space="0" w:color="auto"/>
          </w:divBdr>
        </w:div>
        <w:div w:id="858003094">
          <w:marLeft w:val="547"/>
          <w:marRight w:val="0"/>
          <w:marTop w:val="120"/>
          <w:marBottom w:val="0"/>
          <w:divBdr>
            <w:top w:val="none" w:sz="0" w:space="0" w:color="auto"/>
            <w:left w:val="none" w:sz="0" w:space="0" w:color="auto"/>
            <w:bottom w:val="none" w:sz="0" w:space="0" w:color="auto"/>
            <w:right w:val="none" w:sz="0" w:space="0" w:color="auto"/>
          </w:divBdr>
        </w:div>
        <w:div w:id="1307004832">
          <w:marLeft w:val="547"/>
          <w:marRight w:val="0"/>
          <w:marTop w:val="120"/>
          <w:marBottom w:val="0"/>
          <w:divBdr>
            <w:top w:val="none" w:sz="0" w:space="0" w:color="auto"/>
            <w:left w:val="none" w:sz="0" w:space="0" w:color="auto"/>
            <w:bottom w:val="none" w:sz="0" w:space="0" w:color="auto"/>
            <w:right w:val="none" w:sz="0" w:space="0" w:color="auto"/>
          </w:divBdr>
        </w:div>
      </w:divsChild>
    </w:div>
    <w:div w:id="1408185528">
      <w:bodyDiv w:val="1"/>
      <w:marLeft w:val="0"/>
      <w:marRight w:val="0"/>
      <w:marTop w:val="0"/>
      <w:marBottom w:val="0"/>
      <w:divBdr>
        <w:top w:val="none" w:sz="0" w:space="0" w:color="auto"/>
        <w:left w:val="none" w:sz="0" w:space="0" w:color="auto"/>
        <w:bottom w:val="none" w:sz="0" w:space="0" w:color="auto"/>
        <w:right w:val="none" w:sz="0" w:space="0" w:color="auto"/>
      </w:divBdr>
    </w:div>
    <w:div w:id="1408654500">
      <w:bodyDiv w:val="1"/>
      <w:marLeft w:val="0"/>
      <w:marRight w:val="0"/>
      <w:marTop w:val="0"/>
      <w:marBottom w:val="0"/>
      <w:divBdr>
        <w:top w:val="none" w:sz="0" w:space="0" w:color="auto"/>
        <w:left w:val="none" w:sz="0" w:space="0" w:color="auto"/>
        <w:bottom w:val="none" w:sz="0" w:space="0" w:color="auto"/>
        <w:right w:val="none" w:sz="0" w:space="0" w:color="auto"/>
      </w:divBdr>
    </w:div>
    <w:div w:id="1408838577">
      <w:bodyDiv w:val="1"/>
      <w:marLeft w:val="0"/>
      <w:marRight w:val="0"/>
      <w:marTop w:val="0"/>
      <w:marBottom w:val="0"/>
      <w:divBdr>
        <w:top w:val="none" w:sz="0" w:space="0" w:color="auto"/>
        <w:left w:val="none" w:sz="0" w:space="0" w:color="auto"/>
        <w:bottom w:val="none" w:sz="0" w:space="0" w:color="auto"/>
        <w:right w:val="none" w:sz="0" w:space="0" w:color="auto"/>
      </w:divBdr>
      <w:divsChild>
        <w:div w:id="163983806">
          <w:marLeft w:val="547"/>
          <w:marRight w:val="0"/>
          <w:marTop w:val="115"/>
          <w:marBottom w:val="0"/>
          <w:divBdr>
            <w:top w:val="none" w:sz="0" w:space="0" w:color="auto"/>
            <w:left w:val="none" w:sz="0" w:space="0" w:color="auto"/>
            <w:bottom w:val="none" w:sz="0" w:space="0" w:color="auto"/>
            <w:right w:val="none" w:sz="0" w:space="0" w:color="auto"/>
          </w:divBdr>
        </w:div>
        <w:div w:id="485516137">
          <w:marLeft w:val="1166"/>
          <w:marRight w:val="0"/>
          <w:marTop w:val="115"/>
          <w:marBottom w:val="0"/>
          <w:divBdr>
            <w:top w:val="none" w:sz="0" w:space="0" w:color="auto"/>
            <w:left w:val="none" w:sz="0" w:space="0" w:color="auto"/>
            <w:bottom w:val="none" w:sz="0" w:space="0" w:color="auto"/>
            <w:right w:val="none" w:sz="0" w:space="0" w:color="auto"/>
          </w:divBdr>
        </w:div>
        <w:div w:id="732196242">
          <w:marLeft w:val="1166"/>
          <w:marRight w:val="0"/>
          <w:marTop w:val="115"/>
          <w:marBottom w:val="0"/>
          <w:divBdr>
            <w:top w:val="none" w:sz="0" w:space="0" w:color="auto"/>
            <w:left w:val="none" w:sz="0" w:space="0" w:color="auto"/>
            <w:bottom w:val="none" w:sz="0" w:space="0" w:color="auto"/>
            <w:right w:val="none" w:sz="0" w:space="0" w:color="auto"/>
          </w:divBdr>
        </w:div>
        <w:div w:id="759132858">
          <w:marLeft w:val="1166"/>
          <w:marRight w:val="0"/>
          <w:marTop w:val="115"/>
          <w:marBottom w:val="0"/>
          <w:divBdr>
            <w:top w:val="none" w:sz="0" w:space="0" w:color="auto"/>
            <w:left w:val="none" w:sz="0" w:space="0" w:color="auto"/>
            <w:bottom w:val="none" w:sz="0" w:space="0" w:color="auto"/>
            <w:right w:val="none" w:sz="0" w:space="0" w:color="auto"/>
          </w:divBdr>
        </w:div>
      </w:divsChild>
    </w:div>
    <w:div w:id="1411123881">
      <w:bodyDiv w:val="1"/>
      <w:marLeft w:val="0"/>
      <w:marRight w:val="0"/>
      <w:marTop w:val="0"/>
      <w:marBottom w:val="0"/>
      <w:divBdr>
        <w:top w:val="none" w:sz="0" w:space="0" w:color="auto"/>
        <w:left w:val="none" w:sz="0" w:space="0" w:color="auto"/>
        <w:bottom w:val="none" w:sz="0" w:space="0" w:color="auto"/>
        <w:right w:val="none" w:sz="0" w:space="0" w:color="auto"/>
      </w:divBdr>
    </w:div>
    <w:div w:id="1411583337">
      <w:bodyDiv w:val="1"/>
      <w:marLeft w:val="0"/>
      <w:marRight w:val="0"/>
      <w:marTop w:val="0"/>
      <w:marBottom w:val="0"/>
      <w:divBdr>
        <w:top w:val="none" w:sz="0" w:space="0" w:color="auto"/>
        <w:left w:val="none" w:sz="0" w:space="0" w:color="auto"/>
        <w:bottom w:val="none" w:sz="0" w:space="0" w:color="auto"/>
        <w:right w:val="none" w:sz="0" w:space="0" w:color="auto"/>
      </w:divBdr>
    </w:div>
    <w:div w:id="1412584349">
      <w:bodyDiv w:val="1"/>
      <w:marLeft w:val="0"/>
      <w:marRight w:val="0"/>
      <w:marTop w:val="0"/>
      <w:marBottom w:val="0"/>
      <w:divBdr>
        <w:top w:val="none" w:sz="0" w:space="0" w:color="auto"/>
        <w:left w:val="none" w:sz="0" w:space="0" w:color="auto"/>
        <w:bottom w:val="none" w:sz="0" w:space="0" w:color="auto"/>
        <w:right w:val="none" w:sz="0" w:space="0" w:color="auto"/>
      </w:divBdr>
    </w:div>
    <w:div w:id="1412896071">
      <w:bodyDiv w:val="1"/>
      <w:marLeft w:val="0"/>
      <w:marRight w:val="0"/>
      <w:marTop w:val="0"/>
      <w:marBottom w:val="0"/>
      <w:divBdr>
        <w:top w:val="none" w:sz="0" w:space="0" w:color="auto"/>
        <w:left w:val="none" w:sz="0" w:space="0" w:color="auto"/>
        <w:bottom w:val="none" w:sz="0" w:space="0" w:color="auto"/>
        <w:right w:val="none" w:sz="0" w:space="0" w:color="auto"/>
      </w:divBdr>
    </w:div>
    <w:div w:id="1414080800">
      <w:bodyDiv w:val="1"/>
      <w:marLeft w:val="0"/>
      <w:marRight w:val="0"/>
      <w:marTop w:val="0"/>
      <w:marBottom w:val="0"/>
      <w:divBdr>
        <w:top w:val="none" w:sz="0" w:space="0" w:color="auto"/>
        <w:left w:val="none" w:sz="0" w:space="0" w:color="auto"/>
        <w:bottom w:val="none" w:sz="0" w:space="0" w:color="auto"/>
        <w:right w:val="none" w:sz="0" w:space="0" w:color="auto"/>
      </w:divBdr>
    </w:div>
    <w:div w:id="1414401132">
      <w:bodyDiv w:val="1"/>
      <w:marLeft w:val="0"/>
      <w:marRight w:val="0"/>
      <w:marTop w:val="0"/>
      <w:marBottom w:val="0"/>
      <w:divBdr>
        <w:top w:val="none" w:sz="0" w:space="0" w:color="auto"/>
        <w:left w:val="none" w:sz="0" w:space="0" w:color="auto"/>
        <w:bottom w:val="none" w:sz="0" w:space="0" w:color="auto"/>
        <w:right w:val="none" w:sz="0" w:space="0" w:color="auto"/>
      </w:divBdr>
    </w:div>
    <w:div w:id="1415324383">
      <w:bodyDiv w:val="1"/>
      <w:marLeft w:val="0"/>
      <w:marRight w:val="0"/>
      <w:marTop w:val="0"/>
      <w:marBottom w:val="0"/>
      <w:divBdr>
        <w:top w:val="none" w:sz="0" w:space="0" w:color="auto"/>
        <w:left w:val="none" w:sz="0" w:space="0" w:color="auto"/>
        <w:bottom w:val="none" w:sz="0" w:space="0" w:color="auto"/>
        <w:right w:val="none" w:sz="0" w:space="0" w:color="auto"/>
      </w:divBdr>
    </w:div>
    <w:div w:id="1415978583">
      <w:bodyDiv w:val="1"/>
      <w:marLeft w:val="0"/>
      <w:marRight w:val="0"/>
      <w:marTop w:val="0"/>
      <w:marBottom w:val="0"/>
      <w:divBdr>
        <w:top w:val="none" w:sz="0" w:space="0" w:color="auto"/>
        <w:left w:val="none" w:sz="0" w:space="0" w:color="auto"/>
        <w:bottom w:val="none" w:sz="0" w:space="0" w:color="auto"/>
        <w:right w:val="none" w:sz="0" w:space="0" w:color="auto"/>
      </w:divBdr>
    </w:div>
    <w:div w:id="1416978298">
      <w:bodyDiv w:val="1"/>
      <w:marLeft w:val="0"/>
      <w:marRight w:val="0"/>
      <w:marTop w:val="0"/>
      <w:marBottom w:val="0"/>
      <w:divBdr>
        <w:top w:val="none" w:sz="0" w:space="0" w:color="auto"/>
        <w:left w:val="none" w:sz="0" w:space="0" w:color="auto"/>
        <w:bottom w:val="none" w:sz="0" w:space="0" w:color="auto"/>
        <w:right w:val="none" w:sz="0" w:space="0" w:color="auto"/>
      </w:divBdr>
      <w:divsChild>
        <w:div w:id="688525573">
          <w:marLeft w:val="1800"/>
          <w:marRight w:val="0"/>
          <w:marTop w:val="67"/>
          <w:marBottom w:val="0"/>
          <w:divBdr>
            <w:top w:val="none" w:sz="0" w:space="0" w:color="auto"/>
            <w:left w:val="none" w:sz="0" w:space="0" w:color="auto"/>
            <w:bottom w:val="none" w:sz="0" w:space="0" w:color="auto"/>
            <w:right w:val="none" w:sz="0" w:space="0" w:color="auto"/>
          </w:divBdr>
        </w:div>
        <w:div w:id="724376792">
          <w:marLeft w:val="1166"/>
          <w:marRight w:val="0"/>
          <w:marTop w:val="77"/>
          <w:marBottom w:val="0"/>
          <w:divBdr>
            <w:top w:val="none" w:sz="0" w:space="0" w:color="auto"/>
            <w:left w:val="none" w:sz="0" w:space="0" w:color="auto"/>
            <w:bottom w:val="none" w:sz="0" w:space="0" w:color="auto"/>
            <w:right w:val="none" w:sz="0" w:space="0" w:color="auto"/>
          </w:divBdr>
        </w:div>
        <w:div w:id="1249729555">
          <w:marLeft w:val="1800"/>
          <w:marRight w:val="0"/>
          <w:marTop w:val="67"/>
          <w:marBottom w:val="0"/>
          <w:divBdr>
            <w:top w:val="none" w:sz="0" w:space="0" w:color="auto"/>
            <w:left w:val="none" w:sz="0" w:space="0" w:color="auto"/>
            <w:bottom w:val="none" w:sz="0" w:space="0" w:color="auto"/>
            <w:right w:val="none" w:sz="0" w:space="0" w:color="auto"/>
          </w:divBdr>
        </w:div>
        <w:div w:id="1326318356">
          <w:marLeft w:val="547"/>
          <w:marRight w:val="0"/>
          <w:marTop w:val="86"/>
          <w:marBottom w:val="0"/>
          <w:divBdr>
            <w:top w:val="none" w:sz="0" w:space="0" w:color="auto"/>
            <w:left w:val="none" w:sz="0" w:space="0" w:color="auto"/>
            <w:bottom w:val="none" w:sz="0" w:space="0" w:color="auto"/>
            <w:right w:val="none" w:sz="0" w:space="0" w:color="auto"/>
          </w:divBdr>
        </w:div>
        <w:div w:id="1416628320">
          <w:marLeft w:val="1800"/>
          <w:marRight w:val="0"/>
          <w:marTop w:val="67"/>
          <w:marBottom w:val="0"/>
          <w:divBdr>
            <w:top w:val="none" w:sz="0" w:space="0" w:color="auto"/>
            <w:left w:val="none" w:sz="0" w:space="0" w:color="auto"/>
            <w:bottom w:val="none" w:sz="0" w:space="0" w:color="auto"/>
            <w:right w:val="none" w:sz="0" w:space="0" w:color="auto"/>
          </w:divBdr>
        </w:div>
        <w:div w:id="1568417292">
          <w:marLeft w:val="1800"/>
          <w:marRight w:val="0"/>
          <w:marTop w:val="67"/>
          <w:marBottom w:val="0"/>
          <w:divBdr>
            <w:top w:val="none" w:sz="0" w:space="0" w:color="auto"/>
            <w:left w:val="none" w:sz="0" w:space="0" w:color="auto"/>
            <w:bottom w:val="none" w:sz="0" w:space="0" w:color="auto"/>
            <w:right w:val="none" w:sz="0" w:space="0" w:color="auto"/>
          </w:divBdr>
        </w:div>
        <w:div w:id="1687635766">
          <w:marLeft w:val="1166"/>
          <w:marRight w:val="0"/>
          <w:marTop w:val="86"/>
          <w:marBottom w:val="0"/>
          <w:divBdr>
            <w:top w:val="none" w:sz="0" w:space="0" w:color="auto"/>
            <w:left w:val="none" w:sz="0" w:space="0" w:color="auto"/>
            <w:bottom w:val="none" w:sz="0" w:space="0" w:color="auto"/>
            <w:right w:val="none" w:sz="0" w:space="0" w:color="auto"/>
          </w:divBdr>
        </w:div>
      </w:divsChild>
    </w:div>
    <w:div w:id="1417703921">
      <w:bodyDiv w:val="1"/>
      <w:marLeft w:val="0"/>
      <w:marRight w:val="0"/>
      <w:marTop w:val="0"/>
      <w:marBottom w:val="0"/>
      <w:divBdr>
        <w:top w:val="none" w:sz="0" w:space="0" w:color="auto"/>
        <w:left w:val="none" w:sz="0" w:space="0" w:color="auto"/>
        <w:bottom w:val="none" w:sz="0" w:space="0" w:color="auto"/>
        <w:right w:val="none" w:sz="0" w:space="0" w:color="auto"/>
      </w:divBdr>
    </w:div>
    <w:div w:id="1418282338">
      <w:bodyDiv w:val="1"/>
      <w:marLeft w:val="0"/>
      <w:marRight w:val="0"/>
      <w:marTop w:val="0"/>
      <w:marBottom w:val="0"/>
      <w:divBdr>
        <w:top w:val="none" w:sz="0" w:space="0" w:color="auto"/>
        <w:left w:val="none" w:sz="0" w:space="0" w:color="auto"/>
        <w:bottom w:val="none" w:sz="0" w:space="0" w:color="auto"/>
        <w:right w:val="none" w:sz="0" w:space="0" w:color="auto"/>
      </w:divBdr>
    </w:div>
    <w:div w:id="1420829528">
      <w:bodyDiv w:val="1"/>
      <w:marLeft w:val="0"/>
      <w:marRight w:val="0"/>
      <w:marTop w:val="0"/>
      <w:marBottom w:val="0"/>
      <w:divBdr>
        <w:top w:val="none" w:sz="0" w:space="0" w:color="auto"/>
        <w:left w:val="none" w:sz="0" w:space="0" w:color="auto"/>
        <w:bottom w:val="none" w:sz="0" w:space="0" w:color="auto"/>
        <w:right w:val="none" w:sz="0" w:space="0" w:color="auto"/>
      </w:divBdr>
    </w:div>
    <w:div w:id="1421180545">
      <w:bodyDiv w:val="1"/>
      <w:marLeft w:val="0"/>
      <w:marRight w:val="0"/>
      <w:marTop w:val="0"/>
      <w:marBottom w:val="0"/>
      <w:divBdr>
        <w:top w:val="none" w:sz="0" w:space="0" w:color="auto"/>
        <w:left w:val="none" w:sz="0" w:space="0" w:color="auto"/>
        <w:bottom w:val="none" w:sz="0" w:space="0" w:color="auto"/>
        <w:right w:val="none" w:sz="0" w:space="0" w:color="auto"/>
      </w:divBdr>
    </w:div>
    <w:div w:id="1422070468">
      <w:bodyDiv w:val="1"/>
      <w:marLeft w:val="0"/>
      <w:marRight w:val="0"/>
      <w:marTop w:val="0"/>
      <w:marBottom w:val="0"/>
      <w:divBdr>
        <w:top w:val="none" w:sz="0" w:space="0" w:color="auto"/>
        <w:left w:val="none" w:sz="0" w:space="0" w:color="auto"/>
        <w:bottom w:val="none" w:sz="0" w:space="0" w:color="auto"/>
        <w:right w:val="none" w:sz="0" w:space="0" w:color="auto"/>
      </w:divBdr>
      <w:divsChild>
        <w:div w:id="642394561">
          <w:marLeft w:val="547"/>
          <w:marRight w:val="0"/>
          <w:marTop w:val="134"/>
          <w:marBottom w:val="0"/>
          <w:divBdr>
            <w:top w:val="none" w:sz="0" w:space="0" w:color="auto"/>
            <w:left w:val="none" w:sz="0" w:space="0" w:color="auto"/>
            <w:bottom w:val="none" w:sz="0" w:space="0" w:color="auto"/>
            <w:right w:val="none" w:sz="0" w:space="0" w:color="auto"/>
          </w:divBdr>
        </w:div>
      </w:divsChild>
    </w:div>
    <w:div w:id="1425296030">
      <w:bodyDiv w:val="1"/>
      <w:marLeft w:val="0"/>
      <w:marRight w:val="0"/>
      <w:marTop w:val="0"/>
      <w:marBottom w:val="0"/>
      <w:divBdr>
        <w:top w:val="none" w:sz="0" w:space="0" w:color="auto"/>
        <w:left w:val="none" w:sz="0" w:space="0" w:color="auto"/>
        <w:bottom w:val="none" w:sz="0" w:space="0" w:color="auto"/>
        <w:right w:val="none" w:sz="0" w:space="0" w:color="auto"/>
      </w:divBdr>
      <w:divsChild>
        <w:div w:id="760297661">
          <w:marLeft w:val="1166"/>
          <w:marRight w:val="0"/>
          <w:marTop w:val="120"/>
          <w:marBottom w:val="120"/>
          <w:divBdr>
            <w:top w:val="none" w:sz="0" w:space="0" w:color="auto"/>
            <w:left w:val="none" w:sz="0" w:space="0" w:color="auto"/>
            <w:bottom w:val="none" w:sz="0" w:space="0" w:color="auto"/>
            <w:right w:val="none" w:sz="0" w:space="0" w:color="auto"/>
          </w:divBdr>
        </w:div>
        <w:div w:id="1111899688">
          <w:marLeft w:val="547"/>
          <w:marRight w:val="0"/>
          <w:marTop w:val="115"/>
          <w:marBottom w:val="0"/>
          <w:divBdr>
            <w:top w:val="none" w:sz="0" w:space="0" w:color="auto"/>
            <w:left w:val="none" w:sz="0" w:space="0" w:color="auto"/>
            <w:bottom w:val="none" w:sz="0" w:space="0" w:color="auto"/>
            <w:right w:val="none" w:sz="0" w:space="0" w:color="auto"/>
          </w:divBdr>
        </w:div>
        <w:div w:id="1692687537">
          <w:marLeft w:val="547"/>
          <w:marRight w:val="0"/>
          <w:marTop w:val="120"/>
          <w:marBottom w:val="120"/>
          <w:divBdr>
            <w:top w:val="none" w:sz="0" w:space="0" w:color="auto"/>
            <w:left w:val="none" w:sz="0" w:space="0" w:color="auto"/>
            <w:bottom w:val="none" w:sz="0" w:space="0" w:color="auto"/>
            <w:right w:val="none" w:sz="0" w:space="0" w:color="auto"/>
          </w:divBdr>
        </w:div>
        <w:div w:id="1889032422">
          <w:marLeft w:val="547"/>
          <w:marRight w:val="0"/>
          <w:marTop w:val="115"/>
          <w:marBottom w:val="0"/>
          <w:divBdr>
            <w:top w:val="none" w:sz="0" w:space="0" w:color="auto"/>
            <w:left w:val="none" w:sz="0" w:space="0" w:color="auto"/>
            <w:bottom w:val="none" w:sz="0" w:space="0" w:color="auto"/>
            <w:right w:val="none" w:sz="0" w:space="0" w:color="auto"/>
          </w:divBdr>
        </w:div>
      </w:divsChild>
    </w:div>
    <w:div w:id="1425884452">
      <w:bodyDiv w:val="1"/>
      <w:marLeft w:val="0"/>
      <w:marRight w:val="0"/>
      <w:marTop w:val="0"/>
      <w:marBottom w:val="0"/>
      <w:divBdr>
        <w:top w:val="none" w:sz="0" w:space="0" w:color="auto"/>
        <w:left w:val="none" w:sz="0" w:space="0" w:color="auto"/>
        <w:bottom w:val="none" w:sz="0" w:space="0" w:color="auto"/>
        <w:right w:val="none" w:sz="0" w:space="0" w:color="auto"/>
      </w:divBdr>
    </w:div>
    <w:div w:id="1425960191">
      <w:bodyDiv w:val="1"/>
      <w:marLeft w:val="0"/>
      <w:marRight w:val="0"/>
      <w:marTop w:val="0"/>
      <w:marBottom w:val="0"/>
      <w:divBdr>
        <w:top w:val="none" w:sz="0" w:space="0" w:color="auto"/>
        <w:left w:val="none" w:sz="0" w:space="0" w:color="auto"/>
        <w:bottom w:val="none" w:sz="0" w:space="0" w:color="auto"/>
        <w:right w:val="none" w:sz="0" w:space="0" w:color="auto"/>
      </w:divBdr>
    </w:div>
    <w:div w:id="1426607801">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29424890">
      <w:bodyDiv w:val="1"/>
      <w:marLeft w:val="0"/>
      <w:marRight w:val="0"/>
      <w:marTop w:val="0"/>
      <w:marBottom w:val="0"/>
      <w:divBdr>
        <w:top w:val="none" w:sz="0" w:space="0" w:color="auto"/>
        <w:left w:val="none" w:sz="0" w:space="0" w:color="auto"/>
        <w:bottom w:val="none" w:sz="0" w:space="0" w:color="auto"/>
        <w:right w:val="none" w:sz="0" w:space="0" w:color="auto"/>
      </w:divBdr>
    </w:div>
    <w:div w:id="1430202935">
      <w:bodyDiv w:val="1"/>
      <w:marLeft w:val="0"/>
      <w:marRight w:val="0"/>
      <w:marTop w:val="0"/>
      <w:marBottom w:val="0"/>
      <w:divBdr>
        <w:top w:val="none" w:sz="0" w:space="0" w:color="auto"/>
        <w:left w:val="none" w:sz="0" w:space="0" w:color="auto"/>
        <w:bottom w:val="none" w:sz="0" w:space="0" w:color="auto"/>
        <w:right w:val="none" w:sz="0" w:space="0" w:color="auto"/>
      </w:divBdr>
    </w:div>
    <w:div w:id="1430392923">
      <w:bodyDiv w:val="1"/>
      <w:marLeft w:val="0"/>
      <w:marRight w:val="0"/>
      <w:marTop w:val="0"/>
      <w:marBottom w:val="0"/>
      <w:divBdr>
        <w:top w:val="none" w:sz="0" w:space="0" w:color="auto"/>
        <w:left w:val="none" w:sz="0" w:space="0" w:color="auto"/>
        <w:bottom w:val="none" w:sz="0" w:space="0" w:color="auto"/>
        <w:right w:val="none" w:sz="0" w:space="0" w:color="auto"/>
      </w:divBdr>
    </w:div>
    <w:div w:id="1430733275">
      <w:bodyDiv w:val="1"/>
      <w:marLeft w:val="0"/>
      <w:marRight w:val="0"/>
      <w:marTop w:val="0"/>
      <w:marBottom w:val="0"/>
      <w:divBdr>
        <w:top w:val="none" w:sz="0" w:space="0" w:color="auto"/>
        <w:left w:val="none" w:sz="0" w:space="0" w:color="auto"/>
        <w:bottom w:val="none" w:sz="0" w:space="0" w:color="auto"/>
        <w:right w:val="none" w:sz="0" w:space="0" w:color="auto"/>
      </w:divBdr>
    </w:div>
    <w:div w:id="1431659914">
      <w:bodyDiv w:val="1"/>
      <w:marLeft w:val="0"/>
      <w:marRight w:val="0"/>
      <w:marTop w:val="0"/>
      <w:marBottom w:val="0"/>
      <w:divBdr>
        <w:top w:val="none" w:sz="0" w:space="0" w:color="auto"/>
        <w:left w:val="none" w:sz="0" w:space="0" w:color="auto"/>
        <w:bottom w:val="none" w:sz="0" w:space="0" w:color="auto"/>
        <w:right w:val="none" w:sz="0" w:space="0" w:color="auto"/>
      </w:divBdr>
    </w:div>
    <w:div w:id="1433817824">
      <w:bodyDiv w:val="1"/>
      <w:marLeft w:val="0"/>
      <w:marRight w:val="0"/>
      <w:marTop w:val="0"/>
      <w:marBottom w:val="0"/>
      <w:divBdr>
        <w:top w:val="none" w:sz="0" w:space="0" w:color="auto"/>
        <w:left w:val="none" w:sz="0" w:space="0" w:color="auto"/>
        <w:bottom w:val="none" w:sz="0" w:space="0" w:color="auto"/>
        <w:right w:val="none" w:sz="0" w:space="0" w:color="auto"/>
      </w:divBdr>
    </w:div>
    <w:div w:id="1434398454">
      <w:bodyDiv w:val="1"/>
      <w:marLeft w:val="0"/>
      <w:marRight w:val="0"/>
      <w:marTop w:val="0"/>
      <w:marBottom w:val="0"/>
      <w:divBdr>
        <w:top w:val="none" w:sz="0" w:space="0" w:color="auto"/>
        <w:left w:val="none" w:sz="0" w:space="0" w:color="auto"/>
        <w:bottom w:val="none" w:sz="0" w:space="0" w:color="auto"/>
        <w:right w:val="none" w:sz="0" w:space="0" w:color="auto"/>
      </w:divBdr>
      <w:divsChild>
        <w:div w:id="664363794">
          <w:marLeft w:val="835"/>
          <w:marRight w:val="0"/>
          <w:marTop w:val="86"/>
          <w:marBottom w:val="0"/>
          <w:divBdr>
            <w:top w:val="none" w:sz="0" w:space="0" w:color="auto"/>
            <w:left w:val="none" w:sz="0" w:space="0" w:color="auto"/>
            <w:bottom w:val="none" w:sz="0" w:space="0" w:color="auto"/>
            <w:right w:val="none" w:sz="0" w:space="0" w:color="auto"/>
          </w:divBdr>
        </w:div>
        <w:div w:id="921177612">
          <w:marLeft w:val="835"/>
          <w:marRight w:val="0"/>
          <w:marTop w:val="86"/>
          <w:marBottom w:val="0"/>
          <w:divBdr>
            <w:top w:val="none" w:sz="0" w:space="0" w:color="auto"/>
            <w:left w:val="none" w:sz="0" w:space="0" w:color="auto"/>
            <w:bottom w:val="none" w:sz="0" w:space="0" w:color="auto"/>
            <w:right w:val="none" w:sz="0" w:space="0" w:color="auto"/>
          </w:divBdr>
        </w:div>
        <w:div w:id="1204945889">
          <w:marLeft w:val="835"/>
          <w:marRight w:val="0"/>
          <w:marTop w:val="86"/>
          <w:marBottom w:val="0"/>
          <w:divBdr>
            <w:top w:val="none" w:sz="0" w:space="0" w:color="auto"/>
            <w:left w:val="none" w:sz="0" w:space="0" w:color="auto"/>
            <w:bottom w:val="none" w:sz="0" w:space="0" w:color="auto"/>
            <w:right w:val="none" w:sz="0" w:space="0" w:color="auto"/>
          </w:divBdr>
        </w:div>
        <w:div w:id="1337149835">
          <w:marLeft w:val="274"/>
          <w:marRight w:val="0"/>
          <w:marTop w:val="96"/>
          <w:marBottom w:val="0"/>
          <w:divBdr>
            <w:top w:val="none" w:sz="0" w:space="0" w:color="auto"/>
            <w:left w:val="none" w:sz="0" w:space="0" w:color="auto"/>
            <w:bottom w:val="none" w:sz="0" w:space="0" w:color="auto"/>
            <w:right w:val="none" w:sz="0" w:space="0" w:color="auto"/>
          </w:divBdr>
        </w:div>
        <w:div w:id="1501775832">
          <w:marLeft w:val="274"/>
          <w:marRight w:val="0"/>
          <w:marTop w:val="96"/>
          <w:marBottom w:val="0"/>
          <w:divBdr>
            <w:top w:val="none" w:sz="0" w:space="0" w:color="auto"/>
            <w:left w:val="none" w:sz="0" w:space="0" w:color="auto"/>
            <w:bottom w:val="none" w:sz="0" w:space="0" w:color="auto"/>
            <w:right w:val="none" w:sz="0" w:space="0" w:color="auto"/>
          </w:divBdr>
        </w:div>
        <w:div w:id="1854489626">
          <w:marLeft w:val="835"/>
          <w:marRight w:val="0"/>
          <w:marTop w:val="86"/>
          <w:marBottom w:val="0"/>
          <w:divBdr>
            <w:top w:val="none" w:sz="0" w:space="0" w:color="auto"/>
            <w:left w:val="none" w:sz="0" w:space="0" w:color="auto"/>
            <w:bottom w:val="none" w:sz="0" w:space="0" w:color="auto"/>
            <w:right w:val="none" w:sz="0" w:space="0" w:color="auto"/>
          </w:divBdr>
        </w:div>
        <w:div w:id="2002654436">
          <w:marLeft w:val="835"/>
          <w:marRight w:val="0"/>
          <w:marTop w:val="86"/>
          <w:marBottom w:val="0"/>
          <w:divBdr>
            <w:top w:val="none" w:sz="0" w:space="0" w:color="auto"/>
            <w:left w:val="none" w:sz="0" w:space="0" w:color="auto"/>
            <w:bottom w:val="none" w:sz="0" w:space="0" w:color="auto"/>
            <w:right w:val="none" w:sz="0" w:space="0" w:color="auto"/>
          </w:divBdr>
        </w:div>
        <w:div w:id="2076007621">
          <w:marLeft w:val="835"/>
          <w:marRight w:val="0"/>
          <w:marTop w:val="86"/>
          <w:marBottom w:val="0"/>
          <w:divBdr>
            <w:top w:val="none" w:sz="0" w:space="0" w:color="auto"/>
            <w:left w:val="none" w:sz="0" w:space="0" w:color="auto"/>
            <w:bottom w:val="none" w:sz="0" w:space="0" w:color="auto"/>
            <w:right w:val="none" w:sz="0" w:space="0" w:color="auto"/>
          </w:divBdr>
        </w:div>
        <w:div w:id="2137408363">
          <w:marLeft w:val="835"/>
          <w:marRight w:val="0"/>
          <w:marTop w:val="86"/>
          <w:marBottom w:val="0"/>
          <w:divBdr>
            <w:top w:val="none" w:sz="0" w:space="0" w:color="auto"/>
            <w:left w:val="none" w:sz="0" w:space="0" w:color="auto"/>
            <w:bottom w:val="none" w:sz="0" w:space="0" w:color="auto"/>
            <w:right w:val="none" w:sz="0" w:space="0" w:color="auto"/>
          </w:divBdr>
        </w:div>
      </w:divsChild>
    </w:div>
    <w:div w:id="1435008022">
      <w:bodyDiv w:val="1"/>
      <w:marLeft w:val="0"/>
      <w:marRight w:val="0"/>
      <w:marTop w:val="0"/>
      <w:marBottom w:val="0"/>
      <w:divBdr>
        <w:top w:val="none" w:sz="0" w:space="0" w:color="auto"/>
        <w:left w:val="none" w:sz="0" w:space="0" w:color="auto"/>
        <w:bottom w:val="none" w:sz="0" w:space="0" w:color="auto"/>
        <w:right w:val="none" w:sz="0" w:space="0" w:color="auto"/>
      </w:divBdr>
    </w:div>
    <w:div w:id="1435050353">
      <w:bodyDiv w:val="1"/>
      <w:marLeft w:val="0"/>
      <w:marRight w:val="0"/>
      <w:marTop w:val="0"/>
      <w:marBottom w:val="0"/>
      <w:divBdr>
        <w:top w:val="none" w:sz="0" w:space="0" w:color="auto"/>
        <w:left w:val="none" w:sz="0" w:space="0" w:color="auto"/>
        <w:bottom w:val="none" w:sz="0" w:space="0" w:color="auto"/>
        <w:right w:val="none" w:sz="0" w:space="0" w:color="auto"/>
      </w:divBdr>
    </w:div>
    <w:div w:id="1435445296">
      <w:bodyDiv w:val="1"/>
      <w:marLeft w:val="0"/>
      <w:marRight w:val="0"/>
      <w:marTop w:val="0"/>
      <w:marBottom w:val="0"/>
      <w:divBdr>
        <w:top w:val="none" w:sz="0" w:space="0" w:color="auto"/>
        <w:left w:val="none" w:sz="0" w:space="0" w:color="auto"/>
        <w:bottom w:val="none" w:sz="0" w:space="0" w:color="auto"/>
        <w:right w:val="none" w:sz="0" w:space="0" w:color="auto"/>
      </w:divBdr>
    </w:div>
    <w:div w:id="1435904342">
      <w:bodyDiv w:val="1"/>
      <w:marLeft w:val="0"/>
      <w:marRight w:val="0"/>
      <w:marTop w:val="0"/>
      <w:marBottom w:val="0"/>
      <w:divBdr>
        <w:top w:val="none" w:sz="0" w:space="0" w:color="auto"/>
        <w:left w:val="none" w:sz="0" w:space="0" w:color="auto"/>
        <w:bottom w:val="none" w:sz="0" w:space="0" w:color="auto"/>
        <w:right w:val="none" w:sz="0" w:space="0" w:color="auto"/>
      </w:divBdr>
    </w:div>
    <w:div w:id="1437210632">
      <w:bodyDiv w:val="1"/>
      <w:marLeft w:val="0"/>
      <w:marRight w:val="0"/>
      <w:marTop w:val="0"/>
      <w:marBottom w:val="0"/>
      <w:divBdr>
        <w:top w:val="none" w:sz="0" w:space="0" w:color="auto"/>
        <w:left w:val="none" w:sz="0" w:space="0" w:color="auto"/>
        <w:bottom w:val="none" w:sz="0" w:space="0" w:color="auto"/>
        <w:right w:val="none" w:sz="0" w:space="0" w:color="auto"/>
      </w:divBdr>
    </w:div>
    <w:div w:id="1437599996">
      <w:bodyDiv w:val="1"/>
      <w:marLeft w:val="0"/>
      <w:marRight w:val="0"/>
      <w:marTop w:val="0"/>
      <w:marBottom w:val="0"/>
      <w:divBdr>
        <w:top w:val="none" w:sz="0" w:space="0" w:color="auto"/>
        <w:left w:val="none" w:sz="0" w:space="0" w:color="auto"/>
        <w:bottom w:val="none" w:sz="0" w:space="0" w:color="auto"/>
        <w:right w:val="none" w:sz="0" w:space="0" w:color="auto"/>
      </w:divBdr>
    </w:div>
    <w:div w:id="1438719849">
      <w:bodyDiv w:val="1"/>
      <w:marLeft w:val="0"/>
      <w:marRight w:val="0"/>
      <w:marTop w:val="0"/>
      <w:marBottom w:val="0"/>
      <w:divBdr>
        <w:top w:val="none" w:sz="0" w:space="0" w:color="auto"/>
        <w:left w:val="none" w:sz="0" w:space="0" w:color="auto"/>
        <w:bottom w:val="none" w:sz="0" w:space="0" w:color="auto"/>
        <w:right w:val="none" w:sz="0" w:space="0" w:color="auto"/>
      </w:divBdr>
    </w:div>
    <w:div w:id="1439371896">
      <w:bodyDiv w:val="1"/>
      <w:marLeft w:val="0"/>
      <w:marRight w:val="0"/>
      <w:marTop w:val="0"/>
      <w:marBottom w:val="0"/>
      <w:divBdr>
        <w:top w:val="none" w:sz="0" w:space="0" w:color="auto"/>
        <w:left w:val="none" w:sz="0" w:space="0" w:color="auto"/>
        <w:bottom w:val="none" w:sz="0" w:space="0" w:color="auto"/>
        <w:right w:val="none" w:sz="0" w:space="0" w:color="auto"/>
      </w:divBdr>
      <w:divsChild>
        <w:div w:id="674766575">
          <w:marLeft w:val="806"/>
          <w:marRight w:val="0"/>
          <w:marTop w:val="75"/>
          <w:marBottom w:val="0"/>
          <w:divBdr>
            <w:top w:val="none" w:sz="0" w:space="0" w:color="auto"/>
            <w:left w:val="none" w:sz="0" w:space="0" w:color="auto"/>
            <w:bottom w:val="none" w:sz="0" w:space="0" w:color="auto"/>
            <w:right w:val="none" w:sz="0" w:space="0" w:color="auto"/>
          </w:divBdr>
        </w:div>
        <w:div w:id="899248348">
          <w:marLeft w:val="806"/>
          <w:marRight w:val="0"/>
          <w:marTop w:val="75"/>
          <w:marBottom w:val="0"/>
          <w:divBdr>
            <w:top w:val="none" w:sz="0" w:space="0" w:color="auto"/>
            <w:left w:val="none" w:sz="0" w:space="0" w:color="auto"/>
            <w:bottom w:val="none" w:sz="0" w:space="0" w:color="auto"/>
            <w:right w:val="none" w:sz="0" w:space="0" w:color="auto"/>
          </w:divBdr>
        </w:div>
        <w:div w:id="973483630">
          <w:marLeft w:val="806"/>
          <w:marRight w:val="0"/>
          <w:marTop w:val="75"/>
          <w:marBottom w:val="0"/>
          <w:divBdr>
            <w:top w:val="none" w:sz="0" w:space="0" w:color="auto"/>
            <w:left w:val="none" w:sz="0" w:space="0" w:color="auto"/>
            <w:bottom w:val="none" w:sz="0" w:space="0" w:color="auto"/>
            <w:right w:val="none" w:sz="0" w:space="0" w:color="auto"/>
          </w:divBdr>
        </w:div>
        <w:div w:id="1400716441">
          <w:marLeft w:val="274"/>
          <w:marRight w:val="0"/>
          <w:marTop w:val="150"/>
          <w:marBottom w:val="0"/>
          <w:divBdr>
            <w:top w:val="none" w:sz="0" w:space="0" w:color="auto"/>
            <w:left w:val="none" w:sz="0" w:space="0" w:color="auto"/>
            <w:bottom w:val="none" w:sz="0" w:space="0" w:color="auto"/>
            <w:right w:val="none" w:sz="0" w:space="0" w:color="auto"/>
          </w:divBdr>
        </w:div>
      </w:divsChild>
    </w:div>
    <w:div w:id="1439717992">
      <w:bodyDiv w:val="1"/>
      <w:marLeft w:val="0"/>
      <w:marRight w:val="0"/>
      <w:marTop w:val="0"/>
      <w:marBottom w:val="0"/>
      <w:divBdr>
        <w:top w:val="none" w:sz="0" w:space="0" w:color="auto"/>
        <w:left w:val="none" w:sz="0" w:space="0" w:color="auto"/>
        <w:bottom w:val="none" w:sz="0" w:space="0" w:color="auto"/>
        <w:right w:val="none" w:sz="0" w:space="0" w:color="auto"/>
      </w:divBdr>
    </w:div>
    <w:div w:id="1440222862">
      <w:bodyDiv w:val="1"/>
      <w:marLeft w:val="0"/>
      <w:marRight w:val="0"/>
      <w:marTop w:val="0"/>
      <w:marBottom w:val="0"/>
      <w:divBdr>
        <w:top w:val="none" w:sz="0" w:space="0" w:color="auto"/>
        <w:left w:val="none" w:sz="0" w:space="0" w:color="auto"/>
        <w:bottom w:val="none" w:sz="0" w:space="0" w:color="auto"/>
        <w:right w:val="none" w:sz="0" w:space="0" w:color="auto"/>
      </w:divBdr>
    </w:div>
    <w:div w:id="1440679955">
      <w:bodyDiv w:val="1"/>
      <w:marLeft w:val="0"/>
      <w:marRight w:val="0"/>
      <w:marTop w:val="0"/>
      <w:marBottom w:val="0"/>
      <w:divBdr>
        <w:top w:val="none" w:sz="0" w:space="0" w:color="auto"/>
        <w:left w:val="none" w:sz="0" w:space="0" w:color="auto"/>
        <w:bottom w:val="none" w:sz="0" w:space="0" w:color="auto"/>
        <w:right w:val="none" w:sz="0" w:space="0" w:color="auto"/>
      </w:divBdr>
      <w:divsChild>
        <w:div w:id="1016660010">
          <w:marLeft w:val="547"/>
          <w:marRight w:val="0"/>
          <w:marTop w:val="106"/>
          <w:marBottom w:val="0"/>
          <w:divBdr>
            <w:top w:val="none" w:sz="0" w:space="0" w:color="auto"/>
            <w:left w:val="none" w:sz="0" w:space="0" w:color="auto"/>
            <w:bottom w:val="none" w:sz="0" w:space="0" w:color="auto"/>
            <w:right w:val="none" w:sz="0" w:space="0" w:color="auto"/>
          </w:divBdr>
        </w:div>
      </w:divsChild>
    </w:div>
    <w:div w:id="1440686330">
      <w:bodyDiv w:val="1"/>
      <w:marLeft w:val="0"/>
      <w:marRight w:val="0"/>
      <w:marTop w:val="0"/>
      <w:marBottom w:val="0"/>
      <w:divBdr>
        <w:top w:val="none" w:sz="0" w:space="0" w:color="auto"/>
        <w:left w:val="none" w:sz="0" w:space="0" w:color="auto"/>
        <w:bottom w:val="none" w:sz="0" w:space="0" w:color="auto"/>
        <w:right w:val="none" w:sz="0" w:space="0" w:color="auto"/>
      </w:divBdr>
      <w:divsChild>
        <w:div w:id="105657623">
          <w:marLeft w:val="1166"/>
          <w:marRight w:val="0"/>
          <w:marTop w:val="91"/>
          <w:marBottom w:val="0"/>
          <w:divBdr>
            <w:top w:val="none" w:sz="0" w:space="0" w:color="auto"/>
            <w:left w:val="none" w:sz="0" w:space="0" w:color="auto"/>
            <w:bottom w:val="none" w:sz="0" w:space="0" w:color="auto"/>
            <w:right w:val="none" w:sz="0" w:space="0" w:color="auto"/>
          </w:divBdr>
        </w:div>
        <w:div w:id="453717518">
          <w:marLeft w:val="1166"/>
          <w:marRight w:val="0"/>
          <w:marTop w:val="91"/>
          <w:marBottom w:val="0"/>
          <w:divBdr>
            <w:top w:val="none" w:sz="0" w:space="0" w:color="auto"/>
            <w:left w:val="none" w:sz="0" w:space="0" w:color="auto"/>
            <w:bottom w:val="none" w:sz="0" w:space="0" w:color="auto"/>
            <w:right w:val="none" w:sz="0" w:space="0" w:color="auto"/>
          </w:divBdr>
        </w:div>
        <w:div w:id="577248867">
          <w:marLeft w:val="1166"/>
          <w:marRight w:val="0"/>
          <w:marTop w:val="91"/>
          <w:marBottom w:val="0"/>
          <w:divBdr>
            <w:top w:val="none" w:sz="0" w:space="0" w:color="auto"/>
            <w:left w:val="none" w:sz="0" w:space="0" w:color="auto"/>
            <w:bottom w:val="none" w:sz="0" w:space="0" w:color="auto"/>
            <w:right w:val="none" w:sz="0" w:space="0" w:color="auto"/>
          </w:divBdr>
        </w:div>
        <w:div w:id="714698783">
          <w:marLeft w:val="547"/>
          <w:marRight w:val="0"/>
          <w:marTop w:val="106"/>
          <w:marBottom w:val="0"/>
          <w:divBdr>
            <w:top w:val="none" w:sz="0" w:space="0" w:color="auto"/>
            <w:left w:val="none" w:sz="0" w:space="0" w:color="auto"/>
            <w:bottom w:val="none" w:sz="0" w:space="0" w:color="auto"/>
            <w:right w:val="none" w:sz="0" w:space="0" w:color="auto"/>
          </w:divBdr>
        </w:div>
        <w:div w:id="717389650">
          <w:marLeft w:val="1166"/>
          <w:marRight w:val="0"/>
          <w:marTop w:val="91"/>
          <w:marBottom w:val="0"/>
          <w:divBdr>
            <w:top w:val="none" w:sz="0" w:space="0" w:color="auto"/>
            <w:left w:val="none" w:sz="0" w:space="0" w:color="auto"/>
            <w:bottom w:val="none" w:sz="0" w:space="0" w:color="auto"/>
            <w:right w:val="none" w:sz="0" w:space="0" w:color="auto"/>
          </w:divBdr>
        </w:div>
        <w:div w:id="747652176">
          <w:marLeft w:val="547"/>
          <w:marRight w:val="0"/>
          <w:marTop w:val="106"/>
          <w:marBottom w:val="0"/>
          <w:divBdr>
            <w:top w:val="none" w:sz="0" w:space="0" w:color="auto"/>
            <w:left w:val="none" w:sz="0" w:space="0" w:color="auto"/>
            <w:bottom w:val="none" w:sz="0" w:space="0" w:color="auto"/>
            <w:right w:val="none" w:sz="0" w:space="0" w:color="auto"/>
          </w:divBdr>
        </w:div>
        <w:div w:id="820269739">
          <w:marLeft w:val="1166"/>
          <w:marRight w:val="0"/>
          <w:marTop w:val="91"/>
          <w:marBottom w:val="0"/>
          <w:divBdr>
            <w:top w:val="none" w:sz="0" w:space="0" w:color="auto"/>
            <w:left w:val="none" w:sz="0" w:space="0" w:color="auto"/>
            <w:bottom w:val="none" w:sz="0" w:space="0" w:color="auto"/>
            <w:right w:val="none" w:sz="0" w:space="0" w:color="auto"/>
          </w:divBdr>
        </w:div>
        <w:div w:id="951013698">
          <w:marLeft w:val="1166"/>
          <w:marRight w:val="0"/>
          <w:marTop w:val="91"/>
          <w:marBottom w:val="0"/>
          <w:divBdr>
            <w:top w:val="none" w:sz="0" w:space="0" w:color="auto"/>
            <w:left w:val="none" w:sz="0" w:space="0" w:color="auto"/>
            <w:bottom w:val="none" w:sz="0" w:space="0" w:color="auto"/>
            <w:right w:val="none" w:sz="0" w:space="0" w:color="auto"/>
          </w:divBdr>
        </w:div>
        <w:div w:id="967393032">
          <w:marLeft w:val="1166"/>
          <w:marRight w:val="0"/>
          <w:marTop w:val="91"/>
          <w:marBottom w:val="0"/>
          <w:divBdr>
            <w:top w:val="none" w:sz="0" w:space="0" w:color="auto"/>
            <w:left w:val="none" w:sz="0" w:space="0" w:color="auto"/>
            <w:bottom w:val="none" w:sz="0" w:space="0" w:color="auto"/>
            <w:right w:val="none" w:sz="0" w:space="0" w:color="auto"/>
          </w:divBdr>
        </w:div>
        <w:div w:id="992608722">
          <w:marLeft w:val="1166"/>
          <w:marRight w:val="0"/>
          <w:marTop w:val="91"/>
          <w:marBottom w:val="0"/>
          <w:divBdr>
            <w:top w:val="none" w:sz="0" w:space="0" w:color="auto"/>
            <w:left w:val="none" w:sz="0" w:space="0" w:color="auto"/>
            <w:bottom w:val="none" w:sz="0" w:space="0" w:color="auto"/>
            <w:right w:val="none" w:sz="0" w:space="0" w:color="auto"/>
          </w:divBdr>
        </w:div>
        <w:div w:id="999842831">
          <w:marLeft w:val="1166"/>
          <w:marRight w:val="0"/>
          <w:marTop w:val="91"/>
          <w:marBottom w:val="0"/>
          <w:divBdr>
            <w:top w:val="none" w:sz="0" w:space="0" w:color="auto"/>
            <w:left w:val="none" w:sz="0" w:space="0" w:color="auto"/>
            <w:bottom w:val="none" w:sz="0" w:space="0" w:color="auto"/>
            <w:right w:val="none" w:sz="0" w:space="0" w:color="auto"/>
          </w:divBdr>
        </w:div>
        <w:div w:id="1201358431">
          <w:marLeft w:val="1166"/>
          <w:marRight w:val="0"/>
          <w:marTop w:val="91"/>
          <w:marBottom w:val="0"/>
          <w:divBdr>
            <w:top w:val="none" w:sz="0" w:space="0" w:color="auto"/>
            <w:left w:val="none" w:sz="0" w:space="0" w:color="auto"/>
            <w:bottom w:val="none" w:sz="0" w:space="0" w:color="auto"/>
            <w:right w:val="none" w:sz="0" w:space="0" w:color="auto"/>
          </w:divBdr>
        </w:div>
        <w:div w:id="1452744456">
          <w:marLeft w:val="1166"/>
          <w:marRight w:val="0"/>
          <w:marTop w:val="91"/>
          <w:marBottom w:val="0"/>
          <w:divBdr>
            <w:top w:val="none" w:sz="0" w:space="0" w:color="auto"/>
            <w:left w:val="none" w:sz="0" w:space="0" w:color="auto"/>
            <w:bottom w:val="none" w:sz="0" w:space="0" w:color="auto"/>
            <w:right w:val="none" w:sz="0" w:space="0" w:color="auto"/>
          </w:divBdr>
        </w:div>
        <w:div w:id="1637443658">
          <w:marLeft w:val="547"/>
          <w:marRight w:val="0"/>
          <w:marTop w:val="106"/>
          <w:marBottom w:val="0"/>
          <w:divBdr>
            <w:top w:val="none" w:sz="0" w:space="0" w:color="auto"/>
            <w:left w:val="none" w:sz="0" w:space="0" w:color="auto"/>
            <w:bottom w:val="none" w:sz="0" w:space="0" w:color="auto"/>
            <w:right w:val="none" w:sz="0" w:space="0" w:color="auto"/>
          </w:divBdr>
        </w:div>
        <w:div w:id="1736585609">
          <w:marLeft w:val="1800"/>
          <w:marRight w:val="0"/>
          <w:marTop w:val="72"/>
          <w:marBottom w:val="0"/>
          <w:divBdr>
            <w:top w:val="none" w:sz="0" w:space="0" w:color="auto"/>
            <w:left w:val="none" w:sz="0" w:space="0" w:color="auto"/>
            <w:bottom w:val="none" w:sz="0" w:space="0" w:color="auto"/>
            <w:right w:val="none" w:sz="0" w:space="0" w:color="auto"/>
          </w:divBdr>
        </w:div>
        <w:div w:id="1743138547">
          <w:marLeft w:val="1166"/>
          <w:marRight w:val="0"/>
          <w:marTop w:val="91"/>
          <w:marBottom w:val="0"/>
          <w:divBdr>
            <w:top w:val="none" w:sz="0" w:space="0" w:color="auto"/>
            <w:left w:val="none" w:sz="0" w:space="0" w:color="auto"/>
            <w:bottom w:val="none" w:sz="0" w:space="0" w:color="auto"/>
            <w:right w:val="none" w:sz="0" w:space="0" w:color="auto"/>
          </w:divBdr>
        </w:div>
        <w:div w:id="1766606261">
          <w:marLeft w:val="1166"/>
          <w:marRight w:val="0"/>
          <w:marTop w:val="91"/>
          <w:marBottom w:val="0"/>
          <w:divBdr>
            <w:top w:val="none" w:sz="0" w:space="0" w:color="auto"/>
            <w:left w:val="none" w:sz="0" w:space="0" w:color="auto"/>
            <w:bottom w:val="none" w:sz="0" w:space="0" w:color="auto"/>
            <w:right w:val="none" w:sz="0" w:space="0" w:color="auto"/>
          </w:divBdr>
        </w:div>
        <w:div w:id="1836873259">
          <w:marLeft w:val="1166"/>
          <w:marRight w:val="0"/>
          <w:marTop w:val="91"/>
          <w:marBottom w:val="0"/>
          <w:divBdr>
            <w:top w:val="none" w:sz="0" w:space="0" w:color="auto"/>
            <w:left w:val="none" w:sz="0" w:space="0" w:color="auto"/>
            <w:bottom w:val="none" w:sz="0" w:space="0" w:color="auto"/>
            <w:right w:val="none" w:sz="0" w:space="0" w:color="auto"/>
          </w:divBdr>
        </w:div>
      </w:divsChild>
    </w:div>
    <w:div w:id="1441030887">
      <w:bodyDiv w:val="1"/>
      <w:marLeft w:val="0"/>
      <w:marRight w:val="0"/>
      <w:marTop w:val="0"/>
      <w:marBottom w:val="0"/>
      <w:divBdr>
        <w:top w:val="none" w:sz="0" w:space="0" w:color="auto"/>
        <w:left w:val="none" w:sz="0" w:space="0" w:color="auto"/>
        <w:bottom w:val="none" w:sz="0" w:space="0" w:color="auto"/>
        <w:right w:val="none" w:sz="0" w:space="0" w:color="auto"/>
      </w:divBdr>
    </w:div>
    <w:div w:id="1441993937">
      <w:bodyDiv w:val="1"/>
      <w:marLeft w:val="0"/>
      <w:marRight w:val="0"/>
      <w:marTop w:val="0"/>
      <w:marBottom w:val="0"/>
      <w:divBdr>
        <w:top w:val="none" w:sz="0" w:space="0" w:color="auto"/>
        <w:left w:val="none" w:sz="0" w:space="0" w:color="auto"/>
        <w:bottom w:val="none" w:sz="0" w:space="0" w:color="auto"/>
        <w:right w:val="none" w:sz="0" w:space="0" w:color="auto"/>
      </w:divBdr>
      <w:divsChild>
        <w:div w:id="67577192">
          <w:marLeft w:val="1800"/>
          <w:marRight w:val="0"/>
          <w:marTop w:val="77"/>
          <w:marBottom w:val="0"/>
          <w:divBdr>
            <w:top w:val="none" w:sz="0" w:space="0" w:color="auto"/>
            <w:left w:val="none" w:sz="0" w:space="0" w:color="auto"/>
            <w:bottom w:val="none" w:sz="0" w:space="0" w:color="auto"/>
            <w:right w:val="none" w:sz="0" w:space="0" w:color="auto"/>
          </w:divBdr>
        </w:div>
        <w:div w:id="603536722">
          <w:marLeft w:val="1166"/>
          <w:marRight w:val="0"/>
          <w:marTop w:val="86"/>
          <w:marBottom w:val="0"/>
          <w:divBdr>
            <w:top w:val="none" w:sz="0" w:space="0" w:color="auto"/>
            <w:left w:val="none" w:sz="0" w:space="0" w:color="auto"/>
            <w:bottom w:val="none" w:sz="0" w:space="0" w:color="auto"/>
            <w:right w:val="none" w:sz="0" w:space="0" w:color="auto"/>
          </w:divBdr>
        </w:div>
        <w:div w:id="945649334">
          <w:marLeft w:val="1166"/>
          <w:marRight w:val="0"/>
          <w:marTop w:val="86"/>
          <w:marBottom w:val="0"/>
          <w:divBdr>
            <w:top w:val="none" w:sz="0" w:space="0" w:color="auto"/>
            <w:left w:val="none" w:sz="0" w:space="0" w:color="auto"/>
            <w:bottom w:val="none" w:sz="0" w:space="0" w:color="auto"/>
            <w:right w:val="none" w:sz="0" w:space="0" w:color="auto"/>
          </w:divBdr>
        </w:div>
        <w:div w:id="1003317508">
          <w:marLeft w:val="547"/>
          <w:marRight w:val="0"/>
          <w:marTop w:val="96"/>
          <w:marBottom w:val="0"/>
          <w:divBdr>
            <w:top w:val="none" w:sz="0" w:space="0" w:color="auto"/>
            <w:left w:val="none" w:sz="0" w:space="0" w:color="auto"/>
            <w:bottom w:val="none" w:sz="0" w:space="0" w:color="auto"/>
            <w:right w:val="none" w:sz="0" w:space="0" w:color="auto"/>
          </w:divBdr>
        </w:div>
        <w:div w:id="1010565966">
          <w:marLeft w:val="1166"/>
          <w:marRight w:val="0"/>
          <w:marTop w:val="77"/>
          <w:marBottom w:val="0"/>
          <w:divBdr>
            <w:top w:val="none" w:sz="0" w:space="0" w:color="auto"/>
            <w:left w:val="none" w:sz="0" w:space="0" w:color="auto"/>
            <w:bottom w:val="none" w:sz="0" w:space="0" w:color="auto"/>
            <w:right w:val="none" w:sz="0" w:space="0" w:color="auto"/>
          </w:divBdr>
        </w:div>
        <w:div w:id="1031105471">
          <w:marLeft w:val="547"/>
          <w:marRight w:val="0"/>
          <w:marTop w:val="96"/>
          <w:marBottom w:val="0"/>
          <w:divBdr>
            <w:top w:val="none" w:sz="0" w:space="0" w:color="auto"/>
            <w:left w:val="none" w:sz="0" w:space="0" w:color="auto"/>
            <w:bottom w:val="none" w:sz="0" w:space="0" w:color="auto"/>
            <w:right w:val="none" w:sz="0" w:space="0" w:color="auto"/>
          </w:divBdr>
        </w:div>
        <w:div w:id="1129973880">
          <w:marLeft w:val="1166"/>
          <w:marRight w:val="0"/>
          <w:marTop w:val="77"/>
          <w:marBottom w:val="0"/>
          <w:divBdr>
            <w:top w:val="none" w:sz="0" w:space="0" w:color="auto"/>
            <w:left w:val="none" w:sz="0" w:space="0" w:color="auto"/>
            <w:bottom w:val="none" w:sz="0" w:space="0" w:color="auto"/>
            <w:right w:val="none" w:sz="0" w:space="0" w:color="auto"/>
          </w:divBdr>
        </w:div>
        <w:div w:id="1377124010">
          <w:marLeft w:val="1166"/>
          <w:marRight w:val="0"/>
          <w:marTop w:val="86"/>
          <w:marBottom w:val="0"/>
          <w:divBdr>
            <w:top w:val="none" w:sz="0" w:space="0" w:color="auto"/>
            <w:left w:val="none" w:sz="0" w:space="0" w:color="auto"/>
            <w:bottom w:val="none" w:sz="0" w:space="0" w:color="auto"/>
            <w:right w:val="none" w:sz="0" w:space="0" w:color="auto"/>
          </w:divBdr>
        </w:div>
        <w:div w:id="1430393030">
          <w:marLeft w:val="1166"/>
          <w:marRight w:val="0"/>
          <w:marTop w:val="77"/>
          <w:marBottom w:val="0"/>
          <w:divBdr>
            <w:top w:val="none" w:sz="0" w:space="0" w:color="auto"/>
            <w:left w:val="none" w:sz="0" w:space="0" w:color="auto"/>
            <w:bottom w:val="none" w:sz="0" w:space="0" w:color="auto"/>
            <w:right w:val="none" w:sz="0" w:space="0" w:color="auto"/>
          </w:divBdr>
        </w:div>
        <w:div w:id="2134787137">
          <w:marLeft w:val="1166"/>
          <w:marRight w:val="0"/>
          <w:marTop w:val="86"/>
          <w:marBottom w:val="0"/>
          <w:divBdr>
            <w:top w:val="none" w:sz="0" w:space="0" w:color="auto"/>
            <w:left w:val="none" w:sz="0" w:space="0" w:color="auto"/>
            <w:bottom w:val="none" w:sz="0" w:space="0" w:color="auto"/>
            <w:right w:val="none" w:sz="0" w:space="0" w:color="auto"/>
          </w:divBdr>
        </w:div>
      </w:divsChild>
    </w:div>
    <w:div w:id="1442727742">
      <w:bodyDiv w:val="1"/>
      <w:marLeft w:val="0"/>
      <w:marRight w:val="0"/>
      <w:marTop w:val="0"/>
      <w:marBottom w:val="0"/>
      <w:divBdr>
        <w:top w:val="none" w:sz="0" w:space="0" w:color="auto"/>
        <w:left w:val="none" w:sz="0" w:space="0" w:color="auto"/>
        <w:bottom w:val="none" w:sz="0" w:space="0" w:color="auto"/>
        <w:right w:val="none" w:sz="0" w:space="0" w:color="auto"/>
      </w:divBdr>
      <w:divsChild>
        <w:div w:id="127818076">
          <w:marLeft w:val="1440"/>
          <w:marRight w:val="0"/>
          <w:marTop w:val="120"/>
          <w:marBottom w:val="0"/>
          <w:divBdr>
            <w:top w:val="none" w:sz="0" w:space="0" w:color="auto"/>
            <w:left w:val="none" w:sz="0" w:space="0" w:color="auto"/>
            <w:bottom w:val="none" w:sz="0" w:space="0" w:color="auto"/>
            <w:right w:val="none" w:sz="0" w:space="0" w:color="auto"/>
          </w:divBdr>
        </w:div>
        <w:div w:id="415976576">
          <w:marLeft w:val="720"/>
          <w:marRight w:val="0"/>
          <w:marTop w:val="240"/>
          <w:marBottom w:val="0"/>
          <w:divBdr>
            <w:top w:val="none" w:sz="0" w:space="0" w:color="auto"/>
            <w:left w:val="none" w:sz="0" w:space="0" w:color="auto"/>
            <w:bottom w:val="none" w:sz="0" w:space="0" w:color="auto"/>
            <w:right w:val="none" w:sz="0" w:space="0" w:color="auto"/>
          </w:divBdr>
        </w:div>
        <w:div w:id="694043610">
          <w:marLeft w:val="1440"/>
          <w:marRight w:val="0"/>
          <w:marTop w:val="120"/>
          <w:marBottom w:val="0"/>
          <w:divBdr>
            <w:top w:val="none" w:sz="0" w:space="0" w:color="auto"/>
            <w:left w:val="none" w:sz="0" w:space="0" w:color="auto"/>
            <w:bottom w:val="none" w:sz="0" w:space="0" w:color="auto"/>
            <w:right w:val="none" w:sz="0" w:space="0" w:color="auto"/>
          </w:divBdr>
        </w:div>
        <w:div w:id="957490654">
          <w:marLeft w:val="720"/>
          <w:marRight w:val="0"/>
          <w:marTop w:val="120"/>
          <w:marBottom w:val="0"/>
          <w:divBdr>
            <w:top w:val="none" w:sz="0" w:space="0" w:color="auto"/>
            <w:left w:val="none" w:sz="0" w:space="0" w:color="auto"/>
            <w:bottom w:val="none" w:sz="0" w:space="0" w:color="auto"/>
            <w:right w:val="none" w:sz="0" w:space="0" w:color="auto"/>
          </w:divBdr>
        </w:div>
        <w:div w:id="1257596968">
          <w:marLeft w:val="1440"/>
          <w:marRight w:val="0"/>
          <w:marTop w:val="120"/>
          <w:marBottom w:val="0"/>
          <w:divBdr>
            <w:top w:val="none" w:sz="0" w:space="0" w:color="auto"/>
            <w:left w:val="none" w:sz="0" w:space="0" w:color="auto"/>
            <w:bottom w:val="none" w:sz="0" w:space="0" w:color="auto"/>
            <w:right w:val="none" w:sz="0" w:space="0" w:color="auto"/>
          </w:divBdr>
        </w:div>
        <w:div w:id="1317690315">
          <w:marLeft w:val="2160"/>
          <w:marRight w:val="0"/>
          <w:marTop w:val="120"/>
          <w:marBottom w:val="0"/>
          <w:divBdr>
            <w:top w:val="none" w:sz="0" w:space="0" w:color="auto"/>
            <w:left w:val="none" w:sz="0" w:space="0" w:color="auto"/>
            <w:bottom w:val="none" w:sz="0" w:space="0" w:color="auto"/>
            <w:right w:val="none" w:sz="0" w:space="0" w:color="auto"/>
          </w:divBdr>
        </w:div>
        <w:div w:id="1609579514">
          <w:marLeft w:val="1440"/>
          <w:marRight w:val="0"/>
          <w:marTop w:val="120"/>
          <w:marBottom w:val="0"/>
          <w:divBdr>
            <w:top w:val="none" w:sz="0" w:space="0" w:color="auto"/>
            <w:left w:val="none" w:sz="0" w:space="0" w:color="auto"/>
            <w:bottom w:val="none" w:sz="0" w:space="0" w:color="auto"/>
            <w:right w:val="none" w:sz="0" w:space="0" w:color="auto"/>
          </w:divBdr>
        </w:div>
        <w:div w:id="2007315634">
          <w:marLeft w:val="720"/>
          <w:marRight w:val="0"/>
          <w:marTop w:val="120"/>
          <w:marBottom w:val="0"/>
          <w:divBdr>
            <w:top w:val="none" w:sz="0" w:space="0" w:color="auto"/>
            <w:left w:val="none" w:sz="0" w:space="0" w:color="auto"/>
            <w:bottom w:val="none" w:sz="0" w:space="0" w:color="auto"/>
            <w:right w:val="none" w:sz="0" w:space="0" w:color="auto"/>
          </w:divBdr>
        </w:div>
      </w:divsChild>
    </w:div>
    <w:div w:id="1443500085">
      <w:bodyDiv w:val="1"/>
      <w:marLeft w:val="0"/>
      <w:marRight w:val="0"/>
      <w:marTop w:val="0"/>
      <w:marBottom w:val="0"/>
      <w:divBdr>
        <w:top w:val="none" w:sz="0" w:space="0" w:color="auto"/>
        <w:left w:val="none" w:sz="0" w:space="0" w:color="auto"/>
        <w:bottom w:val="none" w:sz="0" w:space="0" w:color="auto"/>
        <w:right w:val="none" w:sz="0" w:space="0" w:color="auto"/>
      </w:divBdr>
    </w:div>
    <w:div w:id="1444300461">
      <w:bodyDiv w:val="1"/>
      <w:marLeft w:val="0"/>
      <w:marRight w:val="0"/>
      <w:marTop w:val="0"/>
      <w:marBottom w:val="0"/>
      <w:divBdr>
        <w:top w:val="none" w:sz="0" w:space="0" w:color="auto"/>
        <w:left w:val="none" w:sz="0" w:space="0" w:color="auto"/>
        <w:bottom w:val="none" w:sz="0" w:space="0" w:color="auto"/>
        <w:right w:val="none" w:sz="0" w:space="0" w:color="auto"/>
      </w:divBdr>
    </w:div>
    <w:div w:id="1446345178">
      <w:bodyDiv w:val="1"/>
      <w:marLeft w:val="0"/>
      <w:marRight w:val="0"/>
      <w:marTop w:val="0"/>
      <w:marBottom w:val="0"/>
      <w:divBdr>
        <w:top w:val="none" w:sz="0" w:space="0" w:color="auto"/>
        <w:left w:val="none" w:sz="0" w:space="0" w:color="auto"/>
        <w:bottom w:val="none" w:sz="0" w:space="0" w:color="auto"/>
        <w:right w:val="none" w:sz="0" w:space="0" w:color="auto"/>
      </w:divBdr>
      <w:divsChild>
        <w:div w:id="1228220252">
          <w:marLeft w:val="2520"/>
          <w:marRight w:val="0"/>
          <w:marTop w:val="100"/>
          <w:marBottom w:val="0"/>
          <w:divBdr>
            <w:top w:val="none" w:sz="0" w:space="0" w:color="auto"/>
            <w:left w:val="none" w:sz="0" w:space="0" w:color="auto"/>
            <w:bottom w:val="none" w:sz="0" w:space="0" w:color="auto"/>
            <w:right w:val="none" w:sz="0" w:space="0" w:color="auto"/>
          </w:divBdr>
        </w:div>
        <w:div w:id="2060472905">
          <w:marLeft w:val="2520"/>
          <w:marRight w:val="0"/>
          <w:marTop w:val="100"/>
          <w:marBottom w:val="0"/>
          <w:divBdr>
            <w:top w:val="none" w:sz="0" w:space="0" w:color="auto"/>
            <w:left w:val="none" w:sz="0" w:space="0" w:color="auto"/>
            <w:bottom w:val="none" w:sz="0" w:space="0" w:color="auto"/>
            <w:right w:val="none" w:sz="0" w:space="0" w:color="auto"/>
          </w:divBdr>
        </w:div>
      </w:divsChild>
    </w:div>
    <w:div w:id="1446579658">
      <w:bodyDiv w:val="1"/>
      <w:marLeft w:val="0"/>
      <w:marRight w:val="0"/>
      <w:marTop w:val="0"/>
      <w:marBottom w:val="0"/>
      <w:divBdr>
        <w:top w:val="none" w:sz="0" w:space="0" w:color="auto"/>
        <w:left w:val="none" w:sz="0" w:space="0" w:color="auto"/>
        <w:bottom w:val="none" w:sz="0" w:space="0" w:color="auto"/>
        <w:right w:val="none" w:sz="0" w:space="0" w:color="auto"/>
      </w:divBdr>
    </w:div>
    <w:div w:id="1446847344">
      <w:bodyDiv w:val="1"/>
      <w:marLeft w:val="0"/>
      <w:marRight w:val="0"/>
      <w:marTop w:val="0"/>
      <w:marBottom w:val="0"/>
      <w:divBdr>
        <w:top w:val="none" w:sz="0" w:space="0" w:color="auto"/>
        <w:left w:val="none" w:sz="0" w:space="0" w:color="auto"/>
        <w:bottom w:val="none" w:sz="0" w:space="0" w:color="auto"/>
        <w:right w:val="none" w:sz="0" w:space="0" w:color="auto"/>
      </w:divBdr>
    </w:div>
    <w:div w:id="1447120979">
      <w:bodyDiv w:val="1"/>
      <w:marLeft w:val="0"/>
      <w:marRight w:val="0"/>
      <w:marTop w:val="0"/>
      <w:marBottom w:val="0"/>
      <w:divBdr>
        <w:top w:val="none" w:sz="0" w:space="0" w:color="auto"/>
        <w:left w:val="none" w:sz="0" w:space="0" w:color="auto"/>
        <w:bottom w:val="none" w:sz="0" w:space="0" w:color="auto"/>
        <w:right w:val="none" w:sz="0" w:space="0" w:color="auto"/>
      </w:divBdr>
    </w:div>
    <w:div w:id="1447656070">
      <w:bodyDiv w:val="1"/>
      <w:marLeft w:val="0"/>
      <w:marRight w:val="0"/>
      <w:marTop w:val="0"/>
      <w:marBottom w:val="0"/>
      <w:divBdr>
        <w:top w:val="none" w:sz="0" w:space="0" w:color="auto"/>
        <w:left w:val="none" w:sz="0" w:space="0" w:color="auto"/>
        <w:bottom w:val="none" w:sz="0" w:space="0" w:color="auto"/>
        <w:right w:val="none" w:sz="0" w:space="0" w:color="auto"/>
      </w:divBdr>
    </w:div>
    <w:div w:id="1449424079">
      <w:bodyDiv w:val="1"/>
      <w:marLeft w:val="0"/>
      <w:marRight w:val="0"/>
      <w:marTop w:val="0"/>
      <w:marBottom w:val="0"/>
      <w:divBdr>
        <w:top w:val="none" w:sz="0" w:space="0" w:color="auto"/>
        <w:left w:val="none" w:sz="0" w:space="0" w:color="auto"/>
        <w:bottom w:val="none" w:sz="0" w:space="0" w:color="auto"/>
        <w:right w:val="none" w:sz="0" w:space="0" w:color="auto"/>
      </w:divBdr>
    </w:div>
    <w:div w:id="1449935589">
      <w:bodyDiv w:val="1"/>
      <w:marLeft w:val="0"/>
      <w:marRight w:val="0"/>
      <w:marTop w:val="0"/>
      <w:marBottom w:val="0"/>
      <w:divBdr>
        <w:top w:val="none" w:sz="0" w:space="0" w:color="auto"/>
        <w:left w:val="none" w:sz="0" w:space="0" w:color="auto"/>
        <w:bottom w:val="none" w:sz="0" w:space="0" w:color="auto"/>
        <w:right w:val="none" w:sz="0" w:space="0" w:color="auto"/>
      </w:divBdr>
    </w:div>
    <w:div w:id="1451048261">
      <w:bodyDiv w:val="1"/>
      <w:marLeft w:val="0"/>
      <w:marRight w:val="0"/>
      <w:marTop w:val="0"/>
      <w:marBottom w:val="0"/>
      <w:divBdr>
        <w:top w:val="none" w:sz="0" w:space="0" w:color="auto"/>
        <w:left w:val="none" w:sz="0" w:space="0" w:color="auto"/>
        <w:bottom w:val="none" w:sz="0" w:space="0" w:color="auto"/>
        <w:right w:val="none" w:sz="0" w:space="0" w:color="auto"/>
      </w:divBdr>
      <w:divsChild>
        <w:div w:id="188570871">
          <w:marLeft w:val="1080"/>
          <w:marRight w:val="0"/>
          <w:marTop w:val="100"/>
          <w:marBottom w:val="0"/>
          <w:divBdr>
            <w:top w:val="none" w:sz="0" w:space="0" w:color="auto"/>
            <w:left w:val="none" w:sz="0" w:space="0" w:color="auto"/>
            <w:bottom w:val="none" w:sz="0" w:space="0" w:color="auto"/>
            <w:right w:val="none" w:sz="0" w:space="0" w:color="auto"/>
          </w:divBdr>
        </w:div>
        <w:div w:id="464129153">
          <w:marLeft w:val="1080"/>
          <w:marRight w:val="0"/>
          <w:marTop w:val="100"/>
          <w:marBottom w:val="0"/>
          <w:divBdr>
            <w:top w:val="none" w:sz="0" w:space="0" w:color="auto"/>
            <w:left w:val="none" w:sz="0" w:space="0" w:color="auto"/>
            <w:bottom w:val="none" w:sz="0" w:space="0" w:color="auto"/>
            <w:right w:val="none" w:sz="0" w:space="0" w:color="auto"/>
          </w:divBdr>
        </w:div>
        <w:div w:id="521742531">
          <w:marLeft w:val="1800"/>
          <w:marRight w:val="0"/>
          <w:marTop w:val="100"/>
          <w:marBottom w:val="0"/>
          <w:divBdr>
            <w:top w:val="none" w:sz="0" w:space="0" w:color="auto"/>
            <w:left w:val="none" w:sz="0" w:space="0" w:color="auto"/>
            <w:bottom w:val="none" w:sz="0" w:space="0" w:color="auto"/>
            <w:right w:val="none" w:sz="0" w:space="0" w:color="auto"/>
          </w:divBdr>
        </w:div>
        <w:div w:id="536041533">
          <w:marLeft w:val="360"/>
          <w:marRight w:val="0"/>
          <w:marTop w:val="200"/>
          <w:marBottom w:val="0"/>
          <w:divBdr>
            <w:top w:val="none" w:sz="0" w:space="0" w:color="auto"/>
            <w:left w:val="none" w:sz="0" w:space="0" w:color="auto"/>
            <w:bottom w:val="none" w:sz="0" w:space="0" w:color="auto"/>
            <w:right w:val="none" w:sz="0" w:space="0" w:color="auto"/>
          </w:divBdr>
        </w:div>
        <w:div w:id="681393101">
          <w:marLeft w:val="1800"/>
          <w:marRight w:val="0"/>
          <w:marTop w:val="100"/>
          <w:marBottom w:val="0"/>
          <w:divBdr>
            <w:top w:val="none" w:sz="0" w:space="0" w:color="auto"/>
            <w:left w:val="none" w:sz="0" w:space="0" w:color="auto"/>
            <w:bottom w:val="none" w:sz="0" w:space="0" w:color="auto"/>
            <w:right w:val="none" w:sz="0" w:space="0" w:color="auto"/>
          </w:divBdr>
        </w:div>
        <w:div w:id="736589233">
          <w:marLeft w:val="1800"/>
          <w:marRight w:val="0"/>
          <w:marTop w:val="100"/>
          <w:marBottom w:val="0"/>
          <w:divBdr>
            <w:top w:val="none" w:sz="0" w:space="0" w:color="auto"/>
            <w:left w:val="none" w:sz="0" w:space="0" w:color="auto"/>
            <w:bottom w:val="none" w:sz="0" w:space="0" w:color="auto"/>
            <w:right w:val="none" w:sz="0" w:space="0" w:color="auto"/>
          </w:divBdr>
        </w:div>
        <w:div w:id="940576042">
          <w:marLeft w:val="1800"/>
          <w:marRight w:val="0"/>
          <w:marTop w:val="100"/>
          <w:marBottom w:val="0"/>
          <w:divBdr>
            <w:top w:val="none" w:sz="0" w:space="0" w:color="auto"/>
            <w:left w:val="none" w:sz="0" w:space="0" w:color="auto"/>
            <w:bottom w:val="none" w:sz="0" w:space="0" w:color="auto"/>
            <w:right w:val="none" w:sz="0" w:space="0" w:color="auto"/>
          </w:divBdr>
        </w:div>
        <w:div w:id="940835783">
          <w:marLeft w:val="1800"/>
          <w:marRight w:val="0"/>
          <w:marTop w:val="100"/>
          <w:marBottom w:val="0"/>
          <w:divBdr>
            <w:top w:val="none" w:sz="0" w:space="0" w:color="auto"/>
            <w:left w:val="none" w:sz="0" w:space="0" w:color="auto"/>
            <w:bottom w:val="none" w:sz="0" w:space="0" w:color="auto"/>
            <w:right w:val="none" w:sz="0" w:space="0" w:color="auto"/>
          </w:divBdr>
        </w:div>
        <w:div w:id="1643996203">
          <w:marLeft w:val="1800"/>
          <w:marRight w:val="0"/>
          <w:marTop w:val="100"/>
          <w:marBottom w:val="0"/>
          <w:divBdr>
            <w:top w:val="none" w:sz="0" w:space="0" w:color="auto"/>
            <w:left w:val="none" w:sz="0" w:space="0" w:color="auto"/>
            <w:bottom w:val="none" w:sz="0" w:space="0" w:color="auto"/>
            <w:right w:val="none" w:sz="0" w:space="0" w:color="auto"/>
          </w:divBdr>
        </w:div>
        <w:div w:id="1684016364">
          <w:marLeft w:val="2520"/>
          <w:marRight w:val="0"/>
          <w:marTop w:val="100"/>
          <w:marBottom w:val="0"/>
          <w:divBdr>
            <w:top w:val="none" w:sz="0" w:space="0" w:color="auto"/>
            <w:left w:val="none" w:sz="0" w:space="0" w:color="auto"/>
            <w:bottom w:val="none" w:sz="0" w:space="0" w:color="auto"/>
            <w:right w:val="none" w:sz="0" w:space="0" w:color="auto"/>
          </w:divBdr>
        </w:div>
        <w:div w:id="1845314484">
          <w:marLeft w:val="2520"/>
          <w:marRight w:val="0"/>
          <w:marTop w:val="100"/>
          <w:marBottom w:val="0"/>
          <w:divBdr>
            <w:top w:val="none" w:sz="0" w:space="0" w:color="auto"/>
            <w:left w:val="none" w:sz="0" w:space="0" w:color="auto"/>
            <w:bottom w:val="none" w:sz="0" w:space="0" w:color="auto"/>
            <w:right w:val="none" w:sz="0" w:space="0" w:color="auto"/>
          </w:divBdr>
        </w:div>
        <w:div w:id="1845391003">
          <w:marLeft w:val="1800"/>
          <w:marRight w:val="0"/>
          <w:marTop w:val="100"/>
          <w:marBottom w:val="0"/>
          <w:divBdr>
            <w:top w:val="none" w:sz="0" w:space="0" w:color="auto"/>
            <w:left w:val="none" w:sz="0" w:space="0" w:color="auto"/>
            <w:bottom w:val="none" w:sz="0" w:space="0" w:color="auto"/>
            <w:right w:val="none" w:sz="0" w:space="0" w:color="auto"/>
          </w:divBdr>
        </w:div>
        <w:div w:id="1895697468">
          <w:marLeft w:val="1800"/>
          <w:marRight w:val="0"/>
          <w:marTop w:val="100"/>
          <w:marBottom w:val="0"/>
          <w:divBdr>
            <w:top w:val="none" w:sz="0" w:space="0" w:color="auto"/>
            <w:left w:val="none" w:sz="0" w:space="0" w:color="auto"/>
            <w:bottom w:val="none" w:sz="0" w:space="0" w:color="auto"/>
            <w:right w:val="none" w:sz="0" w:space="0" w:color="auto"/>
          </w:divBdr>
        </w:div>
        <w:div w:id="1945724029">
          <w:marLeft w:val="2520"/>
          <w:marRight w:val="0"/>
          <w:marTop w:val="100"/>
          <w:marBottom w:val="0"/>
          <w:divBdr>
            <w:top w:val="none" w:sz="0" w:space="0" w:color="auto"/>
            <w:left w:val="none" w:sz="0" w:space="0" w:color="auto"/>
            <w:bottom w:val="none" w:sz="0" w:space="0" w:color="auto"/>
            <w:right w:val="none" w:sz="0" w:space="0" w:color="auto"/>
          </w:divBdr>
        </w:div>
      </w:divsChild>
    </w:div>
    <w:div w:id="1451122514">
      <w:bodyDiv w:val="1"/>
      <w:marLeft w:val="0"/>
      <w:marRight w:val="0"/>
      <w:marTop w:val="0"/>
      <w:marBottom w:val="0"/>
      <w:divBdr>
        <w:top w:val="none" w:sz="0" w:space="0" w:color="auto"/>
        <w:left w:val="none" w:sz="0" w:space="0" w:color="auto"/>
        <w:bottom w:val="none" w:sz="0" w:space="0" w:color="auto"/>
        <w:right w:val="none" w:sz="0" w:space="0" w:color="auto"/>
      </w:divBdr>
    </w:div>
    <w:div w:id="1452091536">
      <w:bodyDiv w:val="1"/>
      <w:marLeft w:val="0"/>
      <w:marRight w:val="0"/>
      <w:marTop w:val="0"/>
      <w:marBottom w:val="0"/>
      <w:divBdr>
        <w:top w:val="none" w:sz="0" w:space="0" w:color="auto"/>
        <w:left w:val="none" w:sz="0" w:space="0" w:color="auto"/>
        <w:bottom w:val="none" w:sz="0" w:space="0" w:color="auto"/>
        <w:right w:val="none" w:sz="0" w:space="0" w:color="auto"/>
      </w:divBdr>
    </w:div>
    <w:div w:id="1453475314">
      <w:bodyDiv w:val="1"/>
      <w:marLeft w:val="0"/>
      <w:marRight w:val="0"/>
      <w:marTop w:val="0"/>
      <w:marBottom w:val="0"/>
      <w:divBdr>
        <w:top w:val="none" w:sz="0" w:space="0" w:color="auto"/>
        <w:left w:val="none" w:sz="0" w:space="0" w:color="auto"/>
        <w:bottom w:val="none" w:sz="0" w:space="0" w:color="auto"/>
        <w:right w:val="none" w:sz="0" w:space="0" w:color="auto"/>
      </w:divBdr>
    </w:div>
    <w:div w:id="1454666913">
      <w:bodyDiv w:val="1"/>
      <w:marLeft w:val="0"/>
      <w:marRight w:val="0"/>
      <w:marTop w:val="0"/>
      <w:marBottom w:val="0"/>
      <w:divBdr>
        <w:top w:val="none" w:sz="0" w:space="0" w:color="auto"/>
        <w:left w:val="none" w:sz="0" w:space="0" w:color="auto"/>
        <w:bottom w:val="none" w:sz="0" w:space="0" w:color="auto"/>
        <w:right w:val="none" w:sz="0" w:space="0" w:color="auto"/>
      </w:divBdr>
    </w:div>
    <w:div w:id="1454861420">
      <w:bodyDiv w:val="1"/>
      <w:marLeft w:val="0"/>
      <w:marRight w:val="0"/>
      <w:marTop w:val="0"/>
      <w:marBottom w:val="0"/>
      <w:divBdr>
        <w:top w:val="none" w:sz="0" w:space="0" w:color="auto"/>
        <w:left w:val="none" w:sz="0" w:space="0" w:color="auto"/>
        <w:bottom w:val="none" w:sz="0" w:space="0" w:color="auto"/>
        <w:right w:val="none" w:sz="0" w:space="0" w:color="auto"/>
      </w:divBdr>
    </w:div>
    <w:div w:id="1454905686">
      <w:bodyDiv w:val="1"/>
      <w:marLeft w:val="0"/>
      <w:marRight w:val="0"/>
      <w:marTop w:val="0"/>
      <w:marBottom w:val="0"/>
      <w:divBdr>
        <w:top w:val="none" w:sz="0" w:space="0" w:color="auto"/>
        <w:left w:val="none" w:sz="0" w:space="0" w:color="auto"/>
        <w:bottom w:val="none" w:sz="0" w:space="0" w:color="auto"/>
        <w:right w:val="none" w:sz="0" w:space="0" w:color="auto"/>
      </w:divBdr>
    </w:div>
    <w:div w:id="1455366875">
      <w:bodyDiv w:val="1"/>
      <w:marLeft w:val="0"/>
      <w:marRight w:val="0"/>
      <w:marTop w:val="0"/>
      <w:marBottom w:val="0"/>
      <w:divBdr>
        <w:top w:val="none" w:sz="0" w:space="0" w:color="auto"/>
        <w:left w:val="none" w:sz="0" w:space="0" w:color="auto"/>
        <w:bottom w:val="none" w:sz="0" w:space="0" w:color="auto"/>
        <w:right w:val="none" w:sz="0" w:space="0" w:color="auto"/>
      </w:divBdr>
    </w:div>
    <w:div w:id="1455713982">
      <w:bodyDiv w:val="1"/>
      <w:marLeft w:val="0"/>
      <w:marRight w:val="0"/>
      <w:marTop w:val="0"/>
      <w:marBottom w:val="0"/>
      <w:divBdr>
        <w:top w:val="none" w:sz="0" w:space="0" w:color="auto"/>
        <w:left w:val="none" w:sz="0" w:space="0" w:color="auto"/>
        <w:bottom w:val="none" w:sz="0" w:space="0" w:color="auto"/>
        <w:right w:val="none" w:sz="0" w:space="0" w:color="auto"/>
      </w:divBdr>
    </w:div>
    <w:div w:id="1455908185">
      <w:bodyDiv w:val="1"/>
      <w:marLeft w:val="0"/>
      <w:marRight w:val="0"/>
      <w:marTop w:val="0"/>
      <w:marBottom w:val="0"/>
      <w:divBdr>
        <w:top w:val="none" w:sz="0" w:space="0" w:color="auto"/>
        <w:left w:val="none" w:sz="0" w:space="0" w:color="auto"/>
        <w:bottom w:val="none" w:sz="0" w:space="0" w:color="auto"/>
        <w:right w:val="none" w:sz="0" w:space="0" w:color="auto"/>
      </w:divBdr>
    </w:div>
    <w:div w:id="1457021363">
      <w:bodyDiv w:val="1"/>
      <w:marLeft w:val="0"/>
      <w:marRight w:val="0"/>
      <w:marTop w:val="0"/>
      <w:marBottom w:val="0"/>
      <w:divBdr>
        <w:top w:val="none" w:sz="0" w:space="0" w:color="auto"/>
        <w:left w:val="none" w:sz="0" w:space="0" w:color="auto"/>
        <w:bottom w:val="none" w:sz="0" w:space="0" w:color="auto"/>
        <w:right w:val="none" w:sz="0" w:space="0" w:color="auto"/>
      </w:divBdr>
    </w:div>
    <w:div w:id="1457021842">
      <w:bodyDiv w:val="1"/>
      <w:marLeft w:val="0"/>
      <w:marRight w:val="0"/>
      <w:marTop w:val="0"/>
      <w:marBottom w:val="0"/>
      <w:divBdr>
        <w:top w:val="none" w:sz="0" w:space="0" w:color="auto"/>
        <w:left w:val="none" w:sz="0" w:space="0" w:color="auto"/>
        <w:bottom w:val="none" w:sz="0" w:space="0" w:color="auto"/>
        <w:right w:val="none" w:sz="0" w:space="0" w:color="auto"/>
      </w:divBdr>
    </w:div>
    <w:div w:id="1457330423">
      <w:bodyDiv w:val="1"/>
      <w:marLeft w:val="0"/>
      <w:marRight w:val="0"/>
      <w:marTop w:val="0"/>
      <w:marBottom w:val="0"/>
      <w:divBdr>
        <w:top w:val="none" w:sz="0" w:space="0" w:color="auto"/>
        <w:left w:val="none" w:sz="0" w:space="0" w:color="auto"/>
        <w:bottom w:val="none" w:sz="0" w:space="0" w:color="auto"/>
        <w:right w:val="none" w:sz="0" w:space="0" w:color="auto"/>
      </w:divBdr>
    </w:div>
    <w:div w:id="1457867354">
      <w:bodyDiv w:val="1"/>
      <w:marLeft w:val="0"/>
      <w:marRight w:val="0"/>
      <w:marTop w:val="0"/>
      <w:marBottom w:val="0"/>
      <w:divBdr>
        <w:top w:val="none" w:sz="0" w:space="0" w:color="auto"/>
        <w:left w:val="none" w:sz="0" w:space="0" w:color="auto"/>
        <w:bottom w:val="none" w:sz="0" w:space="0" w:color="auto"/>
        <w:right w:val="none" w:sz="0" w:space="0" w:color="auto"/>
      </w:divBdr>
    </w:div>
    <w:div w:id="1459564288">
      <w:bodyDiv w:val="1"/>
      <w:marLeft w:val="0"/>
      <w:marRight w:val="0"/>
      <w:marTop w:val="0"/>
      <w:marBottom w:val="0"/>
      <w:divBdr>
        <w:top w:val="none" w:sz="0" w:space="0" w:color="auto"/>
        <w:left w:val="none" w:sz="0" w:space="0" w:color="auto"/>
        <w:bottom w:val="none" w:sz="0" w:space="0" w:color="auto"/>
        <w:right w:val="none" w:sz="0" w:space="0" w:color="auto"/>
      </w:divBdr>
    </w:div>
    <w:div w:id="1459834217">
      <w:bodyDiv w:val="1"/>
      <w:marLeft w:val="0"/>
      <w:marRight w:val="0"/>
      <w:marTop w:val="0"/>
      <w:marBottom w:val="0"/>
      <w:divBdr>
        <w:top w:val="none" w:sz="0" w:space="0" w:color="auto"/>
        <w:left w:val="none" w:sz="0" w:space="0" w:color="auto"/>
        <w:bottom w:val="none" w:sz="0" w:space="0" w:color="auto"/>
        <w:right w:val="none" w:sz="0" w:space="0" w:color="auto"/>
      </w:divBdr>
    </w:div>
    <w:div w:id="1460151533">
      <w:bodyDiv w:val="1"/>
      <w:marLeft w:val="0"/>
      <w:marRight w:val="0"/>
      <w:marTop w:val="0"/>
      <w:marBottom w:val="0"/>
      <w:divBdr>
        <w:top w:val="none" w:sz="0" w:space="0" w:color="auto"/>
        <w:left w:val="none" w:sz="0" w:space="0" w:color="auto"/>
        <w:bottom w:val="none" w:sz="0" w:space="0" w:color="auto"/>
        <w:right w:val="none" w:sz="0" w:space="0" w:color="auto"/>
      </w:divBdr>
    </w:div>
    <w:div w:id="1460417210">
      <w:bodyDiv w:val="1"/>
      <w:marLeft w:val="0"/>
      <w:marRight w:val="0"/>
      <w:marTop w:val="0"/>
      <w:marBottom w:val="0"/>
      <w:divBdr>
        <w:top w:val="none" w:sz="0" w:space="0" w:color="auto"/>
        <w:left w:val="none" w:sz="0" w:space="0" w:color="auto"/>
        <w:bottom w:val="none" w:sz="0" w:space="0" w:color="auto"/>
        <w:right w:val="none" w:sz="0" w:space="0" w:color="auto"/>
      </w:divBdr>
    </w:div>
    <w:div w:id="1461730506">
      <w:bodyDiv w:val="1"/>
      <w:marLeft w:val="0"/>
      <w:marRight w:val="0"/>
      <w:marTop w:val="0"/>
      <w:marBottom w:val="0"/>
      <w:divBdr>
        <w:top w:val="none" w:sz="0" w:space="0" w:color="auto"/>
        <w:left w:val="none" w:sz="0" w:space="0" w:color="auto"/>
        <w:bottom w:val="none" w:sz="0" w:space="0" w:color="auto"/>
        <w:right w:val="none" w:sz="0" w:space="0" w:color="auto"/>
      </w:divBdr>
      <w:divsChild>
        <w:div w:id="99376787">
          <w:marLeft w:val="1166"/>
          <w:marRight w:val="0"/>
          <w:marTop w:val="106"/>
          <w:marBottom w:val="0"/>
          <w:divBdr>
            <w:top w:val="none" w:sz="0" w:space="0" w:color="auto"/>
            <w:left w:val="none" w:sz="0" w:space="0" w:color="auto"/>
            <w:bottom w:val="none" w:sz="0" w:space="0" w:color="auto"/>
            <w:right w:val="none" w:sz="0" w:space="0" w:color="auto"/>
          </w:divBdr>
        </w:div>
        <w:div w:id="260191054">
          <w:marLeft w:val="1166"/>
          <w:marRight w:val="0"/>
          <w:marTop w:val="106"/>
          <w:marBottom w:val="0"/>
          <w:divBdr>
            <w:top w:val="none" w:sz="0" w:space="0" w:color="auto"/>
            <w:left w:val="none" w:sz="0" w:space="0" w:color="auto"/>
            <w:bottom w:val="none" w:sz="0" w:space="0" w:color="auto"/>
            <w:right w:val="none" w:sz="0" w:space="0" w:color="auto"/>
          </w:divBdr>
        </w:div>
        <w:div w:id="968172953">
          <w:marLeft w:val="1166"/>
          <w:marRight w:val="0"/>
          <w:marTop w:val="106"/>
          <w:marBottom w:val="0"/>
          <w:divBdr>
            <w:top w:val="none" w:sz="0" w:space="0" w:color="auto"/>
            <w:left w:val="none" w:sz="0" w:space="0" w:color="auto"/>
            <w:bottom w:val="none" w:sz="0" w:space="0" w:color="auto"/>
            <w:right w:val="none" w:sz="0" w:space="0" w:color="auto"/>
          </w:divBdr>
        </w:div>
        <w:div w:id="1499073570">
          <w:marLeft w:val="547"/>
          <w:marRight w:val="0"/>
          <w:marTop w:val="120"/>
          <w:marBottom w:val="0"/>
          <w:divBdr>
            <w:top w:val="none" w:sz="0" w:space="0" w:color="auto"/>
            <w:left w:val="none" w:sz="0" w:space="0" w:color="auto"/>
            <w:bottom w:val="none" w:sz="0" w:space="0" w:color="auto"/>
            <w:right w:val="none" w:sz="0" w:space="0" w:color="auto"/>
          </w:divBdr>
        </w:div>
        <w:div w:id="1627858204">
          <w:marLeft w:val="547"/>
          <w:marRight w:val="0"/>
          <w:marTop w:val="120"/>
          <w:marBottom w:val="0"/>
          <w:divBdr>
            <w:top w:val="none" w:sz="0" w:space="0" w:color="auto"/>
            <w:left w:val="none" w:sz="0" w:space="0" w:color="auto"/>
            <w:bottom w:val="none" w:sz="0" w:space="0" w:color="auto"/>
            <w:right w:val="none" w:sz="0" w:space="0" w:color="auto"/>
          </w:divBdr>
        </w:div>
        <w:div w:id="1645504418">
          <w:marLeft w:val="1166"/>
          <w:marRight w:val="0"/>
          <w:marTop w:val="106"/>
          <w:marBottom w:val="0"/>
          <w:divBdr>
            <w:top w:val="none" w:sz="0" w:space="0" w:color="auto"/>
            <w:left w:val="none" w:sz="0" w:space="0" w:color="auto"/>
            <w:bottom w:val="none" w:sz="0" w:space="0" w:color="auto"/>
            <w:right w:val="none" w:sz="0" w:space="0" w:color="auto"/>
          </w:divBdr>
        </w:div>
        <w:div w:id="1843201428">
          <w:marLeft w:val="547"/>
          <w:marRight w:val="0"/>
          <w:marTop w:val="120"/>
          <w:marBottom w:val="0"/>
          <w:divBdr>
            <w:top w:val="none" w:sz="0" w:space="0" w:color="auto"/>
            <w:left w:val="none" w:sz="0" w:space="0" w:color="auto"/>
            <w:bottom w:val="none" w:sz="0" w:space="0" w:color="auto"/>
            <w:right w:val="none" w:sz="0" w:space="0" w:color="auto"/>
          </w:divBdr>
        </w:div>
      </w:divsChild>
    </w:div>
    <w:div w:id="1462309939">
      <w:bodyDiv w:val="1"/>
      <w:marLeft w:val="0"/>
      <w:marRight w:val="0"/>
      <w:marTop w:val="0"/>
      <w:marBottom w:val="0"/>
      <w:divBdr>
        <w:top w:val="none" w:sz="0" w:space="0" w:color="auto"/>
        <w:left w:val="none" w:sz="0" w:space="0" w:color="auto"/>
        <w:bottom w:val="none" w:sz="0" w:space="0" w:color="auto"/>
        <w:right w:val="none" w:sz="0" w:space="0" w:color="auto"/>
      </w:divBdr>
    </w:div>
    <w:div w:id="1462573529">
      <w:bodyDiv w:val="1"/>
      <w:marLeft w:val="0"/>
      <w:marRight w:val="0"/>
      <w:marTop w:val="0"/>
      <w:marBottom w:val="0"/>
      <w:divBdr>
        <w:top w:val="none" w:sz="0" w:space="0" w:color="auto"/>
        <w:left w:val="none" w:sz="0" w:space="0" w:color="auto"/>
        <w:bottom w:val="none" w:sz="0" w:space="0" w:color="auto"/>
        <w:right w:val="none" w:sz="0" w:space="0" w:color="auto"/>
      </w:divBdr>
    </w:div>
    <w:div w:id="1463115824">
      <w:bodyDiv w:val="1"/>
      <w:marLeft w:val="0"/>
      <w:marRight w:val="0"/>
      <w:marTop w:val="0"/>
      <w:marBottom w:val="0"/>
      <w:divBdr>
        <w:top w:val="none" w:sz="0" w:space="0" w:color="auto"/>
        <w:left w:val="none" w:sz="0" w:space="0" w:color="auto"/>
        <w:bottom w:val="none" w:sz="0" w:space="0" w:color="auto"/>
        <w:right w:val="none" w:sz="0" w:space="0" w:color="auto"/>
      </w:divBdr>
    </w:div>
    <w:div w:id="1463187015">
      <w:bodyDiv w:val="1"/>
      <w:marLeft w:val="0"/>
      <w:marRight w:val="0"/>
      <w:marTop w:val="0"/>
      <w:marBottom w:val="0"/>
      <w:divBdr>
        <w:top w:val="none" w:sz="0" w:space="0" w:color="auto"/>
        <w:left w:val="none" w:sz="0" w:space="0" w:color="auto"/>
        <w:bottom w:val="none" w:sz="0" w:space="0" w:color="auto"/>
        <w:right w:val="none" w:sz="0" w:space="0" w:color="auto"/>
      </w:divBdr>
    </w:div>
    <w:div w:id="1464272508">
      <w:bodyDiv w:val="1"/>
      <w:marLeft w:val="0"/>
      <w:marRight w:val="0"/>
      <w:marTop w:val="0"/>
      <w:marBottom w:val="0"/>
      <w:divBdr>
        <w:top w:val="none" w:sz="0" w:space="0" w:color="auto"/>
        <w:left w:val="none" w:sz="0" w:space="0" w:color="auto"/>
        <w:bottom w:val="none" w:sz="0" w:space="0" w:color="auto"/>
        <w:right w:val="none" w:sz="0" w:space="0" w:color="auto"/>
      </w:divBdr>
      <w:divsChild>
        <w:div w:id="821460296">
          <w:marLeft w:val="547"/>
          <w:marRight w:val="0"/>
          <w:marTop w:val="106"/>
          <w:marBottom w:val="0"/>
          <w:divBdr>
            <w:top w:val="none" w:sz="0" w:space="0" w:color="auto"/>
            <w:left w:val="none" w:sz="0" w:space="0" w:color="auto"/>
            <w:bottom w:val="none" w:sz="0" w:space="0" w:color="auto"/>
            <w:right w:val="none" w:sz="0" w:space="0" w:color="auto"/>
          </w:divBdr>
        </w:div>
        <w:div w:id="1784878234">
          <w:marLeft w:val="1166"/>
          <w:marRight w:val="0"/>
          <w:marTop w:val="96"/>
          <w:marBottom w:val="0"/>
          <w:divBdr>
            <w:top w:val="none" w:sz="0" w:space="0" w:color="auto"/>
            <w:left w:val="none" w:sz="0" w:space="0" w:color="auto"/>
            <w:bottom w:val="none" w:sz="0" w:space="0" w:color="auto"/>
            <w:right w:val="none" w:sz="0" w:space="0" w:color="auto"/>
          </w:divBdr>
        </w:div>
        <w:div w:id="1845706368">
          <w:marLeft w:val="547"/>
          <w:marRight w:val="0"/>
          <w:marTop w:val="115"/>
          <w:marBottom w:val="0"/>
          <w:divBdr>
            <w:top w:val="none" w:sz="0" w:space="0" w:color="auto"/>
            <w:left w:val="none" w:sz="0" w:space="0" w:color="auto"/>
            <w:bottom w:val="none" w:sz="0" w:space="0" w:color="auto"/>
            <w:right w:val="none" w:sz="0" w:space="0" w:color="auto"/>
          </w:divBdr>
        </w:div>
        <w:div w:id="1995572433">
          <w:marLeft w:val="1166"/>
          <w:marRight w:val="0"/>
          <w:marTop w:val="96"/>
          <w:marBottom w:val="0"/>
          <w:divBdr>
            <w:top w:val="none" w:sz="0" w:space="0" w:color="auto"/>
            <w:left w:val="none" w:sz="0" w:space="0" w:color="auto"/>
            <w:bottom w:val="none" w:sz="0" w:space="0" w:color="auto"/>
            <w:right w:val="none" w:sz="0" w:space="0" w:color="auto"/>
          </w:divBdr>
        </w:div>
      </w:divsChild>
    </w:div>
    <w:div w:id="1465998099">
      <w:bodyDiv w:val="1"/>
      <w:marLeft w:val="0"/>
      <w:marRight w:val="0"/>
      <w:marTop w:val="0"/>
      <w:marBottom w:val="0"/>
      <w:divBdr>
        <w:top w:val="none" w:sz="0" w:space="0" w:color="auto"/>
        <w:left w:val="none" w:sz="0" w:space="0" w:color="auto"/>
        <w:bottom w:val="none" w:sz="0" w:space="0" w:color="auto"/>
        <w:right w:val="none" w:sz="0" w:space="0" w:color="auto"/>
      </w:divBdr>
    </w:div>
    <w:div w:id="1466971701">
      <w:bodyDiv w:val="1"/>
      <w:marLeft w:val="0"/>
      <w:marRight w:val="0"/>
      <w:marTop w:val="0"/>
      <w:marBottom w:val="0"/>
      <w:divBdr>
        <w:top w:val="none" w:sz="0" w:space="0" w:color="auto"/>
        <w:left w:val="none" w:sz="0" w:space="0" w:color="auto"/>
        <w:bottom w:val="none" w:sz="0" w:space="0" w:color="auto"/>
        <w:right w:val="none" w:sz="0" w:space="0" w:color="auto"/>
      </w:divBdr>
    </w:div>
    <w:div w:id="1467312694">
      <w:bodyDiv w:val="1"/>
      <w:marLeft w:val="0"/>
      <w:marRight w:val="0"/>
      <w:marTop w:val="0"/>
      <w:marBottom w:val="0"/>
      <w:divBdr>
        <w:top w:val="none" w:sz="0" w:space="0" w:color="auto"/>
        <w:left w:val="none" w:sz="0" w:space="0" w:color="auto"/>
        <w:bottom w:val="none" w:sz="0" w:space="0" w:color="auto"/>
        <w:right w:val="none" w:sz="0" w:space="0" w:color="auto"/>
      </w:divBdr>
    </w:div>
    <w:div w:id="1467629178">
      <w:bodyDiv w:val="1"/>
      <w:marLeft w:val="0"/>
      <w:marRight w:val="0"/>
      <w:marTop w:val="0"/>
      <w:marBottom w:val="0"/>
      <w:divBdr>
        <w:top w:val="none" w:sz="0" w:space="0" w:color="auto"/>
        <w:left w:val="none" w:sz="0" w:space="0" w:color="auto"/>
        <w:bottom w:val="none" w:sz="0" w:space="0" w:color="auto"/>
        <w:right w:val="none" w:sz="0" w:space="0" w:color="auto"/>
      </w:divBdr>
    </w:div>
    <w:div w:id="1468082255">
      <w:bodyDiv w:val="1"/>
      <w:marLeft w:val="0"/>
      <w:marRight w:val="0"/>
      <w:marTop w:val="0"/>
      <w:marBottom w:val="0"/>
      <w:divBdr>
        <w:top w:val="none" w:sz="0" w:space="0" w:color="auto"/>
        <w:left w:val="none" w:sz="0" w:space="0" w:color="auto"/>
        <w:bottom w:val="none" w:sz="0" w:space="0" w:color="auto"/>
        <w:right w:val="none" w:sz="0" w:space="0" w:color="auto"/>
      </w:divBdr>
    </w:div>
    <w:div w:id="1469012830">
      <w:bodyDiv w:val="1"/>
      <w:marLeft w:val="0"/>
      <w:marRight w:val="0"/>
      <w:marTop w:val="0"/>
      <w:marBottom w:val="0"/>
      <w:divBdr>
        <w:top w:val="none" w:sz="0" w:space="0" w:color="auto"/>
        <w:left w:val="none" w:sz="0" w:space="0" w:color="auto"/>
        <w:bottom w:val="none" w:sz="0" w:space="0" w:color="auto"/>
        <w:right w:val="none" w:sz="0" w:space="0" w:color="auto"/>
      </w:divBdr>
    </w:div>
    <w:div w:id="1469205382">
      <w:bodyDiv w:val="1"/>
      <w:marLeft w:val="0"/>
      <w:marRight w:val="0"/>
      <w:marTop w:val="0"/>
      <w:marBottom w:val="0"/>
      <w:divBdr>
        <w:top w:val="none" w:sz="0" w:space="0" w:color="auto"/>
        <w:left w:val="none" w:sz="0" w:space="0" w:color="auto"/>
        <w:bottom w:val="none" w:sz="0" w:space="0" w:color="auto"/>
        <w:right w:val="none" w:sz="0" w:space="0" w:color="auto"/>
      </w:divBdr>
    </w:div>
    <w:div w:id="1469592584">
      <w:bodyDiv w:val="1"/>
      <w:marLeft w:val="0"/>
      <w:marRight w:val="0"/>
      <w:marTop w:val="0"/>
      <w:marBottom w:val="0"/>
      <w:divBdr>
        <w:top w:val="none" w:sz="0" w:space="0" w:color="auto"/>
        <w:left w:val="none" w:sz="0" w:space="0" w:color="auto"/>
        <w:bottom w:val="none" w:sz="0" w:space="0" w:color="auto"/>
        <w:right w:val="none" w:sz="0" w:space="0" w:color="auto"/>
      </w:divBdr>
    </w:div>
    <w:div w:id="1469779473">
      <w:bodyDiv w:val="1"/>
      <w:marLeft w:val="0"/>
      <w:marRight w:val="0"/>
      <w:marTop w:val="0"/>
      <w:marBottom w:val="0"/>
      <w:divBdr>
        <w:top w:val="none" w:sz="0" w:space="0" w:color="auto"/>
        <w:left w:val="none" w:sz="0" w:space="0" w:color="auto"/>
        <w:bottom w:val="none" w:sz="0" w:space="0" w:color="auto"/>
        <w:right w:val="none" w:sz="0" w:space="0" w:color="auto"/>
      </w:divBdr>
    </w:div>
    <w:div w:id="1469782086">
      <w:bodyDiv w:val="1"/>
      <w:marLeft w:val="0"/>
      <w:marRight w:val="0"/>
      <w:marTop w:val="0"/>
      <w:marBottom w:val="0"/>
      <w:divBdr>
        <w:top w:val="none" w:sz="0" w:space="0" w:color="auto"/>
        <w:left w:val="none" w:sz="0" w:space="0" w:color="auto"/>
        <w:bottom w:val="none" w:sz="0" w:space="0" w:color="auto"/>
        <w:right w:val="none" w:sz="0" w:space="0" w:color="auto"/>
      </w:divBdr>
      <w:divsChild>
        <w:div w:id="932782690">
          <w:marLeft w:val="1166"/>
          <w:marRight w:val="0"/>
          <w:marTop w:val="96"/>
          <w:marBottom w:val="0"/>
          <w:divBdr>
            <w:top w:val="none" w:sz="0" w:space="0" w:color="auto"/>
            <w:left w:val="none" w:sz="0" w:space="0" w:color="auto"/>
            <w:bottom w:val="none" w:sz="0" w:space="0" w:color="auto"/>
            <w:right w:val="none" w:sz="0" w:space="0" w:color="auto"/>
          </w:divBdr>
        </w:div>
        <w:div w:id="1026634087">
          <w:marLeft w:val="1800"/>
          <w:marRight w:val="0"/>
          <w:marTop w:val="86"/>
          <w:marBottom w:val="0"/>
          <w:divBdr>
            <w:top w:val="none" w:sz="0" w:space="0" w:color="auto"/>
            <w:left w:val="none" w:sz="0" w:space="0" w:color="auto"/>
            <w:bottom w:val="none" w:sz="0" w:space="0" w:color="auto"/>
            <w:right w:val="none" w:sz="0" w:space="0" w:color="auto"/>
          </w:divBdr>
        </w:div>
        <w:div w:id="1829980161">
          <w:marLeft w:val="547"/>
          <w:marRight w:val="0"/>
          <w:marTop w:val="115"/>
          <w:marBottom w:val="0"/>
          <w:divBdr>
            <w:top w:val="none" w:sz="0" w:space="0" w:color="auto"/>
            <w:left w:val="none" w:sz="0" w:space="0" w:color="auto"/>
            <w:bottom w:val="none" w:sz="0" w:space="0" w:color="auto"/>
            <w:right w:val="none" w:sz="0" w:space="0" w:color="auto"/>
          </w:divBdr>
        </w:div>
      </w:divsChild>
    </w:div>
    <w:div w:id="1470702566">
      <w:bodyDiv w:val="1"/>
      <w:marLeft w:val="0"/>
      <w:marRight w:val="0"/>
      <w:marTop w:val="0"/>
      <w:marBottom w:val="0"/>
      <w:divBdr>
        <w:top w:val="none" w:sz="0" w:space="0" w:color="auto"/>
        <w:left w:val="none" w:sz="0" w:space="0" w:color="auto"/>
        <w:bottom w:val="none" w:sz="0" w:space="0" w:color="auto"/>
        <w:right w:val="none" w:sz="0" w:space="0" w:color="auto"/>
      </w:divBdr>
    </w:div>
    <w:div w:id="1470978333">
      <w:bodyDiv w:val="1"/>
      <w:marLeft w:val="0"/>
      <w:marRight w:val="0"/>
      <w:marTop w:val="0"/>
      <w:marBottom w:val="0"/>
      <w:divBdr>
        <w:top w:val="none" w:sz="0" w:space="0" w:color="auto"/>
        <w:left w:val="none" w:sz="0" w:space="0" w:color="auto"/>
        <w:bottom w:val="none" w:sz="0" w:space="0" w:color="auto"/>
        <w:right w:val="none" w:sz="0" w:space="0" w:color="auto"/>
      </w:divBdr>
      <w:divsChild>
        <w:div w:id="1692217238">
          <w:marLeft w:val="547"/>
          <w:marRight w:val="0"/>
          <w:marTop w:val="115"/>
          <w:marBottom w:val="0"/>
          <w:divBdr>
            <w:top w:val="none" w:sz="0" w:space="0" w:color="auto"/>
            <w:left w:val="none" w:sz="0" w:space="0" w:color="auto"/>
            <w:bottom w:val="none" w:sz="0" w:space="0" w:color="auto"/>
            <w:right w:val="none" w:sz="0" w:space="0" w:color="auto"/>
          </w:divBdr>
        </w:div>
        <w:div w:id="2101944575">
          <w:marLeft w:val="547"/>
          <w:marRight w:val="0"/>
          <w:marTop w:val="115"/>
          <w:marBottom w:val="0"/>
          <w:divBdr>
            <w:top w:val="none" w:sz="0" w:space="0" w:color="auto"/>
            <w:left w:val="none" w:sz="0" w:space="0" w:color="auto"/>
            <w:bottom w:val="none" w:sz="0" w:space="0" w:color="auto"/>
            <w:right w:val="none" w:sz="0" w:space="0" w:color="auto"/>
          </w:divBdr>
        </w:div>
      </w:divsChild>
    </w:div>
    <w:div w:id="1471678292">
      <w:bodyDiv w:val="1"/>
      <w:marLeft w:val="0"/>
      <w:marRight w:val="0"/>
      <w:marTop w:val="0"/>
      <w:marBottom w:val="0"/>
      <w:divBdr>
        <w:top w:val="none" w:sz="0" w:space="0" w:color="auto"/>
        <w:left w:val="none" w:sz="0" w:space="0" w:color="auto"/>
        <w:bottom w:val="none" w:sz="0" w:space="0" w:color="auto"/>
        <w:right w:val="none" w:sz="0" w:space="0" w:color="auto"/>
      </w:divBdr>
      <w:divsChild>
        <w:div w:id="29653005">
          <w:marLeft w:val="1800"/>
          <w:marRight w:val="0"/>
          <w:marTop w:val="100"/>
          <w:marBottom w:val="0"/>
          <w:divBdr>
            <w:top w:val="none" w:sz="0" w:space="0" w:color="auto"/>
            <w:left w:val="none" w:sz="0" w:space="0" w:color="auto"/>
            <w:bottom w:val="none" w:sz="0" w:space="0" w:color="auto"/>
            <w:right w:val="none" w:sz="0" w:space="0" w:color="auto"/>
          </w:divBdr>
        </w:div>
        <w:div w:id="209148348">
          <w:marLeft w:val="2520"/>
          <w:marRight w:val="0"/>
          <w:marTop w:val="100"/>
          <w:marBottom w:val="0"/>
          <w:divBdr>
            <w:top w:val="none" w:sz="0" w:space="0" w:color="auto"/>
            <w:left w:val="none" w:sz="0" w:space="0" w:color="auto"/>
            <w:bottom w:val="none" w:sz="0" w:space="0" w:color="auto"/>
            <w:right w:val="none" w:sz="0" w:space="0" w:color="auto"/>
          </w:divBdr>
        </w:div>
        <w:div w:id="503009314">
          <w:marLeft w:val="1800"/>
          <w:marRight w:val="0"/>
          <w:marTop w:val="100"/>
          <w:marBottom w:val="0"/>
          <w:divBdr>
            <w:top w:val="none" w:sz="0" w:space="0" w:color="auto"/>
            <w:left w:val="none" w:sz="0" w:space="0" w:color="auto"/>
            <w:bottom w:val="none" w:sz="0" w:space="0" w:color="auto"/>
            <w:right w:val="none" w:sz="0" w:space="0" w:color="auto"/>
          </w:divBdr>
        </w:div>
        <w:div w:id="531649218">
          <w:marLeft w:val="1080"/>
          <w:marRight w:val="0"/>
          <w:marTop w:val="100"/>
          <w:marBottom w:val="0"/>
          <w:divBdr>
            <w:top w:val="none" w:sz="0" w:space="0" w:color="auto"/>
            <w:left w:val="none" w:sz="0" w:space="0" w:color="auto"/>
            <w:bottom w:val="none" w:sz="0" w:space="0" w:color="auto"/>
            <w:right w:val="none" w:sz="0" w:space="0" w:color="auto"/>
          </w:divBdr>
        </w:div>
        <w:div w:id="882324796">
          <w:marLeft w:val="360"/>
          <w:marRight w:val="0"/>
          <w:marTop w:val="200"/>
          <w:marBottom w:val="0"/>
          <w:divBdr>
            <w:top w:val="none" w:sz="0" w:space="0" w:color="auto"/>
            <w:left w:val="none" w:sz="0" w:space="0" w:color="auto"/>
            <w:bottom w:val="none" w:sz="0" w:space="0" w:color="auto"/>
            <w:right w:val="none" w:sz="0" w:space="0" w:color="auto"/>
          </w:divBdr>
        </w:div>
        <w:div w:id="1295910073">
          <w:marLeft w:val="3240"/>
          <w:marRight w:val="0"/>
          <w:marTop w:val="100"/>
          <w:marBottom w:val="0"/>
          <w:divBdr>
            <w:top w:val="none" w:sz="0" w:space="0" w:color="auto"/>
            <w:left w:val="none" w:sz="0" w:space="0" w:color="auto"/>
            <w:bottom w:val="none" w:sz="0" w:space="0" w:color="auto"/>
            <w:right w:val="none" w:sz="0" w:space="0" w:color="auto"/>
          </w:divBdr>
        </w:div>
        <w:div w:id="2017146064">
          <w:marLeft w:val="2520"/>
          <w:marRight w:val="0"/>
          <w:marTop w:val="100"/>
          <w:marBottom w:val="0"/>
          <w:divBdr>
            <w:top w:val="none" w:sz="0" w:space="0" w:color="auto"/>
            <w:left w:val="none" w:sz="0" w:space="0" w:color="auto"/>
            <w:bottom w:val="none" w:sz="0" w:space="0" w:color="auto"/>
            <w:right w:val="none" w:sz="0" w:space="0" w:color="auto"/>
          </w:divBdr>
        </w:div>
      </w:divsChild>
    </w:div>
    <w:div w:id="1473253925">
      <w:bodyDiv w:val="1"/>
      <w:marLeft w:val="0"/>
      <w:marRight w:val="0"/>
      <w:marTop w:val="0"/>
      <w:marBottom w:val="0"/>
      <w:divBdr>
        <w:top w:val="none" w:sz="0" w:space="0" w:color="auto"/>
        <w:left w:val="none" w:sz="0" w:space="0" w:color="auto"/>
        <w:bottom w:val="none" w:sz="0" w:space="0" w:color="auto"/>
        <w:right w:val="none" w:sz="0" w:space="0" w:color="auto"/>
      </w:divBdr>
      <w:divsChild>
        <w:div w:id="140928557">
          <w:marLeft w:val="1166"/>
          <w:marRight w:val="144"/>
          <w:marTop w:val="0"/>
          <w:marBottom w:val="120"/>
          <w:divBdr>
            <w:top w:val="none" w:sz="0" w:space="0" w:color="auto"/>
            <w:left w:val="none" w:sz="0" w:space="0" w:color="auto"/>
            <w:bottom w:val="none" w:sz="0" w:space="0" w:color="auto"/>
            <w:right w:val="none" w:sz="0" w:space="0" w:color="auto"/>
          </w:divBdr>
        </w:div>
        <w:div w:id="551423455">
          <w:marLeft w:val="1166"/>
          <w:marRight w:val="144"/>
          <w:marTop w:val="0"/>
          <w:marBottom w:val="120"/>
          <w:divBdr>
            <w:top w:val="none" w:sz="0" w:space="0" w:color="auto"/>
            <w:left w:val="none" w:sz="0" w:space="0" w:color="auto"/>
            <w:bottom w:val="none" w:sz="0" w:space="0" w:color="auto"/>
            <w:right w:val="none" w:sz="0" w:space="0" w:color="auto"/>
          </w:divBdr>
        </w:div>
        <w:div w:id="933243698">
          <w:marLeft w:val="1166"/>
          <w:marRight w:val="144"/>
          <w:marTop w:val="0"/>
          <w:marBottom w:val="120"/>
          <w:divBdr>
            <w:top w:val="none" w:sz="0" w:space="0" w:color="auto"/>
            <w:left w:val="none" w:sz="0" w:space="0" w:color="auto"/>
            <w:bottom w:val="none" w:sz="0" w:space="0" w:color="auto"/>
            <w:right w:val="none" w:sz="0" w:space="0" w:color="auto"/>
          </w:divBdr>
        </w:div>
        <w:div w:id="1132484057">
          <w:marLeft w:val="547"/>
          <w:marRight w:val="144"/>
          <w:marTop w:val="0"/>
          <w:marBottom w:val="120"/>
          <w:divBdr>
            <w:top w:val="none" w:sz="0" w:space="0" w:color="auto"/>
            <w:left w:val="none" w:sz="0" w:space="0" w:color="auto"/>
            <w:bottom w:val="none" w:sz="0" w:space="0" w:color="auto"/>
            <w:right w:val="none" w:sz="0" w:space="0" w:color="auto"/>
          </w:divBdr>
        </w:div>
        <w:div w:id="1652321620">
          <w:marLeft w:val="1166"/>
          <w:marRight w:val="144"/>
          <w:marTop w:val="0"/>
          <w:marBottom w:val="120"/>
          <w:divBdr>
            <w:top w:val="none" w:sz="0" w:space="0" w:color="auto"/>
            <w:left w:val="none" w:sz="0" w:space="0" w:color="auto"/>
            <w:bottom w:val="none" w:sz="0" w:space="0" w:color="auto"/>
            <w:right w:val="none" w:sz="0" w:space="0" w:color="auto"/>
          </w:divBdr>
        </w:div>
      </w:divsChild>
    </w:div>
    <w:div w:id="1475025381">
      <w:bodyDiv w:val="1"/>
      <w:marLeft w:val="0"/>
      <w:marRight w:val="0"/>
      <w:marTop w:val="0"/>
      <w:marBottom w:val="0"/>
      <w:divBdr>
        <w:top w:val="none" w:sz="0" w:space="0" w:color="auto"/>
        <w:left w:val="none" w:sz="0" w:space="0" w:color="auto"/>
        <w:bottom w:val="none" w:sz="0" w:space="0" w:color="auto"/>
        <w:right w:val="none" w:sz="0" w:space="0" w:color="auto"/>
      </w:divBdr>
    </w:div>
    <w:div w:id="1475441591">
      <w:bodyDiv w:val="1"/>
      <w:marLeft w:val="0"/>
      <w:marRight w:val="0"/>
      <w:marTop w:val="0"/>
      <w:marBottom w:val="0"/>
      <w:divBdr>
        <w:top w:val="none" w:sz="0" w:space="0" w:color="auto"/>
        <w:left w:val="none" w:sz="0" w:space="0" w:color="auto"/>
        <w:bottom w:val="none" w:sz="0" w:space="0" w:color="auto"/>
        <w:right w:val="none" w:sz="0" w:space="0" w:color="auto"/>
      </w:divBdr>
    </w:div>
    <w:div w:id="1476874720">
      <w:bodyDiv w:val="1"/>
      <w:marLeft w:val="0"/>
      <w:marRight w:val="0"/>
      <w:marTop w:val="0"/>
      <w:marBottom w:val="0"/>
      <w:divBdr>
        <w:top w:val="none" w:sz="0" w:space="0" w:color="auto"/>
        <w:left w:val="none" w:sz="0" w:space="0" w:color="auto"/>
        <w:bottom w:val="none" w:sz="0" w:space="0" w:color="auto"/>
        <w:right w:val="none" w:sz="0" w:space="0" w:color="auto"/>
      </w:divBdr>
    </w:div>
    <w:div w:id="1478957828">
      <w:bodyDiv w:val="1"/>
      <w:marLeft w:val="0"/>
      <w:marRight w:val="0"/>
      <w:marTop w:val="0"/>
      <w:marBottom w:val="0"/>
      <w:divBdr>
        <w:top w:val="none" w:sz="0" w:space="0" w:color="auto"/>
        <w:left w:val="none" w:sz="0" w:space="0" w:color="auto"/>
        <w:bottom w:val="none" w:sz="0" w:space="0" w:color="auto"/>
        <w:right w:val="none" w:sz="0" w:space="0" w:color="auto"/>
      </w:divBdr>
      <w:divsChild>
        <w:div w:id="1938172803">
          <w:marLeft w:val="547"/>
          <w:marRight w:val="0"/>
          <w:marTop w:val="115"/>
          <w:marBottom w:val="0"/>
          <w:divBdr>
            <w:top w:val="none" w:sz="0" w:space="0" w:color="auto"/>
            <w:left w:val="none" w:sz="0" w:space="0" w:color="auto"/>
            <w:bottom w:val="none" w:sz="0" w:space="0" w:color="auto"/>
            <w:right w:val="none" w:sz="0" w:space="0" w:color="auto"/>
          </w:divBdr>
        </w:div>
      </w:divsChild>
    </w:div>
    <w:div w:id="1479112549">
      <w:bodyDiv w:val="1"/>
      <w:marLeft w:val="0"/>
      <w:marRight w:val="0"/>
      <w:marTop w:val="0"/>
      <w:marBottom w:val="0"/>
      <w:divBdr>
        <w:top w:val="none" w:sz="0" w:space="0" w:color="auto"/>
        <w:left w:val="none" w:sz="0" w:space="0" w:color="auto"/>
        <w:bottom w:val="none" w:sz="0" w:space="0" w:color="auto"/>
        <w:right w:val="none" w:sz="0" w:space="0" w:color="auto"/>
      </w:divBdr>
    </w:div>
    <w:div w:id="1479227055">
      <w:bodyDiv w:val="1"/>
      <w:marLeft w:val="0"/>
      <w:marRight w:val="0"/>
      <w:marTop w:val="0"/>
      <w:marBottom w:val="0"/>
      <w:divBdr>
        <w:top w:val="none" w:sz="0" w:space="0" w:color="auto"/>
        <w:left w:val="none" w:sz="0" w:space="0" w:color="auto"/>
        <w:bottom w:val="none" w:sz="0" w:space="0" w:color="auto"/>
        <w:right w:val="none" w:sz="0" w:space="0" w:color="auto"/>
      </w:divBdr>
    </w:div>
    <w:div w:id="1480339307">
      <w:bodyDiv w:val="1"/>
      <w:marLeft w:val="0"/>
      <w:marRight w:val="0"/>
      <w:marTop w:val="0"/>
      <w:marBottom w:val="0"/>
      <w:divBdr>
        <w:top w:val="none" w:sz="0" w:space="0" w:color="auto"/>
        <w:left w:val="none" w:sz="0" w:space="0" w:color="auto"/>
        <w:bottom w:val="none" w:sz="0" w:space="0" w:color="auto"/>
        <w:right w:val="none" w:sz="0" w:space="0" w:color="auto"/>
      </w:divBdr>
      <w:divsChild>
        <w:div w:id="1061562797">
          <w:marLeft w:val="1166"/>
          <w:marRight w:val="0"/>
          <w:marTop w:val="86"/>
          <w:marBottom w:val="0"/>
          <w:divBdr>
            <w:top w:val="none" w:sz="0" w:space="0" w:color="auto"/>
            <w:left w:val="none" w:sz="0" w:space="0" w:color="auto"/>
            <w:bottom w:val="none" w:sz="0" w:space="0" w:color="auto"/>
            <w:right w:val="none" w:sz="0" w:space="0" w:color="auto"/>
          </w:divBdr>
        </w:div>
        <w:div w:id="1184978691">
          <w:marLeft w:val="1166"/>
          <w:marRight w:val="0"/>
          <w:marTop w:val="86"/>
          <w:marBottom w:val="0"/>
          <w:divBdr>
            <w:top w:val="none" w:sz="0" w:space="0" w:color="auto"/>
            <w:left w:val="none" w:sz="0" w:space="0" w:color="auto"/>
            <w:bottom w:val="none" w:sz="0" w:space="0" w:color="auto"/>
            <w:right w:val="none" w:sz="0" w:space="0" w:color="auto"/>
          </w:divBdr>
        </w:div>
        <w:div w:id="1249073973">
          <w:marLeft w:val="547"/>
          <w:marRight w:val="0"/>
          <w:marTop w:val="96"/>
          <w:marBottom w:val="0"/>
          <w:divBdr>
            <w:top w:val="none" w:sz="0" w:space="0" w:color="auto"/>
            <w:left w:val="none" w:sz="0" w:space="0" w:color="auto"/>
            <w:bottom w:val="none" w:sz="0" w:space="0" w:color="auto"/>
            <w:right w:val="none" w:sz="0" w:space="0" w:color="auto"/>
          </w:divBdr>
        </w:div>
        <w:div w:id="2055033275">
          <w:marLeft w:val="1166"/>
          <w:marRight w:val="0"/>
          <w:marTop w:val="86"/>
          <w:marBottom w:val="0"/>
          <w:divBdr>
            <w:top w:val="none" w:sz="0" w:space="0" w:color="auto"/>
            <w:left w:val="none" w:sz="0" w:space="0" w:color="auto"/>
            <w:bottom w:val="none" w:sz="0" w:space="0" w:color="auto"/>
            <w:right w:val="none" w:sz="0" w:space="0" w:color="auto"/>
          </w:divBdr>
        </w:div>
      </w:divsChild>
    </w:div>
    <w:div w:id="1481536719">
      <w:bodyDiv w:val="1"/>
      <w:marLeft w:val="0"/>
      <w:marRight w:val="0"/>
      <w:marTop w:val="0"/>
      <w:marBottom w:val="0"/>
      <w:divBdr>
        <w:top w:val="none" w:sz="0" w:space="0" w:color="auto"/>
        <w:left w:val="none" w:sz="0" w:space="0" w:color="auto"/>
        <w:bottom w:val="none" w:sz="0" w:space="0" w:color="auto"/>
        <w:right w:val="none" w:sz="0" w:space="0" w:color="auto"/>
      </w:divBdr>
    </w:div>
    <w:div w:id="1481776549">
      <w:bodyDiv w:val="1"/>
      <w:marLeft w:val="0"/>
      <w:marRight w:val="0"/>
      <w:marTop w:val="0"/>
      <w:marBottom w:val="0"/>
      <w:divBdr>
        <w:top w:val="none" w:sz="0" w:space="0" w:color="auto"/>
        <w:left w:val="none" w:sz="0" w:space="0" w:color="auto"/>
        <w:bottom w:val="none" w:sz="0" w:space="0" w:color="auto"/>
        <w:right w:val="none" w:sz="0" w:space="0" w:color="auto"/>
      </w:divBdr>
      <w:divsChild>
        <w:div w:id="128285775">
          <w:marLeft w:val="547"/>
          <w:marRight w:val="0"/>
          <w:marTop w:val="134"/>
          <w:marBottom w:val="0"/>
          <w:divBdr>
            <w:top w:val="none" w:sz="0" w:space="0" w:color="auto"/>
            <w:left w:val="none" w:sz="0" w:space="0" w:color="auto"/>
            <w:bottom w:val="none" w:sz="0" w:space="0" w:color="auto"/>
            <w:right w:val="none" w:sz="0" w:space="0" w:color="auto"/>
          </w:divBdr>
        </w:div>
        <w:div w:id="1365443463">
          <w:marLeft w:val="1800"/>
          <w:marRight w:val="0"/>
          <w:marTop w:val="96"/>
          <w:marBottom w:val="0"/>
          <w:divBdr>
            <w:top w:val="none" w:sz="0" w:space="0" w:color="auto"/>
            <w:left w:val="none" w:sz="0" w:space="0" w:color="auto"/>
            <w:bottom w:val="none" w:sz="0" w:space="0" w:color="auto"/>
            <w:right w:val="none" w:sz="0" w:space="0" w:color="auto"/>
          </w:divBdr>
        </w:div>
        <w:div w:id="1885484855">
          <w:marLeft w:val="1166"/>
          <w:marRight w:val="0"/>
          <w:marTop w:val="115"/>
          <w:marBottom w:val="0"/>
          <w:divBdr>
            <w:top w:val="none" w:sz="0" w:space="0" w:color="auto"/>
            <w:left w:val="none" w:sz="0" w:space="0" w:color="auto"/>
            <w:bottom w:val="none" w:sz="0" w:space="0" w:color="auto"/>
            <w:right w:val="none" w:sz="0" w:space="0" w:color="auto"/>
          </w:divBdr>
        </w:div>
      </w:divsChild>
    </w:div>
    <w:div w:id="1482577628">
      <w:bodyDiv w:val="1"/>
      <w:marLeft w:val="0"/>
      <w:marRight w:val="0"/>
      <w:marTop w:val="0"/>
      <w:marBottom w:val="0"/>
      <w:divBdr>
        <w:top w:val="none" w:sz="0" w:space="0" w:color="auto"/>
        <w:left w:val="none" w:sz="0" w:space="0" w:color="auto"/>
        <w:bottom w:val="none" w:sz="0" w:space="0" w:color="auto"/>
        <w:right w:val="none" w:sz="0" w:space="0" w:color="auto"/>
      </w:divBdr>
    </w:div>
    <w:div w:id="1483504552">
      <w:bodyDiv w:val="1"/>
      <w:marLeft w:val="0"/>
      <w:marRight w:val="0"/>
      <w:marTop w:val="0"/>
      <w:marBottom w:val="0"/>
      <w:divBdr>
        <w:top w:val="none" w:sz="0" w:space="0" w:color="auto"/>
        <w:left w:val="none" w:sz="0" w:space="0" w:color="auto"/>
        <w:bottom w:val="none" w:sz="0" w:space="0" w:color="auto"/>
        <w:right w:val="none" w:sz="0" w:space="0" w:color="auto"/>
      </w:divBdr>
    </w:div>
    <w:div w:id="1483696307">
      <w:bodyDiv w:val="1"/>
      <w:marLeft w:val="0"/>
      <w:marRight w:val="0"/>
      <w:marTop w:val="0"/>
      <w:marBottom w:val="0"/>
      <w:divBdr>
        <w:top w:val="none" w:sz="0" w:space="0" w:color="auto"/>
        <w:left w:val="none" w:sz="0" w:space="0" w:color="auto"/>
        <w:bottom w:val="none" w:sz="0" w:space="0" w:color="auto"/>
        <w:right w:val="none" w:sz="0" w:space="0" w:color="auto"/>
      </w:divBdr>
    </w:div>
    <w:div w:id="1484351960">
      <w:bodyDiv w:val="1"/>
      <w:marLeft w:val="0"/>
      <w:marRight w:val="0"/>
      <w:marTop w:val="0"/>
      <w:marBottom w:val="0"/>
      <w:divBdr>
        <w:top w:val="none" w:sz="0" w:space="0" w:color="auto"/>
        <w:left w:val="none" w:sz="0" w:space="0" w:color="auto"/>
        <w:bottom w:val="none" w:sz="0" w:space="0" w:color="auto"/>
        <w:right w:val="none" w:sz="0" w:space="0" w:color="auto"/>
      </w:divBdr>
    </w:div>
    <w:div w:id="1484737663">
      <w:bodyDiv w:val="1"/>
      <w:marLeft w:val="0"/>
      <w:marRight w:val="0"/>
      <w:marTop w:val="0"/>
      <w:marBottom w:val="0"/>
      <w:divBdr>
        <w:top w:val="none" w:sz="0" w:space="0" w:color="auto"/>
        <w:left w:val="none" w:sz="0" w:space="0" w:color="auto"/>
        <w:bottom w:val="none" w:sz="0" w:space="0" w:color="auto"/>
        <w:right w:val="none" w:sz="0" w:space="0" w:color="auto"/>
      </w:divBdr>
    </w:div>
    <w:div w:id="1485049575">
      <w:bodyDiv w:val="1"/>
      <w:marLeft w:val="0"/>
      <w:marRight w:val="0"/>
      <w:marTop w:val="0"/>
      <w:marBottom w:val="0"/>
      <w:divBdr>
        <w:top w:val="none" w:sz="0" w:space="0" w:color="auto"/>
        <w:left w:val="none" w:sz="0" w:space="0" w:color="auto"/>
        <w:bottom w:val="none" w:sz="0" w:space="0" w:color="auto"/>
        <w:right w:val="none" w:sz="0" w:space="0" w:color="auto"/>
      </w:divBdr>
    </w:div>
    <w:div w:id="1487044370">
      <w:bodyDiv w:val="1"/>
      <w:marLeft w:val="0"/>
      <w:marRight w:val="0"/>
      <w:marTop w:val="0"/>
      <w:marBottom w:val="0"/>
      <w:divBdr>
        <w:top w:val="none" w:sz="0" w:space="0" w:color="auto"/>
        <w:left w:val="none" w:sz="0" w:space="0" w:color="auto"/>
        <w:bottom w:val="none" w:sz="0" w:space="0" w:color="auto"/>
        <w:right w:val="none" w:sz="0" w:space="0" w:color="auto"/>
      </w:divBdr>
    </w:div>
    <w:div w:id="1487087455">
      <w:bodyDiv w:val="1"/>
      <w:marLeft w:val="0"/>
      <w:marRight w:val="0"/>
      <w:marTop w:val="0"/>
      <w:marBottom w:val="0"/>
      <w:divBdr>
        <w:top w:val="none" w:sz="0" w:space="0" w:color="auto"/>
        <w:left w:val="none" w:sz="0" w:space="0" w:color="auto"/>
        <w:bottom w:val="none" w:sz="0" w:space="0" w:color="auto"/>
        <w:right w:val="none" w:sz="0" w:space="0" w:color="auto"/>
      </w:divBdr>
    </w:div>
    <w:div w:id="1487626738">
      <w:bodyDiv w:val="1"/>
      <w:marLeft w:val="0"/>
      <w:marRight w:val="0"/>
      <w:marTop w:val="0"/>
      <w:marBottom w:val="0"/>
      <w:divBdr>
        <w:top w:val="none" w:sz="0" w:space="0" w:color="auto"/>
        <w:left w:val="none" w:sz="0" w:space="0" w:color="auto"/>
        <w:bottom w:val="none" w:sz="0" w:space="0" w:color="auto"/>
        <w:right w:val="none" w:sz="0" w:space="0" w:color="auto"/>
      </w:divBdr>
    </w:div>
    <w:div w:id="1488474921">
      <w:bodyDiv w:val="1"/>
      <w:marLeft w:val="0"/>
      <w:marRight w:val="0"/>
      <w:marTop w:val="0"/>
      <w:marBottom w:val="0"/>
      <w:divBdr>
        <w:top w:val="none" w:sz="0" w:space="0" w:color="auto"/>
        <w:left w:val="none" w:sz="0" w:space="0" w:color="auto"/>
        <w:bottom w:val="none" w:sz="0" w:space="0" w:color="auto"/>
        <w:right w:val="none" w:sz="0" w:space="0" w:color="auto"/>
      </w:divBdr>
      <w:divsChild>
        <w:div w:id="253707468">
          <w:marLeft w:val="547"/>
          <w:marRight w:val="0"/>
          <w:marTop w:val="115"/>
          <w:marBottom w:val="0"/>
          <w:divBdr>
            <w:top w:val="none" w:sz="0" w:space="0" w:color="auto"/>
            <w:left w:val="none" w:sz="0" w:space="0" w:color="auto"/>
            <w:bottom w:val="none" w:sz="0" w:space="0" w:color="auto"/>
            <w:right w:val="none" w:sz="0" w:space="0" w:color="auto"/>
          </w:divBdr>
        </w:div>
        <w:div w:id="562373520">
          <w:marLeft w:val="1166"/>
          <w:marRight w:val="0"/>
          <w:marTop w:val="96"/>
          <w:marBottom w:val="0"/>
          <w:divBdr>
            <w:top w:val="none" w:sz="0" w:space="0" w:color="auto"/>
            <w:left w:val="none" w:sz="0" w:space="0" w:color="auto"/>
            <w:bottom w:val="none" w:sz="0" w:space="0" w:color="auto"/>
            <w:right w:val="none" w:sz="0" w:space="0" w:color="auto"/>
          </w:divBdr>
        </w:div>
        <w:div w:id="1650284342">
          <w:marLeft w:val="1800"/>
          <w:marRight w:val="0"/>
          <w:marTop w:val="96"/>
          <w:marBottom w:val="0"/>
          <w:divBdr>
            <w:top w:val="none" w:sz="0" w:space="0" w:color="auto"/>
            <w:left w:val="none" w:sz="0" w:space="0" w:color="auto"/>
            <w:bottom w:val="none" w:sz="0" w:space="0" w:color="auto"/>
            <w:right w:val="none" w:sz="0" w:space="0" w:color="auto"/>
          </w:divBdr>
        </w:div>
        <w:div w:id="1710304560">
          <w:marLeft w:val="1800"/>
          <w:marRight w:val="0"/>
          <w:marTop w:val="96"/>
          <w:marBottom w:val="0"/>
          <w:divBdr>
            <w:top w:val="none" w:sz="0" w:space="0" w:color="auto"/>
            <w:left w:val="none" w:sz="0" w:space="0" w:color="auto"/>
            <w:bottom w:val="none" w:sz="0" w:space="0" w:color="auto"/>
            <w:right w:val="none" w:sz="0" w:space="0" w:color="auto"/>
          </w:divBdr>
        </w:div>
      </w:divsChild>
    </w:div>
    <w:div w:id="1488863711">
      <w:bodyDiv w:val="1"/>
      <w:marLeft w:val="0"/>
      <w:marRight w:val="0"/>
      <w:marTop w:val="0"/>
      <w:marBottom w:val="0"/>
      <w:divBdr>
        <w:top w:val="none" w:sz="0" w:space="0" w:color="auto"/>
        <w:left w:val="none" w:sz="0" w:space="0" w:color="auto"/>
        <w:bottom w:val="none" w:sz="0" w:space="0" w:color="auto"/>
        <w:right w:val="none" w:sz="0" w:space="0" w:color="auto"/>
      </w:divBdr>
    </w:div>
    <w:div w:id="1491484030">
      <w:bodyDiv w:val="1"/>
      <w:marLeft w:val="0"/>
      <w:marRight w:val="0"/>
      <w:marTop w:val="0"/>
      <w:marBottom w:val="0"/>
      <w:divBdr>
        <w:top w:val="none" w:sz="0" w:space="0" w:color="auto"/>
        <w:left w:val="none" w:sz="0" w:space="0" w:color="auto"/>
        <w:bottom w:val="none" w:sz="0" w:space="0" w:color="auto"/>
        <w:right w:val="none" w:sz="0" w:space="0" w:color="auto"/>
      </w:divBdr>
    </w:div>
    <w:div w:id="1493716281">
      <w:bodyDiv w:val="1"/>
      <w:marLeft w:val="0"/>
      <w:marRight w:val="0"/>
      <w:marTop w:val="0"/>
      <w:marBottom w:val="0"/>
      <w:divBdr>
        <w:top w:val="none" w:sz="0" w:space="0" w:color="auto"/>
        <w:left w:val="none" w:sz="0" w:space="0" w:color="auto"/>
        <w:bottom w:val="none" w:sz="0" w:space="0" w:color="auto"/>
        <w:right w:val="none" w:sz="0" w:space="0" w:color="auto"/>
      </w:divBdr>
    </w:div>
    <w:div w:id="1493791374">
      <w:bodyDiv w:val="1"/>
      <w:marLeft w:val="0"/>
      <w:marRight w:val="0"/>
      <w:marTop w:val="0"/>
      <w:marBottom w:val="0"/>
      <w:divBdr>
        <w:top w:val="none" w:sz="0" w:space="0" w:color="auto"/>
        <w:left w:val="none" w:sz="0" w:space="0" w:color="auto"/>
        <w:bottom w:val="none" w:sz="0" w:space="0" w:color="auto"/>
        <w:right w:val="none" w:sz="0" w:space="0" w:color="auto"/>
      </w:divBdr>
    </w:div>
    <w:div w:id="1497109115">
      <w:bodyDiv w:val="1"/>
      <w:marLeft w:val="0"/>
      <w:marRight w:val="0"/>
      <w:marTop w:val="0"/>
      <w:marBottom w:val="0"/>
      <w:divBdr>
        <w:top w:val="none" w:sz="0" w:space="0" w:color="auto"/>
        <w:left w:val="none" w:sz="0" w:space="0" w:color="auto"/>
        <w:bottom w:val="none" w:sz="0" w:space="0" w:color="auto"/>
        <w:right w:val="none" w:sz="0" w:space="0" w:color="auto"/>
      </w:divBdr>
    </w:div>
    <w:div w:id="1498882811">
      <w:bodyDiv w:val="1"/>
      <w:marLeft w:val="0"/>
      <w:marRight w:val="0"/>
      <w:marTop w:val="0"/>
      <w:marBottom w:val="0"/>
      <w:divBdr>
        <w:top w:val="none" w:sz="0" w:space="0" w:color="auto"/>
        <w:left w:val="none" w:sz="0" w:space="0" w:color="auto"/>
        <w:bottom w:val="none" w:sz="0" w:space="0" w:color="auto"/>
        <w:right w:val="none" w:sz="0" w:space="0" w:color="auto"/>
      </w:divBdr>
    </w:div>
    <w:div w:id="1499610769">
      <w:bodyDiv w:val="1"/>
      <w:marLeft w:val="0"/>
      <w:marRight w:val="0"/>
      <w:marTop w:val="0"/>
      <w:marBottom w:val="0"/>
      <w:divBdr>
        <w:top w:val="none" w:sz="0" w:space="0" w:color="auto"/>
        <w:left w:val="none" w:sz="0" w:space="0" w:color="auto"/>
        <w:bottom w:val="none" w:sz="0" w:space="0" w:color="auto"/>
        <w:right w:val="none" w:sz="0" w:space="0" w:color="auto"/>
      </w:divBdr>
      <w:divsChild>
        <w:div w:id="623000423">
          <w:marLeft w:val="1800"/>
          <w:marRight w:val="0"/>
          <w:marTop w:val="86"/>
          <w:marBottom w:val="0"/>
          <w:divBdr>
            <w:top w:val="none" w:sz="0" w:space="0" w:color="auto"/>
            <w:left w:val="none" w:sz="0" w:space="0" w:color="auto"/>
            <w:bottom w:val="none" w:sz="0" w:space="0" w:color="auto"/>
            <w:right w:val="none" w:sz="0" w:space="0" w:color="auto"/>
          </w:divBdr>
        </w:div>
        <w:div w:id="912616501">
          <w:marLeft w:val="1166"/>
          <w:marRight w:val="0"/>
          <w:marTop w:val="96"/>
          <w:marBottom w:val="0"/>
          <w:divBdr>
            <w:top w:val="none" w:sz="0" w:space="0" w:color="auto"/>
            <w:left w:val="none" w:sz="0" w:space="0" w:color="auto"/>
            <w:bottom w:val="none" w:sz="0" w:space="0" w:color="auto"/>
            <w:right w:val="none" w:sz="0" w:space="0" w:color="auto"/>
          </w:divBdr>
        </w:div>
        <w:div w:id="1001153685">
          <w:marLeft w:val="1166"/>
          <w:marRight w:val="0"/>
          <w:marTop w:val="96"/>
          <w:marBottom w:val="0"/>
          <w:divBdr>
            <w:top w:val="none" w:sz="0" w:space="0" w:color="auto"/>
            <w:left w:val="none" w:sz="0" w:space="0" w:color="auto"/>
            <w:bottom w:val="none" w:sz="0" w:space="0" w:color="auto"/>
            <w:right w:val="none" w:sz="0" w:space="0" w:color="auto"/>
          </w:divBdr>
        </w:div>
        <w:div w:id="1010064108">
          <w:marLeft w:val="547"/>
          <w:marRight w:val="0"/>
          <w:marTop w:val="115"/>
          <w:marBottom w:val="0"/>
          <w:divBdr>
            <w:top w:val="none" w:sz="0" w:space="0" w:color="auto"/>
            <w:left w:val="none" w:sz="0" w:space="0" w:color="auto"/>
            <w:bottom w:val="none" w:sz="0" w:space="0" w:color="auto"/>
            <w:right w:val="none" w:sz="0" w:space="0" w:color="auto"/>
          </w:divBdr>
        </w:div>
        <w:div w:id="1056466611">
          <w:marLeft w:val="1800"/>
          <w:marRight w:val="0"/>
          <w:marTop w:val="86"/>
          <w:marBottom w:val="0"/>
          <w:divBdr>
            <w:top w:val="none" w:sz="0" w:space="0" w:color="auto"/>
            <w:left w:val="none" w:sz="0" w:space="0" w:color="auto"/>
            <w:bottom w:val="none" w:sz="0" w:space="0" w:color="auto"/>
            <w:right w:val="none" w:sz="0" w:space="0" w:color="auto"/>
          </w:divBdr>
        </w:div>
      </w:divsChild>
    </w:div>
    <w:div w:id="1499879327">
      <w:bodyDiv w:val="1"/>
      <w:marLeft w:val="0"/>
      <w:marRight w:val="0"/>
      <w:marTop w:val="0"/>
      <w:marBottom w:val="0"/>
      <w:divBdr>
        <w:top w:val="none" w:sz="0" w:space="0" w:color="auto"/>
        <w:left w:val="none" w:sz="0" w:space="0" w:color="auto"/>
        <w:bottom w:val="none" w:sz="0" w:space="0" w:color="auto"/>
        <w:right w:val="none" w:sz="0" w:space="0" w:color="auto"/>
      </w:divBdr>
    </w:div>
    <w:div w:id="1500342857">
      <w:bodyDiv w:val="1"/>
      <w:marLeft w:val="0"/>
      <w:marRight w:val="0"/>
      <w:marTop w:val="0"/>
      <w:marBottom w:val="0"/>
      <w:divBdr>
        <w:top w:val="none" w:sz="0" w:space="0" w:color="auto"/>
        <w:left w:val="none" w:sz="0" w:space="0" w:color="auto"/>
        <w:bottom w:val="none" w:sz="0" w:space="0" w:color="auto"/>
        <w:right w:val="none" w:sz="0" w:space="0" w:color="auto"/>
      </w:divBdr>
    </w:div>
    <w:div w:id="1500389852">
      <w:bodyDiv w:val="1"/>
      <w:marLeft w:val="0"/>
      <w:marRight w:val="0"/>
      <w:marTop w:val="0"/>
      <w:marBottom w:val="0"/>
      <w:divBdr>
        <w:top w:val="none" w:sz="0" w:space="0" w:color="auto"/>
        <w:left w:val="none" w:sz="0" w:space="0" w:color="auto"/>
        <w:bottom w:val="none" w:sz="0" w:space="0" w:color="auto"/>
        <w:right w:val="none" w:sz="0" w:space="0" w:color="auto"/>
      </w:divBdr>
    </w:div>
    <w:div w:id="1500849687">
      <w:bodyDiv w:val="1"/>
      <w:marLeft w:val="0"/>
      <w:marRight w:val="0"/>
      <w:marTop w:val="0"/>
      <w:marBottom w:val="0"/>
      <w:divBdr>
        <w:top w:val="none" w:sz="0" w:space="0" w:color="auto"/>
        <w:left w:val="none" w:sz="0" w:space="0" w:color="auto"/>
        <w:bottom w:val="none" w:sz="0" w:space="0" w:color="auto"/>
        <w:right w:val="none" w:sz="0" w:space="0" w:color="auto"/>
      </w:divBdr>
    </w:div>
    <w:div w:id="1501238952">
      <w:bodyDiv w:val="1"/>
      <w:marLeft w:val="0"/>
      <w:marRight w:val="0"/>
      <w:marTop w:val="0"/>
      <w:marBottom w:val="0"/>
      <w:divBdr>
        <w:top w:val="none" w:sz="0" w:space="0" w:color="auto"/>
        <w:left w:val="none" w:sz="0" w:space="0" w:color="auto"/>
        <w:bottom w:val="none" w:sz="0" w:space="0" w:color="auto"/>
        <w:right w:val="none" w:sz="0" w:space="0" w:color="auto"/>
      </w:divBdr>
      <w:divsChild>
        <w:div w:id="2977854">
          <w:marLeft w:val="1800"/>
          <w:marRight w:val="0"/>
          <w:marTop w:val="100"/>
          <w:marBottom w:val="0"/>
          <w:divBdr>
            <w:top w:val="none" w:sz="0" w:space="0" w:color="auto"/>
            <w:left w:val="none" w:sz="0" w:space="0" w:color="auto"/>
            <w:bottom w:val="none" w:sz="0" w:space="0" w:color="auto"/>
            <w:right w:val="none" w:sz="0" w:space="0" w:color="auto"/>
          </w:divBdr>
        </w:div>
        <w:div w:id="197592199">
          <w:marLeft w:val="1800"/>
          <w:marRight w:val="0"/>
          <w:marTop w:val="100"/>
          <w:marBottom w:val="0"/>
          <w:divBdr>
            <w:top w:val="none" w:sz="0" w:space="0" w:color="auto"/>
            <w:left w:val="none" w:sz="0" w:space="0" w:color="auto"/>
            <w:bottom w:val="none" w:sz="0" w:space="0" w:color="auto"/>
            <w:right w:val="none" w:sz="0" w:space="0" w:color="auto"/>
          </w:divBdr>
        </w:div>
        <w:div w:id="700782688">
          <w:marLeft w:val="1800"/>
          <w:marRight w:val="0"/>
          <w:marTop w:val="100"/>
          <w:marBottom w:val="0"/>
          <w:divBdr>
            <w:top w:val="none" w:sz="0" w:space="0" w:color="auto"/>
            <w:left w:val="none" w:sz="0" w:space="0" w:color="auto"/>
            <w:bottom w:val="none" w:sz="0" w:space="0" w:color="auto"/>
            <w:right w:val="none" w:sz="0" w:space="0" w:color="auto"/>
          </w:divBdr>
        </w:div>
        <w:div w:id="791944988">
          <w:marLeft w:val="1080"/>
          <w:marRight w:val="0"/>
          <w:marTop w:val="100"/>
          <w:marBottom w:val="0"/>
          <w:divBdr>
            <w:top w:val="none" w:sz="0" w:space="0" w:color="auto"/>
            <w:left w:val="none" w:sz="0" w:space="0" w:color="auto"/>
            <w:bottom w:val="none" w:sz="0" w:space="0" w:color="auto"/>
            <w:right w:val="none" w:sz="0" w:space="0" w:color="auto"/>
          </w:divBdr>
        </w:div>
        <w:div w:id="823160163">
          <w:marLeft w:val="1800"/>
          <w:marRight w:val="0"/>
          <w:marTop w:val="100"/>
          <w:marBottom w:val="0"/>
          <w:divBdr>
            <w:top w:val="none" w:sz="0" w:space="0" w:color="auto"/>
            <w:left w:val="none" w:sz="0" w:space="0" w:color="auto"/>
            <w:bottom w:val="none" w:sz="0" w:space="0" w:color="auto"/>
            <w:right w:val="none" w:sz="0" w:space="0" w:color="auto"/>
          </w:divBdr>
        </w:div>
        <w:div w:id="1017316186">
          <w:marLeft w:val="1080"/>
          <w:marRight w:val="0"/>
          <w:marTop w:val="100"/>
          <w:marBottom w:val="0"/>
          <w:divBdr>
            <w:top w:val="none" w:sz="0" w:space="0" w:color="auto"/>
            <w:left w:val="none" w:sz="0" w:space="0" w:color="auto"/>
            <w:bottom w:val="none" w:sz="0" w:space="0" w:color="auto"/>
            <w:right w:val="none" w:sz="0" w:space="0" w:color="auto"/>
          </w:divBdr>
        </w:div>
        <w:div w:id="1180774703">
          <w:marLeft w:val="360"/>
          <w:marRight w:val="0"/>
          <w:marTop w:val="200"/>
          <w:marBottom w:val="0"/>
          <w:divBdr>
            <w:top w:val="none" w:sz="0" w:space="0" w:color="auto"/>
            <w:left w:val="none" w:sz="0" w:space="0" w:color="auto"/>
            <w:bottom w:val="none" w:sz="0" w:space="0" w:color="auto"/>
            <w:right w:val="none" w:sz="0" w:space="0" w:color="auto"/>
          </w:divBdr>
        </w:div>
        <w:div w:id="1394618004">
          <w:marLeft w:val="1080"/>
          <w:marRight w:val="0"/>
          <w:marTop w:val="100"/>
          <w:marBottom w:val="0"/>
          <w:divBdr>
            <w:top w:val="none" w:sz="0" w:space="0" w:color="auto"/>
            <w:left w:val="none" w:sz="0" w:space="0" w:color="auto"/>
            <w:bottom w:val="none" w:sz="0" w:space="0" w:color="auto"/>
            <w:right w:val="none" w:sz="0" w:space="0" w:color="auto"/>
          </w:divBdr>
        </w:div>
        <w:div w:id="1438135129">
          <w:marLeft w:val="1080"/>
          <w:marRight w:val="0"/>
          <w:marTop w:val="100"/>
          <w:marBottom w:val="0"/>
          <w:divBdr>
            <w:top w:val="none" w:sz="0" w:space="0" w:color="auto"/>
            <w:left w:val="none" w:sz="0" w:space="0" w:color="auto"/>
            <w:bottom w:val="none" w:sz="0" w:space="0" w:color="auto"/>
            <w:right w:val="none" w:sz="0" w:space="0" w:color="auto"/>
          </w:divBdr>
        </w:div>
        <w:div w:id="1587156760">
          <w:marLeft w:val="1080"/>
          <w:marRight w:val="0"/>
          <w:marTop w:val="100"/>
          <w:marBottom w:val="0"/>
          <w:divBdr>
            <w:top w:val="none" w:sz="0" w:space="0" w:color="auto"/>
            <w:left w:val="none" w:sz="0" w:space="0" w:color="auto"/>
            <w:bottom w:val="none" w:sz="0" w:space="0" w:color="auto"/>
            <w:right w:val="none" w:sz="0" w:space="0" w:color="auto"/>
          </w:divBdr>
        </w:div>
        <w:div w:id="1593902623">
          <w:marLeft w:val="1800"/>
          <w:marRight w:val="0"/>
          <w:marTop w:val="100"/>
          <w:marBottom w:val="0"/>
          <w:divBdr>
            <w:top w:val="none" w:sz="0" w:space="0" w:color="auto"/>
            <w:left w:val="none" w:sz="0" w:space="0" w:color="auto"/>
            <w:bottom w:val="none" w:sz="0" w:space="0" w:color="auto"/>
            <w:right w:val="none" w:sz="0" w:space="0" w:color="auto"/>
          </w:divBdr>
        </w:div>
      </w:divsChild>
    </w:div>
    <w:div w:id="1502355189">
      <w:bodyDiv w:val="1"/>
      <w:marLeft w:val="0"/>
      <w:marRight w:val="0"/>
      <w:marTop w:val="0"/>
      <w:marBottom w:val="0"/>
      <w:divBdr>
        <w:top w:val="none" w:sz="0" w:space="0" w:color="auto"/>
        <w:left w:val="none" w:sz="0" w:space="0" w:color="auto"/>
        <w:bottom w:val="none" w:sz="0" w:space="0" w:color="auto"/>
        <w:right w:val="none" w:sz="0" w:space="0" w:color="auto"/>
      </w:divBdr>
    </w:div>
    <w:div w:id="1503819293">
      <w:bodyDiv w:val="1"/>
      <w:marLeft w:val="0"/>
      <w:marRight w:val="0"/>
      <w:marTop w:val="0"/>
      <w:marBottom w:val="0"/>
      <w:divBdr>
        <w:top w:val="none" w:sz="0" w:space="0" w:color="auto"/>
        <w:left w:val="none" w:sz="0" w:space="0" w:color="auto"/>
        <w:bottom w:val="none" w:sz="0" w:space="0" w:color="auto"/>
        <w:right w:val="none" w:sz="0" w:space="0" w:color="auto"/>
      </w:divBdr>
    </w:div>
    <w:div w:id="1504081272">
      <w:bodyDiv w:val="1"/>
      <w:marLeft w:val="0"/>
      <w:marRight w:val="0"/>
      <w:marTop w:val="0"/>
      <w:marBottom w:val="0"/>
      <w:divBdr>
        <w:top w:val="none" w:sz="0" w:space="0" w:color="auto"/>
        <w:left w:val="none" w:sz="0" w:space="0" w:color="auto"/>
        <w:bottom w:val="none" w:sz="0" w:space="0" w:color="auto"/>
        <w:right w:val="none" w:sz="0" w:space="0" w:color="auto"/>
      </w:divBdr>
    </w:div>
    <w:div w:id="1504786145">
      <w:bodyDiv w:val="1"/>
      <w:marLeft w:val="0"/>
      <w:marRight w:val="0"/>
      <w:marTop w:val="0"/>
      <w:marBottom w:val="0"/>
      <w:divBdr>
        <w:top w:val="none" w:sz="0" w:space="0" w:color="auto"/>
        <w:left w:val="none" w:sz="0" w:space="0" w:color="auto"/>
        <w:bottom w:val="none" w:sz="0" w:space="0" w:color="auto"/>
        <w:right w:val="none" w:sz="0" w:space="0" w:color="auto"/>
      </w:divBdr>
    </w:div>
    <w:div w:id="1505707654">
      <w:bodyDiv w:val="1"/>
      <w:marLeft w:val="0"/>
      <w:marRight w:val="0"/>
      <w:marTop w:val="0"/>
      <w:marBottom w:val="0"/>
      <w:divBdr>
        <w:top w:val="none" w:sz="0" w:space="0" w:color="auto"/>
        <w:left w:val="none" w:sz="0" w:space="0" w:color="auto"/>
        <w:bottom w:val="none" w:sz="0" w:space="0" w:color="auto"/>
        <w:right w:val="none" w:sz="0" w:space="0" w:color="auto"/>
      </w:divBdr>
    </w:div>
    <w:div w:id="1507866598">
      <w:bodyDiv w:val="1"/>
      <w:marLeft w:val="0"/>
      <w:marRight w:val="0"/>
      <w:marTop w:val="0"/>
      <w:marBottom w:val="0"/>
      <w:divBdr>
        <w:top w:val="none" w:sz="0" w:space="0" w:color="auto"/>
        <w:left w:val="none" w:sz="0" w:space="0" w:color="auto"/>
        <w:bottom w:val="none" w:sz="0" w:space="0" w:color="auto"/>
        <w:right w:val="none" w:sz="0" w:space="0" w:color="auto"/>
      </w:divBdr>
    </w:div>
    <w:div w:id="1509097819">
      <w:bodyDiv w:val="1"/>
      <w:marLeft w:val="0"/>
      <w:marRight w:val="0"/>
      <w:marTop w:val="0"/>
      <w:marBottom w:val="0"/>
      <w:divBdr>
        <w:top w:val="none" w:sz="0" w:space="0" w:color="auto"/>
        <w:left w:val="none" w:sz="0" w:space="0" w:color="auto"/>
        <w:bottom w:val="none" w:sz="0" w:space="0" w:color="auto"/>
        <w:right w:val="none" w:sz="0" w:space="0" w:color="auto"/>
      </w:divBdr>
    </w:div>
    <w:div w:id="1509557103">
      <w:bodyDiv w:val="1"/>
      <w:marLeft w:val="0"/>
      <w:marRight w:val="0"/>
      <w:marTop w:val="0"/>
      <w:marBottom w:val="0"/>
      <w:divBdr>
        <w:top w:val="none" w:sz="0" w:space="0" w:color="auto"/>
        <w:left w:val="none" w:sz="0" w:space="0" w:color="auto"/>
        <w:bottom w:val="none" w:sz="0" w:space="0" w:color="auto"/>
        <w:right w:val="none" w:sz="0" w:space="0" w:color="auto"/>
      </w:divBdr>
    </w:div>
    <w:div w:id="1510098481">
      <w:bodyDiv w:val="1"/>
      <w:marLeft w:val="0"/>
      <w:marRight w:val="0"/>
      <w:marTop w:val="0"/>
      <w:marBottom w:val="0"/>
      <w:divBdr>
        <w:top w:val="none" w:sz="0" w:space="0" w:color="auto"/>
        <w:left w:val="none" w:sz="0" w:space="0" w:color="auto"/>
        <w:bottom w:val="none" w:sz="0" w:space="0" w:color="auto"/>
        <w:right w:val="none" w:sz="0" w:space="0" w:color="auto"/>
      </w:divBdr>
      <w:divsChild>
        <w:div w:id="994646504">
          <w:marLeft w:val="547"/>
          <w:marRight w:val="0"/>
          <w:marTop w:val="115"/>
          <w:marBottom w:val="0"/>
          <w:divBdr>
            <w:top w:val="none" w:sz="0" w:space="0" w:color="auto"/>
            <w:left w:val="none" w:sz="0" w:space="0" w:color="auto"/>
            <w:bottom w:val="none" w:sz="0" w:space="0" w:color="auto"/>
            <w:right w:val="none" w:sz="0" w:space="0" w:color="auto"/>
          </w:divBdr>
        </w:div>
        <w:div w:id="1027563876">
          <w:marLeft w:val="1267"/>
          <w:marRight w:val="0"/>
          <w:marTop w:val="96"/>
          <w:marBottom w:val="0"/>
          <w:divBdr>
            <w:top w:val="none" w:sz="0" w:space="0" w:color="auto"/>
            <w:left w:val="none" w:sz="0" w:space="0" w:color="auto"/>
            <w:bottom w:val="none" w:sz="0" w:space="0" w:color="auto"/>
            <w:right w:val="none" w:sz="0" w:space="0" w:color="auto"/>
          </w:divBdr>
        </w:div>
        <w:div w:id="1217206161">
          <w:marLeft w:val="1267"/>
          <w:marRight w:val="0"/>
          <w:marTop w:val="96"/>
          <w:marBottom w:val="0"/>
          <w:divBdr>
            <w:top w:val="none" w:sz="0" w:space="0" w:color="auto"/>
            <w:left w:val="none" w:sz="0" w:space="0" w:color="auto"/>
            <w:bottom w:val="none" w:sz="0" w:space="0" w:color="auto"/>
            <w:right w:val="none" w:sz="0" w:space="0" w:color="auto"/>
          </w:divBdr>
        </w:div>
      </w:divsChild>
    </w:div>
    <w:div w:id="1510099640">
      <w:bodyDiv w:val="1"/>
      <w:marLeft w:val="0"/>
      <w:marRight w:val="0"/>
      <w:marTop w:val="0"/>
      <w:marBottom w:val="0"/>
      <w:divBdr>
        <w:top w:val="none" w:sz="0" w:space="0" w:color="auto"/>
        <w:left w:val="none" w:sz="0" w:space="0" w:color="auto"/>
        <w:bottom w:val="none" w:sz="0" w:space="0" w:color="auto"/>
        <w:right w:val="none" w:sz="0" w:space="0" w:color="auto"/>
      </w:divBdr>
    </w:div>
    <w:div w:id="1510103018">
      <w:bodyDiv w:val="1"/>
      <w:marLeft w:val="0"/>
      <w:marRight w:val="0"/>
      <w:marTop w:val="0"/>
      <w:marBottom w:val="0"/>
      <w:divBdr>
        <w:top w:val="none" w:sz="0" w:space="0" w:color="auto"/>
        <w:left w:val="none" w:sz="0" w:space="0" w:color="auto"/>
        <w:bottom w:val="none" w:sz="0" w:space="0" w:color="auto"/>
        <w:right w:val="none" w:sz="0" w:space="0" w:color="auto"/>
      </w:divBdr>
    </w:div>
    <w:div w:id="1511601785">
      <w:bodyDiv w:val="1"/>
      <w:marLeft w:val="0"/>
      <w:marRight w:val="0"/>
      <w:marTop w:val="0"/>
      <w:marBottom w:val="0"/>
      <w:divBdr>
        <w:top w:val="none" w:sz="0" w:space="0" w:color="auto"/>
        <w:left w:val="none" w:sz="0" w:space="0" w:color="auto"/>
        <w:bottom w:val="none" w:sz="0" w:space="0" w:color="auto"/>
        <w:right w:val="none" w:sz="0" w:space="0" w:color="auto"/>
      </w:divBdr>
    </w:div>
    <w:div w:id="1511603402">
      <w:bodyDiv w:val="1"/>
      <w:marLeft w:val="0"/>
      <w:marRight w:val="0"/>
      <w:marTop w:val="0"/>
      <w:marBottom w:val="0"/>
      <w:divBdr>
        <w:top w:val="none" w:sz="0" w:space="0" w:color="auto"/>
        <w:left w:val="none" w:sz="0" w:space="0" w:color="auto"/>
        <w:bottom w:val="none" w:sz="0" w:space="0" w:color="auto"/>
        <w:right w:val="none" w:sz="0" w:space="0" w:color="auto"/>
      </w:divBdr>
    </w:div>
    <w:div w:id="1512139860">
      <w:bodyDiv w:val="1"/>
      <w:marLeft w:val="0"/>
      <w:marRight w:val="0"/>
      <w:marTop w:val="0"/>
      <w:marBottom w:val="0"/>
      <w:divBdr>
        <w:top w:val="none" w:sz="0" w:space="0" w:color="auto"/>
        <w:left w:val="none" w:sz="0" w:space="0" w:color="auto"/>
        <w:bottom w:val="none" w:sz="0" w:space="0" w:color="auto"/>
        <w:right w:val="none" w:sz="0" w:space="0" w:color="auto"/>
      </w:divBdr>
    </w:div>
    <w:div w:id="1512181452">
      <w:bodyDiv w:val="1"/>
      <w:marLeft w:val="0"/>
      <w:marRight w:val="0"/>
      <w:marTop w:val="0"/>
      <w:marBottom w:val="0"/>
      <w:divBdr>
        <w:top w:val="none" w:sz="0" w:space="0" w:color="auto"/>
        <w:left w:val="none" w:sz="0" w:space="0" w:color="auto"/>
        <w:bottom w:val="none" w:sz="0" w:space="0" w:color="auto"/>
        <w:right w:val="none" w:sz="0" w:space="0" w:color="auto"/>
      </w:divBdr>
    </w:div>
    <w:div w:id="1512377600">
      <w:bodyDiv w:val="1"/>
      <w:marLeft w:val="0"/>
      <w:marRight w:val="0"/>
      <w:marTop w:val="0"/>
      <w:marBottom w:val="0"/>
      <w:divBdr>
        <w:top w:val="none" w:sz="0" w:space="0" w:color="auto"/>
        <w:left w:val="none" w:sz="0" w:space="0" w:color="auto"/>
        <w:bottom w:val="none" w:sz="0" w:space="0" w:color="auto"/>
        <w:right w:val="none" w:sz="0" w:space="0" w:color="auto"/>
      </w:divBdr>
    </w:div>
    <w:div w:id="1512717635">
      <w:bodyDiv w:val="1"/>
      <w:marLeft w:val="0"/>
      <w:marRight w:val="0"/>
      <w:marTop w:val="0"/>
      <w:marBottom w:val="0"/>
      <w:divBdr>
        <w:top w:val="none" w:sz="0" w:space="0" w:color="auto"/>
        <w:left w:val="none" w:sz="0" w:space="0" w:color="auto"/>
        <w:bottom w:val="none" w:sz="0" w:space="0" w:color="auto"/>
        <w:right w:val="none" w:sz="0" w:space="0" w:color="auto"/>
      </w:divBdr>
    </w:div>
    <w:div w:id="1516726419">
      <w:bodyDiv w:val="1"/>
      <w:marLeft w:val="0"/>
      <w:marRight w:val="0"/>
      <w:marTop w:val="0"/>
      <w:marBottom w:val="0"/>
      <w:divBdr>
        <w:top w:val="none" w:sz="0" w:space="0" w:color="auto"/>
        <w:left w:val="none" w:sz="0" w:space="0" w:color="auto"/>
        <w:bottom w:val="none" w:sz="0" w:space="0" w:color="auto"/>
        <w:right w:val="none" w:sz="0" w:space="0" w:color="auto"/>
      </w:divBdr>
      <w:divsChild>
        <w:div w:id="639504169">
          <w:marLeft w:val="1800"/>
          <w:marRight w:val="0"/>
          <w:marTop w:val="100"/>
          <w:marBottom w:val="0"/>
          <w:divBdr>
            <w:top w:val="none" w:sz="0" w:space="0" w:color="auto"/>
            <w:left w:val="none" w:sz="0" w:space="0" w:color="auto"/>
            <w:bottom w:val="none" w:sz="0" w:space="0" w:color="auto"/>
            <w:right w:val="none" w:sz="0" w:space="0" w:color="auto"/>
          </w:divBdr>
        </w:div>
        <w:div w:id="764110807">
          <w:marLeft w:val="1080"/>
          <w:marRight w:val="0"/>
          <w:marTop w:val="100"/>
          <w:marBottom w:val="0"/>
          <w:divBdr>
            <w:top w:val="none" w:sz="0" w:space="0" w:color="auto"/>
            <w:left w:val="none" w:sz="0" w:space="0" w:color="auto"/>
            <w:bottom w:val="none" w:sz="0" w:space="0" w:color="auto"/>
            <w:right w:val="none" w:sz="0" w:space="0" w:color="auto"/>
          </w:divBdr>
        </w:div>
        <w:div w:id="1097864359">
          <w:marLeft w:val="1080"/>
          <w:marRight w:val="0"/>
          <w:marTop w:val="100"/>
          <w:marBottom w:val="0"/>
          <w:divBdr>
            <w:top w:val="none" w:sz="0" w:space="0" w:color="auto"/>
            <w:left w:val="none" w:sz="0" w:space="0" w:color="auto"/>
            <w:bottom w:val="none" w:sz="0" w:space="0" w:color="auto"/>
            <w:right w:val="none" w:sz="0" w:space="0" w:color="auto"/>
          </w:divBdr>
        </w:div>
        <w:div w:id="1206789753">
          <w:marLeft w:val="1080"/>
          <w:marRight w:val="0"/>
          <w:marTop w:val="100"/>
          <w:marBottom w:val="0"/>
          <w:divBdr>
            <w:top w:val="none" w:sz="0" w:space="0" w:color="auto"/>
            <w:left w:val="none" w:sz="0" w:space="0" w:color="auto"/>
            <w:bottom w:val="none" w:sz="0" w:space="0" w:color="auto"/>
            <w:right w:val="none" w:sz="0" w:space="0" w:color="auto"/>
          </w:divBdr>
        </w:div>
        <w:div w:id="1404260523">
          <w:marLeft w:val="360"/>
          <w:marRight w:val="0"/>
          <w:marTop w:val="200"/>
          <w:marBottom w:val="0"/>
          <w:divBdr>
            <w:top w:val="none" w:sz="0" w:space="0" w:color="auto"/>
            <w:left w:val="none" w:sz="0" w:space="0" w:color="auto"/>
            <w:bottom w:val="none" w:sz="0" w:space="0" w:color="auto"/>
            <w:right w:val="none" w:sz="0" w:space="0" w:color="auto"/>
          </w:divBdr>
        </w:div>
        <w:div w:id="1545675547">
          <w:marLeft w:val="1080"/>
          <w:marRight w:val="0"/>
          <w:marTop w:val="100"/>
          <w:marBottom w:val="0"/>
          <w:divBdr>
            <w:top w:val="none" w:sz="0" w:space="0" w:color="auto"/>
            <w:left w:val="none" w:sz="0" w:space="0" w:color="auto"/>
            <w:bottom w:val="none" w:sz="0" w:space="0" w:color="auto"/>
            <w:right w:val="none" w:sz="0" w:space="0" w:color="auto"/>
          </w:divBdr>
        </w:div>
        <w:div w:id="1725640453">
          <w:marLeft w:val="1080"/>
          <w:marRight w:val="0"/>
          <w:marTop w:val="100"/>
          <w:marBottom w:val="0"/>
          <w:divBdr>
            <w:top w:val="none" w:sz="0" w:space="0" w:color="auto"/>
            <w:left w:val="none" w:sz="0" w:space="0" w:color="auto"/>
            <w:bottom w:val="none" w:sz="0" w:space="0" w:color="auto"/>
            <w:right w:val="none" w:sz="0" w:space="0" w:color="auto"/>
          </w:divBdr>
        </w:div>
      </w:divsChild>
    </w:div>
    <w:div w:id="1516920330">
      <w:bodyDiv w:val="1"/>
      <w:marLeft w:val="0"/>
      <w:marRight w:val="0"/>
      <w:marTop w:val="0"/>
      <w:marBottom w:val="0"/>
      <w:divBdr>
        <w:top w:val="none" w:sz="0" w:space="0" w:color="auto"/>
        <w:left w:val="none" w:sz="0" w:space="0" w:color="auto"/>
        <w:bottom w:val="none" w:sz="0" w:space="0" w:color="auto"/>
        <w:right w:val="none" w:sz="0" w:space="0" w:color="auto"/>
      </w:divBdr>
    </w:div>
    <w:div w:id="1521772146">
      <w:bodyDiv w:val="1"/>
      <w:marLeft w:val="0"/>
      <w:marRight w:val="0"/>
      <w:marTop w:val="0"/>
      <w:marBottom w:val="0"/>
      <w:divBdr>
        <w:top w:val="none" w:sz="0" w:space="0" w:color="auto"/>
        <w:left w:val="none" w:sz="0" w:space="0" w:color="auto"/>
        <w:bottom w:val="none" w:sz="0" w:space="0" w:color="auto"/>
        <w:right w:val="none" w:sz="0" w:space="0" w:color="auto"/>
      </w:divBdr>
    </w:div>
    <w:div w:id="1522205595">
      <w:bodyDiv w:val="1"/>
      <w:marLeft w:val="0"/>
      <w:marRight w:val="0"/>
      <w:marTop w:val="0"/>
      <w:marBottom w:val="0"/>
      <w:divBdr>
        <w:top w:val="none" w:sz="0" w:space="0" w:color="auto"/>
        <w:left w:val="none" w:sz="0" w:space="0" w:color="auto"/>
        <w:bottom w:val="none" w:sz="0" w:space="0" w:color="auto"/>
        <w:right w:val="none" w:sz="0" w:space="0" w:color="auto"/>
      </w:divBdr>
      <w:divsChild>
        <w:div w:id="267398043">
          <w:marLeft w:val="1800"/>
          <w:marRight w:val="0"/>
          <w:marTop w:val="86"/>
          <w:marBottom w:val="0"/>
          <w:divBdr>
            <w:top w:val="none" w:sz="0" w:space="0" w:color="auto"/>
            <w:left w:val="none" w:sz="0" w:space="0" w:color="auto"/>
            <w:bottom w:val="none" w:sz="0" w:space="0" w:color="auto"/>
            <w:right w:val="none" w:sz="0" w:space="0" w:color="auto"/>
          </w:divBdr>
        </w:div>
        <w:div w:id="406727257">
          <w:marLeft w:val="1166"/>
          <w:marRight w:val="0"/>
          <w:marTop w:val="96"/>
          <w:marBottom w:val="0"/>
          <w:divBdr>
            <w:top w:val="none" w:sz="0" w:space="0" w:color="auto"/>
            <w:left w:val="none" w:sz="0" w:space="0" w:color="auto"/>
            <w:bottom w:val="none" w:sz="0" w:space="0" w:color="auto"/>
            <w:right w:val="none" w:sz="0" w:space="0" w:color="auto"/>
          </w:divBdr>
        </w:div>
        <w:div w:id="484780431">
          <w:marLeft w:val="1800"/>
          <w:marRight w:val="0"/>
          <w:marTop w:val="86"/>
          <w:marBottom w:val="0"/>
          <w:divBdr>
            <w:top w:val="none" w:sz="0" w:space="0" w:color="auto"/>
            <w:left w:val="none" w:sz="0" w:space="0" w:color="auto"/>
            <w:bottom w:val="none" w:sz="0" w:space="0" w:color="auto"/>
            <w:right w:val="none" w:sz="0" w:space="0" w:color="auto"/>
          </w:divBdr>
        </w:div>
        <w:div w:id="756632016">
          <w:marLeft w:val="1800"/>
          <w:marRight w:val="0"/>
          <w:marTop w:val="86"/>
          <w:marBottom w:val="0"/>
          <w:divBdr>
            <w:top w:val="none" w:sz="0" w:space="0" w:color="auto"/>
            <w:left w:val="none" w:sz="0" w:space="0" w:color="auto"/>
            <w:bottom w:val="none" w:sz="0" w:space="0" w:color="auto"/>
            <w:right w:val="none" w:sz="0" w:space="0" w:color="auto"/>
          </w:divBdr>
        </w:div>
        <w:div w:id="1031152705">
          <w:marLeft w:val="1800"/>
          <w:marRight w:val="0"/>
          <w:marTop w:val="86"/>
          <w:marBottom w:val="0"/>
          <w:divBdr>
            <w:top w:val="none" w:sz="0" w:space="0" w:color="auto"/>
            <w:left w:val="none" w:sz="0" w:space="0" w:color="auto"/>
            <w:bottom w:val="none" w:sz="0" w:space="0" w:color="auto"/>
            <w:right w:val="none" w:sz="0" w:space="0" w:color="auto"/>
          </w:divBdr>
        </w:div>
        <w:div w:id="1150485108">
          <w:marLeft w:val="1800"/>
          <w:marRight w:val="0"/>
          <w:marTop w:val="86"/>
          <w:marBottom w:val="0"/>
          <w:divBdr>
            <w:top w:val="none" w:sz="0" w:space="0" w:color="auto"/>
            <w:left w:val="none" w:sz="0" w:space="0" w:color="auto"/>
            <w:bottom w:val="none" w:sz="0" w:space="0" w:color="auto"/>
            <w:right w:val="none" w:sz="0" w:space="0" w:color="auto"/>
          </w:divBdr>
        </w:div>
        <w:div w:id="1160922790">
          <w:marLeft w:val="1800"/>
          <w:marRight w:val="0"/>
          <w:marTop w:val="86"/>
          <w:marBottom w:val="0"/>
          <w:divBdr>
            <w:top w:val="none" w:sz="0" w:space="0" w:color="auto"/>
            <w:left w:val="none" w:sz="0" w:space="0" w:color="auto"/>
            <w:bottom w:val="none" w:sz="0" w:space="0" w:color="auto"/>
            <w:right w:val="none" w:sz="0" w:space="0" w:color="auto"/>
          </w:divBdr>
        </w:div>
        <w:div w:id="1255822103">
          <w:marLeft w:val="1800"/>
          <w:marRight w:val="0"/>
          <w:marTop w:val="86"/>
          <w:marBottom w:val="0"/>
          <w:divBdr>
            <w:top w:val="none" w:sz="0" w:space="0" w:color="auto"/>
            <w:left w:val="none" w:sz="0" w:space="0" w:color="auto"/>
            <w:bottom w:val="none" w:sz="0" w:space="0" w:color="auto"/>
            <w:right w:val="none" w:sz="0" w:space="0" w:color="auto"/>
          </w:divBdr>
        </w:div>
        <w:div w:id="1371879666">
          <w:marLeft w:val="1800"/>
          <w:marRight w:val="0"/>
          <w:marTop w:val="86"/>
          <w:marBottom w:val="0"/>
          <w:divBdr>
            <w:top w:val="none" w:sz="0" w:space="0" w:color="auto"/>
            <w:left w:val="none" w:sz="0" w:space="0" w:color="auto"/>
            <w:bottom w:val="none" w:sz="0" w:space="0" w:color="auto"/>
            <w:right w:val="none" w:sz="0" w:space="0" w:color="auto"/>
          </w:divBdr>
        </w:div>
        <w:div w:id="1457023407">
          <w:marLeft w:val="1800"/>
          <w:marRight w:val="0"/>
          <w:marTop w:val="86"/>
          <w:marBottom w:val="0"/>
          <w:divBdr>
            <w:top w:val="none" w:sz="0" w:space="0" w:color="auto"/>
            <w:left w:val="none" w:sz="0" w:space="0" w:color="auto"/>
            <w:bottom w:val="none" w:sz="0" w:space="0" w:color="auto"/>
            <w:right w:val="none" w:sz="0" w:space="0" w:color="auto"/>
          </w:divBdr>
        </w:div>
        <w:div w:id="1678386811">
          <w:marLeft w:val="547"/>
          <w:marRight w:val="0"/>
          <w:marTop w:val="115"/>
          <w:marBottom w:val="0"/>
          <w:divBdr>
            <w:top w:val="none" w:sz="0" w:space="0" w:color="auto"/>
            <w:left w:val="none" w:sz="0" w:space="0" w:color="auto"/>
            <w:bottom w:val="none" w:sz="0" w:space="0" w:color="auto"/>
            <w:right w:val="none" w:sz="0" w:space="0" w:color="auto"/>
          </w:divBdr>
        </w:div>
        <w:div w:id="1983147641">
          <w:marLeft w:val="1166"/>
          <w:marRight w:val="0"/>
          <w:marTop w:val="96"/>
          <w:marBottom w:val="0"/>
          <w:divBdr>
            <w:top w:val="none" w:sz="0" w:space="0" w:color="auto"/>
            <w:left w:val="none" w:sz="0" w:space="0" w:color="auto"/>
            <w:bottom w:val="none" w:sz="0" w:space="0" w:color="auto"/>
            <w:right w:val="none" w:sz="0" w:space="0" w:color="auto"/>
          </w:divBdr>
        </w:div>
      </w:divsChild>
    </w:div>
    <w:div w:id="1522233778">
      <w:bodyDiv w:val="1"/>
      <w:marLeft w:val="0"/>
      <w:marRight w:val="0"/>
      <w:marTop w:val="0"/>
      <w:marBottom w:val="0"/>
      <w:divBdr>
        <w:top w:val="none" w:sz="0" w:space="0" w:color="auto"/>
        <w:left w:val="none" w:sz="0" w:space="0" w:color="auto"/>
        <w:bottom w:val="none" w:sz="0" w:space="0" w:color="auto"/>
        <w:right w:val="none" w:sz="0" w:space="0" w:color="auto"/>
      </w:divBdr>
    </w:div>
    <w:div w:id="1522355587">
      <w:bodyDiv w:val="1"/>
      <w:marLeft w:val="0"/>
      <w:marRight w:val="0"/>
      <w:marTop w:val="0"/>
      <w:marBottom w:val="0"/>
      <w:divBdr>
        <w:top w:val="none" w:sz="0" w:space="0" w:color="auto"/>
        <w:left w:val="none" w:sz="0" w:space="0" w:color="auto"/>
        <w:bottom w:val="none" w:sz="0" w:space="0" w:color="auto"/>
        <w:right w:val="none" w:sz="0" w:space="0" w:color="auto"/>
      </w:divBdr>
    </w:div>
    <w:div w:id="1523399397">
      <w:bodyDiv w:val="1"/>
      <w:marLeft w:val="0"/>
      <w:marRight w:val="0"/>
      <w:marTop w:val="0"/>
      <w:marBottom w:val="0"/>
      <w:divBdr>
        <w:top w:val="none" w:sz="0" w:space="0" w:color="auto"/>
        <w:left w:val="none" w:sz="0" w:space="0" w:color="auto"/>
        <w:bottom w:val="none" w:sz="0" w:space="0" w:color="auto"/>
        <w:right w:val="none" w:sz="0" w:space="0" w:color="auto"/>
      </w:divBdr>
    </w:div>
    <w:div w:id="1523661873">
      <w:bodyDiv w:val="1"/>
      <w:marLeft w:val="0"/>
      <w:marRight w:val="0"/>
      <w:marTop w:val="0"/>
      <w:marBottom w:val="0"/>
      <w:divBdr>
        <w:top w:val="none" w:sz="0" w:space="0" w:color="auto"/>
        <w:left w:val="none" w:sz="0" w:space="0" w:color="auto"/>
        <w:bottom w:val="none" w:sz="0" w:space="0" w:color="auto"/>
        <w:right w:val="none" w:sz="0" w:space="0" w:color="auto"/>
      </w:divBdr>
    </w:div>
    <w:div w:id="1524248663">
      <w:bodyDiv w:val="1"/>
      <w:marLeft w:val="0"/>
      <w:marRight w:val="0"/>
      <w:marTop w:val="0"/>
      <w:marBottom w:val="0"/>
      <w:divBdr>
        <w:top w:val="none" w:sz="0" w:space="0" w:color="auto"/>
        <w:left w:val="none" w:sz="0" w:space="0" w:color="auto"/>
        <w:bottom w:val="none" w:sz="0" w:space="0" w:color="auto"/>
        <w:right w:val="none" w:sz="0" w:space="0" w:color="auto"/>
      </w:divBdr>
    </w:div>
    <w:div w:id="1525048211">
      <w:bodyDiv w:val="1"/>
      <w:marLeft w:val="0"/>
      <w:marRight w:val="0"/>
      <w:marTop w:val="0"/>
      <w:marBottom w:val="0"/>
      <w:divBdr>
        <w:top w:val="none" w:sz="0" w:space="0" w:color="auto"/>
        <w:left w:val="none" w:sz="0" w:space="0" w:color="auto"/>
        <w:bottom w:val="none" w:sz="0" w:space="0" w:color="auto"/>
        <w:right w:val="none" w:sz="0" w:space="0" w:color="auto"/>
      </w:divBdr>
    </w:div>
    <w:div w:id="1526138224">
      <w:bodyDiv w:val="1"/>
      <w:marLeft w:val="0"/>
      <w:marRight w:val="0"/>
      <w:marTop w:val="0"/>
      <w:marBottom w:val="0"/>
      <w:divBdr>
        <w:top w:val="none" w:sz="0" w:space="0" w:color="auto"/>
        <w:left w:val="none" w:sz="0" w:space="0" w:color="auto"/>
        <w:bottom w:val="none" w:sz="0" w:space="0" w:color="auto"/>
        <w:right w:val="none" w:sz="0" w:space="0" w:color="auto"/>
      </w:divBdr>
    </w:div>
    <w:div w:id="1526794219">
      <w:bodyDiv w:val="1"/>
      <w:marLeft w:val="0"/>
      <w:marRight w:val="0"/>
      <w:marTop w:val="0"/>
      <w:marBottom w:val="0"/>
      <w:divBdr>
        <w:top w:val="none" w:sz="0" w:space="0" w:color="auto"/>
        <w:left w:val="none" w:sz="0" w:space="0" w:color="auto"/>
        <w:bottom w:val="none" w:sz="0" w:space="0" w:color="auto"/>
        <w:right w:val="none" w:sz="0" w:space="0" w:color="auto"/>
      </w:divBdr>
    </w:div>
    <w:div w:id="1527520143">
      <w:bodyDiv w:val="1"/>
      <w:marLeft w:val="0"/>
      <w:marRight w:val="0"/>
      <w:marTop w:val="0"/>
      <w:marBottom w:val="0"/>
      <w:divBdr>
        <w:top w:val="none" w:sz="0" w:space="0" w:color="auto"/>
        <w:left w:val="none" w:sz="0" w:space="0" w:color="auto"/>
        <w:bottom w:val="none" w:sz="0" w:space="0" w:color="auto"/>
        <w:right w:val="none" w:sz="0" w:space="0" w:color="auto"/>
      </w:divBdr>
    </w:div>
    <w:div w:id="1527792692">
      <w:bodyDiv w:val="1"/>
      <w:marLeft w:val="0"/>
      <w:marRight w:val="0"/>
      <w:marTop w:val="0"/>
      <w:marBottom w:val="0"/>
      <w:divBdr>
        <w:top w:val="none" w:sz="0" w:space="0" w:color="auto"/>
        <w:left w:val="none" w:sz="0" w:space="0" w:color="auto"/>
        <w:bottom w:val="none" w:sz="0" w:space="0" w:color="auto"/>
        <w:right w:val="none" w:sz="0" w:space="0" w:color="auto"/>
      </w:divBdr>
      <w:divsChild>
        <w:div w:id="134371663">
          <w:marLeft w:val="547"/>
          <w:marRight w:val="0"/>
          <w:marTop w:val="115"/>
          <w:marBottom w:val="0"/>
          <w:divBdr>
            <w:top w:val="none" w:sz="0" w:space="0" w:color="auto"/>
            <w:left w:val="none" w:sz="0" w:space="0" w:color="auto"/>
            <w:bottom w:val="none" w:sz="0" w:space="0" w:color="auto"/>
            <w:right w:val="none" w:sz="0" w:space="0" w:color="auto"/>
          </w:divBdr>
        </w:div>
        <w:div w:id="296643604">
          <w:marLeft w:val="1166"/>
          <w:marRight w:val="0"/>
          <w:marTop w:val="115"/>
          <w:marBottom w:val="0"/>
          <w:divBdr>
            <w:top w:val="none" w:sz="0" w:space="0" w:color="auto"/>
            <w:left w:val="none" w:sz="0" w:space="0" w:color="auto"/>
            <w:bottom w:val="none" w:sz="0" w:space="0" w:color="auto"/>
            <w:right w:val="none" w:sz="0" w:space="0" w:color="auto"/>
          </w:divBdr>
        </w:div>
        <w:div w:id="331567577">
          <w:marLeft w:val="1166"/>
          <w:marRight w:val="0"/>
          <w:marTop w:val="115"/>
          <w:marBottom w:val="0"/>
          <w:divBdr>
            <w:top w:val="none" w:sz="0" w:space="0" w:color="auto"/>
            <w:left w:val="none" w:sz="0" w:space="0" w:color="auto"/>
            <w:bottom w:val="none" w:sz="0" w:space="0" w:color="auto"/>
            <w:right w:val="none" w:sz="0" w:space="0" w:color="auto"/>
          </w:divBdr>
        </w:div>
        <w:div w:id="582304721">
          <w:marLeft w:val="1166"/>
          <w:marRight w:val="0"/>
          <w:marTop w:val="115"/>
          <w:marBottom w:val="0"/>
          <w:divBdr>
            <w:top w:val="none" w:sz="0" w:space="0" w:color="auto"/>
            <w:left w:val="none" w:sz="0" w:space="0" w:color="auto"/>
            <w:bottom w:val="none" w:sz="0" w:space="0" w:color="auto"/>
            <w:right w:val="none" w:sz="0" w:space="0" w:color="auto"/>
          </w:divBdr>
        </w:div>
        <w:div w:id="1561211159">
          <w:marLeft w:val="1166"/>
          <w:marRight w:val="0"/>
          <w:marTop w:val="115"/>
          <w:marBottom w:val="0"/>
          <w:divBdr>
            <w:top w:val="none" w:sz="0" w:space="0" w:color="auto"/>
            <w:left w:val="none" w:sz="0" w:space="0" w:color="auto"/>
            <w:bottom w:val="none" w:sz="0" w:space="0" w:color="auto"/>
            <w:right w:val="none" w:sz="0" w:space="0" w:color="auto"/>
          </w:divBdr>
        </w:div>
      </w:divsChild>
    </w:div>
    <w:div w:id="1527861777">
      <w:bodyDiv w:val="1"/>
      <w:marLeft w:val="0"/>
      <w:marRight w:val="0"/>
      <w:marTop w:val="0"/>
      <w:marBottom w:val="0"/>
      <w:divBdr>
        <w:top w:val="none" w:sz="0" w:space="0" w:color="auto"/>
        <w:left w:val="none" w:sz="0" w:space="0" w:color="auto"/>
        <w:bottom w:val="none" w:sz="0" w:space="0" w:color="auto"/>
        <w:right w:val="none" w:sz="0" w:space="0" w:color="auto"/>
      </w:divBdr>
    </w:div>
    <w:div w:id="1527912924">
      <w:bodyDiv w:val="1"/>
      <w:marLeft w:val="0"/>
      <w:marRight w:val="0"/>
      <w:marTop w:val="0"/>
      <w:marBottom w:val="0"/>
      <w:divBdr>
        <w:top w:val="none" w:sz="0" w:space="0" w:color="auto"/>
        <w:left w:val="none" w:sz="0" w:space="0" w:color="auto"/>
        <w:bottom w:val="none" w:sz="0" w:space="0" w:color="auto"/>
        <w:right w:val="none" w:sz="0" w:space="0" w:color="auto"/>
      </w:divBdr>
      <w:divsChild>
        <w:div w:id="81609432">
          <w:marLeft w:val="1800"/>
          <w:marRight w:val="0"/>
          <w:marTop w:val="100"/>
          <w:marBottom w:val="0"/>
          <w:divBdr>
            <w:top w:val="none" w:sz="0" w:space="0" w:color="auto"/>
            <w:left w:val="none" w:sz="0" w:space="0" w:color="auto"/>
            <w:bottom w:val="none" w:sz="0" w:space="0" w:color="auto"/>
            <w:right w:val="none" w:sz="0" w:space="0" w:color="auto"/>
          </w:divBdr>
        </w:div>
        <w:div w:id="345792183">
          <w:marLeft w:val="360"/>
          <w:marRight w:val="0"/>
          <w:marTop w:val="200"/>
          <w:marBottom w:val="0"/>
          <w:divBdr>
            <w:top w:val="none" w:sz="0" w:space="0" w:color="auto"/>
            <w:left w:val="none" w:sz="0" w:space="0" w:color="auto"/>
            <w:bottom w:val="none" w:sz="0" w:space="0" w:color="auto"/>
            <w:right w:val="none" w:sz="0" w:space="0" w:color="auto"/>
          </w:divBdr>
        </w:div>
        <w:div w:id="367027107">
          <w:marLeft w:val="2520"/>
          <w:marRight w:val="0"/>
          <w:marTop w:val="100"/>
          <w:marBottom w:val="0"/>
          <w:divBdr>
            <w:top w:val="none" w:sz="0" w:space="0" w:color="auto"/>
            <w:left w:val="none" w:sz="0" w:space="0" w:color="auto"/>
            <w:bottom w:val="none" w:sz="0" w:space="0" w:color="auto"/>
            <w:right w:val="none" w:sz="0" w:space="0" w:color="auto"/>
          </w:divBdr>
        </w:div>
        <w:div w:id="573125113">
          <w:marLeft w:val="1800"/>
          <w:marRight w:val="0"/>
          <w:marTop w:val="100"/>
          <w:marBottom w:val="0"/>
          <w:divBdr>
            <w:top w:val="none" w:sz="0" w:space="0" w:color="auto"/>
            <w:left w:val="none" w:sz="0" w:space="0" w:color="auto"/>
            <w:bottom w:val="none" w:sz="0" w:space="0" w:color="auto"/>
            <w:right w:val="none" w:sz="0" w:space="0" w:color="auto"/>
          </w:divBdr>
        </w:div>
        <w:div w:id="609165523">
          <w:marLeft w:val="1800"/>
          <w:marRight w:val="0"/>
          <w:marTop w:val="100"/>
          <w:marBottom w:val="0"/>
          <w:divBdr>
            <w:top w:val="none" w:sz="0" w:space="0" w:color="auto"/>
            <w:left w:val="none" w:sz="0" w:space="0" w:color="auto"/>
            <w:bottom w:val="none" w:sz="0" w:space="0" w:color="auto"/>
            <w:right w:val="none" w:sz="0" w:space="0" w:color="auto"/>
          </w:divBdr>
        </w:div>
        <w:div w:id="971909395">
          <w:marLeft w:val="1080"/>
          <w:marRight w:val="0"/>
          <w:marTop w:val="100"/>
          <w:marBottom w:val="0"/>
          <w:divBdr>
            <w:top w:val="none" w:sz="0" w:space="0" w:color="auto"/>
            <w:left w:val="none" w:sz="0" w:space="0" w:color="auto"/>
            <w:bottom w:val="none" w:sz="0" w:space="0" w:color="auto"/>
            <w:right w:val="none" w:sz="0" w:space="0" w:color="auto"/>
          </w:divBdr>
        </w:div>
        <w:div w:id="1378894733">
          <w:marLeft w:val="1080"/>
          <w:marRight w:val="0"/>
          <w:marTop w:val="100"/>
          <w:marBottom w:val="0"/>
          <w:divBdr>
            <w:top w:val="none" w:sz="0" w:space="0" w:color="auto"/>
            <w:left w:val="none" w:sz="0" w:space="0" w:color="auto"/>
            <w:bottom w:val="none" w:sz="0" w:space="0" w:color="auto"/>
            <w:right w:val="none" w:sz="0" w:space="0" w:color="auto"/>
          </w:divBdr>
        </w:div>
        <w:div w:id="1799644460">
          <w:marLeft w:val="1800"/>
          <w:marRight w:val="0"/>
          <w:marTop w:val="100"/>
          <w:marBottom w:val="0"/>
          <w:divBdr>
            <w:top w:val="none" w:sz="0" w:space="0" w:color="auto"/>
            <w:left w:val="none" w:sz="0" w:space="0" w:color="auto"/>
            <w:bottom w:val="none" w:sz="0" w:space="0" w:color="auto"/>
            <w:right w:val="none" w:sz="0" w:space="0" w:color="auto"/>
          </w:divBdr>
        </w:div>
        <w:div w:id="2042707804">
          <w:marLeft w:val="1800"/>
          <w:marRight w:val="0"/>
          <w:marTop w:val="100"/>
          <w:marBottom w:val="0"/>
          <w:divBdr>
            <w:top w:val="none" w:sz="0" w:space="0" w:color="auto"/>
            <w:left w:val="none" w:sz="0" w:space="0" w:color="auto"/>
            <w:bottom w:val="none" w:sz="0" w:space="0" w:color="auto"/>
            <w:right w:val="none" w:sz="0" w:space="0" w:color="auto"/>
          </w:divBdr>
        </w:div>
        <w:div w:id="2101825584">
          <w:marLeft w:val="360"/>
          <w:marRight w:val="0"/>
          <w:marTop w:val="200"/>
          <w:marBottom w:val="0"/>
          <w:divBdr>
            <w:top w:val="none" w:sz="0" w:space="0" w:color="auto"/>
            <w:left w:val="none" w:sz="0" w:space="0" w:color="auto"/>
            <w:bottom w:val="none" w:sz="0" w:space="0" w:color="auto"/>
            <w:right w:val="none" w:sz="0" w:space="0" w:color="auto"/>
          </w:divBdr>
        </w:div>
      </w:divsChild>
    </w:div>
    <w:div w:id="1528327949">
      <w:bodyDiv w:val="1"/>
      <w:marLeft w:val="0"/>
      <w:marRight w:val="0"/>
      <w:marTop w:val="0"/>
      <w:marBottom w:val="0"/>
      <w:divBdr>
        <w:top w:val="none" w:sz="0" w:space="0" w:color="auto"/>
        <w:left w:val="none" w:sz="0" w:space="0" w:color="auto"/>
        <w:bottom w:val="none" w:sz="0" w:space="0" w:color="auto"/>
        <w:right w:val="none" w:sz="0" w:space="0" w:color="auto"/>
      </w:divBdr>
    </w:div>
    <w:div w:id="1528835937">
      <w:bodyDiv w:val="1"/>
      <w:marLeft w:val="0"/>
      <w:marRight w:val="0"/>
      <w:marTop w:val="0"/>
      <w:marBottom w:val="0"/>
      <w:divBdr>
        <w:top w:val="none" w:sz="0" w:space="0" w:color="auto"/>
        <w:left w:val="none" w:sz="0" w:space="0" w:color="auto"/>
        <w:bottom w:val="none" w:sz="0" w:space="0" w:color="auto"/>
        <w:right w:val="none" w:sz="0" w:space="0" w:color="auto"/>
      </w:divBdr>
    </w:div>
    <w:div w:id="1529873689">
      <w:bodyDiv w:val="1"/>
      <w:marLeft w:val="0"/>
      <w:marRight w:val="0"/>
      <w:marTop w:val="0"/>
      <w:marBottom w:val="0"/>
      <w:divBdr>
        <w:top w:val="none" w:sz="0" w:space="0" w:color="auto"/>
        <w:left w:val="none" w:sz="0" w:space="0" w:color="auto"/>
        <w:bottom w:val="none" w:sz="0" w:space="0" w:color="auto"/>
        <w:right w:val="none" w:sz="0" w:space="0" w:color="auto"/>
      </w:divBdr>
    </w:div>
    <w:div w:id="1529949064">
      <w:bodyDiv w:val="1"/>
      <w:marLeft w:val="0"/>
      <w:marRight w:val="0"/>
      <w:marTop w:val="0"/>
      <w:marBottom w:val="0"/>
      <w:divBdr>
        <w:top w:val="none" w:sz="0" w:space="0" w:color="auto"/>
        <w:left w:val="none" w:sz="0" w:space="0" w:color="auto"/>
        <w:bottom w:val="none" w:sz="0" w:space="0" w:color="auto"/>
        <w:right w:val="none" w:sz="0" w:space="0" w:color="auto"/>
      </w:divBdr>
    </w:div>
    <w:div w:id="1530991118">
      <w:bodyDiv w:val="1"/>
      <w:marLeft w:val="0"/>
      <w:marRight w:val="0"/>
      <w:marTop w:val="0"/>
      <w:marBottom w:val="0"/>
      <w:divBdr>
        <w:top w:val="none" w:sz="0" w:space="0" w:color="auto"/>
        <w:left w:val="none" w:sz="0" w:space="0" w:color="auto"/>
        <w:bottom w:val="none" w:sz="0" w:space="0" w:color="auto"/>
        <w:right w:val="none" w:sz="0" w:space="0" w:color="auto"/>
      </w:divBdr>
    </w:div>
    <w:div w:id="1531064421">
      <w:bodyDiv w:val="1"/>
      <w:marLeft w:val="0"/>
      <w:marRight w:val="0"/>
      <w:marTop w:val="0"/>
      <w:marBottom w:val="0"/>
      <w:divBdr>
        <w:top w:val="none" w:sz="0" w:space="0" w:color="auto"/>
        <w:left w:val="none" w:sz="0" w:space="0" w:color="auto"/>
        <w:bottom w:val="none" w:sz="0" w:space="0" w:color="auto"/>
        <w:right w:val="none" w:sz="0" w:space="0" w:color="auto"/>
      </w:divBdr>
    </w:div>
    <w:div w:id="1531642808">
      <w:bodyDiv w:val="1"/>
      <w:marLeft w:val="0"/>
      <w:marRight w:val="0"/>
      <w:marTop w:val="0"/>
      <w:marBottom w:val="0"/>
      <w:divBdr>
        <w:top w:val="none" w:sz="0" w:space="0" w:color="auto"/>
        <w:left w:val="none" w:sz="0" w:space="0" w:color="auto"/>
        <w:bottom w:val="none" w:sz="0" w:space="0" w:color="auto"/>
        <w:right w:val="none" w:sz="0" w:space="0" w:color="auto"/>
      </w:divBdr>
    </w:div>
    <w:div w:id="1531722264">
      <w:bodyDiv w:val="1"/>
      <w:marLeft w:val="0"/>
      <w:marRight w:val="0"/>
      <w:marTop w:val="0"/>
      <w:marBottom w:val="0"/>
      <w:divBdr>
        <w:top w:val="none" w:sz="0" w:space="0" w:color="auto"/>
        <w:left w:val="none" w:sz="0" w:space="0" w:color="auto"/>
        <w:bottom w:val="none" w:sz="0" w:space="0" w:color="auto"/>
        <w:right w:val="none" w:sz="0" w:space="0" w:color="auto"/>
      </w:divBdr>
    </w:div>
    <w:div w:id="1532499443">
      <w:bodyDiv w:val="1"/>
      <w:marLeft w:val="0"/>
      <w:marRight w:val="0"/>
      <w:marTop w:val="0"/>
      <w:marBottom w:val="0"/>
      <w:divBdr>
        <w:top w:val="none" w:sz="0" w:space="0" w:color="auto"/>
        <w:left w:val="none" w:sz="0" w:space="0" w:color="auto"/>
        <w:bottom w:val="none" w:sz="0" w:space="0" w:color="auto"/>
        <w:right w:val="none" w:sz="0" w:space="0" w:color="auto"/>
      </w:divBdr>
    </w:div>
    <w:div w:id="1533423530">
      <w:bodyDiv w:val="1"/>
      <w:marLeft w:val="0"/>
      <w:marRight w:val="0"/>
      <w:marTop w:val="0"/>
      <w:marBottom w:val="0"/>
      <w:divBdr>
        <w:top w:val="none" w:sz="0" w:space="0" w:color="auto"/>
        <w:left w:val="none" w:sz="0" w:space="0" w:color="auto"/>
        <w:bottom w:val="none" w:sz="0" w:space="0" w:color="auto"/>
        <w:right w:val="none" w:sz="0" w:space="0" w:color="auto"/>
      </w:divBdr>
      <w:divsChild>
        <w:div w:id="82069320">
          <w:marLeft w:val="446"/>
          <w:marRight w:val="0"/>
          <w:marTop w:val="0"/>
          <w:marBottom w:val="0"/>
          <w:divBdr>
            <w:top w:val="none" w:sz="0" w:space="0" w:color="auto"/>
            <w:left w:val="none" w:sz="0" w:space="0" w:color="auto"/>
            <w:bottom w:val="none" w:sz="0" w:space="0" w:color="auto"/>
            <w:right w:val="none" w:sz="0" w:space="0" w:color="auto"/>
          </w:divBdr>
        </w:div>
        <w:div w:id="415323223">
          <w:marLeft w:val="1166"/>
          <w:marRight w:val="0"/>
          <w:marTop w:val="0"/>
          <w:marBottom w:val="0"/>
          <w:divBdr>
            <w:top w:val="none" w:sz="0" w:space="0" w:color="auto"/>
            <w:left w:val="none" w:sz="0" w:space="0" w:color="auto"/>
            <w:bottom w:val="none" w:sz="0" w:space="0" w:color="auto"/>
            <w:right w:val="none" w:sz="0" w:space="0" w:color="auto"/>
          </w:divBdr>
        </w:div>
        <w:div w:id="566261244">
          <w:marLeft w:val="446"/>
          <w:marRight w:val="0"/>
          <w:marTop w:val="0"/>
          <w:marBottom w:val="0"/>
          <w:divBdr>
            <w:top w:val="none" w:sz="0" w:space="0" w:color="auto"/>
            <w:left w:val="none" w:sz="0" w:space="0" w:color="auto"/>
            <w:bottom w:val="none" w:sz="0" w:space="0" w:color="auto"/>
            <w:right w:val="none" w:sz="0" w:space="0" w:color="auto"/>
          </w:divBdr>
        </w:div>
        <w:div w:id="599416070">
          <w:marLeft w:val="1886"/>
          <w:marRight w:val="0"/>
          <w:marTop w:val="0"/>
          <w:marBottom w:val="0"/>
          <w:divBdr>
            <w:top w:val="none" w:sz="0" w:space="0" w:color="auto"/>
            <w:left w:val="none" w:sz="0" w:space="0" w:color="auto"/>
            <w:bottom w:val="none" w:sz="0" w:space="0" w:color="auto"/>
            <w:right w:val="none" w:sz="0" w:space="0" w:color="auto"/>
          </w:divBdr>
        </w:div>
        <w:div w:id="1115757558">
          <w:marLeft w:val="1166"/>
          <w:marRight w:val="0"/>
          <w:marTop w:val="0"/>
          <w:marBottom w:val="0"/>
          <w:divBdr>
            <w:top w:val="none" w:sz="0" w:space="0" w:color="auto"/>
            <w:left w:val="none" w:sz="0" w:space="0" w:color="auto"/>
            <w:bottom w:val="none" w:sz="0" w:space="0" w:color="auto"/>
            <w:right w:val="none" w:sz="0" w:space="0" w:color="auto"/>
          </w:divBdr>
        </w:div>
        <w:div w:id="1133402159">
          <w:marLeft w:val="1166"/>
          <w:marRight w:val="0"/>
          <w:marTop w:val="0"/>
          <w:marBottom w:val="0"/>
          <w:divBdr>
            <w:top w:val="none" w:sz="0" w:space="0" w:color="auto"/>
            <w:left w:val="none" w:sz="0" w:space="0" w:color="auto"/>
            <w:bottom w:val="none" w:sz="0" w:space="0" w:color="auto"/>
            <w:right w:val="none" w:sz="0" w:space="0" w:color="auto"/>
          </w:divBdr>
        </w:div>
        <w:div w:id="1266423811">
          <w:marLeft w:val="1886"/>
          <w:marRight w:val="0"/>
          <w:marTop w:val="0"/>
          <w:marBottom w:val="0"/>
          <w:divBdr>
            <w:top w:val="none" w:sz="0" w:space="0" w:color="auto"/>
            <w:left w:val="none" w:sz="0" w:space="0" w:color="auto"/>
            <w:bottom w:val="none" w:sz="0" w:space="0" w:color="auto"/>
            <w:right w:val="none" w:sz="0" w:space="0" w:color="auto"/>
          </w:divBdr>
        </w:div>
        <w:div w:id="1281186793">
          <w:marLeft w:val="1166"/>
          <w:marRight w:val="0"/>
          <w:marTop w:val="0"/>
          <w:marBottom w:val="0"/>
          <w:divBdr>
            <w:top w:val="none" w:sz="0" w:space="0" w:color="auto"/>
            <w:left w:val="none" w:sz="0" w:space="0" w:color="auto"/>
            <w:bottom w:val="none" w:sz="0" w:space="0" w:color="auto"/>
            <w:right w:val="none" w:sz="0" w:space="0" w:color="auto"/>
          </w:divBdr>
        </w:div>
        <w:div w:id="1349402464">
          <w:marLeft w:val="1166"/>
          <w:marRight w:val="0"/>
          <w:marTop w:val="0"/>
          <w:marBottom w:val="0"/>
          <w:divBdr>
            <w:top w:val="none" w:sz="0" w:space="0" w:color="auto"/>
            <w:left w:val="none" w:sz="0" w:space="0" w:color="auto"/>
            <w:bottom w:val="none" w:sz="0" w:space="0" w:color="auto"/>
            <w:right w:val="none" w:sz="0" w:space="0" w:color="auto"/>
          </w:divBdr>
        </w:div>
        <w:div w:id="1561861405">
          <w:marLeft w:val="1166"/>
          <w:marRight w:val="0"/>
          <w:marTop w:val="0"/>
          <w:marBottom w:val="0"/>
          <w:divBdr>
            <w:top w:val="none" w:sz="0" w:space="0" w:color="auto"/>
            <w:left w:val="none" w:sz="0" w:space="0" w:color="auto"/>
            <w:bottom w:val="none" w:sz="0" w:space="0" w:color="auto"/>
            <w:right w:val="none" w:sz="0" w:space="0" w:color="auto"/>
          </w:divBdr>
        </w:div>
        <w:div w:id="1673680839">
          <w:marLeft w:val="446"/>
          <w:marRight w:val="0"/>
          <w:marTop w:val="0"/>
          <w:marBottom w:val="0"/>
          <w:divBdr>
            <w:top w:val="none" w:sz="0" w:space="0" w:color="auto"/>
            <w:left w:val="none" w:sz="0" w:space="0" w:color="auto"/>
            <w:bottom w:val="none" w:sz="0" w:space="0" w:color="auto"/>
            <w:right w:val="none" w:sz="0" w:space="0" w:color="auto"/>
          </w:divBdr>
        </w:div>
        <w:div w:id="2043240557">
          <w:marLeft w:val="1166"/>
          <w:marRight w:val="0"/>
          <w:marTop w:val="0"/>
          <w:marBottom w:val="0"/>
          <w:divBdr>
            <w:top w:val="none" w:sz="0" w:space="0" w:color="auto"/>
            <w:left w:val="none" w:sz="0" w:space="0" w:color="auto"/>
            <w:bottom w:val="none" w:sz="0" w:space="0" w:color="auto"/>
            <w:right w:val="none" w:sz="0" w:space="0" w:color="auto"/>
          </w:divBdr>
        </w:div>
        <w:div w:id="2119906728">
          <w:marLeft w:val="1166"/>
          <w:marRight w:val="0"/>
          <w:marTop w:val="0"/>
          <w:marBottom w:val="0"/>
          <w:divBdr>
            <w:top w:val="none" w:sz="0" w:space="0" w:color="auto"/>
            <w:left w:val="none" w:sz="0" w:space="0" w:color="auto"/>
            <w:bottom w:val="none" w:sz="0" w:space="0" w:color="auto"/>
            <w:right w:val="none" w:sz="0" w:space="0" w:color="auto"/>
          </w:divBdr>
        </w:div>
      </w:divsChild>
    </w:div>
    <w:div w:id="1533572360">
      <w:bodyDiv w:val="1"/>
      <w:marLeft w:val="0"/>
      <w:marRight w:val="0"/>
      <w:marTop w:val="0"/>
      <w:marBottom w:val="0"/>
      <w:divBdr>
        <w:top w:val="none" w:sz="0" w:space="0" w:color="auto"/>
        <w:left w:val="none" w:sz="0" w:space="0" w:color="auto"/>
        <w:bottom w:val="none" w:sz="0" w:space="0" w:color="auto"/>
        <w:right w:val="none" w:sz="0" w:space="0" w:color="auto"/>
      </w:divBdr>
      <w:divsChild>
        <w:div w:id="1387414408">
          <w:marLeft w:val="1166"/>
          <w:marRight w:val="0"/>
          <w:marTop w:val="96"/>
          <w:marBottom w:val="0"/>
          <w:divBdr>
            <w:top w:val="none" w:sz="0" w:space="0" w:color="auto"/>
            <w:left w:val="none" w:sz="0" w:space="0" w:color="auto"/>
            <w:bottom w:val="none" w:sz="0" w:space="0" w:color="auto"/>
            <w:right w:val="none" w:sz="0" w:space="0" w:color="auto"/>
          </w:divBdr>
        </w:div>
      </w:divsChild>
    </w:div>
    <w:div w:id="1534657396">
      <w:bodyDiv w:val="1"/>
      <w:marLeft w:val="0"/>
      <w:marRight w:val="0"/>
      <w:marTop w:val="0"/>
      <w:marBottom w:val="0"/>
      <w:divBdr>
        <w:top w:val="none" w:sz="0" w:space="0" w:color="auto"/>
        <w:left w:val="none" w:sz="0" w:space="0" w:color="auto"/>
        <w:bottom w:val="none" w:sz="0" w:space="0" w:color="auto"/>
        <w:right w:val="none" w:sz="0" w:space="0" w:color="auto"/>
      </w:divBdr>
    </w:div>
    <w:div w:id="1535263198">
      <w:bodyDiv w:val="1"/>
      <w:marLeft w:val="0"/>
      <w:marRight w:val="0"/>
      <w:marTop w:val="0"/>
      <w:marBottom w:val="0"/>
      <w:divBdr>
        <w:top w:val="none" w:sz="0" w:space="0" w:color="auto"/>
        <w:left w:val="none" w:sz="0" w:space="0" w:color="auto"/>
        <w:bottom w:val="none" w:sz="0" w:space="0" w:color="auto"/>
        <w:right w:val="none" w:sz="0" w:space="0" w:color="auto"/>
      </w:divBdr>
    </w:div>
    <w:div w:id="1535844543">
      <w:bodyDiv w:val="1"/>
      <w:marLeft w:val="0"/>
      <w:marRight w:val="0"/>
      <w:marTop w:val="0"/>
      <w:marBottom w:val="0"/>
      <w:divBdr>
        <w:top w:val="none" w:sz="0" w:space="0" w:color="auto"/>
        <w:left w:val="none" w:sz="0" w:space="0" w:color="auto"/>
        <w:bottom w:val="none" w:sz="0" w:space="0" w:color="auto"/>
        <w:right w:val="none" w:sz="0" w:space="0" w:color="auto"/>
      </w:divBdr>
    </w:div>
    <w:div w:id="1535925996">
      <w:bodyDiv w:val="1"/>
      <w:marLeft w:val="0"/>
      <w:marRight w:val="0"/>
      <w:marTop w:val="0"/>
      <w:marBottom w:val="0"/>
      <w:divBdr>
        <w:top w:val="none" w:sz="0" w:space="0" w:color="auto"/>
        <w:left w:val="none" w:sz="0" w:space="0" w:color="auto"/>
        <w:bottom w:val="none" w:sz="0" w:space="0" w:color="auto"/>
        <w:right w:val="none" w:sz="0" w:space="0" w:color="auto"/>
      </w:divBdr>
    </w:div>
    <w:div w:id="1536964366">
      <w:bodyDiv w:val="1"/>
      <w:marLeft w:val="0"/>
      <w:marRight w:val="0"/>
      <w:marTop w:val="0"/>
      <w:marBottom w:val="0"/>
      <w:divBdr>
        <w:top w:val="none" w:sz="0" w:space="0" w:color="auto"/>
        <w:left w:val="none" w:sz="0" w:space="0" w:color="auto"/>
        <w:bottom w:val="none" w:sz="0" w:space="0" w:color="auto"/>
        <w:right w:val="none" w:sz="0" w:space="0" w:color="auto"/>
      </w:divBdr>
    </w:div>
    <w:div w:id="1537886898">
      <w:bodyDiv w:val="1"/>
      <w:marLeft w:val="0"/>
      <w:marRight w:val="0"/>
      <w:marTop w:val="0"/>
      <w:marBottom w:val="0"/>
      <w:divBdr>
        <w:top w:val="none" w:sz="0" w:space="0" w:color="auto"/>
        <w:left w:val="none" w:sz="0" w:space="0" w:color="auto"/>
        <w:bottom w:val="none" w:sz="0" w:space="0" w:color="auto"/>
        <w:right w:val="none" w:sz="0" w:space="0" w:color="auto"/>
      </w:divBdr>
      <w:divsChild>
        <w:div w:id="943079871">
          <w:marLeft w:val="1166"/>
          <w:marRight w:val="0"/>
          <w:marTop w:val="134"/>
          <w:marBottom w:val="0"/>
          <w:divBdr>
            <w:top w:val="none" w:sz="0" w:space="0" w:color="auto"/>
            <w:left w:val="none" w:sz="0" w:space="0" w:color="auto"/>
            <w:bottom w:val="none" w:sz="0" w:space="0" w:color="auto"/>
            <w:right w:val="none" w:sz="0" w:space="0" w:color="auto"/>
          </w:divBdr>
        </w:div>
        <w:div w:id="2056807083">
          <w:marLeft w:val="547"/>
          <w:marRight w:val="0"/>
          <w:marTop w:val="154"/>
          <w:marBottom w:val="0"/>
          <w:divBdr>
            <w:top w:val="none" w:sz="0" w:space="0" w:color="auto"/>
            <w:left w:val="none" w:sz="0" w:space="0" w:color="auto"/>
            <w:bottom w:val="none" w:sz="0" w:space="0" w:color="auto"/>
            <w:right w:val="none" w:sz="0" w:space="0" w:color="auto"/>
          </w:divBdr>
        </w:div>
      </w:divsChild>
    </w:div>
    <w:div w:id="1537965934">
      <w:bodyDiv w:val="1"/>
      <w:marLeft w:val="0"/>
      <w:marRight w:val="0"/>
      <w:marTop w:val="0"/>
      <w:marBottom w:val="0"/>
      <w:divBdr>
        <w:top w:val="none" w:sz="0" w:space="0" w:color="auto"/>
        <w:left w:val="none" w:sz="0" w:space="0" w:color="auto"/>
        <w:bottom w:val="none" w:sz="0" w:space="0" w:color="auto"/>
        <w:right w:val="none" w:sz="0" w:space="0" w:color="auto"/>
      </w:divBdr>
      <w:divsChild>
        <w:div w:id="889653624">
          <w:marLeft w:val="1166"/>
          <w:marRight w:val="0"/>
          <w:marTop w:val="115"/>
          <w:marBottom w:val="0"/>
          <w:divBdr>
            <w:top w:val="none" w:sz="0" w:space="0" w:color="auto"/>
            <w:left w:val="none" w:sz="0" w:space="0" w:color="auto"/>
            <w:bottom w:val="none" w:sz="0" w:space="0" w:color="auto"/>
            <w:right w:val="none" w:sz="0" w:space="0" w:color="auto"/>
          </w:divBdr>
        </w:div>
        <w:div w:id="953755972">
          <w:marLeft w:val="547"/>
          <w:marRight w:val="0"/>
          <w:marTop w:val="115"/>
          <w:marBottom w:val="0"/>
          <w:divBdr>
            <w:top w:val="none" w:sz="0" w:space="0" w:color="auto"/>
            <w:left w:val="none" w:sz="0" w:space="0" w:color="auto"/>
            <w:bottom w:val="none" w:sz="0" w:space="0" w:color="auto"/>
            <w:right w:val="none" w:sz="0" w:space="0" w:color="auto"/>
          </w:divBdr>
        </w:div>
        <w:div w:id="1308822426">
          <w:marLeft w:val="1166"/>
          <w:marRight w:val="0"/>
          <w:marTop w:val="115"/>
          <w:marBottom w:val="0"/>
          <w:divBdr>
            <w:top w:val="none" w:sz="0" w:space="0" w:color="auto"/>
            <w:left w:val="none" w:sz="0" w:space="0" w:color="auto"/>
            <w:bottom w:val="none" w:sz="0" w:space="0" w:color="auto"/>
            <w:right w:val="none" w:sz="0" w:space="0" w:color="auto"/>
          </w:divBdr>
        </w:div>
        <w:div w:id="1391271070">
          <w:marLeft w:val="1166"/>
          <w:marRight w:val="0"/>
          <w:marTop w:val="115"/>
          <w:marBottom w:val="0"/>
          <w:divBdr>
            <w:top w:val="none" w:sz="0" w:space="0" w:color="auto"/>
            <w:left w:val="none" w:sz="0" w:space="0" w:color="auto"/>
            <w:bottom w:val="none" w:sz="0" w:space="0" w:color="auto"/>
            <w:right w:val="none" w:sz="0" w:space="0" w:color="auto"/>
          </w:divBdr>
        </w:div>
      </w:divsChild>
    </w:div>
    <w:div w:id="1539245724">
      <w:bodyDiv w:val="1"/>
      <w:marLeft w:val="0"/>
      <w:marRight w:val="0"/>
      <w:marTop w:val="0"/>
      <w:marBottom w:val="0"/>
      <w:divBdr>
        <w:top w:val="none" w:sz="0" w:space="0" w:color="auto"/>
        <w:left w:val="none" w:sz="0" w:space="0" w:color="auto"/>
        <w:bottom w:val="none" w:sz="0" w:space="0" w:color="auto"/>
        <w:right w:val="none" w:sz="0" w:space="0" w:color="auto"/>
      </w:divBdr>
    </w:div>
    <w:div w:id="1540898293">
      <w:bodyDiv w:val="1"/>
      <w:marLeft w:val="0"/>
      <w:marRight w:val="0"/>
      <w:marTop w:val="0"/>
      <w:marBottom w:val="0"/>
      <w:divBdr>
        <w:top w:val="none" w:sz="0" w:space="0" w:color="auto"/>
        <w:left w:val="none" w:sz="0" w:space="0" w:color="auto"/>
        <w:bottom w:val="none" w:sz="0" w:space="0" w:color="auto"/>
        <w:right w:val="none" w:sz="0" w:space="0" w:color="auto"/>
      </w:divBdr>
    </w:div>
    <w:div w:id="1541015443">
      <w:bodyDiv w:val="1"/>
      <w:marLeft w:val="0"/>
      <w:marRight w:val="0"/>
      <w:marTop w:val="0"/>
      <w:marBottom w:val="0"/>
      <w:divBdr>
        <w:top w:val="none" w:sz="0" w:space="0" w:color="auto"/>
        <w:left w:val="none" w:sz="0" w:space="0" w:color="auto"/>
        <w:bottom w:val="none" w:sz="0" w:space="0" w:color="auto"/>
        <w:right w:val="none" w:sz="0" w:space="0" w:color="auto"/>
      </w:divBdr>
    </w:div>
    <w:div w:id="1541236336">
      <w:bodyDiv w:val="1"/>
      <w:marLeft w:val="0"/>
      <w:marRight w:val="0"/>
      <w:marTop w:val="0"/>
      <w:marBottom w:val="0"/>
      <w:divBdr>
        <w:top w:val="none" w:sz="0" w:space="0" w:color="auto"/>
        <w:left w:val="none" w:sz="0" w:space="0" w:color="auto"/>
        <w:bottom w:val="none" w:sz="0" w:space="0" w:color="auto"/>
        <w:right w:val="none" w:sz="0" w:space="0" w:color="auto"/>
      </w:divBdr>
      <w:divsChild>
        <w:div w:id="166942497">
          <w:marLeft w:val="1080"/>
          <w:marRight w:val="0"/>
          <w:marTop w:val="100"/>
          <w:marBottom w:val="0"/>
          <w:divBdr>
            <w:top w:val="none" w:sz="0" w:space="0" w:color="auto"/>
            <w:left w:val="none" w:sz="0" w:space="0" w:color="auto"/>
            <w:bottom w:val="none" w:sz="0" w:space="0" w:color="auto"/>
            <w:right w:val="none" w:sz="0" w:space="0" w:color="auto"/>
          </w:divBdr>
        </w:div>
        <w:div w:id="341199642">
          <w:marLeft w:val="806"/>
          <w:marRight w:val="0"/>
          <w:marTop w:val="200"/>
          <w:marBottom w:val="0"/>
          <w:divBdr>
            <w:top w:val="none" w:sz="0" w:space="0" w:color="auto"/>
            <w:left w:val="none" w:sz="0" w:space="0" w:color="auto"/>
            <w:bottom w:val="none" w:sz="0" w:space="0" w:color="auto"/>
            <w:right w:val="none" w:sz="0" w:space="0" w:color="auto"/>
          </w:divBdr>
        </w:div>
        <w:div w:id="973559849">
          <w:marLeft w:val="360"/>
          <w:marRight w:val="0"/>
          <w:marTop w:val="200"/>
          <w:marBottom w:val="0"/>
          <w:divBdr>
            <w:top w:val="none" w:sz="0" w:space="0" w:color="auto"/>
            <w:left w:val="none" w:sz="0" w:space="0" w:color="auto"/>
            <w:bottom w:val="none" w:sz="0" w:space="0" w:color="auto"/>
            <w:right w:val="none" w:sz="0" w:space="0" w:color="auto"/>
          </w:divBdr>
        </w:div>
        <w:div w:id="1046829886">
          <w:marLeft w:val="1526"/>
          <w:marRight w:val="0"/>
          <w:marTop w:val="100"/>
          <w:marBottom w:val="0"/>
          <w:divBdr>
            <w:top w:val="none" w:sz="0" w:space="0" w:color="auto"/>
            <w:left w:val="none" w:sz="0" w:space="0" w:color="auto"/>
            <w:bottom w:val="none" w:sz="0" w:space="0" w:color="auto"/>
            <w:right w:val="none" w:sz="0" w:space="0" w:color="auto"/>
          </w:divBdr>
        </w:div>
        <w:div w:id="1172253758">
          <w:marLeft w:val="360"/>
          <w:marRight w:val="0"/>
          <w:marTop w:val="200"/>
          <w:marBottom w:val="0"/>
          <w:divBdr>
            <w:top w:val="none" w:sz="0" w:space="0" w:color="auto"/>
            <w:left w:val="none" w:sz="0" w:space="0" w:color="auto"/>
            <w:bottom w:val="none" w:sz="0" w:space="0" w:color="auto"/>
            <w:right w:val="none" w:sz="0" w:space="0" w:color="auto"/>
          </w:divBdr>
        </w:div>
        <w:div w:id="1183787203">
          <w:marLeft w:val="806"/>
          <w:marRight w:val="0"/>
          <w:marTop w:val="200"/>
          <w:marBottom w:val="0"/>
          <w:divBdr>
            <w:top w:val="none" w:sz="0" w:space="0" w:color="auto"/>
            <w:left w:val="none" w:sz="0" w:space="0" w:color="auto"/>
            <w:bottom w:val="none" w:sz="0" w:space="0" w:color="auto"/>
            <w:right w:val="none" w:sz="0" w:space="0" w:color="auto"/>
          </w:divBdr>
        </w:div>
        <w:div w:id="1965883821">
          <w:marLeft w:val="806"/>
          <w:marRight w:val="0"/>
          <w:marTop w:val="200"/>
          <w:marBottom w:val="0"/>
          <w:divBdr>
            <w:top w:val="none" w:sz="0" w:space="0" w:color="auto"/>
            <w:left w:val="none" w:sz="0" w:space="0" w:color="auto"/>
            <w:bottom w:val="none" w:sz="0" w:space="0" w:color="auto"/>
            <w:right w:val="none" w:sz="0" w:space="0" w:color="auto"/>
          </w:divBdr>
        </w:div>
        <w:div w:id="2051420030">
          <w:marLeft w:val="1526"/>
          <w:marRight w:val="0"/>
          <w:marTop w:val="100"/>
          <w:marBottom w:val="0"/>
          <w:divBdr>
            <w:top w:val="none" w:sz="0" w:space="0" w:color="auto"/>
            <w:left w:val="none" w:sz="0" w:space="0" w:color="auto"/>
            <w:bottom w:val="none" w:sz="0" w:space="0" w:color="auto"/>
            <w:right w:val="none" w:sz="0" w:space="0" w:color="auto"/>
          </w:divBdr>
        </w:div>
        <w:div w:id="2074311974">
          <w:marLeft w:val="1080"/>
          <w:marRight w:val="0"/>
          <w:marTop w:val="100"/>
          <w:marBottom w:val="0"/>
          <w:divBdr>
            <w:top w:val="none" w:sz="0" w:space="0" w:color="auto"/>
            <w:left w:val="none" w:sz="0" w:space="0" w:color="auto"/>
            <w:bottom w:val="none" w:sz="0" w:space="0" w:color="auto"/>
            <w:right w:val="none" w:sz="0" w:space="0" w:color="auto"/>
          </w:divBdr>
        </w:div>
      </w:divsChild>
    </w:div>
    <w:div w:id="1541475320">
      <w:bodyDiv w:val="1"/>
      <w:marLeft w:val="0"/>
      <w:marRight w:val="0"/>
      <w:marTop w:val="0"/>
      <w:marBottom w:val="0"/>
      <w:divBdr>
        <w:top w:val="none" w:sz="0" w:space="0" w:color="auto"/>
        <w:left w:val="none" w:sz="0" w:space="0" w:color="auto"/>
        <w:bottom w:val="none" w:sz="0" w:space="0" w:color="auto"/>
        <w:right w:val="none" w:sz="0" w:space="0" w:color="auto"/>
      </w:divBdr>
    </w:div>
    <w:div w:id="1542740290">
      <w:bodyDiv w:val="1"/>
      <w:marLeft w:val="0"/>
      <w:marRight w:val="0"/>
      <w:marTop w:val="0"/>
      <w:marBottom w:val="0"/>
      <w:divBdr>
        <w:top w:val="none" w:sz="0" w:space="0" w:color="auto"/>
        <w:left w:val="none" w:sz="0" w:space="0" w:color="auto"/>
        <w:bottom w:val="none" w:sz="0" w:space="0" w:color="auto"/>
        <w:right w:val="none" w:sz="0" w:space="0" w:color="auto"/>
      </w:divBdr>
      <w:divsChild>
        <w:div w:id="58788864">
          <w:marLeft w:val="547"/>
          <w:marRight w:val="0"/>
          <w:marTop w:val="96"/>
          <w:marBottom w:val="0"/>
          <w:divBdr>
            <w:top w:val="none" w:sz="0" w:space="0" w:color="auto"/>
            <w:left w:val="none" w:sz="0" w:space="0" w:color="auto"/>
            <w:bottom w:val="none" w:sz="0" w:space="0" w:color="auto"/>
            <w:right w:val="none" w:sz="0" w:space="0" w:color="auto"/>
          </w:divBdr>
        </w:div>
        <w:div w:id="404378615">
          <w:marLeft w:val="1166"/>
          <w:marRight w:val="0"/>
          <w:marTop w:val="96"/>
          <w:marBottom w:val="0"/>
          <w:divBdr>
            <w:top w:val="none" w:sz="0" w:space="0" w:color="auto"/>
            <w:left w:val="none" w:sz="0" w:space="0" w:color="auto"/>
            <w:bottom w:val="none" w:sz="0" w:space="0" w:color="auto"/>
            <w:right w:val="none" w:sz="0" w:space="0" w:color="auto"/>
          </w:divBdr>
        </w:div>
        <w:div w:id="954216678">
          <w:marLeft w:val="1166"/>
          <w:marRight w:val="0"/>
          <w:marTop w:val="96"/>
          <w:marBottom w:val="0"/>
          <w:divBdr>
            <w:top w:val="none" w:sz="0" w:space="0" w:color="auto"/>
            <w:left w:val="none" w:sz="0" w:space="0" w:color="auto"/>
            <w:bottom w:val="none" w:sz="0" w:space="0" w:color="auto"/>
            <w:right w:val="none" w:sz="0" w:space="0" w:color="auto"/>
          </w:divBdr>
        </w:div>
        <w:div w:id="1168323375">
          <w:marLeft w:val="1166"/>
          <w:marRight w:val="0"/>
          <w:marTop w:val="96"/>
          <w:marBottom w:val="0"/>
          <w:divBdr>
            <w:top w:val="none" w:sz="0" w:space="0" w:color="auto"/>
            <w:left w:val="none" w:sz="0" w:space="0" w:color="auto"/>
            <w:bottom w:val="none" w:sz="0" w:space="0" w:color="auto"/>
            <w:right w:val="none" w:sz="0" w:space="0" w:color="auto"/>
          </w:divBdr>
        </w:div>
        <w:div w:id="1963271336">
          <w:marLeft w:val="1166"/>
          <w:marRight w:val="0"/>
          <w:marTop w:val="96"/>
          <w:marBottom w:val="0"/>
          <w:divBdr>
            <w:top w:val="none" w:sz="0" w:space="0" w:color="auto"/>
            <w:left w:val="none" w:sz="0" w:space="0" w:color="auto"/>
            <w:bottom w:val="none" w:sz="0" w:space="0" w:color="auto"/>
            <w:right w:val="none" w:sz="0" w:space="0" w:color="auto"/>
          </w:divBdr>
        </w:div>
      </w:divsChild>
    </w:div>
    <w:div w:id="1543396276">
      <w:bodyDiv w:val="1"/>
      <w:marLeft w:val="0"/>
      <w:marRight w:val="0"/>
      <w:marTop w:val="0"/>
      <w:marBottom w:val="0"/>
      <w:divBdr>
        <w:top w:val="none" w:sz="0" w:space="0" w:color="auto"/>
        <w:left w:val="none" w:sz="0" w:space="0" w:color="auto"/>
        <w:bottom w:val="none" w:sz="0" w:space="0" w:color="auto"/>
        <w:right w:val="none" w:sz="0" w:space="0" w:color="auto"/>
      </w:divBdr>
    </w:div>
    <w:div w:id="1544055394">
      <w:bodyDiv w:val="1"/>
      <w:marLeft w:val="0"/>
      <w:marRight w:val="0"/>
      <w:marTop w:val="0"/>
      <w:marBottom w:val="0"/>
      <w:divBdr>
        <w:top w:val="none" w:sz="0" w:space="0" w:color="auto"/>
        <w:left w:val="none" w:sz="0" w:space="0" w:color="auto"/>
        <w:bottom w:val="none" w:sz="0" w:space="0" w:color="auto"/>
        <w:right w:val="none" w:sz="0" w:space="0" w:color="auto"/>
      </w:divBdr>
    </w:div>
    <w:div w:id="1544102409">
      <w:bodyDiv w:val="1"/>
      <w:marLeft w:val="0"/>
      <w:marRight w:val="0"/>
      <w:marTop w:val="0"/>
      <w:marBottom w:val="0"/>
      <w:divBdr>
        <w:top w:val="none" w:sz="0" w:space="0" w:color="auto"/>
        <w:left w:val="none" w:sz="0" w:space="0" w:color="auto"/>
        <w:bottom w:val="none" w:sz="0" w:space="0" w:color="auto"/>
        <w:right w:val="none" w:sz="0" w:space="0" w:color="auto"/>
      </w:divBdr>
    </w:div>
    <w:div w:id="1545290749">
      <w:bodyDiv w:val="1"/>
      <w:marLeft w:val="0"/>
      <w:marRight w:val="0"/>
      <w:marTop w:val="0"/>
      <w:marBottom w:val="0"/>
      <w:divBdr>
        <w:top w:val="none" w:sz="0" w:space="0" w:color="auto"/>
        <w:left w:val="none" w:sz="0" w:space="0" w:color="auto"/>
        <w:bottom w:val="none" w:sz="0" w:space="0" w:color="auto"/>
        <w:right w:val="none" w:sz="0" w:space="0" w:color="auto"/>
      </w:divBdr>
    </w:div>
    <w:div w:id="1546333710">
      <w:bodyDiv w:val="1"/>
      <w:marLeft w:val="0"/>
      <w:marRight w:val="0"/>
      <w:marTop w:val="0"/>
      <w:marBottom w:val="0"/>
      <w:divBdr>
        <w:top w:val="none" w:sz="0" w:space="0" w:color="auto"/>
        <w:left w:val="none" w:sz="0" w:space="0" w:color="auto"/>
        <w:bottom w:val="none" w:sz="0" w:space="0" w:color="auto"/>
        <w:right w:val="none" w:sz="0" w:space="0" w:color="auto"/>
      </w:divBdr>
    </w:div>
    <w:div w:id="1546479742">
      <w:bodyDiv w:val="1"/>
      <w:marLeft w:val="0"/>
      <w:marRight w:val="0"/>
      <w:marTop w:val="0"/>
      <w:marBottom w:val="0"/>
      <w:divBdr>
        <w:top w:val="none" w:sz="0" w:space="0" w:color="auto"/>
        <w:left w:val="none" w:sz="0" w:space="0" w:color="auto"/>
        <w:bottom w:val="none" w:sz="0" w:space="0" w:color="auto"/>
        <w:right w:val="none" w:sz="0" w:space="0" w:color="auto"/>
      </w:divBdr>
      <w:divsChild>
        <w:div w:id="44791591">
          <w:marLeft w:val="1800"/>
          <w:marRight w:val="0"/>
          <w:marTop w:val="100"/>
          <w:marBottom w:val="0"/>
          <w:divBdr>
            <w:top w:val="none" w:sz="0" w:space="0" w:color="auto"/>
            <w:left w:val="none" w:sz="0" w:space="0" w:color="auto"/>
            <w:bottom w:val="none" w:sz="0" w:space="0" w:color="auto"/>
            <w:right w:val="none" w:sz="0" w:space="0" w:color="auto"/>
          </w:divBdr>
        </w:div>
        <w:div w:id="133060440">
          <w:marLeft w:val="1080"/>
          <w:marRight w:val="0"/>
          <w:marTop w:val="100"/>
          <w:marBottom w:val="0"/>
          <w:divBdr>
            <w:top w:val="none" w:sz="0" w:space="0" w:color="auto"/>
            <w:left w:val="none" w:sz="0" w:space="0" w:color="auto"/>
            <w:bottom w:val="none" w:sz="0" w:space="0" w:color="auto"/>
            <w:right w:val="none" w:sz="0" w:space="0" w:color="auto"/>
          </w:divBdr>
        </w:div>
        <w:div w:id="420687499">
          <w:marLeft w:val="1080"/>
          <w:marRight w:val="0"/>
          <w:marTop w:val="100"/>
          <w:marBottom w:val="0"/>
          <w:divBdr>
            <w:top w:val="none" w:sz="0" w:space="0" w:color="auto"/>
            <w:left w:val="none" w:sz="0" w:space="0" w:color="auto"/>
            <w:bottom w:val="none" w:sz="0" w:space="0" w:color="auto"/>
            <w:right w:val="none" w:sz="0" w:space="0" w:color="auto"/>
          </w:divBdr>
        </w:div>
        <w:div w:id="650400909">
          <w:marLeft w:val="1080"/>
          <w:marRight w:val="0"/>
          <w:marTop w:val="100"/>
          <w:marBottom w:val="0"/>
          <w:divBdr>
            <w:top w:val="none" w:sz="0" w:space="0" w:color="auto"/>
            <w:left w:val="none" w:sz="0" w:space="0" w:color="auto"/>
            <w:bottom w:val="none" w:sz="0" w:space="0" w:color="auto"/>
            <w:right w:val="none" w:sz="0" w:space="0" w:color="auto"/>
          </w:divBdr>
        </w:div>
        <w:div w:id="1868443521">
          <w:marLeft w:val="1800"/>
          <w:marRight w:val="0"/>
          <w:marTop w:val="100"/>
          <w:marBottom w:val="0"/>
          <w:divBdr>
            <w:top w:val="none" w:sz="0" w:space="0" w:color="auto"/>
            <w:left w:val="none" w:sz="0" w:space="0" w:color="auto"/>
            <w:bottom w:val="none" w:sz="0" w:space="0" w:color="auto"/>
            <w:right w:val="none" w:sz="0" w:space="0" w:color="auto"/>
          </w:divBdr>
        </w:div>
      </w:divsChild>
    </w:div>
    <w:div w:id="1546913448">
      <w:bodyDiv w:val="1"/>
      <w:marLeft w:val="0"/>
      <w:marRight w:val="0"/>
      <w:marTop w:val="0"/>
      <w:marBottom w:val="0"/>
      <w:divBdr>
        <w:top w:val="none" w:sz="0" w:space="0" w:color="auto"/>
        <w:left w:val="none" w:sz="0" w:space="0" w:color="auto"/>
        <w:bottom w:val="none" w:sz="0" w:space="0" w:color="auto"/>
        <w:right w:val="none" w:sz="0" w:space="0" w:color="auto"/>
      </w:divBdr>
      <w:divsChild>
        <w:div w:id="269121956">
          <w:marLeft w:val="547"/>
          <w:marRight w:val="0"/>
          <w:marTop w:val="115"/>
          <w:marBottom w:val="0"/>
          <w:divBdr>
            <w:top w:val="none" w:sz="0" w:space="0" w:color="auto"/>
            <w:left w:val="none" w:sz="0" w:space="0" w:color="auto"/>
            <w:bottom w:val="none" w:sz="0" w:space="0" w:color="auto"/>
            <w:right w:val="none" w:sz="0" w:space="0" w:color="auto"/>
          </w:divBdr>
        </w:div>
        <w:div w:id="701901514">
          <w:marLeft w:val="547"/>
          <w:marRight w:val="0"/>
          <w:marTop w:val="115"/>
          <w:marBottom w:val="0"/>
          <w:divBdr>
            <w:top w:val="none" w:sz="0" w:space="0" w:color="auto"/>
            <w:left w:val="none" w:sz="0" w:space="0" w:color="auto"/>
            <w:bottom w:val="none" w:sz="0" w:space="0" w:color="auto"/>
            <w:right w:val="none" w:sz="0" w:space="0" w:color="auto"/>
          </w:divBdr>
        </w:div>
        <w:div w:id="749737101">
          <w:marLeft w:val="1166"/>
          <w:marRight w:val="0"/>
          <w:marTop w:val="96"/>
          <w:marBottom w:val="0"/>
          <w:divBdr>
            <w:top w:val="none" w:sz="0" w:space="0" w:color="auto"/>
            <w:left w:val="none" w:sz="0" w:space="0" w:color="auto"/>
            <w:bottom w:val="none" w:sz="0" w:space="0" w:color="auto"/>
            <w:right w:val="none" w:sz="0" w:space="0" w:color="auto"/>
          </w:divBdr>
        </w:div>
        <w:div w:id="840045078">
          <w:marLeft w:val="547"/>
          <w:marRight w:val="0"/>
          <w:marTop w:val="115"/>
          <w:marBottom w:val="0"/>
          <w:divBdr>
            <w:top w:val="none" w:sz="0" w:space="0" w:color="auto"/>
            <w:left w:val="none" w:sz="0" w:space="0" w:color="auto"/>
            <w:bottom w:val="none" w:sz="0" w:space="0" w:color="auto"/>
            <w:right w:val="none" w:sz="0" w:space="0" w:color="auto"/>
          </w:divBdr>
        </w:div>
        <w:div w:id="858202899">
          <w:marLeft w:val="1166"/>
          <w:marRight w:val="0"/>
          <w:marTop w:val="96"/>
          <w:marBottom w:val="0"/>
          <w:divBdr>
            <w:top w:val="none" w:sz="0" w:space="0" w:color="auto"/>
            <w:left w:val="none" w:sz="0" w:space="0" w:color="auto"/>
            <w:bottom w:val="none" w:sz="0" w:space="0" w:color="auto"/>
            <w:right w:val="none" w:sz="0" w:space="0" w:color="auto"/>
          </w:divBdr>
        </w:div>
        <w:div w:id="1337072918">
          <w:marLeft w:val="1166"/>
          <w:marRight w:val="0"/>
          <w:marTop w:val="96"/>
          <w:marBottom w:val="0"/>
          <w:divBdr>
            <w:top w:val="none" w:sz="0" w:space="0" w:color="auto"/>
            <w:left w:val="none" w:sz="0" w:space="0" w:color="auto"/>
            <w:bottom w:val="none" w:sz="0" w:space="0" w:color="auto"/>
            <w:right w:val="none" w:sz="0" w:space="0" w:color="auto"/>
          </w:divBdr>
        </w:div>
        <w:div w:id="1490559494">
          <w:marLeft w:val="1166"/>
          <w:marRight w:val="0"/>
          <w:marTop w:val="96"/>
          <w:marBottom w:val="0"/>
          <w:divBdr>
            <w:top w:val="none" w:sz="0" w:space="0" w:color="auto"/>
            <w:left w:val="none" w:sz="0" w:space="0" w:color="auto"/>
            <w:bottom w:val="none" w:sz="0" w:space="0" w:color="auto"/>
            <w:right w:val="none" w:sz="0" w:space="0" w:color="auto"/>
          </w:divBdr>
        </w:div>
        <w:div w:id="2137217612">
          <w:marLeft w:val="547"/>
          <w:marRight w:val="0"/>
          <w:marTop w:val="115"/>
          <w:marBottom w:val="0"/>
          <w:divBdr>
            <w:top w:val="none" w:sz="0" w:space="0" w:color="auto"/>
            <w:left w:val="none" w:sz="0" w:space="0" w:color="auto"/>
            <w:bottom w:val="none" w:sz="0" w:space="0" w:color="auto"/>
            <w:right w:val="none" w:sz="0" w:space="0" w:color="auto"/>
          </w:divBdr>
        </w:div>
      </w:divsChild>
    </w:div>
    <w:div w:id="1547175833">
      <w:bodyDiv w:val="1"/>
      <w:marLeft w:val="0"/>
      <w:marRight w:val="0"/>
      <w:marTop w:val="0"/>
      <w:marBottom w:val="0"/>
      <w:divBdr>
        <w:top w:val="none" w:sz="0" w:space="0" w:color="auto"/>
        <w:left w:val="none" w:sz="0" w:space="0" w:color="auto"/>
        <w:bottom w:val="none" w:sz="0" w:space="0" w:color="auto"/>
        <w:right w:val="none" w:sz="0" w:space="0" w:color="auto"/>
      </w:divBdr>
      <w:divsChild>
        <w:div w:id="66147998">
          <w:marLeft w:val="1166"/>
          <w:marRight w:val="0"/>
          <w:marTop w:val="96"/>
          <w:marBottom w:val="0"/>
          <w:divBdr>
            <w:top w:val="none" w:sz="0" w:space="0" w:color="auto"/>
            <w:left w:val="none" w:sz="0" w:space="0" w:color="auto"/>
            <w:bottom w:val="none" w:sz="0" w:space="0" w:color="auto"/>
            <w:right w:val="none" w:sz="0" w:space="0" w:color="auto"/>
          </w:divBdr>
        </w:div>
        <w:div w:id="248396403">
          <w:marLeft w:val="1166"/>
          <w:marRight w:val="0"/>
          <w:marTop w:val="96"/>
          <w:marBottom w:val="0"/>
          <w:divBdr>
            <w:top w:val="none" w:sz="0" w:space="0" w:color="auto"/>
            <w:left w:val="none" w:sz="0" w:space="0" w:color="auto"/>
            <w:bottom w:val="none" w:sz="0" w:space="0" w:color="auto"/>
            <w:right w:val="none" w:sz="0" w:space="0" w:color="auto"/>
          </w:divBdr>
        </w:div>
        <w:div w:id="916674695">
          <w:marLeft w:val="547"/>
          <w:marRight w:val="0"/>
          <w:marTop w:val="115"/>
          <w:marBottom w:val="0"/>
          <w:divBdr>
            <w:top w:val="none" w:sz="0" w:space="0" w:color="auto"/>
            <w:left w:val="none" w:sz="0" w:space="0" w:color="auto"/>
            <w:bottom w:val="none" w:sz="0" w:space="0" w:color="auto"/>
            <w:right w:val="none" w:sz="0" w:space="0" w:color="auto"/>
          </w:divBdr>
        </w:div>
      </w:divsChild>
    </w:div>
    <w:div w:id="1547987690">
      <w:bodyDiv w:val="1"/>
      <w:marLeft w:val="0"/>
      <w:marRight w:val="0"/>
      <w:marTop w:val="0"/>
      <w:marBottom w:val="0"/>
      <w:divBdr>
        <w:top w:val="none" w:sz="0" w:space="0" w:color="auto"/>
        <w:left w:val="none" w:sz="0" w:space="0" w:color="auto"/>
        <w:bottom w:val="none" w:sz="0" w:space="0" w:color="auto"/>
        <w:right w:val="none" w:sz="0" w:space="0" w:color="auto"/>
      </w:divBdr>
    </w:div>
    <w:div w:id="1548563472">
      <w:bodyDiv w:val="1"/>
      <w:marLeft w:val="0"/>
      <w:marRight w:val="0"/>
      <w:marTop w:val="0"/>
      <w:marBottom w:val="0"/>
      <w:divBdr>
        <w:top w:val="none" w:sz="0" w:space="0" w:color="auto"/>
        <w:left w:val="none" w:sz="0" w:space="0" w:color="auto"/>
        <w:bottom w:val="none" w:sz="0" w:space="0" w:color="auto"/>
        <w:right w:val="none" w:sz="0" w:space="0" w:color="auto"/>
      </w:divBdr>
    </w:div>
    <w:div w:id="1548685137">
      <w:bodyDiv w:val="1"/>
      <w:marLeft w:val="0"/>
      <w:marRight w:val="0"/>
      <w:marTop w:val="0"/>
      <w:marBottom w:val="0"/>
      <w:divBdr>
        <w:top w:val="none" w:sz="0" w:space="0" w:color="auto"/>
        <w:left w:val="none" w:sz="0" w:space="0" w:color="auto"/>
        <w:bottom w:val="none" w:sz="0" w:space="0" w:color="auto"/>
        <w:right w:val="none" w:sz="0" w:space="0" w:color="auto"/>
      </w:divBdr>
    </w:div>
    <w:div w:id="1550338989">
      <w:bodyDiv w:val="1"/>
      <w:marLeft w:val="0"/>
      <w:marRight w:val="0"/>
      <w:marTop w:val="0"/>
      <w:marBottom w:val="0"/>
      <w:divBdr>
        <w:top w:val="none" w:sz="0" w:space="0" w:color="auto"/>
        <w:left w:val="none" w:sz="0" w:space="0" w:color="auto"/>
        <w:bottom w:val="none" w:sz="0" w:space="0" w:color="auto"/>
        <w:right w:val="none" w:sz="0" w:space="0" w:color="auto"/>
      </w:divBdr>
      <w:divsChild>
        <w:div w:id="174342321">
          <w:marLeft w:val="1166"/>
          <w:marRight w:val="0"/>
          <w:marTop w:val="115"/>
          <w:marBottom w:val="0"/>
          <w:divBdr>
            <w:top w:val="none" w:sz="0" w:space="0" w:color="auto"/>
            <w:left w:val="none" w:sz="0" w:space="0" w:color="auto"/>
            <w:bottom w:val="none" w:sz="0" w:space="0" w:color="auto"/>
            <w:right w:val="none" w:sz="0" w:space="0" w:color="auto"/>
          </w:divBdr>
        </w:div>
        <w:div w:id="261647817">
          <w:marLeft w:val="1166"/>
          <w:marRight w:val="0"/>
          <w:marTop w:val="115"/>
          <w:marBottom w:val="0"/>
          <w:divBdr>
            <w:top w:val="none" w:sz="0" w:space="0" w:color="auto"/>
            <w:left w:val="none" w:sz="0" w:space="0" w:color="auto"/>
            <w:bottom w:val="none" w:sz="0" w:space="0" w:color="auto"/>
            <w:right w:val="none" w:sz="0" w:space="0" w:color="auto"/>
          </w:divBdr>
        </w:div>
        <w:div w:id="1074087421">
          <w:marLeft w:val="1166"/>
          <w:marRight w:val="0"/>
          <w:marTop w:val="115"/>
          <w:marBottom w:val="0"/>
          <w:divBdr>
            <w:top w:val="none" w:sz="0" w:space="0" w:color="auto"/>
            <w:left w:val="none" w:sz="0" w:space="0" w:color="auto"/>
            <w:bottom w:val="none" w:sz="0" w:space="0" w:color="auto"/>
            <w:right w:val="none" w:sz="0" w:space="0" w:color="auto"/>
          </w:divBdr>
        </w:div>
        <w:div w:id="1148085165">
          <w:marLeft w:val="1166"/>
          <w:marRight w:val="0"/>
          <w:marTop w:val="115"/>
          <w:marBottom w:val="0"/>
          <w:divBdr>
            <w:top w:val="none" w:sz="0" w:space="0" w:color="auto"/>
            <w:left w:val="none" w:sz="0" w:space="0" w:color="auto"/>
            <w:bottom w:val="none" w:sz="0" w:space="0" w:color="auto"/>
            <w:right w:val="none" w:sz="0" w:space="0" w:color="auto"/>
          </w:divBdr>
        </w:div>
        <w:div w:id="1890342014">
          <w:marLeft w:val="1166"/>
          <w:marRight w:val="0"/>
          <w:marTop w:val="115"/>
          <w:marBottom w:val="0"/>
          <w:divBdr>
            <w:top w:val="none" w:sz="0" w:space="0" w:color="auto"/>
            <w:left w:val="none" w:sz="0" w:space="0" w:color="auto"/>
            <w:bottom w:val="none" w:sz="0" w:space="0" w:color="auto"/>
            <w:right w:val="none" w:sz="0" w:space="0" w:color="auto"/>
          </w:divBdr>
        </w:div>
        <w:div w:id="1898131100">
          <w:marLeft w:val="547"/>
          <w:marRight w:val="0"/>
          <w:marTop w:val="134"/>
          <w:marBottom w:val="0"/>
          <w:divBdr>
            <w:top w:val="none" w:sz="0" w:space="0" w:color="auto"/>
            <w:left w:val="none" w:sz="0" w:space="0" w:color="auto"/>
            <w:bottom w:val="none" w:sz="0" w:space="0" w:color="auto"/>
            <w:right w:val="none" w:sz="0" w:space="0" w:color="auto"/>
          </w:divBdr>
        </w:div>
      </w:divsChild>
    </w:div>
    <w:div w:id="1551111739">
      <w:bodyDiv w:val="1"/>
      <w:marLeft w:val="0"/>
      <w:marRight w:val="0"/>
      <w:marTop w:val="0"/>
      <w:marBottom w:val="0"/>
      <w:divBdr>
        <w:top w:val="none" w:sz="0" w:space="0" w:color="auto"/>
        <w:left w:val="none" w:sz="0" w:space="0" w:color="auto"/>
        <w:bottom w:val="none" w:sz="0" w:space="0" w:color="auto"/>
        <w:right w:val="none" w:sz="0" w:space="0" w:color="auto"/>
      </w:divBdr>
    </w:div>
    <w:div w:id="1551720776">
      <w:bodyDiv w:val="1"/>
      <w:marLeft w:val="0"/>
      <w:marRight w:val="0"/>
      <w:marTop w:val="0"/>
      <w:marBottom w:val="0"/>
      <w:divBdr>
        <w:top w:val="none" w:sz="0" w:space="0" w:color="auto"/>
        <w:left w:val="none" w:sz="0" w:space="0" w:color="auto"/>
        <w:bottom w:val="none" w:sz="0" w:space="0" w:color="auto"/>
        <w:right w:val="none" w:sz="0" w:space="0" w:color="auto"/>
      </w:divBdr>
    </w:div>
    <w:div w:id="1552619049">
      <w:bodyDiv w:val="1"/>
      <w:marLeft w:val="0"/>
      <w:marRight w:val="0"/>
      <w:marTop w:val="0"/>
      <w:marBottom w:val="0"/>
      <w:divBdr>
        <w:top w:val="none" w:sz="0" w:space="0" w:color="auto"/>
        <w:left w:val="none" w:sz="0" w:space="0" w:color="auto"/>
        <w:bottom w:val="none" w:sz="0" w:space="0" w:color="auto"/>
        <w:right w:val="none" w:sz="0" w:space="0" w:color="auto"/>
      </w:divBdr>
    </w:div>
    <w:div w:id="1553737861">
      <w:bodyDiv w:val="1"/>
      <w:marLeft w:val="0"/>
      <w:marRight w:val="0"/>
      <w:marTop w:val="0"/>
      <w:marBottom w:val="0"/>
      <w:divBdr>
        <w:top w:val="none" w:sz="0" w:space="0" w:color="auto"/>
        <w:left w:val="none" w:sz="0" w:space="0" w:color="auto"/>
        <w:bottom w:val="none" w:sz="0" w:space="0" w:color="auto"/>
        <w:right w:val="none" w:sz="0" w:space="0" w:color="auto"/>
      </w:divBdr>
    </w:div>
    <w:div w:id="1554002280">
      <w:bodyDiv w:val="1"/>
      <w:marLeft w:val="0"/>
      <w:marRight w:val="0"/>
      <w:marTop w:val="0"/>
      <w:marBottom w:val="0"/>
      <w:divBdr>
        <w:top w:val="none" w:sz="0" w:space="0" w:color="auto"/>
        <w:left w:val="none" w:sz="0" w:space="0" w:color="auto"/>
        <w:bottom w:val="none" w:sz="0" w:space="0" w:color="auto"/>
        <w:right w:val="none" w:sz="0" w:space="0" w:color="auto"/>
      </w:divBdr>
    </w:div>
    <w:div w:id="1554152691">
      <w:bodyDiv w:val="1"/>
      <w:marLeft w:val="0"/>
      <w:marRight w:val="0"/>
      <w:marTop w:val="0"/>
      <w:marBottom w:val="0"/>
      <w:divBdr>
        <w:top w:val="none" w:sz="0" w:space="0" w:color="auto"/>
        <w:left w:val="none" w:sz="0" w:space="0" w:color="auto"/>
        <w:bottom w:val="none" w:sz="0" w:space="0" w:color="auto"/>
        <w:right w:val="none" w:sz="0" w:space="0" w:color="auto"/>
      </w:divBdr>
    </w:div>
    <w:div w:id="1554728557">
      <w:bodyDiv w:val="1"/>
      <w:marLeft w:val="0"/>
      <w:marRight w:val="0"/>
      <w:marTop w:val="0"/>
      <w:marBottom w:val="0"/>
      <w:divBdr>
        <w:top w:val="none" w:sz="0" w:space="0" w:color="auto"/>
        <w:left w:val="none" w:sz="0" w:space="0" w:color="auto"/>
        <w:bottom w:val="none" w:sz="0" w:space="0" w:color="auto"/>
        <w:right w:val="none" w:sz="0" w:space="0" w:color="auto"/>
      </w:divBdr>
      <w:divsChild>
        <w:div w:id="39211903">
          <w:marLeft w:val="1800"/>
          <w:marRight w:val="0"/>
          <w:marTop w:val="96"/>
          <w:marBottom w:val="0"/>
          <w:divBdr>
            <w:top w:val="none" w:sz="0" w:space="0" w:color="auto"/>
            <w:left w:val="none" w:sz="0" w:space="0" w:color="auto"/>
            <w:bottom w:val="none" w:sz="0" w:space="0" w:color="auto"/>
            <w:right w:val="none" w:sz="0" w:space="0" w:color="auto"/>
          </w:divBdr>
        </w:div>
        <w:div w:id="145712002">
          <w:marLeft w:val="1166"/>
          <w:marRight w:val="0"/>
          <w:marTop w:val="115"/>
          <w:marBottom w:val="0"/>
          <w:divBdr>
            <w:top w:val="none" w:sz="0" w:space="0" w:color="auto"/>
            <w:left w:val="none" w:sz="0" w:space="0" w:color="auto"/>
            <w:bottom w:val="none" w:sz="0" w:space="0" w:color="auto"/>
            <w:right w:val="none" w:sz="0" w:space="0" w:color="auto"/>
          </w:divBdr>
        </w:div>
        <w:div w:id="1711801820">
          <w:marLeft w:val="1800"/>
          <w:marRight w:val="0"/>
          <w:marTop w:val="96"/>
          <w:marBottom w:val="0"/>
          <w:divBdr>
            <w:top w:val="none" w:sz="0" w:space="0" w:color="auto"/>
            <w:left w:val="none" w:sz="0" w:space="0" w:color="auto"/>
            <w:bottom w:val="none" w:sz="0" w:space="0" w:color="auto"/>
            <w:right w:val="none" w:sz="0" w:space="0" w:color="auto"/>
          </w:divBdr>
        </w:div>
        <w:div w:id="1754279662">
          <w:marLeft w:val="1800"/>
          <w:marRight w:val="0"/>
          <w:marTop w:val="96"/>
          <w:marBottom w:val="0"/>
          <w:divBdr>
            <w:top w:val="none" w:sz="0" w:space="0" w:color="auto"/>
            <w:left w:val="none" w:sz="0" w:space="0" w:color="auto"/>
            <w:bottom w:val="none" w:sz="0" w:space="0" w:color="auto"/>
            <w:right w:val="none" w:sz="0" w:space="0" w:color="auto"/>
          </w:divBdr>
        </w:div>
        <w:div w:id="1848976266">
          <w:marLeft w:val="547"/>
          <w:marRight w:val="0"/>
          <w:marTop w:val="134"/>
          <w:marBottom w:val="0"/>
          <w:divBdr>
            <w:top w:val="none" w:sz="0" w:space="0" w:color="auto"/>
            <w:left w:val="none" w:sz="0" w:space="0" w:color="auto"/>
            <w:bottom w:val="none" w:sz="0" w:space="0" w:color="auto"/>
            <w:right w:val="none" w:sz="0" w:space="0" w:color="auto"/>
          </w:divBdr>
        </w:div>
        <w:div w:id="1905528493">
          <w:marLeft w:val="1800"/>
          <w:marRight w:val="0"/>
          <w:marTop w:val="96"/>
          <w:marBottom w:val="0"/>
          <w:divBdr>
            <w:top w:val="none" w:sz="0" w:space="0" w:color="auto"/>
            <w:left w:val="none" w:sz="0" w:space="0" w:color="auto"/>
            <w:bottom w:val="none" w:sz="0" w:space="0" w:color="auto"/>
            <w:right w:val="none" w:sz="0" w:space="0" w:color="auto"/>
          </w:divBdr>
        </w:div>
      </w:divsChild>
    </w:div>
    <w:div w:id="1554736103">
      <w:bodyDiv w:val="1"/>
      <w:marLeft w:val="0"/>
      <w:marRight w:val="0"/>
      <w:marTop w:val="0"/>
      <w:marBottom w:val="0"/>
      <w:divBdr>
        <w:top w:val="none" w:sz="0" w:space="0" w:color="auto"/>
        <w:left w:val="none" w:sz="0" w:space="0" w:color="auto"/>
        <w:bottom w:val="none" w:sz="0" w:space="0" w:color="auto"/>
        <w:right w:val="none" w:sz="0" w:space="0" w:color="auto"/>
      </w:divBdr>
    </w:div>
    <w:div w:id="1555118474">
      <w:bodyDiv w:val="1"/>
      <w:marLeft w:val="0"/>
      <w:marRight w:val="0"/>
      <w:marTop w:val="0"/>
      <w:marBottom w:val="0"/>
      <w:divBdr>
        <w:top w:val="none" w:sz="0" w:space="0" w:color="auto"/>
        <w:left w:val="none" w:sz="0" w:space="0" w:color="auto"/>
        <w:bottom w:val="none" w:sz="0" w:space="0" w:color="auto"/>
        <w:right w:val="none" w:sz="0" w:space="0" w:color="auto"/>
      </w:divBdr>
    </w:div>
    <w:div w:id="1556965715">
      <w:bodyDiv w:val="1"/>
      <w:marLeft w:val="0"/>
      <w:marRight w:val="0"/>
      <w:marTop w:val="0"/>
      <w:marBottom w:val="0"/>
      <w:divBdr>
        <w:top w:val="none" w:sz="0" w:space="0" w:color="auto"/>
        <w:left w:val="none" w:sz="0" w:space="0" w:color="auto"/>
        <w:bottom w:val="none" w:sz="0" w:space="0" w:color="auto"/>
        <w:right w:val="none" w:sz="0" w:space="0" w:color="auto"/>
      </w:divBdr>
    </w:div>
    <w:div w:id="1557669507">
      <w:bodyDiv w:val="1"/>
      <w:marLeft w:val="0"/>
      <w:marRight w:val="0"/>
      <w:marTop w:val="0"/>
      <w:marBottom w:val="0"/>
      <w:divBdr>
        <w:top w:val="none" w:sz="0" w:space="0" w:color="auto"/>
        <w:left w:val="none" w:sz="0" w:space="0" w:color="auto"/>
        <w:bottom w:val="none" w:sz="0" w:space="0" w:color="auto"/>
        <w:right w:val="none" w:sz="0" w:space="0" w:color="auto"/>
      </w:divBdr>
    </w:div>
    <w:div w:id="1558125193">
      <w:bodyDiv w:val="1"/>
      <w:marLeft w:val="0"/>
      <w:marRight w:val="0"/>
      <w:marTop w:val="0"/>
      <w:marBottom w:val="0"/>
      <w:divBdr>
        <w:top w:val="none" w:sz="0" w:space="0" w:color="auto"/>
        <w:left w:val="none" w:sz="0" w:space="0" w:color="auto"/>
        <w:bottom w:val="none" w:sz="0" w:space="0" w:color="auto"/>
        <w:right w:val="none" w:sz="0" w:space="0" w:color="auto"/>
      </w:divBdr>
    </w:div>
    <w:div w:id="1558315787">
      <w:bodyDiv w:val="1"/>
      <w:marLeft w:val="0"/>
      <w:marRight w:val="0"/>
      <w:marTop w:val="0"/>
      <w:marBottom w:val="0"/>
      <w:divBdr>
        <w:top w:val="none" w:sz="0" w:space="0" w:color="auto"/>
        <w:left w:val="none" w:sz="0" w:space="0" w:color="auto"/>
        <w:bottom w:val="none" w:sz="0" w:space="0" w:color="auto"/>
        <w:right w:val="none" w:sz="0" w:space="0" w:color="auto"/>
      </w:divBdr>
      <w:divsChild>
        <w:div w:id="188684018">
          <w:marLeft w:val="1800"/>
          <w:marRight w:val="0"/>
          <w:marTop w:val="96"/>
          <w:marBottom w:val="0"/>
          <w:divBdr>
            <w:top w:val="none" w:sz="0" w:space="0" w:color="auto"/>
            <w:left w:val="none" w:sz="0" w:space="0" w:color="auto"/>
            <w:bottom w:val="none" w:sz="0" w:space="0" w:color="auto"/>
            <w:right w:val="none" w:sz="0" w:space="0" w:color="auto"/>
          </w:divBdr>
        </w:div>
        <w:div w:id="438572085">
          <w:marLeft w:val="1800"/>
          <w:marRight w:val="0"/>
          <w:marTop w:val="96"/>
          <w:marBottom w:val="0"/>
          <w:divBdr>
            <w:top w:val="none" w:sz="0" w:space="0" w:color="auto"/>
            <w:left w:val="none" w:sz="0" w:space="0" w:color="auto"/>
            <w:bottom w:val="none" w:sz="0" w:space="0" w:color="auto"/>
            <w:right w:val="none" w:sz="0" w:space="0" w:color="auto"/>
          </w:divBdr>
        </w:div>
        <w:div w:id="510224584">
          <w:marLeft w:val="1800"/>
          <w:marRight w:val="0"/>
          <w:marTop w:val="96"/>
          <w:marBottom w:val="0"/>
          <w:divBdr>
            <w:top w:val="none" w:sz="0" w:space="0" w:color="auto"/>
            <w:left w:val="none" w:sz="0" w:space="0" w:color="auto"/>
            <w:bottom w:val="none" w:sz="0" w:space="0" w:color="auto"/>
            <w:right w:val="none" w:sz="0" w:space="0" w:color="auto"/>
          </w:divBdr>
        </w:div>
        <w:div w:id="978532170">
          <w:marLeft w:val="1166"/>
          <w:marRight w:val="0"/>
          <w:marTop w:val="115"/>
          <w:marBottom w:val="0"/>
          <w:divBdr>
            <w:top w:val="none" w:sz="0" w:space="0" w:color="auto"/>
            <w:left w:val="none" w:sz="0" w:space="0" w:color="auto"/>
            <w:bottom w:val="none" w:sz="0" w:space="0" w:color="auto"/>
            <w:right w:val="none" w:sz="0" w:space="0" w:color="auto"/>
          </w:divBdr>
        </w:div>
        <w:div w:id="1396127395">
          <w:marLeft w:val="547"/>
          <w:marRight w:val="0"/>
          <w:marTop w:val="134"/>
          <w:marBottom w:val="0"/>
          <w:divBdr>
            <w:top w:val="none" w:sz="0" w:space="0" w:color="auto"/>
            <w:left w:val="none" w:sz="0" w:space="0" w:color="auto"/>
            <w:bottom w:val="none" w:sz="0" w:space="0" w:color="auto"/>
            <w:right w:val="none" w:sz="0" w:space="0" w:color="auto"/>
          </w:divBdr>
        </w:div>
      </w:divsChild>
    </w:div>
    <w:div w:id="1559973669">
      <w:bodyDiv w:val="1"/>
      <w:marLeft w:val="0"/>
      <w:marRight w:val="0"/>
      <w:marTop w:val="0"/>
      <w:marBottom w:val="0"/>
      <w:divBdr>
        <w:top w:val="none" w:sz="0" w:space="0" w:color="auto"/>
        <w:left w:val="none" w:sz="0" w:space="0" w:color="auto"/>
        <w:bottom w:val="none" w:sz="0" w:space="0" w:color="auto"/>
        <w:right w:val="none" w:sz="0" w:space="0" w:color="auto"/>
      </w:divBdr>
      <w:divsChild>
        <w:div w:id="810176059">
          <w:marLeft w:val="0"/>
          <w:marRight w:val="0"/>
          <w:marTop w:val="0"/>
          <w:marBottom w:val="0"/>
          <w:divBdr>
            <w:top w:val="none" w:sz="0" w:space="0" w:color="auto"/>
            <w:left w:val="none" w:sz="0" w:space="0" w:color="auto"/>
            <w:bottom w:val="none" w:sz="0" w:space="0" w:color="auto"/>
            <w:right w:val="none" w:sz="0" w:space="0" w:color="auto"/>
          </w:divBdr>
          <w:divsChild>
            <w:div w:id="212422759">
              <w:marLeft w:val="0"/>
              <w:marRight w:val="0"/>
              <w:marTop w:val="0"/>
              <w:marBottom w:val="0"/>
              <w:divBdr>
                <w:top w:val="none" w:sz="0" w:space="0" w:color="auto"/>
                <w:left w:val="none" w:sz="0" w:space="0" w:color="auto"/>
                <w:bottom w:val="none" w:sz="0" w:space="0" w:color="auto"/>
                <w:right w:val="none" w:sz="0" w:space="0" w:color="auto"/>
              </w:divBdr>
            </w:div>
            <w:div w:id="670714565">
              <w:marLeft w:val="0"/>
              <w:marRight w:val="0"/>
              <w:marTop w:val="0"/>
              <w:marBottom w:val="0"/>
              <w:divBdr>
                <w:top w:val="none" w:sz="0" w:space="0" w:color="auto"/>
                <w:left w:val="none" w:sz="0" w:space="0" w:color="auto"/>
                <w:bottom w:val="none" w:sz="0" w:space="0" w:color="auto"/>
                <w:right w:val="none" w:sz="0" w:space="0" w:color="auto"/>
              </w:divBdr>
            </w:div>
            <w:div w:id="1947271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555564">
      <w:bodyDiv w:val="1"/>
      <w:marLeft w:val="0"/>
      <w:marRight w:val="0"/>
      <w:marTop w:val="0"/>
      <w:marBottom w:val="0"/>
      <w:divBdr>
        <w:top w:val="none" w:sz="0" w:space="0" w:color="auto"/>
        <w:left w:val="none" w:sz="0" w:space="0" w:color="auto"/>
        <w:bottom w:val="none" w:sz="0" w:space="0" w:color="auto"/>
        <w:right w:val="none" w:sz="0" w:space="0" w:color="auto"/>
      </w:divBdr>
    </w:div>
    <w:div w:id="1562249966">
      <w:bodyDiv w:val="1"/>
      <w:marLeft w:val="0"/>
      <w:marRight w:val="0"/>
      <w:marTop w:val="0"/>
      <w:marBottom w:val="0"/>
      <w:divBdr>
        <w:top w:val="none" w:sz="0" w:space="0" w:color="auto"/>
        <w:left w:val="none" w:sz="0" w:space="0" w:color="auto"/>
        <w:bottom w:val="none" w:sz="0" w:space="0" w:color="auto"/>
        <w:right w:val="none" w:sz="0" w:space="0" w:color="auto"/>
      </w:divBdr>
    </w:div>
    <w:div w:id="1562518486">
      <w:bodyDiv w:val="1"/>
      <w:marLeft w:val="0"/>
      <w:marRight w:val="0"/>
      <w:marTop w:val="0"/>
      <w:marBottom w:val="0"/>
      <w:divBdr>
        <w:top w:val="none" w:sz="0" w:space="0" w:color="auto"/>
        <w:left w:val="none" w:sz="0" w:space="0" w:color="auto"/>
        <w:bottom w:val="none" w:sz="0" w:space="0" w:color="auto"/>
        <w:right w:val="none" w:sz="0" w:space="0" w:color="auto"/>
      </w:divBdr>
      <w:divsChild>
        <w:div w:id="405151656">
          <w:marLeft w:val="1080"/>
          <w:marRight w:val="0"/>
          <w:marTop w:val="100"/>
          <w:marBottom w:val="0"/>
          <w:divBdr>
            <w:top w:val="none" w:sz="0" w:space="0" w:color="auto"/>
            <w:left w:val="none" w:sz="0" w:space="0" w:color="auto"/>
            <w:bottom w:val="none" w:sz="0" w:space="0" w:color="auto"/>
            <w:right w:val="none" w:sz="0" w:space="0" w:color="auto"/>
          </w:divBdr>
        </w:div>
        <w:div w:id="519393878">
          <w:marLeft w:val="1800"/>
          <w:marRight w:val="0"/>
          <w:marTop w:val="100"/>
          <w:marBottom w:val="0"/>
          <w:divBdr>
            <w:top w:val="none" w:sz="0" w:space="0" w:color="auto"/>
            <w:left w:val="none" w:sz="0" w:space="0" w:color="auto"/>
            <w:bottom w:val="none" w:sz="0" w:space="0" w:color="auto"/>
            <w:right w:val="none" w:sz="0" w:space="0" w:color="auto"/>
          </w:divBdr>
        </w:div>
        <w:div w:id="979312057">
          <w:marLeft w:val="1800"/>
          <w:marRight w:val="0"/>
          <w:marTop w:val="100"/>
          <w:marBottom w:val="0"/>
          <w:divBdr>
            <w:top w:val="none" w:sz="0" w:space="0" w:color="auto"/>
            <w:left w:val="none" w:sz="0" w:space="0" w:color="auto"/>
            <w:bottom w:val="none" w:sz="0" w:space="0" w:color="auto"/>
            <w:right w:val="none" w:sz="0" w:space="0" w:color="auto"/>
          </w:divBdr>
        </w:div>
      </w:divsChild>
    </w:div>
    <w:div w:id="1562910600">
      <w:bodyDiv w:val="1"/>
      <w:marLeft w:val="0"/>
      <w:marRight w:val="0"/>
      <w:marTop w:val="0"/>
      <w:marBottom w:val="0"/>
      <w:divBdr>
        <w:top w:val="none" w:sz="0" w:space="0" w:color="auto"/>
        <w:left w:val="none" w:sz="0" w:space="0" w:color="auto"/>
        <w:bottom w:val="none" w:sz="0" w:space="0" w:color="auto"/>
        <w:right w:val="none" w:sz="0" w:space="0" w:color="auto"/>
      </w:divBdr>
    </w:div>
    <w:div w:id="1564295932">
      <w:bodyDiv w:val="1"/>
      <w:marLeft w:val="0"/>
      <w:marRight w:val="0"/>
      <w:marTop w:val="0"/>
      <w:marBottom w:val="0"/>
      <w:divBdr>
        <w:top w:val="none" w:sz="0" w:space="0" w:color="auto"/>
        <w:left w:val="none" w:sz="0" w:space="0" w:color="auto"/>
        <w:bottom w:val="none" w:sz="0" w:space="0" w:color="auto"/>
        <w:right w:val="none" w:sz="0" w:space="0" w:color="auto"/>
      </w:divBdr>
    </w:div>
    <w:div w:id="1566644675">
      <w:bodyDiv w:val="1"/>
      <w:marLeft w:val="0"/>
      <w:marRight w:val="0"/>
      <w:marTop w:val="0"/>
      <w:marBottom w:val="0"/>
      <w:divBdr>
        <w:top w:val="none" w:sz="0" w:space="0" w:color="auto"/>
        <w:left w:val="none" w:sz="0" w:space="0" w:color="auto"/>
        <w:bottom w:val="none" w:sz="0" w:space="0" w:color="auto"/>
        <w:right w:val="none" w:sz="0" w:space="0" w:color="auto"/>
      </w:divBdr>
      <w:divsChild>
        <w:div w:id="23095790">
          <w:marLeft w:val="1800"/>
          <w:marRight w:val="0"/>
          <w:marTop w:val="67"/>
          <w:marBottom w:val="0"/>
          <w:divBdr>
            <w:top w:val="none" w:sz="0" w:space="0" w:color="auto"/>
            <w:left w:val="none" w:sz="0" w:space="0" w:color="auto"/>
            <w:bottom w:val="none" w:sz="0" w:space="0" w:color="auto"/>
            <w:right w:val="none" w:sz="0" w:space="0" w:color="auto"/>
          </w:divBdr>
        </w:div>
        <w:div w:id="907571297">
          <w:marLeft w:val="1800"/>
          <w:marRight w:val="0"/>
          <w:marTop w:val="77"/>
          <w:marBottom w:val="0"/>
          <w:divBdr>
            <w:top w:val="none" w:sz="0" w:space="0" w:color="auto"/>
            <w:left w:val="none" w:sz="0" w:space="0" w:color="auto"/>
            <w:bottom w:val="none" w:sz="0" w:space="0" w:color="auto"/>
            <w:right w:val="none" w:sz="0" w:space="0" w:color="auto"/>
          </w:divBdr>
        </w:div>
        <w:div w:id="1424764590">
          <w:marLeft w:val="1166"/>
          <w:marRight w:val="0"/>
          <w:marTop w:val="86"/>
          <w:marBottom w:val="0"/>
          <w:divBdr>
            <w:top w:val="none" w:sz="0" w:space="0" w:color="auto"/>
            <w:left w:val="none" w:sz="0" w:space="0" w:color="auto"/>
            <w:bottom w:val="none" w:sz="0" w:space="0" w:color="auto"/>
            <w:right w:val="none" w:sz="0" w:space="0" w:color="auto"/>
          </w:divBdr>
        </w:div>
        <w:div w:id="1542403125">
          <w:marLeft w:val="1800"/>
          <w:marRight w:val="0"/>
          <w:marTop w:val="77"/>
          <w:marBottom w:val="0"/>
          <w:divBdr>
            <w:top w:val="none" w:sz="0" w:space="0" w:color="auto"/>
            <w:left w:val="none" w:sz="0" w:space="0" w:color="auto"/>
            <w:bottom w:val="none" w:sz="0" w:space="0" w:color="auto"/>
            <w:right w:val="none" w:sz="0" w:space="0" w:color="auto"/>
          </w:divBdr>
        </w:div>
        <w:div w:id="1548253503">
          <w:marLeft w:val="1166"/>
          <w:marRight w:val="0"/>
          <w:marTop w:val="86"/>
          <w:marBottom w:val="0"/>
          <w:divBdr>
            <w:top w:val="none" w:sz="0" w:space="0" w:color="auto"/>
            <w:left w:val="none" w:sz="0" w:space="0" w:color="auto"/>
            <w:bottom w:val="none" w:sz="0" w:space="0" w:color="auto"/>
            <w:right w:val="none" w:sz="0" w:space="0" w:color="auto"/>
          </w:divBdr>
        </w:div>
        <w:div w:id="1569412665">
          <w:marLeft w:val="1166"/>
          <w:marRight w:val="0"/>
          <w:marTop w:val="86"/>
          <w:marBottom w:val="0"/>
          <w:divBdr>
            <w:top w:val="none" w:sz="0" w:space="0" w:color="auto"/>
            <w:left w:val="none" w:sz="0" w:space="0" w:color="auto"/>
            <w:bottom w:val="none" w:sz="0" w:space="0" w:color="auto"/>
            <w:right w:val="none" w:sz="0" w:space="0" w:color="auto"/>
          </w:divBdr>
        </w:div>
        <w:div w:id="1674256956">
          <w:marLeft w:val="547"/>
          <w:marRight w:val="0"/>
          <w:marTop w:val="96"/>
          <w:marBottom w:val="0"/>
          <w:divBdr>
            <w:top w:val="none" w:sz="0" w:space="0" w:color="auto"/>
            <w:left w:val="none" w:sz="0" w:space="0" w:color="auto"/>
            <w:bottom w:val="none" w:sz="0" w:space="0" w:color="auto"/>
            <w:right w:val="none" w:sz="0" w:space="0" w:color="auto"/>
          </w:divBdr>
        </w:div>
        <w:div w:id="2064986114">
          <w:marLeft w:val="1800"/>
          <w:marRight w:val="0"/>
          <w:marTop w:val="67"/>
          <w:marBottom w:val="0"/>
          <w:divBdr>
            <w:top w:val="none" w:sz="0" w:space="0" w:color="auto"/>
            <w:left w:val="none" w:sz="0" w:space="0" w:color="auto"/>
            <w:bottom w:val="none" w:sz="0" w:space="0" w:color="auto"/>
            <w:right w:val="none" w:sz="0" w:space="0" w:color="auto"/>
          </w:divBdr>
        </w:div>
        <w:div w:id="2109539516">
          <w:marLeft w:val="1166"/>
          <w:marRight w:val="0"/>
          <w:marTop w:val="86"/>
          <w:marBottom w:val="0"/>
          <w:divBdr>
            <w:top w:val="none" w:sz="0" w:space="0" w:color="auto"/>
            <w:left w:val="none" w:sz="0" w:space="0" w:color="auto"/>
            <w:bottom w:val="none" w:sz="0" w:space="0" w:color="auto"/>
            <w:right w:val="none" w:sz="0" w:space="0" w:color="auto"/>
          </w:divBdr>
        </w:div>
      </w:divsChild>
    </w:div>
    <w:div w:id="1567641405">
      <w:bodyDiv w:val="1"/>
      <w:marLeft w:val="0"/>
      <w:marRight w:val="0"/>
      <w:marTop w:val="0"/>
      <w:marBottom w:val="0"/>
      <w:divBdr>
        <w:top w:val="none" w:sz="0" w:space="0" w:color="auto"/>
        <w:left w:val="none" w:sz="0" w:space="0" w:color="auto"/>
        <w:bottom w:val="none" w:sz="0" w:space="0" w:color="auto"/>
        <w:right w:val="none" w:sz="0" w:space="0" w:color="auto"/>
      </w:divBdr>
    </w:div>
    <w:div w:id="1569266049">
      <w:bodyDiv w:val="1"/>
      <w:marLeft w:val="0"/>
      <w:marRight w:val="0"/>
      <w:marTop w:val="0"/>
      <w:marBottom w:val="0"/>
      <w:divBdr>
        <w:top w:val="none" w:sz="0" w:space="0" w:color="auto"/>
        <w:left w:val="none" w:sz="0" w:space="0" w:color="auto"/>
        <w:bottom w:val="none" w:sz="0" w:space="0" w:color="auto"/>
        <w:right w:val="none" w:sz="0" w:space="0" w:color="auto"/>
      </w:divBdr>
      <w:divsChild>
        <w:div w:id="142966047">
          <w:marLeft w:val="1166"/>
          <w:marRight w:val="0"/>
          <w:marTop w:val="96"/>
          <w:marBottom w:val="0"/>
          <w:divBdr>
            <w:top w:val="none" w:sz="0" w:space="0" w:color="auto"/>
            <w:left w:val="none" w:sz="0" w:space="0" w:color="auto"/>
            <w:bottom w:val="none" w:sz="0" w:space="0" w:color="auto"/>
            <w:right w:val="none" w:sz="0" w:space="0" w:color="auto"/>
          </w:divBdr>
        </w:div>
        <w:div w:id="158889846">
          <w:marLeft w:val="1166"/>
          <w:marRight w:val="0"/>
          <w:marTop w:val="96"/>
          <w:marBottom w:val="0"/>
          <w:divBdr>
            <w:top w:val="none" w:sz="0" w:space="0" w:color="auto"/>
            <w:left w:val="none" w:sz="0" w:space="0" w:color="auto"/>
            <w:bottom w:val="none" w:sz="0" w:space="0" w:color="auto"/>
            <w:right w:val="none" w:sz="0" w:space="0" w:color="auto"/>
          </w:divBdr>
        </w:div>
        <w:div w:id="347831173">
          <w:marLeft w:val="1166"/>
          <w:marRight w:val="0"/>
          <w:marTop w:val="96"/>
          <w:marBottom w:val="0"/>
          <w:divBdr>
            <w:top w:val="none" w:sz="0" w:space="0" w:color="auto"/>
            <w:left w:val="none" w:sz="0" w:space="0" w:color="auto"/>
            <w:bottom w:val="none" w:sz="0" w:space="0" w:color="auto"/>
            <w:right w:val="none" w:sz="0" w:space="0" w:color="auto"/>
          </w:divBdr>
        </w:div>
        <w:div w:id="636837010">
          <w:marLeft w:val="1166"/>
          <w:marRight w:val="0"/>
          <w:marTop w:val="96"/>
          <w:marBottom w:val="0"/>
          <w:divBdr>
            <w:top w:val="none" w:sz="0" w:space="0" w:color="auto"/>
            <w:left w:val="none" w:sz="0" w:space="0" w:color="auto"/>
            <w:bottom w:val="none" w:sz="0" w:space="0" w:color="auto"/>
            <w:right w:val="none" w:sz="0" w:space="0" w:color="auto"/>
          </w:divBdr>
        </w:div>
        <w:div w:id="1272862465">
          <w:marLeft w:val="547"/>
          <w:marRight w:val="0"/>
          <w:marTop w:val="115"/>
          <w:marBottom w:val="0"/>
          <w:divBdr>
            <w:top w:val="none" w:sz="0" w:space="0" w:color="auto"/>
            <w:left w:val="none" w:sz="0" w:space="0" w:color="auto"/>
            <w:bottom w:val="none" w:sz="0" w:space="0" w:color="auto"/>
            <w:right w:val="none" w:sz="0" w:space="0" w:color="auto"/>
          </w:divBdr>
        </w:div>
        <w:div w:id="1512069205">
          <w:marLeft w:val="547"/>
          <w:marRight w:val="0"/>
          <w:marTop w:val="115"/>
          <w:marBottom w:val="0"/>
          <w:divBdr>
            <w:top w:val="none" w:sz="0" w:space="0" w:color="auto"/>
            <w:left w:val="none" w:sz="0" w:space="0" w:color="auto"/>
            <w:bottom w:val="none" w:sz="0" w:space="0" w:color="auto"/>
            <w:right w:val="none" w:sz="0" w:space="0" w:color="auto"/>
          </w:divBdr>
        </w:div>
        <w:div w:id="1978682450">
          <w:marLeft w:val="1166"/>
          <w:marRight w:val="0"/>
          <w:marTop w:val="96"/>
          <w:marBottom w:val="0"/>
          <w:divBdr>
            <w:top w:val="none" w:sz="0" w:space="0" w:color="auto"/>
            <w:left w:val="none" w:sz="0" w:space="0" w:color="auto"/>
            <w:bottom w:val="none" w:sz="0" w:space="0" w:color="auto"/>
            <w:right w:val="none" w:sz="0" w:space="0" w:color="auto"/>
          </w:divBdr>
        </w:div>
      </w:divsChild>
    </w:div>
    <w:div w:id="1570724819">
      <w:bodyDiv w:val="1"/>
      <w:marLeft w:val="0"/>
      <w:marRight w:val="0"/>
      <w:marTop w:val="0"/>
      <w:marBottom w:val="0"/>
      <w:divBdr>
        <w:top w:val="none" w:sz="0" w:space="0" w:color="auto"/>
        <w:left w:val="none" w:sz="0" w:space="0" w:color="auto"/>
        <w:bottom w:val="none" w:sz="0" w:space="0" w:color="auto"/>
        <w:right w:val="none" w:sz="0" w:space="0" w:color="auto"/>
      </w:divBdr>
    </w:div>
    <w:div w:id="1571188966">
      <w:bodyDiv w:val="1"/>
      <w:marLeft w:val="0"/>
      <w:marRight w:val="0"/>
      <w:marTop w:val="0"/>
      <w:marBottom w:val="0"/>
      <w:divBdr>
        <w:top w:val="none" w:sz="0" w:space="0" w:color="auto"/>
        <w:left w:val="none" w:sz="0" w:space="0" w:color="auto"/>
        <w:bottom w:val="none" w:sz="0" w:space="0" w:color="auto"/>
        <w:right w:val="none" w:sz="0" w:space="0" w:color="auto"/>
      </w:divBdr>
    </w:div>
    <w:div w:id="1571650123">
      <w:bodyDiv w:val="1"/>
      <w:marLeft w:val="0"/>
      <w:marRight w:val="0"/>
      <w:marTop w:val="0"/>
      <w:marBottom w:val="0"/>
      <w:divBdr>
        <w:top w:val="none" w:sz="0" w:space="0" w:color="auto"/>
        <w:left w:val="none" w:sz="0" w:space="0" w:color="auto"/>
        <w:bottom w:val="none" w:sz="0" w:space="0" w:color="auto"/>
        <w:right w:val="none" w:sz="0" w:space="0" w:color="auto"/>
      </w:divBdr>
    </w:div>
    <w:div w:id="1572425149">
      <w:bodyDiv w:val="1"/>
      <w:marLeft w:val="0"/>
      <w:marRight w:val="0"/>
      <w:marTop w:val="0"/>
      <w:marBottom w:val="0"/>
      <w:divBdr>
        <w:top w:val="none" w:sz="0" w:space="0" w:color="auto"/>
        <w:left w:val="none" w:sz="0" w:space="0" w:color="auto"/>
        <w:bottom w:val="none" w:sz="0" w:space="0" w:color="auto"/>
        <w:right w:val="none" w:sz="0" w:space="0" w:color="auto"/>
      </w:divBdr>
    </w:div>
    <w:div w:id="1573933229">
      <w:bodyDiv w:val="1"/>
      <w:marLeft w:val="0"/>
      <w:marRight w:val="0"/>
      <w:marTop w:val="0"/>
      <w:marBottom w:val="0"/>
      <w:divBdr>
        <w:top w:val="none" w:sz="0" w:space="0" w:color="auto"/>
        <w:left w:val="none" w:sz="0" w:space="0" w:color="auto"/>
        <w:bottom w:val="none" w:sz="0" w:space="0" w:color="auto"/>
        <w:right w:val="none" w:sz="0" w:space="0" w:color="auto"/>
      </w:divBdr>
    </w:div>
    <w:div w:id="1575628125">
      <w:bodyDiv w:val="1"/>
      <w:marLeft w:val="0"/>
      <w:marRight w:val="0"/>
      <w:marTop w:val="0"/>
      <w:marBottom w:val="0"/>
      <w:divBdr>
        <w:top w:val="none" w:sz="0" w:space="0" w:color="auto"/>
        <w:left w:val="none" w:sz="0" w:space="0" w:color="auto"/>
        <w:bottom w:val="none" w:sz="0" w:space="0" w:color="auto"/>
        <w:right w:val="none" w:sz="0" w:space="0" w:color="auto"/>
      </w:divBdr>
    </w:div>
    <w:div w:id="1575698578">
      <w:bodyDiv w:val="1"/>
      <w:marLeft w:val="0"/>
      <w:marRight w:val="0"/>
      <w:marTop w:val="0"/>
      <w:marBottom w:val="0"/>
      <w:divBdr>
        <w:top w:val="none" w:sz="0" w:space="0" w:color="auto"/>
        <w:left w:val="none" w:sz="0" w:space="0" w:color="auto"/>
        <w:bottom w:val="none" w:sz="0" w:space="0" w:color="auto"/>
        <w:right w:val="none" w:sz="0" w:space="0" w:color="auto"/>
      </w:divBdr>
      <w:divsChild>
        <w:div w:id="291257045">
          <w:marLeft w:val="547"/>
          <w:marRight w:val="0"/>
          <w:marTop w:val="154"/>
          <w:marBottom w:val="0"/>
          <w:divBdr>
            <w:top w:val="none" w:sz="0" w:space="0" w:color="auto"/>
            <w:left w:val="none" w:sz="0" w:space="0" w:color="auto"/>
            <w:bottom w:val="none" w:sz="0" w:space="0" w:color="auto"/>
            <w:right w:val="none" w:sz="0" w:space="0" w:color="auto"/>
          </w:divBdr>
        </w:div>
        <w:div w:id="414976467">
          <w:marLeft w:val="1166"/>
          <w:marRight w:val="0"/>
          <w:marTop w:val="134"/>
          <w:marBottom w:val="0"/>
          <w:divBdr>
            <w:top w:val="none" w:sz="0" w:space="0" w:color="auto"/>
            <w:left w:val="none" w:sz="0" w:space="0" w:color="auto"/>
            <w:bottom w:val="none" w:sz="0" w:space="0" w:color="auto"/>
            <w:right w:val="none" w:sz="0" w:space="0" w:color="auto"/>
          </w:divBdr>
        </w:div>
        <w:div w:id="2128812279">
          <w:marLeft w:val="1166"/>
          <w:marRight w:val="0"/>
          <w:marTop w:val="134"/>
          <w:marBottom w:val="0"/>
          <w:divBdr>
            <w:top w:val="none" w:sz="0" w:space="0" w:color="auto"/>
            <w:left w:val="none" w:sz="0" w:space="0" w:color="auto"/>
            <w:bottom w:val="none" w:sz="0" w:space="0" w:color="auto"/>
            <w:right w:val="none" w:sz="0" w:space="0" w:color="auto"/>
          </w:divBdr>
        </w:div>
      </w:divsChild>
    </w:div>
    <w:div w:id="1576089292">
      <w:bodyDiv w:val="1"/>
      <w:marLeft w:val="0"/>
      <w:marRight w:val="0"/>
      <w:marTop w:val="0"/>
      <w:marBottom w:val="0"/>
      <w:divBdr>
        <w:top w:val="none" w:sz="0" w:space="0" w:color="auto"/>
        <w:left w:val="none" w:sz="0" w:space="0" w:color="auto"/>
        <w:bottom w:val="none" w:sz="0" w:space="0" w:color="auto"/>
        <w:right w:val="none" w:sz="0" w:space="0" w:color="auto"/>
      </w:divBdr>
    </w:div>
    <w:div w:id="1576159396">
      <w:bodyDiv w:val="1"/>
      <w:marLeft w:val="0"/>
      <w:marRight w:val="0"/>
      <w:marTop w:val="0"/>
      <w:marBottom w:val="0"/>
      <w:divBdr>
        <w:top w:val="none" w:sz="0" w:space="0" w:color="auto"/>
        <w:left w:val="none" w:sz="0" w:space="0" w:color="auto"/>
        <w:bottom w:val="none" w:sz="0" w:space="0" w:color="auto"/>
        <w:right w:val="none" w:sz="0" w:space="0" w:color="auto"/>
      </w:divBdr>
      <w:divsChild>
        <w:div w:id="118961568">
          <w:marLeft w:val="547"/>
          <w:marRight w:val="0"/>
          <w:marTop w:val="154"/>
          <w:marBottom w:val="0"/>
          <w:divBdr>
            <w:top w:val="none" w:sz="0" w:space="0" w:color="auto"/>
            <w:left w:val="none" w:sz="0" w:space="0" w:color="auto"/>
            <w:bottom w:val="none" w:sz="0" w:space="0" w:color="auto"/>
            <w:right w:val="none" w:sz="0" w:space="0" w:color="auto"/>
          </w:divBdr>
        </w:div>
        <w:div w:id="613749307">
          <w:marLeft w:val="1166"/>
          <w:marRight w:val="0"/>
          <w:marTop w:val="134"/>
          <w:marBottom w:val="0"/>
          <w:divBdr>
            <w:top w:val="none" w:sz="0" w:space="0" w:color="auto"/>
            <w:left w:val="none" w:sz="0" w:space="0" w:color="auto"/>
            <w:bottom w:val="none" w:sz="0" w:space="0" w:color="auto"/>
            <w:right w:val="none" w:sz="0" w:space="0" w:color="auto"/>
          </w:divBdr>
        </w:div>
        <w:div w:id="1669746651">
          <w:marLeft w:val="1166"/>
          <w:marRight w:val="0"/>
          <w:marTop w:val="134"/>
          <w:marBottom w:val="0"/>
          <w:divBdr>
            <w:top w:val="none" w:sz="0" w:space="0" w:color="auto"/>
            <w:left w:val="none" w:sz="0" w:space="0" w:color="auto"/>
            <w:bottom w:val="none" w:sz="0" w:space="0" w:color="auto"/>
            <w:right w:val="none" w:sz="0" w:space="0" w:color="auto"/>
          </w:divBdr>
        </w:div>
      </w:divsChild>
    </w:div>
    <w:div w:id="1577279057">
      <w:bodyDiv w:val="1"/>
      <w:marLeft w:val="0"/>
      <w:marRight w:val="0"/>
      <w:marTop w:val="0"/>
      <w:marBottom w:val="0"/>
      <w:divBdr>
        <w:top w:val="none" w:sz="0" w:space="0" w:color="auto"/>
        <w:left w:val="none" w:sz="0" w:space="0" w:color="auto"/>
        <w:bottom w:val="none" w:sz="0" w:space="0" w:color="auto"/>
        <w:right w:val="none" w:sz="0" w:space="0" w:color="auto"/>
      </w:divBdr>
    </w:div>
    <w:div w:id="1578201484">
      <w:bodyDiv w:val="1"/>
      <w:marLeft w:val="0"/>
      <w:marRight w:val="0"/>
      <w:marTop w:val="0"/>
      <w:marBottom w:val="0"/>
      <w:divBdr>
        <w:top w:val="none" w:sz="0" w:space="0" w:color="auto"/>
        <w:left w:val="none" w:sz="0" w:space="0" w:color="auto"/>
        <w:bottom w:val="none" w:sz="0" w:space="0" w:color="auto"/>
        <w:right w:val="none" w:sz="0" w:space="0" w:color="auto"/>
      </w:divBdr>
    </w:div>
    <w:div w:id="1579366993">
      <w:bodyDiv w:val="1"/>
      <w:marLeft w:val="0"/>
      <w:marRight w:val="0"/>
      <w:marTop w:val="0"/>
      <w:marBottom w:val="0"/>
      <w:divBdr>
        <w:top w:val="none" w:sz="0" w:space="0" w:color="auto"/>
        <w:left w:val="none" w:sz="0" w:space="0" w:color="auto"/>
        <w:bottom w:val="none" w:sz="0" w:space="0" w:color="auto"/>
        <w:right w:val="none" w:sz="0" w:space="0" w:color="auto"/>
      </w:divBdr>
    </w:div>
    <w:div w:id="1579561048">
      <w:bodyDiv w:val="1"/>
      <w:marLeft w:val="0"/>
      <w:marRight w:val="0"/>
      <w:marTop w:val="0"/>
      <w:marBottom w:val="0"/>
      <w:divBdr>
        <w:top w:val="none" w:sz="0" w:space="0" w:color="auto"/>
        <w:left w:val="none" w:sz="0" w:space="0" w:color="auto"/>
        <w:bottom w:val="none" w:sz="0" w:space="0" w:color="auto"/>
        <w:right w:val="none" w:sz="0" w:space="0" w:color="auto"/>
      </w:divBdr>
    </w:div>
    <w:div w:id="1579703447">
      <w:bodyDiv w:val="1"/>
      <w:marLeft w:val="0"/>
      <w:marRight w:val="0"/>
      <w:marTop w:val="0"/>
      <w:marBottom w:val="0"/>
      <w:divBdr>
        <w:top w:val="none" w:sz="0" w:space="0" w:color="auto"/>
        <w:left w:val="none" w:sz="0" w:space="0" w:color="auto"/>
        <w:bottom w:val="none" w:sz="0" w:space="0" w:color="auto"/>
        <w:right w:val="none" w:sz="0" w:space="0" w:color="auto"/>
      </w:divBdr>
    </w:div>
    <w:div w:id="1579904596">
      <w:bodyDiv w:val="1"/>
      <w:marLeft w:val="0"/>
      <w:marRight w:val="0"/>
      <w:marTop w:val="0"/>
      <w:marBottom w:val="0"/>
      <w:divBdr>
        <w:top w:val="none" w:sz="0" w:space="0" w:color="auto"/>
        <w:left w:val="none" w:sz="0" w:space="0" w:color="auto"/>
        <w:bottom w:val="none" w:sz="0" w:space="0" w:color="auto"/>
        <w:right w:val="none" w:sz="0" w:space="0" w:color="auto"/>
      </w:divBdr>
      <w:divsChild>
        <w:div w:id="814683143">
          <w:marLeft w:val="547"/>
          <w:marRight w:val="0"/>
          <w:marTop w:val="154"/>
          <w:marBottom w:val="0"/>
          <w:divBdr>
            <w:top w:val="none" w:sz="0" w:space="0" w:color="auto"/>
            <w:left w:val="none" w:sz="0" w:space="0" w:color="auto"/>
            <w:bottom w:val="none" w:sz="0" w:space="0" w:color="auto"/>
            <w:right w:val="none" w:sz="0" w:space="0" w:color="auto"/>
          </w:divBdr>
        </w:div>
        <w:div w:id="936449991">
          <w:marLeft w:val="1166"/>
          <w:marRight w:val="0"/>
          <w:marTop w:val="134"/>
          <w:marBottom w:val="0"/>
          <w:divBdr>
            <w:top w:val="none" w:sz="0" w:space="0" w:color="auto"/>
            <w:left w:val="none" w:sz="0" w:space="0" w:color="auto"/>
            <w:bottom w:val="none" w:sz="0" w:space="0" w:color="auto"/>
            <w:right w:val="none" w:sz="0" w:space="0" w:color="auto"/>
          </w:divBdr>
        </w:div>
        <w:div w:id="1049494883">
          <w:marLeft w:val="1166"/>
          <w:marRight w:val="0"/>
          <w:marTop w:val="134"/>
          <w:marBottom w:val="0"/>
          <w:divBdr>
            <w:top w:val="none" w:sz="0" w:space="0" w:color="auto"/>
            <w:left w:val="none" w:sz="0" w:space="0" w:color="auto"/>
            <w:bottom w:val="none" w:sz="0" w:space="0" w:color="auto"/>
            <w:right w:val="none" w:sz="0" w:space="0" w:color="auto"/>
          </w:divBdr>
        </w:div>
        <w:div w:id="1317303712">
          <w:marLeft w:val="547"/>
          <w:marRight w:val="0"/>
          <w:marTop w:val="154"/>
          <w:marBottom w:val="0"/>
          <w:divBdr>
            <w:top w:val="none" w:sz="0" w:space="0" w:color="auto"/>
            <w:left w:val="none" w:sz="0" w:space="0" w:color="auto"/>
            <w:bottom w:val="none" w:sz="0" w:space="0" w:color="auto"/>
            <w:right w:val="none" w:sz="0" w:space="0" w:color="auto"/>
          </w:divBdr>
        </w:div>
        <w:div w:id="1778480394">
          <w:marLeft w:val="547"/>
          <w:marRight w:val="0"/>
          <w:marTop w:val="154"/>
          <w:marBottom w:val="0"/>
          <w:divBdr>
            <w:top w:val="none" w:sz="0" w:space="0" w:color="auto"/>
            <w:left w:val="none" w:sz="0" w:space="0" w:color="auto"/>
            <w:bottom w:val="none" w:sz="0" w:space="0" w:color="auto"/>
            <w:right w:val="none" w:sz="0" w:space="0" w:color="auto"/>
          </w:divBdr>
        </w:div>
      </w:divsChild>
    </w:div>
    <w:div w:id="1581595272">
      <w:bodyDiv w:val="1"/>
      <w:marLeft w:val="0"/>
      <w:marRight w:val="0"/>
      <w:marTop w:val="0"/>
      <w:marBottom w:val="0"/>
      <w:divBdr>
        <w:top w:val="none" w:sz="0" w:space="0" w:color="auto"/>
        <w:left w:val="none" w:sz="0" w:space="0" w:color="auto"/>
        <w:bottom w:val="none" w:sz="0" w:space="0" w:color="auto"/>
        <w:right w:val="none" w:sz="0" w:space="0" w:color="auto"/>
      </w:divBdr>
    </w:div>
    <w:div w:id="1582716150">
      <w:bodyDiv w:val="1"/>
      <w:marLeft w:val="0"/>
      <w:marRight w:val="0"/>
      <w:marTop w:val="0"/>
      <w:marBottom w:val="0"/>
      <w:divBdr>
        <w:top w:val="none" w:sz="0" w:space="0" w:color="auto"/>
        <w:left w:val="none" w:sz="0" w:space="0" w:color="auto"/>
        <w:bottom w:val="none" w:sz="0" w:space="0" w:color="auto"/>
        <w:right w:val="none" w:sz="0" w:space="0" w:color="auto"/>
      </w:divBdr>
    </w:div>
    <w:div w:id="1583567471">
      <w:bodyDiv w:val="1"/>
      <w:marLeft w:val="0"/>
      <w:marRight w:val="0"/>
      <w:marTop w:val="0"/>
      <w:marBottom w:val="0"/>
      <w:divBdr>
        <w:top w:val="none" w:sz="0" w:space="0" w:color="auto"/>
        <w:left w:val="none" w:sz="0" w:space="0" w:color="auto"/>
        <w:bottom w:val="none" w:sz="0" w:space="0" w:color="auto"/>
        <w:right w:val="none" w:sz="0" w:space="0" w:color="auto"/>
      </w:divBdr>
    </w:div>
    <w:div w:id="1584147602">
      <w:bodyDiv w:val="1"/>
      <w:marLeft w:val="0"/>
      <w:marRight w:val="0"/>
      <w:marTop w:val="0"/>
      <w:marBottom w:val="0"/>
      <w:divBdr>
        <w:top w:val="none" w:sz="0" w:space="0" w:color="auto"/>
        <w:left w:val="none" w:sz="0" w:space="0" w:color="auto"/>
        <w:bottom w:val="none" w:sz="0" w:space="0" w:color="auto"/>
        <w:right w:val="none" w:sz="0" w:space="0" w:color="auto"/>
      </w:divBdr>
      <w:divsChild>
        <w:div w:id="305278059">
          <w:marLeft w:val="547"/>
          <w:marRight w:val="0"/>
          <w:marTop w:val="0"/>
          <w:marBottom w:val="60"/>
          <w:divBdr>
            <w:top w:val="none" w:sz="0" w:space="0" w:color="auto"/>
            <w:left w:val="none" w:sz="0" w:space="0" w:color="auto"/>
            <w:bottom w:val="none" w:sz="0" w:space="0" w:color="auto"/>
            <w:right w:val="none" w:sz="0" w:space="0" w:color="auto"/>
          </w:divBdr>
        </w:div>
        <w:div w:id="654722730">
          <w:marLeft w:val="547"/>
          <w:marRight w:val="0"/>
          <w:marTop w:val="0"/>
          <w:marBottom w:val="60"/>
          <w:divBdr>
            <w:top w:val="none" w:sz="0" w:space="0" w:color="auto"/>
            <w:left w:val="none" w:sz="0" w:space="0" w:color="auto"/>
            <w:bottom w:val="none" w:sz="0" w:space="0" w:color="auto"/>
            <w:right w:val="none" w:sz="0" w:space="0" w:color="auto"/>
          </w:divBdr>
        </w:div>
        <w:div w:id="719213162">
          <w:marLeft w:val="1166"/>
          <w:marRight w:val="0"/>
          <w:marTop w:val="0"/>
          <w:marBottom w:val="60"/>
          <w:divBdr>
            <w:top w:val="none" w:sz="0" w:space="0" w:color="auto"/>
            <w:left w:val="none" w:sz="0" w:space="0" w:color="auto"/>
            <w:bottom w:val="none" w:sz="0" w:space="0" w:color="auto"/>
            <w:right w:val="none" w:sz="0" w:space="0" w:color="auto"/>
          </w:divBdr>
        </w:div>
        <w:div w:id="749011148">
          <w:marLeft w:val="1166"/>
          <w:marRight w:val="0"/>
          <w:marTop w:val="0"/>
          <w:marBottom w:val="60"/>
          <w:divBdr>
            <w:top w:val="none" w:sz="0" w:space="0" w:color="auto"/>
            <w:left w:val="none" w:sz="0" w:space="0" w:color="auto"/>
            <w:bottom w:val="none" w:sz="0" w:space="0" w:color="auto"/>
            <w:right w:val="none" w:sz="0" w:space="0" w:color="auto"/>
          </w:divBdr>
        </w:div>
      </w:divsChild>
    </w:div>
    <w:div w:id="1584296013">
      <w:bodyDiv w:val="1"/>
      <w:marLeft w:val="0"/>
      <w:marRight w:val="0"/>
      <w:marTop w:val="0"/>
      <w:marBottom w:val="0"/>
      <w:divBdr>
        <w:top w:val="none" w:sz="0" w:space="0" w:color="auto"/>
        <w:left w:val="none" w:sz="0" w:space="0" w:color="auto"/>
        <w:bottom w:val="none" w:sz="0" w:space="0" w:color="auto"/>
        <w:right w:val="none" w:sz="0" w:space="0" w:color="auto"/>
      </w:divBdr>
    </w:div>
    <w:div w:id="1585843917">
      <w:bodyDiv w:val="1"/>
      <w:marLeft w:val="0"/>
      <w:marRight w:val="0"/>
      <w:marTop w:val="0"/>
      <w:marBottom w:val="0"/>
      <w:divBdr>
        <w:top w:val="none" w:sz="0" w:space="0" w:color="auto"/>
        <w:left w:val="none" w:sz="0" w:space="0" w:color="auto"/>
        <w:bottom w:val="none" w:sz="0" w:space="0" w:color="auto"/>
        <w:right w:val="none" w:sz="0" w:space="0" w:color="auto"/>
      </w:divBdr>
    </w:div>
    <w:div w:id="1585991303">
      <w:bodyDiv w:val="1"/>
      <w:marLeft w:val="0"/>
      <w:marRight w:val="0"/>
      <w:marTop w:val="0"/>
      <w:marBottom w:val="0"/>
      <w:divBdr>
        <w:top w:val="none" w:sz="0" w:space="0" w:color="auto"/>
        <w:left w:val="none" w:sz="0" w:space="0" w:color="auto"/>
        <w:bottom w:val="none" w:sz="0" w:space="0" w:color="auto"/>
        <w:right w:val="none" w:sz="0" w:space="0" w:color="auto"/>
      </w:divBdr>
    </w:div>
    <w:div w:id="1586495577">
      <w:bodyDiv w:val="1"/>
      <w:marLeft w:val="0"/>
      <w:marRight w:val="0"/>
      <w:marTop w:val="0"/>
      <w:marBottom w:val="0"/>
      <w:divBdr>
        <w:top w:val="none" w:sz="0" w:space="0" w:color="auto"/>
        <w:left w:val="none" w:sz="0" w:space="0" w:color="auto"/>
        <w:bottom w:val="none" w:sz="0" w:space="0" w:color="auto"/>
        <w:right w:val="none" w:sz="0" w:space="0" w:color="auto"/>
      </w:divBdr>
      <w:divsChild>
        <w:div w:id="1901819051">
          <w:marLeft w:val="547"/>
          <w:marRight w:val="0"/>
          <w:marTop w:val="115"/>
          <w:marBottom w:val="0"/>
          <w:divBdr>
            <w:top w:val="none" w:sz="0" w:space="0" w:color="auto"/>
            <w:left w:val="none" w:sz="0" w:space="0" w:color="auto"/>
            <w:bottom w:val="none" w:sz="0" w:space="0" w:color="auto"/>
            <w:right w:val="none" w:sz="0" w:space="0" w:color="auto"/>
          </w:divBdr>
        </w:div>
        <w:div w:id="2036615315">
          <w:marLeft w:val="1166"/>
          <w:marRight w:val="0"/>
          <w:marTop w:val="96"/>
          <w:marBottom w:val="0"/>
          <w:divBdr>
            <w:top w:val="none" w:sz="0" w:space="0" w:color="auto"/>
            <w:left w:val="none" w:sz="0" w:space="0" w:color="auto"/>
            <w:bottom w:val="none" w:sz="0" w:space="0" w:color="auto"/>
            <w:right w:val="none" w:sz="0" w:space="0" w:color="auto"/>
          </w:divBdr>
        </w:div>
      </w:divsChild>
    </w:div>
    <w:div w:id="1588686445">
      <w:bodyDiv w:val="1"/>
      <w:marLeft w:val="0"/>
      <w:marRight w:val="0"/>
      <w:marTop w:val="0"/>
      <w:marBottom w:val="0"/>
      <w:divBdr>
        <w:top w:val="none" w:sz="0" w:space="0" w:color="auto"/>
        <w:left w:val="none" w:sz="0" w:space="0" w:color="auto"/>
        <w:bottom w:val="none" w:sz="0" w:space="0" w:color="auto"/>
        <w:right w:val="none" w:sz="0" w:space="0" w:color="auto"/>
      </w:divBdr>
    </w:div>
    <w:div w:id="1590000650">
      <w:bodyDiv w:val="1"/>
      <w:marLeft w:val="0"/>
      <w:marRight w:val="0"/>
      <w:marTop w:val="0"/>
      <w:marBottom w:val="0"/>
      <w:divBdr>
        <w:top w:val="none" w:sz="0" w:space="0" w:color="auto"/>
        <w:left w:val="none" w:sz="0" w:space="0" w:color="auto"/>
        <w:bottom w:val="none" w:sz="0" w:space="0" w:color="auto"/>
        <w:right w:val="none" w:sz="0" w:space="0" w:color="auto"/>
      </w:divBdr>
    </w:div>
    <w:div w:id="1590313465">
      <w:bodyDiv w:val="1"/>
      <w:marLeft w:val="0"/>
      <w:marRight w:val="0"/>
      <w:marTop w:val="0"/>
      <w:marBottom w:val="0"/>
      <w:divBdr>
        <w:top w:val="none" w:sz="0" w:space="0" w:color="auto"/>
        <w:left w:val="none" w:sz="0" w:space="0" w:color="auto"/>
        <w:bottom w:val="none" w:sz="0" w:space="0" w:color="auto"/>
        <w:right w:val="none" w:sz="0" w:space="0" w:color="auto"/>
      </w:divBdr>
      <w:divsChild>
        <w:div w:id="614362452">
          <w:marLeft w:val="1166"/>
          <w:marRight w:val="0"/>
          <w:marTop w:val="96"/>
          <w:marBottom w:val="0"/>
          <w:divBdr>
            <w:top w:val="none" w:sz="0" w:space="0" w:color="auto"/>
            <w:left w:val="none" w:sz="0" w:space="0" w:color="auto"/>
            <w:bottom w:val="none" w:sz="0" w:space="0" w:color="auto"/>
            <w:right w:val="none" w:sz="0" w:space="0" w:color="auto"/>
          </w:divBdr>
        </w:div>
        <w:div w:id="1501584228">
          <w:marLeft w:val="547"/>
          <w:marRight w:val="0"/>
          <w:marTop w:val="115"/>
          <w:marBottom w:val="0"/>
          <w:divBdr>
            <w:top w:val="none" w:sz="0" w:space="0" w:color="auto"/>
            <w:left w:val="none" w:sz="0" w:space="0" w:color="auto"/>
            <w:bottom w:val="none" w:sz="0" w:space="0" w:color="auto"/>
            <w:right w:val="none" w:sz="0" w:space="0" w:color="auto"/>
          </w:divBdr>
        </w:div>
      </w:divsChild>
    </w:div>
    <w:div w:id="1590848548">
      <w:bodyDiv w:val="1"/>
      <w:marLeft w:val="0"/>
      <w:marRight w:val="0"/>
      <w:marTop w:val="0"/>
      <w:marBottom w:val="0"/>
      <w:divBdr>
        <w:top w:val="none" w:sz="0" w:space="0" w:color="auto"/>
        <w:left w:val="none" w:sz="0" w:space="0" w:color="auto"/>
        <w:bottom w:val="none" w:sz="0" w:space="0" w:color="auto"/>
        <w:right w:val="none" w:sz="0" w:space="0" w:color="auto"/>
      </w:divBdr>
    </w:div>
    <w:div w:id="1590894752">
      <w:bodyDiv w:val="1"/>
      <w:marLeft w:val="0"/>
      <w:marRight w:val="0"/>
      <w:marTop w:val="0"/>
      <w:marBottom w:val="0"/>
      <w:divBdr>
        <w:top w:val="none" w:sz="0" w:space="0" w:color="auto"/>
        <w:left w:val="none" w:sz="0" w:space="0" w:color="auto"/>
        <w:bottom w:val="none" w:sz="0" w:space="0" w:color="auto"/>
        <w:right w:val="none" w:sz="0" w:space="0" w:color="auto"/>
      </w:divBdr>
      <w:divsChild>
        <w:div w:id="126289564">
          <w:marLeft w:val="1800"/>
          <w:marRight w:val="0"/>
          <w:marTop w:val="100"/>
          <w:marBottom w:val="0"/>
          <w:divBdr>
            <w:top w:val="none" w:sz="0" w:space="0" w:color="auto"/>
            <w:left w:val="none" w:sz="0" w:space="0" w:color="auto"/>
            <w:bottom w:val="none" w:sz="0" w:space="0" w:color="auto"/>
            <w:right w:val="none" w:sz="0" w:space="0" w:color="auto"/>
          </w:divBdr>
        </w:div>
        <w:div w:id="131483050">
          <w:marLeft w:val="1080"/>
          <w:marRight w:val="0"/>
          <w:marTop w:val="100"/>
          <w:marBottom w:val="0"/>
          <w:divBdr>
            <w:top w:val="none" w:sz="0" w:space="0" w:color="auto"/>
            <w:left w:val="none" w:sz="0" w:space="0" w:color="auto"/>
            <w:bottom w:val="none" w:sz="0" w:space="0" w:color="auto"/>
            <w:right w:val="none" w:sz="0" w:space="0" w:color="auto"/>
          </w:divBdr>
        </w:div>
        <w:div w:id="160241211">
          <w:marLeft w:val="1800"/>
          <w:marRight w:val="0"/>
          <w:marTop w:val="100"/>
          <w:marBottom w:val="0"/>
          <w:divBdr>
            <w:top w:val="none" w:sz="0" w:space="0" w:color="auto"/>
            <w:left w:val="none" w:sz="0" w:space="0" w:color="auto"/>
            <w:bottom w:val="none" w:sz="0" w:space="0" w:color="auto"/>
            <w:right w:val="none" w:sz="0" w:space="0" w:color="auto"/>
          </w:divBdr>
        </w:div>
        <w:div w:id="250939959">
          <w:marLeft w:val="360"/>
          <w:marRight w:val="0"/>
          <w:marTop w:val="200"/>
          <w:marBottom w:val="0"/>
          <w:divBdr>
            <w:top w:val="none" w:sz="0" w:space="0" w:color="auto"/>
            <w:left w:val="none" w:sz="0" w:space="0" w:color="auto"/>
            <w:bottom w:val="none" w:sz="0" w:space="0" w:color="auto"/>
            <w:right w:val="none" w:sz="0" w:space="0" w:color="auto"/>
          </w:divBdr>
        </w:div>
        <w:div w:id="376785064">
          <w:marLeft w:val="1800"/>
          <w:marRight w:val="0"/>
          <w:marTop w:val="100"/>
          <w:marBottom w:val="0"/>
          <w:divBdr>
            <w:top w:val="none" w:sz="0" w:space="0" w:color="auto"/>
            <w:left w:val="none" w:sz="0" w:space="0" w:color="auto"/>
            <w:bottom w:val="none" w:sz="0" w:space="0" w:color="auto"/>
            <w:right w:val="none" w:sz="0" w:space="0" w:color="auto"/>
          </w:divBdr>
        </w:div>
        <w:div w:id="1103190385">
          <w:marLeft w:val="1800"/>
          <w:marRight w:val="0"/>
          <w:marTop w:val="100"/>
          <w:marBottom w:val="0"/>
          <w:divBdr>
            <w:top w:val="none" w:sz="0" w:space="0" w:color="auto"/>
            <w:left w:val="none" w:sz="0" w:space="0" w:color="auto"/>
            <w:bottom w:val="none" w:sz="0" w:space="0" w:color="auto"/>
            <w:right w:val="none" w:sz="0" w:space="0" w:color="auto"/>
          </w:divBdr>
        </w:div>
      </w:divsChild>
    </w:div>
    <w:div w:id="1590918817">
      <w:bodyDiv w:val="1"/>
      <w:marLeft w:val="0"/>
      <w:marRight w:val="0"/>
      <w:marTop w:val="0"/>
      <w:marBottom w:val="0"/>
      <w:divBdr>
        <w:top w:val="none" w:sz="0" w:space="0" w:color="auto"/>
        <w:left w:val="none" w:sz="0" w:space="0" w:color="auto"/>
        <w:bottom w:val="none" w:sz="0" w:space="0" w:color="auto"/>
        <w:right w:val="none" w:sz="0" w:space="0" w:color="auto"/>
      </w:divBdr>
    </w:div>
    <w:div w:id="1591887760">
      <w:bodyDiv w:val="1"/>
      <w:marLeft w:val="0"/>
      <w:marRight w:val="0"/>
      <w:marTop w:val="0"/>
      <w:marBottom w:val="0"/>
      <w:divBdr>
        <w:top w:val="none" w:sz="0" w:space="0" w:color="auto"/>
        <w:left w:val="none" w:sz="0" w:space="0" w:color="auto"/>
        <w:bottom w:val="none" w:sz="0" w:space="0" w:color="auto"/>
        <w:right w:val="none" w:sz="0" w:space="0" w:color="auto"/>
      </w:divBdr>
    </w:div>
    <w:div w:id="1592352009">
      <w:bodyDiv w:val="1"/>
      <w:marLeft w:val="0"/>
      <w:marRight w:val="0"/>
      <w:marTop w:val="0"/>
      <w:marBottom w:val="0"/>
      <w:divBdr>
        <w:top w:val="none" w:sz="0" w:space="0" w:color="auto"/>
        <w:left w:val="none" w:sz="0" w:space="0" w:color="auto"/>
        <w:bottom w:val="none" w:sz="0" w:space="0" w:color="auto"/>
        <w:right w:val="none" w:sz="0" w:space="0" w:color="auto"/>
      </w:divBdr>
    </w:div>
    <w:div w:id="1592622010">
      <w:bodyDiv w:val="1"/>
      <w:marLeft w:val="0"/>
      <w:marRight w:val="0"/>
      <w:marTop w:val="0"/>
      <w:marBottom w:val="0"/>
      <w:divBdr>
        <w:top w:val="none" w:sz="0" w:space="0" w:color="auto"/>
        <w:left w:val="none" w:sz="0" w:space="0" w:color="auto"/>
        <w:bottom w:val="none" w:sz="0" w:space="0" w:color="auto"/>
        <w:right w:val="none" w:sz="0" w:space="0" w:color="auto"/>
      </w:divBdr>
    </w:div>
    <w:div w:id="1593472862">
      <w:bodyDiv w:val="1"/>
      <w:marLeft w:val="0"/>
      <w:marRight w:val="0"/>
      <w:marTop w:val="0"/>
      <w:marBottom w:val="0"/>
      <w:divBdr>
        <w:top w:val="none" w:sz="0" w:space="0" w:color="auto"/>
        <w:left w:val="none" w:sz="0" w:space="0" w:color="auto"/>
        <w:bottom w:val="none" w:sz="0" w:space="0" w:color="auto"/>
        <w:right w:val="none" w:sz="0" w:space="0" w:color="auto"/>
      </w:divBdr>
      <w:divsChild>
        <w:div w:id="131561005">
          <w:marLeft w:val="1166"/>
          <w:marRight w:val="0"/>
          <w:marTop w:val="115"/>
          <w:marBottom w:val="0"/>
          <w:divBdr>
            <w:top w:val="none" w:sz="0" w:space="0" w:color="auto"/>
            <w:left w:val="none" w:sz="0" w:space="0" w:color="auto"/>
            <w:bottom w:val="none" w:sz="0" w:space="0" w:color="auto"/>
            <w:right w:val="none" w:sz="0" w:space="0" w:color="auto"/>
          </w:divBdr>
        </w:div>
        <w:div w:id="180895517">
          <w:marLeft w:val="547"/>
          <w:marRight w:val="0"/>
          <w:marTop w:val="154"/>
          <w:marBottom w:val="0"/>
          <w:divBdr>
            <w:top w:val="none" w:sz="0" w:space="0" w:color="auto"/>
            <w:left w:val="none" w:sz="0" w:space="0" w:color="auto"/>
            <w:bottom w:val="none" w:sz="0" w:space="0" w:color="auto"/>
            <w:right w:val="none" w:sz="0" w:space="0" w:color="auto"/>
          </w:divBdr>
        </w:div>
        <w:div w:id="1513760119">
          <w:marLeft w:val="547"/>
          <w:marRight w:val="0"/>
          <w:marTop w:val="154"/>
          <w:marBottom w:val="0"/>
          <w:divBdr>
            <w:top w:val="none" w:sz="0" w:space="0" w:color="auto"/>
            <w:left w:val="none" w:sz="0" w:space="0" w:color="auto"/>
            <w:bottom w:val="none" w:sz="0" w:space="0" w:color="auto"/>
            <w:right w:val="none" w:sz="0" w:space="0" w:color="auto"/>
          </w:divBdr>
        </w:div>
        <w:div w:id="1677151484">
          <w:marLeft w:val="1166"/>
          <w:marRight w:val="0"/>
          <w:marTop w:val="115"/>
          <w:marBottom w:val="0"/>
          <w:divBdr>
            <w:top w:val="none" w:sz="0" w:space="0" w:color="auto"/>
            <w:left w:val="none" w:sz="0" w:space="0" w:color="auto"/>
            <w:bottom w:val="none" w:sz="0" w:space="0" w:color="auto"/>
            <w:right w:val="none" w:sz="0" w:space="0" w:color="auto"/>
          </w:divBdr>
        </w:div>
        <w:div w:id="1708523926">
          <w:marLeft w:val="1166"/>
          <w:marRight w:val="0"/>
          <w:marTop w:val="115"/>
          <w:marBottom w:val="0"/>
          <w:divBdr>
            <w:top w:val="none" w:sz="0" w:space="0" w:color="auto"/>
            <w:left w:val="none" w:sz="0" w:space="0" w:color="auto"/>
            <w:bottom w:val="none" w:sz="0" w:space="0" w:color="auto"/>
            <w:right w:val="none" w:sz="0" w:space="0" w:color="auto"/>
          </w:divBdr>
        </w:div>
        <w:div w:id="1836066027">
          <w:marLeft w:val="1166"/>
          <w:marRight w:val="0"/>
          <w:marTop w:val="115"/>
          <w:marBottom w:val="0"/>
          <w:divBdr>
            <w:top w:val="none" w:sz="0" w:space="0" w:color="auto"/>
            <w:left w:val="none" w:sz="0" w:space="0" w:color="auto"/>
            <w:bottom w:val="none" w:sz="0" w:space="0" w:color="auto"/>
            <w:right w:val="none" w:sz="0" w:space="0" w:color="auto"/>
          </w:divBdr>
        </w:div>
      </w:divsChild>
    </w:div>
    <w:div w:id="1594313263">
      <w:bodyDiv w:val="1"/>
      <w:marLeft w:val="0"/>
      <w:marRight w:val="0"/>
      <w:marTop w:val="0"/>
      <w:marBottom w:val="0"/>
      <w:divBdr>
        <w:top w:val="none" w:sz="0" w:space="0" w:color="auto"/>
        <w:left w:val="none" w:sz="0" w:space="0" w:color="auto"/>
        <w:bottom w:val="none" w:sz="0" w:space="0" w:color="auto"/>
        <w:right w:val="none" w:sz="0" w:space="0" w:color="auto"/>
      </w:divBdr>
    </w:div>
    <w:div w:id="1595505129">
      <w:bodyDiv w:val="1"/>
      <w:marLeft w:val="0"/>
      <w:marRight w:val="0"/>
      <w:marTop w:val="0"/>
      <w:marBottom w:val="0"/>
      <w:divBdr>
        <w:top w:val="none" w:sz="0" w:space="0" w:color="auto"/>
        <w:left w:val="none" w:sz="0" w:space="0" w:color="auto"/>
        <w:bottom w:val="none" w:sz="0" w:space="0" w:color="auto"/>
        <w:right w:val="none" w:sz="0" w:space="0" w:color="auto"/>
      </w:divBdr>
      <w:divsChild>
        <w:div w:id="541721009">
          <w:marLeft w:val="720"/>
          <w:marRight w:val="0"/>
          <w:marTop w:val="0"/>
          <w:marBottom w:val="0"/>
          <w:divBdr>
            <w:top w:val="none" w:sz="0" w:space="0" w:color="auto"/>
            <w:left w:val="none" w:sz="0" w:space="0" w:color="auto"/>
            <w:bottom w:val="none" w:sz="0" w:space="0" w:color="auto"/>
            <w:right w:val="none" w:sz="0" w:space="0" w:color="auto"/>
          </w:divBdr>
        </w:div>
        <w:div w:id="1311253502">
          <w:marLeft w:val="720"/>
          <w:marRight w:val="0"/>
          <w:marTop w:val="0"/>
          <w:marBottom w:val="0"/>
          <w:divBdr>
            <w:top w:val="none" w:sz="0" w:space="0" w:color="auto"/>
            <w:left w:val="none" w:sz="0" w:space="0" w:color="auto"/>
            <w:bottom w:val="none" w:sz="0" w:space="0" w:color="auto"/>
            <w:right w:val="none" w:sz="0" w:space="0" w:color="auto"/>
          </w:divBdr>
        </w:div>
        <w:div w:id="1626277689">
          <w:marLeft w:val="1440"/>
          <w:marRight w:val="0"/>
          <w:marTop w:val="0"/>
          <w:marBottom w:val="0"/>
          <w:divBdr>
            <w:top w:val="none" w:sz="0" w:space="0" w:color="auto"/>
            <w:left w:val="none" w:sz="0" w:space="0" w:color="auto"/>
            <w:bottom w:val="none" w:sz="0" w:space="0" w:color="auto"/>
            <w:right w:val="none" w:sz="0" w:space="0" w:color="auto"/>
          </w:divBdr>
        </w:div>
      </w:divsChild>
    </w:div>
    <w:div w:id="1595673280">
      <w:bodyDiv w:val="1"/>
      <w:marLeft w:val="0"/>
      <w:marRight w:val="0"/>
      <w:marTop w:val="0"/>
      <w:marBottom w:val="0"/>
      <w:divBdr>
        <w:top w:val="none" w:sz="0" w:space="0" w:color="auto"/>
        <w:left w:val="none" w:sz="0" w:space="0" w:color="auto"/>
        <w:bottom w:val="none" w:sz="0" w:space="0" w:color="auto"/>
        <w:right w:val="none" w:sz="0" w:space="0" w:color="auto"/>
      </w:divBdr>
    </w:div>
    <w:div w:id="1596667188">
      <w:bodyDiv w:val="1"/>
      <w:marLeft w:val="0"/>
      <w:marRight w:val="0"/>
      <w:marTop w:val="0"/>
      <w:marBottom w:val="0"/>
      <w:divBdr>
        <w:top w:val="none" w:sz="0" w:space="0" w:color="auto"/>
        <w:left w:val="none" w:sz="0" w:space="0" w:color="auto"/>
        <w:bottom w:val="none" w:sz="0" w:space="0" w:color="auto"/>
        <w:right w:val="none" w:sz="0" w:space="0" w:color="auto"/>
      </w:divBdr>
    </w:div>
    <w:div w:id="1597904722">
      <w:bodyDiv w:val="1"/>
      <w:marLeft w:val="0"/>
      <w:marRight w:val="0"/>
      <w:marTop w:val="0"/>
      <w:marBottom w:val="0"/>
      <w:divBdr>
        <w:top w:val="none" w:sz="0" w:space="0" w:color="auto"/>
        <w:left w:val="none" w:sz="0" w:space="0" w:color="auto"/>
        <w:bottom w:val="none" w:sz="0" w:space="0" w:color="auto"/>
        <w:right w:val="none" w:sz="0" w:space="0" w:color="auto"/>
      </w:divBdr>
    </w:div>
    <w:div w:id="1598126375">
      <w:bodyDiv w:val="1"/>
      <w:marLeft w:val="0"/>
      <w:marRight w:val="0"/>
      <w:marTop w:val="0"/>
      <w:marBottom w:val="0"/>
      <w:divBdr>
        <w:top w:val="none" w:sz="0" w:space="0" w:color="auto"/>
        <w:left w:val="none" w:sz="0" w:space="0" w:color="auto"/>
        <w:bottom w:val="none" w:sz="0" w:space="0" w:color="auto"/>
        <w:right w:val="none" w:sz="0" w:space="0" w:color="auto"/>
      </w:divBdr>
    </w:div>
    <w:div w:id="1598441869">
      <w:bodyDiv w:val="1"/>
      <w:marLeft w:val="0"/>
      <w:marRight w:val="0"/>
      <w:marTop w:val="0"/>
      <w:marBottom w:val="0"/>
      <w:divBdr>
        <w:top w:val="none" w:sz="0" w:space="0" w:color="auto"/>
        <w:left w:val="none" w:sz="0" w:space="0" w:color="auto"/>
        <w:bottom w:val="none" w:sz="0" w:space="0" w:color="auto"/>
        <w:right w:val="none" w:sz="0" w:space="0" w:color="auto"/>
      </w:divBdr>
      <w:divsChild>
        <w:div w:id="12195613">
          <w:marLeft w:val="1166"/>
          <w:marRight w:val="0"/>
          <w:marTop w:val="86"/>
          <w:marBottom w:val="0"/>
          <w:divBdr>
            <w:top w:val="none" w:sz="0" w:space="0" w:color="auto"/>
            <w:left w:val="none" w:sz="0" w:space="0" w:color="auto"/>
            <w:bottom w:val="none" w:sz="0" w:space="0" w:color="auto"/>
            <w:right w:val="none" w:sz="0" w:space="0" w:color="auto"/>
          </w:divBdr>
        </w:div>
        <w:div w:id="69742217">
          <w:marLeft w:val="547"/>
          <w:marRight w:val="0"/>
          <w:marTop w:val="96"/>
          <w:marBottom w:val="0"/>
          <w:divBdr>
            <w:top w:val="none" w:sz="0" w:space="0" w:color="auto"/>
            <w:left w:val="none" w:sz="0" w:space="0" w:color="auto"/>
            <w:bottom w:val="none" w:sz="0" w:space="0" w:color="auto"/>
            <w:right w:val="none" w:sz="0" w:space="0" w:color="auto"/>
          </w:divBdr>
        </w:div>
        <w:div w:id="883253446">
          <w:marLeft w:val="547"/>
          <w:marRight w:val="0"/>
          <w:marTop w:val="96"/>
          <w:marBottom w:val="0"/>
          <w:divBdr>
            <w:top w:val="none" w:sz="0" w:space="0" w:color="auto"/>
            <w:left w:val="none" w:sz="0" w:space="0" w:color="auto"/>
            <w:bottom w:val="none" w:sz="0" w:space="0" w:color="auto"/>
            <w:right w:val="none" w:sz="0" w:space="0" w:color="auto"/>
          </w:divBdr>
        </w:div>
        <w:div w:id="1387147340">
          <w:marLeft w:val="1166"/>
          <w:marRight w:val="0"/>
          <w:marTop w:val="86"/>
          <w:marBottom w:val="0"/>
          <w:divBdr>
            <w:top w:val="none" w:sz="0" w:space="0" w:color="auto"/>
            <w:left w:val="none" w:sz="0" w:space="0" w:color="auto"/>
            <w:bottom w:val="none" w:sz="0" w:space="0" w:color="auto"/>
            <w:right w:val="none" w:sz="0" w:space="0" w:color="auto"/>
          </w:divBdr>
        </w:div>
        <w:div w:id="1585912739">
          <w:marLeft w:val="1166"/>
          <w:marRight w:val="0"/>
          <w:marTop w:val="86"/>
          <w:marBottom w:val="0"/>
          <w:divBdr>
            <w:top w:val="none" w:sz="0" w:space="0" w:color="auto"/>
            <w:left w:val="none" w:sz="0" w:space="0" w:color="auto"/>
            <w:bottom w:val="none" w:sz="0" w:space="0" w:color="auto"/>
            <w:right w:val="none" w:sz="0" w:space="0" w:color="auto"/>
          </w:divBdr>
        </w:div>
      </w:divsChild>
    </w:div>
    <w:div w:id="1598782844">
      <w:bodyDiv w:val="1"/>
      <w:marLeft w:val="0"/>
      <w:marRight w:val="0"/>
      <w:marTop w:val="0"/>
      <w:marBottom w:val="0"/>
      <w:divBdr>
        <w:top w:val="none" w:sz="0" w:space="0" w:color="auto"/>
        <w:left w:val="none" w:sz="0" w:space="0" w:color="auto"/>
        <w:bottom w:val="none" w:sz="0" w:space="0" w:color="auto"/>
        <w:right w:val="none" w:sz="0" w:space="0" w:color="auto"/>
      </w:divBdr>
    </w:div>
    <w:div w:id="1599176042">
      <w:bodyDiv w:val="1"/>
      <w:marLeft w:val="0"/>
      <w:marRight w:val="0"/>
      <w:marTop w:val="0"/>
      <w:marBottom w:val="0"/>
      <w:divBdr>
        <w:top w:val="none" w:sz="0" w:space="0" w:color="auto"/>
        <w:left w:val="none" w:sz="0" w:space="0" w:color="auto"/>
        <w:bottom w:val="none" w:sz="0" w:space="0" w:color="auto"/>
        <w:right w:val="none" w:sz="0" w:space="0" w:color="auto"/>
      </w:divBdr>
    </w:div>
    <w:div w:id="1599605718">
      <w:bodyDiv w:val="1"/>
      <w:marLeft w:val="0"/>
      <w:marRight w:val="0"/>
      <w:marTop w:val="0"/>
      <w:marBottom w:val="0"/>
      <w:divBdr>
        <w:top w:val="none" w:sz="0" w:space="0" w:color="auto"/>
        <w:left w:val="none" w:sz="0" w:space="0" w:color="auto"/>
        <w:bottom w:val="none" w:sz="0" w:space="0" w:color="auto"/>
        <w:right w:val="none" w:sz="0" w:space="0" w:color="auto"/>
      </w:divBdr>
    </w:div>
    <w:div w:id="1599675681">
      <w:bodyDiv w:val="1"/>
      <w:marLeft w:val="0"/>
      <w:marRight w:val="0"/>
      <w:marTop w:val="0"/>
      <w:marBottom w:val="0"/>
      <w:divBdr>
        <w:top w:val="none" w:sz="0" w:space="0" w:color="auto"/>
        <w:left w:val="none" w:sz="0" w:space="0" w:color="auto"/>
        <w:bottom w:val="none" w:sz="0" w:space="0" w:color="auto"/>
        <w:right w:val="none" w:sz="0" w:space="0" w:color="auto"/>
      </w:divBdr>
      <w:divsChild>
        <w:div w:id="54743007">
          <w:marLeft w:val="446"/>
          <w:marRight w:val="0"/>
          <w:marTop w:val="0"/>
          <w:marBottom w:val="0"/>
          <w:divBdr>
            <w:top w:val="none" w:sz="0" w:space="0" w:color="auto"/>
            <w:left w:val="none" w:sz="0" w:space="0" w:color="auto"/>
            <w:bottom w:val="none" w:sz="0" w:space="0" w:color="auto"/>
            <w:right w:val="none" w:sz="0" w:space="0" w:color="auto"/>
          </w:divBdr>
        </w:div>
        <w:div w:id="178935131">
          <w:marLeft w:val="1886"/>
          <w:marRight w:val="0"/>
          <w:marTop w:val="0"/>
          <w:marBottom w:val="0"/>
          <w:divBdr>
            <w:top w:val="none" w:sz="0" w:space="0" w:color="auto"/>
            <w:left w:val="none" w:sz="0" w:space="0" w:color="auto"/>
            <w:bottom w:val="none" w:sz="0" w:space="0" w:color="auto"/>
            <w:right w:val="none" w:sz="0" w:space="0" w:color="auto"/>
          </w:divBdr>
        </w:div>
        <w:div w:id="307827983">
          <w:marLeft w:val="1166"/>
          <w:marRight w:val="0"/>
          <w:marTop w:val="0"/>
          <w:marBottom w:val="0"/>
          <w:divBdr>
            <w:top w:val="none" w:sz="0" w:space="0" w:color="auto"/>
            <w:left w:val="none" w:sz="0" w:space="0" w:color="auto"/>
            <w:bottom w:val="none" w:sz="0" w:space="0" w:color="auto"/>
            <w:right w:val="none" w:sz="0" w:space="0" w:color="auto"/>
          </w:divBdr>
        </w:div>
        <w:div w:id="614868124">
          <w:marLeft w:val="1886"/>
          <w:marRight w:val="0"/>
          <w:marTop w:val="0"/>
          <w:marBottom w:val="0"/>
          <w:divBdr>
            <w:top w:val="none" w:sz="0" w:space="0" w:color="auto"/>
            <w:left w:val="none" w:sz="0" w:space="0" w:color="auto"/>
            <w:bottom w:val="none" w:sz="0" w:space="0" w:color="auto"/>
            <w:right w:val="none" w:sz="0" w:space="0" w:color="auto"/>
          </w:divBdr>
        </w:div>
        <w:div w:id="1327517324">
          <w:marLeft w:val="446"/>
          <w:marRight w:val="0"/>
          <w:marTop w:val="0"/>
          <w:marBottom w:val="0"/>
          <w:divBdr>
            <w:top w:val="none" w:sz="0" w:space="0" w:color="auto"/>
            <w:left w:val="none" w:sz="0" w:space="0" w:color="auto"/>
            <w:bottom w:val="none" w:sz="0" w:space="0" w:color="auto"/>
            <w:right w:val="none" w:sz="0" w:space="0" w:color="auto"/>
          </w:divBdr>
        </w:div>
        <w:div w:id="2143962052">
          <w:marLeft w:val="1166"/>
          <w:marRight w:val="0"/>
          <w:marTop w:val="0"/>
          <w:marBottom w:val="0"/>
          <w:divBdr>
            <w:top w:val="none" w:sz="0" w:space="0" w:color="auto"/>
            <w:left w:val="none" w:sz="0" w:space="0" w:color="auto"/>
            <w:bottom w:val="none" w:sz="0" w:space="0" w:color="auto"/>
            <w:right w:val="none" w:sz="0" w:space="0" w:color="auto"/>
          </w:divBdr>
        </w:div>
      </w:divsChild>
    </w:div>
    <w:div w:id="1599868461">
      <w:bodyDiv w:val="1"/>
      <w:marLeft w:val="0"/>
      <w:marRight w:val="0"/>
      <w:marTop w:val="0"/>
      <w:marBottom w:val="0"/>
      <w:divBdr>
        <w:top w:val="none" w:sz="0" w:space="0" w:color="auto"/>
        <w:left w:val="none" w:sz="0" w:space="0" w:color="auto"/>
        <w:bottom w:val="none" w:sz="0" w:space="0" w:color="auto"/>
        <w:right w:val="none" w:sz="0" w:space="0" w:color="auto"/>
      </w:divBdr>
      <w:divsChild>
        <w:div w:id="75251344">
          <w:marLeft w:val="1166"/>
          <w:marRight w:val="0"/>
          <w:marTop w:val="96"/>
          <w:marBottom w:val="0"/>
          <w:divBdr>
            <w:top w:val="none" w:sz="0" w:space="0" w:color="auto"/>
            <w:left w:val="none" w:sz="0" w:space="0" w:color="auto"/>
            <w:bottom w:val="none" w:sz="0" w:space="0" w:color="auto"/>
            <w:right w:val="none" w:sz="0" w:space="0" w:color="auto"/>
          </w:divBdr>
        </w:div>
        <w:div w:id="191117871">
          <w:marLeft w:val="1166"/>
          <w:marRight w:val="0"/>
          <w:marTop w:val="96"/>
          <w:marBottom w:val="0"/>
          <w:divBdr>
            <w:top w:val="none" w:sz="0" w:space="0" w:color="auto"/>
            <w:left w:val="none" w:sz="0" w:space="0" w:color="auto"/>
            <w:bottom w:val="none" w:sz="0" w:space="0" w:color="auto"/>
            <w:right w:val="none" w:sz="0" w:space="0" w:color="auto"/>
          </w:divBdr>
        </w:div>
        <w:div w:id="261576592">
          <w:marLeft w:val="547"/>
          <w:marRight w:val="0"/>
          <w:marTop w:val="115"/>
          <w:marBottom w:val="0"/>
          <w:divBdr>
            <w:top w:val="none" w:sz="0" w:space="0" w:color="auto"/>
            <w:left w:val="none" w:sz="0" w:space="0" w:color="auto"/>
            <w:bottom w:val="none" w:sz="0" w:space="0" w:color="auto"/>
            <w:right w:val="none" w:sz="0" w:space="0" w:color="auto"/>
          </w:divBdr>
        </w:div>
        <w:div w:id="413012042">
          <w:marLeft w:val="547"/>
          <w:marRight w:val="0"/>
          <w:marTop w:val="115"/>
          <w:marBottom w:val="0"/>
          <w:divBdr>
            <w:top w:val="none" w:sz="0" w:space="0" w:color="auto"/>
            <w:left w:val="none" w:sz="0" w:space="0" w:color="auto"/>
            <w:bottom w:val="none" w:sz="0" w:space="0" w:color="auto"/>
            <w:right w:val="none" w:sz="0" w:space="0" w:color="auto"/>
          </w:divBdr>
        </w:div>
        <w:div w:id="419106045">
          <w:marLeft w:val="1166"/>
          <w:marRight w:val="0"/>
          <w:marTop w:val="96"/>
          <w:marBottom w:val="0"/>
          <w:divBdr>
            <w:top w:val="none" w:sz="0" w:space="0" w:color="auto"/>
            <w:left w:val="none" w:sz="0" w:space="0" w:color="auto"/>
            <w:bottom w:val="none" w:sz="0" w:space="0" w:color="auto"/>
            <w:right w:val="none" w:sz="0" w:space="0" w:color="auto"/>
          </w:divBdr>
        </w:div>
        <w:div w:id="521554101">
          <w:marLeft w:val="1166"/>
          <w:marRight w:val="0"/>
          <w:marTop w:val="96"/>
          <w:marBottom w:val="0"/>
          <w:divBdr>
            <w:top w:val="none" w:sz="0" w:space="0" w:color="auto"/>
            <w:left w:val="none" w:sz="0" w:space="0" w:color="auto"/>
            <w:bottom w:val="none" w:sz="0" w:space="0" w:color="auto"/>
            <w:right w:val="none" w:sz="0" w:space="0" w:color="auto"/>
          </w:divBdr>
        </w:div>
        <w:div w:id="593127158">
          <w:marLeft w:val="547"/>
          <w:marRight w:val="0"/>
          <w:marTop w:val="115"/>
          <w:marBottom w:val="0"/>
          <w:divBdr>
            <w:top w:val="none" w:sz="0" w:space="0" w:color="auto"/>
            <w:left w:val="none" w:sz="0" w:space="0" w:color="auto"/>
            <w:bottom w:val="none" w:sz="0" w:space="0" w:color="auto"/>
            <w:right w:val="none" w:sz="0" w:space="0" w:color="auto"/>
          </w:divBdr>
        </w:div>
        <w:div w:id="1077825520">
          <w:marLeft w:val="547"/>
          <w:marRight w:val="0"/>
          <w:marTop w:val="115"/>
          <w:marBottom w:val="0"/>
          <w:divBdr>
            <w:top w:val="none" w:sz="0" w:space="0" w:color="auto"/>
            <w:left w:val="none" w:sz="0" w:space="0" w:color="auto"/>
            <w:bottom w:val="none" w:sz="0" w:space="0" w:color="auto"/>
            <w:right w:val="none" w:sz="0" w:space="0" w:color="auto"/>
          </w:divBdr>
        </w:div>
        <w:div w:id="1142111337">
          <w:marLeft w:val="1166"/>
          <w:marRight w:val="0"/>
          <w:marTop w:val="96"/>
          <w:marBottom w:val="0"/>
          <w:divBdr>
            <w:top w:val="none" w:sz="0" w:space="0" w:color="auto"/>
            <w:left w:val="none" w:sz="0" w:space="0" w:color="auto"/>
            <w:bottom w:val="none" w:sz="0" w:space="0" w:color="auto"/>
            <w:right w:val="none" w:sz="0" w:space="0" w:color="auto"/>
          </w:divBdr>
        </w:div>
        <w:div w:id="1396852657">
          <w:marLeft w:val="1166"/>
          <w:marRight w:val="0"/>
          <w:marTop w:val="96"/>
          <w:marBottom w:val="0"/>
          <w:divBdr>
            <w:top w:val="none" w:sz="0" w:space="0" w:color="auto"/>
            <w:left w:val="none" w:sz="0" w:space="0" w:color="auto"/>
            <w:bottom w:val="none" w:sz="0" w:space="0" w:color="auto"/>
            <w:right w:val="none" w:sz="0" w:space="0" w:color="auto"/>
          </w:divBdr>
        </w:div>
        <w:div w:id="1865559902">
          <w:marLeft w:val="547"/>
          <w:marRight w:val="0"/>
          <w:marTop w:val="115"/>
          <w:marBottom w:val="0"/>
          <w:divBdr>
            <w:top w:val="none" w:sz="0" w:space="0" w:color="auto"/>
            <w:left w:val="none" w:sz="0" w:space="0" w:color="auto"/>
            <w:bottom w:val="none" w:sz="0" w:space="0" w:color="auto"/>
            <w:right w:val="none" w:sz="0" w:space="0" w:color="auto"/>
          </w:divBdr>
        </w:div>
      </w:divsChild>
    </w:div>
    <w:div w:id="1599947261">
      <w:bodyDiv w:val="1"/>
      <w:marLeft w:val="0"/>
      <w:marRight w:val="0"/>
      <w:marTop w:val="0"/>
      <w:marBottom w:val="0"/>
      <w:divBdr>
        <w:top w:val="none" w:sz="0" w:space="0" w:color="auto"/>
        <w:left w:val="none" w:sz="0" w:space="0" w:color="auto"/>
        <w:bottom w:val="none" w:sz="0" w:space="0" w:color="auto"/>
        <w:right w:val="none" w:sz="0" w:space="0" w:color="auto"/>
      </w:divBdr>
      <w:divsChild>
        <w:div w:id="37440466">
          <w:marLeft w:val="547"/>
          <w:marRight w:val="0"/>
          <w:marTop w:val="173"/>
          <w:marBottom w:val="0"/>
          <w:divBdr>
            <w:top w:val="none" w:sz="0" w:space="0" w:color="auto"/>
            <w:left w:val="none" w:sz="0" w:space="0" w:color="auto"/>
            <w:bottom w:val="none" w:sz="0" w:space="0" w:color="auto"/>
            <w:right w:val="none" w:sz="0" w:space="0" w:color="auto"/>
          </w:divBdr>
        </w:div>
        <w:div w:id="412312529">
          <w:marLeft w:val="1166"/>
          <w:marRight w:val="0"/>
          <w:marTop w:val="134"/>
          <w:marBottom w:val="0"/>
          <w:divBdr>
            <w:top w:val="none" w:sz="0" w:space="0" w:color="auto"/>
            <w:left w:val="none" w:sz="0" w:space="0" w:color="auto"/>
            <w:bottom w:val="none" w:sz="0" w:space="0" w:color="auto"/>
            <w:right w:val="none" w:sz="0" w:space="0" w:color="auto"/>
          </w:divBdr>
        </w:div>
      </w:divsChild>
    </w:div>
    <w:div w:id="1601448438">
      <w:bodyDiv w:val="1"/>
      <w:marLeft w:val="0"/>
      <w:marRight w:val="0"/>
      <w:marTop w:val="0"/>
      <w:marBottom w:val="0"/>
      <w:divBdr>
        <w:top w:val="none" w:sz="0" w:space="0" w:color="auto"/>
        <w:left w:val="none" w:sz="0" w:space="0" w:color="auto"/>
        <w:bottom w:val="none" w:sz="0" w:space="0" w:color="auto"/>
        <w:right w:val="none" w:sz="0" w:space="0" w:color="auto"/>
      </w:divBdr>
    </w:div>
    <w:div w:id="1601721072">
      <w:bodyDiv w:val="1"/>
      <w:marLeft w:val="0"/>
      <w:marRight w:val="0"/>
      <w:marTop w:val="0"/>
      <w:marBottom w:val="0"/>
      <w:divBdr>
        <w:top w:val="none" w:sz="0" w:space="0" w:color="auto"/>
        <w:left w:val="none" w:sz="0" w:space="0" w:color="auto"/>
        <w:bottom w:val="none" w:sz="0" w:space="0" w:color="auto"/>
        <w:right w:val="none" w:sz="0" w:space="0" w:color="auto"/>
      </w:divBdr>
    </w:div>
    <w:div w:id="1602102725">
      <w:bodyDiv w:val="1"/>
      <w:marLeft w:val="0"/>
      <w:marRight w:val="0"/>
      <w:marTop w:val="0"/>
      <w:marBottom w:val="0"/>
      <w:divBdr>
        <w:top w:val="none" w:sz="0" w:space="0" w:color="auto"/>
        <w:left w:val="none" w:sz="0" w:space="0" w:color="auto"/>
        <w:bottom w:val="none" w:sz="0" w:space="0" w:color="auto"/>
        <w:right w:val="none" w:sz="0" w:space="0" w:color="auto"/>
      </w:divBdr>
    </w:div>
    <w:div w:id="1602446902">
      <w:bodyDiv w:val="1"/>
      <w:marLeft w:val="0"/>
      <w:marRight w:val="0"/>
      <w:marTop w:val="0"/>
      <w:marBottom w:val="0"/>
      <w:divBdr>
        <w:top w:val="none" w:sz="0" w:space="0" w:color="auto"/>
        <w:left w:val="none" w:sz="0" w:space="0" w:color="auto"/>
        <w:bottom w:val="none" w:sz="0" w:space="0" w:color="auto"/>
        <w:right w:val="none" w:sz="0" w:space="0" w:color="auto"/>
      </w:divBdr>
    </w:div>
    <w:div w:id="1602764140">
      <w:bodyDiv w:val="1"/>
      <w:marLeft w:val="0"/>
      <w:marRight w:val="0"/>
      <w:marTop w:val="0"/>
      <w:marBottom w:val="0"/>
      <w:divBdr>
        <w:top w:val="none" w:sz="0" w:space="0" w:color="auto"/>
        <w:left w:val="none" w:sz="0" w:space="0" w:color="auto"/>
        <w:bottom w:val="none" w:sz="0" w:space="0" w:color="auto"/>
        <w:right w:val="none" w:sz="0" w:space="0" w:color="auto"/>
      </w:divBdr>
    </w:div>
    <w:div w:id="1602953410">
      <w:bodyDiv w:val="1"/>
      <w:marLeft w:val="0"/>
      <w:marRight w:val="0"/>
      <w:marTop w:val="0"/>
      <w:marBottom w:val="0"/>
      <w:divBdr>
        <w:top w:val="none" w:sz="0" w:space="0" w:color="auto"/>
        <w:left w:val="none" w:sz="0" w:space="0" w:color="auto"/>
        <w:bottom w:val="none" w:sz="0" w:space="0" w:color="auto"/>
        <w:right w:val="none" w:sz="0" w:space="0" w:color="auto"/>
      </w:divBdr>
      <w:divsChild>
        <w:div w:id="159005720">
          <w:marLeft w:val="1166"/>
          <w:marRight w:val="0"/>
          <w:marTop w:val="0"/>
          <w:marBottom w:val="0"/>
          <w:divBdr>
            <w:top w:val="none" w:sz="0" w:space="0" w:color="auto"/>
            <w:left w:val="none" w:sz="0" w:space="0" w:color="auto"/>
            <w:bottom w:val="none" w:sz="0" w:space="0" w:color="auto"/>
            <w:right w:val="none" w:sz="0" w:space="0" w:color="auto"/>
          </w:divBdr>
        </w:div>
        <w:div w:id="624392364">
          <w:marLeft w:val="547"/>
          <w:marRight w:val="0"/>
          <w:marTop w:val="0"/>
          <w:marBottom w:val="0"/>
          <w:divBdr>
            <w:top w:val="none" w:sz="0" w:space="0" w:color="auto"/>
            <w:left w:val="none" w:sz="0" w:space="0" w:color="auto"/>
            <w:bottom w:val="none" w:sz="0" w:space="0" w:color="auto"/>
            <w:right w:val="none" w:sz="0" w:space="0" w:color="auto"/>
          </w:divBdr>
        </w:div>
        <w:div w:id="657878592">
          <w:marLeft w:val="1800"/>
          <w:marRight w:val="0"/>
          <w:marTop w:val="0"/>
          <w:marBottom w:val="0"/>
          <w:divBdr>
            <w:top w:val="none" w:sz="0" w:space="0" w:color="auto"/>
            <w:left w:val="none" w:sz="0" w:space="0" w:color="auto"/>
            <w:bottom w:val="none" w:sz="0" w:space="0" w:color="auto"/>
            <w:right w:val="none" w:sz="0" w:space="0" w:color="auto"/>
          </w:divBdr>
        </w:div>
        <w:div w:id="1199900551">
          <w:marLeft w:val="1166"/>
          <w:marRight w:val="0"/>
          <w:marTop w:val="0"/>
          <w:marBottom w:val="0"/>
          <w:divBdr>
            <w:top w:val="none" w:sz="0" w:space="0" w:color="auto"/>
            <w:left w:val="none" w:sz="0" w:space="0" w:color="auto"/>
            <w:bottom w:val="none" w:sz="0" w:space="0" w:color="auto"/>
            <w:right w:val="none" w:sz="0" w:space="0" w:color="auto"/>
          </w:divBdr>
        </w:div>
        <w:div w:id="1294097221">
          <w:marLeft w:val="1800"/>
          <w:marRight w:val="0"/>
          <w:marTop w:val="0"/>
          <w:marBottom w:val="0"/>
          <w:divBdr>
            <w:top w:val="none" w:sz="0" w:space="0" w:color="auto"/>
            <w:left w:val="none" w:sz="0" w:space="0" w:color="auto"/>
            <w:bottom w:val="none" w:sz="0" w:space="0" w:color="auto"/>
            <w:right w:val="none" w:sz="0" w:space="0" w:color="auto"/>
          </w:divBdr>
        </w:div>
        <w:div w:id="1362390439">
          <w:marLeft w:val="2520"/>
          <w:marRight w:val="0"/>
          <w:marTop w:val="0"/>
          <w:marBottom w:val="0"/>
          <w:divBdr>
            <w:top w:val="none" w:sz="0" w:space="0" w:color="auto"/>
            <w:left w:val="none" w:sz="0" w:space="0" w:color="auto"/>
            <w:bottom w:val="none" w:sz="0" w:space="0" w:color="auto"/>
            <w:right w:val="none" w:sz="0" w:space="0" w:color="auto"/>
          </w:divBdr>
        </w:div>
        <w:div w:id="1445342024">
          <w:marLeft w:val="1166"/>
          <w:marRight w:val="0"/>
          <w:marTop w:val="0"/>
          <w:marBottom w:val="0"/>
          <w:divBdr>
            <w:top w:val="none" w:sz="0" w:space="0" w:color="auto"/>
            <w:left w:val="none" w:sz="0" w:space="0" w:color="auto"/>
            <w:bottom w:val="none" w:sz="0" w:space="0" w:color="auto"/>
            <w:right w:val="none" w:sz="0" w:space="0" w:color="auto"/>
          </w:divBdr>
        </w:div>
        <w:div w:id="1455324164">
          <w:marLeft w:val="1800"/>
          <w:marRight w:val="0"/>
          <w:marTop w:val="0"/>
          <w:marBottom w:val="0"/>
          <w:divBdr>
            <w:top w:val="none" w:sz="0" w:space="0" w:color="auto"/>
            <w:left w:val="none" w:sz="0" w:space="0" w:color="auto"/>
            <w:bottom w:val="none" w:sz="0" w:space="0" w:color="auto"/>
            <w:right w:val="none" w:sz="0" w:space="0" w:color="auto"/>
          </w:divBdr>
        </w:div>
        <w:div w:id="1663897623">
          <w:marLeft w:val="1800"/>
          <w:marRight w:val="0"/>
          <w:marTop w:val="0"/>
          <w:marBottom w:val="0"/>
          <w:divBdr>
            <w:top w:val="none" w:sz="0" w:space="0" w:color="auto"/>
            <w:left w:val="none" w:sz="0" w:space="0" w:color="auto"/>
            <w:bottom w:val="none" w:sz="0" w:space="0" w:color="auto"/>
            <w:right w:val="none" w:sz="0" w:space="0" w:color="auto"/>
          </w:divBdr>
        </w:div>
      </w:divsChild>
    </w:div>
    <w:div w:id="1606113339">
      <w:bodyDiv w:val="1"/>
      <w:marLeft w:val="0"/>
      <w:marRight w:val="0"/>
      <w:marTop w:val="0"/>
      <w:marBottom w:val="0"/>
      <w:divBdr>
        <w:top w:val="none" w:sz="0" w:space="0" w:color="auto"/>
        <w:left w:val="none" w:sz="0" w:space="0" w:color="auto"/>
        <w:bottom w:val="none" w:sz="0" w:space="0" w:color="auto"/>
        <w:right w:val="none" w:sz="0" w:space="0" w:color="auto"/>
      </w:divBdr>
      <w:divsChild>
        <w:div w:id="115637110">
          <w:marLeft w:val="360"/>
          <w:marRight w:val="0"/>
          <w:marTop w:val="200"/>
          <w:marBottom w:val="0"/>
          <w:divBdr>
            <w:top w:val="none" w:sz="0" w:space="0" w:color="auto"/>
            <w:left w:val="none" w:sz="0" w:space="0" w:color="auto"/>
            <w:bottom w:val="none" w:sz="0" w:space="0" w:color="auto"/>
            <w:right w:val="none" w:sz="0" w:space="0" w:color="auto"/>
          </w:divBdr>
        </w:div>
        <w:div w:id="231156498">
          <w:marLeft w:val="360"/>
          <w:marRight w:val="0"/>
          <w:marTop w:val="200"/>
          <w:marBottom w:val="0"/>
          <w:divBdr>
            <w:top w:val="none" w:sz="0" w:space="0" w:color="auto"/>
            <w:left w:val="none" w:sz="0" w:space="0" w:color="auto"/>
            <w:bottom w:val="none" w:sz="0" w:space="0" w:color="auto"/>
            <w:right w:val="none" w:sz="0" w:space="0" w:color="auto"/>
          </w:divBdr>
        </w:div>
        <w:div w:id="275529369">
          <w:marLeft w:val="1080"/>
          <w:marRight w:val="0"/>
          <w:marTop w:val="100"/>
          <w:marBottom w:val="0"/>
          <w:divBdr>
            <w:top w:val="none" w:sz="0" w:space="0" w:color="auto"/>
            <w:left w:val="none" w:sz="0" w:space="0" w:color="auto"/>
            <w:bottom w:val="none" w:sz="0" w:space="0" w:color="auto"/>
            <w:right w:val="none" w:sz="0" w:space="0" w:color="auto"/>
          </w:divBdr>
        </w:div>
        <w:div w:id="283074662">
          <w:marLeft w:val="1080"/>
          <w:marRight w:val="0"/>
          <w:marTop w:val="100"/>
          <w:marBottom w:val="0"/>
          <w:divBdr>
            <w:top w:val="none" w:sz="0" w:space="0" w:color="auto"/>
            <w:left w:val="none" w:sz="0" w:space="0" w:color="auto"/>
            <w:bottom w:val="none" w:sz="0" w:space="0" w:color="auto"/>
            <w:right w:val="none" w:sz="0" w:space="0" w:color="auto"/>
          </w:divBdr>
        </w:div>
        <w:div w:id="331759125">
          <w:marLeft w:val="1080"/>
          <w:marRight w:val="0"/>
          <w:marTop w:val="100"/>
          <w:marBottom w:val="0"/>
          <w:divBdr>
            <w:top w:val="none" w:sz="0" w:space="0" w:color="auto"/>
            <w:left w:val="none" w:sz="0" w:space="0" w:color="auto"/>
            <w:bottom w:val="none" w:sz="0" w:space="0" w:color="auto"/>
            <w:right w:val="none" w:sz="0" w:space="0" w:color="auto"/>
          </w:divBdr>
        </w:div>
        <w:div w:id="628323869">
          <w:marLeft w:val="1080"/>
          <w:marRight w:val="0"/>
          <w:marTop w:val="100"/>
          <w:marBottom w:val="0"/>
          <w:divBdr>
            <w:top w:val="none" w:sz="0" w:space="0" w:color="auto"/>
            <w:left w:val="none" w:sz="0" w:space="0" w:color="auto"/>
            <w:bottom w:val="none" w:sz="0" w:space="0" w:color="auto"/>
            <w:right w:val="none" w:sz="0" w:space="0" w:color="auto"/>
          </w:divBdr>
        </w:div>
        <w:div w:id="771586577">
          <w:marLeft w:val="1800"/>
          <w:marRight w:val="0"/>
          <w:marTop w:val="100"/>
          <w:marBottom w:val="0"/>
          <w:divBdr>
            <w:top w:val="none" w:sz="0" w:space="0" w:color="auto"/>
            <w:left w:val="none" w:sz="0" w:space="0" w:color="auto"/>
            <w:bottom w:val="none" w:sz="0" w:space="0" w:color="auto"/>
            <w:right w:val="none" w:sz="0" w:space="0" w:color="auto"/>
          </w:divBdr>
        </w:div>
        <w:div w:id="942801585">
          <w:marLeft w:val="360"/>
          <w:marRight w:val="0"/>
          <w:marTop w:val="200"/>
          <w:marBottom w:val="0"/>
          <w:divBdr>
            <w:top w:val="none" w:sz="0" w:space="0" w:color="auto"/>
            <w:left w:val="none" w:sz="0" w:space="0" w:color="auto"/>
            <w:bottom w:val="none" w:sz="0" w:space="0" w:color="auto"/>
            <w:right w:val="none" w:sz="0" w:space="0" w:color="auto"/>
          </w:divBdr>
        </w:div>
        <w:div w:id="973831877">
          <w:marLeft w:val="1800"/>
          <w:marRight w:val="0"/>
          <w:marTop w:val="100"/>
          <w:marBottom w:val="0"/>
          <w:divBdr>
            <w:top w:val="none" w:sz="0" w:space="0" w:color="auto"/>
            <w:left w:val="none" w:sz="0" w:space="0" w:color="auto"/>
            <w:bottom w:val="none" w:sz="0" w:space="0" w:color="auto"/>
            <w:right w:val="none" w:sz="0" w:space="0" w:color="auto"/>
          </w:divBdr>
        </w:div>
        <w:div w:id="1328899106">
          <w:marLeft w:val="360"/>
          <w:marRight w:val="0"/>
          <w:marTop w:val="200"/>
          <w:marBottom w:val="0"/>
          <w:divBdr>
            <w:top w:val="none" w:sz="0" w:space="0" w:color="auto"/>
            <w:left w:val="none" w:sz="0" w:space="0" w:color="auto"/>
            <w:bottom w:val="none" w:sz="0" w:space="0" w:color="auto"/>
            <w:right w:val="none" w:sz="0" w:space="0" w:color="auto"/>
          </w:divBdr>
        </w:div>
        <w:div w:id="1467697400">
          <w:marLeft w:val="1080"/>
          <w:marRight w:val="0"/>
          <w:marTop w:val="100"/>
          <w:marBottom w:val="0"/>
          <w:divBdr>
            <w:top w:val="none" w:sz="0" w:space="0" w:color="auto"/>
            <w:left w:val="none" w:sz="0" w:space="0" w:color="auto"/>
            <w:bottom w:val="none" w:sz="0" w:space="0" w:color="auto"/>
            <w:right w:val="none" w:sz="0" w:space="0" w:color="auto"/>
          </w:divBdr>
        </w:div>
        <w:div w:id="1494756198">
          <w:marLeft w:val="1800"/>
          <w:marRight w:val="0"/>
          <w:marTop w:val="100"/>
          <w:marBottom w:val="0"/>
          <w:divBdr>
            <w:top w:val="none" w:sz="0" w:space="0" w:color="auto"/>
            <w:left w:val="none" w:sz="0" w:space="0" w:color="auto"/>
            <w:bottom w:val="none" w:sz="0" w:space="0" w:color="auto"/>
            <w:right w:val="none" w:sz="0" w:space="0" w:color="auto"/>
          </w:divBdr>
        </w:div>
        <w:div w:id="1889682181">
          <w:marLeft w:val="1800"/>
          <w:marRight w:val="0"/>
          <w:marTop w:val="100"/>
          <w:marBottom w:val="0"/>
          <w:divBdr>
            <w:top w:val="none" w:sz="0" w:space="0" w:color="auto"/>
            <w:left w:val="none" w:sz="0" w:space="0" w:color="auto"/>
            <w:bottom w:val="none" w:sz="0" w:space="0" w:color="auto"/>
            <w:right w:val="none" w:sz="0" w:space="0" w:color="auto"/>
          </w:divBdr>
        </w:div>
      </w:divsChild>
    </w:div>
    <w:div w:id="1606158931">
      <w:bodyDiv w:val="1"/>
      <w:marLeft w:val="0"/>
      <w:marRight w:val="0"/>
      <w:marTop w:val="0"/>
      <w:marBottom w:val="0"/>
      <w:divBdr>
        <w:top w:val="none" w:sz="0" w:space="0" w:color="auto"/>
        <w:left w:val="none" w:sz="0" w:space="0" w:color="auto"/>
        <w:bottom w:val="none" w:sz="0" w:space="0" w:color="auto"/>
        <w:right w:val="none" w:sz="0" w:space="0" w:color="auto"/>
      </w:divBdr>
    </w:div>
    <w:div w:id="1606226315">
      <w:bodyDiv w:val="1"/>
      <w:marLeft w:val="0"/>
      <w:marRight w:val="0"/>
      <w:marTop w:val="0"/>
      <w:marBottom w:val="0"/>
      <w:divBdr>
        <w:top w:val="none" w:sz="0" w:space="0" w:color="auto"/>
        <w:left w:val="none" w:sz="0" w:space="0" w:color="auto"/>
        <w:bottom w:val="none" w:sz="0" w:space="0" w:color="auto"/>
        <w:right w:val="none" w:sz="0" w:space="0" w:color="auto"/>
      </w:divBdr>
      <w:divsChild>
        <w:div w:id="756827229">
          <w:marLeft w:val="1253"/>
          <w:marRight w:val="0"/>
          <w:marTop w:val="60"/>
          <w:marBottom w:val="0"/>
          <w:divBdr>
            <w:top w:val="none" w:sz="0" w:space="0" w:color="auto"/>
            <w:left w:val="none" w:sz="0" w:space="0" w:color="auto"/>
            <w:bottom w:val="none" w:sz="0" w:space="0" w:color="auto"/>
            <w:right w:val="none" w:sz="0" w:space="0" w:color="auto"/>
          </w:divBdr>
        </w:div>
        <w:div w:id="1939943687">
          <w:marLeft w:val="533"/>
          <w:marRight w:val="0"/>
          <w:marTop w:val="60"/>
          <w:marBottom w:val="0"/>
          <w:divBdr>
            <w:top w:val="none" w:sz="0" w:space="0" w:color="auto"/>
            <w:left w:val="none" w:sz="0" w:space="0" w:color="auto"/>
            <w:bottom w:val="none" w:sz="0" w:space="0" w:color="auto"/>
            <w:right w:val="none" w:sz="0" w:space="0" w:color="auto"/>
          </w:divBdr>
        </w:div>
        <w:div w:id="1968506168">
          <w:marLeft w:val="533"/>
          <w:marRight w:val="0"/>
          <w:marTop w:val="60"/>
          <w:marBottom w:val="0"/>
          <w:divBdr>
            <w:top w:val="none" w:sz="0" w:space="0" w:color="auto"/>
            <w:left w:val="none" w:sz="0" w:space="0" w:color="auto"/>
            <w:bottom w:val="none" w:sz="0" w:space="0" w:color="auto"/>
            <w:right w:val="none" w:sz="0" w:space="0" w:color="auto"/>
          </w:divBdr>
        </w:div>
      </w:divsChild>
    </w:div>
    <w:div w:id="1608660144">
      <w:bodyDiv w:val="1"/>
      <w:marLeft w:val="0"/>
      <w:marRight w:val="0"/>
      <w:marTop w:val="0"/>
      <w:marBottom w:val="0"/>
      <w:divBdr>
        <w:top w:val="none" w:sz="0" w:space="0" w:color="auto"/>
        <w:left w:val="none" w:sz="0" w:space="0" w:color="auto"/>
        <w:bottom w:val="none" w:sz="0" w:space="0" w:color="auto"/>
        <w:right w:val="none" w:sz="0" w:space="0" w:color="auto"/>
      </w:divBdr>
      <w:divsChild>
        <w:div w:id="186337651">
          <w:marLeft w:val="720"/>
          <w:marRight w:val="0"/>
          <w:marTop w:val="96"/>
          <w:marBottom w:val="0"/>
          <w:divBdr>
            <w:top w:val="none" w:sz="0" w:space="0" w:color="auto"/>
            <w:left w:val="none" w:sz="0" w:space="0" w:color="auto"/>
            <w:bottom w:val="none" w:sz="0" w:space="0" w:color="auto"/>
            <w:right w:val="none" w:sz="0" w:space="0" w:color="auto"/>
          </w:divBdr>
        </w:div>
        <w:div w:id="557284925">
          <w:marLeft w:val="1354"/>
          <w:marRight w:val="0"/>
          <w:marTop w:val="77"/>
          <w:marBottom w:val="0"/>
          <w:divBdr>
            <w:top w:val="none" w:sz="0" w:space="0" w:color="auto"/>
            <w:left w:val="none" w:sz="0" w:space="0" w:color="auto"/>
            <w:bottom w:val="none" w:sz="0" w:space="0" w:color="auto"/>
            <w:right w:val="none" w:sz="0" w:space="0" w:color="auto"/>
          </w:divBdr>
        </w:div>
        <w:div w:id="1672485604">
          <w:marLeft w:val="720"/>
          <w:marRight w:val="0"/>
          <w:marTop w:val="96"/>
          <w:marBottom w:val="0"/>
          <w:divBdr>
            <w:top w:val="none" w:sz="0" w:space="0" w:color="auto"/>
            <w:left w:val="none" w:sz="0" w:space="0" w:color="auto"/>
            <w:bottom w:val="none" w:sz="0" w:space="0" w:color="auto"/>
            <w:right w:val="none" w:sz="0" w:space="0" w:color="auto"/>
          </w:divBdr>
        </w:div>
        <w:div w:id="1772047204">
          <w:marLeft w:val="1354"/>
          <w:marRight w:val="0"/>
          <w:marTop w:val="77"/>
          <w:marBottom w:val="0"/>
          <w:divBdr>
            <w:top w:val="none" w:sz="0" w:space="0" w:color="auto"/>
            <w:left w:val="none" w:sz="0" w:space="0" w:color="auto"/>
            <w:bottom w:val="none" w:sz="0" w:space="0" w:color="auto"/>
            <w:right w:val="none" w:sz="0" w:space="0" w:color="auto"/>
          </w:divBdr>
        </w:div>
      </w:divsChild>
    </w:div>
    <w:div w:id="1610771874">
      <w:bodyDiv w:val="1"/>
      <w:marLeft w:val="0"/>
      <w:marRight w:val="0"/>
      <w:marTop w:val="0"/>
      <w:marBottom w:val="0"/>
      <w:divBdr>
        <w:top w:val="none" w:sz="0" w:space="0" w:color="auto"/>
        <w:left w:val="none" w:sz="0" w:space="0" w:color="auto"/>
        <w:bottom w:val="none" w:sz="0" w:space="0" w:color="auto"/>
        <w:right w:val="none" w:sz="0" w:space="0" w:color="auto"/>
      </w:divBdr>
    </w:div>
    <w:div w:id="1611203364">
      <w:bodyDiv w:val="1"/>
      <w:marLeft w:val="0"/>
      <w:marRight w:val="0"/>
      <w:marTop w:val="0"/>
      <w:marBottom w:val="0"/>
      <w:divBdr>
        <w:top w:val="none" w:sz="0" w:space="0" w:color="auto"/>
        <w:left w:val="none" w:sz="0" w:space="0" w:color="auto"/>
        <w:bottom w:val="none" w:sz="0" w:space="0" w:color="auto"/>
        <w:right w:val="none" w:sz="0" w:space="0" w:color="auto"/>
      </w:divBdr>
    </w:div>
    <w:div w:id="1612937845">
      <w:bodyDiv w:val="1"/>
      <w:marLeft w:val="0"/>
      <w:marRight w:val="0"/>
      <w:marTop w:val="0"/>
      <w:marBottom w:val="0"/>
      <w:divBdr>
        <w:top w:val="none" w:sz="0" w:space="0" w:color="auto"/>
        <w:left w:val="none" w:sz="0" w:space="0" w:color="auto"/>
        <w:bottom w:val="none" w:sz="0" w:space="0" w:color="auto"/>
        <w:right w:val="none" w:sz="0" w:space="0" w:color="auto"/>
      </w:divBdr>
    </w:div>
    <w:div w:id="1614360194">
      <w:bodyDiv w:val="1"/>
      <w:marLeft w:val="0"/>
      <w:marRight w:val="0"/>
      <w:marTop w:val="0"/>
      <w:marBottom w:val="0"/>
      <w:divBdr>
        <w:top w:val="none" w:sz="0" w:space="0" w:color="auto"/>
        <w:left w:val="none" w:sz="0" w:space="0" w:color="auto"/>
        <w:bottom w:val="none" w:sz="0" w:space="0" w:color="auto"/>
        <w:right w:val="none" w:sz="0" w:space="0" w:color="auto"/>
      </w:divBdr>
    </w:div>
    <w:div w:id="1615475073">
      <w:bodyDiv w:val="1"/>
      <w:marLeft w:val="0"/>
      <w:marRight w:val="0"/>
      <w:marTop w:val="0"/>
      <w:marBottom w:val="0"/>
      <w:divBdr>
        <w:top w:val="none" w:sz="0" w:space="0" w:color="auto"/>
        <w:left w:val="none" w:sz="0" w:space="0" w:color="auto"/>
        <w:bottom w:val="none" w:sz="0" w:space="0" w:color="auto"/>
        <w:right w:val="none" w:sz="0" w:space="0" w:color="auto"/>
      </w:divBdr>
    </w:div>
    <w:div w:id="1615475710">
      <w:bodyDiv w:val="1"/>
      <w:marLeft w:val="0"/>
      <w:marRight w:val="0"/>
      <w:marTop w:val="0"/>
      <w:marBottom w:val="0"/>
      <w:divBdr>
        <w:top w:val="none" w:sz="0" w:space="0" w:color="auto"/>
        <w:left w:val="none" w:sz="0" w:space="0" w:color="auto"/>
        <w:bottom w:val="none" w:sz="0" w:space="0" w:color="auto"/>
        <w:right w:val="none" w:sz="0" w:space="0" w:color="auto"/>
      </w:divBdr>
    </w:div>
    <w:div w:id="1616642924">
      <w:bodyDiv w:val="1"/>
      <w:marLeft w:val="0"/>
      <w:marRight w:val="0"/>
      <w:marTop w:val="0"/>
      <w:marBottom w:val="0"/>
      <w:divBdr>
        <w:top w:val="none" w:sz="0" w:space="0" w:color="auto"/>
        <w:left w:val="none" w:sz="0" w:space="0" w:color="auto"/>
        <w:bottom w:val="none" w:sz="0" w:space="0" w:color="auto"/>
        <w:right w:val="none" w:sz="0" w:space="0" w:color="auto"/>
      </w:divBdr>
    </w:div>
    <w:div w:id="1617562544">
      <w:bodyDiv w:val="1"/>
      <w:marLeft w:val="0"/>
      <w:marRight w:val="0"/>
      <w:marTop w:val="0"/>
      <w:marBottom w:val="0"/>
      <w:divBdr>
        <w:top w:val="none" w:sz="0" w:space="0" w:color="auto"/>
        <w:left w:val="none" w:sz="0" w:space="0" w:color="auto"/>
        <w:bottom w:val="none" w:sz="0" w:space="0" w:color="auto"/>
        <w:right w:val="none" w:sz="0" w:space="0" w:color="auto"/>
      </w:divBdr>
    </w:div>
    <w:div w:id="1617716618">
      <w:bodyDiv w:val="1"/>
      <w:marLeft w:val="0"/>
      <w:marRight w:val="0"/>
      <w:marTop w:val="0"/>
      <w:marBottom w:val="0"/>
      <w:divBdr>
        <w:top w:val="none" w:sz="0" w:space="0" w:color="auto"/>
        <w:left w:val="none" w:sz="0" w:space="0" w:color="auto"/>
        <w:bottom w:val="none" w:sz="0" w:space="0" w:color="auto"/>
        <w:right w:val="none" w:sz="0" w:space="0" w:color="auto"/>
      </w:divBdr>
      <w:divsChild>
        <w:div w:id="295988729">
          <w:marLeft w:val="547"/>
          <w:marRight w:val="0"/>
          <w:marTop w:val="115"/>
          <w:marBottom w:val="0"/>
          <w:divBdr>
            <w:top w:val="none" w:sz="0" w:space="0" w:color="auto"/>
            <w:left w:val="none" w:sz="0" w:space="0" w:color="auto"/>
            <w:bottom w:val="none" w:sz="0" w:space="0" w:color="auto"/>
            <w:right w:val="none" w:sz="0" w:space="0" w:color="auto"/>
          </w:divBdr>
        </w:div>
        <w:div w:id="465704681">
          <w:marLeft w:val="1166"/>
          <w:marRight w:val="0"/>
          <w:marTop w:val="115"/>
          <w:marBottom w:val="0"/>
          <w:divBdr>
            <w:top w:val="none" w:sz="0" w:space="0" w:color="auto"/>
            <w:left w:val="none" w:sz="0" w:space="0" w:color="auto"/>
            <w:bottom w:val="none" w:sz="0" w:space="0" w:color="auto"/>
            <w:right w:val="none" w:sz="0" w:space="0" w:color="auto"/>
          </w:divBdr>
        </w:div>
        <w:div w:id="509292328">
          <w:marLeft w:val="1166"/>
          <w:marRight w:val="0"/>
          <w:marTop w:val="115"/>
          <w:marBottom w:val="0"/>
          <w:divBdr>
            <w:top w:val="none" w:sz="0" w:space="0" w:color="auto"/>
            <w:left w:val="none" w:sz="0" w:space="0" w:color="auto"/>
            <w:bottom w:val="none" w:sz="0" w:space="0" w:color="auto"/>
            <w:right w:val="none" w:sz="0" w:space="0" w:color="auto"/>
          </w:divBdr>
        </w:div>
        <w:div w:id="1759404171">
          <w:marLeft w:val="1800"/>
          <w:marRight w:val="0"/>
          <w:marTop w:val="96"/>
          <w:marBottom w:val="0"/>
          <w:divBdr>
            <w:top w:val="none" w:sz="0" w:space="0" w:color="auto"/>
            <w:left w:val="none" w:sz="0" w:space="0" w:color="auto"/>
            <w:bottom w:val="none" w:sz="0" w:space="0" w:color="auto"/>
            <w:right w:val="none" w:sz="0" w:space="0" w:color="auto"/>
          </w:divBdr>
        </w:div>
      </w:divsChild>
    </w:div>
    <w:div w:id="1618483716">
      <w:bodyDiv w:val="1"/>
      <w:marLeft w:val="0"/>
      <w:marRight w:val="0"/>
      <w:marTop w:val="0"/>
      <w:marBottom w:val="0"/>
      <w:divBdr>
        <w:top w:val="none" w:sz="0" w:space="0" w:color="auto"/>
        <w:left w:val="none" w:sz="0" w:space="0" w:color="auto"/>
        <w:bottom w:val="none" w:sz="0" w:space="0" w:color="auto"/>
        <w:right w:val="none" w:sz="0" w:space="0" w:color="auto"/>
      </w:divBdr>
    </w:div>
    <w:div w:id="1618751120">
      <w:bodyDiv w:val="1"/>
      <w:marLeft w:val="0"/>
      <w:marRight w:val="0"/>
      <w:marTop w:val="0"/>
      <w:marBottom w:val="0"/>
      <w:divBdr>
        <w:top w:val="none" w:sz="0" w:space="0" w:color="auto"/>
        <w:left w:val="none" w:sz="0" w:space="0" w:color="auto"/>
        <w:bottom w:val="none" w:sz="0" w:space="0" w:color="auto"/>
        <w:right w:val="none" w:sz="0" w:space="0" w:color="auto"/>
      </w:divBdr>
    </w:div>
    <w:div w:id="1620600239">
      <w:bodyDiv w:val="1"/>
      <w:marLeft w:val="0"/>
      <w:marRight w:val="0"/>
      <w:marTop w:val="0"/>
      <w:marBottom w:val="0"/>
      <w:divBdr>
        <w:top w:val="none" w:sz="0" w:space="0" w:color="auto"/>
        <w:left w:val="none" w:sz="0" w:space="0" w:color="auto"/>
        <w:bottom w:val="none" w:sz="0" w:space="0" w:color="auto"/>
        <w:right w:val="none" w:sz="0" w:space="0" w:color="auto"/>
      </w:divBdr>
    </w:div>
    <w:div w:id="1623417977">
      <w:bodyDiv w:val="1"/>
      <w:marLeft w:val="0"/>
      <w:marRight w:val="0"/>
      <w:marTop w:val="0"/>
      <w:marBottom w:val="0"/>
      <w:divBdr>
        <w:top w:val="none" w:sz="0" w:space="0" w:color="auto"/>
        <w:left w:val="none" w:sz="0" w:space="0" w:color="auto"/>
        <w:bottom w:val="none" w:sz="0" w:space="0" w:color="auto"/>
        <w:right w:val="none" w:sz="0" w:space="0" w:color="auto"/>
      </w:divBdr>
    </w:div>
    <w:div w:id="1624774709">
      <w:bodyDiv w:val="1"/>
      <w:marLeft w:val="0"/>
      <w:marRight w:val="0"/>
      <w:marTop w:val="0"/>
      <w:marBottom w:val="0"/>
      <w:divBdr>
        <w:top w:val="none" w:sz="0" w:space="0" w:color="auto"/>
        <w:left w:val="none" w:sz="0" w:space="0" w:color="auto"/>
        <w:bottom w:val="none" w:sz="0" w:space="0" w:color="auto"/>
        <w:right w:val="none" w:sz="0" w:space="0" w:color="auto"/>
      </w:divBdr>
    </w:div>
    <w:div w:id="1624921249">
      <w:bodyDiv w:val="1"/>
      <w:marLeft w:val="0"/>
      <w:marRight w:val="0"/>
      <w:marTop w:val="0"/>
      <w:marBottom w:val="0"/>
      <w:divBdr>
        <w:top w:val="none" w:sz="0" w:space="0" w:color="auto"/>
        <w:left w:val="none" w:sz="0" w:space="0" w:color="auto"/>
        <w:bottom w:val="none" w:sz="0" w:space="0" w:color="auto"/>
        <w:right w:val="none" w:sz="0" w:space="0" w:color="auto"/>
      </w:divBdr>
    </w:div>
    <w:div w:id="1624969106">
      <w:bodyDiv w:val="1"/>
      <w:marLeft w:val="0"/>
      <w:marRight w:val="0"/>
      <w:marTop w:val="0"/>
      <w:marBottom w:val="0"/>
      <w:divBdr>
        <w:top w:val="none" w:sz="0" w:space="0" w:color="auto"/>
        <w:left w:val="none" w:sz="0" w:space="0" w:color="auto"/>
        <w:bottom w:val="none" w:sz="0" w:space="0" w:color="auto"/>
        <w:right w:val="none" w:sz="0" w:space="0" w:color="auto"/>
      </w:divBdr>
      <w:divsChild>
        <w:div w:id="773940103">
          <w:marLeft w:val="547"/>
          <w:marRight w:val="0"/>
          <w:marTop w:val="115"/>
          <w:marBottom w:val="0"/>
          <w:divBdr>
            <w:top w:val="none" w:sz="0" w:space="0" w:color="auto"/>
            <w:left w:val="none" w:sz="0" w:space="0" w:color="auto"/>
            <w:bottom w:val="none" w:sz="0" w:space="0" w:color="auto"/>
            <w:right w:val="none" w:sz="0" w:space="0" w:color="auto"/>
          </w:divBdr>
        </w:div>
        <w:div w:id="1306351139">
          <w:marLeft w:val="547"/>
          <w:marRight w:val="0"/>
          <w:marTop w:val="115"/>
          <w:marBottom w:val="0"/>
          <w:divBdr>
            <w:top w:val="none" w:sz="0" w:space="0" w:color="auto"/>
            <w:left w:val="none" w:sz="0" w:space="0" w:color="auto"/>
            <w:bottom w:val="none" w:sz="0" w:space="0" w:color="auto"/>
            <w:right w:val="none" w:sz="0" w:space="0" w:color="auto"/>
          </w:divBdr>
        </w:div>
        <w:div w:id="1693921515">
          <w:marLeft w:val="1166"/>
          <w:marRight w:val="0"/>
          <w:marTop w:val="96"/>
          <w:marBottom w:val="0"/>
          <w:divBdr>
            <w:top w:val="none" w:sz="0" w:space="0" w:color="auto"/>
            <w:left w:val="none" w:sz="0" w:space="0" w:color="auto"/>
            <w:bottom w:val="none" w:sz="0" w:space="0" w:color="auto"/>
            <w:right w:val="none" w:sz="0" w:space="0" w:color="auto"/>
          </w:divBdr>
        </w:div>
      </w:divsChild>
    </w:div>
    <w:div w:id="1625039093">
      <w:bodyDiv w:val="1"/>
      <w:marLeft w:val="0"/>
      <w:marRight w:val="0"/>
      <w:marTop w:val="0"/>
      <w:marBottom w:val="0"/>
      <w:divBdr>
        <w:top w:val="none" w:sz="0" w:space="0" w:color="auto"/>
        <w:left w:val="none" w:sz="0" w:space="0" w:color="auto"/>
        <w:bottom w:val="none" w:sz="0" w:space="0" w:color="auto"/>
        <w:right w:val="none" w:sz="0" w:space="0" w:color="auto"/>
      </w:divBdr>
    </w:div>
    <w:div w:id="1626764859">
      <w:bodyDiv w:val="1"/>
      <w:marLeft w:val="0"/>
      <w:marRight w:val="0"/>
      <w:marTop w:val="0"/>
      <w:marBottom w:val="0"/>
      <w:divBdr>
        <w:top w:val="none" w:sz="0" w:space="0" w:color="auto"/>
        <w:left w:val="none" w:sz="0" w:space="0" w:color="auto"/>
        <w:bottom w:val="none" w:sz="0" w:space="0" w:color="auto"/>
        <w:right w:val="none" w:sz="0" w:space="0" w:color="auto"/>
      </w:divBdr>
    </w:div>
    <w:div w:id="1626931976">
      <w:bodyDiv w:val="1"/>
      <w:marLeft w:val="0"/>
      <w:marRight w:val="0"/>
      <w:marTop w:val="0"/>
      <w:marBottom w:val="0"/>
      <w:divBdr>
        <w:top w:val="none" w:sz="0" w:space="0" w:color="auto"/>
        <w:left w:val="none" w:sz="0" w:space="0" w:color="auto"/>
        <w:bottom w:val="none" w:sz="0" w:space="0" w:color="auto"/>
        <w:right w:val="none" w:sz="0" w:space="0" w:color="auto"/>
      </w:divBdr>
    </w:div>
    <w:div w:id="1628119538">
      <w:bodyDiv w:val="1"/>
      <w:marLeft w:val="0"/>
      <w:marRight w:val="0"/>
      <w:marTop w:val="0"/>
      <w:marBottom w:val="0"/>
      <w:divBdr>
        <w:top w:val="none" w:sz="0" w:space="0" w:color="auto"/>
        <w:left w:val="none" w:sz="0" w:space="0" w:color="auto"/>
        <w:bottom w:val="none" w:sz="0" w:space="0" w:color="auto"/>
        <w:right w:val="none" w:sz="0" w:space="0" w:color="auto"/>
      </w:divBdr>
    </w:div>
    <w:div w:id="1630546432">
      <w:bodyDiv w:val="1"/>
      <w:marLeft w:val="0"/>
      <w:marRight w:val="0"/>
      <w:marTop w:val="0"/>
      <w:marBottom w:val="0"/>
      <w:divBdr>
        <w:top w:val="none" w:sz="0" w:space="0" w:color="auto"/>
        <w:left w:val="none" w:sz="0" w:space="0" w:color="auto"/>
        <w:bottom w:val="none" w:sz="0" w:space="0" w:color="auto"/>
        <w:right w:val="none" w:sz="0" w:space="0" w:color="auto"/>
      </w:divBdr>
      <w:divsChild>
        <w:div w:id="205724705">
          <w:marLeft w:val="360"/>
          <w:marRight w:val="0"/>
          <w:marTop w:val="200"/>
          <w:marBottom w:val="0"/>
          <w:divBdr>
            <w:top w:val="none" w:sz="0" w:space="0" w:color="auto"/>
            <w:left w:val="none" w:sz="0" w:space="0" w:color="auto"/>
            <w:bottom w:val="none" w:sz="0" w:space="0" w:color="auto"/>
            <w:right w:val="none" w:sz="0" w:space="0" w:color="auto"/>
          </w:divBdr>
        </w:div>
        <w:div w:id="246159090">
          <w:marLeft w:val="1800"/>
          <w:marRight w:val="0"/>
          <w:marTop w:val="100"/>
          <w:marBottom w:val="0"/>
          <w:divBdr>
            <w:top w:val="none" w:sz="0" w:space="0" w:color="auto"/>
            <w:left w:val="none" w:sz="0" w:space="0" w:color="auto"/>
            <w:bottom w:val="none" w:sz="0" w:space="0" w:color="auto"/>
            <w:right w:val="none" w:sz="0" w:space="0" w:color="auto"/>
          </w:divBdr>
        </w:div>
        <w:div w:id="697707463">
          <w:marLeft w:val="1080"/>
          <w:marRight w:val="0"/>
          <w:marTop w:val="100"/>
          <w:marBottom w:val="0"/>
          <w:divBdr>
            <w:top w:val="none" w:sz="0" w:space="0" w:color="auto"/>
            <w:left w:val="none" w:sz="0" w:space="0" w:color="auto"/>
            <w:bottom w:val="none" w:sz="0" w:space="0" w:color="auto"/>
            <w:right w:val="none" w:sz="0" w:space="0" w:color="auto"/>
          </w:divBdr>
        </w:div>
        <w:div w:id="709649063">
          <w:marLeft w:val="1080"/>
          <w:marRight w:val="0"/>
          <w:marTop w:val="100"/>
          <w:marBottom w:val="0"/>
          <w:divBdr>
            <w:top w:val="none" w:sz="0" w:space="0" w:color="auto"/>
            <w:left w:val="none" w:sz="0" w:space="0" w:color="auto"/>
            <w:bottom w:val="none" w:sz="0" w:space="0" w:color="auto"/>
            <w:right w:val="none" w:sz="0" w:space="0" w:color="auto"/>
          </w:divBdr>
        </w:div>
        <w:div w:id="1066105691">
          <w:marLeft w:val="360"/>
          <w:marRight w:val="0"/>
          <w:marTop w:val="200"/>
          <w:marBottom w:val="0"/>
          <w:divBdr>
            <w:top w:val="none" w:sz="0" w:space="0" w:color="auto"/>
            <w:left w:val="none" w:sz="0" w:space="0" w:color="auto"/>
            <w:bottom w:val="none" w:sz="0" w:space="0" w:color="auto"/>
            <w:right w:val="none" w:sz="0" w:space="0" w:color="auto"/>
          </w:divBdr>
        </w:div>
        <w:div w:id="1155028412">
          <w:marLeft w:val="1080"/>
          <w:marRight w:val="0"/>
          <w:marTop w:val="100"/>
          <w:marBottom w:val="0"/>
          <w:divBdr>
            <w:top w:val="none" w:sz="0" w:space="0" w:color="auto"/>
            <w:left w:val="none" w:sz="0" w:space="0" w:color="auto"/>
            <w:bottom w:val="none" w:sz="0" w:space="0" w:color="auto"/>
            <w:right w:val="none" w:sz="0" w:space="0" w:color="auto"/>
          </w:divBdr>
        </w:div>
        <w:div w:id="1232740341">
          <w:marLeft w:val="1080"/>
          <w:marRight w:val="0"/>
          <w:marTop w:val="100"/>
          <w:marBottom w:val="0"/>
          <w:divBdr>
            <w:top w:val="none" w:sz="0" w:space="0" w:color="auto"/>
            <w:left w:val="none" w:sz="0" w:space="0" w:color="auto"/>
            <w:bottom w:val="none" w:sz="0" w:space="0" w:color="auto"/>
            <w:right w:val="none" w:sz="0" w:space="0" w:color="auto"/>
          </w:divBdr>
        </w:div>
        <w:div w:id="1261060583">
          <w:marLeft w:val="360"/>
          <w:marRight w:val="0"/>
          <w:marTop w:val="200"/>
          <w:marBottom w:val="0"/>
          <w:divBdr>
            <w:top w:val="none" w:sz="0" w:space="0" w:color="auto"/>
            <w:left w:val="none" w:sz="0" w:space="0" w:color="auto"/>
            <w:bottom w:val="none" w:sz="0" w:space="0" w:color="auto"/>
            <w:right w:val="none" w:sz="0" w:space="0" w:color="auto"/>
          </w:divBdr>
        </w:div>
        <w:div w:id="1432429763">
          <w:marLeft w:val="1080"/>
          <w:marRight w:val="0"/>
          <w:marTop w:val="100"/>
          <w:marBottom w:val="0"/>
          <w:divBdr>
            <w:top w:val="none" w:sz="0" w:space="0" w:color="auto"/>
            <w:left w:val="none" w:sz="0" w:space="0" w:color="auto"/>
            <w:bottom w:val="none" w:sz="0" w:space="0" w:color="auto"/>
            <w:right w:val="none" w:sz="0" w:space="0" w:color="auto"/>
          </w:divBdr>
        </w:div>
        <w:div w:id="1445077948">
          <w:marLeft w:val="1080"/>
          <w:marRight w:val="0"/>
          <w:marTop w:val="100"/>
          <w:marBottom w:val="0"/>
          <w:divBdr>
            <w:top w:val="none" w:sz="0" w:space="0" w:color="auto"/>
            <w:left w:val="none" w:sz="0" w:space="0" w:color="auto"/>
            <w:bottom w:val="none" w:sz="0" w:space="0" w:color="auto"/>
            <w:right w:val="none" w:sz="0" w:space="0" w:color="auto"/>
          </w:divBdr>
        </w:div>
        <w:div w:id="1447001474">
          <w:marLeft w:val="1080"/>
          <w:marRight w:val="0"/>
          <w:marTop w:val="100"/>
          <w:marBottom w:val="0"/>
          <w:divBdr>
            <w:top w:val="none" w:sz="0" w:space="0" w:color="auto"/>
            <w:left w:val="none" w:sz="0" w:space="0" w:color="auto"/>
            <w:bottom w:val="none" w:sz="0" w:space="0" w:color="auto"/>
            <w:right w:val="none" w:sz="0" w:space="0" w:color="auto"/>
          </w:divBdr>
        </w:div>
        <w:div w:id="1609048125">
          <w:marLeft w:val="1080"/>
          <w:marRight w:val="0"/>
          <w:marTop w:val="100"/>
          <w:marBottom w:val="0"/>
          <w:divBdr>
            <w:top w:val="none" w:sz="0" w:space="0" w:color="auto"/>
            <w:left w:val="none" w:sz="0" w:space="0" w:color="auto"/>
            <w:bottom w:val="none" w:sz="0" w:space="0" w:color="auto"/>
            <w:right w:val="none" w:sz="0" w:space="0" w:color="auto"/>
          </w:divBdr>
        </w:div>
        <w:div w:id="1666012455">
          <w:marLeft w:val="1800"/>
          <w:marRight w:val="0"/>
          <w:marTop w:val="100"/>
          <w:marBottom w:val="0"/>
          <w:divBdr>
            <w:top w:val="none" w:sz="0" w:space="0" w:color="auto"/>
            <w:left w:val="none" w:sz="0" w:space="0" w:color="auto"/>
            <w:bottom w:val="none" w:sz="0" w:space="0" w:color="auto"/>
            <w:right w:val="none" w:sz="0" w:space="0" w:color="auto"/>
          </w:divBdr>
        </w:div>
        <w:div w:id="1787578754">
          <w:marLeft w:val="1080"/>
          <w:marRight w:val="0"/>
          <w:marTop w:val="100"/>
          <w:marBottom w:val="0"/>
          <w:divBdr>
            <w:top w:val="none" w:sz="0" w:space="0" w:color="auto"/>
            <w:left w:val="none" w:sz="0" w:space="0" w:color="auto"/>
            <w:bottom w:val="none" w:sz="0" w:space="0" w:color="auto"/>
            <w:right w:val="none" w:sz="0" w:space="0" w:color="auto"/>
          </w:divBdr>
        </w:div>
        <w:div w:id="1791775766">
          <w:marLeft w:val="1800"/>
          <w:marRight w:val="0"/>
          <w:marTop w:val="100"/>
          <w:marBottom w:val="0"/>
          <w:divBdr>
            <w:top w:val="none" w:sz="0" w:space="0" w:color="auto"/>
            <w:left w:val="none" w:sz="0" w:space="0" w:color="auto"/>
            <w:bottom w:val="none" w:sz="0" w:space="0" w:color="auto"/>
            <w:right w:val="none" w:sz="0" w:space="0" w:color="auto"/>
          </w:divBdr>
        </w:div>
        <w:div w:id="1799756437">
          <w:marLeft w:val="1800"/>
          <w:marRight w:val="0"/>
          <w:marTop w:val="100"/>
          <w:marBottom w:val="0"/>
          <w:divBdr>
            <w:top w:val="none" w:sz="0" w:space="0" w:color="auto"/>
            <w:left w:val="none" w:sz="0" w:space="0" w:color="auto"/>
            <w:bottom w:val="none" w:sz="0" w:space="0" w:color="auto"/>
            <w:right w:val="none" w:sz="0" w:space="0" w:color="auto"/>
          </w:divBdr>
        </w:div>
        <w:div w:id="1849755022">
          <w:marLeft w:val="1800"/>
          <w:marRight w:val="0"/>
          <w:marTop w:val="100"/>
          <w:marBottom w:val="0"/>
          <w:divBdr>
            <w:top w:val="none" w:sz="0" w:space="0" w:color="auto"/>
            <w:left w:val="none" w:sz="0" w:space="0" w:color="auto"/>
            <w:bottom w:val="none" w:sz="0" w:space="0" w:color="auto"/>
            <w:right w:val="none" w:sz="0" w:space="0" w:color="auto"/>
          </w:divBdr>
        </w:div>
      </w:divsChild>
    </w:div>
    <w:div w:id="1631201794">
      <w:bodyDiv w:val="1"/>
      <w:marLeft w:val="0"/>
      <w:marRight w:val="0"/>
      <w:marTop w:val="0"/>
      <w:marBottom w:val="0"/>
      <w:divBdr>
        <w:top w:val="none" w:sz="0" w:space="0" w:color="auto"/>
        <w:left w:val="none" w:sz="0" w:space="0" w:color="auto"/>
        <w:bottom w:val="none" w:sz="0" w:space="0" w:color="auto"/>
        <w:right w:val="none" w:sz="0" w:space="0" w:color="auto"/>
      </w:divBdr>
    </w:div>
    <w:div w:id="1631472567">
      <w:bodyDiv w:val="1"/>
      <w:marLeft w:val="0"/>
      <w:marRight w:val="0"/>
      <w:marTop w:val="0"/>
      <w:marBottom w:val="0"/>
      <w:divBdr>
        <w:top w:val="none" w:sz="0" w:space="0" w:color="auto"/>
        <w:left w:val="none" w:sz="0" w:space="0" w:color="auto"/>
        <w:bottom w:val="none" w:sz="0" w:space="0" w:color="auto"/>
        <w:right w:val="none" w:sz="0" w:space="0" w:color="auto"/>
      </w:divBdr>
    </w:div>
    <w:div w:id="1631596974">
      <w:bodyDiv w:val="1"/>
      <w:marLeft w:val="0"/>
      <w:marRight w:val="0"/>
      <w:marTop w:val="0"/>
      <w:marBottom w:val="0"/>
      <w:divBdr>
        <w:top w:val="none" w:sz="0" w:space="0" w:color="auto"/>
        <w:left w:val="none" w:sz="0" w:space="0" w:color="auto"/>
        <w:bottom w:val="none" w:sz="0" w:space="0" w:color="auto"/>
        <w:right w:val="none" w:sz="0" w:space="0" w:color="auto"/>
      </w:divBdr>
    </w:div>
    <w:div w:id="1631746491">
      <w:bodyDiv w:val="1"/>
      <w:marLeft w:val="0"/>
      <w:marRight w:val="0"/>
      <w:marTop w:val="0"/>
      <w:marBottom w:val="0"/>
      <w:divBdr>
        <w:top w:val="none" w:sz="0" w:space="0" w:color="auto"/>
        <w:left w:val="none" w:sz="0" w:space="0" w:color="auto"/>
        <w:bottom w:val="none" w:sz="0" w:space="0" w:color="auto"/>
        <w:right w:val="none" w:sz="0" w:space="0" w:color="auto"/>
      </w:divBdr>
    </w:div>
    <w:div w:id="1631781596">
      <w:bodyDiv w:val="1"/>
      <w:marLeft w:val="0"/>
      <w:marRight w:val="0"/>
      <w:marTop w:val="0"/>
      <w:marBottom w:val="0"/>
      <w:divBdr>
        <w:top w:val="none" w:sz="0" w:space="0" w:color="auto"/>
        <w:left w:val="none" w:sz="0" w:space="0" w:color="auto"/>
        <w:bottom w:val="none" w:sz="0" w:space="0" w:color="auto"/>
        <w:right w:val="none" w:sz="0" w:space="0" w:color="auto"/>
      </w:divBdr>
    </w:div>
    <w:div w:id="1632662966">
      <w:bodyDiv w:val="1"/>
      <w:marLeft w:val="0"/>
      <w:marRight w:val="0"/>
      <w:marTop w:val="0"/>
      <w:marBottom w:val="0"/>
      <w:divBdr>
        <w:top w:val="none" w:sz="0" w:space="0" w:color="auto"/>
        <w:left w:val="none" w:sz="0" w:space="0" w:color="auto"/>
        <w:bottom w:val="none" w:sz="0" w:space="0" w:color="auto"/>
        <w:right w:val="none" w:sz="0" w:space="0" w:color="auto"/>
      </w:divBdr>
    </w:div>
    <w:div w:id="1635672345">
      <w:bodyDiv w:val="1"/>
      <w:marLeft w:val="0"/>
      <w:marRight w:val="0"/>
      <w:marTop w:val="0"/>
      <w:marBottom w:val="0"/>
      <w:divBdr>
        <w:top w:val="none" w:sz="0" w:space="0" w:color="auto"/>
        <w:left w:val="none" w:sz="0" w:space="0" w:color="auto"/>
        <w:bottom w:val="none" w:sz="0" w:space="0" w:color="auto"/>
        <w:right w:val="none" w:sz="0" w:space="0" w:color="auto"/>
      </w:divBdr>
      <w:divsChild>
        <w:div w:id="858661392">
          <w:marLeft w:val="1800"/>
          <w:marRight w:val="0"/>
          <w:marTop w:val="115"/>
          <w:marBottom w:val="0"/>
          <w:divBdr>
            <w:top w:val="none" w:sz="0" w:space="0" w:color="auto"/>
            <w:left w:val="none" w:sz="0" w:space="0" w:color="auto"/>
            <w:bottom w:val="none" w:sz="0" w:space="0" w:color="auto"/>
            <w:right w:val="none" w:sz="0" w:space="0" w:color="auto"/>
          </w:divBdr>
        </w:div>
        <w:div w:id="1147431589">
          <w:marLeft w:val="2520"/>
          <w:marRight w:val="0"/>
          <w:marTop w:val="96"/>
          <w:marBottom w:val="0"/>
          <w:divBdr>
            <w:top w:val="none" w:sz="0" w:space="0" w:color="auto"/>
            <w:left w:val="none" w:sz="0" w:space="0" w:color="auto"/>
            <w:bottom w:val="none" w:sz="0" w:space="0" w:color="auto"/>
            <w:right w:val="none" w:sz="0" w:space="0" w:color="auto"/>
          </w:divBdr>
        </w:div>
        <w:div w:id="1204368500">
          <w:marLeft w:val="1800"/>
          <w:marRight w:val="0"/>
          <w:marTop w:val="115"/>
          <w:marBottom w:val="0"/>
          <w:divBdr>
            <w:top w:val="none" w:sz="0" w:space="0" w:color="auto"/>
            <w:left w:val="none" w:sz="0" w:space="0" w:color="auto"/>
            <w:bottom w:val="none" w:sz="0" w:space="0" w:color="auto"/>
            <w:right w:val="none" w:sz="0" w:space="0" w:color="auto"/>
          </w:divBdr>
        </w:div>
        <w:div w:id="1689794380">
          <w:marLeft w:val="1166"/>
          <w:marRight w:val="0"/>
          <w:marTop w:val="134"/>
          <w:marBottom w:val="0"/>
          <w:divBdr>
            <w:top w:val="none" w:sz="0" w:space="0" w:color="auto"/>
            <w:left w:val="none" w:sz="0" w:space="0" w:color="auto"/>
            <w:bottom w:val="none" w:sz="0" w:space="0" w:color="auto"/>
            <w:right w:val="none" w:sz="0" w:space="0" w:color="auto"/>
          </w:divBdr>
        </w:div>
      </w:divsChild>
    </w:div>
    <w:div w:id="1638993654">
      <w:bodyDiv w:val="1"/>
      <w:marLeft w:val="0"/>
      <w:marRight w:val="0"/>
      <w:marTop w:val="0"/>
      <w:marBottom w:val="0"/>
      <w:divBdr>
        <w:top w:val="none" w:sz="0" w:space="0" w:color="auto"/>
        <w:left w:val="none" w:sz="0" w:space="0" w:color="auto"/>
        <w:bottom w:val="none" w:sz="0" w:space="0" w:color="auto"/>
        <w:right w:val="none" w:sz="0" w:space="0" w:color="auto"/>
      </w:divBdr>
    </w:div>
    <w:div w:id="1639720561">
      <w:bodyDiv w:val="1"/>
      <w:marLeft w:val="0"/>
      <w:marRight w:val="0"/>
      <w:marTop w:val="0"/>
      <w:marBottom w:val="0"/>
      <w:divBdr>
        <w:top w:val="none" w:sz="0" w:space="0" w:color="auto"/>
        <w:left w:val="none" w:sz="0" w:space="0" w:color="auto"/>
        <w:bottom w:val="none" w:sz="0" w:space="0" w:color="auto"/>
        <w:right w:val="none" w:sz="0" w:space="0" w:color="auto"/>
      </w:divBdr>
    </w:div>
    <w:div w:id="1639917050">
      <w:bodyDiv w:val="1"/>
      <w:marLeft w:val="0"/>
      <w:marRight w:val="0"/>
      <w:marTop w:val="0"/>
      <w:marBottom w:val="0"/>
      <w:divBdr>
        <w:top w:val="none" w:sz="0" w:space="0" w:color="auto"/>
        <w:left w:val="none" w:sz="0" w:space="0" w:color="auto"/>
        <w:bottom w:val="none" w:sz="0" w:space="0" w:color="auto"/>
        <w:right w:val="none" w:sz="0" w:space="0" w:color="auto"/>
      </w:divBdr>
    </w:div>
    <w:div w:id="1640500667">
      <w:bodyDiv w:val="1"/>
      <w:marLeft w:val="0"/>
      <w:marRight w:val="0"/>
      <w:marTop w:val="0"/>
      <w:marBottom w:val="0"/>
      <w:divBdr>
        <w:top w:val="none" w:sz="0" w:space="0" w:color="auto"/>
        <w:left w:val="none" w:sz="0" w:space="0" w:color="auto"/>
        <w:bottom w:val="none" w:sz="0" w:space="0" w:color="auto"/>
        <w:right w:val="none" w:sz="0" w:space="0" w:color="auto"/>
      </w:divBdr>
    </w:div>
    <w:div w:id="1640577120">
      <w:bodyDiv w:val="1"/>
      <w:marLeft w:val="0"/>
      <w:marRight w:val="0"/>
      <w:marTop w:val="0"/>
      <w:marBottom w:val="0"/>
      <w:divBdr>
        <w:top w:val="none" w:sz="0" w:space="0" w:color="auto"/>
        <w:left w:val="none" w:sz="0" w:space="0" w:color="auto"/>
        <w:bottom w:val="none" w:sz="0" w:space="0" w:color="auto"/>
        <w:right w:val="none" w:sz="0" w:space="0" w:color="auto"/>
      </w:divBdr>
      <w:divsChild>
        <w:div w:id="762578412">
          <w:marLeft w:val="1166"/>
          <w:marRight w:val="0"/>
          <w:marTop w:val="86"/>
          <w:marBottom w:val="0"/>
          <w:divBdr>
            <w:top w:val="none" w:sz="0" w:space="0" w:color="auto"/>
            <w:left w:val="none" w:sz="0" w:space="0" w:color="auto"/>
            <w:bottom w:val="none" w:sz="0" w:space="0" w:color="auto"/>
            <w:right w:val="none" w:sz="0" w:space="0" w:color="auto"/>
          </w:divBdr>
        </w:div>
        <w:div w:id="868298211">
          <w:marLeft w:val="1166"/>
          <w:marRight w:val="0"/>
          <w:marTop w:val="86"/>
          <w:marBottom w:val="0"/>
          <w:divBdr>
            <w:top w:val="none" w:sz="0" w:space="0" w:color="auto"/>
            <w:left w:val="none" w:sz="0" w:space="0" w:color="auto"/>
            <w:bottom w:val="none" w:sz="0" w:space="0" w:color="auto"/>
            <w:right w:val="none" w:sz="0" w:space="0" w:color="auto"/>
          </w:divBdr>
        </w:div>
        <w:div w:id="894125861">
          <w:marLeft w:val="547"/>
          <w:marRight w:val="0"/>
          <w:marTop w:val="96"/>
          <w:marBottom w:val="0"/>
          <w:divBdr>
            <w:top w:val="none" w:sz="0" w:space="0" w:color="auto"/>
            <w:left w:val="none" w:sz="0" w:space="0" w:color="auto"/>
            <w:bottom w:val="none" w:sz="0" w:space="0" w:color="auto"/>
            <w:right w:val="none" w:sz="0" w:space="0" w:color="auto"/>
          </w:divBdr>
        </w:div>
        <w:div w:id="1262834467">
          <w:marLeft w:val="1166"/>
          <w:marRight w:val="0"/>
          <w:marTop w:val="86"/>
          <w:marBottom w:val="0"/>
          <w:divBdr>
            <w:top w:val="none" w:sz="0" w:space="0" w:color="auto"/>
            <w:left w:val="none" w:sz="0" w:space="0" w:color="auto"/>
            <w:bottom w:val="none" w:sz="0" w:space="0" w:color="auto"/>
            <w:right w:val="none" w:sz="0" w:space="0" w:color="auto"/>
          </w:divBdr>
        </w:div>
        <w:div w:id="1462647089">
          <w:marLeft w:val="1800"/>
          <w:marRight w:val="0"/>
          <w:marTop w:val="77"/>
          <w:marBottom w:val="0"/>
          <w:divBdr>
            <w:top w:val="none" w:sz="0" w:space="0" w:color="auto"/>
            <w:left w:val="none" w:sz="0" w:space="0" w:color="auto"/>
            <w:bottom w:val="none" w:sz="0" w:space="0" w:color="auto"/>
            <w:right w:val="none" w:sz="0" w:space="0" w:color="auto"/>
          </w:divBdr>
        </w:div>
        <w:div w:id="1553155737">
          <w:marLeft w:val="547"/>
          <w:marRight w:val="0"/>
          <w:marTop w:val="96"/>
          <w:marBottom w:val="0"/>
          <w:divBdr>
            <w:top w:val="none" w:sz="0" w:space="0" w:color="auto"/>
            <w:left w:val="none" w:sz="0" w:space="0" w:color="auto"/>
            <w:bottom w:val="none" w:sz="0" w:space="0" w:color="auto"/>
            <w:right w:val="none" w:sz="0" w:space="0" w:color="auto"/>
          </w:divBdr>
        </w:div>
        <w:div w:id="1583832892">
          <w:marLeft w:val="547"/>
          <w:marRight w:val="0"/>
          <w:marTop w:val="96"/>
          <w:marBottom w:val="0"/>
          <w:divBdr>
            <w:top w:val="none" w:sz="0" w:space="0" w:color="auto"/>
            <w:left w:val="none" w:sz="0" w:space="0" w:color="auto"/>
            <w:bottom w:val="none" w:sz="0" w:space="0" w:color="auto"/>
            <w:right w:val="none" w:sz="0" w:space="0" w:color="auto"/>
          </w:divBdr>
        </w:div>
      </w:divsChild>
    </w:div>
    <w:div w:id="1640647815">
      <w:bodyDiv w:val="1"/>
      <w:marLeft w:val="0"/>
      <w:marRight w:val="0"/>
      <w:marTop w:val="0"/>
      <w:marBottom w:val="0"/>
      <w:divBdr>
        <w:top w:val="none" w:sz="0" w:space="0" w:color="auto"/>
        <w:left w:val="none" w:sz="0" w:space="0" w:color="auto"/>
        <w:bottom w:val="none" w:sz="0" w:space="0" w:color="auto"/>
        <w:right w:val="none" w:sz="0" w:space="0" w:color="auto"/>
      </w:divBdr>
    </w:div>
    <w:div w:id="1640695635">
      <w:bodyDiv w:val="1"/>
      <w:marLeft w:val="0"/>
      <w:marRight w:val="0"/>
      <w:marTop w:val="0"/>
      <w:marBottom w:val="0"/>
      <w:divBdr>
        <w:top w:val="none" w:sz="0" w:space="0" w:color="auto"/>
        <w:left w:val="none" w:sz="0" w:space="0" w:color="auto"/>
        <w:bottom w:val="none" w:sz="0" w:space="0" w:color="auto"/>
        <w:right w:val="none" w:sz="0" w:space="0" w:color="auto"/>
      </w:divBdr>
    </w:div>
    <w:div w:id="1641109869">
      <w:bodyDiv w:val="1"/>
      <w:marLeft w:val="0"/>
      <w:marRight w:val="0"/>
      <w:marTop w:val="0"/>
      <w:marBottom w:val="0"/>
      <w:divBdr>
        <w:top w:val="none" w:sz="0" w:space="0" w:color="auto"/>
        <w:left w:val="none" w:sz="0" w:space="0" w:color="auto"/>
        <w:bottom w:val="none" w:sz="0" w:space="0" w:color="auto"/>
        <w:right w:val="none" w:sz="0" w:space="0" w:color="auto"/>
      </w:divBdr>
    </w:div>
    <w:div w:id="1641568794">
      <w:bodyDiv w:val="1"/>
      <w:marLeft w:val="0"/>
      <w:marRight w:val="0"/>
      <w:marTop w:val="0"/>
      <w:marBottom w:val="0"/>
      <w:divBdr>
        <w:top w:val="none" w:sz="0" w:space="0" w:color="auto"/>
        <w:left w:val="none" w:sz="0" w:space="0" w:color="auto"/>
        <w:bottom w:val="none" w:sz="0" w:space="0" w:color="auto"/>
        <w:right w:val="none" w:sz="0" w:space="0" w:color="auto"/>
      </w:divBdr>
    </w:div>
    <w:div w:id="1642071940">
      <w:bodyDiv w:val="1"/>
      <w:marLeft w:val="0"/>
      <w:marRight w:val="0"/>
      <w:marTop w:val="0"/>
      <w:marBottom w:val="0"/>
      <w:divBdr>
        <w:top w:val="none" w:sz="0" w:space="0" w:color="auto"/>
        <w:left w:val="none" w:sz="0" w:space="0" w:color="auto"/>
        <w:bottom w:val="none" w:sz="0" w:space="0" w:color="auto"/>
        <w:right w:val="none" w:sz="0" w:space="0" w:color="auto"/>
      </w:divBdr>
    </w:div>
    <w:div w:id="1642231242">
      <w:bodyDiv w:val="1"/>
      <w:marLeft w:val="0"/>
      <w:marRight w:val="0"/>
      <w:marTop w:val="0"/>
      <w:marBottom w:val="0"/>
      <w:divBdr>
        <w:top w:val="none" w:sz="0" w:space="0" w:color="auto"/>
        <w:left w:val="none" w:sz="0" w:space="0" w:color="auto"/>
        <w:bottom w:val="none" w:sz="0" w:space="0" w:color="auto"/>
        <w:right w:val="none" w:sz="0" w:space="0" w:color="auto"/>
      </w:divBdr>
    </w:div>
    <w:div w:id="1642419666">
      <w:bodyDiv w:val="1"/>
      <w:marLeft w:val="0"/>
      <w:marRight w:val="0"/>
      <w:marTop w:val="0"/>
      <w:marBottom w:val="0"/>
      <w:divBdr>
        <w:top w:val="none" w:sz="0" w:space="0" w:color="auto"/>
        <w:left w:val="none" w:sz="0" w:space="0" w:color="auto"/>
        <w:bottom w:val="none" w:sz="0" w:space="0" w:color="auto"/>
        <w:right w:val="none" w:sz="0" w:space="0" w:color="auto"/>
      </w:divBdr>
      <w:divsChild>
        <w:div w:id="603196920">
          <w:marLeft w:val="1166"/>
          <w:marRight w:val="0"/>
          <w:marTop w:val="115"/>
          <w:marBottom w:val="120"/>
          <w:divBdr>
            <w:top w:val="none" w:sz="0" w:space="0" w:color="auto"/>
            <w:left w:val="none" w:sz="0" w:space="0" w:color="auto"/>
            <w:bottom w:val="none" w:sz="0" w:space="0" w:color="auto"/>
            <w:right w:val="none" w:sz="0" w:space="0" w:color="auto"/>
          </w:divBdr>
        </w:div>
        <w:div w:id="722945300">
          <w:marLeft w:val="547"/>
          <w:marRight w:val="0"/>
          <w:marTop w:val="134"/>
          <w:marBottom w:val="120"/>
          <w:divBdr>
            <w:top w:val="none" w:sz="0" w:space="0" w:color="auto"/>
            <w:left w:val="none" w:sz="0" w:space="0" w:color="auto"/>
            <w:bottom w:val="none" w:sz="0" w:space="0" w:color="auto"/>
            <w:right w:val="none" w:sz="0" w:space="0" w:color="auto"/>
          </w:divBdr>
        </w:div>
        <w:div w:id="1291589289">
          <w:marLeft w:val="1166"/>
          <w:marRight w:val="0"/>
          <w:marTop w:val="115"/>
          <w:marBottom w:val="120"/>
          <w:divBdr>
            <w:top w:val="none" w:sz="0" w:space="0" w:color="auto"/>
            <w:left w:val="none" w:sz="0" w:space="0" w:color="auto"/>
            <w:bottom w:val="none" w:sz="0" w:space="0" w:color="auto"/>
            <w:right w:val="none" w:sz="0" w:space="0" w:color="auto"/>
          </w:divBdr>
        </w:div>
      </w:divsChild>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44852989">
      <w:bodyDiv w:val="1"/>
      <w:marLeft w:val="0"/>
      <w:marRight w:val="0"/>
      <w:marTop w:val="0"/>
      <w:marBottom w:val="0"/>
      <w:divBdr>
        <w:top w:val="none" w:sz="0" w:space="0" w:color="auto"/>
        <w:left w:val="none" w:sz="0" w:space="0" w:color="auto"/>
        <w:bottom w:val="none" w:sz="0" w:space="0" w:color="auto"/>
        <w:right w:val="none" w:sz="0" w:space="0" w:color="auto"/>
      </w:divBdr>
    </w:div>
    <w:div w:id="1645112972">
      <w:bodyDiv w:val="1"/>
      <w:marLeft w:val="0"/>
      <w:marRight w:val="0"/>
      <w:marTop w:val="0"/>
      <w:marBottom w:val="0"/>
      <w:divBdr>
        <w:top w:val="none" w:sz="0" w:space="0" w:color="auto"/>
        <w:left w:val="none" w:sz="0" w:space="0" w:color="auto"/>
        <w:bottom w:val="none" w:sz="0" w:space="0" w:color="auto"/>
        <w:right w:val="none" w:sz="0" w:space="0" w:color="auto"/>
      </w:divBdr>
    </w:div>
    <w:div w:id="1645159439">
      <w:bodyDiv w:val="1"/>
      <w:marLeft w:val="0"/>
      <w:marRight w:val="0"/>
      <w:marTop w:val="0"/>
      <w:marBottom w:val="0"/>
      <w:divBdr>
        <w:top w:val="none" w:sz="0" w:space="0" w:color="auto"/>
        <w:left w:val="none" w:sz="0" w:space="0" w:color="auto"/>
        <w:bottom w:val="none" w:sz="0" w:space="0" w:color="auto"/>
        <w:right w:val="none" w:sz="0" w:space="0" w:color="auto"/>
      </w:divBdr>
    </w:div>
    <w:div w:id="1645767738">
      <w:bodyDiv w:val="1"/>
      <w:marLeft w:val="0"/>
      <w:marRight w:val="0"/>
      <w:marTop w:val="0"/>
      <w:marBottom w:val="0"/>
      <w:divBdr>
        <w:top w:val="none" w:sz="0" w:space="0" w:color="auto"/>
        <w:left w:val="none" w:sz="0" w:space="0" w:color="auto"/>
        <w:bottom w:val="none" w:sz="0" w:space="0" w:color="auto"/>
        <w:right w:val="none" w:sz="0" w:space="0" w:color="auto"/>
      </w:divBdr>
      <w:divsChild>
        <w:div w:id="477576954">
          <w:marLeft w:val="1166"/>
          <w:marRight w:val="0"/>
          <w:marTop w:val="115"/>
          <w:marBottom w:val="0"/>
          <w:divBdr>
            <w:top w:val="none" w:sz="0" w:space="0" w:color="auto"/>
            <w:left w:val="none" w:sz="0" w:space="0" w:color="auto"/>
            <w:bottom w:val="none" w:sz="0" w:space="0" w:color="auto"/>
            <w:right w:val="none" w:sz="0" w:space="0" w:color="auto"/>
          </w:divBdr>
        </w:div>
        <w:div w:id="692149538">
          <w:marLeft w:val="547"/>
          <w:marRight w:val="0"/>
          <w:marTop w:val="134"/>
          <w:marBottom w:val="0"/>
          <w:divBdr>
            <w:top w:val="none" w:sz="0" w:space="0" w:color="auto"/>
            <w:left w:val="none" w:sz="0" w:space="0" w:color="auto"/>
            <w:bottom w:val="none" w:sz="0" w:space="0" w:color="auto"/>
            <w:right w:val="none" w:sz="0" w:space="0" w:color="auto"/>
          </w:divBdr>
        </w:div>
        <w:div w:id="783578303">
          <w:marLeft w:val="547"/>
          <w:marRight w:val="0"/>
          <w:marTop w:val="134"/>
          <w:marBottom w:val="0"/>
          <w:divBdr>
            <w:top w:val="none" w:sz="0" w:space="0" w:color="auto"/>
            <w:left w:val="none" w:sz="0" w:space="0" w:color="auto"/>
            <w:bottom w:val="none" w:sz="0" w:space="0" w:color="auto"/>
            <w:right w:val="none" w:sz="0" w:space="0" w:color="auto"/>
          </w:divBdr>
        </w:div>
        <w:div w:id="866676150">
          <w:marLeft w:val="1166"/>
          <w:marRight w:val="0"/>
          <w:marTop w:val="115"/>
          <w:marBottom w:val="0"/>
          <w:divBdr>
            <w:top w:val="none" w:sz="0" w:space="0" w:color="auto"/>
            <w:left w:val="none" w:sz="0" w:space="0" w:color="auto"/>
            <w:bottom w:val="none" w:sz="0" w:space="0" w:color="auto"/>
            <w:right w:val="none" w:sz="0" w:space="0" w:color="auto"/>
          </w:divBdr>
        </w:div>
        <w:div w:id="2017030249">
          <w:marLeft w:val="1166"/>
          <w:marRight w:val="0"/>
          <w:marTop w:val="115"/>
          <w:marBottom w:val="0"/>
          <w:divBdr>
            <w:top w:val="none" w:sz="0" w:space="0" w:color="auto"/>
            <w:left w:val="none" w:sz="0" w:space="0" w:color="auto"/>
            <w:bottom w:val="none" w:sz="0" w:space="0" w:color="auto"/>
            <w:right w:val="none" w:sz="0" w:space="0" w:color="auto"/>
          </w:divBdr>
        </w:div>
      </w:divsChild>
    </w:div>
    <w:div w:id="1645890029">
      <w:bodyDiv w:val="1"/>
      <w:marLeft w:val="0"/>
      <w:marRight w:val="0"/>
      <w:marTop w:val="0"/>
      <w:marBottom w:val="0"/>
      <w:divBdr>
        <w:top w:val="none" w:sz="0" w:space="0" w:color="auto"/>
        <w:left w:val="none" w:sz="0" w:space="0" w:color="auto"/>
        <w:bottom w:val="none" w:sz="0" w:space="0" w:color="auto"/>
        <w:right w:val="none" w:sz="0" w:space="0" w:color="auto"/>
      </w:divBdr>
    </w:div>
    <w:div w:id="1646467581">
      <w:bodyDiv w:val="1"/>
      <w:marLeft w:val="0"/>
      <w:marRight w:val="0"/>
      <w:marTop w:val="0"/>
      <w:marBottom w:val="0"/>
      <w:divBdr>
        <w:top w:val="none" w:sz="0" w:space="0" w:color="auto"/>
        <w:left w:val="none" w:sz="0" w:space="0" w:color="auto"/>
        <w:bottom w:val="none" w:sz="0" w:space="0" w:color="auto"/>
        <w:right w:val="none" w:sz="0" w:space="0" w:color="auto"/>
      </w:divBdr>
    </w:div>
    <w:div w:id="1648629965">
      <w:bodyDiv w:val="1"/>
      <w:marLeft w:val="0"/>
      <w:marRight w:val="0"/>
      <w:marTop w:val="0"/>
      <w:marBottom w:val="0"/>
      <w:divBdr>
        <w:top w:val="none" w:sz="0" w:space="0" w:color="auto"/>
        <w:left w:val="none" w:sz="0" w:space="0" w:color="auto"/>
        <w:bottom w:val="none" w:sz="0" w:space="0" w:color="auto"/>
        <w:right w:val="none" w:sz="0" w:space="0" w:color="auto"/>
      </w:divBdr>
    </w:div>
    <w:div w:id="1648824299">
      <w:bodyDiv w:val="1"/>
      <w:marLeft w:val="0"/>
      <w:marRight w:val="0"/>
      <w:marTop w:val="0"/>
      <w:marBottom w:val="0"/>
      <w:divBdr>
        <w:top w:val="none" w:sz="0" w:space="0" w:color="auto"/>
        <w:left w:val="none" w:sz="0" w:space="0" w:color="auto"/>
        <w:bottom w:val="none" w:sz="0" w:space="0" w:color="auto"/>
        <w:right w:val="none" w:sz="0" w:space="0" w:color="auto"/>
      </w:divBdr>
    </w:div>
    <w:div w:id="1649285424">
      <w:bodyDiv w:val="1"/>
      <w:marLeft w:val="0"/>
      <w:marRight w:val="0"/>
      <w:marTop w:val="0"/>
      <w:marBottom w:val="0"/>
      <w:divBdr>
        <w:top w:val="none" w:sz="0" w:space="0" w:color="auto"/>
        <w:left w:val="none" w:sz="0" w:space="0" w:color="auto"/>
        <w:bottom w:val="none" w:sz="0" w:space="0" w:color="auto"/>
        <w:right w:val="none" w:sz="0" w:space="0" w:color="auto"/>
      </w:divBdr>
    </w:div>
    <w:div w:id="1649624693">
      <w:bodyDiv w:val="1"/>
      <w:marLeft w:val="0"/>
      <w:marRight w:val="0"/>
      <w:marTop w:val="0"/>
      <w:marBottom w:val="0"/>
      <w:divBdr>
        <w:top w:val="none" w:sz="0" w:space="0" w:color="auto"/>
        <w:left w:val="none" w:sz="0" w:space="0" w:color="auto"/>
        <w:bottom w:val="none" w:sz="0" w:space="0" w:color="auto"/>
        <w:right w:val="none" w:sz="0" w:space="0" w:color="auto"/>
      </w:divBdr>
      <w:divsChild>
        <w:div w:id="45422417">
          <w:marLeft w:val="1166"/>
          <w:marRight w:val="0"/>
          <w:marTop w:val="67"/>
          <w:marBottom w:val="0"/>
          <w:divBdr>
            <w:top w:val="none" w:sz="0" w:space="0" w:color="auto"/>
            <w:left w:val="none" w:sz="0" w:space="0" w:color="auto"/>
            <w:bottom w:val="none" w:sz="0" w:space="0" w:color="auto"/>
            <w:right w:val="none" w:sz="0" w:space="0" w:color="auto"/>
          </w:divBdr>
        </w:div>
        <w:div w:id="135222179">
          <w:marLeft w:val="1166"/>
          <w:marRight w:val="0"/>
          <w:marTop w:val="67"/>
          <w:marBottom w:val="0"/>
          <w:divBdr>
            <w:top w:val="none" w:sz="0" w:space="0" w:color="auto"/>
            <w:left w:val="none" w:sz="0" w:space="0" w:color="auto"/>
            <w:bottom w:val="none" w:sz="0" w:space="0" w:color="auto"/>
            <w:right w:val="none" w:sz="0" w:space="0" w:color="auto"/>
          </w:divBdr>
        </w:div>
        <w:div w:id="162939973">
          <w:marLeft w:val="1166"/>
          <w:marRight w:val="0"/>
          <w:marTop w:val="67"/>
          <w:marBottom w:val="0"/>
          <w:divBdr>
            <w:top w:val="none" w:sz="0" w:space="0" w:color="auto"/>
            <w:left w:val="none" w:sz="0" w:space="0" w:color="auto"/>
            <w:bottom w:val="none" w:sz="0" w:space="0" w:color="auto"/>
            <w:right w:val="none" w:sz="0" w:space="0" w:color="auto"/>
          </w:divBdr>
        </w:div>
        <w:div w:id="368723224">
          <w:marLeft w:val="547"/>
          <w:marRight w:val="0"/>
          <w:marTop w:val="86"/>
          <w:marBottom w:val="0"/>
          <w:divBdr>
            <w:top w:val="none" w:sz="0" w:space="0" w:color="auto"/>
            <w:left w:val="none" w:sz="0" w:space="0" w:color="auto"/>
            <w:bottom w:val="none" w:sz="0" w:space="0" w:color="auto"/>
            <w:right w:val="none" w:sz="0" w:space="0" w:color="auto"/>
          </w:divBdr>
        </w:div>
        <w:div w:id="488326778">
          <w:marLeft w:val="1166"/>
          <w:marRight w:val="0"/>
          <w:marTop w:val="67"/>
          <w:marBottom w:val="0"/>
          <w:divBdr>
            <w:top w:val="none" w:sz="0" w:space="0" w:color="auto"/>
            <w:left w:val="none" w:sz="0" w:space="0" w:color="auto"/>
            <w:bottom w:val="none" w:sz="0" w:space="0" w:color="auto"/>
            <w:right w:val="none" w:sz="0" w:space="0" w:color="auto"/>
          </w:divBdr>
        </w:div>
        <w:div w:id="589388233">
          <w:marLeft w:val="1166"/>
          <w:marRight w:val="0"/>
          <w:marTop w:val="67"/>
          <w:marBottom w:val="0"/>
          <w:divBdr>
            <w:top w:val="none" w:sz="0" w:space="0" w:color="auto"/>
            <w:left w:val="none" w:sz="0" w:space="0" w:color="auto"/>
            <w:bottom w:val="none" w:sz="0" w:space="0" w:color="auto"/>
            <w:right w:val="none" w:sz="0" w:space="0" w:color="auto"/>
          </w:divBdr>
        </w:div>
        <w:div w:id="640964124">
          <w:marLeft w:val="547"/>
          <w:marRight w:val="0"/>
          <w:marTop w:val="86"/>
          <w:marBottom w:val="0"/>
          <w:divBdr>
            <w:top w:val="none" w:sz="0" w:space="0" w:color="auto"/>
            <w:left w:val="none" w:sz="0" w:space="0" w:color="auto"/>
            <w:bottom w:val="none" w:sz="0" w:space="0" w:color="auto"/>
            <w:right w:val="none" w:sz="0" w:space="0" w:color="auto"/>
          </w:divBdr>
        </w:div>
        <w:div w:id="877736958">
          <w:marLeft w:val="1166"/>
          <w:marRight w:val="0"/>
          <w:marTop w:val="67"/>
          <w:marBottom w:val="0"/>
          <w:divBdr>
            <w:top w:val="none" w:sz="0" w:space="0" w:color="auto"/>
            <w:left w:val="none" w:sz="0" w:space="0" w:color="auto"/>
            <w:bottom w:val="none" w:sz="0" w:space="0" w:color="auto"/>
            <w:right w:val="none" w:sz="0" w:space="0" w:color="auto"/>
          </w:divBdr>
        </w:div>
        <w:div w:id="917205939">
          <w:marLeft w:val="547"/>
          <w:marRight w:val="0"/>
          <w:marTop w:val="86"/>
          <w:marBottom w:val="0"/>
          <w:divBdr>
            <w:top w:val="none" w:sz="0" w:space="0" w:color="auto"/>
            <w:left w:val="none" w:sz="0" w:space="0" w:color="auto"/>
            <w:bottom w:val="none" w:sz="0" w:space="0" w:color="auto"/>
            <w:right w:val="none" w:sz="0" w:space="0" w:color="auto"/>
          </w:divBdr>
        </w:div>
        <w:div w:id="1339695172">
          <w:marLeft w:val="547"/>
          <w:marRight w:val="0"/>
          <w:marTop w:val="86"/>
          <w:marBottom w:val="0"/>
          <w:divBdr>
            <w:top w:val="none" w:sz="0" w:space="0" w:color="auto"/>
            <w:left w:val="none" w:sz="0" w:space="0" w:color="auto"/>
            <w:bottom w:val="none" w:sz="0" w:space="0" w:color="auto"/>
            <w:right w:val="none" w:sz="0" w:space="0" w:color="auto"/>
          </w:divBdr>
        </w:div>
        <w:div w:id="1499152175">
          <w:marLeft w:val="1166"/>
          <w:marRight w:val="0"/>
          <w:marTop w:val="67"/>
          <w:marBottom w:val="0"/>
          <w:divBdr>
            <w:top w:val="none" w:sz="0" w:space="0" w:color="auto"/>
            <w:left w:val="none" w:sz="0" w:space="0" w:color="auto"/>
            <w:bottom w:val="none" w:sz="0" w:space="0" w:color="auto"/>
            <w:right w:val="none" w:sz="0" w:space="0" w:color="auto"/>
          </w:divBdr>
        </w:div>
        <w:div w:id="1538279628">
          <w:marLeft w:val="547"/>
          <w:marRight w:val="0"/>
          <w:marTop w:val="86"/>
          <w:marBottom w:val="0"/>
          <w:divBdr>
            <w:top w:val="none" w:sz="0" w:space="0" w:color="auto"/>
            <w:left w:val="none" w:sz="0" w:space="0" w:color="auto"/>
            <w:bottom w:val="none" w:sz="0" w:space="0" w:color="auto"/>
            <w:right w:val="none" w:sz="0" w:space="0" w:color="auto"/>
          </w:divBdr>
        </w:div>
        <w:div w:id="1976061259">
          <w:marLeft w:val="1166"/>
          <w:marRight w:val="0"/>
          <w:marTop w:val="67"/>
          <w:marBottom w:val="0"/>
          <w:divBdr>
            <w:top w:val="none" w:sz="0" w:space="0" w:color="auto"/>
            <w:left w:val="none" w:sz="0" w:space="0" w:color="auto"/>
            <w:bottom w:val="none" w:sz="0" w:space="0" w:color="auto"/>
            <w:right w:val="none" w:sz="0" w:space="0" w:color="auto"/>
          </w:divBdr>
        </w:div>
        <w:div w:id="2137484986">
          <w:marLeft w:val="1166"/>
          <w:marRight w:val="0"/>
          <w:marTop w:val="67"/>
          <w:marBottom w:val="0"/>
          <w:divBdr>
            <w:top w:val="none" w:sz="0" w:space="0" w:color="auto"/>
            <w:left w:val="none" w:sz="0" w:space="0" w:color="auto"/>
            <w:bottom w:val="none" w:sz="0" w:space="0" w:color="auto"/>
            <w:right w:val="none" w:sz="0" w:space="0" w:color="auto"/>
          </w:divBdr>
        </w:div>
      </w:divsChild>
    </w:div>
    <w:div w:id="1649749837">
      <w:bodyDiv w:val="1"/>
      <w:marLeft w:val="0"/>
      <w:marRight w:val="0"/>
      <w:marTop w:val="0"/>
      <w:marBottom w:val="0"/>
      <w:divBdr>
        <w:top w:val="none" w:sz="0" w:space="0" w:color="auto"/>
        <w:left w:val="none" w:sz="0" w:space="0" w:color="auto"/>
        <w:bottom w:val="none" w:sz="0" w:space="0" w:color="auto"/>
        <w:right w:val="none" w:sz="0" w:space="0" w:color="auto"/>
      </w:divBdr>
      <w:divsChild>
        <w:div w:id="58673612">
          <w:marLeft w:val="2520"/>
          <w:marRight w:val="0"/>
          <w:marTop w:val="91"/>
          <w:marBottom w:val="0"/>
          <w:divBdr>
            <w:top w:val="none" w:sz="0" w:space="0" w:color="auto"/>
            <w:left w:val="none" w:sz="0" w:space="0" w:color="auto"/>
            <w:bottom w:val="none" w:sz="0" w:space="0" w:color="auto"/>
            <w:right w:val="none" w:sz="0" w:space="0" w:color="auto"/>
          </w:divBdr>
        </w:div>
        <w:div w:id="430899906">
          <w:marLeft w:val="547"/>
          <w:marRight w:val="0"/>
          <w:marTop w:val="106"/>
          <w:marBottom w:val="0"/>
          <w:divBdr>
            <w:top w:val="none" w:sz="0" w:space="0" w:color="auto"/>
            <w:left w:val="none" w:sz="0" w:space="0" w:color="auto"/>
            <w:bottom w:val="none" w:sz="0" w:space="0" w:color="auto"/>
            <w:right w:val="none" w:sz="0" w:space="0" w:color="auto"/>
          </w:divBdr>
        </w:div>
        <w:div w:id="753471569">
          <w:marLeft w:val="1166"/>
          <w:marRight w:val="0"/>
          <w:marTop w:val="106"/>
          <w:marBottom w:val="0"/>
          <w:divBdr>
            <w:top w:val="none" w:sz="0" w:space="0" w:color="auto"/>
            <w:left w:val="none" w:sz="0" w:space="0" w:color="auto"/>
            <w:bottom w:val="none" w:sz="0" w:space="0" w:color="auto"/>
            <w:right w:val="none" w:sz="0" w:space="0" w:color="auto"/>
          </w:divBdr>
        </w:div>
        <w:div w:id="900941177">
          <w:marLeft w:val="1800"/>
          <w:marRight w:val="0"/>
          <w:marTop w:val="106"/>
          <w:marBottom w:val="0"/>
          <w:divBdr>
            <w:top w:val="none" w:sz="0" w:space="0" w:color="auto"/>
            <w:left w:val="none" w:sz="0" w:space="0" w:color="auto"/>
            <w:bottom w:val="none" w:sz="0" w:space="0" w:color="auto"/>
            <w:right w:val="none" w:sz="0" w:space="0" w:color="auto"/>
          </w:divBdr>
        </w:div>
        <w:div w:id="903219612">
          <w:marLeft w:val="1800"/>
          <w:marRight w:val="0"/>
          <w:marTop w:val="106"/>
          <w:marBottom w:val="0"/>
          <w:divBdr>
            <w:top w:val="none" w:sz="0" w:space="0" w:color="auto"/>
            <w:left w:val="none" w:sz="0" w:space="0" w:color="auto"/>
            <w:bottom w:val="none" w:sz="0" w:space="0" w:color="auto"/>
            <w:right w:val="none" w:sz="0" w:space="0" w:color="auto"/>
          </w:divBdr>
        </w:div>
        <w:div w:id="1065955859">
          <w:marLeft w:val="1166"/>
          <w:marRight w:val="0"/>
          <w:marTop w:val="106"/>
          <w:marBottom w:val="0"/>
          <w:divBdr>
            <w:top w:val="none" w:sz="0" w:space="0" w:color="auto"/>
            <w:left w:val="none" w:sz="0" w:space="0" w:color="auto"/>
            <w:bottom w:val="none" w:sz="0" w:space="0" w:color="auto"/>
            <w:right w:val="none" w:sz="0" w:space="0" w:color="auto"/>
          </w:divBdr>
        </w:div>
        <w:div w:id="1447768317">
          <w:marLeft w:val="1800"/>
          <w:marRight w:val="0"/>
          <w:marTop w:val="106"/>
          <w:marBottom w:val="0"/>
          <w:divBdr>
            <w:top w:val="none" w:sz="0" w:space="0" w:color="auto"/>
            <w:left w:val="none" w:sz="0" w:space="0" w:color="auto"/>
            <w:bottom w:val="none" w:sz="0" w:space="0" w:color="auto"/>
            <w:right w:val="none" w:sz="0" w:space="0" w:color="auto"/>
          </w:divBdr>
        </w:div>
        <w:div w:id="1802570800">
          <w:marLeft w:val="1800"/>
          <w:marRight w:val="0"/>
          <w:marTop w:val="106"/>
          <w:marBottom w:val="0"/>
          <w:divBdr>
            <w:top w:val="none" w:sz="0" w:space="0" w:color="auto"/>
            <w:left w:val="none" w:sz="0" w:space="0" w:color="auto"/>
            <w:bottom w:val="none" w:sz="0" w:space="0" w:color="auto"/>
            <w:right w:val="none" w:sz="0" w:space="0" w:color="auto"/>
          </w:divBdr>
        </w:div>
        <w:div w:id="1805930615">
          <w:marLeft w:val="2520"/>
          <w:marRight w:val="0"/>
          <w:marTop w:val="91"/>
          <w:marBottom w:val="0"/>
          <w:divBdr>
            <w:top w:val="none" w:sz="0" w:space="0" w:color="auto"/>
            <w:left w:val="none" w:sz="0" w:space="0" w:color="auto"/>
            <w:bottom w:val="none" w:sz="0" w:space="0" w:color="auto"/>
            <w:right w:val="none" w:sz="0" w:space="0" w:color="auto"/>
          </w:divBdr>
        </w:div>
      </w:divsChild>
    </w:div>
    <w:div w:id="1650280785">
      <w:bodyDiv w:val="1"/>
      <w:marLeft w:val="0"/>
      <w:marRight w:val="0"/>
      <w:marTop w:val="0"/>
      <w:marBottom w:val="0"/>
      <w:divBdr>
        <w:top w:val="none" w:sz="0" w:space="0" w:color="auto"/>
        <w:left w:val="none" w:sz="0" w:space="0" w:color="auto"/>
        <w:bottom w:val="none" w:sz="0" w:space="0" w:color="auto"/>
        <w:right w:val="none" w:sz="0" w:space="0" w:color="auto"/>
      </w:divBdr>
    </w:div>
    <w:div w:id="1651906635">
      <w:bodyDiv w:val="1"/>
      <w:marLeft w:val="0"/>
      <w:marRight w:val="0"/>
      <w:marTop w:val="0"/>
      <w:marBottom w:val="0"/>
      <w:divBdr>
        <w:top w:val="none" w:sz="0" w:space="0" w:color="auto"/>
        <w:left w:val="none" w:sz="0" w:space="0" w:color="auto"/>
        <w:bottom w:val="none" w:sz="0" w:space="0" w:color="auto"/>
        <w:right w:val="none" w:sz="0" w:space="0" w:color="auto"/>
      </w:divBdr>
    </w:div>
    <w:div w:id="1652975435">
      <w:bodyDiv w:val="1"/>
      <w:marLeft w:val="0"/>
      <w:marRight w:val="0"/>
      <w:marTop w:val="0"/>
      <w:marBottom w:val="0"/>
      <w:divBdr>
        <w:top w:val="none" w:sz="0" w:space="0" w:color="auto"/>
        <w:left w:val="none" w:sz="0" w:space="0" w:color="auto"/>
        <w:bottom w:val="none" w:sz="0" w:space="0" w:color="auto"/>
        <w:right w:val="none" w:sz="0" w:space="0" w:color="auto"/>
      </w:divBdr>
    </w:div>
    <w:div w:id="1653410192">
      <w:bodyDiv w:val="1"/>
      <w:marLeft w:val="0"/>
      <w:marRight w:val="0"/>
      <w:marTop w:val="0"/>
      <w:marBottom w:val="0"/>
      <w:divBdr>
        <w:top w:val="none" w:sz="0" w:space="0" w:color="auto"/>
        <w:left w:val="none" w:sz="0" w:space="0" w:color="auto"/>
        <w:bottom w:val="none" w:sz="0" w:space="0" w:color="auto"/>
        <w:right w:val="none" w:sz="0" w:space="0" w:color="auto"/>
      </w:divBdr>
    </w:div>
    <w:div w:id="1653874644">
      <w:bodyDiv w:val="1"/>
      <w:marLeft w:val="0"/>
      <w:marRight w:val="0"/>
      <w:marTop w:val="0"/>
      <w:marBottom w:val="0"/>
      <w:divBdr>
        <w:top w:val="none" w:sz="0" w:space="0" w:color="auto"/>
        <w:left w:val="none" w:sz="0" w:space="0" w:color="auto"/>
        <w:bottom w:val="none" w:sz="0" w:space="0" w:color="auto"/>
        <w:right w:val="none" w:sz="0" w:space="0" w:color="auto"/>
      </w:divBdr>
    </w:div>
    <w:div w:id="1655599238">
      <w:bodyDiv w:val="1"/>
      <w:marLeft w:val="0"/>
      <w:marRight w:val="0"/>
      <w:marTop w:val="0"/>
      <w:marBottom w:val="0"/>
      <w:divBdr>
        <w:top w:val="none" w:sz="0" w:space="0" w:color="auto"/>
        <w:left w:val="none" w:sz="0" w:space="0" w:color="auto"/>
        <w:bottom w:val="none" w:sz="0" w:space="0" w:color="auto"/>
        <w:right w:val="none" w:sz="0" w:space="0" w:color="auto"/>
      </w:divBdr>
    </w:div>
    <w:div w:id="1656762797">
      <w:bodyDiv w:val="1"/>
      <w:marLeft w:val="0"/>
      <w:marRight w:val="0"/>
      <w:marTop w:val="0"/>
      <w:marBottom w:val="0"/>
      <w:divBdr>
        <w:top w:val="none" w:sz="0" w:space="0" w:color="auto"/>
        <w:left w:val="none" w:sz="0" w:space="0" w:color="auto"/>
        <w:bottom w:val="none" w:sz="0" w:space="0" w:color="auto"/>
        <w:right w:val="none" w:sz="0" w:space="0" w:color="auto"/>
      </w:divBdr>
      <w:divsChild>
        <w:div w:id="619994063">
          <w:marLeft w:val="1166"/>
          <w:marRight w:val="0"/>
          <w:marTop w:val="173"/>
          <w:marBottom w:val="0"/>
          <w:divBdr>
            <w:top w:val="none" w:sz="0" w:space="0" w:color="auto"/>
            <w:left w:val="none" w:sz="0" w:space="0" w:color="auto"/>
            <w:bottom w:val="none" w:sz="0" w:space="0" w:color="auto"/>
            <w:right w:val="none" w:sz="0" w:space="0" w:color="auto"/>
          </w:divBdr>
        </w:div>
        <w:div w:id="1881356397">
          <w:marLeft w:val="547"/>
          <w:marRight w:val="0"/>
          <w:marTop w:val="192"/>
          <w:marBottom w:val="0"/>
          <w:divBdr>
            <w:top w:val="none" w:sz="0" w:space="0" w:color="auto"/>
            <w:left w:val="none" w:sz="0" w:space="0" w:color="auto"/>
            <w:bottom w:val="none" w:sz="0" w:space="0" w:color="auto"/>
            <w:right w:val="none" w:sz="0" w:space="0" w:color="auto"/>
          </w:divBdr>
        </w:div>
        <w:div w:id="1950891295">
          <w:marLeft w:val="1166"/>
          <w:marRight w:val="0"/>
          <w:marTop w:val="173"/>
          <w:marBottom w:val="0"/>
          <w:divBdr>
            <w:top w:val="none" w:sz="0" w:space="0" w:color="auto"/>
            <w:left w:val="none" w:sz="0" w:space="0" w:color="auto"/>
            <w:bottom w:val="none" w:sz="0" w:space="0" w:color="auto"/>
            <w:right w:val="none" w:sz="0" w:space="0" w:color="auto"/>
          </w:divBdr>
        </w:div>
      </w:divsChild>
    </w:div>
    <w:div w:id="1656913238">
      <w:bodyDiv w:val="1"/>
      <w:marLeft w:val="0"/>
      <w:marRight w:val="0"/>
      <w:marTop w:val="0"/>
      <w:marBottom w:val="0"/>
      <w:divBdr>
        <w:top w:val="none" w:sz="0" w:space="0" w:color="auto"/>
        <w:left w:val="none" w:sz="0" w:space="0" w:color="auto"/>
        <w:bottom w:val="none" w:sz="0" w:space="0" w:color="auto"/>
        <w:right w:val="none" w:sz="0" w:space="0" w:color="auto"/>
      </w:divBdr>
    </w:div>
    <w:div w:id="1657033564">
      <w:bodyDiv w:val="1"/>
      <w:marLeft w:val="0"/>
      <w:marRight w:val="0"/>
      <w:marTop w:val="0"/>
      <w:marBottom w:val="0"/>
      <w:divBdr>
        <w:top w:val="none" w:sz="0" w:space="0" w:color="auto"/>
        <w:left w:val="none" w:sz="0" w:space="0" w:color="auto"/>
        <w:bottom w:val="none" w:sz="0" w:space="0" w:color="auto"/>
        <w:right w:val="none" w:sz="0" w:space="0" w:color="auto"/>
      </w:divBdr>
    </w:div>
    <w:div w:id="1657101079">
      <w:bodyDiv w:val="1"/>
      <w:marLeft w:val="0"/>
      <w:marRight w:val="0"/>
      <w:marTop w:val="0"/>
      <w:marBottom w:val="0"/>
      <w:divBdr>
        <w:top w:val="none" w:sz="0" w:space="0" w:color="auto"/>
        <w:left w:val="none" w:sz="0" w:space="0" w:color="auto"/>
        <w:bottom w:val="none" w:sz="0" w:space="0" w:color="auto"/>
        <w:right w:val="none" w:sz="0" w:space="0" w:color="auto"/>
      </w:divBdr>
    </w:div>
    <w:div w:id="1657227408">
      <w:bodyDiv w:val="1"/>
      <w:marLeft w:val="0"/>
      <w:marRight w:val="0"/>
      <w:marTop w:val="0"/>
      <w:marBottom w:val="0"/>
      <w:divBdr>
        <w:top w:val="none" w:sz="0" w:space="0" w:color="auto"/>
        <w:left w:val="none" w:sz="0" w:space="0" w:color="auto"/>
        <w:bottom w:val="none" w:sz="0" w:space="0" w:color="auto"/>
        <w:right w:val="none" w:sz="0" w:space="0" w:color="auto"/>
      </w:divBdr>
      <w:divsChild>
        <w:div w:id="222103256">
          <w:marLeft w:val="1800"/>
          <w:marRight w:val="0"/>
          <w:marTop w:val="120"/>
          <w:marBottom w:val="120"/>
          <w:divBdr>
            <w:top w:val="none" w:sz="0" w:space="0" w:color="auto"/>
            <w:left w:val="none" w:sz="0" w:space="0" w:color="auto"/>
            <w:bottom w:val="none" w:sz="0" w:space="0" w:color="auto"/>
            <w:right w:val="none" w:sz="0" w:space="0" w:color="auto"/>
          </w:divBdr>
        </w:div>
        <w:div w:id="267659009">
          <w:marLeft w:val="1800"/>
          <w:marRight w:val="0"/>
          <w:marTop w:val="120"/>
          <w:marBottom w:val="120"/>
          <w:divBdr>
            <w:top w:val="none" w:sz="0" w:space="0" w:color="auto"/>
            <w:left w:val="none" w:sz="0" w:space="0" w:color="auto"/>
            <w:bottom w:val="none" w:sz="0" w:space="0" w:color="auto"/>
            <w:right w:val="none" w:sz="0" w:space="0" w:color="auto"/>
          </w:divBdr>
        </w:div>
        <w:div w:id="1117875864">
          <w:marLeft w:val="1800"/>
          <w:marRight w:val="0"/>
          <w:marTop w:val="120"/>
          <w:marBottom w:val="120"/>
          <w:divBdr>
            <w:top w:val="none" w:sz="0" w:space="0" w:color="auto"/>
            <w:left w:val="none" w:sz="0" w:space="0" w:color="auto"/>
            <w:bottom w:val="none" w:sz="0" w:space="0" w:color="auto"/>
            <w:right w:val="none" w:sz="0" w:space="0" w:color="auto"/>
          </w:divBdr>
        </w:div>
        <w:div w:id="1399013325">
          <w:marLeft w:val="1166"/>
          <w:marRight w:val="0"/>
          <w:marTop w:val="96"/>
          <w:marBottom w:val="0"/>
          <w:divBdr>
            <w:top w:val="none" w:sz="0" w:space="0" w:color="auto"/>
            <w:left w:val="none" w:sz="0" w:space="0" w:color="auto"/>
            <w:bottom w:val="none" w:sz="0" w:space="0" w:color="auto"/>
            <w:right w:val="none" w:sz="0" w:space="0" w:color="auto"/>
          </w:divBdr>
        </w:div>
        <w:div w:id="1542012855">
          <w:marLeft w:val="1800"/>
          <w:marRight w:val="0"/>
          <w:marTop w:val="120"/>
          <w:marBottom w:val="120"/>
          <w:divBdr>
            <w:top w:val="none" w:sz="0" w:space="0" w:color="auto"/>
            <w:left w:val="none" w:sz="0" w:space="0" w:color="auto"/>
            <w:bottom w:val="none" w:sz="0" w:space="0" w:color="auto"/>
            <w:right w:val="none" w:sz="0" w:space="0" w:color="auto"/>
          </w:divBdr>
        </w:div>
        <w:div w:id="1574965831">
          <w:marLeft w:val="547"/>
          <w:marRight w:val="0"/>
          <w:marTop w:val="115"/>
          <w:marBottom w:val="0"/>
          <w:divBdr>
            <w:top w:val="none" w:sz="0" w:space="0" w:color="auto"/>
            <w:left w:val="none" w:sz="0" w:space="0" w:color="auto"/>
            <w:bottom w:val="none" w:sz="0" w:space="0" w:color="auto"/>
            <w:right w:val="none" w:sz="0" w:space="0" w:color="auto"/>
          </w:divBdr>
        </w:div>
      </w:divsChild>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58994964">
      <w:bodyDiv w:val="1"/>
      <w:marLeft w:val="0"/>
      <w:marRight w:val="0"/>
      <w:marTop w:val="0"/>
      <w:marBottom w:val="0"/>
      <w:divBdr>
        <w:top w:val="none" w:sz="0" w:space="0" w:color="auto"/>
        <w:left w:val="none" w:sz="0" w:space="0" w:color="auto"/>
        <w:bottom w:val="none" w:sz="0" w:space="0" w:color="auto"/>
        <w:right w:val="none" w:sz="0" w:space="0" w:color="auto"/>
      </w:divBdr>
    </w:div>
    <w:div w:id="1659110650">
      <w:bodyDiv w:val="1"/>
      <w:marLeft w:val="0"/>
      <w:marRight w:val="0"/>
      <w:marTop w:val="0"/>
      <w:marBottom w:val="0"/>
      <w:divBdr>
        <w:top w:val="none" w:sz="0" w:space="0" w:color="auto"/>
        <w:left w:val="none" w:sz="0" w:space="0" w:color="auto"/>
        <w:bottom w:val="none" w:sz="0" w:space="0" w:color="auto"/>
        <w:right w:val="none" w:sz="0" w:space="0" w:color="auto"/>
      </w:divBdr>
      <w:divsChild>
        <w:div w:id="693463189">
          <w:marLeft w:val="547"/>
          <w:marRight w:val="0"/>
          <w:marTop w:val="134"/>
          <w:marBottom w:val="0"/>
          <w:divBdr>
            <w:top w:val="none" w:sz="0" w:space="0" w:color="auto"/>
            <w:left w:val="none" w:sz="0" w:space="0" w:color="auto"/>
            <w:bottom w:val="none" w:sz="0" w:space="0" w:color="auto"/>
            <w:right w:val="none" w:sz="0" w:space="0" w:color="auto"/>
          </w:divBdr>
        </w:div>
        <w:div w:id="1086725028">
          <w:marLeft w:val="547"/>
          <w:marRight w:val="0"/>
          <w:marTop w:val="134"/>
          <w:marBottom w:val="0"/>
          <w:divBdr>
            <w:top w:val="none" w:sz="0" w:space="0" w:color="auto"/>
            <w:left w:val="none" w:sz="0" w:space="0" w:color="auto"/>
            <w:bottom w:val="none" w:sz="0" w:space="0" w:color="auto"/>
            <w:right w:val="none" w:sz="0" w:space="0" w:color="auto"/>
          </w:divBdr>
        </w:div>
        <w:div w:id="1117993573">
          <w:marLeft w:val="1166"/>
          <w:marRight w:val="0"/>
          <w:marTop w:val="115"/>
          <w:marBottom w:val="0"/>
          <w:divBdr>
            <w:top w:val="none" w:sz="0" w:space="0" w:color="auto"/>
            <w:left w:val="none" w:sz="0" w:space="0" w:color="auto"/>
            <w:bottom w:val="none" w:sz="0" w:space="0" w:color="auto"/>
            <w:right w:val="none" w:sz="0" w:space="0" w:color="auto"/>
          </w:divBdr>
        </w:div>
        <w:div w:id="1248073485">
          <w:marLeft w:val="1166"/>
          <w:marRight w:val="0"/>
          <w:marTop w:val="115"/>
          <w:marBottom w:val="0"/>
          <w:divBdr>
            <w:top w:val="none" w:sz="0" w:space="0" w:color="auto"/>
            <w:left w:val="none" w:sz="0" w:space="0" w:color="auto"/>
            <w:bottom w:val="none" w:sz="0" w:space="0" w:color="auto"/>
            <w:right w:val="none" w:sz="0" w:space="0" w:color="auto"/>
          </w:divBdr>
        </w:div>
        <w:div w:id="1646007005">
          <w:marLeft w:val="1166"/>
          <w:marRight w:val="0"/>
          <w:marTop w:val="115"/>
          <w:marBottom w:val="0"/>
          <w:divBdr>
            <w:top w:val="none" w:sz="0" w:space="0" w:color="auto"/>
            <w:left w:val="none" w:sz="0" w:space="0" w:color="auto"/>
            <w:bottom w:val="none" w:sz="0" w:space="0" w:color="auto"/>
            <w:right w:val="none" w:sz="0" w:space="0" w:color="auto"/>
          </w:divBdr>
        </w:div>
        <w:div w:id="1749040029">
          <w:marLeft w:val="1166"/>
          <w:marRight w:val="0"/>
          <w:marTop w:val="115"/>
          <w:marBottom w:val="0"/>
          <w:divBdr>
            <w:top w:val="none" w:sz="0" w:space="0" w:color="auto"/>
            <w:left w:val="none" w:sz="0" w:space="0" w:color="auto"/>
            <w:bottom w:val="none" w:sz="0" w:space="0" w:color="auto"/>
            <w:right w:val="none" w:sz="0" w:space="0" w:color="auto"/>
          </w:divBdr>
        </w:div>
      </w:divsChild>
    </w:div>
    <w:div w:id="1660502148">
      <w:bodyDiv w:val="1"/>
      <w:marLeft w:val="0"/>
      <w:marRight w:val="0"/>
      <w:marTop w:val="0"/>
      <w:marBottom w:val="0"/>
      <w:divBdr>
        <w:top w:val="none" w:sz="0" w:space="0" w:color="auto"/>
        <w:left w:val="none" w:sz="0" w:space="0" w:color="auto"/>
        <w:bottom w:val="none" w:sz="0" w:space="0" w:color="auto"/>
        <w:right w:val="none" w:sz="0" w:space="0" w:color="auto"/>
      </w:divBdr>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695848">
      <w:bodyDiv w:val="1"/>
      <w:marLeft w:val="0"/>
      <w:marRight w:val="0"/>
      <w:marTop w:val="0"/>
      <w:marBottom w:val="0"/>
      <w:divBdr>
        <w:top w:val="none" w:sz="0" w:space="0" w:color="auto"/>
        <w:left w:val="none" w:sz="0" w:space="0" w:color="auto"/>
        <w:bottom w:val="none" w:sz="0" w:space="0" w:color="auto"/>
        <w:right w:val="none" w:sz="0" w:space="0" w:color="auto"/>
      </w:divBdr>
    </w:div>
    <w:div w:id="1662150724">
      <w:bodyDiv w:val="1"/>
      <w:marLeft w:val="0"/>
      <w:marRight w:val="0"/>
      <w:marTop w:val="0"/>
      <w:marBottom w:val="0"/>
      <w:divBdr>
        <w:top w:val="none" w:sz="0" w:space="0" w:color="auto"/>
        <w:left w:val="none" w:sz="0" w:space="0" w:color="auto"/>
        <w:bottom w:val="none" w:sz="0" w:space="0" w:color="auto"/>
        <w:right w:val="none" w:sz="0" w:space="0" w:color="auto"/>
      </w:divBdr>
    </w:div>
    <w:div w:id="1663578010">
      <w:bodyDiv w:val="1"/>
      <w:marLeft w:val="0"/>
      <w:marRight w:val="0"/>
      <w:marTop w:val="0"/>
      <w:marBottom w:val="0"/>
      <w:divBdr>
        <w:top w:val="none" w:sz="0" w:space="0" w:color="auto"/>
        <w:left w:val="none" w:sz="0" w:space="0" w:color="auto"/>
        <w:bottom w:val="none" w:sz="0" w:space="0" w:color="auto"/>
        <w:right w:val="none" w:sz="0" w:space="0" w:color="auto"/>
      </w:divBdr>
    </w:div>
    <w:div w:id="1666082701">
      <w:bodyDiv w:val="1"/>
      <w:marLeft w:val="0"/>
      <w:marRight w:val="0"/>
      <w:marTop w:val="0"/>
      <w:marBottom w:val="0"/>
      <w:divBdr>
        <w:top w:val="none" w:sz="0" w:space="0" w:color="auto"/>
        <w:left w:val="none" w:sz="0" w:space="0" w:color="auto"/>
        <w:bottom w:val="none" w:sz="0" w:space="0" w:color="auto"/>
        <w:right w:val="none" w:sz="0" w:space="0" w:color="auto"/>
      </w:divBdr>
    </w:div>
    <w:div w:id="1666325837">
      <w:bodyDiv w:val="1"/>
      <w:marLeft w:val="0"/>
      <w:marRight w:val="0"/>
      <w:marTop w:val="0"/>
      <w:marBottom w:val="0"/>
      <w:divBdr>
        <w:top w:val="none" w:sz="0" w:space="0" w:color="auto"/>
        <w:left w:val="none" w:sz="0" w:space="0" w:color="auto"/>
        <w:bottom w:val="none" w:sz="0" w:space="0" w:color="auto"/>
        <w:right w:val="none" w:sz="0" w:space="0" w:color="auto"/>
      </w:divBdr>
    </w:div>
    <w:div w:id="1666863722">
      <w:bodyDiv w:val="1"/>
      <w:marLeft w:val="0"/>
      <w:marRight w:val="0"/>
      <w:marTop w:val="0"/>
      <w:marBottom w:val="0"/>
      <w:divBdr>
        <w:top w:val="none" w:sz="0" w:space="0" w:color="auto"/>
        <w:left w:val="none" w:sz="0" w:space="0" w:color="auto"/>
        <w:bottom w:val="none" w:sz="0" w:space="0" w:color="auto"/>
        <w:right w:val="none" w:sz="0" w:space="0" w:color="auto"/>
      </w:divBdr>
    </w:div>
    <w:div w:id="1667896057">
      <w:bodyDiv w:val="1"/>
      <w:marLeft w:val="0"/>
      <w:marRight w:val="0"/>
      <w:marTop w:val="0"/>
      <w:marBottom w:val="0"/>
      <w:divBdr>
        <w:top w:val="none" w:sz="0" w:space="0" w:color="auto"/>
        <w:left w:val="none" w:sz="0" w:space="0" w:color="auto"/>
        <w:bottom w:val="none" w:sz="0" w:space="0" w:color="auto"/>
        <w:right w:val="none" w:sz="0" w:space="0" w:color="auto"/>
      </w:divBdr>
    </w:div>
    <w:div w:id="1668290729">
      <w:bodyDiv w:val="1"/>
      <w:marLeft w:val="0"/>
      <w:marRight w:val="0"/>
      <w:marTop w:val="0"/>
      <w:marBottom w:val="0"/>
      <w:divBdr>
        <w:top w:val="none" w:sz="0" w:space="0" w:color="auto"/>
        <w:left w:val="none" w:sz="0" w:space="0" w:color="auto"/>
        <w:bottom w:val="none" w:sz="0" w:space="0" w:color="auto"/>
        <w:right w:val="none" w:sz="0" w:space="0" w:color="auto"/>
      </w:divBdr>
    </w:div>
    <w:div w:id="1668752963">
      <w:bodyDiv w:val="1"/>
      <w:marLeft w:val="0"/>
      <w:marRight w:val="0"/>
      <w:marTop w:val="0"/>
      <w:marBottom w:val="0"/>
      <w:divBdr>
        <w:top w:val="none" w:sz="0" w:space="0" w:color="auto"/>
        <w:left w:val="none" w:sz="0" w:space="0" w:color="auto"/>
        <w:bottom w:val="none" w:sz="0" w:space="0" w:color="auto"/>
        <w:right w:val="none" w:sz="0" w:space="0" w:color="auto"/>
      </w:divBdr>
    </w:div>
    <w:div w:id="1668820665">
      <w:bodyDiv w:val="1"/>
      <w:marLeft w:val="0"/>
      <w:marRight w:val="0"/>
      <w:marTop w:val="0"/>
      <w:marBottom w:val="0"/>
      <w:divBdr>
        <w:top w:val="none" w:sz="0" w:space="0" w:color="auto"/>
        <w:left w:val="none" w:sz="0" w:space="0" w:color="auto"/>
        <w:bottom w:val="none" w:sz="0" w:space="0" w:color="auto"/>
        <w:right w:val="none" w:sz="0" w:space="0" w:color="auto"/>
      </w:divBdr>
    </w:div>
    <w:div w:id="1668823892">
      <w:bodyDiv w:val="1"/>
      <w:marLeft w:val="0"/>
      <w:marRight w:val="0"/>
      <w:marTop w:val="0"/>
      <w:marBottom w:val="0"/>
      <w:divBdr>
        <w:top w:val="none" w:sz="0" w:space="0" w:color="auto"/>
        <w:left w:val="none" w:sz="0" w:space="0" w:color="auto"/>
        <w:bottom w:val="none" w:sz="0" w:space="0" w:color="auto"/>
        <w:right w:val="none" w:sz="0" w:space="0" w:color="auto"/>
      </w:divBdr>
    </w:div>
    <w:div w:id="1670018321">
      <w:bodyDiv w:val="1"/>
      <w:marLeft w:val="0"/>
      <w:marRight w:val="0"/>
      <w:marTop w:val="0"/>
      <w:marBottom w:val="0"/>
      <w:divBdr>
        <w:top w:val="none" w:sz="0" w:space="0" w:color="auto"/>
        <w:left w:val="none" w:sz="0" w:space="0" w:color="auto"/>
        <w:bottom w:val="none" w:sz="0" w:space="0" w:color="auto"/>
        <w:right w:val="none" w:sz="0" w:space="0" w:color="auto"/>
      </w:divBdr>
    </w:div>
    <w:div w:id="1670212573">
      <w:bodyDiv w:val="1"/>
      <w:marLeft w:val="0"/>
      <w:marRight w:val="0"/>
      <w:marTop w:val="0"/>
      <w:marBottom w:val="0"/>
      <w:divBdr>
        <w:top w:val="none" w:sz="0" w:space="0" w:color="auto"/>
        <w:left w:val="none" w:sz="0" w:space="0" w:color="auto"/>
        <w:bottom w:val="none" w:sz="0" w:space="0" w:color="auto"/>
        <w:right w:val="none" w:sz="0" w:space="0" w:color="auto"/>
      </w:divBdr>
    </w:div>
    <w:div w:id="1671985749">
      <w:bodyDiv w:val="1"/>
      <w:marLeft w:val="0"/>
      <w:marRight w:val="0"/>
      <w:marTop w:val="0"/>
      <w:marBottom w:val="0"/>
      <w:divBdr>
        <w:top w:val="none" w:sz="0" w:space="0" w:color="auto"/>
        <w:left w:val="none" w:sz="0" w:space="0" w:color="auto"/>
        <w:bottom w:val="none" w:sz="0" w:space="0" w:color="auto"/>
        <w:right w:val="none" w:sz="0" w:space="0" w:color="auto"/>
      </w:divBdr>
      <w:divsChild>
        <w:div w:id="178202175">
          <w:marLeft w:val="547"/>
          <w:marRight w:val="0"/>
          <w:marTop w:val="115"/>
          <w:marBottom w:val="0"/>
          <w:divBdr>
            <w:top w:val="none" w:sz="0" w:space="0" w:color="auto"/>
            <w:left w:val="none" w:sz="0" w:space="0" w:color="auto"/>
            <w:bottom w:val="none" w:sz="0" w:space="0" w:color="auto"/>
            <w:right w:val="none" w:sz="0" w:space="0" w:color="auto"/>
          </w:divBdr>
        </w:div>
        <w:div w:id="408041703">
          <w:marLeft w:val="1166"/>
          <w:marRight w:val="0"/>
          <w:marTop w:val="86"/>
          <w:marBottom w:val="0"/>
          <w:divBdr>
            <w:top w:val="none" w:sz="0" w:space="0" w:color="auto"/>
            <w:left w:val="none" w:sz="0" w:space="0" w:color="auto"/>
            <w:bottom w:val="none" w:sz="0" w:space="0" w:color="auto"/>
            <w:right w:val="none" w:sz="0" w:space="0" w:color="auto"/>
          </w:divBdr>
        </w:div>
        <w:div w:id="2126463557">
          <w:marLeft w:val="1166"/>
          <w:marRight w:val="0"/>
          <w:marTop w:val="86"/>
          <w:marBottom w:val="0"/>
          <w:divBdr>
            <w:top w:val="none" w:sz="0" w:space="0" w:color="auto"/>
            <w:left w:val="none" w:sz="0" w:space="0" w:color="auto"/>
            <w:bottom w:val="none" w:sz="0" w:space="0" w:color="auto"/>
            <w:right w:val="none" w:sz="0" w:space="0" w:color="auto"/>
          </w:divBdr>
        </w:div>
      </w:divsChild>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75495687">
      <w:bodyDiv w:val="1"/>
      <w:marLeft w:val="0"/>
      <w:marRight w:val="0"/>
      <w:marTop w:val="0"/>
      <w:marBottom w:val="0"/>
      <w:divBdr>
        <w:top w:val="none" w:sz="0" w:space="0" w:color="auto"/>
        <w:left w:val="none" w:sz="0" w:space="0" w:color="auto"/>
        <w:bottom w:val="none" w:sz="0" w:space="0" w:color="auto"/>
        <w:right w:val="none" w:sz="0" w:space="0" w:color="auto"/>
      </w:divBdr>
    </w:div>
    <w:div w:id="1676348216">
      <w:bodyDiv w:val="1"/>
      <w:marLeft w:val="0"/>
      <w:marRight w:val="0"/>
      <w:marTop w:val="0"/>
      <w:marBottom w:val="0"/>
      <w:divBdr>
        <w:top w:val="none" w:sz="0" w:space="0" w:color="auto"/>
        <w:left w:val="none" w:sz="0" w:space="0" w:color="auto"/>
        <w:bottom w:val="none" w:sz="0" w:space="0" w:color="auto"/>
        <w:right w:val="none" w:sz="0" w:space="0" w:color="auto"/>
      </w:divBdr>
    </w:div>
    <w:div w:id="1676877411">
      <w:bodyDiv w:val="1"/>
      <w:marLeft w:val="0"/>
      <w:marRight w:val="0"/>
      <w:marTop w:val="0"/>
      <w:marBottom w:val="0"/>
      <w:divBdr>
        <w:top w:val="none" w:sz="0" w:space="0" w:color="auto"/>
        <w:left w:val="none" w:sz="0" w:space="0" w:color="auto"/>
        <w:bottom w:val="none" w:sz="0" w:space="0" w:color="auto"/>
        <w:right w:val="none" w:sz="0" w:space="0" w:color="auto"/>
      </w:divBdr>
    </w:div>
    <w:div w:id="1677000879">
      <w:bodyDiv w:val="1"/>
      <w:marLeft w:val="0"/>
      <w:marRight w:val="0"/>
      <w:marTop w:val="0"/>
      <w:marBottom w:val="0"/>
      <w:divBdr>
        <w:top w:val="none" w:sz="0" w:space="0" w:color="auto"/>
        <w:left w:val="none" w:sz="0" w:space="0" w:color="auto"/>
        <w:bottom w:val="none" w:sz="0" w:space="0" w:color="auto"/>
        <w:right w:val="none" w:sz="0" w:space="0" w:color="auto"/>
      </w:divBdr>
      <w:divsChild>
        <w:div w:id="182666706">
          <w:marLeft w:val="360"/>
          <w:marRight w:val="0"/>
          <w:marTop w:val="200"/>
          <w:marBottom w:val="0"/>
          <w:divBdr>
            <w:top w:val="none" w:sz="0" w:space="0" w:color="auto"/>
            <w:left w:val="none" w:sz="0" w:space="0" w:color="auto"/>
            <w:bottom w:val="none" w:sz="0" w:space="0" w:color="auto"/>
            <w:right w:val="none" w:sz="0" w:space="0" w:color="auto"/>
          </w:divBdr>
        </w:div>
        <w:div w:id="558980465">
          <w:marLeft w:val="360"/>
          <w:marRight w:val="0"/>
          <w:marTop w:val="200"/>
          <w:marBottom w:val="0"/>
          <w:divBdr>
            <w:top w:val="none" w:sz="0" w:space="0" w:color="auto"/>
            <w:left w:val="none" w:sz="0" w:space="0" w:color="auto"/>
            <w:bottom w:val="none" w:sz="0" w:space="0" w:color="auto"/>
            <w:right w:val="none" w:sz="0" w:space="0" w:color="auto"/>
          </w:divBdr>
        </w:div>
        <w:div w:id="577441713">
          <w:marLeft w:val="1080"/>
          <w:marRight w:val="0"/>
          <w:marTop w:val="100"/>
          <w:marBottom w:val="0"/>
          <w:divBdr>
            <w:top w:val="none" w:sz="0" w:space="0" w:color="auto"/>
            <w:left w:val="none" w:sz="0" w:space="0" w:color="auto"/>
            <w:bottom w:val="none" w:sz="0" w:space="0" w:color="auto"/>
            <w:right w:val="none" w:sz="0" w:space="0" w:color="auto"/>
          </w:divBdr>
        </w:div>
        <w:div w:id="864371771">
          <w:marLeft w:val="360"/>
          <w:marRight w:val="0"/>
          <w:marTop w:val="200"/>
          <w:marBottom w:val="0"/>
          <w:divBdr>
            <w:top w:val="none" w:sz="0" w:space="0" w:color="auto"/>
            <w:left w:val="none" w:sz="0" w:space="0" w:color="auto"/>
            <w:bottom w:val="none" w:sz="0" w:space="0" w:color="auto"/>
            <w:right w:val="none" w:sz="0" w:space="0" w:color="auto"/>
          </w:divBdr>
        </w:div>
        <w:div w:id="1029406369">
          <w:marLeft w:val="1080"/>
          <w:marRight w:val="0"/>
          <w:marTop w:val="100"/>
          <w:marBottom w:val="0"/>
          <w:divBdr>
            <w:top w:val="none" w:sz="0" w:space="0" w:color="auto"/>
            <w:left w:val="none" w:sz="0" w:space="0" w:color="auto"/>
            <w:bottom w:val="none" w:sz="0" w:space="0" w:color="auto"/>
            <w:right w:val="none" w:sz="0" w:space="0" w:color="auto"/>
          </w:divBdr>
        </w:div>
        <w:div w:id="1123308300">
          <w:marLeft w:val="1080"/>
          <w:marRight w:val="0"/>
          <w:marTop w:val="100"/>
          <w:marBottom w:val="0"/>
          <w:divBdr>
            <w:top w:val="none" w:sz="0" w:space="0" w:color="auto"/>
            <w:left w:val="none" w:sz="0" w:space="0" w:color="auto"/>
            <w:bottom w:val="none" w:sz="0" w:space="0" w:color="auto"/>
            <w:right w:val="none" w:sz="0" w:space="0" w:color="auto"/>
          </w:divBdr>
        </w:div>
        <w:div w:id="1721201072">
          <w:marLeft w:val="360"/>
          <w:marRight w:val="0"/>
          <w:marTop w:val="200"/>
          <w:marBottom w:val="0"/>
          <w:divBdr>
            <w:top w:val="none" w:sz="0" w:space="0" w:color="auto"/>
            <w:left w:val="none" w:sz="0" w:space="0" w:color="auto"/>
            <w:bottom w:val="none" w:sz="0" w:space="0" w:color="auto"/>
            <w:right w:val="none" w:sz="0" w:space="0" w:color="auto"/>
          </w:divBdr>
        </w:div>
        <w:div w:id="2042702782">
          <w:marLeft w:val="1080"/>
          <w:marRight w:val="0"/>
          <w:marTop w:val="100"/>
          <w:marBottom w:val="0"/>
          <w:divBdr>
            <w:top w:val="none" w:sz="0" w:space="0" w:color="auto"/>
            <w:left w:val="none" w:sz="0" w:space="0" w:color="auto"/>
            <w:bottom w:val="none" w:sz="0" w:space="0" w:color="auto"/>
            <w:right w:val="none" w:sz="0" w:space="0" w:color="auto"/>
          </w:divBdr>
        </w:div>
      </w:divsChild>
    </w:div>
    <w:div w:id="1677419471">
      <w:bodyDiv w:val="1"/>
      <w:marLeft w:val="0"/>
      <w:marRight w:val="0"/>
      <w:marTop w:val="0"/>
      <w:marBottom w:val="0"/>
      <w:divBdr>
        <w:top w:val="none" w:sz="0" w:space="0" w:color="auto"/>
        <w:left w:val="none" w:sz="0" w:space="0" w:color="auto"/>
        <w:bottom w:val="none" w:sz="0" w:space="0" w:color="auto"/>
        <w:right w:val="none" w:sz="0" w:space="0" w:color="auto"/>
      </w:divBdr>
    </w:div>
    <w:div w:id="1677805240">
      <w:bodyDiv w:val="1"/>
      <w:marLeft w:val="0"/>
      <w:marRight w:val="0"/>
      <w:marTop w:val="0"/>
      <w:marBottom w:val="0"/>
      <w:divBdr>
        <w:top w:val="none" w:sz="0" w:space="0" w:color="auto"/>
        <w:left w:val="none" w:sz="0" w:space="0" w:color="auto"/>
        <w:bottom w:val="none" w:sz="0" w:space="0" w:color="auto"/>
        <w:right w:val="none" w:sz="0" w:space="0" w:color="auto"/>
      </w:divBdr>
    </w:div>
    <w:div w:id="1677997627">
      <w:bodyDiv w:val="1"/>
      <w:marLeft w:val="0"/>
      <w:marRight w:val="0"/>
      <w:marTop w:val="0"/>
      <w:marBottom w:val="0"/>
      <w:divBdr>
        <w:top w:val="none" w:sz="0" w:space="0" w:color="auto"/>
        <w:left w:val="none" w:sz="0" w:space="0" w:color="auto"/>
        <w:bottom w:val="none" w:sz="0" w:space="0" w:color="auto"/>
        <w:right w:val="none" w:sz="0" w:space="0" w:color="auto"/>
      </w:divBdr>
      <w:divsChild>
        <w:div w:id="1518549">
          <w:marLeft w:val="2520"/>
          <w:marRight w:val="0"/>
          <w:marTop w:val="58"/>
          <w:marBottom w:val="0"/>
          <w:divBdr>
            <w:top w:val="none" w:sz="0" w:space="0" w:color="auto"/>
            <w:left w:val="none" w:sz="0" w:space="0" w:color="auto"/>
            <w:bottom w:val="none" w:sz="0" w:space="0" w:color="auto"/>
            <w:right w:val="none" w:sz="0" w:space="0" w:color="auto"/>
          </w:divBdr>
        </w:div>
        <w:div w:id="86539188">
          <w:marLeft w:val="2520"/>
          <w:marRight w:val="0"/>
          <w:marTop w:val="53"/>
          <w:marBottom w:val="0"/>
          <w:divBdr>
            <w:top w:val="none" w:sz="0" w:space="0" w:color="auto"/>
            <w:left w:val="none" w:sz="0" w:space="0" w:color="auto"/>
            <w:bottom w:val="none" w:sz="0" w:space="0" w:color="auto"/>
            <w:right w:val="none" w:sz="0" w:space="0" w:color="auto"/>
          </w:divBdr>
        </w:div>
        <w:div w:id="227156322">
          <w:marLeft w:val="1800"/>
          <w:marRight w:val="0"/>
          <w:marTop w:val="58"/>
          <w:marBottom w:val="0"/>
          <w:divBdr>
            <w:top w:val="none" w:sz="0" w:space="0" w:color="auto"/>
            <w:left w:val="none" w:sz="0" w:space="0" w:color="auto"/>
            <w:bottom w:val="none" w:sz="0" w:space="0" w:color="auto"/>
            <w:right w:val="none" w:sz="0" w:space="0" w:color="auto"/>
          </w:divBdr>
        </w:div>
        <w:div w:id="359087231">
          <w:marLeft w:val="1800"/>
          <w:marRight w:val="0"/>
          <w:marTop w:val="58"/>
          <w:marBottom w:val="0"/>
          <w:divBdr>
            <w:top w:val="none" w:sz="0" w:space="0" w:color="auto"/>
            <w:left w:val="none" w:sz="0" w:space="0" w:color="auto"/>
            <w:bottom w:val="none" w:sz="0" w:space="0" w:color="auto"/>
            <w:right w:val="none" w:sz="0" w:space="0" w:color="auto"/>
          </w:divBdr>
        </w:div>
        <w:div w:id="500122063">
          <w:marLeft w:val="2520"/>
          <w:marRight w:val="0"/>
          <w:marTop w:val="58"/>
          <w:marBottom w:val="0"/>
          <w:divBdr>
            <w:top w:val="none" w:sz="0" w:space="0" w:color="auto"/>
            <w:left w:val="none" w:sz="0" w:space="0" w:color="auto"/>
            <w:bottom w:val="none" w:sz="0" w:space="0" w:color="auto"/>
            <w:right w:val="none" w:sz="0" w:space="0" w:color="auto"/>
          </w:divBdr>
        </w:div>
        <w:div w:id="558907716">
          <w:marLeft w:val="1800"/>
          <w:marRight w:val="0"/>
          <w:marTop w:val="58"/>
          <w:marBottom w:val="0"/>
          <w:divBdr>
            <w:top w:val="none" w:sz="0" w:space="0" w:color="auto"/>
            <w:left w:val="none" w:sz="0" w:space="0" w:color="auto"/>
            <w:bottom w:val="none" w:sz="0" w:space="0" w:color="auto"/>
            <w:right w:val="none" w:sz="0" w:space="0" w:color="auto"/>
          </w:divBdr>
        </w:div>
        <w:div w:id="638538163">
          <w:marLeft w:val="1800"/>
          <w:marRight w:val="0"/>
          <w:marTop w:val="58"/>
          <w:marBottom w:val="0"/>
          <w:divBdr>
            <w:top w:val="none" w:sz="0" w:space="0" w:color="auto"/>
            <w:left w:val="none" w:sz="0" w:space="0" w:color="auto"/>
            <w:bottom w:val="none" w:sz="0" w:space="0" w:color="auto"/>
            <w:right w:val="none" w:sz="0" w:space="0" w:color="auto"/>
          </w:divBdr>
        </w:div>
        <w:div w:id="674914448">
          <w:marLeft w:val="2520"/>
          <w:marRight w:val="0"/>
          <w:marTop w:val="58"/>
          <w:marBottom w:val="0"/>
          <w:divBdr>
            <w:top w:val="none" w:sz="0" w:space="0" w:color="auto"/>
            <w:left w:val="none" w:sz="0" w:space="0" w:color="auto"/>
            <w:bottom w:val="none" w:sz="0" w:space="0" w:color="auto"/>
            <w:right w:val="none" w:sz="0" w:space="0" w:color="auto"/>
          </w:divBdr>
        </w:div>
        <w:div w:id="740372842">
          <w:marLeft w:val="1800"/>
          <w:marRight w:val="0"/>
          <w:marTop w:val="58"/>
          <w:marBottom w:val="0"/>
          <w:divBdr>
            <w:top w:val="none" w:sz="0" w:space="0" w:color="auto"/>
            <w:left w:val="none" w:sz="0" w:space="0" w:color="auto"/>
            <w:bottom w:val="none" w:sz="0" w:space="0" w:color="auto"/>
            <w:right w:val="none" w:sz="0" w:space="0" w:color="auto"/>
          </w:divBdr>
        </w:div>
        <w:div w:id="789933358">
          <w:marLeft w:val="1800"/>
          <w:marRight w:val="0"/>
          <w:marTop w:val="58"/>
          <w:marBottom w:val="0"/>
          <w:divBdr>
            <w:top w:val="none" w:sz="0" w:space="0" w:color="auto"/>
            <w:left w:val="none" w:sz="0" w:space="0" w:color="auto"/>
            <w:bottom w:val="none" w:sz="0" w:space="0" w:color="auto"/>
            <w:right w:val="none" w:sz="0" w:space="0" w:color="auto"/>
          </w:divBdr>
        </w:div>
        <w:div w:id="1112045654">
          <w:marLeft w:val="2520"/>
          <w:marRight w:val="0"/>
          <w:marTop w:val="58"/>
          <w:marBottom w:val="0"/>
          <w:divBdr>
            <w:top w:val="none" w:sz="0" w:space="0" w:color="auto"/>
            <w:left w:val="none" w:sz="0" w:space="0" w:color="auto"/>
            <w:bottom w:val="none" w:sz="0" w:space="0" w:color="auto"/>
            <w:right w:val="none" w:sz="0" w:space="0" w:color="auto"/>
          </w:divBdr>
        </w:div>
        <w:div w:id="1163818233">
          <w:marLeft w:val="2520"/>
          <w:marRight w:val="0"/>
          <w:marTop w:val="58"/>
          <w:marBottom w:val="0"/>
          <w:divBdr>
            <w:top w:val="none" w:sz="0" w:space="0" w:color="auto"/>
            <w:left w:val="none" w:sz="0" w:space="0" w:color="auto"/>
            <w:bottom w:val="none" w:sz="0" w:space="0" w:color="auto"/>
            <w:right w:val="none" w:sz="0" w:space="0" w:color="auto"/>
          </w:divBdr>
        </w:div>
        <w:div w:id="1396703324">
          <w:marLeft w:val="1166"/>
          <w:marRight w:val="0"/>
          <w:marTop w:val="86"/>
          <w:marBottom w:val="0"/>
          <w:divBdr>
            <w:top w:val="none" w:sz="0" w:space="0" w:color="auto"/>
            <w:left w:val="none" w:sz="0" w:space="0" w:color="auto"/>
            <w:bottom w:val="none" w:sz="0" w:space="0" w:color="auto"/>
            <w:right w:val="none" w:sz="0" w:space="0" w:color="auto"/>
          </w:divBdr>
        </w:div>
        <w:div w:id="1604605065">
          <w:marLeft w:val="1166"/>
          <w:marRight w:val="0"/>
          <w:marTop w:val="86"/>
          <w:marBottom w:val="0"/>
          <w:divBdr>
            <w:top w:val="none" w:sz="0" w:space="0" w:color="auto"/>
            <w:left w:val="none" w:sz="0" w:space="0" w:color="auto"/>
            <w:bottom w:val="none" w:sz="0" w:space="0" w:color="auto"/>
            <w:right w:val="none" w:sz="0" w:space="0" w:color="auto"/>
          </w:divBdr>
        </w:div>
        <w:div w:id="1752192362">
          <w:marLeft w:val="2520"/>
          <w:marRight w:val="0"/>
          <w:marTop w:val="58"/>
          <w:marBottom w:val="0"/>
          <w:divBdr>
            <w:top w:val="none" w:sz="0" w:space="0" w:color="auto"/>
            <w:left w:val="none" w:sz="0" w:space="0" w:color="auto"/>
            <w:bottom w:val="none" w:sz="0" w:space="0" w:color="auto"/>
            <w:right w:val="none" w:sz="0" w:space="0" w:color="auto"/>
          </w:divBdr>
        </w:div>
        <w:div w:id="1813667482">
          <w:marLeft w:val="547"/>
          <w:marRight w:val="0"/>
          <w:marTop w:val="96"/>
          <w:marBottom w:val="0"/>
          <w:divBdr>
            <w:top w:val="none" w:sz="0" w:space="0" w:color="auto"/>
            <w:left w:val="none" w:sz="0" w:space="0" w:color="auto"/>
            <w:bottom w:val="none" w:sz="0" w:space="0" w:color="auto"/>
            <w:right w:val="none" w:sz="0" w:space="0" w:color="auto"/>
          </w:divBdr>
        </w:div>
        <w:div w:id="1835610684">
          <w:marLeft w:val="1800"/>
          <w:marRight w:val="0"/>
          <w:marTop w:val="58"/>
          <w:marBottom w:val="0"/>
          <w:divBdr>
            <w:top w:val="none" w:sz="0" w:space="0" w:color="auto"/>
            <w:left w:val="none" w:sz="0" w:space="0" w:color="auto"/>
            <w:bottom w:val="none" w:sz="0" w:space="0" w:color="auto"/>
            <w:right w:val="none" w:sz="0" w:space="0" w:color="auto"/>
          </w:divBdr>
        </w:div>
        <w:div w:id="1884753240">
          <w:marLeft w:val="547"/>
          <w:marRight w:val="0"/>
          <w:marTop w:val="96"/>
          <w:marBottom w:val="0"/>
          <w:divBdr>
            <w:top w:val="none" w:sz="0" w:space="0" w:color="auto"/>
            <w:left w:val="none" w:sz="0" w:space="0" w:color="auto"/>
            <w:bottom w:val="none" w:sz="0" w:space="0" w:color="auto"/>
            <w:right w:val="none" w:sz="0" w:space="0" w:color="auto"/>
          </w:divBdr>
        </w:div>
        <w:div w:id="1914703334">
          <w:marLeft w:val="1800"/>
          <w:marRight w:val="0"/>
          <w:marTop w:val="58"/>
          <w:marBottom w:val="0"/>
          <w:divBdr>
            <w:top w:val="none" w:sz="0" w:space="0" w:color="auto"/>
            <w:left w:val="none" w:sz="0" w:space="0" w:color="auto"/>
            <w:bottom w:val="none" w:sz="0" w:space="0" w:color="auto"/>
            <w:right w:val="none" w:sz="0" w:space="0" w:color="auto"/>
          </w:divBdr>
        </w:div>
        <w:div w:id="2074233465">
          <w:marLeft w:val="1166"/>
          <w:marRight w:val="0"/>
          <w:marTop w:val="86"/>
          <w:marBottom w:val="0"/>
          <w:divBdr>
            <w:top w:val="none" w:sz="0" w:space="0" w:color="auto"/>
            <w:left w:val="none" w:sz="0" w:space="0" w:color="auto"/>
            <w:bottom w:val="none" w:sz="0" w:space="0" w:color="auto"/>
            <w:right w:val="none" w:sz="0" w:space="0" w:color="auto"/>
          </w:divBdr>
        </w:div>
        <w:div w:id="2104252965">
          <w:marLeft w:val="1800"/>
          <w:marRight w:val="0"/>
          <w:marTop w:val="58"/>
          <w:marBottom w:val="0"/>
          <w:divBdr>
            <w:top w:val="none" w:sz="0" w:space="0" w:color="auto"/>
            <w:left w:val="none" w:sz="0" w:space="0" w:color="auto"/>
            <w:bottom w:val="none" w:sz="0" w:space="0" w:color="auto"/>
            <w:right w:val="none" w:sz="0" w:space="0" w:color="auto"/>
          </w:divBdr>
        </w:div>
      </w:divsChild>
    </w:div>
    <w:div w:id="1678077269">
      <w:bodyDiv w:val="1"/>
      <w:marLeft w:val="0"/>
      <w:marRight w:val="0"/>
      <w:marTop w:val="0"/>
      <w:marBottom w:val="0"/>
      <w:divBdr>
        <w:top w:val="none" w:sz="0" w:space="0" w:color="auto"/>
        <w:left w:val="none" w:sz="0" w:space="0" w:color="auto"/>
        <w:bottom w:val="none" w:sz="0" w:space="0" w:color="auto"/>
        <w:right w:val="none" w:sz="0" w:space="0" w:color="auto"/>
      </w:divBdr>
    </w:div>
    <w:div w:id="1678115029">
      <w:bodyDiv w:val="1"/>
      <w:marLeft w:val="0"/>
      <w:marRight w:val="0"/>
      <w:marTop w:val="0"/>
      <w:marBottom w:val="0"/>
      <w:divBdr>
        <w:top w:val="none" w:sz="0" w:space="0" w:color="auto"/>
        <w:left w:val="none" w:sz="0" w:space="0" w:color="auto"/>
        <w:bottom w:val="none" w:sz="0" w:space="0" w:color="auto"/>
        <w:right w:val="none" w:sz="0" w:space="0" w:color="auto"/>
      </w:divBdr>
    </w:div>
    <w:div w:id="1678386242">
      <w:bodyDiv w:val="1"/>
      <w:marLeft w:val="0"/>
      <w:marRight w:val="0"/>
      <w:marTop w:val="0"/>
      <w:marBottom w:val="0"/>
      <w:divBdr>
        <w:top w:val="none" w:sz="0" w:space="0" w:color="auto"/>
        <w:left w:val="none" w:sz="0" w:space="0" w:color="auto"/>
        <w:bottom w:val="none" w:sz="0" w:space="0" w:color="auto"/>
        <w:right w:val="none" w:sz="0" w:space="0" w:color="auto"/>
      </w:divBdr>
    </w:div>
    <w:div w:id="1678850365">
      <w:bodyDiv w:val="1"/>
      <w:marLeft w:val="0"/>
      <w:marRight w:val="0"/>
      <w:marTop w:val="0"/>
      <w:marBottom w:val="0"/>
      <w:divBdr>
        <w:top w:val="none" w:sz="0" w:space="0" w:color="auto"/>
        <w:left w:val="none" w:sz="0" w:space="0" w:color="auto"/>
        <w:bottom w:val="none" w:sz="0" w:space="0" w:color="auto"/>
        <w:right w:val="none" w:sz="0" w:space="0" w:color="auto"/>
      </w:divBdr>
    </w:div>
    <w:div w:id="1679195214">
      <w:bodyDiv w:val="1"/>
      <w:marLeft w:val="0"/>
      <w:marRight w:val="0"/>
      <w:marTop w:val="0"/>
      <w:marBottom w:val="0"/>
      <w:divBdr>
        <w:top w:val="none" w:sz="0" w:space="0" w:color="auto"/>
        <w:left w:val="none" w:sz="0" w:space="0" w:color="auto"/>
        <w:bottom w:val="none" w:sz="0" w:space="0" w:color="auto"/>
        <w:right w:val="none" w:sz="0" w:space="0" w:color="auto"/>
      </w:divBdr>
    </w:div>
    <w:div w:id="1680152767">
      <w:bodyDiv w:val="1"/>
      <w:marLeft w:val="0"/>
      <w:marRight w:val="0"/>
      <w:marTop w:val="0"/>
      <w:marBottom w:val="0"/>
      <w:divBdr>
        <w:top w:val="none" w:sz="0" w:space="0" w:color="auto"/>
        <w:left w:val="none" w:sz="0" w:space="0" w:color="auto"/>
        <w:bottom w:val="none" w:sz="0" w:space="0" w:color="auto"/>
        <w:right w:val="none" w:sz="0" w:space="0" w:color="auto"/>
      </w:divBdr>
    </w:div>
    <w:div w:id="1681010985">
      <w:bodyDiv w:val="1"/>
      <w:marLeft w:val="0"/>
      <w:marRight w:val="0"/>
      <w:marTop w:val="0"/>
      <w:marBottom w:val="0"/>
      <w:divBdr>
        <w:top w:val="none" w:sz="0" w:space="0" w:color="auto"/>
        <w:left w:val="none" w:sz="0" w:space="0" w:color="auto"/>
        <w:bottom w:val="none" w:sz="0" w:space="0" w:color="auto"/>
        <w:right w:val="none" w:sz="0" w:space="0" w:color="auto"/>
      </w:divBdr>
      <w:divsChild>
        <w:div w:id="101340595">
          <w:marLeft w:val="1166"/>
          <w:marRight w:val="144"/>
          <w:marTop w:val="0"/>
          <w:marBottom w:val="120"/>
          <w:divBdr>
            <w:top w:val="none" w:sz="0" w:space="0" w:color="auto"/>
            <w:left w:val="none" w:sz="0" w:space="0" w:color="auto"/>
            <w:bottom w:val="none" w:sz="0" w:space="0" w:color="auto"/>
            <w:right w:val="none" w:sz="0" w:space="0" w:color="auto"/>
          </w:divBdr>
        </w:div>
        <w:div w:id="468548339">
          <w:marLeft w:val="547"/>
          <w:marRight w:val="144"/>
          <w:marTop w:val="0"/>
          <w:marBottom w:val="120"/>
          <w:divBdr>
            <w:top w:val="none" w:sz="0" w:space="0" w:color="auto"/>
            <w:left w:val="none" w:sz="0" w:space="0" w:color="auto"/>
            <w:bottom w:val="none" w:sz="0" w:space="0" w:color="auto"/>
            <w:right w:val="none" w:sz="0" w:space="0" w:color="auto"/>
          </w:divBdr>
        </w:div>
        <w:div w:id="632443046">
          <w:marLeft w:val="1800"/>
          <w:marRight w:val="144"/>
          <w:marTop w:val="0"/>
          <w:marBottom w:val="120"/>
          <w:divBdr>
            <w:top w:val="none" w:sz="0" w:space="0" w:color="auto"/>
            <w:left w:val="none" w:sz="0" w:space="0" w:color="auto"/>
            <w:bottom w:val="none" w:sz="0" w:space="0" w:color="auto"/>
            <w:right w:val="none" w:sz="0" w:space="0" w:color="auto"/>
          </w:divBdr>
        </w:div>
        <w:div w:id="685012371">
          <w:marLeft w:val="1800"/>
          <w:marRight w:val="144"/>
          <w:marTop w:val="0"/>
          <w:marBottom w:val="120"/>
          <w:divBdr>
            <w:top w:val="none" w:sz="0" w:space="0" w:color="auto"/>
            <w:left w:val="none" w:sz="0" w:space="0" w:color="auto"/>
            <w:bottom w:val="none" w:sz="0" w:space="0" w:color="auto"/>
            <w:right w:val="none" w:sz="0" w:space="0" w:color="auto"/>
          </w:divBdr>
        </w:div>
        <w:div w:id="1052190455">
          <w:marLeft w:val="1166"/>
          <w:marRight w:val="144"/>
          <w:marTop w:val="0"/>
          <w:marBottom w:val="120"/>
          <w:divBdr>
            <w:top w:val="none" w:sz="0" w:space="0" w:color="auto"/>
            <w:left w:val="none" w:sz="0" w:space="0" w:color="auto"/>
            <w:bottom w:val="none" w:sz="0" w:space="0" w:color="auto"/>
            <w:right w:val="none" w:sz="0" w:space="0" w:color="auto"/>
          </w:divBdr>
        </w:div>
        <w:div w:id="1078942567">
          <w:marLeft w:val="1800"/>
          <w:marRight w:val="144"/>
          <w:marTop w:val="0"/>
          <w:marBottom w:val="120"/>
          <w:divBdr>
            <w:top w:val="none" w:sz="0" w:space="0" w:color="auto"/>
            <w:left w:val="none" w:sz="0" w:space="0" w:color="auto"/>
            <w:bottom w:val="none" w:sz="0" w:space="0" w:color="auto"/>
            <w:right w:val="none" w:sz="0" w:space="0" w:color="auto"/>
          </w:divBdr>
        </w:div>
        <w:div w:id="1148404863">
          <w:marLeft w:val="1166"/>
          <w:marRight w:val="144"/>
          <w:marTop w:val="0"/>
          <w:marBottom w:val="120"/>
          <w:divBdr>
            <w:top w:val="none" w:sz="0" w:space="0" w:color="auto"/>
            <w:left w:val="none" w:sz="0" w:space="0" w:color="auto"/>
            <w:bottom w:val="none" w:sz="0" w:space="0" w:color="auto"/>
            <w:right w:val="none" w:sz="0" w:space="0" w:color="auto"/>
          </w:divBdr>
        </w:div>
        <w:div w:id="1369331242">
          <w:marLeft w:val="1800"/>
          <w:marRight w:val="144"/>
          <w:marTop w:val="0"/>
          <w:marBottom w:val="120"/>
          <w:divBdr>
            <w:top w:val="none" w:sz="0" w:space="0" w:color="auto"/>
            <w:left w:val="none" w:sz="0" w:space="0" w:color="auto"/>
            <w:bottom w:val="none" w:sz="0" w:space="0" w:color="auto"/>
            <w:right w:val="none" w:sz="0" w:space="0" w:color="auto"/>
          </w:divBdr>
        </w:div>
      </w:divsChild>
    </w:div>
    <w:div w:id="1682389290">
      <w:bodyDiv w:val="1"/>
      <w:marLeft w:val="0"/>
      <w:marRight w:val="0"/>
      <w:marTop w:val="0"/>
      <w:marBottom w:val="0"/>
      <w:divBdr>
        <w:top w:val="none" w:sz="0" w:space="0" w:color="auto"/>
        <w:left w:val="none" w:sz="0" w:space="0" w:color="auto"/>
        <w:bottom w:val="none" w:sz="0" w:space="0" w:color="auto"/>
        <w:right w:val="none" w:sz="0" w:space="0" w:color="auto"/>
      </w:divBdr>
    </w:div>
    <w:div w:id="1682777569">
      <w:bodyDiv w:val="1"/>
      <w:marLeft w:val="0"/>
      <w:marRight w:val="0"/>
      <w:marTop w:val="0"/>
      <w:marBottom w:val="0"/>
      <w:divBdr>
        <w:top w:val="none" w:sz="0" w:space="0" w:color="auto"/>
        <w:left w:val="none" w:sz="0" w:space="0" w:color="auto"/>
        <w:bottom w:val="none" w:sz="0" w:space="0" w:color="auto"/>
        <w:right w:val="none" w:sz="0" w:space="0" w:color="auto"/>
      </w:divBdr>
    </w:div>
    <w:div w:id="1683170012">
      <w:bodyDiv w:val="1"/>
      <w:marLeft w:val="0"/>
      <w:marRight w:val="0"/>
      <w:marTop w:val="0"/>
      <w:marBottom w:val="0"/>
      <w:divBdr>
        <w:top w:val="none" w:sz="0" w:space="0" w:color="auto"/>
        <w:left w:val="none" w:sz="0" w:space="0" w:color="auto"/>
        <w:bottom w:val="none" w:sz="0" w:space="0" w:color="auto"/>
        <w:right w:val="none" w:sz="0" w:space="0" w:color="auto"/>
      </w:divBdr>
      <w:divsChild>
        <w:div w:id="43139533">
          <w:marLeft w:val="1800"/>
          <w:marRight w:val="0"/>
          <w:marTop w:val="58"/>
          <w:marBottom w:val="0"/>
          <w:divBdr>
            <w:top w:val="none" w:sz="0" w:space="0" w:color="auto"/>
            <w:left w:val="none" w:sz="0" w:space="0" w:color="auto"/>
            <w:bottom w:val="none" w:sz="0" w:space="0" w:color="auto"/>
            <w:right w:val="none" w:sz="0" w:space="0" w:color="auto"/>
          </w:divBdr>
        </w:div>
        <w:div w:id="50614851">
          <w:marLeft w:val="547"/>
          <w:marRight w:val="0"/>
          <w:marTop w:val="96"/>
          <w:marBottom w:val="0"/>
          <w:divBdr>
            <w:top w:val="none" w:sz="0" w:space="0" w:color="auto"/>
            <w:left w:val="none" w:sz="0" w:space="0" w:color="auto"/>
            <w:bottom w:val="none" w:sz="0" w:space="0" w:color="auto"/>
            <w:right w:val="none" w:sz="0" w:space="0" w:color="auto"/>
          </w:divBdr>
        </w:div>
        <w:div w:id="379669187">
          <w:marLeft w:val="2520"/>
          <w:marRight w:val="0"/>
          <w:marTop w:val="58"/>
          <w:marBottom w:val="0"/>
          <w:divBdr>
            <w:top w:val="none" w:sz="0" w:space="0" w:color="auto"/>
            <w:left w:val="none" w:sz="0" w:space="0" w:color="auto"/>
            <w:bottom w:val="none" w:sz="0" w:space="0" w:color="auto"/>
            <w:right w:val="none" w:sz="0" w:space="0" w:color="auto"/>
          </w:divBdr>
        </w:div>
        <w:div w:id="462357948">
          <w:marLeft w:val="2520"/>
          <w:marRight w:val="0"/>
          <w:marTop w:val="58"/>
          <w:marBottom w:val="0"/>
          <w:divBdr>
            <w:top w:val="none" w:sz="0" w:space="0" w:color="auto"/>
            <w:left w:val="none" w:sz="0" w:space="0" w:color="auto"/>
            <w:bottom w:val="none" w:sz="0" w:space="0" w:color="auto"/>
            <w:right w:val="none" w:sz="0" w:space="0" w:color="auto"/>
          </w:divBdr>
        </w:div>
        <w:div w:id="474491378">
          <w:marLeft w:val="1166"/>
          <w:marRight w:val="0"/>
          <w:marTop w:val="86"/>
          <w:marBottom w:val="0"/>
          <w:divBdr>
            <w:top w:val="none" w:sz="0" w:space="0" w:color="auto"/>
            <w:left w:val="none" w:sz="0" w:space="0" w:color="auto"/>
            <w:bottom w:val="none" w:sz="0" w:space="0" w:color="auto"/>
            <w:right w:val="none" w:sz="0" w:space="0" w:color="auto"/>
          </w:divBdr>
        </w:div>
        <w:div w:id="509680102">
          <w:marLeft w:val="1166"/>
          <w:marRight w:val="0"/>
          <w:marTop w:val="86"/>
          <w:marBottom w:val="0"/>
          <w:divBdr>
            <w:top w:val="none" w:sz="0" w:space="0" w:color="auto"/>
            <w:left w:val="none" w:sz="0" w:space="0" w:color="auto"/>
            <w:bottom w:val="none" w:sz="0" w:space="0" w:color="auto"/>
            <w:right w:val="none" w:sz="0" w:space="0" w:color="auto"/>
          </w:divBdr>
        </w:div>
        <w:div w:id="747771640">
          <w:marLeft w:val="1800"/>
          <w:marRight w:val="0"/>
          <w:marTop w:val="58"/>
          <w:marBottom w:val="0"/>
          <w:divBdr>
            <w:top w:val="none" w:sz="0" w:space="0" w:color="auto"/>
            <w:left w:val="none" w:sz="0" w:space="0" w:color="auto"/>
            <w:bottom w:val="none" w:sz="0" w:space="0" w:color="auto"/>
            <w:right w:val="none" w:sz="0" w:space="0" w:color="auto"/>
          </w:divBdr>
        </w:div>
        <w:div w:id="773985083">
          <w:marLeft w:val="1800"/>
          <w:marRight w:val="0"/>
          <w:marTop w:val="58"/>
          <w:marBottom w:val="0"/>
          <w:divBdr>
            <w:top w:val="none" w:sz="0" w:space="0" w:color="auto"/>
            <w:left w:val="none" w:sz="0" w:space="0" w:color="auto"/>
            <w:bottom w:val="none" w:sz="0" w:space="0" w:color="auto"/>
            <w:right w:val="none" w:sz="0" w:space="0" w:color="auto"/>
          </w:divBdr>
        </w:div>
        <w:div w:id="918633130">
          <w:marLeft w:val="1800"/>
          <w:marRight w:val="0"/>
          <w:marTop w:val="58"/>
          <w:marBottom w:val="0"/>
          <w:divBdr>
            <w:top w:val="none" w:sz="0" w:space="0" w:color="auto"/>
            <w:left w:val="none" w:sz="0" w:space="0" w:color="auto"/>
            <w:bottom w:val="none" w:sz="0" w:space="0" w:color="auto"/>
            <w:right w:val="none" w:sz="0" w:space="0" w:color="auto"/>
          </w:divBdr>
        </w:div>
        <w:div w:id="1094984151">
          <w:marLeft w:val="2520"/>
          <w:marRight w:val="0"/>
          <w:marTop w:val="58"/>
          <w:marBottom w:val="0"/>
          <w:divBdr>
            <w:top w:val="none" w:sz="0" w:space="0" w:color="auto"/>
            <w:left w:val="none" w:sz="0" w:space="0" w:color="auto"/>
            <w:bottom w:val="none" w:sz="0" w:space="0" w:color="auto"/>
            <w:right w:val="none" w:sz="0" w:space="0" w:color="auto"/>
          </w:divBdr>
        </w:div>
        <w:div w:id="1112169280">
          <w:marLeft w:val="1800"/>
          <w:marRight w:val="0"/>
          <w:marTop w:val="58"/>
          <w:marBottom w:val="0"/>
          <w:divBdr>
            <w:top w:val="none" w:sz="0" w:space="0" w:color="auto"/>
            <w:left w:val="none" w:sz="0" w:space="0" w:color="auto"/>
            <w:bottom w:val="none" w:sz="0" w:space="0" w:color="auto"/>
            <w:right w:val="none" w:sz="0" w:space="0" w:color="auto"/>
          </w:divBdr>
        </w:div>
        <w:div w:id="1116408688">
          <w:marLeft w:val="1800"/>
          <w:marRight w:val="0"/>
          <w:marTop w:val="58"/>
          <w:marBottom w:val="0"/>
          <w:divBdr>
            <w:top w:val="none" w:sz="0" w:space="0" w:color="auto"/>
            <w:left w:val="none" w:sz="0" w:space="0" w:color="auto"/>
            <w:bottom w:val="none" w:sz="0" w:space="0" w:color="auto"/>
            <w:right w:val="none" w:sz="0" w:space="0" w:color="auto"/>
          </w:divBdr>
        </w:div>
        <w:div w:id="1183786756">
          <w:marLeft w:val="1800"/>
          <w:marRight w:val="0"/>
          <w:marTop w:val="58"/>
          <w:marBottom w:val="0"/>
          <w:divBdr>
            <w:top w:val="none" w:sz="0" w:space="0" w:color="auto"/>
            <w:left w:val="none" w:sz="0" w:space="0" w:color="auto"/>
            <w:bottom w:val="none" w:sz="0" w:space="0" w:color="auto"/>
            <w:right w:val="none" w:sz="0" w:space="0" w:color="auto"/>
          </w:divBdr>
        </w:div>
        <w:div w:id="1205019053">
          <w:marLeft w:val="1800"/>
          <w:marRight w:val="0"/>
          <w:marTop w:val="58"/>
          <w:marBottom w:val="0"/>
          <w:divBdr>
            <w:top w:val="none" w:sz="0" w:space="0" w:color="auto"/>
            <w:left w:val="none" w:sz="0" w:space="0" w:color="auto"/>
            <w:bottom w:val="none" w:sz="0" w:space="0" w:color="auto"/>
            <w:right w:val="none" w:sz="0" w:space="0" w:color="auto"/>
          </w:divBdr>
        </w:div>
        <w:div w:id="1277909813">
          <w:marLeft w:val="2520"/>
          <w:marRight w:val="0"/>
          <w:marTop w:val="58"/>
          <w:marBottom w:val="0"/>
          <w:divBdr>
            <w:top w:val="none" w:sz="0" w:space="0" w:color="auto"/>
            <w:left w:val="none" w:sz="0" w:space="0" w:color="auto"/>
            <w:bottom w:val="none" w:sz="0" w:space="0" w:color="auto"/>
            <w:right w:val="none" w:sz="0" w:space="0" w:color="auto"/>
          </w:divBdr>
        </w:div>
        <w:div w:id="1558974605">
          <w:marLeft w:val="547"/>
          <w:marRight w:val="0"/>
          <w:marTop w:val="96"/>
          <w:marBottom w:val="0"/>
          <w:divBdr>
            <w:top w:val="none" w:sz="0" w:space="0" w:color="auto"/>
            <w:left w:val="none" w:sz="0" w:space="0" w:color="auto"/>
            <w:bottom w:val="none" w:sz="0" w:space="0" w:color="auto"/>
            <w:right w:val="none" w:sz="0" w:space="0" w:color="auto"/>
          </w:divBdr>
        </w:div>
        <w:div w:id="1711953510">
          <w:marLeft w:val="1166"/>
          <w:marRight w:val="0"/>
          <w:marTop w:val="86"/>
          <w:marBottom w:val="0"/>
          <w:divBdr>
            <w:top w:val="none" w:sz="0" w:space="0" w:color="auto"/>
            <w:left w:val="none" w:sz="0" w:space="0" w:color="auto"/>
            <w:bottom w:val="none" w:sz="0" w:space="0" w:color="auto"/>
            <w:right w:val="none" w:sz="0" w:space="0" w:color="auto"/>
          </w:divBdr>
        </w:div>
        <w:div w:id="1781802484">
          <w:marLeft w:val="2520"/>
          <w:marRight w:val="0"/>
          <w:marTop w:val="53"/>
          <w:marBottom w:val="0"/>
          <w:divBdr>
            <w:top w:val="none" w:sz="0" w:space="0" w:color="auto"/>
            <w:left w:val="none" w:sz="0" w:space="0" w:color="auto"/>
            <w:bottom w:val="none" w:sz="0" w:space="0" w:color="auto"/>
            <w:right w:val="none" w:sz="0" w:space="0" w:color="auto"/>
          </w:divBdr>
        </w:div>
        <w:div w:id="1811895768">
          <w:marLeft w:val="2520"/>
          <w:marRight w:val="0"/>
          <w:marTop w:val="58"/>
          <w:marBottom w:val="0"/>
          <w:divBdr>
            <w:top w:val="none" w:sz="0" w:space="0" w:color="auto"/>
            <w:left w:val="none" w:sz="0" w:space="0" w:color="auto"/>
            <w:bottom w:val="none" w:sz="0" w:space="0" w:color="auto"/>
            <w:right w:val="none" w:sz="0" w:space="0" w:color="auto"/>
          </w:divBdr>
        </w:div>
        <w:div w:id="1884947883">
          <w:marLeft w:val="2520"/>
          <w:marRight w:val="0"/>
          <w:marTop w:val="58"/>
          <w:marBottom w:val="0"/>
          <w:divBdr>
            <w:top w:val="none" w:sz="0" w:space="0" w:color="auto"/>
            <w:left w:val="none" w:sz="0" w:space="0" w:color="auto"/>
            <w:bottom w:val="none" w:sz="0" w:space="0" w:color="auto"/>
            <w:right w:val="none" w:sz="0" w:space="0" w:color="auto"/>
          </w:divBdr>
        </w:div>
        <w:div w:id="2046905858">
          <w:marLeft w:val="1800"/>
          <w:marRight w:val="0"/>
          <w:marTop w:val="58"/>
          <w:marBottom w:val="0"/>
          <w:divBdr>
            <w:top w:val="none" w:sz="0" w:space="0" w:color="auto"/>
            <w:left w:val="none" w:sz="0" w:space="0" w:color="auto"/>
            <w:bottom w:val="none" w:sz="0" w:space="0" w:color="auto"/>
            <w:right w:val="none" w:sz="0" w:space="0" w:color="auto"/>
          </w:divBdr>
        </w:div>
      </w:divsChild>
    </w:div>
    <w:div w:id="1685548240">
      <w:bodyDiv w:val="1"/>
      <w:marLeft w:val="0"/>
      <w:marRight w:val="0"/>
      <w:marTop w:val="0"/>
      <w:marBottom w:val="0"/>
      <w:divBdr>
        <w:top w:val="none" w:sz="0" w:space="0" w:color="auto"/>
        <w:left w:val="none" w:sz="0" w:space="0" w:color="auto"/>
        <w:bottom w:val="none" w:sz="0" w:space="0" w:color="auto"/>
        <w:right w:val="none" w:sz="0" w:space="0" w:color="auto"/>
      </w:divBdr>
      <w:divsChild>
        <w:div w:id="358313166">
          <w:marLeft w:val="547"/>
          <w:marRight w:val="0"/>
          <w:marTop w:val="115"/>
          <w:marBottom w:val="0"/>
          <w:divBdr>
            <w:top w:val="none" w:sz="0" w:space="0" w:color="auto"/>
            <w:left w:val="none" w:sz="0" w:space="0" w:color="auto"/>
            <w:bottom w:val="none" w:sz="0" w:space="0" w:color="auto"/>
            <w:right w:val="none" w:sz="0" w:space="0" w:color="auto"/>
          </w:divBdr>
        </w:div>
        <w:div w:id="1725525673">
          <w:marLeft w:val="1166"/>
          <w:marRight w:val="0"/>
          <w:marTop w:val="115"/>
          <w:marBottom w:val="0"/>
          <w:divBdr>
            <w:top w:val="none" w:sz="0" w:space="0" w:color="auto"/>
            <w:left w:val="none" w:sz="0" w:space="0" w:color="auto"/>
            <w:bottom w:val="none" w:sz="0" w:space="0" w:color="auto"/>
            <w:right w:val="none" w:sz="0" w:space="0" w:color="auto"/>
          </w:divBdr>
        </w:div>
      </w:divsChild>
    </w:div>
    <w:div w:id="1687169881">
      <w:bodyDiv w:val="1"/>
      <w:marLeft w:val="0"/>
      <w:marRight w:val="0"/>
      <w:marTop w:val="0"/>
      <w:marBottom w:val="0"/>
      <w:divBdr>
        <w:top w:val="none" w:sz="0" w:space="0" w:color="auto"/>
        <w:left w:val="none" w:sz="0" w:space="0" w:color="auto"/>
        <w:bottom w:val="none" w:sz="0" w:space="0" w:color="auto"/>
        <w:right w:val="none" w:sz="0" w:space="0" w:color="auto"/>
      </w:divBdr>
      <w:divsChild>
        <w:div w:id="672146310">
          <w:marLeft w:val="1886"/>
          <w:marRight w:val="0"/>
          <w:marTop w:val="86"/>
          <w:marBottom w:val="0"/>
          <w:divBdr>
            <w:top w:val="none" w:sz="0" w:space="0" w:color="auto"/>
            <w:left w:val="none" w:sz="0" w:space="0" w:color="auto"/>
            <w:bottom w:val="none" w:sz="0" w:space="0" w:color="auto"/>
            <w:right w:val="none" w:sz="0" w:space="0" w:color="auto"/>
          </w:divBdr>
        </w:div>
        <w:div w:id="967660558">
          <w:marLeft w:val="1886"/>
          <w:marRight w:val="0"/>
          <w:marTop w:val="86"/>
          <w:marBottom w:val="0"/>
          <w:divBdr>
            <w:top w:val="none" w:sz="0" w:space="0" w:color="auto"/>
            <w:left w:val="none" w:sz="0" w:space="0" w:color="auto"/>
            <w:bottom w:val="none" w:sz="0" w:space="0" w:color="auto"/>
            <w:right w:val="none" w:sz="0" w:space="0" w:color="auto"/>
          </w:divBdr>
        </w:div>
        <w:div w:id="1128402104">
          <w:marLeft w:val="1166"/>
          <w:marRight w:val="0"/>
          <w:marTop w:val="86"/>
          <w:marBottom w:val="0"/>
          <w:divBdr>
            <w:top w:val="none" w:sz="0" w:space="0" w:color="auto"/>
            <w:left w:val="none" w:sz="0" w:space="0" w:color="auto"/>
            <w:bottom w:val="none" w:sz="0" w:space="0" w:color="auto"/>
            <w:right w:val="none" w:sz="0" w:space="0" w:color="auto"/>
          </w:divBdr>
        </w:div>
        <w:div w:id="1413773803">
          <w:marLeft w:val="1886"/>
          <w:marRight w:val="0"/>
          <w:marTop w:val="86"/>
          <w:marBottom w:val="0"/>
          <w:divBdr>
            <w:top w:val="none" w:sz="0" w:space="0" w:color="auto"/>
            <w:left w:val="none" w:sz="0" w:space="0" w:color="auto"/>
            <w:bottom w:val="none" w:sz="0" w:space="0" w:color="auto"/>
            <w:right w:val="none" w:sz="0" w:space="0" w:color="auto"/>
          </w:divBdr>
        </w:div>
        <w:div w:id="1717318400">
          <w:marLeft w:val="2606"/>
          <w:marRight w:val="0"/>
          <w:marTop w:val="86"/>
          <w:marBottom w:val="0"/>
          <w:divBdr>
            <w:top w:val="none" w:sz="0" w:space="0" w:color="auto"/>
            <w:left w:val="none" w:sz="0" w:space="0" w:color="auto"/>
            <w:bottom w:val="none" w:sz="0" w:space="0" w:color="auto"/>
            <w:right w:val="none" w:sz="0" w:space="0" w:color="auto"/>
          </w:divBdr>
        </w:div>
      </w:divsChild>
    </w:div>
    <w:div w:id="1687828042">
      <w:bodyDiv w:val="1"/>
      <w:marLeft w:val="0"/>
      <w:marRight w:val="0"/>
      <w:marTop w:val="0"/>
      <w:marBottom w:val="0"/>
      <w:divBdr>
        <w:top w:val="none" w:sz="0" w:space="0" w:color="auto"/>
        <w:left w:val="none" w:sz="0" w:space="0" w:color="auto"/>
        <w:bottom w:val="none" w:sz="0" w:space="0" w:color="auto"/>
        <w:right w:val="none" w:sz="0" w:space="0" w:color="auto"/>
      </w:divBdr>
    </w:div>
    <w:div w:id="1688485426">
      <w:bodyDiv w:val="1"/>
      <w:marLeft w:val="0"/>
      <w:marRight w:val="0"/>
      <w:marTop w:val="0"/>
      <w:marBottom w:val="0"/>
      <w:divBdr>
        <w:top w:val="none" w:sz="0" w:space="0" w:color="auto"/>
        <w:left w:val="none" w:sz="0" w:space="0" w:color="auto"/>
        <w:bottom w:val="none" w:sz="0" w:space="0" w:color="auto"/>
        <w:right w:val="none" w:sz="0" w:space="0" w:color="auto"/>
      </w:divBdr>
    </w:div>
    <w:div w:id="1688822140">
      <w:bodyDiv w:val="1"/>
      <w:marLeft w:val="0"/>
      <w:marRight w:val="0"/>
      <w:marTop w:val="0"/>
      <w:marBottom w:val="0"/>
      <w:divBdr>
        <w:top w:val="none" w:sz="0" w:space="0" w:color="auto"/>
        <w:left w:val="none" w:sz="0" w:space="0" w:color="auto"/>
        <w:bottom w:val="none" w:sz="0" w:space="0" w:color="auto"/>
        <w:right w:val="none" w:sz="0" w:space="0" w:color="auto"/>
      </w:divBdr>
    </w:div>
    <w:div w:id="1689212333">
      <w:bodyDiv w:val="1"/>
      <w:marLeft w:val="0"/>
      <w:marRight w:val="0"/>
      <w:marTop w:val="0"/>
      <w:marBottom w:val="0"/>
      <w:divBdr>
        <w:top w:val="none" w:sz="0" w:space="0" w:color="auto"/>
        <w:left w:val="none" w:sz="0" w:space="0" w:color="auto"/>
        <w:bottom w:val="none" w:sz="0" w:space="0" w:color="auto"/>
        <w:right w:val="none" w:sz="0" w:space="0" w:color="auto"/>
      </w:divBdr>
    </w:div>
    <w:div w:id="1689595193">
      <w:bodyDiv w:val="1"/>
      <w:marLeft w:val="0"/>
      <w:marRight w:val="0"/>
      <w:marTop w:val="0"/>
      <w:marBottom w:val="0"/>
      <w:divBdr>
        <w:top w:val="none" w:sz="0" w:space="0" w:color="auto"/>
        <w:left w:val="none" w:sz="0" w:space="0" w:color="auto"/>
        <w:bottom w:val="none" w:sz="0" w:space="0" w:color="auto"/>
        <w:right w:val="none" w:sz="0" w:space="0" w:color="auto"/>
      </w:divBdr>
    </w:div>
    <w:div w:id="1690255072">
      <w:bodyDiv w:val="1"/>
      <w:marLeft w:val="0"/>
      <w:marRight w:val="0"/>
      <w:marTop w:val="0"/>
      <w:marBottom w:val="0"/>
      <w:divBdr>
        <w:top w:val="none" w:sz="0" w:space="0" w:color="auto"/>
        <w:left w:val="none" w:sz="0" w:space="0" w:color="auto"/>
        <w:bottom w:val="none" w:sz="0" w:space="0" w:color="auto"/>
        <w:right w:val="none" w:sz="0" w:space="0" w:color="auto"/>
      </w:divBdr>
      <w:divsChild>
        <w:div w:id="515383341">
          <w:marLeft w:val="1166"/>
          <w:marRight w:val="0"/>
          <w:marTop w:val="134"/>
          <w:marBottom w:val="0"/>
          <w:divBdr>
            <w:top w:val="none" w:sz="0" w:space="0" w:color="auto"/>
            <w:left w:val="none" w:sz="0" w:space="0" w:color="auto"/>
            <w:bottom w:val="none" w:sz="0" w:space="0" w:color="auto"/>
            <w:right w:val="none" w:sz="0" w:space="0" w:color="auto"/>
          </w:divBdr>
        </w:div>
        <w:div w:id="924336140">
          <w:marLeft w:val="547"/>
          <w:marRight w:val="0"/>
          <w:marTop w:val="154"/>
          <w:marBottom w:val="0"/>
          <w:divBdr>
            <w:top w:val="none" w:sz="0" w:space="0" w:color="auto"/>
            <w:left w:val="none" w:sz="0" w:space="0" w:color="auto"/>
            <w:bottom w:val="none" w:sz="0" w:space="0" w:color="auto"/>
            <w:right w:val="none" w:sz="0" w:space="0" w:color="auto"/>
          </w:divBdr>
        </w:div>
        <w:div w:id="1627809339">
          <w:marLeft w:val="1166"/>
          <w:marRight w:val="0"/>
          <w:marTop w:val="134"/>
          <w:marBottom w:val="0"/>
          <w:divBdr>
            <w:top w:val="none" w:sz="0" w:space="0" w:color="auto"/>
            <w:left w:val="none" w:sz="0" w:space="0" w:color="auto"/>
            <w:bottom w:val="none" w:sz="0" w:space="0" w:color="auto"/>
            <w:right w:val="none" w:sz="0" w:space="0" w:color="auto"/>
          </w:divBdr>
        </w:div>
      </w:divsChild>
    </w:div>
    <w:div w:id="1690335308">
      <w:bodyDiv w:val="1"/>
      <w:marLeft w:val="0"/>
      <w:marRight w:val="0"/>
      <w:marTop w:val="0"/>
      <w:marBottom w:val="0"/>
      <w:divBdr>
        <w:top w:val="none" w:sz="0" w:space="0" w:color="auto"/>
        <w:left w:val="none" w:sz="0" w:space="0" w:color="auto"/>
        <w:bottom w:val="none" w:sz="0" w:space="0" w:color="auto"/>
        <w:right w:val="none" w:sz="0" w:space="0" w:color="auto"/>
      </w:divBdr>
      <w:divsChild>
        <w:div w:id="250237643">
          <w:marLeft w:val="547"/>
          <w:marRight w:val="0"/>
          <w:marTop w:val="120"/>
          <w:marBottom w:val="0"/>
          <w:divBdr>
            <w:top w:val="none" w:sz="0" w:space="0" w:color="auto"/>
            <w:left w:val="none" w:sz="0" w:space="0" w:color="auto"/>
            <w:bottom w:val="none" w:sz="0" w:space="0" w:color="auto"/>
            <w:right w:val="none" w:sz="0" w:space="0" w:color="auto"/>
          </w:divBdr>
        </w:div>
        <w:div w:id="660501458">
          <w:marLeft w:val="1166"/>
          <w:marRight w:val="0"/>
          <w:marTop w:val="106"/>
          <w:marBottom w:val="0"/>
          <w:divBdr>
            <w:top w:val="none" w:sz="0" w:space="0" w:color="auto"/>
            <w:left w:val="none" w:sz="0" w:space="0" w:color="auto"/>
            <w:bottom w:val="none" w:sz="0" w:space="0" w:color="auto"/>
            <w:right w:val="none" w:sz="0" w:space="0" w:color="auto"/>
          </w:divBdr>
        </w:div>
        <w:div w:id="904338914">
          <w:marLeft w:val="1166"/>
          <w:marRight w:val="0"/>
          <w:marTop w:val="106"/>
          <w:marBottom w:val="0"/>
          <w:divBdr>
            <w:top w:val="none" w:sz="0" w:space="0" w:color="auto"/>
            <w:left w:val="none" w:sz="0" w:space="0" w:color="auto"/>
            <w:bottom w:val="none" w:sz="0" w:space="0" w:color="auto"/>
            <w:right w:val="none" w:sz="0" w:space="0" w:color="auto"/>
          </w:divBdr>
        </w:div>
        <w:div w:id="1630354258">
          <w:marLeft w:val="1166"/>
          <w:marRight w:val="0"/>
          <w:marTop w:val="106"/>
          <w:marBottom w:val="0"/>
          <w:divBdr>
            <w:top w:val="none" w:sz="0" w:space="0" w:color="auto"/>
            <w:left w:val="none" w:sz="0" w:space="0" w:color="auto"/>
            <w:bottom w:val="none" w:sz="0" w:space="0" w:color="auto"/>
            <w:right w:val="none" w:sz="0" w:space="0" w:color="auto"/>
          </w:divBdr>
        </w:div>
        <w:div w:id="1754475216">
          <w:marLeft w:val="547"/>
          <w:marRight w:val="0"/>
          <w:marTop w:val="120"/>
          <w:marBottom w:val="0"/>
          <w:divBdr>
            <w:top w:val="none" w:sz="0" w:space="0" w:color="auto"/>
            <w:left w:val="none" w:sz="0" w:space="0" w:color="auto"/>
            <w:bottom w:val="none" w:sz="0" w:space="0" w:color="auto"/>
            <w:right w:val="none" w:sz="0" w:space="0" w:color="auto"/>
          </w:divBdr>
        </w:div>
        <w:div w:id="1939101727">
          <w:marLeft w:val="547"/>
          <w:marRight w:val="0"/>
          <w:marTop w:val="120"/>
          <w:marBottom w:val="0"/>
          <w:divBdr>
            <w:top w:val="none" w:sz="0" w:space="0" w:color="auto"/>
            <w:left w:val="none" w:sz="0" w:space="0" w:color="auto"/>
            <w:bottom w:val="none" w:sz="0" w:space="0" w:color="auto"/>
            <w:right w:val="none" w:sz="0" w:space="0" w:color="auto"/>
          </w:divBdr>
        </w:div>
      </w:divsChild>
    </w:div>
    <w:div w:id="1691486580">
      <w:bodyDiv w:val="1"/>
      <w:marLeft w:val="0"/>
      <w:marRight w:val="0"/>
      <w:marTop w:val="0"/>
      <w:marBottom w:val="0"/>
      <w:divBdr>
        <w:top w:val="none" w:sz="0" w:space="0" w:color="auto"/>
        <w:left w:val="none" w:sz="0" w:space="0" w:color="auto"/>
        <w:bottom w:val="none" w:sz="0" w:space="0" w:color="auto"/>
        <w:right w:val="none" w:sz="0" w:space="0" w:color="auto"/>
      </w:divBdr>
      <w:divsChild>
        <w:div w:id="76635866">
          <w:marLeft w:val="1800"/>
          <w:marRight w:val="0"/>
          <w:marTop w:val="77"/>
          <w:marBottom w:val="0"/>
          <w:divBdr>
            <w:top w:val="none" w:sz="0" w:space="0" w:color="auto"/>
            <w:left w:val="none" w:sz="0" w:space="0" w:color="auto"/>
            <w:bottom w:val="none" w:sz="0" w:space="0" w:color="auto"/>
            <w:right w:val="none" w:sz="0" w:space="0" w:color="auto"/>
          </w:divBdr>
        </w:div>
        <w:div w:id="354430828">
          <w:marLeft w:val="1166"/>
          <w:marRight w:val="0"/>
          <w:marTop w:val="96"/>
          <w:marBottom w:val="0"/>
          <w:divBdr>
            <w:top w:val="none" w:sz="0" w:space="0" w:color="auto"/>
            <w:left w:val="none" w:sz="0" w:space="0" w:color="auto"/>
            <w:bottom w:val="none" w:sz="0" w:space="0" w:color="auto"/>
            <w:right w:val="none" w:sz="0" w:space="0" w:color="auto"/>
          </w:divBdr>
        </w:div>
        <w:div w:id="1213233103">
          <w:marLeft w:val="547"/>
          <w:marRight w:val="0"/>
          <w:marTop w:val="115"/>
          <w:marBottom w:val="0"/>
          <w:divBdr>
            <w:top w:val="none" w:sz="0" w:space="0" w:color="auto"/>
            <w:left w:val="none" w:sz="0" w:space="0" w:color="auto"/>
            <w:bottom w:val="none" w:sz="0" w:space="0" w:color="auto"/>
            <w:right w:val="none" w:sz="0" w:space="0" w:color="auto"/>
          </w:divBdr>
        </w:div>
        <w:div w:id="1309213464">
          <w:marLeft w:val="1166"/>
          <w:marRight w:val="0"/>
          <w:marTop w:val="96"/>
          <w:marBottom w:val="0"/>
          <w:divBdr>
            <w:top w:val="none" w:sz="0" w:space="0" w:color="auto"/>
            <w:left w:val="none" w:sz="0" w:space="0" w:color="auto"/>
            <w:bottom w:val="none" w:sz="0" w:space="0" w:color="auto"/>
            <w:right w:val="none" w:sz="0" w:space="0" w:color="auto"/>
          </w:divBdr>
        </w:div>
        <w:div w:id="1566258066">
          <w:marLeft w:val="1800"/>
          <w:marRight w:val="0"/>
          <w:marTop w:val="77"/>
          <w:marBottom w:val="0"/>
          <w:divBdr>
            <w:top w:val="none" w:sz="0" w:space="0" w:color="auto"/>
            <w:left w:val="none" w:sz="0" w:space="0" w:color="auto"/>
            <w:bottom w:val="none" w:sz="0" w:space="0" w:color="auto"/>
            <w:right w:val="none" w:sz="0" w:space="0" w:color="auto"/>
          </w:divBdr>
        </w:div>
      </w:divsChild>
    </w:div>
    <w:div w:id="1691905151">
      <w:bodyDiv w:val="1"/>
      <w:marLeft w:val="0"/>
      <w:marRight w:val="0"/>
      <w:marTop w:val="0"/>
      <w:marBottom w:val="0"/>
      <w:divBdr>
        <w:top w:val="none" w:sz="0" w:space="0" w:color="auto"/>
        <w:left w:val="none" w:sz="0" w:space="0" w:color="auto"/>
        <w:bottom w:val="none" w:sz="0" w:space="0" w:color="auto"/>
        <w:right w:val="none" w:sz="0" w:space="0" w:color="auto"/>
      </w:divBdr>
    </w:div>
    <w:div w:id="1692534000">
      <w:bodyDiv w:val="1"/>
      <w:marLeft w:val="0"/>
      <w:marRight w:val="0"/>
      <w:marTop w:val="0"/>
      <w:marBottom w:val="0"/>
      <w:divBdr>
        <w:top w:val="none" w:sz="0" w:space="0" w:color="auto"/>
        <w:left w:val="none" w:sz="0" w:space="0" w:color="auto"/>
        <w:bottom w:val="none" w:sz="0" w:space="0" w:color="auto"/>
        <w:right w:val="none" w:sz="0" w:space="0" w:color="auto"/>
      </w:divBdr>
    </w:div>
    <w:div w:id="1692536018">
      <w:bodyDiv w:val="1"/>
      <w:marLeft w:val="0"/>
      <w:marRight w:val="0"/>
      <w:marTop w:val="0"/>
      <w:marBottom w:val="0"/>
      <w:divBdr>
        <w:top w:val="none" w:sz="0" w:space="0" w:color="auto"/>
        <w:left w:val="none" w:sz="0" w:space="0" w:color="auto"/>
        <w:bottom w:val="none" w:sz="0" w:space="0" w:color="auto"/>
        <w:right w:val="none" w:sz="0" w:space="0" w:color="auto"/>
      </w:divBdr>
    </w:div>
    <w:div w:id="1693989477">
      <w:bodyDiv w:val="1"/>
      <w:marLeft w:val="0"/>
      <w:marRight w:val="0"/>
      <w:marTop w:val="0"/>
      <w:marBottom w:val="0"/>
      <w:divBdr>
        <w:top w:val="none" w:sz="0" w:space="0" w:color="auto"/>
        <w:left w:val="none" w:sz="0" w:space="0" w:color="auto"/>
        <w:bottom w:val="none" w:sz="0" w:space="0" w:color="auto"/>
        <w:right w:val="none" w:sz="0" w:space="0" w:color="auto"/>
      </w:divBdr>
      <w:divsChild>
        <w:div w:id="68235442">
          <w:marLeft w:val="1800"/>
          <w:marRight w:val="0"/>
          <w:marTop w:val="96"/>
          <w:marBottom w:val="0"/>
          <w:divBdr>
            <w:top w:val="none" w:sz="0" w:space="0" w:color="auto"/>
            <w:left w:val="none" w:sz="0" w:space="0" w:color="auto"/>
            <w:bottom w:val="none" w:sz="0" w:space="0" w:color="auto"/>
            <w:right w:val="none" w:sz="0" w:space="0" w:color="auto"/>
          </w:divBdr>
        </w:div>
        <w:div w:id="151027472">
          <w:marLeft w:val="1800"/>
          <w:marRight w:val="0"/>
          <w:marTop w:val="96"/>
          <w:marBottom w:val="0"/>
          <w:divBdr>
            <w:top w:val="none" w:sz="0" w:space="0" w:color="auto"/>
            <w:left w:val="none" w:sz="0" w:space="0" w:color="auto"/>
            <w:bottom w:val="none" w:sz="0" w:space="0" w:color="auto"/>
            <w:right w:val="none" w:sz="0" w:space="0" w:color="auto"/>
          </w:divBdr>
        </w:div>
        <w:div w:id="332804954">
          <w:marLeft w:val="1800"/>
          <w:marRight w:val="0"/>
          <w:marTop w:val="96"/>
          <w:marBottom w:val="0"/>
          <w:divBdr>
            <w:top w:val="none" w:sz="0" w:space="0" w:color="auto"/>
            <w:left w:val="none" w:sz="0" w:space="0" w:color="auto"/>
            <w:bottom w:val="none" w:sz="0" w:space="0" w:color="auto"/>
            <w:right w:val="none" w:sz="0" w:space="0" w:color="auto"/>
          </w:divBdr>
        </w:div>
        <w:div w:id="627902979">
          <w:marLeft w:val="1800"/>
          <w:marRight w:val="0"/>
          <w:marTop w:val="96"/>
          <w:marBottom w:val="0"/>
          <w:divBdr>
            <w:top w:val="none" w:sz="0" w:space="0" w:color="auto"/>
            <w:left w:val="none" w:sz="0" w:space="0" w:color="auto"/>
            <w:bottom w:val="none" w:sz="0" w:space="0" w:color="auto"/>
            <w:right w:val="none" w:sz="0" w:space="0" w:color="auto"/>
          </w:divBdr>
        </w:div>
        <w:div w:id="1278483187">
          <w:marLeft w:val="547"/>
          <w:marRight w:val="0"/>
          <w:marTop w:val="96"/>
          <w:marBottom w:val="0"/>
          <w:divBdr>
            <w:top w:val="none" w:sz="0" w:space="0" w:color="auto"/>
            <w:left w:val="none" w:sz="0" w:space="0" w:color="auto"/>
            <w:bottom w:val="none" w:sz="0" w:space="0" w:color="auto"/>
            <w:right w:val="none" w:sz="0" w:space="0" w:color="auto"/>
          </w:divBdr>
        </w:div>
        <w:div w:id="1389693180">
          <w:marLeft w:val="1166"/>
          <w:marRight w:val="0"/>
          <w:marTop w:val="115"/>
          <w:marBottom w:val="0"/>
          <w:divBdr>
            <w:top w:val="none" w:sz="0" w:space="0" w:color="auto"/>
            <w:left w:val="none" w:sz="0" w:space="0" w:color="auto"/>
            <w:bottom w:val="none" w:sz="0" w:space="0" w:color="auto"/>
            <w:right w:val="none" w:sz="0" w:space="0" w:color="auto"/>
          </w:divBdr>
        </w:div>
        <w:div w:id="1932467940">
          <w:marLeft w:val="547"/>
          <w:marRight w:val="0"/>
          <w:marTop w:val="134"/>
          <w:marBottom w:val="0"/>
          <w:divBdr>
            <w:top w:val="none" w:sz="0" w:space="0" w:color="auto"/>
            <w:left w:val="none" w:sz="0" w:space="0" w:color="auto"/>
            <w:bottom w:val="none" w:sz="0" w:space="0" w:color="auto"/>
            <w:right w:val="none" w:sz="0" w:space="0" w:color="auto"/>
          </w:divBdr>
        </w:div>
        <w:div w:id="2076052959">
          <w:marLeft w:val="1800"/>
          <w:marRight w:val="0"/>
          <w:marTop w:val="96"/>
          <w:marBottom w:val="0"/>
          <w:divBdr>
            <w:top w:val="none" w:sz="0" w:space="0" w:color="auto"/>
            <w:left w:val="none" w:sz="0" w:space="0" w:color="auto"/>
            <w:bottom w:val="none" w:sz="0" w:space="0" w:color="auto"/>
            <w:right w:val="none" w:sz="0" w:space="0" w:color="auto"/>
          </w:divBdr>
        </w:div>
      </w:divsChild>
    </w:div>
    <w:div w:id="1695613203">
      <w:bodyDiv w:val="1"/>
      <w:marLeft w:val="0"/>
      <w:marRight w:val="0"/>
      <w:marTop w:val="0"/>
      <w:marBottom w:val="0"/>
      <w:divBdr>
        <w:top w:val="none" w:sz="0" w:space="0" w:color="auto"/>
        <w:left w:val="none" w:sz="0" w:space="0" w:color="auto"/>
        <w:bottom w:val="none" w:sz="0" w:space="0" w:color="auto"/>
        <w:right w:val="none" w:sz="0" w:space="0" w:color="auto"/>
      </w:divBdr>
      <w:divsChild>
        <w:div w:id="269122531">
          <w:marLeft w:val="1080"/>
          <w:marRight w:val="0"/>
          <w:marTop w:val="100"/>
          <w:marBottom w:val="0"/>
          <w:divBdr>
            <w:top w:val="none" w:sz="0" w:space="0" w:color="auto"/>
            <w:left w:val="none" w:sz="0" w:space="0" w:color="auto"/>
            <w:bottom w:val="none" w:sz="0" w:space="0" w:color="auto"/>
            <w:right w:val="none" w:sz="0" w:space="0" w:color="auto"/>
          </w:divBdr>
        </w:div>
        <w:div w:id="1054819200">
          <w:marLeft w:val="360"/>
          <w:marRight w:val="0"/>
          <w:marTop w:val="200"/>
          <w:marBottom w:val="0"/>
          <w:divBdr>
            <w:top w:val="none" w:sz="0" w:space="0" w:color="auto"/>
            <w:left w:val="none" w:sz="0" w:space="0" w:color="auto"/>
            <w:bottom w:val="none" w:sz="0" w:space="0" w:color="auto"/>
            <w:right w:val="none" w:sz="0" w:space="0" w:color="auto"/>
          </w:divBdr>
        </w:div>
        <w:div w:id="1322201991">
          <w:marLeft w:val="1080"/>
          <w:marRight w:val="0"/>
          <w:marTop w:val="100"/>
          <w:marBottom w:val="0"/>
          <w:divBdr>
            <w:top w:val="none" w:sz="0" w:space="0" w:color="auto"/>
            <w:left w:val="none" w:sz="0" w:space="0" w:color="auto"/>
            <w:bottom w:val="none" w:sz="0" w:space="0" w:color="auto"/>
            <w:right w:val="none" w:sz="0" w:space="0" w:color="auto"/>
          </w:divBdr>
        </w:div>
      </w:divsChild>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348478">
      <w:bodyDiv w:val="1"/>
      <w:marLeft w:val="0"/>
      <w:marRight w:val="0"/>
      <w:marTop w:val="0"/>
      <w:marBottom w:val="0"/>
      <w:divBdr>
        <w:top w:val="none" w:sz="0" w:space="0" w:color="auto"/>
        <w:left w:val="none" w:sz="0" w:space="0" w:color="auto"/>
        <w:bottom w:val="none" w:sz="0" w:space="0" w:color="auto"/>
        <w:right w:val="none" w:sz="0" w:space="0" w:color="auto"/>
      </w:divBdr>
    </w:div>
    <w:div w:id="1696616605">
      <w:bodyDiv w:val="1"/>
      <w:marLeft w:val="0"/>
      <w:marRight w:val="0"/>
      <w:marTop w:val="0"/>
      <w:marBottom w:val="0"/>
      <w:divBdr>
        <w:top w:val="none" w:sz="0" w:space="0" w:color="auto"/>
        <w:left w:val="none" w:sz="0" w:space="0" w:color="auto"/>
        <w:bottom w:val="none" w:sz="0" w:space="0" w:color="auto"/>
        <w:right w:val="none" w:sz="0" w:space="0" w:color="auto"/>
      </w:divBdr>
      <w:divsChild>
        <w:div w:id="668487761">
          <w:marLeft w:val="1080"/>
          <w:marRight w:val="0"/>
          <w:marTop w:val="0"/>
          <w:marBottom w:val="0"/>
          <w:divBdr>
            <w:top w:val="none" w:sz="0" w:space="0" w:color="auto"/>
            <w:left w:val="none" w:sz="0" w:space="0" w:color="auto"/>
            <w:bottom w:val="none" w:sz="0" w:space="0" w:color="auto"/>
            <w:right w:val="none" w:sz="0" w:space="0" w:color="auto"/>
          </w:divBdr>
        </w:div>
        <w:div w:id="1339577024">
          <w:marLeft w:val="360"/>
          <w:marRight w:val="0"/>
          <w:marTop w:val="0"/>
          <w:marBottom w:val="0"/>
          <w:divBdr>
            <w:top w:val="none" w:sz="0" w:space="0" w:color="auto"/>
            <w:left w:val="none" w:sz="0" w:space="0" w:color="auto"/>
            <w:bottom w:val="none" w:sz="0" w:space="0" w:color="auto"/>
            <w:right w:val="none" w:sz="0" w:space="0" w:color="auto"/>
          </w:divBdr>
        </w:div>
      </w:divsChild>
    </w:div>
    <w:div w:id="1698431621">
      <w:bodyDiv w:val="1"/>
      <w:marLeft w:val="0"/>
      <w:marRight w:val="0"/>
      <w:marTop w:val="0"/>
      <w:marBottom w:val="0"/>
      <w:divBdr>
        <w:top w:val="none" w:sz="0" w:space="0" w:color="auto"/>
        <w:left w:val="none" w:sz="0" w:space="0" w:color="auto"/>
        <w:bottom w:val="none" w:sz="0" w:space="0" w:color="auto"/>
        <w:right w:val="none" w:sz="0" w:space="0" w:color="auto"/>
      </w:divBdr>
      <w:divsChild>
        <w:div w:id="286932374">
          <w:marLeft w:val="1800"/>
          <w:marRight w:val="0"/>
          <w:marTop w:val="67"/>
          <w:marBottom w:val="0"/>
          <w:divBdr>
            <w:top w:val="none" w:sz="0" w:space="0" w:color="auto"/>
            <w:left w:val="none" w:sz="0" w:space="0" w:color="auto"/>
            <w:bottom w:val="none" w:sz="0" w:space="0" w:color="auto"/>
            <w:right w:val="none" w:sz="0" w:space="0" w:color="auto"/>
          </w:divBdr>
        </w:div>
        <w:div w:id="449593612">
          <w:marLeft w:val="1800"/>
          <w:marRight w:val="0"/>
          <w:marTop w:val="67"/>
          <w:marBottom w:val="0"/>
          <w:divBdr>
            <w:top w:val="none" w:sz="0" w:space="0" w:color="auto"/>
            <w:left w:val="none" w:sz="0" w:space="0" w:color="auto"/>
            <w:bottom w:val="none" w:sz="0" w:space="0" w:color="auto"/>
            <w:right w:val="none" w:sz="0" w:space="0" w:color="auto"/>
          </w:divBdr>
        </w:div>
        <w:div w:id="531499266">
          <w:marLeft w:val="2520"/>
          <w:marRight w:val="0"/>
          <w:marTop w:val="58"/>
          <w:marBottom w:val="0"/>
          <w:divBdr>
            <w:top w:val="none" w:sz="0" w:space="0" w:color="auto"/>
            <w:left w:val="none" w:sz="0" w:space="0" w:color="auto"/>
            <w:bottom w:val="none" w:sz="0" w:space="0" w:color="auto"/>
            <w:right w:val="none" w:sz="0" w:space="0" w:color="auto"/>
          </w:divBdr>
        </w:div>
        <w:div w:id="569124105">
          <w:marLeft w:val="2520"/>
          <w:marRight w:val="0"/>
          <w:marTop w:val="58"/>
          <w:marBottom w:val="0"/>
          <w:divBdr>
            <w:top w:val="none" w:sz="0" w:space="0" w:color="auto"/>
            <w:left w:val="none" w:sz="0" w:space="0" w:color="auto"/>
            <w:bottom w:val="none" w:sz="0" w:space="0" w:color="auto"/>
            <w:right w:val="none" w:sz="0" w:space="0" w:color="auto"/>
          </w:divBdr>
        </w:div>
        <w:div w:id="697046634">
          <w:marLeft w:val="1800"/>
          <w:marRight w:val="0"/>
          <w:marTop w:val="67"/>
          <w:marBottom w:val="0"/>
          <w:divBdr>
            <w:top w:val="none" w:sz="0" w:space="0" w:color="auto"/>
            <w:left w:val="none" w:sz="0" w:space="0" w:color="auto"/>
            <w:bottom w:val="none" w:sz="0" w:space="0" w:color="auto"/>
            <w:right w:val="none" w:sz="0" w:space="0" w:color="auto"/>
          </w:divBdr>
        </w:div>
        <w:div w:id="829566904">
          <w:marLeft w:val="1166"/>
          <w:marRight w:val="0"/>
          <w:marTop w:val="77"/>
          <w:marBottom w:val="0"/>
          <w:divBdr>
            <w:top w:val="none" w:sz="0" w:space="0" w:color="auto"/>
            <w:left w:val="none" w:sz="0" w:space="0" w:color="auto"/>
            <w:bottom w:val="none" w:sz="0" w:space="0" w:color="auto"/>
            <w:right w:val="none" w:sz="0" w:space="0" w:color="auto"/>
          </w:divBdr>
        </w:div>
        <w:div w:id="840239922">
          <w:marLeft w:val="1166"/>
          <w:marRight w:val="0"/>
          <w:marTop w:val="77"/>
          <w:marBottom w:val="0"/>
          <w:divBdr>
            <w:top w:val="none" w:sz="0" w:space="0" w:color="auto"/>
            <w:left w:val="none" w:sz="0" w:space="0" w:color="auto"/>
            <w:bottom w:val="none" w:sz="0" w:space="0" w:color="auto"/>
            <w:right w:val="none" w:sz="0" w:space="0" w:color="auto"/>
          </w:divBdr>
        </w:div>
        <w:div w:id="1008604412">
          <w:marLeft w:val="2520"/>
          <w:marRight w:val="0"/>
          <w:marTop w:val="58"/>
          <w:marBottom w:val="0"/>
          <w:divBdr>
            <w:top w:val="none" w:sz="0" w:space="0" w:color="auto"/>
            <w:left w:val="none" w:sz="0" w:space="0" w:color="auto"/>
            <w:bottom w:val="none" w:sz="0" w:space="0" w:color="auto"/>
            <w:right w:val="none" w:sz="0" w:space="0" w:color="auto"/>
          </w:divBdr>
        </w:div>
        <w:div w:id="1190265563">
          <w:marLeft w:val="1800"/>
          <w:marRight w:val="0"/>
          <w:marTop w:val="67"/>
          <w:marBottom w:val="0"/>
          <w:divBdr>
            <w:top w:val="none" w:sz="0" w:space="0" w:color="auto"/>
            <w:left w:val="none" w:sz="0" w:space="0" w:color="auto"/>
            <w:bottom w:val="none" w:sz="0" w:space="0" w:color="auto"/>
            <w:right w:val="none" w:sz="0" w:space="0" w:color="auto"/>
          </w:divBdr>
        </w:div>
        <w:div w:id="1217427192">
          <w:marLeft w:val="1800"/>
          <w:marRight w:val="0"/>
          <w:marTop w:val="58"/>
          <w:marBottom w:val="0"/>
          <w:divBdr>
            <w:top w:val="none" w:sz="0" w:space="0" w:color="auto"/>
            <w:left w:val="none" w:sz="0" w:space="0" w:color="auto"/>
            <w:bottom w:val="none" w:sz="0" w:space="0" w:color="auto"/>
            <w:right w:val="none" w:sz="0" w:space="0" w:color="auto"/>
          </w:divBdr>
        </w:div>
        <w:div w:id="1596984423">
          <w:marLeft w:val="2520"/>
          <w:marRight w:val="0"/>
          <w:marTop w:val="58"/>
          <w:marBottom w:val="0"/>
          <w:divBdr>
            <w:top w:val="none" w:sz="0" w:space="0" w:color="auto"/>
            <w:left w:val="none" w:sz="0" w:space="0" w:color="auto"/>
            <w:bottom w:val="none" w:sz="0" w:space="0" w:color="auto"/>
            <w:right w:val="none" w:sz="0" w:space="0" w:color="auto"/>
          </w:divBdr>
        </w:div>
        <w:div w:id="1622229044">
          <w:marLeft w:val="547"/>
          <w:marRight w:val="0"/>
          <w:marTop w:val="86"/>
          <w:marBottom w:val="0"/>
          <w:divBdr>
            <w:top w:val="none" w:sz="0" w:space="0" w:color="auto"/>
            <w:left w:val="none" w:sz="0" w:space="0" w:color="auto"/>
            <w:bottom w:val="none" w:sz="0" w:space="0" w:color="auto"/>
            <w:right w:val="none" w:sz="0" w:space="0" w:color="auto"/>
          </w:divBdr>
        </w:div>
        <w:div w:id="1678073636">
          <w:marLeft w:val="1800"/>
          <w:marRight w:val="0"/>
          <w:marTop w:val="58"/>
          <w:marBottom w:val="0"/>
          <w:divBdr>
            <w:top w:val="none" w:sz="0" w:space="0" w:color="auto"/>
            <w:left w:val="none" w:sz="0" w:space="0" w:color="auto"/>
            <w:bottom w:val="none" w:sz="0" w:space="0" w:color="auto"/>
            <w:right w:val="none" w:sz="0" w:space="0" w:color="auto"/>
          </w:divBdr>
        </w:div>
        <w:div w:id="1841650861">
          <w:marLeft w:val="547"/>
          <w:marRight w:val="0"/>
          <w:marTop w:val="86"/>
          <w:marBottom w:val="0"/>
          <w:divBdr>
            <w:top w:val="none" w:sz="0" w:space="0" w:color="auto"/>
            <w:left w:val="none" w:sz="0" w:space="0" w:color="auto"/>
            <w:bottom w:val="none" w:sz="0" w:space="0" w:color="auto"/>
            <w:right w:val="none" w:sz="0" w:space="0" w:color="auto"/>
          </w:divBdr>
        </w:div>
        <w:div w:id="1895189463">
          <w:marLeft w:val="1166"/>
          <w:marRight w:val="0"/>
          <w:marTop w:val="77"/>
          <w:marBottom w:val="0"/>
          <w:divBdr>
            <w:top w:val="none" w:sz="0" w:space="0" w:color="auto"/>
            <w:left w:val="none" w:sz="0" w:space="0" w:color="auto"/>
            <w:bottom w:val="none" w:sz="0" w:space="0" w:color="auto"/>
            <w:right w:val="none" w:sz="0" w:space="0" w:color="auto"/>
          </w:divBdr>
        </w:div>
        <w:div w:id="1991518987">
          <w:marLeft w:val="2520"/>
          <w:marRight w:val="0"/>
          <w:marTop w:val="58"/>
          <w:marBottom w:val="0"/>
          <w:divBdr>
            <w:top w:val="none" w:sz="0" w:space="0" w:color="auto"/>
            <w:left w:val="none" w:sz="0" w:space="0" w:color="auto"/>
            <w:bottom w:val="none" w:sz="0" w:space="0" w:color="auto"/>
            <w:right w:val="none" w:sz="0" w:space="0" w:color="auto"/>
          </w:divBdr>
        </w:div>
      </w:divsChild>
    </w:div>
    <w:div w:id="1698578964">
      <w:bodyDiv w:val="1"/>
      <w:marLeft w:val="0"/>
      <w:marRight w:val="0"/>
      <w:marTop w:val="0"/>
      <w:marBottom w:val="0"/>
      <w:divBdr>
        <w:top w:val="none" w:sz="0" w:space="0" w:color="auto"/>
        <w:left w:val="none" w:sz="0" w:space="0" w:color="auto"/>
        <w:bottom w:val="none" w:sz="0" w:space="0" w:color="auto"/>
        <w:right w:val="none" w:sz="0" w:space="0" w:color="auto"/>
      </w:divBdr>
    </w:div>
    <w:div w:id="1701202114">
      <w:bodyDiv w:val="1"/>
      <w:marLeft w:val="0"/>
      <w:marRight w:val="0"/>
      <w:marTop w:val="0"/>
      <w:marBottom w:val="0"/>
      <w:divBdr>
        <w:top w:val="none" w:sz="0" w:space="0" w:color="auto"/>
        <w:left w:val="none" w:sz="0" w:space="0" w:color="auto"/>
        <w:bottom w:val="none" w:sz="0" w:space="0" w:color="auto"/>
        <w:right w:val="none" w:sz="0" w:space="0" w:color="auto"/>
      </w:divBdr>
      <w:divsChild>
        <w:div w:id="1901397775">
          <w:marLeft w:val="547"/>
          <w:marRight w:val="0"/>
          <w:marTop w:val="154"/>
          <w:marBottom w:val="0"/>
          <w:divBdr>
            <w:top w:val="none" w:sz="0" w:space="0" w:color="auto"/>
            <w:left w:val="none" w:sz="0" w:space="0" w:color="auto"/>
            <w:bottom w:val="none" w:sz="0" w:space="0" w:color="auto"/>
            <w:right w:val="none" w:sz="0" w:space="0" w:color="auto"/>
          </w:divBdr>
        </w:div>
      </w:divsChild>
    </w:div>
    <w:div w:id="1701465528">
      <w:bodyDiv w:val="1"/>
      <w:marLeft w:val="0"/>
      <w:marRight w:val="0"/>
      <w:marTop w:val="0"/>
      <w:marBottom w:val="0"/>
      <w:divBdr>
        <w:top w:val="none" w:sz="0" w:space="0" w:color="auto"/>
        <w:left w:val="none" w:sz="0" w:space="0" w:color="auto"/>
        <w:bottom w:val="none" w:sz="0" w:space="0" w:color="auto"/>
        <w:right w:val="none" w:sz="0" w:space="0" w:color="auto"/>
      </w:divBdr>
    </w:div>
    <w:div w:id="1701928459">
      <w:bodyDiv w:val="1"/>
      <w:marLeft w:val="0"/>
      <w:marRight w:val="0"/>
      <w:marTop w:val="0"/>
      <w:marBottom w:val="0"/>
      <w:divBdr>
        <w:top w:val="none" w:sz="0" w:space="0" w:color="auto"/>
        <w:left w:val="none" w:sz="0" w:space="0" w:color="auto"/>
        <w:bottom w:val="none" w:sz="0" w:space="0" w:color="auto"/>
        <w:right w:val="none" w:sz="0" w:space="0" w:color="auto"/>
      </w:divBdr>
    </w:div>
    <w:div w:id="1701976884">
      <w:bodyDiv w:val="1"/>
      <w:marLeft w:val="0"/>
      <w:marRight w:val="0"/>
      <w:marTop w:val="0"/>
      <w:marBottom w:val="0"/>
      <w:divBdr>
        <w:top w:val="none" w:sz="0" w:space="0" w:color="auto"/>
        <w:left w:val="none" w:sz="0" w:space="0" w:color="auto"/>
        <w:bottom w:val="none" w:sz="0" w:space="0" w:color="auto"/>
        <w:right w:val="none" w:sz="0" w:space="0" w:color="auto"/>
      </w:divBdr>
    </w:div>
    <w:div w:id="1702318262">
      <w:bodyDiv w:val="1"/>
      <w:marLeft w:val="0"/>
      <w:marRight w:val="0"/>
      <w:marTop w:val="0"/>
      <w:marBottom w:val="0"/>
      <w:divBdr>
        <w:top w:val="none" w:sz="0" w:space="0" w:color="auto"/>
        <w:left w:val="none" w:sz="0" w:space="0" w:color="auto"/>
        <w:bottom w:val="none" w:sz="0" w:space="0" w:color="auto"/>
        <w:right w:val="none" w:sz="0" w:space="0" w:color="auto"/>
      </w:divBdr>
    </w:div>
    <w:div w:id="1703050915">
      <w:bodyDiv w:val="1"/>
      <w:marLeft w:val="0"/>
      <w:marRight w:val="0"/>
      <w:marTop w:val="0"/>
      <w:marBottom w:val="0"/>
      <w:divBdr>
        <w:top w:val="none" w:sz="0" w:space="0" w:color="auto"/>
        <w:left w:val="none" w:sz="0" w:space="0" w:color="auto"/>
        <w:bottom w:val="none" w:sz="0" w:space="0" w:color="auto"/>
        <w:right w:val="none" w:sz="0" w:space="0" w:color="auto"/>
      </w:divBdr>
      <w:divsChild>
        <w:div w:id="433137606">
          <w:marLeft w:val="1166"/>
          <w:marRight w:val="0"/>
          <w:marTop w:val="96"/>
          <w:marBottom w:val="0"/>
          <w:divBdr>
            <w:top w:val="none" w:sz="0" w:space="0" w:color="auto"/>
            <w:left w:val="none" w:sz="0" w:space="0" w:color="auto"/>
            <w:bottom w:val="none" w:sz="0" w:space="0" w:color="auto"/>
            <w:right w:val="none" w:sz="0" w:space="0" w:color="auto"/>
          </w:divBdr>
        </w:div>
        <w:div w:id="599096954">
          <w:marLeft w:val="547"/>
          <w:marRight w:val="0"/>
          <w:marTop w:val="115"/>
          <w:marBottom w:val="0"/>
          <w:divBdr>
            <w:top w:val="none" w:sz="0" w:space="0" w:color="auto"/>
            <w:left w:val="none" w:sz="0" w:space="0" w:color="auto"/>
            <w:bottom w:val="none" w:sz="0" w:space="0" w:color="auto"/>
            <w:right w:val="none" w:sz="0" w:space="0" w:color="auto"/>
          </w:divBdr>
        </w:div>
        <w:div w:id="2127691946">
          <w:marLeft w:val="1166"/>
          <w:marRight w:val="0"/>
          <w:marTop w:val="96"/>
          <w:marBottom w:val="0"/>
          <w:divBdr>
            <w:top w:val="none" w:sz="0" w:space="0" w:color="auto"/>
            <w:left w:val="none" w:sz="0" w:space="0" w:color="auto"/>
            <w:bottom w:val="none" w:sz="0" w:space="0" w:color="auto"/>
            <w:right w:val="none" w:sz="0" w:space="0" w:color="auto"/>
          </w:divBdr>
        </w:div>
      </w:divsChild>
    </w:div>
    <w:div w:id="1705330169">
      <w:bodyDiv w:val="1"/>
      <w:marLeft w:val="0"/>
      <w:marRight w:val="0"/>
      <w:marTop w:val="0"/>
      <w:marBottom w:val="0"/>
      <w:divBdr>
        <w:top w:val="none" w:sz="0" w:space="0" w:color="auto"/>
        <w:left w:val="none" w:sz="0" w:space="0" w:color="auto"/>
        <w:bottom w:val="none" w:sz="0" w:space="0" w:color="auto"/>
        <w:right w:val="none" w:sz="0" w:space="0" w:color="auto"/>
      </w:divBdr>
      <w:divsChild>
        <w:div w:id="91626674">
          <w:marLeft w:val="1166"/>
          <w:marRight w:val="0"/>
          <w:marTop w:val="96"/>
          <w:marBottom w:val="0"/>
          <w:divBdr>
            <w:top w:val="none" w:sz="0" w:space="0" w:color="auto"/>
            <w:left w:val="none" w:sz="0" w:space="0" w:color="auto"/>
            <w:bottom w:val="none" w:sz="0" w:space="0" w:color="auto"/>
            <w:right w:val="none" w:sz="0" w:space="0" w:color="auto"/>
          </w:divBdr>
        </w:div>
        <w:div w:id="166134012">
          <w:marLeft w:val="1800"/>
          <w:marRight w:val="0"/>
          <w:marTop w:val="86"/>
          <w:marBottom w:val="0"/>
          <w:divBdr>
            <w:top w:val="none" w:sz="0" w:space="0" w:color="auto"/>
            <w:left w:val="none" w:sz="0" w:space="0" w:color="auto"/>
            <w:bottom w:val="none" w:sz="0" w:space="0" w:color="auto"/>
            <w:right w:val="none" w:sz="0" w:space="0" w:color="auto"/>
          </w:divBdr>
        </w:div>
        <w:div w:id="383992878">
          <w:marLeft w:val="1166"/>
          <w:marRight w:val="0"/>
          <w:marTop w:val="96"/>
          <w:marBottom w:val="0"/>
          <w:divBdr>
            <w:top w:val="none" w:sz="0" w:space="0" w:color="auto"/>
            <w:left w:val="none" w:sz="0" w:space="0" w:color="auto"/>
            <w:bottom w:val="none" w:sz="0" w:space="0" w:color="auto"/>
            <w:right w:val="none" w:sz="0" w:space="0" w:color="auto"/>
          </w:divBdr>
        </w:div>
        <w:div w:id="414396781">
          <w:marLeft w:val="2520"/>
          <w:marRight w:val="0"/>
          <w:marTop w:val="67"/>
          <w:marBottom w:val="0"/>
          <w:divBdr>
            <w:top w:val="none" w:sz="0" w:space="0" w:color="auto"/>
            <w:left w:val="none" w:sz="0" w:space="0" w:color="auto"/>
            <w:bottom w:val="none" w:sz="0" w:space="0" w:color="auto"/>
            <w:right w:val="none" w:sz="0" w:space="0" w:color="auto"/>
          </w:divBdr>
        </w:div>
        <w:div w:id="778525213">
          <w:marLeft w:val="1800"/>
          <w:marRight w:val="0"/>
          <w:marTop w:val="86"/>
          <w:marBottom w:val="0"/>
          <w:divBdr>
            <w:top w:val="none" w:sz="0" w:space="0" w:color="auto"/>
            <w:left w:val="none" w:sz="0" w:space="0" w:color="auto"/>
            <w:bottom w:val="none" w:sz="0" w:space="0" w:color="auto"/>
            <w:right w:val="none" w:sz="0" w:space="0" w:color="auto"/>
          </w:divBdr>
        </w:div>
        <w:div w:id="1213924540">
          <w:marLeft w:val="1166"/>
          <w:marRight w:val="0"/>
          <w:marTop w:val="96"/>
          <w:marBottom w:val="0"/>
          <w:divBdr>
            <w:top w:val="none" w:sz="0" w:space="0" w:color="auto"/>
            <w:left w:val="none" w:sz="0" w:space="0" w:color="auto"/>
            <w:bottom w:val="none" w:sz="0" w:space="0" w:color="auto"/>
            <w:right w:val="none" w:sz="0" w:space="0" w:color="auto"/>
          </w:divBdr>
        </w:div>
        <w:div w:id="1365448596">
          <w:marLeft w:val="547"/>
          <w:marRight w:val="0"/>
          <w:marTop w:val="115"/>
          <w:marBottom w:val="0"/>
          <w:divBdr>
            <w:top w:val="none" w:sz="0" w:space="0" w:color="auto"/>
            <w:left w:val="none" w:sz="0" w:space="0" w:color="auto"/>
            <w:bottom w:val="none" w:sz="0" w:space="0" w:color="auto"/>
            <w:right w:val="none" w:sz="0" w:space="0" w:color="auto"/>
          </w:divBdr>
        </w:div>
        <w:div w:id="1546403254">
          <w:marLeft w:val="1800"/>
          <w:marRight w:val="0"/>
          <w:marTop w:val="86"/>
          <w:marBottom w:val="0"/>
          <w:divBdr>
            <w:top w:val="none" w:sz="0" w:space="0" w:color="auto"/>
            <w:left w:val="none" w:sz="0" w:space="0" w:color="auto"/>
            <w:bottom w:val="none" w:sz="0" w:space="0" w:color="auto"/>
            <w:right w:val="none" w:sz="0" w:space="0" w:color="auto"/>
          </w:divBdr>
        </w:div>
        <w:div w:id="1872572781">
          <w:marLeft w:val="1166"/>
          <w:marRight w:val="0"/>
          <w:marTop w:val="96"/>
          <w:marBottom w:val="0"/>
          <w:divBdr>
            <w:top w:val="none" w:sz="0" w:space="0" w:color="auto"/>
            <w:left w:val="none" w:sz="0" w:space="0" w:color="auto"/>
            <w:bottom w:val="none" w:sz="0" w:space="0" w:color="auto"/>
            <w:right w:val="none" w:sz="0" w:space="0" w:color="auto"/>
          </w:divBdr>
        </w:div>
      </w:divsChild>
    </w:div>
    <w:div w:id="1707362989">
      <w:bodyDiv w:val="1"/>
      <w:marLeft w:val="0"/>
      <w:marRight w:val="0"/>
      <w:marTop w:val="0"/>
      <w:marBottom w:val="0"/>
      <w:divBdr>
        <w:top w:val="none" w:sz="0" w:space="0" w:color="auto"/>
        <w:left w:val="none" w:sz="0" w:space="0" w:color="auto"/>
        <w:bottom w:val="none" w:sz="0" w:space="0" w:color="auto"/>
        <w:right w:val="none" w:sz="0" w:space="0" w:color="auto"/>
      </w:divBdr>
    </w:div>
    <w:div w:id="1707682398">
      <w:bodyDiv w:val="1"/>
      <w:marLeft w:val="0"/>
      <w:marRight w:val="0"/>
      <w:marTop w:val="0"/>
      <w:marBottom w:val="0"/>
      <w:divBdr>
        <w:top w:val="none" w:sz="0" w:space="0" w:color="auto"/>
        <w:left w:val="none" w:sz="0" w:space="0" w:color="auto"/>
        <w:bottom w:val="none" w:sz="0" w:space="0" w:color="auto"/>
        <w:right w:val="none" w:sz="0" w:space="0" w:color="auto"/>
      </w:divBdr>
    </w:div>
    <w:div w:id="1707683585">
      <w:bodyDiv w:val="1"/>
      <w:marLeft w:val="0"/>
      <w:marRight w:val="0"/>
      <w:marTop w:val="0"/>
      <w:marBottom w:val="0"/>
      <w:divBdr>
        <w:top w:val="none" w:sz="0" w:space="0" w:color="auto"/>
        <w:left w:val="none" w:sz="0" w:space="0" w:color="auto"/>
        <w:bottom w:val="none" w:sz="0" w:space="0" w:color="auto"/>
        <w:right w:val="none" w:sz="0" w:space="0" w:color="auto"/>
      </w:divBdr>
    </w:div>
    <w:div w:id="1708214017">
      <w:bodyDiv w:val="1"/>
      <w:marLeft w:val="0"/>
      <w:marRight w:val="0"/>
      <w:marTop w:val="0"/>
      <w:marBottom w:val="0"/>
      <w:divBdr>
        <w:top w:val="none" w:sz="0" w:space="0" w:color="auto"/>
        <w:left w:val="none" w:sz="0" w:space="0" w:color="auto"/>
        <w:bottom w:val="none" w:sz="0" w:space="0" w:color="auto"/>
        <w:right w:val="none" w:sz="0" w:space="0" w:color="auto"/>
      </w:divBdr>
    </w:div>
    <w:div w:id="1710035230">
      <w:bodyDiv w:val="1"/>
      <w:marLeft w:val="0"/>
      <w:marRight w:val="0"/>
      <w:marTop w:val="0"/>
      <w:marBottom w:val="0"/>
      <w:divBdr>
        <w:top w:val="none" w:sz="0" w:space="0" w:color="auto"/>
        <w:left w:val="none" w:sz="0" w:space="0" w:color="auto"/>
        <w:bottom w:val="none" w:sz="0" w:space="0" w:color="auto"/>
        <w:right w:val="none" w:sz="0" w:space="0" w:color="auto"/>
      </w:divBdr>
    </w:div>
    <w:div w:id="1710177634">
      <w:bodyDiv w:val="1"/>
      <w:marLeft w:val="0"/>
      <w:marRight w:val="0"/>
      <w:marTop w:val="0"/>
      <w:marBottom w:val="0"/>
      <w:divBdr>
        <w:top w:val="none" w:sz="0" w:space="0" w:color="auto"/>
        <w:left w:val="none" w:sz="0" w:space="0" w:color="auto"/>
        <w:bottom w:val="none" w:sz="0" w:space="0" w:color="auto"/>
        <w:right w:val="none" w:sz="0" w:space="0" w:color="auto"/>
      </w:divBdr>
    </w:div>
    <w:div w:id="1711223490">
      <w:bodyDiv w:val="1"/>
      <w:marLeft w:val="0"/>
      <w:marRight w:val="0"/>
      <w:marTop w:val="0"/>
      <w:marBottom w:val="0"/>
      <w:divBdr>
        <w:top w:val="none" w:sz="0" w:space="0" w:color="auto"/>
        <w:left w:val="none" w:sz="0" w:space="0" w:color="auto"/>
        <w:bottom w:val="none" w:sz="0" w:space="0" w:color="auto"/>
        <w:right w:val="none" w:sz="0" w:space="0" w:color="auto"/>
      </w:divBdr>
    </w:div>
    <w:div w:id="1711805462">
      <w:bodyDiv w:val="1"/>
      <w:marLeft w:val="0"/>
      <w:marRight w:val="0"/>
      <w:marTop w:val="0"/>
      <w:marBottom w:val="0"/>
      <w:divBdr>
        <w:top w:val="none" w:sz="0" w:space="0" w:color="auto"/>
        <w:left w:val="none" w:sz="0" w:space="0" w:color="auto"/>
        <w:bottom w:val="none" w:sz="0" w:space="0" w:color="auto"/>
        <w:right w:val="none" w:sz="0" w:space="0" w:color="auto"/>
      </w:divBdr>
      <w:divsChild>
        <w:div w:id="2173948">
          <w:marLeft w:val="1080"/>
          <w:marRight w:val="0"/>
          <w:marTop w:val="100"/>
          <w:marBottom w:val="0"/>
          <w:divBdr>
            <w:top w:val="none" w:sz="0" w:space="0" w:color="auto"/>
            <w:left w:val="none" w:sz="0" w:space="0" w:color="auto"/>
            <w:bottom w:val="none" w:sz="0" w:space="0" w:color="auto"/>
            <w:right w:val="none" w:sz="0" w:space="0" w:color="auto"/>
          </w:divBdr>
        </w:div>
        <w:div w:id="205338103">
          <w:marLeft w:val="360"/>
          <w:marRight w:val="0"/>
          <w:marTop w:val="200"/>
          <w:marBottom w:val="0"/>
          <w:divBdr>
            <w:top w:val="none" w:sz="0" w:space="0" w:color="auto"/>
            <w:left w:val="none" w:sz="0" w:space="0" w:color="auto"/>
            <w:bottom w:val="none" w:sz="0" w:space="0" w:color="auto"/>
            <w:right w:val="none" w:sz="0" w:space="0" w:color="auto"/>
          </w:divBdr>
        </w:div>
        <w:div w:id="695085383">
          <w:marLeft w:val="1080"/>
          <w:marRight w:val="0"/>
          <w:marTop w:val="100"/>
          <w:marBottom w:val="0"/>
          <w:divBdr>
            <w:top w:val="none" w:sz="0" w:space="0" w:color="auto"/>
            <w:left w:val="none" w:sz="0" w:space="0" w:color="auto"/>
            <w:bottom w:val="none" w:sz="0" w:space="0" w:color="auto"/>
            <w:right w:val="none" w:sz="0" w:space="0" w:color="auto"/>
          </w:divBdr>
        </w:div>
      </w:divsChild>
    </w:div>
    <w:div w:id="1712456653">
      <w:bodyDiv w:val="1"/>
      <w:marLeft w:val="0"/>
      <w:marRight w:val="0"/>
      <w:marTop w:val="0"/>
      <w:marBottom w:val="0"/>
      <w:divBdr>
        <w:top w:val="none" w:sz="0" w:space="0" w:color="auto"/>
        <w:left w:val="none" w:sz="0" w:space="0" w:color="auto"/>
        <w:bottom w:val="none" w:sz="0" w:space="0" w:color="auto"/>
        <w:right w:val="none" w:sz="0" w:space="0" w:color="auto"/>
      </w:divBdr>
    </w:div>
    <w:div w:id="1712610062">
      <w:bodyDiv w:val="1"/>
      <w:marLeft w:val="0"/>
      <w:marRight w:val="0"/>
      <w:marTop w:val="0"/>
      <w:marBottom w:val="0"/>
      <w:divBdr>
        <w:top w:val="none" w:sz="0" w:space="0" w:color="auto"/>
        <w:left w:val="none" w:sz="0" w:space="0" w:color="auto"/>
        <w:bottom w:val="none" w:sz="0" w:space="0" w:color="auto"/>
        <w:right w:val="none" w:sz="0" w:space="0" w:color="auto"/>
      </w:divBdr>
    </w:div>
    <w:div w:id="1713462793">
      <w:bodyDiv w:val="1"/>
      <w:marLeft w:val="0"/>
      <w:marRight w:val="0"/>
      <w:marTop w:val="0"/>
      <w:marBottom w:val="0"/>
      <w:divBdr>
        <w:top w:val="none" w:sz="0" w:space="0" w:color="auto"/>
        <w:left w:val="none" w:sz="0" w:space="0" w:color="auto"/>
        <w:bottom w:val="none" w:sz="0" w:space="0" w:color="auto"/>
        <w:right w:val="none" w:sz="0" w:space="0" w:color="auto"/>
      </w:divBdr>
    </w:div>
    <w:div w:id="1715497139">
      <w:bodyDiv w:val="1"/>
      <w:marLeft w:val="0"/>
      <w:marRight w:val="0"/>
      <w:marTop w:val="0"/>
      <w:marBottom w:val="0"/>
      <w:divBdr>
        <w:top w:val="none" w:sz="0" w:space="0" w:color="auto"/>
        <w:left w:val="none" w:sz="0" w:space="0" w:color="auto"/>
        <w:bottom w:val="none" w:sz="0" w:space="0" w:color="auto"/>
        <w:right w:val="none" w:sz="0" w:space="0" w:color="auto"/>
      </w:divBdr>
    </w:div>
    <w:div w:id="1717195800">
      <w:bodyDiv w:val="1"/>
      <w:marLeft w:val="0"/>
      <w:marRight w:val="0"/>
      <w:marTop w:val="0"/>
      <w:marBottom w:val="0"/>
      <w:divBdr>
        <w:top w:val="none" w:sz="0" w:space="0" w:color="auto"/>
        <w:left w:val="none" w:sz="0" w:space="0" w:color="auto"/>
        <w:bottom w:val="none" w:sz="0" w:space="0" w:color="auto"/>
        <w:right w:val="none" w:sz="0" w:space="0" w:color="auto"/>
      </w:divBdr>
    </w:div>
    <w:div w:id="1718625080">
      <w:bodyDiv w:val="1"/>
      <w:marLeft w:val="0"/>
      <w:marRight w:val="0"/>
      <w:marTop w:val="0"/>
      <w:marBottom w:val="0"/>
      <w:divBdr>
        <w:top w:val="none" w:sz="0" w:space="0" w:color="auto"/>
        <w:left w:val="none" w:sz="0" w:space="0" w:color="auto"/>
        <w:bottom w:val="none" w:sz="0" w:space="0" w:color="auto"/>
        <w:right w:val="none" w:sz="0" w:space="0" w:color="auto"/>
      </w:divBdr>
      <w:divsChild>
        <w:div w:id="1436973804">
          <w:marLeft w:val="1800"/>
          <w:marRight w:val="0"/>
          <w:marTop w:val="106"/>
          <w:marBottom w:val="0"/>
          <w:divBdr>
            <w:top w:val="none" w:sz="0" w:space="0" w:color="auto"/>
            <w:left w:val="none" w:sz="0" w:space="0" w:color="auto"/>
            <w:bottom w:val="none" w:sz="0" w:space="0" w:color="auto"/>
            <w:right w:val="none" w:sz="0" w:space="0" w:color="auto"/>
          </w:divBdr>
        </w:div>
        <w:div w:id="2087340627">
          <w:marLeft w:val="1800"/>
          <w:marRight w:val="0"/>
          <w:marTop w:val="106"/>
          <w:marBottom w:val="0"/>
          <w:divBdr>
            <w:top w:val="none" w:sz="0" w:space="0" w:color="auto"/>
            <w:left w:val="none" w:sz="0" w:space="0" w:color="auto"/>
            <w:bottom w:val="none" w:sz="0" w:space="0" w:color="auto"/>
            <w:right w:val="none" w:sz="0" w:space="0" w:color="auto"/>
          </w:divBdr>
        </w:div>
      </w:divsChild>
    </w:div>
    <w:div w:id="1719275595">
      <w:bodyDiv w:val="1"/>
      <w:marLeft w:val="0"/>
      <w:marRight w:val="0"/>
      <w:marTop w:val="0"/>
      <w:marBottom w:val="0"/>
      <w:divBdr>
        <w:top w:val="none" w:sz="0" w:space="0" w:color="auto"/>
        <w:left w:val="none" w:sz="0" w:space="0" w:color="auto"/>
        <w:bottom w:val="none" w:sz="0" w:space="0" w:color="auto"/>
        <w:right w:val="none" w:sz="0" w:space="0" w:color="auto"/>
      </w:divBdr>
    </w:div>
    <w:div w:id="1719621032">
      <w:bodyDiv w:val="1"/>
      <w:marLeft w:val="0"/>
      <w:marRight w:val="0"/>
      <w:marTop w:val="0"/>
      <w:marBottom w:val="0"/>
      <w:divBdr>
        <w:top w:val="none" w:sz="0" w:space="0" w:color="auto"/>
        <w:left w:val="none" w:sz="0" w:space="0" w:color="auto"/>
        <w:bottom w:val="none" w:sz="0" w:space="0" w:color="auto"/>
        <w:right w:val="none" w:sz="0" w:space="0" w:color="auto"/>
      </w:divBdr>
      <w:divsChild>
        <w:div w:id="501704873">
          <w:marLeft w:val="2520"/>
          <w:marRight w:val="0"/>
          <w:marTop w:val="62"/>
          <w:marBottom w:val="0"/>
          <w:divBdr>
            <w:top w:val="none" w:sz="0" w:space="0" w:color="auto"/>
            <w:left w:val="none" w:sz="0" w:space="0" w:color="auto"/>
            <w:bottom w:val="none" w:sz="0" w:space="0" w:color="auto"/>
            <w:right w:val="none" w:sz="0" w:space="0" w:color="auto"/>
          </w:divBdr>
        </w:div>
        <w:div w:id="794447372">
          <w:marLeft w:val="547"/>
          <w:marRight w:val="0"/>
          <w:marTop w:val="96"/>
          <w:marBottom w:val="0"/>
          <w:divBdr>
            <w:top w:val="none" w:sz="0" w:space="0" w:color="auto"/>
            <w:left w:val="none" w:sz="0" w:space="0" w:color="auto"/>
            <w:bottom w:val="none" w:sz="0" w:space="0" w:color="auto"/>
            <w:right w:val="none" w:sz="0" w:space="0" w:color="auto"/>
          </w:divBdr>
        </w:div>
        <w:div w:id="871261971">
          <w:marLeft w:val="1800"/>
          <w:marRight w:val="0"/>
          <w:marTop w:val="72"/>
          <w:marBottom w:val="0"/>
          <w:divBdr>
            <w:top w:val="none" w:sz="0" w:space="0" w:color="auto"/>
            <w:left w:val="none" w:sz="0" w:space="0" w:color="auto"/>
            <w:bottom w:val="none" w:sz="0" w:space="0" w:color="auto"/>
            <w:right w:val="none" w:sz="0" w:space="0" w:color="auto"/>
          </w:divBdr>
        </w:div>
        <w:div w:id="1099327941">
          <w:marLeft w:val="1800"/>
          <w:marRight w:val="0"/>
          <w:marTop w:val="72"/>
          <w:marBottom w:val="0"/>
          <w:divBdr>
            <w:top w:val="none" w:sz="0" w:space="0" w:color="auto"/>
            <w:left w:val="none" w:sz="0" w:space="0" w:color="auto"/>
            <w:bottom w:val="none" w:sz="0" w:space="0" w:color="auto"/>
            <w:right w:val="none" w:sz="0" w:space="0" w:color="auto"/>
          </w:divBdr>
        </w:div>
        <w:div w:id="1110902364">
          <w:marLeft w:val="1166"/>
          <w:marRight w:val="0"/>
          <w:marTop w:val="86"/>
          <w:marBottom w:val="0"/>
          <w:divBdr>
            <w:top w:val="none" w:sz="0" w:space="0" w:color="auto"/>
            <w:left w:val="none" w:sz="0" w:space="0" w:color="auto"/>
            <w:bottom w:val="none" w:sz="0" w:space="0" w:color="auto"/>
            <w:right w:val="none" w:sz="0" w:space="0" w:color="auto"/>
          </w:divBdr>
        </w:div>
        <w:div w:id="1274441821">
          <w:marLeft w:val="1166"/>
          <w:marRight w:val="0"/>
          <w:marTop w:val="86"/>
          <w:marBottom w:val="0"/>
          <w:divBdr>
            <w:top w:val="none" w:sz="0" w:space="0" w:color="auto"/>
            <w:left w:val="none" w:sz="0" w:space="0" w:color="auto"/>
            <w:bottom w:val="none" w:sz="0" w:space="0" w:color="auto"/>
            <w:right w:val="none" w:sz="0" w:space="0" w:color="auto"/>
          </w:divBdr>
        </w:div>
        <w:div w:id="1541897331">
          <w:marLeft w:val="547"/>
          <w:marRight w:val="0"/>
          <w:marTop w:val="96"/>
          <w:marBottom w:val="0"/>
          <w:divBdr>
            <w:top w:val="none" w:sz="0" w:space="0" w:color="auto"/>
            <w:left w:val="none" w:sz="0" w:space="0" w:color="auto"/>
            <w:bottom w:val="none" w:sz="0" w:space="0" w:color="auto"/>
            <w:right w:val="none" w:sz="0" w:space="0" w:color="auto"/>
          </w:divBdr>
        </w:div>
        <w:div w:id="1563638551">
          <w:marLeft w:val="1800"/>
          <w:marRight w:val="0"/>
          <w:marTop w:val="72"/>
          <w:marBottom w:val="0"/>
          <w:divBdr>
            <w:top w:val="none" w:sz="0" w:space="0" w:color="auto"/>
            <w:left w:val="none" w:sz="0" w:space="0" w:color="auto"/>
            <w:bottom w:val="none" w:sz="0" w:space="0" w:color="auto"/>
            <w:right w:val="none" w:sz="0" w:space="0" w:color="auto"/>
          </w:divBdr>
        </w:div>
        <w:div w:id="1789274268">
          <w:marLeft w:val="1166"/>
          <w:marRight w:val="0"/>
          <w:marTop w:val="86"/>
          <w:marBottom w:val="0"/>
          <w:divBdr>
            <w:top w:val="none" w:sz="0" w:space="0" w:color="auto"/>
            <w:left w:val="none" w:sz="0" w:space="0" w:color="auto"/>
            <w:bottom w:val="none" w:sz="0" w:space="0" w:color="auto"/>
            <w:right w:val="none" w:sz="0" w:space="0" w:color="auto"/>
          </w:divBdr>
        </w:div>
        <w:div w:id="1836677919">
          <w:marLeft w:val="1800"/>
          <w:marRight w:val="0"/>
          <w:marTop w:val="72"/>
          <w:marBottom w:val="0"/>
          <w:divBdr>
            <w:top w:val="none" w:sz="0" w:space="0" w:color="auto"/>
            <w:left w:val="none" w:sz="0" w:space="0" w:color="auto"/>
            <w:bottom w:val="none" w:sz="0" w:space="0" w:color="auto"/>
            <w:right w:val="none" w:sz="0" w:space="0" w:color="auto"/>
          </w:divBdr>
        </w:div>
        <w:div w:id="1953777477">
          <w:marLeft w:val="1800"/>
          <w:marRight w:val="0"/>
          <w:marTop w:val="72"/>
          <w:marBottom w:val="0"/>
          <w:divBdr>
            <w:top w:val="none" w:sz="0" w:space="0" w:color="auto"/>
            <w:left w:val="none" w:sz="0" w:space="0" w:color="auto"/>
            <w:bottom w:val="none" w:sz="0" w:space="0" w:color="auto"/>
            <w:right w:val="none" w:sz="0" w:space="0" w:color="auto"/>
          </w:divBdr>
        </w:div>
      </w:divsChild>
    </w:div>
    <w:div w:id="1722359523">
      <w:bodyDiv w:val="1"/>
      <w:marLeft w:val="0"/>
      <w:marRight w:val="0"/>
      <w:marTop w:val="0"/>
      <w:marBottom w:val="0"/>
      <w:divBdr>
        <w:top w:val="none" w:sz="0" w:space="0" w:color="auto"/>
        <w:left w:val="none" w:sz="0" w:space="0" w:color="auto"/>
        <w:bottom w:val="none" w:sz="0" w:space="0" w:color="auto"/>
        <w:right w:val="none" w:sz="0" w:space="0" w:color="auto"/>
      </w:divBdr>
    </w:div>
    <w:div w:id="1722367072">
      <w:bodyDiv w:val="1"/>
      <w:marLeft w:val="0"/>
      <w:marRight w:val="0"/>
      <w:marTop w:val="0"/>
      <w:marBottom w:val="0"/>
      <w:divBdr>
        <w:top w:val="none" w:sz="0" w:space="0" w:color="auto"/>
        <w:left w:val="none" w:sz="0" w:space="0" w:color="auto"/>
        <w:bottom w:val="none" w:sz="0" w:space="0" w:color="auto"/>
        <w:right w:val="none" w:sz="0" w:space="0" w:color="auto"/>
      </w:divBdr>
    </w:div>
    <w:div w:id="1723794387">
      <w:bodyDiv w:val="1"/>
      <w:marLeft w:val="0"/>
      <w:marRight w:val="0"/>
      <w:marTop w:val="0"/>
      <w:marBottom w:val="0"/>
      <w:divBdr>
        <w:top w:val="none" w:sz="0" w:space="0" w:color="auto"/>
        <w:left w:val="none" w:sz="0" w:space="0" w:color="auto"/>
        <w:bottom w:val="none" w:sz="0" w:space="0" w:color="auto"/>
        <w:right w:val="none" w:sz="0" w:space="0" w:color="auto"/>
      </w:divBdr>
    </w:div>
    <w:div w:id="1723941946">
      <w:bodyDiv w:val="1"/>
      <w:marLeft w:val="0"/>
      <w:marRight w:val="0"/>
      <w:marTop w:val="0"/>
      <w:marBottom w:val="0"/>
      <w:divBdr>
        <w:top w:val="none" w:sz="0" w:space="0" w:color="auto"/>
        <w:left w:val="none" w:sz="0" w:space="0" w:color="auto"/>
        <w:bottom w:val="none" w:sz="0" w:space="0" w:color="auto"/>
        <w:right w:val="none" w:sz="0" w:space="0" w:color="auto"/>
      </w:divBdr>
    </w:div>
    <w:div w:id="1725064302">
      <w:bodyDiv w:val="1"/>
      <w:marLeft w:val="0"/>
      <w:marRight w:val="0"/>
      <w:marTop w:val="0"/>
      <w:marBottom w:val="0"/>
      <w:divBdr>
        <w:top w:val="none" w:sz="0" w:space="0" w:color="auto"/>
        <w:left w:val="none" w:sz="0" w:space="0" w:color="auto"/>
        <w:bottom w:val="none" w:sz="0" w:space="0" w:color="auto"/>
        <w:right w:val="none" w:sz="0" w:space="0" w:color="auto"/>
      </w:divBdr>
      <w:divsChild>
        <w:div w:id="675767089">
          <w:marLeft w:val="547"/>
          <w:marRight w:val="0"/>
          <w:marTop w:val="144"/>
          <w:marBottom w:val="0"/>
          <w:divBdr>
            <w:top w:val="none" w:sz="0" w:space="0" w:color="auto"/>
            <w:left w:val="none" w:sz="0" w:space="0" w:color="auto"/>
            <w:bottom w:val="none" w:sz="0" w:space="0" w:color="auto"/>
            <w:right w:val="none" w:sz="0" w:space="0" w:color="auto"/>
          </w:divBdr>
        </w:div>
        <w:div w:id="706368850">
          <w:marLeft w:val="1166"/>
          <w:marRight w:val="0"/>
          <w:marTop w:val="125"/>
          <w:marBottom w:val="0"/>
          <w:divBdr>
            <w:top w:val="none" w:sz="0" w:space="0" w:color="auto"/>
            <w:left w:val="none" w:sz="0" w:space="0" w:color="auto"/>
            <w:bottom w:val="none" w:sz="0" w:space="0" w:color="auto"/>
            <w:right w:val="none" w:sz="0" w:space="0" w:color="auto"/>
          </w:divBdr>
        </w:div>
        <w:div w:id="749084593">
          <w:marLeft w:val="547"/>
          <w:marRight w:val="0"/>
          <w:marTop w:val="144"/>
          <w:marBottom w:val="0"/>
          <w:divBdr>
            <w:top w:val="none" w:sz="0" w:space="0" w:color="auto"/>
            <w:left w:val="none" w:sz="0" w:space="0" w:color="auto"/>
            <w:bottom w:val="none" w:sz="0" w:space="0" w:color="auto"/>
            <w:right w:val="none" w:sz="0" w:space="0" w:color="auto"/>
          </w:divBdr>
        </w:div>
        <w:div w:id="1759713867">
          <w:marLeft w:val="547"/>
          <w:marRight w:val="0"/>
          <w:marTop w:val="144"/>
          <w:marBottom w:val="0"/>
          <w:divBdr>
            <w:top w:val="none" w:sz="0" w:space="0" w:color="auto"/>
            <w:left w:val="none" w:sz="0" w:space="0" w:color="auto"/>
            <w:bottom w:val="none" w:sz="0" w:space="0" w:color="auto"/>
            <w:right w:val="none" w:sz="0" w:space="0" w:color="auto"/>
          </w:divBdr>
        </w:div>
        <w:div w:id="1855804834">
          <w:marLeft w:val="1166"/>
          <w:marRight w:val="0"/>
          <w:marTop w:val="125"/>
          <w:marBottom w:val="0"/>
          <w:divBdr>
            <w:top w:val="none" w:sz="0" w:space="0" w:color="auto"/>
            <w:left w:val="none" w:sz="0" w:space="0" w:color="auto"/>
            <w:bottom w:val="none" w:sz="0" w:space="0" w:color="auto"/>
            <w:right w:val="none" w:sz="0" w:space="0" w:color="auto"/>
          </w:divBdr>
        </w:div>
        <w:div w:id="1968198304">
          <w:marLeft w:val="1166"/>
          <w:marRight w:val="0"/>
          <w:marTop w:val="125"/>
          <w:marBottom w:val="0"/>
          <w:divBdr>
            <w:top w:val="none" w:sz="0" w:space="0" w:color="auto"/>
            <w:left w:val="none" w:sz="0" w:space="0" w:color="auto"/>
            <w:bottom w:val="none" w:sz="0" w:space="0" w:color="auto"/>
            <w:right w:val="none" w:sz="0" w:space="0" w:color="auto"/>
          </w:divBdr>
        </w:div>
      </w:divsChild>
    </w:div>
    <w:div w:id="1726223311">
      <w:bodyDiv w:val="1"/>
      <w:marLeft w:val="0"/>
      <w:marRight w:val="0"/>
      <w:marTop w:val="0"/>
      <w:marBottom w:val="0"/>
      <w:divBdr>
        <w:top w:val="none" w:sz="0" w:space="0" w:color="auto"/>
        <w:left w:val="none" w:sz="0" w:space="0" w:color="auto"/>
        <w:bottom w:val="none" w:sz="0" w:space="0" w:color="auto"/>
        <w:right w:val="none" w:sz="0" w:space="0" w:color="auto"/>
      </w:divBdr>
    </w:div>
    <w:div w:id="1726639649">
      <w:bodyDiv w:val="1"/>
      <w:marLeft w:val="0"/>
      <w:marRight w:val="0"/>
      <w:marTop w:val="0"/>
      <w:marBottom w:val="0"/>
      <w:divBdr>
        <w:top w:val="none" w:sz="0" w:space="0" w:color="auto"/>
        <w:left w:val="none" w:sz="0" w:space="0" w:color="auto"/>
        <w:bottom w:val="none" w:sz="0" w:space="0" w:color="auto"/>
        <w:right w:val="none" w:sz="0" w:space="0" w:color="auto"/>
      </w:divBdr>
    </w:div>
    <w:div w:id="1727100815">
      <w:bodyDiv w:val="1"/>
      <w:marLeft w:val="0"/>
      <w:marRight w:val="0"/>
      <w:marTop w:val="0"/>
      <w:marBottom w:val="0"/>
      <w:divBdr>
        <w:top w:val="none" w:sz="0" w:space="0" w:color="auto"/>
        <w:left w:val="none" w:sz="0" w:space="0" w:color="auto"/>
        <w:bottom w:val="none" w:sz="0" w:space="0" w:color="auto"/>
        <w:right w:val="none" w:sz="0" w:space="0" w:color="auto"/>
      </w:divBdr>
    </w:div>
    <w:div w:id="1727684330">
      <w:bodyDiv w:val="1"/>
      <w:marLeft w:val="0"/>
      <w:marRight w:val="0"/>
      <w:marTop w:val="0"/>
      <w:marBottom w:val="0"/>
      <w:divBdr>
        <w:top w:val="none" w:sz="0" w:space="0" w:color="auto"/>
        <w:left w:val="none" w:sz="0" w:space="0" w:color="auto"/>
        <w:bottom w:val="none" w:sz="0" w:space="0" w:color="auto"/>
        <w:right w:val="none" w:sz="0" w:space="0" w:color="auto"/>
      </w:divBdr>
      <w:divsChild>
        <w:div w:id="46104366">
          <w:marLeft w:val="1166"/>
          <w:marRight w:val="0"/>
          <w:marTop w:val="115"/>
          <w:marBottom w:val="0"/>
          <w:divBdr>
            <w:top w:val="none" w:sz="0" w:space="0" w:color="auto"/>
            <w:left w:val="none" w:sz="0" w:space="0" w:color="auto"/>
            <w:bottom w:val="none" w:sz="0" w:space="0" w:color="auto"/>
            <w:right w:val="none" w:sz="0" w:space="0" w:color="auto"/>
          </w:divBdr>
        </w:div>
        <w:div w:id="395661959">
          <w:marLeft w:val="1800"/>
          <w:marRight w:val="0"/>
          <w:marTop w:val="86"/>
          <w:marBottom w:val="0"/>
          <w:divBdr>
            <w:top w:val="none" w:sz="0" w:space="0" w:color="auto"/>
            <w:left w:val="none" w:sz="0" w:space="0" w:color="auto"/>
            <w:bottom w:val="none" w:sz="0" w:space="0" w:color="auto"/>
            <w:right w:val="none" w:sz="0" w:space="0" w:color="auto"/>
          </w:divBdr>
        </w:div>
        <w:div w:id="672298748">
          <w:marLeft w:val="1800"/>
          <w:marRight w:val="0"/>
          <w:marTop w:val="86"/>
          <w:marBottom w:val="0"/>
          <w:divBdr>
            <w:top w:val="none" w:sz="0" w:space="0" w:color="auto"/>
            <w:left w:val="none" w:sz="0" w:space="0" w:color="auto"/>
            <w:bottom w:val="none" w:sz="0" w:space="0" w:color="auto"/>
            <w:right w:val="none" w:sz="0" w:space="0" w:color="auto"/>
          </w:divBdr>
        </w:div>
        <w:div w:id="773866286">
          <w:marLeft w:val="1800"/>
          <w:marRight w:val="0"/>
          <w:marTop w:val="86"/>
          <w:marBottom w:val="0"/>
          <w:divBdr>
            <w:top w:val="none" w:sz="0" w:space="0" w:color="auto"/>
            <w:left w:val="none" w:sz="0" w:space="0" w:color="auto"/>
            <w:bottom w:val="none" w:sz="0" w:space="0" w:color="auto"/>
            <w:right w:val="none" w:sz="0" w:space="0" w:color="auto"/>
          </w:divBdr>
        </w:div>
        <w:div w:id="1015572554">
          <w:marLeft w:val="547"/>
          <w:marRight w:val="0"/>
          <w:marTop w:val="115"/>
          <w:marBottom w:val="0"/>
          <w:divBdr>
            <w:top w:val="none" w:sz="0" w:space="0" w:color="auto"/>
            <w:left w:val="none" w:sz="0" w:space="0" w:color="auto"/>
            <w:bottom w:val="none" w:sz="0" w:space="0" w:color="auto"/>
            <w:right w:val="none" w:sz="0" w:space="0" w:color="auto"/>
          </w:divBdr>
        </w:div>
        <w:div w:id="1517891009">
          <w:marLeft w:val="1800"/>
          <w:marRight w:val="0"/>
          <w:marTop w:val="86"/>
          <w:marBottom w:val="0"/>
          <w:divBdr>
            <w:top w:val="none" w:sz="0" w:space="0" w:color="auto"/>
            <w:left w:val="none" w:sz="0" w:space="0" w:color="auto"/>
            <w:bottom w:val="none" w:sz="0" w:space="0" w:color="auto"/>
            <w:right w:val="none" w:sz="0" w:space="0" w:color="auto"/>
          </w:divBdr>
        </w:div>
        <w:div w:id="1548836252">
          <w:marLeft w:val="1166"/>
          <w:marRight w:val="0"/>
          <w:marTop w:val="115"/>
          <w:marBottom w:val="0"/>
          <w:divBdr>
            <w:top w:val="none" w:sz="0" w:space="0" w:color="auto"/>
            <w:left w:val="none" w:sz="0" w:space="0" w:color="auto"/>
            <w:bottom w:val="none" w:sz="0" w:space="0" w:color="auto"/>
            <w:right w:val="none" w:sz="0" w:space="0" w:color="auto"/>
          </w:divBdr>
        </w:div>
        <w:div w:id="1580754236">
          <w:marLeft w:val="1800"/>
          <w:marRight w:val="0"/>
          <w:marTop w:val="86"/>
          <w:marBottom w:val="0"/>
          <w:divBdr>
            <w:top w:val="none" w:sz="0" w:space="0" w:color="auto"/>
            <w:left w:val="none" w:sz="0" w:space="0" w:color="auto"/>
            <w:bottom w:val="none" w:sz="0" w:space="0" w:color="auto"/>
            <w:right w:val="none" w:sz="0" w:space="0" w:color="auto"/>
          </w:divBdr>
        </w:div>
      </w:divsChild>
    </w:div>
    <w:div w:id="1729767404">
      <w:bodyDiv w:val="1"/>
      <w:marLeft w:val="0"/>
      <w:marRight w:val="0"/>
      <w:marTop w:val="0"/>
      <w:marBottom w:val="0"/>
      <w:divBdr>
        <w:top w:val="none" w:sz="0" w:space="0" w:color="auto"/>
        <w:left w:val="none" w:sz="0" w:space="0" w:color="auto"/>
        <w:bottom w:val="none" w:sz="0" w:space="0" w:color="auto"/>
        <w:right w:val="none" w:sz="0" w:space="0" w:color="auto"/>
      </w:divBdr>
      <w:divsChild>
        <w:div w:id="1316379723">
          <w:marLeft w:val="360"/>
          <w:marRight w:val="0"/>
          <w:marTop w:val="200"/>
          <w:marBottom w:val="0"/>
          <w:divBdr>
            <w:top w:val="none" w:sz="0" w:space="0" w:color="auto"/>
            <w:left w:val="none" w:sz="0" w:space="0" w:color="auto"/>
            <w:bottom w:val="none" w:sz="0" w:space="0" w:color="auto"/>
            <w:right w:val="none" w:sz="0" w:space="0" w:color="auto"/>
          </w:divBdr>
        </w:div>
        <w:div w:id="1367097045">
          <w:marLeft w:val="1080"/>
          <w:marRight w:val="0"/>
          <w:marTop w:val="100"/>
          <w:marBottom w:val="0"/>
          <w:divBdr>
            <w:top w:val="none" w:sz="0" w:space="0" w:color="auto"/>
            <w:left w:val="none" w:sz="0" w:space="0" w:color="auto"/>
            <w:bottom w:val="none" w:sz="0" w:space="0" w:color="auto"/>
            <w:right w:val="none" w:sz="0" w:space="0" w:color="auto"/>
          </w:divBdr>
        </w:div>
        <w:div w:id="2140609477">
          <w:marLeft w:val="1080"/>
          <w:marRight w:val="0"/>
          <w:marTop w:val="100"/>
          <w:marBottom w:val="0"/>
          <w:divBdr>
            <w:top w:val="none" w:sz="0" w:space="0" w:color="auto"/>
            <w:left w:val="none" w:sz="0" w:space="0" w:color="auto"/>
            <w:bottom w:val="none" w:sz="0" w:space="0" w:color="auto"/>
            <w:right w:val="none" w:sz="0" w:space="0" w:color="auto"/>
          </w:divBdr>
        </w:div>
      </w:divsChild>
    </w:div>
    <w:div w:id="1729917939">
      <w:bodyDiv w:val="1"/>
      <w:marLeft w:val="0"/>
      <w:marRight w:val="0"/>
      <w:marTop w:val="0"/>
      <w:marBottom w:val="0"/>
      <w:divBdr>
        <w:top w:val="none" w:sz="0" w:space="0" w:color="auto"/>
        <w:left w:val="none" w:sz="0" w:space="0" w:color="auto"/>
        <w:bottom w:val="none" w:sz="0" w:space="0" w:color="auto"/>
        <w:right w:val="none" w:sz="0" w:space="0" w:color="auto"/>
      </w:divBdr>
      <w:divsChild>
        <w:div w:id="120997975">
          <w:marLeft w:val="1166"/>
          <w:marRight w:val="0"/>
          <w:marTop w:val="125"/>
          <w:marBottom w:val="0"/>
          <w:divBdr>
            <w:top w:val="none" w:sz="0" w:space="0" w:color="auto"/>
            <w:left w:val="none" w:sz="0" w:space="0" w:color="auto"/>
            <w:bottom w:val="none" w:sz="0" w:space="0" w:color="auto"/>
            <w:right w:val="none" w:sz="0" w:space="0" w:color="auto"/>
          </w:divBdr>
        </w:div>
        <w:div w:id="342518744">
          <w:marLeft w:val="547"/>
          <w:marRight w:val="0"/>
          <w:marTop w:val="144"/>
          <w:marBottom w:val="0"/>
          <w:divBdr>
            <w:top w:val="none" w:sz="0" w:space="0" w:color="auto"/>
            <w:left w:val="none" w:sz="0" w:space="0" w:color="auto"/>
            <w:bottom w:val="none" w:sz="0" w:space="0" w:color="auto"/>
            <w:right w:val="none" w:sz="0" w:space="0" w:color="auto"/>
          </w:divBdr>
        </w:div>
        <w:div w:id="465007604">
          <w:marLeft w:val="547"/>
          <w:marRight w:val="0"/>
          <w:marTop w:val="144"/>
          <w:marBottom w:val="0"/>
          <w:divBdr>
            <w:top w:val="none" w:sz="0" w:space="0" w:color="auto"/>
            <w:left w:val="none" w:sz="0" w:space="0" w:color="auto"/>
            <w:bottom w:val="none" w:sz="0" w:space="0" w:color="auto"/>
            <w:right w:val="none" w:sz="0" w:space="0" w:color="auto"/>
          </w:divBdr>
        </w:div>
        <w:div w:id="782116331">
          <w:marLeft w:val="1166"/>
          <w:marRight w:val="0"/>
          <w:marTop w:val="125"/>
          <w:marBottom w:val="0"/>
          <w:divBdr>
            <w:top w:val="none" w:sz="0" w:space="0" w:color="auto"/>
            <w:left w:val="none" w:sz="0" w:space="0" w:color="auto"/>
            <w:bottom w:val="none" w:sz="0" w:space="0" w:color="auto"/>
            <w:right w:val="none" w:sz="0" w:space="0" w:color="auto"/>
          </w:divBdr>
        </w:div>
        <w:div w:id="980621639">
          <w:marLeft w:val="547"/>
          <w:marRight w:val="0"/>
          <w:marTop w:val="144"/>
          <w:marBottom w:val="0"/>
          <w:divBdr>
            <w:top w:val="none" w:sz="0" w:space="0" w:color="auto"/>
            <w:left w:val="none" w:sz="0" w:space="0" w:color="auto"/>
            <w:bottom w:val="none" w:sz="0" w:space="0" w:color="auto"/>
            <w:right w:val="none" w:sz="0" w:space="0" w:color="auto"/>
          </w:divBdr>
        </w:div>
        <w:div w:id="2121992966">
          <w:marLeft w:val="1166"/>
          <w:marRight w:val="0"/>
          <w:marTop w:val="125"/>
          <w:marBottom w:val="0"/>
          <w:divBdr>
            <w:top w:val="none" w:sz="0" w:space="0" w:color="auto"/>
            <w:left w:val="none" w:sz="0" w:space="0" w:color="auto"/>
            <w:bottom w:val="none" w:sz="0" w:space="0" w:color="auto"/>
            <w:right w:val="none" w:sz="0" w:space="0" w:color="auto"/>
          </w:divBdr>
        </w:div>
      </w:divsChild>
    </w:div>
    <w:div w:id="1730113295">
      <w:bodyDiv w:val="1"/>
      <w:marLeft w:val="0"/>
      <w:marRight w:val="0"/>
      <w:marTop w:val="0"/>
      <w:marBottom w:val="0"/>
      <w:divBdr>
        <w:top w:val="none" w:sz="0" w:space="0" w:color="auto"/>
        <w:left w:val="none" w:sz="0" w:space="0" w:color="auto"/>
        <w:bottom w:val="none" w:sz="0" w:space="0" w:color="auto"/>
        <w:right w:val="none" w:sz="0" w:space="0" w:color="auto"/>
      </w:divBdr>
    </w:div>
    <w:div w:id="1731148913">
      <w:bodyDiv w:val="1"/>
      <w:marLeft w:val="0"/>
      <w:marRight w:val="0"/>
      <w:marTop w:val="0"/>
      <w:marBottom w:val="0"/>
      <w:divBdr>
        <w:top w:val="none" w:sz="0" w:space="0" w:color="auto"/>
        <w:left w:val="none" w:sz="0" w:space="0" w:color="auto"/>
        <w:bottom w:val="none" w:sz="0" w:space="0" w:color="auto"/>
        <w:right w:val="none" w:sz="0" w:space="0" w:color="auto"/>
      </w:divBdr>
    </w:div>
    <w:div w:id="1731416946">
      <w:bodyDiv w:val="1"/>
      <w:marLeft w:val="0"/>
      <w:marRight w:val="0"/>
      <w:marTop w:val="0"/>
      <w:marBottom w:val="0"/>
      <w:divBdr>
        <w:top w:val="none" w:sz="0" w:space="0" w:color="auto"/>
        <w:left w:val="none" w:sz="0" w:space="0" w:color="auto"/>
        <w:bottom w:val="none" w:sz="0" w:space="0" w:color="auto"/>
        <w:right w:val="none" w:sz="0" w:space="0" w:color="auto"/>
      </w:divBdr>
      <w:divsChild>
        <w:div w:id="664557605">
          <w:marLeft w:val="547"/>
          <w:marRight w:val="0"/>
          <w:marTop w:val="134"/>
          <w:marBottom w:val="120"/>
          <w:divBdr>
            <w:top w:val="none" w:sz="0" w:space="0" w:color="auto"/>
            <w:left w:val="none" w:sz="0" w:space="0" w:color="auto"/>
            <w:bottom w:val="none" w:sz="0" w:space="0" w:color="auto"/>
            <w:right w:val="none" w:sz="0" w:space="0" w:color="auto"/>
          </w:divBdr>
        </w:div>
        <w:div w:id="903490913">
          <w:marLeft w:val="1166"/>
          <w:marRight w:val="0"/>
          <w:marTop w:val="115"/>
          <w:marBottom w:val="120"/>
          <w:divBdr>
            <w:top w:val="none" w:sz="0" w:space="0" w:color="auto"/>
            <w:left w:val="none" w:sz="0" w:space="0" w:color="auto"/>
            <w:bottom w:val="none" w:sz="0" w:space="0" w:color="auto"/>
            <w:right w:val="none" w:sz="0" w:space="0" w:color="auto"/>
          </w:divBdr>
        </w:div>
        <w:div w:id="1445537251">
          <w:marLeft w:val="1166"/>
          <w:marRight w:val="0"/>
          <w:marTop w:val="115"/>
          <w:marBottom w:val="120"/>
          <w:divBdr>
            <w:top w:val="none" w:sz="0" w:space="0" w:color="auto"/>
            <w:left w:val="none" w:sz="0" w:space="0" w:color="auto"/>
            <w:bottom w:val="none" w:sz="0" w:space="0" w:color="auto"/>
            <w:right w:val="none" w:sz="0" w:space="0" w:color="auto"/>
          </w:divBdr>
        </w:div>
        <w:div w:id="1530990228">
          <w:marLeft w:val="1166"/>
          <w:marRight w:val="0"/>
          <w:marTop w:val="115"/>
          <w:marBottom w:val="120"/>
          <w:divBdr>
            <w:top w:val="none" w:sz="0" w:space="0" w:color="auto"/>
            <w:left w:val="none" w:sz="0" w:space="0" w:color="auto"/>
            <w:bottom w:val="none" w:sz="0" w:space="0" w:color="auto"/>
            <w:right w:val="none" w:sz="0" w:space="0" w:color="auto"/>
          </w:divBdr>
        </w:div>
      </w:divsChild>
    </w:div>
    <w:div w:id="1731687800">
      <w:bodyDiv w:val="1"/>
      <w:marLeft w:val="0"/>
      <w:marRight w:val="0"/>
      <w:marTop w:val="0"/>
      <w:marBottom w:val="0"/>
      <w:divBdr>
        <w:top w:val="none" w:sz="0" w:space="0" w:color="auto"/>
        <w:left w:val="none" w:sz="0" w:space="0" w:color="auto"/>
        <w:bottom w:val="none" w:sz="0" w:space="0" w:color="auto"/>
        <w:right w:val="none" w:sz="0" w:space="0" w:color="auto"/>
      </w:divBdr>
    </w:div>
    <w:div w:id="1731952005">
      <w:bodyDiv w:val="1"/>
      <w:marLeft w:val="0"/>
      <w:marRight w:val="0"/>
      <w:marTop w:val="0"/>
      <w:marBottom w:val="0"/>
      <w:divBdr>
        <w:top w:val="none" w:sz="0" w:space="0" w:color="auto"/>
        <w:left w:val="none" w:sz="0" w:space="0" w:color="auto"/>
        <w:bottom w:val="none" w:sz="0" w:space="0" w:color="auto"/>
        <w:right w:val="none" w:sz="0" w:space="0" w:color="auto"/>
      </w:divBdr>
      <w:divsChild>
        <w:div w:id="1557665446">
          <w:marLeft w:val="1440"/>
          <w:marRight w:val="0"/>
          <w:marTop w:val="0"/>
          <w:marBottom w:val="0"/>
          <w:divBdr>
            <w:top w:val="none" w:sz="0" w:space="0" w:color="auto"/>
            <w:left w:val="none" w:sz="0" w:space="0" w:color="auto"/>
            <w:bottom w:val="none" w:sz="0" w:space="0" w:color="auto"/>
            <w:right w:val="none" w:sz="0" w:space="0" w:color="auto"/>
          </w:divBdr>
        </w:div>
        <w:div w:id="1726638413">
          <w:marLeft w:val="720"/>
          <w:marRight w:val="0"/>
          <w:marTop w:val="120"/>
          <w:marBottom w:val="120"/>
          <w:divBdr>
            <w:top w:val="none" w:sz="0" w:space="0" w:color="auto"/>
            <w:left w:val="none" w:sz="0" w:space="0" w:color="auto"/>
            <w:bottom w:val="none" w:sz="0" w:space="0" w:color="auto"/>
            <w:right w:val="none" w:sz="0" w:space="0" w:color="auto"/>
          </w:divBdr>
        </w:div>
      </w:divsChild>
    </w:div>
    <w:div w:id="1732072049">
      <w:bodyDiv w:val="1"/>
      <w:marLeft w:val="0"/>
      <w:marRight w:val="0"/>
      <w:marTop w:val="0"/>
      <w:marBottom w:val="0"/>
      <w:divBdr>
        <w:top w:val="none" w:sz="0" w:space="0" w:color="auto"/>
        <w:left w:val="none" w:sz="0" w:space="0" w:color="auto"/>
        <w:bottom w:val="none" w:sz="0" w:space="0" w:color="auto"/>
        <w:right w:val="none" w:sz="0" w:space="0" w:color="auto"/>
      </w:divBdr>
      <w:divsChild>
        <w:div w:id="42409793">
          <w:marLeft w:val="547"/>
          <w:marRight w:val="0"/>
          <w:marTop w:val="96"/>
          <w:marBottom w:val="0"/>
          <w:divBdr>
            <w:top w:val="none" w:sz="0" w:space="0" w:color="auto"/>
            <w:left w:val="none" w:sz="0" w:space="0" w:color="auto"/>
            <w:bottom w:val="none" w:sz="0" w:space="0" w:color="auto"/>
            <w:right w:val="none" w:sz="0" w:space="0" w:color="auto"/>
          </w:divBdr>
        </w:div>
        <w:div w:id="148518741">
          <w:marLeft w:val="1166"/>
          <w:marRight w:val="0"/>
          <w:marTop w:val="77"/>
          <w:marBottom w:val="0"/>
          <w:divBdr>
            <w:top w:val="none" w:sz="0" w:space="0" w:color="auto"/>
            <w:left w:val="none" w:sz="0" w:space="0" w:color="auto"/>
            <w:bottom w:val="none" w:sz="0" w:space="0" w:color="auto"/>
            <w:right w:val="none" w:sz="0" w:space="0" w:color="auto"/>
          </w:divBdr>
        </w:div>
        <w:div w:id="237516780">
          <w:marLeft w:val="1166"/>
          <w:marRight w:val="0"/>
          <w:marTop w:val="77"/>
          <w:marBottom w:val="0"/>
          <w:divBdr>
            <w:top w:val="none" w:sz="0" w:space="0" w:color="auto"/>
            <w:left w:val="none" w:sz="0" w:space="0" w:color="auto"/>
            <w:bottom w:val="none" w:sz="0" w:space="0" w:color="auto"/>
            <w:right w:val="none" w:sz="0" w:space="0" w:color="auto"/>
          </w:divBdr>
        </w:div>
        <w:div w:id="578448213">
          <w:marLeft w:val="1166"/>
          <w:marRight w:val="0"/>
          <w:marTop w:val="77"/>
          <w:marBottom w:val="0"/>
          <w:divBdr>
            <w:top w:val="none" w:sz="0" w:space="0" w:color="auto"/>
            <w:left w:val="none" w:sz="0" w:space="0" w:color="auto"/>
            <w:bottom w:val="none" w:sz="0" w:space="0" w:color="auto"/>
            <w:right w:val="none" w:sz="0" w:space="0" w:color="auto"/>
          </w:divBdr>
        </w:div>
        <w:div w:id="660502692">
          <w:marLeft w:val="1800"/>
          <w:marRight w:val="0"/>
          <w:marTop w:val="86"/>
          <w:marBottom w:val="0"/>
          <w:divBdr>
            <w:top w:val="none" w:sz="0" w:space="0" w:color="auto"/>
            <w:left w:val="none" w:sz="0" w:space="0" w:color="auto"/>
            <w:bottom w:val="none" w:sz="0" w:space="0" w:color="auto"/>
            <w:right w:val="none" w:sz="0" w:space="0" w:color="auto"/>
          </w:divBdr>
        </w:div>
        <w:div w:id="732199340">
          <w:marLeft w:val="1166"/>
          <w:marRight w:val="0"/>
          <w:marTop w:val="77"/>
          <w:marBottom w:val="0"/>
          <w:divBdr>
            <w:top w:val="none" w:sz="0" w:space="0" w:color="auto"/>
            <w:left w:val="none" w:sz="0" w:space="0" w:color="auto"/>
            <w:bottom w:val="none" w:sz="0" w:space="0" w:color="auto"/>
            <w:right w:val="none" w:sz="0" w:space="0" w:color="auto"/>
          </w:divBdr>
        </w:div>
        <w:div w:id="1508247297">
          <w:marLeft w:val="1166"/>
          <w:marRight w:val="0"/>
          <w:marTop w:val="86"/>
          <w:marBottom w:val="0"/>
          <w:divBdr>
            <w:top w:val="none" w:sz="0" w:space="0" w:color="auto"/>
            <w:left w:val="none" w:sz="0" w:space="0" w:color="auto"/>
            <w:bottom w:val="none" w:sz="0" w:space="0" w:color="auto"/>
            <w:right w:val="none" w:sz="0" w:space="0" w:color="auto"/>
          </w:divBdr>
        </w:div>
        <w:div w:id="1993750255">
          <w:marLeft w:val="547"/>
          <w:marRight w:val="0"/>
          <w:marTop w:val="96"/>
          <w:marBottom w:val="0"/>
          <w:divBdr>
            <w:top w:val="none" w:sz="0" w:space="0" w:color="auto"/>
            <w:left w:val="none" w:sz="0" w:space="0" w:color="auto"/>
            <w:bottom w:val="none" w:sz="0" w:space="0" w:color="auto"/>
            <w:right w:val="none" w:sz="0" w:space="0" w:color="auto"/>
          </w:divBdr>
        </w:div>
      </w:divsChild>
    </w:div>
    <w:div w:id="1733700846">
      <w:bodyDiv w:val="1"/>
      <w:marLeft w:val="0"/>
      <w:marRight w:val="0"/>
      <w:marTop w:val="0"/>
      <w:marBottom w:val="0"/>
      <w:divBdr>
        <w:top w:val="none" w:sz="0" w:space="0" w:color="auto"/>
        <w:left w:val="none" w:sz="0" w:space="0" w:color="auto"/>
        <w:bottom w:val="none" w:sz="0" w:space="0" w:color="auto"/>
        <w:right w:val="none" w:sz="0" w:space="0" w:color="auto"/>
      </w:divBdr>
    </w:div>
    <w:div w:id="1735002548">
      <w:bodyDiv w:val="1"/>
      <w:marLeft w:val="0"/>
      <w:marRight w:val="0"/>
      <w:marTop w:val="0"/>
      <w:marBottom w:val="0"/>
      <w:divBdr>
        <w:top w:val="none" w:sz="0" w:space="0" w:color="auto"/>
        <w:left w:val="none" w:sz="0" w:space="0" w:color="auto"/>
        <w:bottom w:val="none" w:sz="0" w:space="0" w:color="auto"/>
        <w:right w:val="none" w:sz="0" w:space="0" w:color="auto"/>
      </w:divBdr>
      <w:divsChild>
        <w:div w:id="1502812147">
          <w:marLeft w:val="1800"/>
          <w:marRight w:val="0"/>
          <w:marTop w:val="96"/>
          <w:marBottom w:val="0"/>
          <w:divBdr>
            <w:top w:val="none" w:sz="0" w:space="0" w:color="auto"/>
            <w:left w:val="none" w:sz="0" w:space="0" w:color="auto"/>
            <w:bottom w:val="none" w:sz="0" w:space="0" w:color="auto"/>
            <w:right w:val="none" w:sz="0" w:space="0" w:color="auto"/>
          </w:divBdr>
        </w:div>
        <w:div w:id="1578049477">
          <w:marLeft w:val="1800"/>
          <w:marRight w:val="0"/>
          <w:marTop w:val="96"/>
          <w:marBottom w:val="0"/>
          <w:divBdr>
            <w:top w:val="none" w:sz="0" w:space="0" w:color="auto"/>
            <w:left w:val="none" w:sz="0" w:space="0" w:color="auto"/>
            <w:bottom w:val="none" w:sz="0" w:space="0" w:color="auto"/>
            <w:right w:val="none" w:sz="0" w:space="0" w:color="auto"/>
          </w:divBdr>
        </w:div>
      </w:divsChild>
    </w:div>
    <w:div w:id="1735079215">
      <w:bodyDiv w:val="1"/>
      <w:marLeft w:val="0"/>
      <w:marRight w:val="0"/>
      <w:marTop w:val="0"/>
      <w:marBottom w:val="0"/>
      <w:divBdr>
        <w:top w:val="none" w:sz="0" w:space="0" w:color="auto"/>
        <w:left w:val="none" w:sz="0" w:space="0" w:color="auto"/>
        <w:bottom w:val="none" w:sz="0" w:space="0" w:color="auto"/>
        <w:right w:val="none" w:sz="0" w:space="0" w:color="auto"/>
      </w:divBdr>
    </w:div>
    <w:div w:id="1735661386">
      <w:bodyDiv w:val="1"/>
      <w:marLeft w:val="0"/>
      <w:marRight w:val="0"/>
      <w:marTop w:val="0"/>
      <w:marBottom w:val="0"/>
      <w:divBdr>
        <w:top w:val="none" w:sz="0" w:space="0" w:color="auto"/>
        <w:left w:val="none" w:sz="0" w:space="0" w:color="auto"/>
        <w:bottom w:val="none" w:sz="0" w:space="0" w:color="auto"/>
        <w:right w:val="none" w:sz="0" w:space="0" w:color="auto"/>
      </w:divBdr>
    </w:div>
    <w:div w:id="1735808339">
      <w:bodyDiv w:val="1"/>
      <w:marLeft w:val="0"/>
      <w:marRight w:val="0"/>
      <w:marTop w:val="0"/>
      <w:marBottom w:val="0"/>
      <w:divBdr>
        <w:top w:val="none" w:sz="0" w:space="0" w:color="auto"/>
        <w:left w:val="none" w:sz="0" w:space="0" w:color="auto"/>
        <w:bottom w:val="none" w:sz="0" w:space="0" w:color="auto"/>
        <w:right w:val="none" w:sz="0" w:space="0" w:color="auto"/>
      </w:divBdr>
      <w:divsChild>
        <w:div w:id="732430424">
          <w:marLeft w:val="547"/>
          <w:marRight w:val="0"/>
          <w:marTop w:val="134"/>
          <w:marBottom w:val="0"/>
          <w:divBdr>
            <w:top w:val="none" w:sz="0" w:space="0" w:color="auto"/>
            <w:left w:val="none" w:sz="0" w:space="0" w:color="auto"/>
            <w:bottom w:val="none" w:sz="0" w:space="0" w:color="auto"/>
            <w:right w:val="none" w:sz="0" w:space="0" w:color="auto"/>
          </w:divBdr>
        </w:div>
        <w:div w:id="822086572">
          <w:marLeft w:val="1166"/>
          <w:marRight w:val="0"/>
          <w:marTop w:val="115"/>
          <w:marBottom w:val="0"/>
          <w:divBdr>
            <w:top w:val="none" w:sz="0" w:space="0" w:color="auto"/>
            <w:left w:val="none" w:sz="0" w:space="0" w:color="auto"/>
            <w:bottom w:val="none" w:sz="0" w:space="0" w:color="auto"/>
            <w:right w:val="none" w:sz="0" w:space="0" w:color="auto"/>
          </w:divBdr>
        </w:div>
        <w:div w:id="964769861">
          <w:marLeft w:val="1166"/>
          <w:marRight w:val="0"/>
          <w:marTop w:val="115"/>
          <w:marBottom w:val="0"/>
          <w:divBdr>
            <w:top w:val="none" w:sz="0" w:space="0" w:color="auto"/>
            <w:left w:val="none" w:sz="0" w:space="0" w:color="auto"/>
            <w:bottom w:val="none" w:sz="0" w:space="0" w:color="auto"/>
            <w:right w:val="none" w:sz="0" w:space="0" w:color="auto"/>
          </w:divBdr>
        </w:div>
        <w:div w:id="1804536245">
          <w:marLeft w:val="1166"/>
          <w:marRight w:val="0"/>
          <w:marTop w:val="115"/>
          <w:marBottom w:val="0"/>
          <w:divBdr>
            <w:top w:val="none" w:sz="0" w:space="0" w:color="auto"/>
            <w:left w:val="none" w:sz="0" w:space="0" w:color="auto"/>
            <w:bottom w:val="none" w:sz="0" w:space="0" w:color="auto"/>
            <w:right w:val="none" w:sz="0" w:space="0" w:color="auto"/>
          </w:divBdr>
        </w:div>
        <w:div w:id="2010862337">
          <w:marLeft w:val="1166"/>
          <w:marRight w:val="0"/>
          <w:marTop w:val="115"/>
          <w:marBottom w:val="0"/>
          <w:divBdr>
            <w:top w:val="none" w:sz="0" w:space="0" w:color="auto"/>
            <w:left w:val="none" w:sz="0" w:space="0" w:color="auto"/>
            <w:bottom w:val="none" w:sz="0" w:space="0" w:color="auto"/>
            <w:right w:val="none" w:sz="0" w:space="0" w:color="auto"/>
          </w:divBdr>
        </w:div>
      </w:divsChild>
    </w:div>
    <w:div w:id="1737819943">
      <w:bodyDiv w:val="1"/>
      <w:marLeft w:val="0"/>
      <w:marRight w:val="0"/>
      <w:marTop w:val="0"/>
      <w:marBottom w:val="0"/>
      <w:divBdr>
        <w:top w:val="none" w:sz="0" w:space="0" w:color="auto"/>
        <w:left w:val="none" w:sz="0" w:space="0" w:color="auto"/>
        <w:bottom w:val="none" w:sz="0" w:space="0" w:color="auto"/>
        <w:right w:val="none" w:sz="0" w:space="0" w:color="auto"/>
      </w:divBdr>
      <w:divsChild>
        <w:div w:id="76829440">
          <w:marLeft w:val="1080"/>
          <w:marRight w:val="0"/>
          <w:marTop w:val="100"/>
          <w:marBottom w:val="0"/>
          <w:divBdr>
            <w:top w:val="none" w:sz="0" w:space="0" w:color="auto"/>
            <w:left w:val="none" w:sz="0" w:space="0" w:color="auto"/>
            <w:bottom w:val="none" w:sz="0" w:space="0" w:color="auto"/>
            <w:right w:val="none" w:sz="0" w:space="0" w:color="auto"/>
          </w:divBdr>
        </w:div>
        <w:div w:id="491533818">
          <w:marLeft w:val="1800"/>
          <w:marRight w:val="0"/>
          <w:marTop w:val="100"/>
          <w:marBottom w:val="0"/>
          <w:divBdr>
            <w:top w:val="none" w:sz="0" w:space="0" w:color="auto"/>
            <w:left w:val="none" w:sz="0" w:space="0" w:color="auto"/>
            <w:bottom w:val="none" w:sz="0" w:space="0" w:color="auto"/>
            <w:right w:val="none" w:sz="0" w:space="0" w:color="auto"/>
          </w:divBdr>
        </w:div>
        <w:div w:id="1082337840">
          <w:marLeft w:val="1800"/>
          <w:marRight w:val="0"/>
          <w:marTop w:val="100"/>
          <w:marBottom w:val="0"/>
          <w:divBdr>
            <w:top w:val="none" w:sz="0" w:space="0" w:color="auto"/>
            <w:left w:val="none" w:sz="0" w:space="0" w:color="auto"/>
            <w:bottom w:val="none" w:sz="0" w:space="0" w:color="auto"/>
            <w:right w:val="none" w:sz="0" w:space="0" w:color="auto"/>
          </w:divBdr>
        </w:div>
        <w:div w:id="1246450880">
          <w:marLeft w:val="1080"/>
          <w:marRight w:val="0"/>
          <w:marTop w:val="100"/>
          <w:marBottom w:val="0"/>
          <w:divBdr>
            <w:top w:val="none" w:sz="0" w:space="0" w:color="auto"/>
            <w:left w:val="none" w:sz="0" w:space="0" w:color="auto"/>
            <w:bottom w:val="none" w:sz="0" w:space="0" w:color="auto"/>
            <w:right w:val="none" w:sz="0" w:space="0" w:color="auto"/>
          </w:divBdr>
        </w:div>
        <w:div w:id="1568687346">
          <w:marLeft w:val="1080"/>
          <w:marRight w:val="0"/>
          <w:marTop w:val="100"/>
          <w:marBottom w:val="0"/>
          <w:divBdr>
            <w:top w:val="none" w:sz="0" w:space="0" w:color="auto"/>
            <w:left w:val="none" w:sz="0" w:space="0" w:color="auto"/>
            <w:bottom w:val="none" w:sz="0" w:space="0" w:color="auto"/>
            <w:right w:val="none" w:sz="0" w:space="0" w:color="auto"/>
          </w:divBdr>
        </w:div>
        <w:div w:id="1808278246">
          <w:marLeft w:val="1080"/>
          <w:marRight w:val="0"/>
          <w:marTop w:val="100"/>
          <w:marBottom w:val="0"/>
          <w:divBdr>
            <w:top w:val="none" w:sz="0" w:space="0" w:color="auto"/>
            <w:left w:val="none" w:sz="0" w:space="0" w:color="auto"/>
            <w:bottom w:val="none" w:sz="0" w:space="0" w:color="auto"/>
            <w:right w:val="none" w:sz="0" w:space="0" w:color="auto"/>
          </w:divBdr>
        </w:div>
      </w:divsChild>
    </w:div>
    <w:div w:id="1738935004">
      <w:bodyDiv w:val="1"/>
      <w:marLeft w:val="0"/>
      <w:marRight w:val="0"/>
      <w:marTop w:val="0"/>
      <w:marBottom w:val="0"/>
      <w:divBdr>
        <w:top w:val="none" w:sz="0" w:space="0" w:color="auto"/>
        <w:left w:val="none" w:sz="0" w:space="0" w:color="auto"/>
        <w:bottom w:val="none" w:sz="0" w:space="0" w:color="auto"/>
        <w:right w:val="none" w:sz="0" w:space="0" w:color="auto"/>
      </w:divBdr>
    </w:div>
    <w:div w:id="1739287250">
      <w:bodyDiv w:val="1"/>
      <w:marLeft w:val="0"/>
      <w:marRight w:val="0"/>
      <w:marTop w:val="0"/>
      <w:marBottom w:val="0"/>
      <w:divBdr>
        <w:top w:val="none" w:sz="0" w:space="0" w:color="auto"/>
        <w:left w:val="none" w:sz="0" w:space="0" w:color="auto"/>
        <w:bottom w:val="none" w:sz="0" w:space="0" w:color="auto"/>
        <w:right w:val="none" w:sz="0" w:space="0" w:color="auto"/>
      </w:divBdr>
    </w:div>
    <w:div w:id="1739859751">
      <w:bodyDiv w:val="1"/>
      <w:marLeft w:val="0"/>
      <w:marRight w:val="0"/>
      <w:marTop w:val="0"/>
      <w:marBottom w:val="0"/>
      <w:divBdr>
        <w:top w:val="none" w:sz="0" w:space="0" w:color="auto"/>
        <w:left w:val="none" w:sz="0" w:space="0" w:color="auto"/>
        <w:bottom w:val="none" w:sz="0" w:space="0" w:color="auto"/>
        <w:right w:val="none" w:sz="0" w:space="0" w:color="auto"/>
      </w:divBdr>
      <w:divsChild>
        <w:div w:id="531040835">
          <w:marLeft w:val="547"/>
          <w:marRight w:val="0"/>
          <w:marTop w:val="96"/>
          <w:marBottom w:val="0"/>
          <w:divBdr>
            <w:top w:val="none" w:sz="0" w:space="0" w:color="auto"/>
            <w:left w:val="none" w:sz="0" w:space="0" w:color="auto"/>
            <w:bottom w:val="none" w:sz="0" w:space="0" w:color="auto"/>
            <w:right w:val="none" w:sz="0" w:space="0" w:color="auto"/>
          </w:divBdr>
        </w:div>
        <w:div w:id="570844887">
          <w:marLeft w:val="547"/>
          <w:marRight w:val="0"/>
          <w:marTop w:val="96"/>
          <w:marBottom w:val="0"/>
          <w:divBdr>
            <w:top w:val="none" w:sz="0" w:space="0" w:color="auto"/>
            <w:left w:val="none" w:sz="0" w:space="0" w:color="auto"/>
            <w:bottom w:val="none" w:sz="0" w:space="0" w:color="auto"/>
            <w:right w:val="none" w:sz="0" w:space="0" w:color="auto"/>
          </w:divBdr>
        </w:div>
        <w:div w:id="998077742">
          <w:marLeft w:val="1166"/>
          <w:marRight w:val="0"/>
          <w:marTop w:val="86"/>
          <w:marBottom w:val="0"/>
          <w:divBdr>
            <w:top w:val="none" w:sz="0" w:space="0" w:color="auto"/>
            <w:left w:val="none" w:sz="0" w:space="0" w:color="auto"/>
            <w:bottom w:val="none" w:sz="0" w:space="0" w:color="auto"/>
            <w:right w:val="none" w:sz="0" w:space="0" w:color="auto"/>
          </w:divBdr>
        </w:div>
      </w:divsChild>
    </w:div>
    <w:div w:id="1742094817">
      <w:bodyDiv w:val="1"/>
      <w:marLeft w:val="0"/>
      <w:marRight w:val="0"/>
      <w:marTop w:val="0"/>
      <w:marBottom w:val="0"/>
      <w:divBdr>
        <w:top w:val="none" w:sz="0" w:space="0" w:color="auto"/>
        <w:left w:val="none" w:sz="0" w:space="0" w:color="auto"/>
        <w:bottom w:val="none" w:sz="0" w:space="0" w:color="auto"/>
        <w:right w:val="none" w:sz="0" w:space="0" w:color="auto"/>
      </w:divBdr>
      <w:divsChild>
        <w:div w:id="17507037">
          <w:marLeft w:val="547"/>
          <w:marRight w:val="0"/>
          <w:marTop w:val="0"/>
          <w:marBottom w:val="0"/>
          <w:divBdr>
            <w:top w:val="none" w:sz="0" w:space="0" w:color="auto"/>
            <w:left w:val="none" w:sz="0" w:space="0" w:color="auto"/>
            <w:bottom w:val="none" w:sz="0" w:space="0" w:color="auto"/>
            <w:right w:val="none" w:sz="0" w:space="0" w:color="auto"/>
          </w:divBdr>
        </w:div>
        <w:div w:id="280653843">
          <w:marLeft w:val="1166"/>
          <w:marRight w:val="0"/>
          <w:marTop w:val="0"/>
          <w:marBottom w:val="0"/>
          <w:divBdr>
            <w:top w:val="none" w:sz="0" w:space="0" w:color="auto"/>
            <w:left w:val="none" w:sz="0" w:space="0" w:color="auto"/>
            <w:bottom w:val="none" w:sz="0" w:space="0" w:color="auto"/>
            <w:right w:val="none" w:sz="0" w:space="0" w:color="auto"/>
          </w:divBdr>
        </w:div>
        <w:div w:id="318313145">
          <w:marLeft w:val="547"/>
          <w:marRight w:val="0"/>
          <w:marTop w:val="0"/>
          <w:marBottom w:val="0"/>
          <w:divBdr>
            <w:top w:val="none" w:sz="0" w:space="0" w:color="auto"/>
            <w:left w:val="none" w:sz="0" w:space="0" w:color="auto"/>
            <w:bottom w:val="none" w:sz="0" w:space="0" w:color="auto"/>
            <w:right w:val="none" w:sz="0" w:space="0" w:color="auto"/>
          </w:divBdr>
        </w:div>
        <w:div w:id="974070445">
          <w:marLeft w:val="547"/>
          <w:marRight w:val="0"/>
          <w:marTop w:val="0"/>
          <w:marBottom w:val="0"/>
          <w:divBdr>
            <w:top w:val="none" w:sz="0" w:space="0" w:color="auto"/>
            <w:left w:val="none" w:sz="0" w:space="0" w:color="auto"/>
            <w:bottom w:val="none" w:sz="0" w:space="0" w:color="auto"/>
            <w:right w:val="none" w:sz="0" w:space="0" w:color="auto"/>
          </w:divBdr>
        </w:div>
        <w:div w:id="1021393696">
          <w:marLeft w:val="547"/>
          <w:marRight w:val="0"/>
          <w:marTop w:val="0"/>
          <w:marBottom w:val="0"/>
          <w:divBdr>
            <w:top w:val="none" w:sz="0" w:space="0" w:color="auto"/>
            <w:left w:val="none" w:sz="0" w:space="0" w:color="auto"/>
            <w:bottom w:val="none" w:sz="0" w:space="0" w:color="auto"/>
            <w:right w:val="none" w:sz="0" w:space="0" w:color="auto"/>
          </w:divBdr>
        </w:div>
        <w:div w:id="1184632761">
          <w:marLeft w:val="547"/>
          <w:marRight w:val="0"/>
          <w:marTop w:val="0"/>
          <w:marBottom w:val="0"/>
          <w:divBdr>
            <w:top w:val="none" w:sz="0" w:space="0" w:color="auto"/>
            <w:left w:val="none" w:sz="0" w:space="0" w:color="auto"/>
            <w:bottom w:val="none" w:sz="0" w:space="0" w:color="auto"/>
            <w:right w:val="none" w:sz="0" w:space="0" w:color="auto"/>
          </w:divBdr>
        </w:div>
        <w:div w:id="1362705982">
          <w:marLeft w:val="1166"/>
          <w:marRight w:val="0"/>
          <w:marTop w:val="0"/>
          <w:marBottom w:val="0"/>
          <w:divBdr>
            <w:top w:val="none" w:sz="0" w:space="0" w:color="auto"/>
            <w:left w:val="none" w:sz="0" w:space="0" w:color="auto"/>
            <w:bottom w:val="none" w:sz="0" w:space="0" w:color="auto"/>
            <w:right w:val="none" w:sz="0" w:space="0" w:color="auto"/>
          </w:divBdr>
        </w:div>
        <w:div w:id="1616523101">
          <w:marLeft w:val="547"/>
          <w:marRight w:val="0"/>
          <w:marTop w:val="0"/>
          <w:marBottom w:val="0"/>
          <w:divBdr>
            <w:top w:val="none" w:sz="0" w:space="0" w:color="auto"/>
            <w:left w:val="none" w:sz="0" w:space="0" w:color="auto"/>
            <w:bottom w:val="none" w:sz="0" w:space="0" w:color="auto"/>
            <w:right w:val="none" w:sz="0" w:space="0" w:color="auto"/>
          </w:divBdr>
        </w:div>
        <w:div w:id="1685783745">
          <w:marLeft w:val="547"/>
          <w:marRight w:val="0"/>
          <w:marTop w:val="0"/>
          <w:marBottom w:val="0"/>
          <w:divBdr>
            <w:top w:val="none" w:sz="0" w:space="0" w:color="auto"/>
            <w:left w:val="none" w:sz="0" w:space="0" w:color="auto"/>
            <w:bottom w:val="none" w:sz="0" w:space="0" w:color="auto"/>
            <w:right w:val="none" w:sz="0" w:space="0" w:color="auto"/>
          </w:divBdr>
        </w:div>
        <w:div w:id="1742017020">
          <w:marLeft w:val="547"/>
          <w:marRight w:val="0"/>
          <w:marTop w:val="0"/>
          <w:marBottom w:val="0"/>
          <w:divBdr>
            <w:top w:val="none" w:sz="0" w:space="0" w:color="auto"/>
            <w:left w:val="none" w:sz="0" w:space="0" w:color="auto"/>
            <w:bottom w:val="none" w:sz="0" w:space="0" w:color="auto"/>
            <w:right w:val="none" w:sz="0" w:space="0" w:color="auto"/>
          </w:divBdr>
        </w:div>
        <w:div w:id="2030450866">
          <w:marLeft w:val="547"/>
          <w:marRight w:val="0"/>
          <w:marTop w:val="0"/>
          <w:marBottom w:val="0"/>
          <w:divBdr>
            <w:top w:val="none" w:sz="0" w:space="0" w:color="auto"/>
            <w:left w:val="none" w:sz="0" w:space="0" w:color="auto"/>
            <w:bottom w:val="none" w:sz="0" w:space="0" w:color="auto"/>
            <w:right w:val="none" w:sz="0" w:space="0" w:color="auto"/>
          </w:divBdr>
        </w:div>
        <w:div w:id="2073111677">
          <w:marLeft w:val="547"/>
          <w:marRight w:val="0"/>
          <w:marTop w:val="0"/>
          <w:marBottom w:val="0"/>
          <w:divBdr>
            <w:top w:val="none" w:sz="0" w:space="0" w:color="auto"/>
            <w:left w:val="none" w:sz="0" w:space="0" w:color="auto"/>
            <w:bottom w:val="none" w:sz="0" w:space="0" w:color="auto"/>
            <w:right w:val="none" w:sz="0" w:space="0" w:color="auto"/>
          </w:divBdr>
        </w:div>
      </w:divsChild>
    </w:div>
    <w:div w:id="1742168326">
      <w:bodyDiv w:val="1"/>
      <w:marLeft w:val="0"/>
      <w:marRight w:val="0"/>
      <w:marTop w:val="0"/>
      <w:marBottom w:val="0"/>
      <w:divBdr>
        <w:top w:val="none" w:sz="0" w:space="0" w:color="auto"/>
        <w:left w:val="none" w:sz="0" w:space="0" w:color="auto"/>
        <w:bottom w:val="none" w:sz="0" w:space="0" w:color="auto"/>
        <w:right w:val="none" w:sz="0" w:space="0" w:color="auto"/>
      </w:divBdr>
      <w:divsChild>
        <w:div w:id="1496146630">
          <w:marLeft w:val="547"/>
          <w:marRight w:val="0"/>
          <w:marTop w:val="240"/>
          <w:marBottom w:val="0"/>
          <w:divBdr>
            <w:top w:val="none" w:sz="0" w:space="0" w:color="auto"/>
            <w:left w:val="none" w:sz="0" w:space="0" w:color="auto"/>
            <w:bottom w:val="none" w:sz="0" w:space="0" w:color="auto"/>
            <w:right w:val="none" w:sz="0" w:space="0" w:color="auto"/>
          </w:divBdr>
        </w:div>
      </w:divsChild>
    </w:div>
    <w:div w:id="1742606134">
      <w:bodyDiv w:val="1"/>
      <w:marLeft w:val="0"/>
      <w:marRight w:val="0"/>
      <w:marTop w:val="0"/>
      <w:marBottom w:val="0"/>
      <w:divBdr>
        <w:top w:val="none" w:sz="0" w:space="0" w:color="auto"/>
        <w:left w:val="none" w:sz="0" w:space="0" w:color="auto"/>
        <w:bottom w:val="none" w:sz="0" w:space="0" w:color="auto"/>
        <w:right w:val="none" w:sz="0" w:space="0" w:color="auto"/>
      </w:divBdr>
    </w:div>
    <w:div w:id="1742672151">
      <w:bodyDiv w:val="1"/>
      <w:marLeft w:val="0"/>
      <w:marRight w:val="0"/>
      <w:marTop w:val="0"/>
      <w:marBottom w:val="0"/>
      <w:divBdr>
        <w:top w:val="none" w:sz="0" w:space="0" w:color="auto"/>
        <w:left w:val="none" w:sz="0" w:space="0" w:color="auto"/>
        <w:bottom w:val="none" w:sz="0" w:space="0" w:color="auto"/>
        <w:right w:val="none" w:sz="0" w:space="0" w:color="auto"/>
      </w:divBdr>
    </w:div>
    <w:div w:id="1743486565">
      <w:bodyDiv w:val="1"/>
      <w:marLeft w:val="0"/>
      <w:marRight w:val="0"/>
      <w:marTop w:val="0"/>
      <w:marBottom w:val="0"/>
      <w:divBdr>
        <w:top w:val="none" w:sz="0" w:space="0" w:color="auto"/>
        <w:left w:val="none" w:sz="0" w:space="0" w:color="auto"/>
        <w:bottom w:val="none" w:sz="0" w:space="0" w:color="auto"/>
        <w:right w:val="none" w:sz="0" w:space="0" w:color="auto"/>
      </w:divBdr>
    </w:div>
    <w:div w:id="1744373636">
      <w:bodyDiv w:val="1"/>
      <w:marLeft w:val="0"/>
      <w:marRight w:val="0"/>
      <w:marTop w:val="0"/>
      <w:marBottom w:val="0"/>
      <w:divBdr>
        <w:top w:val="none" w:sz="0" w:space="0" w:color="auto"/>
        <w:left w:val="none" w:sz="0" w:space="0" w:color="auto"/>
        <w:bottom w:val="none" w:sz="0" w:space="0" w:color="auto"/>
        <w:right w:val="none" w:sz="0" w:space="0" w:color="auto"/>
      </w:divBdr>
    </w:div>
    <w:div w:id="1744833821">
      <w:bodyDiv w:val="1"/>
      <w:marLeft w:val="0"/>
      <w:marRight w:val="0"/>
      <w:marTop w:val="0"/>
      <w:marBottom w:val="0"/>
      <w:divBdr>
        <w:top w:val="none" w:sz="0" w:space="0" w:color="auto"/>
        <w:left w:val="none" w:sz="0" w:space="0" w:color="auto"/>
        <w:bottom w:val="none" w:sz="0" w:space="0" w:color="auto"/>
        <w:right w:val="none" w:sz="0" w:space="0" w:color="auto"/>
      </w:divBdr>
    </w:div>
    <w:div w:id="1744987117">
      <w:bodyDiv w:val="1"/>
      <w:marLeft w:val="0"/>
      <w:marRight w:val="0"/>
      <w:marTop w:val="0"/>
      <w:marBottom w:val="0"/>
      <w:divBdr>
        <w:top w:val="none" w:sz="0" w:space="0" w:color="auto"/>
        <w:left w:val="none" w:sz="0" w:space="0" w:color="auto"/>
        <w:bottom w:val="none" w:sz="0" w:space="0" w:color="auto"/>
        <w:right w:val="none" w:sz="0" w:space="0" w:color="auto"/>
      </w:divBdr>
    </w:div>
    <w:div w:id="1745688003">
      <w:bodyDiv w:val="1"/>
      <w:marLeft w:val="0"/>
      <w:marRight w:val="0"/>
      <w:marTop w:val="0"/>
      <w:marBottom w:val="0"/>
      <w:divBdr>
        <w:top w:val="none" w:sz="0" w:space="0" w:color="auto"/>
        <w:left w:val="none" w:sz="0" w:space="0" w:color="auto"/>
        <w:bottom w:val="none" w:sz="0" w:space="0" w:color="auto"/>
        <w:right w:val="none" w:sz="0" w:space="0" w:color="auto"/>
      </w:divBdr>
    </w:div>
    <w:div w:id="1746031920">
      <w:bodyDiv w:val="1"/>
      <w:marLeft w:val="0"/>
      <w:marRight w:val="0"/>
      <w:marTop w:val="0"/>
      <w:marBottom w:val="0"/>
      <w:divBdr>
        <w:top w:val="none" w:sz="0" w:space="0" w:color="auto"/>
        <w:left w:val="none" w:sz="0" w:space="0" w:color="auto"/>
        <w:bottom w:val="none" w:sz="0" w:space="0" w:color="auto"/>
        <w:right w:val="none" w:sz="0" w:space="0" w:color="auto"/>
      </w:divBdr>
      <w:divsChild>
        <w:div w:id="76636392">
          <w:marLeft w:val="1166"/>
          <w:marRight w:val="0"/>
          <w:marTop w:val="77"/>
          <w:marBottom w:val="0"/>
          <w:divBdr>
            <w:top w:val="none" w:sz="0" w:space="0" w:color="auto"/>
            <w:left w:val="none" w:sz="0" w:space="0" w:color="auto"/>
            <w:bottom w:val="none" w:sz="0" w:space="0" w:color="auto"/>
            <w:right w:val="none" w:sz="0" w:space="0" w:color="auto"/>
          </w:divBdr>
        </w:div>
        <w:div w:id="148982272">
          <w:marLeft w:val="547"/>
          <w:marRight w:val="0"/>
          <w:marTop w:val="77"/>
          <w:marBottom w:val="0"/>
          <w:divBdr>
            <w:top w:val="none" w:sz="0" w:space="0" w:color="auto"/>
            <w:left w:val="none" w:sz="0" w:space="0" w:color="auto"/>
            <w:bottom w:val="none" w:sz="0" w:space="0" w:color="auto"/>
            <w:right w:val="none" w:sz="0" w:space="0" w:color="auto"/>
          </w:divBdr>
        </w:div>
        <w:div w:id="235550253">
          <w:marLeft w:val="1166"/>
          <w:marRight w:val="0"/>
          <w:marTop w:val="77"/>
          <w:marBottom w:val="0"/>
          <w:divBdr>
            <w:top w:val="none" w:sz="0" w:space="0" w:color="auto"/>
            <w:left w:val="none" w:sz="0" w:space="0" w:color="auto"/>
            <w:bottom w:val="none" w:sz="0" w:space="0" w:color="auto"/>
            <w:right w:val="none" w:sz="0" w:space="0" w:color="auto"/>
          </w:divBdr>
        </w:div>
        <w:div w:id="275984359">
          <w:marLeft w:val="1800"/>
          <w:marRight w:val="0"/>
          <w:marTop w:val="67"/>
          <w:marBottom w:val="0"/>
          <w:divBdr>
            <w:top w:val="none" w:sz="0" w:space="0" w:color="auto"/>
            <w:left w:val="none" w:sz="0" w:space="0" w:color="auto"/>
            <w:bottom w:val="none" w:sz="0" w:space="0" w:color="auto"/>
            <w:right w:val="none" w:sz="0" w:space="0" w:color="auto"/>
          </w:divBdr>
        </w:div>
        <w:div w:id="722213305">
          <w:marLeft w:val="547"/>
          <w:marRight w:val="0"/>
          <w:marTop w:val="77"/>
          <w:marBottom w:val="0"/>
          <w:divBdr>
            <w:top w:val="none" w:sz="0" w:space="0" w:color="auto"/>
            <w:left w:val="none" w:sz="0" w:space="0" w:color="auto"/>
            <w:bottom w:val="none" w:sz="0" w:space="0" w:color="auto"/>
            <w:right w:val="none" w:sz="0" w:space="0" w:color="auto"/>
          </w:divBdr>
        </w:div>
        <w:div w:id="830365565">
          <w:marLeft w:val="1166"/>
          <w:marRight w:val="0"/>
          <w:marTop w:val="77"/>
          <w:marBottom w:val="0"/>
          <w:divBdr>
            <w:top w:val="none" w:sz="0" w:space="0" w:color="auto"/>
            <w:left w:val="none" w:sz="0" w:space="0" w:color="auto"/>
            <w:bottom w:val="none" w:sz="0" w:space="0" w:color="auto"/>
            <w:right w:val="none" w:sz="0" w:space="0" w:color="auto"/>
          </w:divBdr>
        </w:div>
        <w:div w:id="883638855">
          <w:marLeft w:val="1166"/>
          <w:marRight w:val="0"/>
          <w:marTop w:val="67"/>
          <w:marBottom w:val="0"/>
          <w:divBdr>
            <w:top w:val="none" w:sz="0" w:space="0" w:color="auto"/>
            <w:left w:val="none" w:sz="0" w:space="0" w:color="auto"/>
            <w:bottom w:val="none" w:sz="0" w:space="0" w:color="auto"/>
            <w:right w:val="none" w:sz="0" w:space="0" w:color="auto"/>
          </w:divBdr>
        </w:div>
        <w:div w:id="917061761">
          <w:marLeft w:val="1166"/>
          <w:marRight w:val="0"/>
          <w:marTop w:val="70"/>
          <w:marBottom w:val="0"/>
          <w:divBdr>
            <w:top w:val="none" w:sz="0" w:space="0" w:color="auto"/>
            <w:left w:val="none" w:sz="0" w:space="0" w:color="auto"/>
            <w:bottom w:val="none" w:sz="0" w:space="0" w:color="auto"/>
            <w:right w:val="none" w:sz="0" w:space="0" w:color="auto"/>
          </w:divBdr>
        </w:div>
        <w:div w:id="933900501">
          <w:marLeft w:val="1800"/>
          <w:marRight w:val="0"/>
          <w:marTop w:val="67"/>
          <w:marBottom w:val="0"/>
          <w:divBdr>
            <w:top w:val="none" w:sz="0" w:space="0" w:color="auto"/>
            <w:left w:val="none" w:sz="0" w:space="0" w:color="auto"/>
            <w:bottom w:val="none" w:sz="0" w:space="0" w:color="auto"/>
            <w:right w:val="none" w:sz="0" w:space="0" w:color="auto"/>
          </w:divBdr>
        </w:div>
        <w:div w:id="1138298710">
          <w:marLeft w:val="1800"/>
          <w:marRight w:val="0"/>
          <w:marTop w:val="67"/>
          <w:marBottom w:val="0"/>
          <w:divBdr>
            <w:top w:val="none" w:sz="0" w:space="0" w:color="auto"/>
            <w:left w:val="none" w:sz="0" w:space="0" w:color="auto"/>
            <w:bottom w:val="none" w:sz="0" w:space="0" w:color="auto"/>
            <w:right w:val="none" w:sz="0" w:space="0" w:color="auto"/>
          </w:divBdr>
        </w:div>
        <w:div w:id="1209679928">
          <w:marLeft w:val="2520"/>
          <w:marRight w:val="0"/>
          <w:marTop w:val="58"/>
          <w:marBottom w:val="0"/>
          <w:divBdr>
            <w:top w:val="none" w:sz="0" w:space="0" w:color="auto"/>
            <w:left w:val="none" w:sz="0" w:space="0" w:color="auto"/>
            <w:bottom w:val="none" w:sz="0" w:space="0" w:color="auto"/>
            <w:right w:val="none" w:sz="0" w:space="0" w:color="auto"/>
          </w:divBdr>
        </w:div>
        <w:div w:id="1230728654">
          <w:marLeft w:val="1800"/>
          <w:marRight w:val="0"/>
          <w:marTop w:val="67"/>
          <w:marBottom w:val="0"/>
          <w:divBdr>
            <w:top w:val="none" w:sz="0" w:space="0" w:color="auto"/>
            <w:left w:val="none" w:sz="0" w:space="0" w:color="auto"/>
            <w:bottom w:val="none" w:sz="0" w:space="0" w:color="auto"/>
            <w:right w:val="none" w:sz="0" w:space="0" w:color="auto"/>
          </w:divBdr>
        </w:div>
        <w:div w:id="1325206644">
          <w:marLeft w:val="1800"/>
          <w:marRight w:val="0"/>
          <w:marTop w:val="67"/>
          <w:marBottom w:val="0"/>
          <w:divBdr>
            <w:top w:val="none" w:sz="0" w:space="0" w:color="auto"/>
            <w:left w:val="none" w:sz="0" w:space="0" w:color="auto"/>
            <w:bottom w:val="none" w:sz="0" w:space="0" w:color="auto"/>
            <w:right w:val="none" w:sz="0" w:space="0" w:color="auto"/>
          </w:divBdr>
        </w:div>
        <w:div w:id="1343319601">
          <w:marLeft w:val="547"/>
          <w:marRight w:val="0"/>
          <w:marTop w:val="77"/>
          <w:marBottom w:val="0"/>
          <w:divBdr>
            <w:top w:val="none" w:sz="0" w:space="0" w:color="auto"/>
            <w:left w:val="none" w:sz="0" w:space="0" w:color="auto"/>
            <w:bottom w:val="none" w:sz="0" w:space="0" w:color="auto"/>
            <w:right w:val="none" w:sz="0" w:space="0" w:color="auto"/>
          </w:divBdr>
        </w:div>
        <w:div w:id="1510868162">
          <w:marLeft w:val="1800"/>
          <w:marRight w:val="0"/>
          <w:marTop w:val="67"/>
          <w:marBottom w:val="0"/>
          <w:divBdr>
            <w:top w:val="none" w:sz="0" w:space="0" w:color="auto"/>
            <w:left w:val="none" w:sz="0" w:space="0" w:color="auto"/>
            <w:bottom w:val="none" w:sz="0" w:space="0" w:color="auto"/>
            <w:right w:val="none" w:sz="0" w:space="0" w:color="auto"/>
          </w:divBdr>
        </w:div>
        <w:div w:id="1529372761">
          <w:marLeft w:val="1166"/>
          <w:marRight w:val="0"/>
          <w:marTop w:val="67"/>
          <w:marBottom w:val="0"/>
          <w:divBdr>
            <w:top w:val="none" w:sz="0" w:space="0" w:color="auto"/>
            <w:left w:val="none" w:sz="0" w:space="0" w:color="auto"/>
            <w:bottom w:val="none" w:sz="0" w:space="0" w:color="auto"/>
            <w:right w:val="none" w:sz="0" w:space="0" w:color="auto"/>
          </w:divBdr>
        </w:div>
        <w:div w:id="1883665730">
          <w:marLeft w:val="1166"/>
          <w:marRight w:val="0"/>
          <w:marTop w:val="77"/>
          <w:marBottom w:val="0"/>
          <w:divBdr>
            <w:top w:val="none" w:sz="0" w:space="0" w:color="auto"/>
            <w:left w:val="none" w:sz="0" w:space="0" w:color="auto"/>
            <w:bottom w:val="none" w:sz="0" w:space="0" w:color="auto"/>
            <w:right w:val="none" w:sz="0" w:space="0" w:color="auto"/>
          </w:divBdr>
        </w:div>
        <w:div w:id="2079282344">
          <w:marLeft w:val="2520"/>
          <w:marRight w:val="0"/>
          <w:marTop w:val="58"/>
          <w:marBottom w:val="0"/>
          <w:divBdr>
            <w:top w:val="none" w:sz="0" w:space="0" w:color="auto"/>
            <w:left w:val="none" w:sz="0" w:space="0" w:color="auto"/>
            <w:bottom w:val="none" w:sz="0" w:space="0" w:color="auto"/>
            <w:right w:val="none" w:sz="0" w:space="0" w:color="auto"/>
          </w:divBdr>
        </w:div>
      </w:divsChild>
    </w:div>
    <w:div w:id="1747334357">
      <w:bodyDiv w:val="1"/>
      <w:marLeft w:val="0"/>
      <w:marRight w:val="0"/>
      <w:marTop w:val="0"/>
      <w:marBottom w:val="0"/>
      <w:divBdr>
        <w:top w:val="none" w:sz="0" w:space="0" w:color="auto"/>
        <w:left w:val="none" w:sz="0" w:space="0" w:color="auto"/>
        <w:bottom w:val="none" w:sz="0" w:space="0" w:color="auto"/>
        <w:right w:val="none" w:sz="0" w:space="0" w:color="auto"/>
      </w:divBdr>
    </w:div>
    <w:div w:id="1747461852">
      <w:bodyDiv w:val="1"/>
      <w:marLeft w:val="0"/>
      <w:marRight w:val="0"/>
      <w:marTop w:val="0"/>
      <w:marBottom w:val="0"/>
      <w:divBdr>
        <w:top w:val="none" w:sz="0" w:space="0" w:color="auto"/>
        <w:left w:val="none" w:sz="0" w:space="0" w:color="auto"/>
        <w:bottom w:val="none" w:sz="0" w:space="0" w:color="auto"/>
        <w:right w:val="none" w:sz="0" w:space="0" w:color="auto"/>
      </w:divBdr>
    </w:div>
    <w:div w:id="1747805339">
      <w:bodyDiv w:val="1"/>
      <w:marLeft w:val="0"/>
      <w:marRight w:val="0"/>
      <w:marTop w:val="0"/>
      <w:marBottom w:val="0"/>
      <w:divBdr>
        <w:top w:val="none" w:sz="0" w:space="0" w:color="auto"/>
        <w:left w:val="none" w:sz="0" w:space="0" w:color="auto"/>
        <w:bottom w:val="none" w:sz="0" w:space="0" w:color="auto"/>
        <w:right w:val="none" w:sz="0" w:space="0" w:color="auto"/>
      </w:divBdr>
    </w:div>
    <w:div w:id="1750232655">
      <w:bodyDiv w:val="1"/>
      <w:marLeft w:val="0"/>
      <w:marRight w:val="0"/>
      <w:marTop w:val="0"/>
      <w:marBottom w:val="0"/>
      <w:divBdr>
        <w:top w:val="none" w:sz="0" w:space="0" w:color="auto"/>
        <w:left w:val="none" w:sz="0" w:space="0" w:color="auto"/>
        <w:bottom w:val="none" w:sz="0" w:space="0" w:color="auto"/>
        <w:right w:val="none" w:sz="0" w:space="0" w:color="auto"/>
      </w:divBdr>
    </w:div>
    <w:div w:id="1752192899">
      <w:bodyDiv w:val="1"/>
      <w:marLeft w:val="0"/>
      <w:marRight w:val="0"/>
      <w:marTop w:val="0"/>
      <w:marBottom w:val="0"/>
      <w:divBdr>
        <w:top w:val="none" w:sz="0" w:space="0" w:color="auto"/>
        <w:left w:val="none" w:sz="0" w:space="0" w:color="auto"/>
        <w:bottom w:val="none" w:sz="0" w:space="0" w:color="auto"/>
        <w:right w:val="none" w:sz="0" w:space="0" w:color="auto"/>
      </w:divBdr>
    </w:div>
    <w:div w:id="1752702639">
      <w:bodyDiv w:val="1"/>
      <w:marLeft w:val="0"/>
      <w:marRight w:val="0"/>
      <w:marTop w:val="0"/>
      <w:marBottom w:val="0"/>
      <w:divBdr>
        <w:top w:val="none" w:sz="0" w:space="0" w:color="auto"/>
        <w:left w:val="none" w:sz="0" w:space="0" w:color="auto"/>
        <w:bottom w:val="none" w:sz="0" w:space="0" w:color="auto"/>
        <w:right w:val="none" w:sz="0" w:space="0" w:color="auto"/>
      </w:divBdr>
    </w:div>
    <w:div w:id="1752770381">
      <w:bodyDiv w:val="1"/>
      <w:marLeft w:val="0"/>
      <w:marRight w:val="0"/>
      <w:marTop w:val="0"/>
      <w:marBottom w:val="0"/>
      <w:divBdr>
        <w:top w:val="none" w:sz="0" w:space="0" w:color="auto"/>
        <w:left w:val="none" w:sz="0" w:space="0" w:color="auto"/>
        <w:bottom w:val="none" w:sz="0" w:space="0" w:color="auto"/>
        <w:right w:val="none" w:sz="0" w:space="0" w:color="auto"/>
      </w:divBdr>
      <w:divsChild>
        <w:div w:id="70549312">
          <w:marLeft w:val="1800"/>
          <w:marRight w:val="0"/>
          <w:marTop w:val="96"/>
          <w:marBottom w:val="0"/>
          <w:divBdr>
            <w:top w:val="none" w:sz="0" w:space="0" w:color="auto"/>
            <w:left w:val="none" w:sz="0" w:space="0" w:color="auto"/>
            <w:bottom w:val="none" w:sz="0" w:space="0" w:color="auto"/>
            <w:right w:val="none" w:sz="0" w:space="0" w:color="auto"/>
          </w:divBdr>
        </w:div>
        <w:div w:id="148524564">
          <w:marLeft w:val="547"/>
          <w:marRight w:val="0"/>
          <w:marTop w:val="130"/>
          <w:marBottom w:val="0"/>
          <w:divBdr>
            <w:top w:val="none" w:sz="0" w:space="0" w:color="auto"/>
            <w:left w:val="none" w:sz="0" w:space="0" w:color="auto"/>
            <w:bottom w:val="none" w:sz="0" w:space="0" w:color="auto"/>
            <w:right w:val="none" w:sz="0" w:space="0" w:color="auto"/>
          </w:divBdr>
        </w:div>
        <w:div w:id="473183442">
          <w:marLeft w:val="547"/>
          <w:marRight w:val="0"/>
          <w:marTop w:val="130"/>
          <w:marBottom w:val="0"/>
          <w:divBdr>
            <w:top w:val="none" w:sz="0" w:space="0" w:color="auto"/>
            <w:left w:val="none" w:sz="0" w:space="0" w:color="auto"/>
            <w:bottom w:val="none" w:sz="0" w:space="0" w:color="auto"/>
            <w:right w:val="none" w:sz="0" w:space="0" w:color="auto"/>
          </w:divBdr>
        </w:div>
        <w:div w:id="1391080113">
          <w:marLeft w:val="1166"/>
          <w:marRight w:val="0"/>
          <w:marTop w:val="115"/>
          <w:marBottom w:val="0"/>
          <w:divBdr>
            <w:top w:val="none" w:sz="0" w:space="0" w:color="auto"/>
            <w:left w:val="none" w:sz="0" w:space="0" w:color="auto"/>
            <w:bottom w:val="none" w:sz="0" w:space="0" w:color="auto"/>
            <w:right w:val="none" w:sz="0" w:space="0" w:color="auto"/>
          </w:divBdr>
        </w:div>
        <w:div w:id="1582257905">
          <w:marLeft w:val="547"/>
          <w:marRight w:val="0"/>
          <w:marTop w:val="130"/>
          <w:marBottom w:val="0"/>
          <w:divBdr>
            <w:top w:val="none" w:sz="0" w:space="0" w:color="auto"/>
            <w:left w:val="none" w:sz="0" w:space="0" w:color="auto"/>
            <w:bottom w:val="none" w:sz="0" w:space="0" w:color="auto"/>
            <w:right w:val="none" w:sz="0" w:space="0" w:color="auto"/>
          </w:divBdr>
        </w:div>
      </w:divsChild>
    </w:div>
    <w:div w:id="1752968919">
      <w:bodyDiv w:val="1"/>
      <w:marLeft w:val="0"/>
      <w:marRight w:val="0"/>
      <w:marTop w:val="0"/>
      <w:marBottom w:val="0"/>
      <w:divBdr>
        <w:top w:val="none" w:sz="0" w:space="0" w:color="auto"/>
        <w:left w:val="none" w:sz="0" w:space="0" w:color="auto"/>
        <w:bottom w:val="none" w:sz="0" w:space="0" w:color="auto"/>
        <w:right w:val="none" w:sz="0" w:space="0" w:color="auto"/>
      </w:divBdr>
    </w:div>
    <w:div w:id="1754666699">
      <w:bodyDiv w:val="1"/>
      <w:marLeft w:val="0"/>
      <w:marRight w:val="0"/>
      <w:marTop w:val="0"/>
      <w:marBottom w:val="0"/>
      <w:divBdr>
        <w:top w:val="none" w:sz="0" w:space="0" w:color="auto"/>
        <w:left w:val="none" w:sz="0" w:space="0" w:color="auto"/>
        <w:bottom w:val="none" w:sz="0" w:space="0" w:color="auto"/>
        <w:right w:val="none" w:sz="0" w:space="0" w:color="auto"/>
      </w:divBdr>
    </w:div>
    <w:div w:id="1755471476">
      <w:bodyDiv w:val="1"/>
      <w:marLeft w:val="0"/>
      <w:marRight w:val="0"/>
      <w:marTop w:val="0"/>
      <w:marBottom w:val="0"/>
      <w:divBdr>
        <w:top w:val="none" w:sz="0" w:space="0" w:color="auto"/>
        <w:left w:val="none" w:sz="0" w:space="0" w:color="auto"/>
        <w:bottom w:val="none" w:sz="0" w:space="0" w:color="auto"/>
        <w:right w:val="none" w:sz="0" w:space="0" w:color="auto"/>
      </w:divBdr>
    </w:div>
    <w:div w:id="1755778462">
      <w:bodyDiv w:val="1"/>
      <w:marLeft w:val="0"/>
      <w:marRight w:val="0"/>
      <w:marTop w:val="0"/>
      <w:marBottom w:val="0"/>
      <w:divBdr>
        <w:top w:val="none" w:sz="0" w:space="0" w:color="auto"/>
        <w:left w:val="none" w:sz="0" w:space="0" w:color="auto"/>
        <w:bottom w:val="none" w:sz="0" w:space="0" w:color="auto"/>
        <w:right w:val="none" w:sz="0" w:space="0" w:color="auto"/>
      </w:divBdr>
    </w:div>
    <w:div w:id="1755972488">
      <w:bodyDiv w:val="1"/>
      <w:marLeft w:val="0"/>
      <w:marRight w:val="0"/>
      <w:marTop w:val="0"/>
      <w:marBottom w:val="0"/>
      <w:divBdr>
        <w:top w:val="none" w:sz="0" w:space="0" w:color="auto"/>
        <w:left w:val="none" w:sz="0" w:space="0" w:color="auto"/>
        <w:bottom w:val="none" w:sz="0" w:space="0" w:color="auto"/>
        <w:right w:val="none" w:sz="0" w:space="0" w:color="auto"/>
      </w:divBdr>
    </w:div>
    <w:div w:id="1756977375">
      <w:bodyDiv w:val="1"/>
      <w:marLeft w:val="0"/>
      <w:marRight w:val="0"/>
      <w:marTop w:val="0"/>
      <w:marBottom w:val="0"/>
      <w:divBdr>
        <w:top w:val="none" w:sz="0" w:space="0" w:color="auto"/>
        <w:left w:val="none" w:sz="0" w:space="0" w:color="auto"/>
        <w:bottom w:val="none" w:sz="0" w:space="0" w:color="auto"/>
        <w:right w:val="none" w:sz="0" w:space="0" w:color="auto"/>
      </w:divBdr>
    </w:div>
    <w:div w:id="1757436462">
      <w:bodyDiv w:val="1"/>
      <w:marLeft w:val="0"/>
      <w:marRight w:val="0"/>
      <w:marTop w:val="0"/>
      <w:marBottom w:val="0"/>
      <w:divBdr>
        <w:top w:val="none" w:sz="0" w:space="0" w:color="auto"/>
        <w:left w:val="none" w:sz="0" w:space="0" w:color="auto"/>
        <w:bottom w:val="none" w:sz="0" w:space="0" w:color="auto"/>
        <w:right w:val="none" w:sz="0" w:space="0" w:color="auto"/>
      </w:divBdr>
    </w:div>
    <w:div w:id="1757551948">
      <w:bodyDiv w:val="1"/>
      <w:marLeft w:val="0"/>
      <w:marRight w:val="0"/>
      <w:marTop w:val="0"/>
      <w:marBottom w:val="0"/>
      <w:divBdr>
        <w:top w:val="none" w:sz="0" w:space="0" w:color="auto"/>
        <w:left w:val="none" w:sz="0" w:space="0" w:color="auto"/>
        <w:bottom w:val="none" w:sz="0" w:space="0" w:color="auto"/>
        <w:right w:val="none" w:sz="0" w:space="0" w:color="auto"/>
      </w:divBdr>
    </w:div>
    <w:div w:id="1757743321">
      <w:bodyDiv w:val="1"/>
      <w:marLeft w:val="0"/>
      <w:marRight w:val="0"/>
      <w:marTop w:val="0"/>
      <w:marBottom w:val="0"/>
      <w:divBdr>
        <w:top w:val="none" w:sz="0" w:space="0" w:color="auto"/>
        <w:left w:val="none" w:sz="0" w:space="0" w:color="auto"/>
        <w:bottom w:val="none" w:sz="0" w:space="0" w:color="auto"/>
        <w:right w:val="none" w:sz="0" w:space="0" w:color="auto"/>
      </w:divBdr>
      <w:divsChild>
        <w:div w:id="77946661">
          <w:marLeft w:val="403"/>
          <w:marRight w:val="0"/>
          <w:marTop w:val="82"/>
          <w:marBottom w:val="0"/>
          <w:divBdr>
            <w:top w:val="none" w:sz="0" w:space="0" w:color="auto"/>
            <w:left w:val="none" w:sz="0" w:space="0" w:color="auto"/>
            <w:bottom w:val="none" w:sz="0" w:space="0" w:color="auto"/>
            <w:right w:val="none" w:sz="0" w:space="0" w:color="auto"/>
          </w:divBdr>
        </w:div>
        <w:div w:id="205873824">
          <w:marLeft w:val="878"/>
          <w:marRight w:val="0"/>
          <w:marTop w:val="67"/>
          <w:marBottom w:val="0"/>
          <w:divBdr>
            <w:top w:val="none" w:sz="0" w:space="0" w:color="auto"/>
            <w:left w:val="none" w:sz="0" w:space="0" w:color="auto"/>
            <w:bottom w:val="none" w:sz="0" w:space="0" w:color="auto"/>
            <w:right w:val="none" w:sz="0" w:space="0" w:color="auto"/>
          </w:divBdr>
        </w:div>
        <w:div w:id="211550225">
          <w:marLeft w:val="878"/>
          <w:marRight w:val="0"/>
          <w:marTop w:val="72"/>
          <w:marBottom w:val="0"/>
          <w:divBdr>
            <w:top w:val="none" w:sz="0" w:space="0" w:color="auto"/>
            <w:left w:val="none" w:sz="0" w:space="0" w:color="auto"/>
            <w:bottom w:val="none" w:sz="0" w:space="0" w:color="auto"/>
            <w:right w:val="none" w:sz="0" w:space="0" w:color="auto"/>
          </w:divBdr>
        </w:div>
        <w:div w:id="317464189">
          <w:marLeft w:val="878"/>
          <w:marRight w:val="0"/>
          <w:marTop w:val="67"/>
          <w:marBottom w:val="0"/>
          <w:divBdr>
            <w:top w:val="none" w:sz="0" w:space="0" w:color="auto"/>
            <w:left w:val="none" w:sz="0" w:space="0" w:color="auto"/>
            <w:bottom w:val="none" w:sz="0" w:space="0" w:color="auto"/>
            <w:right w:val="none" w:sz="0" w:space="0" w:color="auto"/>
          </w:divBdr>
        </w:div>
        <w:div w:id="404454410">
          <w:marLeft w:val="1354"/>
          <w:marRight w:val="0"/>
          <w:marTop w:val="58"/>
          <w:marBottom w:val="0"/>
          <w:divBdr>
            <w:top w:val="none" w:sz="0" w:space="0" w:color="auto"/>
            <w:left w:val="none" w:sz="0" w:space="0" w:color="auto"/>
            <w:bottom w:val="none" w:sz="0" w:space="0" w:color="auto"/>
            <w:right w:val="none" w:sz="0" w:space="0" w:color="auto"/>
          </w:divBdr>
        </w:div>
        <w:div w:id="617758491">
          <w:marLeft w:val="1354"/>
          <w:marRight w:val="0"/>
          <w:marTop w:val="58"/>
          <w:marBottom w:val="0"/>
          <w:divBdr>
            <w:top w:val="none" w:sz="0" w:space="0" w:color="auto"/>
            <w:left w:val="none" w:sz="0" w:space="0" w:color="auto"/>
            <w:bottom w:val="none" w:sz="0" w:space="0" w:color="auto"/>
            <w:right w:val="none" w:sz="0" w:space="0" w:color="auto"/>
          </w:divBdr>
        </w:div>
        <w:div w:id="712196236">
          <w:marLeft w:val="878"/>
          <w:marRight w:val="0"/>
          <w:marTop w:val="67"/>
          <w:marBottom w:val="0"/>
          <w:divBdr>
            <w:top w:val="none" w:sz="0" w:space="0" w:color="auto"/>
            <w:left w:val="none" w:sz="0" w:space="0" w:color="auto"/>
            <w:bottom w:val="none" w:sz="0" w:space="0" w:color="auto"/>
            <w:right w:val="none" w:sz="0" w:space="0" w:color="auto"/>
          </w:divBdr>
        </w:div>
        <w:div w:id="740754302">
          <w:marLeft w:val="1354"/>
          <w:marRight w:val="0"/>
          <w:marTop w:val="58"/>
          <w:marBottom w:val="0"/>
          <w:divBdr>
            <w:top w:val="none" w:sz="0" w:space="0" w:color="auto"/>
            <w:left w:val="none" w:sz="0" w:space="0" w:color="auto"/>
            <w:bottom w:val="none" w:sz="0" w:space="0" w:color="auto"/>
            <w:right w:val="none" w:sz="0" w:space="0" w:color="auto"/>
          </w:divBdr>
        </w:div>
        <w:div w:id="921792047">
          <w:marLeft w:val="878"/>
          <w:marRight w:val="0"/>
          <w:marTop w:val="67"/>
          <w:marBottom w:val="0"/>
          <w:divBdr>
            <w:top w:val="none" w:sz="0" w:space="0" w:color="auto"/>
            <w:left w:val="none" w:sz="0" w:space="0" w:color="auto"/>
            <w:bottom w:val="none" w:sz="0" w:space="0" w:color="auto"/>
            <w:right w:val="none" w:sz="0" w:space="0" w:color="auto"/>
          </w:divBdr>
        </w:div>
        <w:div w:id="924847201">
          <w:marLeft w:val="878"/>
          <w:marRight w:val="0"/>
          <w:marTop w:val="67"/>
          <w:marBottom w:val="0"/>
          <w:divBdr>
            <w:top w:val="none" w:sz="0" w:space="0" w:color="auto"/>
            <w:left w:val="none" w:sz="0" w:space="0" w:color="auto"/>
            <w:bottom w:val="none" w:sz="0" w:space="0" w:color="auto"/>
            <w:right w:val="none" w:sz="0" w:space="0" w:color="auto"/>
          </w:divBdr>
        </w:div>
        <w:div w:id="951672273">
          <w:marLeft w:val="403"/>
          <w:marRight w:val="0"/>
          <w:marTop w:val="82"/>
          <w:marBottom w:val="0"/>
          <w:divBdr>
            <w:top w:val="none" w:sz="0" w:space="0" w:color="auto"/>
            <w:left w:val="none" w:sz="0" w:space="0" w:color="auto"/>
            <w:bottom w:val="none" w:sz="0" w:space="0" w:color="auto"/>
            <w:right w:val="none" w:sz="0" w:space="0" w:color="auto"/>
          </w:divBdr>
        </w:div>
        <w:div w:id="1927957792">
          <w:marLeft w:val="1354"/>
          <w:marRight w:val="0"/>
          <w:marTop w:val="58"/>
          <w:marBottom w:val="0"/>
          <w:divBdr>
            <w:top w:val="none" w:sz="0" w:space="0" w:color="auto"/>
            <w:left w:val="none" w:sz="0" w:space="0" w:color="auto"/>
            <w:bottom w:val="none" w:sz="0" w:space="0" w:color="auto"/>
            <w:right w:val="none" w:sz="0" w:space="0" w:color="auto"/>
          </w:divBdr>
        </w:div>
        <w:div w:id="2023822107">
          <w:marLeft w:val="878"/>
          <w:marRight w:val="0"/>
          <w:marTop w:val="67"/>
          <w:marBottom w:val="0"/>
          <w:divBdr>
            <w:top w:val="none" w:sz="0" w:space="0" w:color="auto"/>
            <w:left w:val="none" w:sz="0" w:space="0" w:color="auto"/>
            <w:bottom w:val="none" w:sz="0" w:space="0" w:color="auto"/>
            <w:right w:val="none" w:sz="0" w:space="0" w:color="auto"/>
          </w:divBdr>
        </w:div>
        <w:div w:id="2030522347">
          <w:marLeft w:val="403"/>
          <w:marRight w:val="0"/>
          <w:marTop w:val="82"/>
          <w:marBottom w:val="0"/>
          <w:divBdr>
            <w:top w:val="none" w:sz="0" w:space="0" w:color="auto"/>
            <w:left w:val="none" w:sz="0" w:space="0" w:color="auto"/>
            <w:bottom w:val="none" w:sz="0" w:space="0" w:color="auto"/>
            <w:right w:val="none" w:sz="0" w:space="0" w:color="auto"/>
          </w:divBdr>
        </w:div>
      </w:divsChild>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939867">
      <w:bodyDiv w:val="1"/>
      <w:marLeft w:val="0"/>
      <w:marRight w:val="0"/>
      <w:marTop w:val="0"/>
      <w:marBottom w:val="0"/>
      <w:divBdr>
        <w:top w:val="none" w:sz="0" w:space="0" w:color="auto"/>
        <w:left w:val="none" w:sz="0" w:space="0" w:color="auto"/>
        <w:bottom w:val="none" w:sz="0" w:space="0" w:color="auto"/>
        <w:right w:val="none" w:sz="0" w:space="0" w:color="auto"/>
      </w:divBdr>
    </w:div>
    <w:div w:id="1758214350">
      <w:bodyDiv w:val="1"/>
      <w:marLeft w:val="0"/>
      <w:marRight w:val="0"/>
      <w:marTop w:val="0"/>
      <w:marBottom w:val="0"/>
      <w:divBdr>
        <w:top w:val="none" w:sz="0" w:space="0" w:color="auto"/>
        <w:left w:val="none" w:sz="0" w:space="0" w:color="auto"/>
        <w:bottom w:val="none" w:sz="0" w:space="0" w:color="auto"/>
        <w:right w:val="none" w:sz="0" w:space="0" w:color="auto"/>
      </w:divBdr>
    </w:div>
    <w:div w:id="1758476345">
      <w:bodyDiv w:val="1"/>
      <w:marLeft w:val="0"/>
      <w:marRight w:val="0"/>
      <w:marTop w:val="0"/>
      <w:marBottom w:val="0"/>
      <w:divBdr>
        <w:top w:val="none" w:sz="0" w:space="0" w:color="auto"/>
        <w:left w:val="none" w:sz="0" w:space="0" w:color="auto"/>
        <w:bottom w:val="none" w:sz="0" w:space="0" w:color="auto"/>
        <w:right w:val="none" w:sz="0" w:space="0" w:color="auto"/>
      </w:divBdr>
    </w:div>
    <w:div w:id="1758867138">
      <w:bodyDiv w:val="1"/>
      <w:marLeft w:val="0"/>
      <w:marRight w:val="0"/>
      <w:marTop w:val="0"/>
      <w:marBottom w:val="0"/>
      <w:divBdr>
        <w:top w:val="none" w:sz="0" w:space="0" w:color="auto"/>
        <w:left w:val="none" w:sz="0" w:space="0" w:color="auto"/>
        <w:bottom w:val="none" w:sz="0" w:space="0" w:color="auto"/>
        <w:right w:val="none" w:sz="0" w:space="0" w:color="auto"/>
      </w:divBdr>
    </w:div>
    <w:div w:id="1759016804">
      <w:bodyDiv w:val="1"/>
      <w:marLeft w:val="0"/>
      <w:marRight w:val="0"/>
      <w:marTop w:val="0"/>
      <w:marBottom w:val="0"/>
      <w:divBdr>
        <w:top w:val="none" w:sz="0" w:space="0" w:color="auto"/>
        <w:left w:val="none" w:sz="0" w:space="0" w:color="auto"/>
        <w:bottom w:val="none" w:sz="0" w:space="0" w:color="auto"/>
        <w:right w:val="none" w:sz="0" w:space="0" w:color="auto"/>
      </w:divBdr>
    </w:div>
    <w:div w:id="1760444935">
      <w:bodyDiv w:val="1"/>
      <w:marLeft w:val="0"/>
      <w:marRight w:val="0"/>
      <w:marTop w:val="0"/>
      <w:marBottom w:val="0"/>
      <w:divBdr>
        <w:top w:val="none" w:sz="0" w:space="0" w:color="auto"/>
        <w:left w:val="none" w:sz="0" w:space="0" w:color="auto"/>
        <w:bottom w:val="none" w:sz="0" w:space="0" w:color="auto"/>
        <w:right w:val="none" w:sz="0" w:space="0" w:color="auto"/>
      </w:divBdr>
      <w:divsChild>
        <w:div w:id="80027226">
          <w:marLeft w:val="547"/>
          <w:marRight w:val="0"/>
          <w:marTop w:val="154"/>
          <w:marBottom w:val="0"/>
          <w:divBdr>
            <w:top w:val="none" w:sz="0" w:space="0" w:color="auto"/>
            <w:left w:val="none" w:sz="0" w:space="0" w:color="auto"/>
            <w:bottom w:val="none" w:sz="0" w:space="0" w:color="auto"/>
            <w:right w:val="none" w:sz="0" w:space="0" w:color="auto"/>
          </w:divBdr>
        </w:div>
        <w:div w:id="424887548">
          <w:marLeft w:val="547"/>
          <w:marRight w:val="0"/>
          <w:marTop w:val="154"/>
          <w:marBottom w:val="0"/>
          <w:divBdr>
            <w:top w:val="none" w:sz="0" w:space="0" w:color="auto"/>
            <w:left w:val="none" w:sz="0" w:space="0" w:color="auto"/>
            <w:bottom w:val="none" w:sz="0" w:space="0" w:color="auto"/>
            <w:right w:val="none" w:sz="0" w:space="0" w:color="auto"/>
          </w:divBdr>
        </w:div>
      </w:divsChild>
    </w:div>
    <w:div w:id="1760901572">
      <w:bodyDiv w:val="1"/>
      <w:marLeft w:val="0"/>
      <w:marRight w:val="0"/>
      <w:marTop w:val="0"/>
      <w:marBottom w:val="0"/>
      <w:divBdr>
        <w:top w:val="none" w:sz="0" w:space="0" w:color="auto"/>
        <w:left w:val="none" w:sz="0" w:space="0" w:color="auto"/>
        <w:bottom w:val="none" w:sz="0" w:space="0" w:color="auto"/>
        <w:right w:val="none" w:sz="0" w:space="0" w:color="auto"/>
      </w:divBdr>
    </w:div>
    <w:div w:id="1762488053">
      <w:bodyDiv w:val="1"/>
      <w:marLeft w:val="0"/>
      <w:marRight w:val="0"/>
      <w:marTop w:val="0"/>
      <w:marBottom w:val="0"/>
      <w:divBdr>
        <w:top w:val="none" w:sz="0" w:space="0" w:color="auto"/>
        <w:left w:val="none" w:sz="0" w:space="0" w:color="auto"/>
        <w:bottom w:val="none" w:sz="0" w:space="0" w:color="auto"/>
        <w:right w:val="none" w:sz="0" w:space="0" w:color="auto"/>
      </w:divBdr>
    </w:div>
    <w:div w:id="1762527348">
      <w:bodyDiv w:val="1"/>
      <w:marLeft w:val="0"/>
      <w:marRight w:val="0"/>
      <w:marTop w:val="0"/>
      <w:marBottom w:val="0"/>
      <w:divBdr>
        <w:top w:val="none" w:sz="0" w:space="0" w:color="auto"/>
        <w:left w:val="none" w:sz="0" w:space="0" w:color="auto"/>
        <w:bottom w:val="none" w:sz="0" w:space="0" w:color="auto"/>
        <w:right w:val="none" w:sz="0" w:space="0" w:color="auto"/>
      </w:divBdr>
    </w:div>
    <w:div w:id="1763334921">
      <w:bodyDiv w:val="1"/>
      <w:marLeft w:val="0"/>
      <w:marRight w:val="0"/>
      <w:marTop w:val="0"/>
      <w:marBottom w:val="0"/>
      <w:divBdr>
        <w:top w:val="none" w:sz="0" w:space="0" w:color="auto"/>
        <w:left w:val="none" w:sz="0" w:space="0" w:color="auto"/>
        <w:bottom w:val="none" w:sz="0" w:space="0" w:color="auto"/>
        <w:right w:val="none" w:sz="0" w:space="0" w:color="auto"/>
      </w:divBdr>
    </w:div>
    <w:div w:id="1764182634">
      <w:bodyDiv w:val="1"/>
      <w:marLeft w:val="0"/>
      <w:marRight w:val="0"/>
      <w:marTop w:val="0"/>
      <w:marBottom w:val="0"/>
      <w:divBdr>
        <w:top w:val="none" w:sz="0" w:space="0" w:color="auto"/>
        <w:left w:val="none" w:sz="0" w:space="0" w:color="auto"/>
        <w:bottom w:val="none" w:sz="0" w:space="0" w:color="auto"/>
        <w:right w:val="none" w:sz="0" w:space="0" w:color="auto"/>
      </w:divBdr>
    </w:div>
    <w:div w:id="1766533435">
      <w:bodyDiv w:val="1"/>
      <w:marLeft w:val="0"/>
      <w:marRight w:val="0"/>
      <w:marTop w:val="0"/>
      <w:marBottom w:val="0"/>
      <w:divBdr>
        <w:top w:val="none" w:sz="0" w:space="0" w:color="auto"/>
        <w:left w:val="none" w:sz="0" w:space="0" w:color="auto"/>
        <w:bottom w:val="none" w:sz="0" w:space="0" w:color="auto"/>
        <w:right w:val="none" w:sz="0" w:space="0" w:color="auto"/>
      </w:divBdr>
    </w:div>
    <w:div w:id="1767381982">
      <w:bodyDiv w:val="1"/>
      <w:marLeft w:val="0"/>
      <w:marRight w:val="0"/>
      <w:marTop w:val="0"/>
      <w:marBottom w:val="0"/>
      <w:divBdr>
        <w:top w:val="none" w:sz="0" w:space="0" w:color="auto"/>
        <w:left w:val="none" w:sz="0" w:space="0" w:color="auto"/>
        <w:bottom w:val="none" w:sz="0" w:space="0" w:color="auto"/>
        <w:right w:val="none" w:sz="0" w:space="0" w:color="auto"/>
      </w:divBdr>
    </w:div>
    <w:div w:id="1767846973">
      <w:bodyDiv w:val="1"/>
      <w:marLeft w:val="0"/>
      <w:marRight w:val="0"/>
      <w:marTop w:val="0"/>
      <w:marBottom w:val="0"/>
      <w:divBdr>
        <w:top w:val="none" w:sz="0" w:space="0" w:color="auto"/>
        <w:left w:val="none" w:sz="0" w:space="0" w:color="auto"/>
        <w:bottom w:val="none" w:sz="0" w:space="0" w:color="auto"/>
        <w:right w:val="none" w:sz="0" w:space="0" w:color="auto"/>
      </w:divBdr>
    </w:div>
    <w:div w:id="1769153082">
      <w:bodyDiv w:val="1"/>
      <w:marLeft w:val="0"/>
      <w:marRight w:val="0"/>
      <w:marTop w:val="0"/>
      <w:marBottom w:val="0"/>
      <w:divBdr>
        <w:top w:val="none" w:sz="0" w:space="0" w:color="auto"/>
        <w:left w:val="none" w:sz="0" w:space="0" w:color="auto"/>
        <w:bottom w:val="none" w:sz="0" w:space="0" w:color="auto"/>
        <w:right w:val="none" w:sz="0" w:space="0" w:color="auto"/>
      </w:divBdr>
    </w:div>
    <w:div w:id="1769621628">
      <w:bodyDiv w:val="1"/>
      <w:marLeft w:val="0"/>
      <w:marRight w:val="0"/>
      <w:marTop w:val="0"/>
      <w:marBottom w:val="0"/>
      <w:divBdr>
        <w:top w:val="none" w:sz="0" w:space="0" w:color="auto"/>
        <w:left w:val="none" w:sz="0" w:space="0" w:color="auto"/>
        <w:bottom w:val="none" w:sz="0" w:space="0" w:color="auto"/>
        <w:right w:val="none" w:sz="0" w:space="0" w:color="auto"/>
      </w:divBdr>
      <w:divsChild>
        <w:div w:id="108748438">
          <w:marLeft w:val="1800"/>
          <w:marRight w:val="0"/>
          <w:marTop w:val="115"/>
          <w:marBottom w:val="0"/>
          <w:divBdr>
            <w:top w:val="none" w:sz="0" w:space="0" w:color="auto"/>
            <w:left w:val="none" w:sz="0" w:space="0" w:color="auto"/>
            <w:bottom w:val="none" w:sz="0" w:space="0" w:color="auto"/>
            <w:right w:val="none" w:sz="0" w:space="0" w:color="auto"/>
          </w:divBdr>
        </w:div>
        <w:div w:id="420830625">
          <w:marLeft w:val="1800"/>
          <w:marRight w:val="0"/>
          <w:marTop w:val="115"/>
          <w:marBottom w:val="0"/>
          <w:divBdr>
            <w:top w:val="none" w:sz="0" w:space="0" w:color="auto"/>
            <w:left w:val="none" w:sz="0" w:space="0" w:color="auto"/>
            <w:bottom w:val="none" w:sz="0" w:space="0" w:color="auto"/>
            <w:right w:val="none" w:sz="0" w:space="0" w:color="auto"/>
          </w:divBdr>
        </w:div>
        <w:div w:id="466237778">
          <w:marLeft w:val="547"/>
          <w:marRight w:val="0"/>
          <w:marTop w:val="154"/>
          <w:marBottom w:val="0"/>
          <w:divBdr>
            <w:top w:val="none" w:sz="0" w:space="0" w:color="auto"/>
            <w:left w:val="none" w:sz="0" w:space="0" w:color="auto"/>
            <w:bottom w:val="none" w:sz="0" w:space="0" w:color="auto"/>
            <w:right w:val="none" w:sz="0" w:space="0" w:color="auto"/>
          </w:divBdr>
        </w:div>
        <w:div w:id="801388563">
          <w:marLeft w:val="1800"/>
          <w:marRight w:val="0"/>
          <w:marTop w:val="115"/>
          <w:marBottom w:val="0"/>
          <w:divBdr>
            <w:top w:val="none" w:sz="0" w:space="0" w:color="auto"/>
            <w:left w:val="none" w:sz="0" w:space="0" w:color="auto"/>
            <w:bottom w:val="none" w:sz="0" w:space="0" w:color="auto"/>
            <w:right w:val="none" w:sz="0" w:space="0" w:color="auto"/>
          </w:divBdr>
        </w:div>
        <w:div w:id="892035874">
          <w:marLeft w:val="1800"/>
          <w:marRight w:val="0"/>
          <w:marTop w:val="115"/>
          <w:marBottom w:val="0"/>
          <w:divBdr>
            <w:top w:val="none" w:sz="0" w:space="0" w:color="auto"/>
            <w:left w:val="none" w:sz="0" w:space="0" w:color="auto"/>
            <w:bottom w:val="none" w:sz="0" w:space="0" w:color="auto"/>
            <w:right w:val="none" w:sz="0" w:space="0" w:color="auto"/>
          </w:divBdr>
        </w:div>
        <w:div w:id="1152023516">
          <w:marLeft w:val="1166"/>
          <w:marRight w:val="0"/>
          <w:marTop w:val="134"/>
          <w:marBottom w:val="0"/>
          <w:divBdr>
            <w:top w:val="none" w:sz="0" w:space="0" w:color="auto"/>
            <w:left w:val="none" w:sz="0" w:space="0" w:color="auto"/>
            <w:bottom w:val="none" w:sz="0" w:space="0" w:color="auto"/>
            <w:right w:val="none" w:sz="0" w:space="0" w:color="auto"/>
          </w:divBdr>
        </w:div>
        <w:div w:id="1425420120">
          <w:marLeft w:val="1800"/>
          <w:marRight w:val="0"/>
          <w:marTop w:val="115"/>
          <w:marBottom w:val="0"/>
          <w:divBdr>
            <w:top w:val="none" w:sz="0" w:space="0" w:color="auto"/>
            <w:left w:val="none" w:sz="0" w:space="0" w:color="auto"/>
            <w:bottom w:val="none" w:sz="0" w:space="0" w:color="auto"/>
            <w:right w:val="none" w:sz="0" w:space="0" w:color="auto"/>
          </w:divBdr>
        </w:div>
        <w:div w:id="1536889641">
          <w:marLeft w:val="1166"/>
          <w:marRight w:val="0"/>
          <w:marTop w:val="134"/>
          <w:marBottom w:val="0"/>
          <w:divBdr>
            <w:top w:val="none" w:sz="0" w:space="0" w:color="auto"/>
            <w:left w:val="none" w:sz="0" w:space="0" w:color="auto"/>
            <w:bottom w:val="none" w:sz="0" w:space="0" w:color="auto"/>
            <w:right w:val="none" w:sz="0" w:space="0" w:color="auto"/>
          </w:divBdr>
        </w:div>
      </w:divsChild>
    </w:div>
    <w:div w:id="1771001415">
      <w:bodyDiv w:val="1"/>
      <w:marLeft w:val="0"/>
      <w:marRight w:val="0"/>
      <w:marTop w:val="0"/>
      <w:marBottom w:val="0"/>
      <w:divBdr>
        <w:top w:val="none" w:sz="0" w:space="0" w:color="auto"/>
        <w:left w:val="none" w:sz="0" w:space="0" w:color="auto"/>
        <w:bottom w:val="none" w:sz="0" w:space="0" w:color="auto"/>
        <w:right w:val="none" w:sz="0" w:space="0" w:color="auto"/>
      </w:divBdr>
      <w:divsChild>
        <w:div w:id="418210829">
          <w:marLeft w:val="1166"/>
          <w:marRight w:val="0"/>
          <w:marTop w:val="96"/>
          <w:marBottom w:val="0"/>
          <w:divBdr>
            <w:top w:val="none" w:sz="0" w:space="0" w:color="auto"/>
            <w:left w:val="none" w:sz="0" w:space="0" w:color="auto"/>
            <w:bottom w:val="none" w:sz="0" w:space="0" w:color="auto"/>
            <w:right w:val="none" w:sz="0" w:space="0" w:color="auto"/>
          </w:divBdr>
        </w:div>
        <w:div w:id="704672847">
          <w:marLeft w:val="547"/>
          <w:marRight w:val="0"/>
          <w:marTop w:val="115"/>
          <w:marBottom w:val="0"/>
          <w:divBdr>
            <w:top w:val="none" w:sz="0" w:space="0" w:color="auto"/>
            <w:left w:val="none" w:sz="0" w:space="0" w:color="auto"/>
            <w:bottom w:val="none" w:sz="0" w:space="0" w:color="auto"/>
            <w:right w:val="none" w:sz="0" w:space="0" w:color="auto"/>
          </w:divBdr>
        </w:div>
        <w:div w:id="1317875119">
          <w:marLeft w:val="1166"/>
          <w:marRight w:val="0"/>
          <w:marTop w:val="96"/>
          <w:marBottom w:val="0"/>
          <w:divBdr>
            <w:top w:val="none" w:sz="0" w:space="0" w:color="auto"/>
            <w:left w:val="none" w:sz="0" w:space="0" w:color="auto"/>
            <w:bottom w:val="none" w:sz="0" w:space="0" w:color="auto"/>
            <w:right w:val="none" w:sz="0" w:space="0" w:color="auto"/>
          </w:divBdr>
        </w:div>
        <w:div w:id="1905872166">
          <w:marLeft w:val="1166"/>
          <w:marRight w:val="0"/>
          <w:marTop w:val="106"/>
          <w:marBottom w:val="0"/>
          <w:divBdr>
            <w:top w:val="none" w:sz="0" w:space="0" w:color="auto"/>
            <w:left w:val="none" w:sz="0" w:space="0" w:color="auto"/>
            <w:bottom w:val="none" w:sz="0" w:space="0" w:color="auto"/>
            <w:right w:val="none" w:sz="0" w:space="0" w:color="auto"/>
          </w:divBdr>
        </w:div>
      </w:divsChild>
    </w:div>
    <w:div w:id="1771316351">
      <w:bodyDiv w:val="1"/>
      <w:marLeft w:val="0"/>
      <w:marRight w:val="0"/>
      <w:marTop w:val="0"/>
      <w:marBottom w:val="0"/>
      <w:divBdr>
        <w:top w:val="none" w:sz="0" w:space="0" w:color="auto"/>
        <w:left w:val="none" w:sz="0" w:space="0" w:color="auto"/>
        <w:bottom w:val="none" w:sz="0" w:space="0" w:color="auto"/>
        <w:right w:val="none" w:sz="0" w:space="0" w:color="auto"/>
      </w:divBdr>
    </w:div>
    <w:div w:id="1771898299">
      <w:bodyDiv w:val="1"/>
      <w:marLeft w:val="0"/>
      <w:marRight w:val="0"/>
      <w:marTop w:val="0"/>
      <w:marBottom w:val="0"/>
      <w:divBdr>
        <w:top w:val="none" w:sz="0" w:space="0" w:color="auto"/>
        <w:left w:val="none" w:sz="0" w:space="0" w:color="auto"/>
        <w:bottom w:val="none" w:sz="0" w:space="0" w:color="auto"/>
        <w:right w:val="none" w:sz="0" w:space="0" w:color="auto"/>
      </w:divBdr>
      <w:divsChild>
        <w:div w:id="118110426">
          <w:marLeft w:val="1800"/>
          <w:marRight w:val="0"/>
          <w:marTop w:val="86"/>
          <w:marBottom w:val="0"/>
          <w:divBdr>
            <w:top w:val="none" w:sz="0" w:space="0" w:color="auto"/>
            <w:left w:val="none" w:sz="0" w:space="0" w:color="auto"/>
            <w:bottom w:val="none" w:sz="0" w:space="0" w:color="auto"/>
            <w:right w:val="none" w:sz="0" w:space="0" w:color="auto"/>
          </w:divBdr>
        </w:div>
        <w:div w:id="821696291">
          <w:marLeft w:val="1166"/>
          <w:marRight w:val="0"/>
          <w:marTop w:val="86"/>
          <w:marBottom w:val="0"/>
          <w:divBdr>
            <w:top w:val="none" w:sz="0" w:space="0" w:color="auto"/>
            <w:left w:val="none" w:sz="0" w:space="0" w:color="auto"/>
            <w:bottom w:val="none" w:sz="0" w:space="0" w:color="auto"/>
            <w:right w:val="none" w:sz="0" w:space="0" w:color="auto"/>
          </w:divBdr>
        </w:div>
        <w:div w:id="879056062">
          <w:marLeft w:val="1800"/>
          <w:marRight w:val="0"/>
          <w:marTop w:val="86"/>
          <w:marBottom w:val="0"/>
          <w:divBdr>
            <w:top w:val="none" w:sz="0" w:space="0" w:color="auto"/>
            <w:left w:val="none" w:sz="0" w:space="0" w:color="auto"/>
            <w:bottom w:val="none" w:sz="0" w:space="0" w:color="auto"/>
            <w:right w:val="none" w:sz="0" w:space="0" w:color="auto"/>
          </w:divBdr>
        </w:div>
        <w:div w:id="898904276">
          <w:marLeft w:val="2160"/>
          <w:marRight w:val="0"/>
          <w:marTop w:val="77"/>
          <w:marBottom w:val="0"/>
          <w:divBdr>
            <w:top w:val="none" w:sz="0" w:space="0" w:color="auto"/>
            <w:left w:val="none" w:sz="0" w:space="0" w:color="auto"/>
            <w:bottom w:val="none" w:sz="0" w:space="0" w:color="auto"/>
            <w:right w:val="none" w:sz="0" w:space="0" w:color="auto"/>
          </w:divBdr>
        </w:div>
        <w:div w:id="1068924289">
          <w:marLeft w:val="547"/>
          <w:marRight w:val="0"/>
          <w:marTop w:val="115"/>
          <w:marBottom w:val="0"/>
          <w:divBdr>
            <w:top w:val="none" w:sz="0" w:space="0" w:color="auto"/>
            <w:left w:val="none" w:sz="0" w:space="0" w:color="auto"/>
            <w:bottom w:val="none" w:sz="0" w:space="0" w:color="auto"/>
            <w:right w:val="none" w:sz="0" w:space="0" w:color="auto"/>
          </w:divBdr>
        </w:div>
        <w:div w:id="1107623997">
          <w:marLeft w:val="547"/>
          <w:marRight w:val="0"/>
          <w:marTop w:val="115"/>
          <w:marBottom w:val="0"/>
          <w:divBdr>
            <w:top w:val="none" w:sz="0" w:space="0" w:color="auto"/>
            <w:left w:val="none" w:sz="0" w:space="0" w:color="auto"/>
            <w:bottom w:val="none" w:sz="0" w:space="0" w:color="auto"/>
            <w:right w:val="none" w:sz="0" w:space="0" w:color="auto"/>
          </w:divBdr>
        </w:div>
        <w:div w:id="1613122975">
          <w:marLeft w:val="2160"/>
          <w:marRight w:val="0"/>
          <w:marTop w:val="77"/>
          <w:marBottom w:val="0"/>
          <w:divBdr>
            <w:top w:val="none" w:sz="0" w:space="0" w:color="auto"/>
            <w:left w:val="none" w:sz="0" w:space="0" w:color="auto"/>
            <w:bottom w:val="none" w:sz="0" w:space="0" w:color="auto"/>
            <w:right w:val="none" w:sz="0" w:space="0" w:color="auto"/>
          </w:divBdr>
        </w:div>
        <w:div w:id="1928876844">
          <w:marLeft w:val="1166"/>
          <w:marRight w:val="0"/>
          <w:marTop w:val="86"/>
          <w:marBottom w:val="0"/>
          <w:divBdr>
            <w:top w:val="none" w:sz="0" w:space="0" w:color="auto"/>
            <w:left w:val="none" w:sz="0" w:space="0" w:color="auto"/>
            <w:bottom w:val="none" w:sz="0" w:space="0" w:color="auto"/>
            <w:right w:val="none" w:sz="0" w:space="0" w:color="auto"/>
          </w:divBdr>
        </w:div>
        <w:div w:id="1951207740">
          <w:marLeft w:val="2160"/>
          <w:marRight w:val="0"/>
          <w:marTop w:val="77"/>
          <w:marBottom w:val="0"/>
          <w:divBdr>
            <w:top w:val="none" w:sz="0" w:space="0" w:color="auto"/>
            <w:left w:val="none" w:sz="0" w:space="0" w:color="auto"/>
            <w:bottom w:val="none" w:sz="0" w:space="0" w:color="auto"/>
            <w:right w:val="none" w:sz="0" w:space="0" w:color="auto"/>
          </w:divBdr>
        </w:div>
        <w:div w:id="1987470115">
          <w:marLeft w:val="2160"/>
          <w:marRight w:val="0"/>
          <w:marTop w:val="77"/>
          <w:marBottom w:val="0"/>
          <w:divBdr>
            <w:top w:val="none" w:sz="0" w:space="0" w:color="auto"/>
            <w:left w:val="none" w:sz="0" w:space="0" w:color="auto"/>
            <w:bottom w:val="none" w:sz="0" w:space="0" w:color="auto"/>
            <w:right w:val="none" w:sz="0" w:space="0" w:color="auto"/>
          </w:divBdr>
        </w:div>
      </w:divsChild>
    </w:div>
    <w:div w:id="1772894485">
      <w:bodyDiv w:val="1"/>
      <w:marLeft w:val="0"/>
      <w:marRight w:val="0"/>
      <w:marTop w:val="0"/>
      <w:marBottom w:val="0"/>
      <w:divBdr>
        <w:top w:val="none" w:sz="0" w:space="0" w:color="auto"/>
        <w:left w:val="none" w:sz="0" w:space="0" w:color="auto"/>
        <w:bottom w:val="none" w:sz="0" w:space="0" w:color="auto"/>
        <w:right w:val="none" w:sz="0" w:space="0" w:color="auto"/>
      </w:divBdr>
    </w:div>
    <w:div w:id="1774321919">
      <w:bodyDiv w:val="1"/>
      <w:marLeft w:val="0"/>
      <w:marRight w:val="0"/>
      <w:marTop w:val="0"/>
      <w:marBottom w:val="0"/>
      <w:divBdr>
        <w:top w:val="none" w:sz="0" w:space="0" w:color="auto"/>
        <w:left w:val="none" w:sz="0" w:space="0" w:color="auto"/>
        <w:bottom w:val="none" w:sz="0" w:space="0" w:color="auto"/>
        <w:right w:val="none" w:sz="0" w:space="0" w:color="auto"/>
      </w:divBdr>
    </w:div>
    <w:div w:id="1774746334">
      <w:bodyDiv w:val="1"/>
      <w:marLeft w:val="0"/>
      <w:marRight w:val="0"/>
      <w:marTop w:val="0"/>
      <w:marBottom w:val="0"/>
      <w:divBdr>
        <w:top w:val="none" w:sz="0" w:space="0" w:color="auto"/>
        <w:left w:val="none" w:sz="0" w:space="0" w:color="auto"/>
        <w:bottom w:val="none" w:sz="0" w:space="0" w:color="auto"/>
        <w:right w:val="none" w:sz="0" w:space="0" w:color="auto"/>
      </w:divBdr>
    </w:div>
    <w:div w:id="1776441595">
      <w:bodyDiv w:val="1"/>
      <w:marLeft w:val="0"/>
      <w:marRight w:val="0"/>
      <w:marTop w:val="0"/>
      <w:marBottom w:val="0"/>
      <w:divBdr>
        <w:top w:val="none" w:sz="0" w:space="0" w:color="auto"/>
        <w:left w:val="none" w:sz="0" w:space="0" w:color="auto"/>
        <w:bottom w:val="none" w:sz="0" w:space="0" w:color="auto"/>
        <w:right w:val="none" w:sz="0" w:space="0" w:color="auto"/>
      </w:divBdr>
    </w:div>
    <w:div w:id="1777168001">
      <w:bodyDiv w:val="1"/>
      <w:marLeft w:val="0"/>
      <w:marRight w:val="0"/>
      <w:marTop w:val="0"/>
      <w:marBottom w:val="0"/>
      <w:divBdr>
        <w:top w:val="none" w:sz="0" w:space="0" w:color="auto"/>
        <w:left w:val="none" w:sz="0" w:space="0" w:color="auto"/>
        <w:bottom w:val="none" w:sz="0" w:space="0" w:color="auto"/>
        <w:right w:val="none" w:sz="0" w:space="0" w:color="auto"/>
      </w:divBdr>
    </w:div>
    <w:div w:id="1778870536">
      <w:bodyDiv w:val="1"/>
      <w:marLeft w:val="0"/>
      <w:marRight w:val="0"/>
      <w:marTop w:val="0"/>
      <w:marBottom w:val="0"/>
      <w:divBdr>
        <w:top w:val="none" w:sz="0" w:space="0" w:color="auto"/>
        <w:left w:val="none" w:sz="0" w:space="0" w:color="auto"/>
        <w:bottom w:val="none" w:sz="0" w:space="0" w:color="auto"/>
        <w:right w:val="none" w:sz="0" w:space="0" w:color="auto"/>
      </w:divBdr>
      <w:divsChild>
        <w:div w:id="1441878458">
          <w:marLeft w:val="547"/>
          <w:marRight w:val="0"/>
          <w:marTop w:val="240"/>
          <w:marBottom w:val="0"/>
          <w:divBdr>
            <w:top w:val="none" w:sz="0" w:space="0" w:color="auto"/>
            <w:left w:val="none" w:sz="0" w:space="0" w:color="auto"/>
            <w:bottom w:val="none" w:sz="0" w:space="0" w:color="auto"/>
            <w:right w:val="none" w:sz="0" w:space="0" w:color="auto"/>
          </w:divBdr>
        </w:div>
      </w:divsChild>
    </w:div>
    <w:div w:id="1780681564">
      <w:bodyDiv w:val="1"/>
      <w:marLeft w:val="0"/>
      <w:marRight w:val="0"/>
      <w:marTop w:val="0"/>
      <w:marBottom w:val="0"/>
      <w:divBdr>
        <w:top w:val="none" w:sz="0" w:space="0" w:color="auto"/>
        <w:left w:val="none" w:sz="0" w:space="0" w:color="auto"/>
        <w:bottom w:val="none" w:sz="0" w:space="0" w:color="auto"/>
        <w:right w:val="none" w:sz="0" w:space="0" w:color="auto"/>
      </w:divBdr>
    </w:div>
    <w:div w:id="1780682850">
      <w:bodyDiv w:val="1"/>
      <w:marLeft w:val="0"/>
      <w:marRight w:val="0"/>
      <w:marTop w:val="0"/>
      <w:marBottom w:val="0"/>
      <w:divBdr>
        <w:top w:val="none" w:sz="0" w:space="0" w:color="auto"/>
        <w:left w:val="none" w:sz="0" w:space="0" w:color="auto"/>
        <w:bottom w:val="none" w:sz="0" w:space="0" w:color="auto"/>
        <w:right w:val="none" w:sz="0" w:space="0" w:color="auto"/>
      </w:divBdr>
    </w:div>
    <w:div w:id="1780948703">
      <w:bodyDiv w:val="1"/>
      <w:marLeft w:val="0"/>
      <w:marRight w:val="0"/>
      <w:marTop w:val="0"/>
      <w:marBottom w:val="0"/>
      <w:divBdr>
        <w:top w:val="none" w:sz="0" w:space="0" w:color="auto"/>
        <w:left w:val="none" w:sz="0" w:space="0" w:color="auto"/>
        <w:bottom w:val="none" w:sz="0" w:space="0" w:color="auto"/>
        <w:right w:val="none" w:sz="0" w:space="0" w:color="auto"/>
      </w:divBdr>
      <w:divsChild>
        <w:div w:id="820997407">
          <w:marLeft w:val="1166"/>
          <w:marRight w:val="0"/>
          <w:marTop w:val="134"/>
          <w:marBottom w:val="0"/>
          <w:divBdr>
            <w:top w:val="none" w:sz="0" w:space="0" w:color="auto"/>
            <w:left w:val="none" w:sz="0" w:space="0" w:color="auto"/>
            <w:bottom w:val="none" w:sz="0" w:space="0" w:color="auto"/>
            <w:right w:val="none" w:sz="0" w:space="0" w:color="auto"/>
          </w:divBdr>
        </w:div>
        <w:div w:id="1908227765">
          <w:marLeft w:val="547"/>
          <w:marRight w:val="0"/>
          <w:marTop w:val="154"/>
          <w:marBottom w:val="0"/>
          <w:divBdr>
            <w:top w:val="none" w:sz="0" w:space="0" w:color="auto"/>
            <w:left w:val="none" w:sz="0" w:space="0" w:color="auto"/>
            <w:bottom w:val="none" w:sz="0" w:space="0" w:color="auto"/>
            <w:right w:val="none" w:sz="0" w:space="0" w:color="auto"/>
          </w:divBdr>
        </w:div>
      </w:divsChild>
    </w:div>
    <w:div w:id="1781143816">
      <w:bodyDiv w:val="1"/>
      <w:marLeft w:val="0"/>
      <w:marRight w:val="0"/>
      <w:marTop w:val="0"/>
      <w:marBottom w:val="0"/>
      <w:divBdr>
        <w:top w:val="none" w:sz="0" w:space="0" w:color="auto"/>
        <w:left w:val="none" w:sz="0" w:space="0" w:color="auto"/>
        <w:bottom w:val="none" w:sz="0" w:space="0" w:color="auto"/>
        <w:right w:val="none" w:sz="0" w:space="0" w:color="auto"/>
      </w:divBdr>
    </w:div>
    <w:div w:id="1782410478">
      <w:bodyDiv w:val="1"/>
      <w:marLeft w:val="0"/>
      <w:marRight w:val="0"/>
      <w:marTop w:val="0"/>
      <w:marBottom w:val="0"/>
      <w:divBdr>
        <w:top w:val="none" w:sz="0" w:space="0" w:color="auto"/>
        <w:left w:val="none" w:sz="0" w:space="0" w:color="auto"/>
        <w:bottom w:val="none" w:sz="0" w:space="0" w:color="auto"/>
        <w:right w:val="none" w:sz="0" w:space="0" w:color="auto"/>
      </w:divBdr>
    </w:div>
    <w:div w:id="1782649017">
      <w:bodyDiv w:val="1"/>
      <w:marLeft w:val="0"/>
      <w:marRight w:val="0"/>
      <w:marTop w:val="0"/>
      <w:marBottom w:val="0"/>
      <w:divBdr>
        <w:top w:val="none" w:sz="0" w:space="0" w:color="auto"/>
        <w:left w:val="none" w:sz="0" w:space="0" w:color="auto"/>
        <w:bottom w:val="none" w:sz="0" w:space="0" w:color="auto"/>
        <w:right w:val="none" w:sz="0" w:space="0" w:color="auto"/>
      </w:divBdr>
    </w:div>
    <w:div w:id="1782918642">
      <w:bodyDiv w:val="1"/>
      <w:marLeft w:val="0"/>
      <w:marRight w:val="0"/>
      <w:marTop w:val="0"/>
      <w:marBottom w:val="0"/>
      <w:divBdr>
        <w:top w:val="none" w:sz="0" w:space="0" w:color="auto"/>
        <w:left w:val="none" w:sz="0" w:space="0" w:color="auto"/>
        <w:bottom w:val="none" w:sz="0" w:space="0" w:color="auto"/>
        <w:right w:val="none" w:sz="0" w:space="0" w:color="auto"/>
      </w:divBdr>
      <w:divsChild>
        <w:div w:id="203520415">
          <w:marLeft w:val="547"/>
          <w:marRight w:val="0"/>
          <w:marTop w:val="115"/>
          <w:marBottom w:val="120"/>
          <w:divBdr>
            <w:top w:val="none" w:sz="0" w:space="0" w:color="auto"/>
            <w:left w:val="none" w:sz="0" w:space="0" w:color="auto"/>
            <w:bottom w:val="none" w:sz="0" w:space="0" w:color="auto"/>
            <w:right w:val="none" w:sz="0" w:space="0" w:color="auto"/>
          </w:divBdr>
        </w:div>
        <w:div w:id="1323047217">
          <w:marLeft w:val="1166"/>
          <w:marRight w:val="0"/>
          <w:marTop w:val="96"/>
          <w:marBottom w:val="120"/>
          <w:divBdr>
            <w:top w:val="none" w:sz="0" w:space="0" w:color="auto"/>
            <w:left w:val="none" w:sz="0" w:space="0" w:color="auto"/>
            <w:bottom w:val="none" w:sz="0" w:space="0" w:color="auto"/>
            <w:right w:val="none" w:sz="0" w:space="0" w:color="auto"/>
          </w:divBdr>
        </w:div>
        <w:div w:id="1867450134">
          <w:marLeft w:val="1166"/>
          <w:marRight w:val="0"/>
          <w:marTop w:val="96"/>
          <w:marBottom w:val="120"/>
          <w:divBdr>
            <w:top w:val="none" w:sz="0" w:space="0" w:color="auto"/>
            <w:left w:val="none" w:sz="0" w:space="0" w:color="auto"/>
            <w:bottom w:val="none" w:sz="0" w:space="0" w:color="auto"/>
            <w:right w:val="none" w:sz="0" w:space="0" w:color="auto"/>
          </w:divBdr>
        </w:div>
      </w:divsChild>
    </w:div>
    <w:div w:id="1783303815">
      <w:bodyDiv w:val="1"/>
      <w:marLeft w:val="0"/>
      <w:marRight w:val="0"/>
      <w:marTop w:val="0"/>
      <w:marBottom w:val="0"/>
      <w:divBdr>
        <w:top w:val="none" w:sz="0" w:space="0" w:color="auto"/>
        <w:left w:val="none" w:sz="0" w:space="0" w:color="auto"/>
        <w:bottom w:val="none" w:sz="0" w:space="0" w:color="auto"/>
        <w:right w:val="none" w:sz="0" w:space="0" w:color="auto"/>
      </w:divBdr>
    </w:div>
    <w:div w:id="1783844994">
      <w:bodyDiv w:val="1"/>
      <w:marLeft w:val="0"/>
      <w:marRight w:val="0"/>
      <w:marTop w:val="0"/>
      <w:marBottom w:val="0"/>
      <w:divBdr>
        <w:top w:val="none" w:sz="0" w:space="0" w:color="auto"/>
        <w:left w:val="none" w:sz="0" w:space="0" w:color="auto"/>
        <w:bottom w:val="none" w:sz="0" w:space="0" w:color="auto"/>
        <w:right w:val="none" w:sz="0" w:space="0" w:color="auto"/>
      </w:divBdr>
    </w:div>
    <w:div w:id="1784037409">
      <w:bodyDiv w:val="1"/>
      <w:marLeft w:val="0"/>
      <w:marRight w:val="0"/>
      <w:marTop w:val="0"/>
      <w:marBottom w:val="0"/>
      <w:divBdr>
        <w:top w:val="none" w:sz="0" w:space="0" w:color="auto"/>
        <w:left w:val="none" w:sz="0" w:space="0" w:color="auto"/>
        <w:bottom w:val="none" w:sz="0" w:space="0" w:color="auto"/>
        <w:right w:val="none" w:sz="0" w:space="0" w:color="auto"/>
      </w:divBdr>
    </w:div>
    <w:div w:id="1784182363">
      <w:bodyDiv w:val="1"/>
      <w:marLeft w:val="0"/>
      <w:marRight w:val="0"/>
      <w:marTop w:val="0"/>
      <w:marBottom w:val="0"/>
      <w:divBdr>
        <w:top w:val="none" w:sz="0" w:space="0" w:color="auto"/>
        <w:left w:val="none" w:sz="0" w:space="0" w:color="auto"/>
        <w:bottom w:val="none" w:sz="0" w:space="0" w:color="auto"/>
        <w:right w:val="none" w:sz="0" w:space="0" w:color="auto"/>
      </w:divBdr>
    </w:div>
    <w:div w:id="1784568850">
      <w:bodyDiv w:val="1"/>
      <w:marLeft w:val="0"/>
      <w:marRight w:val="0"/>
      <w:marTop w:val="0"/>
      <w:marBottom w:val="0"/>
      <w:divBdr>
        <w:top w:val="none" w:sz="0" w:space="0" w:color="auto"/>
        <w:left w:val="none" w:sz="0" w:space="0" w:color="auto"/>
        <w:bottom w:val="none" w:sz="0" w:space="0" w:color="auto"/>
        <w:right w:val="none" w:sz="0" w:space="0" w:color="auto"/>
      </w:divBdr>
    </w:div>
    <w:div w:id="1784617181">
      <w:bodyDiv w:val="1"/>
      <w:marLeft w:val="0"/>
      <w:marRight w:val="0"/>
      <w:marTop w:val="0"/>
      <w:marBottom w:val="0"/>
      <w:divBdr>
        <w:top w:val="none" w:sz="0" w:space="0" w:color="auto"/>
        <w:left w:val="none" w:sz="0" w:space="0" w:color="auto"/>
        <w:bottom w:val="none" w:sz="0" w:space="0" w:color="auto"/>
        <w:right w:val="none" w:sz="0" w:space="0" w:color="auto"/>
      </w:divBdr>
    </w:div>
    <w:div w:id="1784886660">
      <w:bodyDiv w:val="1"/>
      <w:marLeft w:val="0"/>
      <w:marRight w:val="0"/>
      <w:marTop w:val="0"/>
      <w:marBottom w:val="0"/>
      <w:divBdr>
        <w:top w:val="none" w:sz="0" w:space="0" w:color="auto"/>
        <w:left w:val="none" w:sz="0" w:space="0" w:color="auto"/>
        <w:bottom w:val="none" w:sz="0" w:space="0" w:color="auto"/>
        <w:right w:val="none" w:sz="0" w:space="0" w:color="auto"/>
      </w:divBdr>
      <w:divsChild>
        <w:div w:id="22827313">
          <w:marLeft w:val="1166"/>
          <w:marRight w:val="0"/>
          <w:marTop w:val="115"/>
          <w:marBottom w:val="0"/>
          <w:divBdr>
            <w:top w:val="none" w:sz="0" w:space="0" w:color="auto"/>
            <w:left w:val="none" w:sz="0" w:space="0" w:color="auto"/>
            <w:bottom w:val="none" w:sz="0" w:space="0" w:color="auto"/>
            <w:right w:val="none" w:sz="0" w:space="0" w:color="auto"/>
          </w:divBdr>
        </w:div>
        <w:div w:id="143082321">
          <w:marLeft w:val="1800"/>
          <w:marRight w:val="0"/>
          <w:marTop w:val="96"/>
          <w:marBottom w:val="0"/>
          <w:divBdr>
            <w:top w:val="none" w:sz="0" w:space="0" w:color="auto"/>
            <w:left w:val="none" w:sz="0" w:space="0" w:color="auto"/>
            <w:bottom w:val="none" w:sz="0" w:space="0" w:color="auto"/>
            <w:right w:val="none" w:sz="0" w:space="0" w:color="auto"/>
          </w:divBdr>
        </w:div>
        <w:div w:id="292491915">
          <w:marLeft w:val="547"/>
          <w:marRight w:val="0"/>
          <w:marTop w:val="134"/>
          <w:marBottom w:val="0"/>
          <w:divBdr>
            <w:top w:val="none" w:sz="0" w:space="0" w:color="auto"/>
            <w:left w:val="none" w:sz="0" w:space="0" w:color="auto"/>
            <w:bottom w:val="none" w:sz="0" w:space="0" w:color="auto"/>
            <w:right w:val="none" w:sz="0" w:space="0" w:color="auto"/>
          </w:divBdr>
        </w:div>
        <w:div w:id="593831221">
          <w:marLeft w:val="1166"/>
          <w:marRight w:val="0"/>
          <w:marTop w:val="115"/>
          <w:marBottom w:val="0"/>
          <w:divBdr>
            <w:top w:val="none" w:sz="0" w:space="0" w:color="auto"/>
            <w:left w:val="none" w:sz="0" w:space="0" w:color="auto"/>
            <w:bottom w:val="none" w:sz="0" w:space="0" w:color="auto"/>
            <w:right w:val="none" w:sz="0" w:space="0" w:color="auto"/>
          </w:divBdr>
        </w:div>
        <w:div w:id="651639906">
          <w:marLeft w:val="547"/>
          <w:marRight w:val="0"/>
          <w:marTop w:val="134"/>
          <w:marBottom w:val="0"/>
          <w:divBdr>
            <w:top w:val="none" w:sz="0" w:space="0" w:color="auto"/>
            <w:left w:val="none" w:sz="0" w:space="0" w:color="auto"/>
            <w:bottom w:val="none" w:sz="0" w:space="0" w:color="auto"/>
            <w:right w:val="none" w:sz="0" w:space="0" w:color="auto"/>
          </w:divBdr>
        </w:div>
        <w:div w:id="1174148578">
          <w:marLeft w:val="1166"/>
          <w:marRight w:val="0"/>
          <w:marTop w:val="115"/>
          <w:marBottom w:val="0"/>
          <w:divBdr>
            <w:top w:val="none" w:sz="0" w:space="0" w:color="auto"/>
            <w:left w:val="none" w:sz="0" w:space="0" w:color="auto"/>
            <w:bottom w:val="none" w:sz="0" w:space="0" w:color="auto"/>
            <w:right w:val="none" w:sz="0" w:space="0" w:color="auto"/>
          </w:divBdr>
        </w:div>
        <w:div w:id="1791051912">
          <w:marLeft w:val="1800"/>
          <w:marRight w:val="0"/>
          <w:marTop w:val="96"/>
          <w:marBottom w:val="0"/>
          <w:divBdr>
            <w:top w:val="none" w:sz="0" w:space="0" w:color="auto"/>
            <w:left w:val="none" w:sz="0" w:space="0" w:color="auto"/>
            <w:bottom w:val="none" w:sz="0" w:space="0" w:color="auto"/>
            <w:right w:val="none" w:sz="0" w:space="0" w:color="auto"/>
          </w:divBdr>
        </w:div>
      </w:divsChild>
    </w:div>
    <w:div w:id="1785072867">
      <w:bodyDiv w:val="1"/>
      <w:marLeft w:val="0"/>
      <w:marRight w:val="0"/>
      <w:marTop w:val="0"/>
      <w:marBottom w:val="0"/>
      <w:divBdr>
        <w:top w:val="none" w:sz="0" w:space="0" w:color="auto"/>
        <w:left w:val="none" w:sz="0" w:space="0" w:color="auto"/>
        <w:bottom w:val="none" w:sz="0" w:space="0" w:color="auto"/>
        <w:right w:val="none" w:sz="0" w:space="0" w:color="auto"/>
      </w:divBdr>
    </w:div>
    <w:div w:id="1785346281">
      <w:bodyDiv w:val="1"/>
      <w:marLeft w:val="0"/>
      <w:marRight w:val="0"/>
      <w:marTop w:val="0"/>
      <w:marBottom w:val="0"/>
      <w:divBdr>
        <w:top w:val="none" w:sz="0" w:space="0" w:color="auto"/>
        <w:left w:val="none" w:sz="0" w:space="0" w:color="auto"/>
        <w:bottom w:val="none" w:sz="0" w:space="0" w:color="auto"/>
        <w:right w:val="none" w:sz="0" w:space="0" w:color="auto"/>
      </w:divBdr>
    </w:div>
    <w:div w:id="1787772595">
      <w:bodyDiv w:val="1"/>
      <w:marLeft w:val="0"/>
      <w:marRight w:val="0"/>
      <w:marTop w:val="0"/>
      <w:marBottom w:val="0"/>
      <w:divBdr>
        <w:top w:val="none" w:sz="0" w:space="0" w:color="auto"/>
        <w:left w:val="none" w:sz="0" w:space="0" w:color="auto"/>
        <w:bottom w:val="none" w:sz="0" w:space="0" w:color="auto"/>
        <w:right w:val="none" w:sz="0" w:space="0" w:color="auto"/>
      </w:divBdr>
      <w:divsChild>
        <w:div w:id="63260791">
          <w:marLeft w:val="547"/>
          <w:marRight w:val="0"/>
          <w:marTop w:val="96"/>
          <w:marBottom w:val="0"/>
          <w:divBdr>
            <w:top w:val="none" w:sz="0" w:space="0" w:color="auto"/>
            <w:left w:val="none" w:sz="0" w:space="0" w:color="auto"/>
            <w:bottom w:val="none" w:sz="0" w:space="0" w:color="auto"/>
            <w:right w:val="none" w:sz="0" w:space="0" w:color="auto"/>
          </w:divBdr>
        </w:div>
        <w:div w:id="333269884">
          <w:marLeft w:val="1166"/>
          <w:marRight w:val="0"/>
          <w:marTop w:val="86"/>
          <w:marBottom w:val="0"/>
          <w:divBdr>
            <w:top w:val="none" w:sz="0" w:space="0" w:color="auto"/>
            <w:left w:val="none" w:sz="0" w:space="0" w:color="auto"/>
            <w:bottom w:val="none" w:sz="0" w:space="0" w:color="auto"/>
            <w:right w:val="none" w:sz="0" w:space="0" w:color="auto"/>
          </w:divBdr>
        </w:div>
        <w:div w:id="708379895">
          <w:marLeft w:val="1166"/>
          <w:marRight w:val="0"/>
          <w:marTop w:val="86"/>
          <w:marBottom w:val="0"/>
          <w:divBdr>
            <w:top w:val="none" w:sz="0" w:space="0" w:color="auto"/>
            <w:left w:val="none" w:sz="0" w:space="0" w:color="auto"/>
            <w:bottom w:val="none" w:sz="0" w:space="0" w:color="auto"/>
            <w:right w:val="none" w:sz="0" w:space="0" w:color="auto"/>
          </w:divBdr>
        </w:div>
        <w:div w:id="788553937">
          <w:marLeft w:val="1166"/>
          <w:marRight w:val="0"/>
          <w:marTop w:val="77"/>
          <w:marBottom w:val="0"/>
          <w:divBdr>
            <w:top w:val="none" w:sz="0" w:space="0" w:color="auto"/>
            <w:left w:val="none" w:sz="0" w:space="0" w:color="auto"/>
            <w:bottom w:val="none" w:sz="0" w:space="0" w:color="auto"/>
            <w:right w:val="none" w:sz="0" w:space="0" w:color="auto"/>
          </w:divBdr>
        </w:div>
        <w:div w:id="1069310053">
          <w:marLeft w:val="547"/>
          <w:marRight w:val="0"/>
          <w:marTop w:val="96"/>
          <w:marBottom w:val="0"/>
          <w:divBdr>
            <w:top w:val="none" w:sz="0" w:space="0" w:color="auto"/>
            <w:left w:val="none" w:sz="0" w:space="0" w:color="auto"/>
            <w:bottom w:val="none" w:sz="0" w:space="0" w:color="auto"/>
            <w:right w:val="none" w:sz="0" w:space="0" w:color="auto"/>
          </w:divBdr>
        </w:div>
        <w:div w:id="1088648609">
          <w:marLeft w:val="547"/>
          <w:marRight w:val="0"/>
          <w:marTop w:val="96"/>
          <w:marBottom w:val="0"/>
          <w:divBdr>
            <w:top w:val="none" w:sz="0" w:space="0" w:color="auto"/>
            <w:left w:val="none" w:sz="0" w:space="0" w:color="auto"/>
            <w:bottom w:val="none" w:sz="0" w:space="0" w:color="auto"/>
            <w:right w:val="none" w:sz="0" w:space="0" w:color="auto"/>
          </w:divBdr>
        </w:div>
        <w:div w:id="1525247318">
          <w:marLeft w:val="1166"/>
          <w:marRight w:val="0"/>
          <w:marTop w:val="86"/>
          <w:marBottom w:val="0"/>
          <w:divBdr>
            <w:top w:val="none" w:sz="0" w:space="0" w:color="auto"/>
            <w:left w:val="none" w:sz="0" w:space="0" w:color="auto"/>
            <w:bottom w:val="none" w:sz="0" w:space="0" w:color="auto"/>
            <w:right w:val="none" w:sz="0" w:space="0" w:color="auto"/>
          </w:divBdr>
        </w:div>
        <w:div w:id="1564289725">
          <w:marLeft w:val="547"/>
          <w:marRight w:val="0"/>
          <w:marTop w:val="96"/>
          <w:marBottom w:val="0"/>
          <w:divBdr>
            <w:top w:val="none" w:sz="0" w:space="0" w:color="auto"/>
            <w:left w:val="none" w:sz="0" w:space="0" w:color="auto"/>
            <w:bottom w:val="none" w:sz="0" w:space="0" w:color="auto"/>
            <w:right w:val="none" w:sz="0" w:space="0" w:color="auto"/>
          </w:divBdr>
        </w:div>
        <w:div w:id="1601335860">
          <w:marLeft w:val="547"/>
          <w:marRight w:val="0"/>
          <w:marTop w:val="96"/>
          <w:marBottom w:val="0"/>
          <w:divBdr>
            <w:top w:val="none" w:sz="0" w:space="0" w:color="auto"/>
            <w:left w:val="none" w:sz="0" w:space="0" w:color="auto"/>
            <w:bottom w:val="none" w:sz="0" w:space="0" w:color="auto"/>
            <w:right w:val="none" w:sz="0" w:space="0" w:color="auto"/>
          </w:divBdr>
        </w:div>
        <w:div w:id="1763255198">
          <w:marLeft w:val="547"/>
          <w:marRight w:val="0"/>
          <w:marTop w:val="96"/>
          <w:marBottom w:val="0"/>
          <w:divBdr>
            <w:top w:val="none" w:sz="0" w:space="0" w:color="auto"/>
            <w:left w:val="none" w:sz="0" w:space="0" w:color="auto"/>
            <w:bottom w:val="none" w:sz="0" w:space="0" w:color="auto"/>
            <w:right w:val="none" w:sz="0" w:space="0" w:color="auto"/>
          </w:divBdr>
        </w:div>
        <w:div w:id="1894921089">
          <w:marLeft w:val="547"/>
          <w:marRight w:val="0"/>
          <w:marTop w:val="96"/>
          <w:marBottom w:val="0"/>
          <w:divBdr>
            <w:top w:val="none" w:sz="0" w:space="0" w:color="auto"/>
            <w:left w:val="none" w:sz="0" w:space="0" w:color="auto"/>
            <w:bottom w:val="none" w:sz="0" w:space="0" w:color="auto"/>
            <w:right w:val="none" w:sz="0" w:space="0" w:color="auto"/>
          </w:divBdr>
        </w:div>
      </w:divsChild>
    </w:div>
    <w:div w:id="1788112378">
      <w:bodyDiv w:val="1"/>
      <w:marLeft w:val="0"/>
      <w:marRight w:val="0"/>
      <w:marTop w:val="0"/>
      <w:marBottom w:val="0"/>
      <w:divBdr>
        <w:top w:val="none" w:sz="0" w:space="0" w:color="auto"/>
        <w:left w:val="none" w:sz="0" w:space="0" w:color="auto"/>
        <w:bottom w:val="none" w:sz="0" w:space="0" w:color="auto"/>
        <w:right w:val="none" w:sz="0" w:space="0" w:color="auto"/>
      </w:divBdr>
    </w:div>
    <w:div w:id="1788503496">
      <w:bodyDiv w:val="1"/>
      <w:marLeft w:val="0"/>
      <w:marRight w:val="0"/>
      <w:marTop w:val="0"/>
      <w:marBottom w:val="0"/>
      <w:divBdr>
        <w:top w:val="none" w:sz="0" w:space="0" w:color="auto"/>
        <w:left w:val="none" w:sz="0" w:space="0" w:color="auto"/>
        <w:bottom w:val="none" w:sz="0" w:space="0" w:color="auto"/>
        <w:right w:val="none" w:sz="0" w:space="0" w:color="auto"/>
      </w:divBdr>
    </w:div>
    <w:div w:id="1790004005">
      <w:bodyDiv w:val="1"/>
      <w:marLeft w:val="0"/>
      <w:marRight w:val="0"/>
      <w:marTop w:val="0"/>
      <w:marBottom w:val="0"/>
      <w:divBdr>
        <w:top w:val="none" w:sz="0" w:space="0" w:color="auto"/>
        <w:left w:val="none" w:sz="0" w:space="0" w:color="auto"/>
        <w:bottom w:val="none" w:sz="0" w:space="0" w:color="auto"/>
        <w:right w:val="none" w:sz="0" w:space="0" w:color="auto"/>
      </w:divBdr>
    </w:div>
    <w:div w:id="1790009065">
      <w:bodyDiv w:val="1"/>
      <w:marLeft w:val="0"/>
      <w:marRight w:val="0"/>
      <w:marTop w:val="0"/>
      <w:marBottom w:val="0"/>
      <w:divBdr>
        <w:top w:val="none" w:sz="0" w:space="0" w:color="auto"/>
        <w:left w:val="none" w:sz="0" w:space="0" w:color="auto"/>
        <w:bottom w:val="none" w:sz="0" w:space="0" w:color="auto"/>
        <w:right w:val="none" w:sz="0" w:space="0" w:color="auto"/>
      </w:divBdr>
    </w:div>
    <w:div w:id="1790081505">
      <w:bodyDiv w:val="1"/>
      <w:marLeft w:val="0"/>
      <w:marRight w:val="0"/>
      <w:marTop w:val="0"/>
      <w:marBottom w:val="0"/>
      <w:divBdr>
        <w:top w:val="none" w:sz="0" w:space="0" w:color="auto"/>
        <w:left w:val="none" w:sz="0" w:space="0" w:color="auto"/>
        <w:bottom w:val="none" w:sz="0" w:space="0" w:color="auto"/>
        <w:right w:val="none" w:sz="0" w:space="0" w:color="auto"/>
      </w:divBdr>
    </w:div>
    <w:div w:id="1791434196">
      <w:bodyDiv w:val="1"/>
      <w:marLeft w:val="0"/>
      <w:marRight w:val="0"/>
      <w:marTop w:val="0"/>
      <w:marBottom w:val="0"/>
      <w:divBdr>
        <w:top w:val="none" w:sz="0" w:space="0" w:color="auto"/>
        <w:left w:val="none" w:sz="0" w:space="0" w:color="auto"/>
        <w:bottom w:val="none" w:sz="0" w:space="0" w:color="auto"/>
        <w:right w:val="none" w:sz="0" w:space="0" w:color="auto"/>
      </w:divBdr>
    </w:div>
    <w:div w:id="1792549134">
      <w:bodyDiv w:val="1"/>
      <w:marLeft w:val="0"/>
      <w:marRight w:val="0"/>
      <w:marTop w:val="0"/>
      <w:marBottom w:val="0"/>
      <w:divBdr>
        <w:top w:val="none" w:sz="0" w:space="0" w:color="auto"/>
        <w:left w:val="none" w:sz="0" w:space="0" w:color="auto"/>
        <w:bottom w:val="none" w:sz="0" w:space="0" w:color="auto"/>
        <w:right w:val="none" w:sz="0" w:space="0" w:color="auto"/>
      </w:divBdr>
    </w:div>
    <w:div w:id="1792900721">
      <w:bodyDiv w:val="1"/>
      <w:marLeft w:val="0"/>
      <w:marRight w:val="0"/>
      <w:marTop w:val="0"/>
      <w:marBottom w:val="0"/>
      <w:divBdr>
        <w:top w:val="none" w:sz="0" w:space="0" w:color="auto"/>
        <w:left w:val="none" w:sz="0" w:space="0" w:color="auto"/>
        <w:bottom w:val="none" w:sz="0" w:space="0" w:color="auto"/>
        <w:right w:val="none" w:sz="0" w:space="0" w:color="auto"/>
      </w:divBdr>
    </w:div>
    <w:div w:id="1794054675">
      <w:bodyDiv w:val="1"/>
      <w:marLeft w:val="0"/>
      <w:marRight w:val="0"/>
      <w:marTop w:val="0"/>
      <w:marBottom w:val="0"/>
      <w:divBdr>
        <w:top w:val="none" w:sz="0" w:space="0" w:color="auto"/>
        <w:left w:val="none" w:sz="0" w:space="0" w:color="auto"/>
        <w:bottom w:val="none" w:sz="0" w:space="0" w:color="auto"/>
        <w:right w:val="none" w:sz="0" w:space="0" w:color="auto"/>
      </w:divBdr>
    </w:div>
    <w:div w:id="1794060940">
      <w:bodyDiv w:val="1"/>
      <w:marLeft w:val="0"/>
      <w:marRight w:val="0"/>
      <w:marTop w:val="0"/>
      <w:marBottom w:val="0"/>
      <w:divBdr>
        <w:top w:val="none" w:sz="0" w:space="0" w:color="auto"/>
        <w:left w:val="none" w:sz="0" w:space="0" w:color="auto"/>
        <w:bottom w:val="none" w:sz="0" w:space="0" w:color="auto"/>
        <w:right w:val="none" w:sz="0" w:space="0" w:color="auto"/>
      </w:divBdr>
    </w:div>
    <w:div w:id="1795564258">
      <w:bodyDiv w:val="1"/>
      <w:marLeft w:val="0"/>
      <w:marRight w:val="0"/>
      <w:marTop w:val="0"/>
      <w:marBottom w:val="0"/>
      <w:divBdr>
        <w:top w:val="none" w:sz="0" w:space="0" w:color="auto"/>
        <w:left w:val="none" w:sz="0" w:space="0" w:color="auto"/>
        <w:bottom w:val="none" w:sz="0" w:space="0" w:color="auto"/>
        <w:right w:val="none" w:sz="0" w:space="0" w:color="auto"/>
      </w:divBdr>
    </w:div>
    <w:div w:id="1796290218">
      <w:bodyDiv w:val="1"/>
      <w:marLeft w:val="0"/>
      <w:marRight w:val="0"/>
      <w:marTop w:val="0"/>
      <w:marBottom w:val="0"/>
      <w:divBdr>
        <w:top w:val="none" w:sz="0" w:space="0" w:color="auto"/>
        <w:left w:val="none" w:sz="0" w:space="0" w:color="auto"/>
        <w:bottom w:val="none" w:sz="0" w:space="0" w:color="auto"/>
        <w:right w:val="none" w:sz="0" w:space="0" w:color="auto"/>
      </w:divBdr>
    </w:div>
    <w:div w:id="1796486375">
      <w:bodyDiv w:val="1"/>
      <w:marLeft w:val="0"/>
      <w:marRight w:val="0"/>
      <w:marTop w:val="0"/>
      <w:marBottom w:val="0"/>
      <w:divBdr>
        <w:top w:val="none" w:sz="0" w:space="0" w:color="auto"/>
        <w:left w:val="none" w:sz="0" w:space="0" w:color="auto"/>
        <w:bottom w:val="none" w:sz="0" w:space="0" w:color="auto"/>
        <w:right w:val="none" w:sz="0" w:space="0" w:color="auto"/>
      </w:divBdr>
      <w:divsChild>
        <w:div w:id="296035784">
          <w:marLeft w:val="1166"/>
          <w:marRight w:val="0"/>
          <w:marTop w:val="96"/>
          <w:marBottom w:val="0"/>
          <w:divBdr>
            <w:top w:val="none" w:sz="0" w:space="0" w:color="auto"/>
            <w:left w:val="none" w:sz="0" w:space="0" w:color="auto"/>
            <w:bottom w:val="none" w:sz="0" w:space="0" w:color="auto"/>
            <w:right w:val="none" w:sz="0" w:space="0" w:color="auto"/>
          </w:divBdr>
        </w:div>
        <w:div w:id="394208075">
          <w:marLeft w:val="1800"/>
          <w:marRight w:val="0"/>
          <w:marTop w:val="82"/>
          <w:marBottom w:val="0"/>
          <w:divBdr>
            <w:top w:val="none" w:sz="0" w:space="0" w:color="auto"/>
            <w:left w:val="none" w:sz="0" w:space="0" w:color="auto"/>
            <w:bottom w:val="none" w:sz="0" w:space="0" w:color="auto"/>
            <w:right w:val="none" w:sz="0" w:space="0" w:color="auto"/>
          </w:divBdr>
        </w:div>
        <w:div w:id="723145245">
          <w:marLeft w:val="1166"/>
          <w:marRight w:val="0"/>
          <w:marTop w:val="101"/>
          <w:marBottom w:val="0"/>
          <w:divBdr>
            <w:top w:val="none" w:sz="0" w:space="0" w:color="auto"/>
            <w:left w:val="none" w:sz="0" w:space="0" w:color="auto"/>
            <w:bottom w:val="none" w:sz="0" w:space="0" w:color="auto"/>
            <w:right w:val="none" w:sz="0" w:space="0" w:color="auto"/>
          </w:divBdr>
        </w:div>
        <w:div w:id="945388612">
          <w:marLeft w:val="1166"/>
          <w:marRight w:val="0"/>
          <w:marTop w:val="101"/>
          <w:marBottom w:val="0"/>
          <w:divBdr>
            <w:top w:val="none" w:sz="0" w:space="0" w:color="auto"/>
            <w:left w:val="none" w:sz="0" w:space="0" w:color="auto"/>
            <w:bottom w:val="none" w:sz="0" w:space="0" w:color="auto"/>
            <w:right w:val="none" w:sz="0" w:space="0" w:color="auto"/>
          </w:divBdr>
        </w:div>
        <w:div w:id="1411081612">
          <w:marLeft w:val="547"/>
          <w:marRight w:val="0"/>
          <w:marTop w:val="115"/>
          <w:marBottom w:val="0"/>
          <w:divBdr>
            <w:top w:val="none" w:sz="0" w:space="0" w:color="auto"/>
            <w:left w:val="none" w:sz="0" w:space="0" w:color="auto"/>
            <w:bottom w:val="none" w:sz="0" w:space="0" w:color="auto"/>
            <w:right w:val="none" w:sz="0" w:space="0" w:color="auto"/>
          </w:divBdr>
        </w:div>
        <w:div w:id="1494226326">
          <w:marLeft w:val="1800"/>
          <w:marRight w:val="0"/>
          <w:marTop w:val="82"/>
          <w:marBottom w:val="0"/>
          <w:divBdr>
            <w:top w:val="none" w:sz="0" w:space="0" w:color="auto"/>
            <w:left w:val="none" w:sz="0" w:space="0" w:color="auto"/>
            <w:bottom w:val="none" w:sz="0" w:space="0" w:color="auto"/>
            <w:right w:val="none" w:sz="0" w:space="0" w:color="auto"/>
          </w:divBdr>
        </w:div>
        <w:div w:id="1542551361">
          <w:marLeft w:val="1166"/>
          <w:marRight w:val="0"/>
          <w:marTop w:val="96"/>
          <w:marBottom w:val="0"/>
          <w:divBdr>
            <w:top w:val="none" w:sz="0" w:space="0" w:color="auto"/>
            <w:left w:val="none" w:sz="0" w:space="0" w:color="auto"/>
            <w:bottom w:val="none" w:sz="0" w:space="0" w:color="auto"/>
            <w:right w:val="none" w:sz="0" w:space="0" w:color="auto"/>
          </w:divBdr>
        </w:div>
        <w:div w:id="1592467383">
          <w:marLeft w:val="1166"/>
          <w:marRight w:val="0"/>
          <w:marTop w:val="96"/>
          <w:marBottom w:val="0"/>
          <w:divBdr>
            <w:top w:val="none" w:sz="0" w:space="0" w:color="auto"/>
            <w:left w:val="none" w:sz="0" w:space="0" w:color="auto"/>
            <w:bottom w:val="none" w:sz="0" w:space="0" w:color="auto"/>
            <w:right w:val="none" w:sz="0" w:space="0" w:color="auto"/>
          </w:divBdr>
        </w:div>
        <w:div w:id="1639342365">
          <w:marLeft w:val="547"/>
          <w:marRight w:val="0"/>
          <w:marTop w:val="115"/>
          <w:marBottom w:val="0"/>
          <w:divBdr>
            <w:top w:val="none" w:sz="0" w:space="0" w:color="auto"/>
            <w:left w:val="none" w:sz="0" w:space="0" w:color="auto"/>
            <w:bottom w:val="none" w:sz="0" w:space="0" w:color="auto"/>
            <w:right w:val="none" w:sz="0" w:space="0" w:color="auto"/>
          </w:divBdr>
        </w:div>
        <w:div w:id="1911495970">
          <w:marLeft w:val="1800"/>
          <w:marRight w:val="0"/>
          <w:marTop w:val="82"/>
          <w:marBottom w:val="0"/>
          <w:divBdr>
            <w:top w:val="none" w:sz="0" w:space="0" w:color="auto"/>
            <w:left w:val="none" w:sz="0" w:space="0" w:color="auto"/>
            <w:bottom w:val="none" w:sz="0" w:space="0" w:color="auto"/>
            <w:right w:val="none" w:sz="0" w:space="0" w:color="auto"/>
          </w:divBdr>
        </w:div>
        <w:div w:id="2010059319">
          <w:marLeft w:val="547"/>
          <w:marRight w:val="0"/>
          <w:marTop w:val="115"/>
          <w:marBottom w:val="0"/>
          <w:divBdr>
            <w:top w:val="none" w:sz="0" w:space="0" w:color="auto"/>
            <w:left w:val="none" w:sz="0" w:space="0" w:color="auto"/>
            <w:bottom w:val="none" w:sz="0" w:space="0" w:color="auto"/>
            <w:right w:val="none" w:sz="0" w:space="0" w:color="auto"/>
          </w:divBdr>
        </w:div>
        <w:div w:id="2087725421">
          <w:marLeft w:val="1166"/>
          <w:marRight w:val="0"/>
          <w:marTop w:val="96"/>
          <w:marBottom w:val="0"/>
          <w:divBdr>
            <w:top w:val="none" w:sz="0" w:space="0" w:color="auto"/>
            <w:left w:val="none" w:sz="0" w:space="0" w:color="auto"/>
            <w:bottom w:val="none" w:sz="0" w:space="0" w:color="auto"/>
            <w:right w:val="none" w:sz="0" w:space="0" w:color="auto"/>
          </w:divBdr>
        </w:div>
      </w:divsChild>
    </w:div>
    <w:div w:id="1796754031">
      <w:bodyDiv w:val="1"/>
      <w:marLeft w:val="0"/>
      <w:marRight w:val="0"/>
      <w:marTop w:val="0"/>
      <w:marBottom w:val="0"/>
      <w:divBdr>
        <w:top w:val="none" w:sz="0" w:space="0" w:color="auto"/>
        <w:left w:val="none" w:sz="0" w:space="0" w:color="auto"/>
        <w:bottom w:val="none" w:sz="0" w:space="0" w:color="auto"/>
        <w:right w:val="none" w:sz="0" w:space="0" w:color="auto"/>
      </w:divBdr>
      <w:divsChild>
        <w:div w:id="313606381">
          <w:marLeft w:val="1080"/>
          <w:marRight w:val="0"/>
          <w:marTop w:val="100"/>
          <w:marBottom w:val="0"/>
          <w:divBdr>
            <w:top w:val="none" w:sz="0" w:space="0" w:color="auto"/>
            <w:left w:val="none" w:sz="0" w:space="0" w:color="auto"/>
            <w:bottom w:val="none" w:sz="0" w:space="0" w:color="auto"/>
            <w:right w:val="none" w:sz="0" w:space="0" w:color="auto"/>
          </w:divBdr>
        </w:div>
        <w:div w:id="1320385207">
          <w:marLeft w:val="1080"/>
          <w:marRight w:val="0"/>
          <w:marTop w:val="100"/>
          <w:marBottom w:val="0"/>
          <w:divBdr>
            <w:top w:val="none" w:sz="0" w:space="0" w:color="auto"/>
            <w:left w:val="none" w:sz="0" w:space="0" w:color="auto"/>
            <w:bottom w:val="none" w:sz="0" w:space="0" w:color="auto"/>
            <w:right w:val="none" w:sz="0" w:space="0" w:color="auto"/>
          </w:divBdr>
        </w:div>
        <w:div w:id="2039306311">
          <w:marLeft w:val="360"/>
          <w:marRight w:val="0"/>
          <w:marTop w:val="200"/>
          <w:marBottom w:val="0"/>
          <w:divBdr>
            <w:top w:val="none" w:sz="0" w:space="0" w:color="auto"/>
            <w:left w:val="none" w:sz="0" w:space="0" w:color="auto"/>
            <w:bottom w:val="none" w:sz="0" w:space="0" w:color="auto"/>
            <w:right w:val="none" w:sz="0" w:space="0" w:color="auto"/>
          </w:divBdr>
        </w:div>
      </w:divsChild>
    </w:div>
    <w:div w:id="1798330660">
      <w:bodyDiv w:val="1"/>
      <w:marLeft w:val="0"/>
      <w:marRight w:val="0"/>
      <w:marTop w:val="0"/>
      <w:marBottom w:val="0"/>
      <w:divBdr>
        <w:top w:val="none" w:sz="0" w:space="0" w:color="auto"/>
        <w:left w:val="none" w:sz="0" w:space="0" w:color="auto"/>
        <w:bottom w:val="none" w:sz="0" w:space="0" w:color="auto"/>
        <w:right w:val="none" w:sz="0" w:space="0" w:color="auto"/>
      </w:divBdr>
      <w:divsChild>
        <w:div w:id="23141697">
          <w:marLeft w:val="1166"/>
          <w:marRight w:val="0"/>
          <w:marTop w:val="240"/>
          <w:marBottom w:val="0"/>
          <w:divBdr>
            <w:top w:val="none" w:sz="0" w:space="0" w:color="auto"/>
            <w:left w:val="none" w:sz="0" w:space="0" w:color="auto"/>
            <w:bottom w:val="none" w:sz="0" w:space="0" w:color="auto"/>
            <w:right w:val="none" w:sz="0" w:space="0" w:color="auto"/>
          </w:divBdr>
        </w:div>
        <w:div w:id="1114440483">
          <w:marLeft w:val="547"/>
          <w:marRight w:val="0"/>
          <w:marTop w:val="240"/>
          <w:marBottom w:val="0"/>
          <w:divBdr>
            <w:top w:val="none" w:sz="0" w:space="0" w:color="auto"/>
            <w:left w:val="none" w:sz="0" w:space="0" w:color="auto"/>
            <w:bottom w:val="none" w:sz="0" w:space="0" w:color="auto"/>
            <w:right w:val="none" w:sz="0" w:space="0" w:color="auto"/>
          </w:divBdr>
        </w:div>
        <w:div w:id="1705252061">
          <w:marLeft w:val="547"/>
          <w:marRight w:val="0"/>
          <w:marTop w:val="240"/>
          <w:marBottom w:val="0"/>
          <w:divBdr>
            <w:top w:val="none" w:sz="0" w:space="0" w:color="auto"/>
            <w:left w:val="none" w:sz="0" w:space="0" w:color="auto"/>
            <w:bottom w:val="none" w:sz="0" w:space="0" w:color="auto"/>
            <w:right w:val="none" w:sz="0" w:space="0" w:color="auto"/>
          </w:divBdr>
        </w:div>
      </w:divsChild>
    </w:div>
    <w:div w:id="1798839389">
      <w:bodyDiv w:val="1"/>
      <w:marLeft w:val="0"/>
      <w:marRight w:val="0"/>
      <w:marTop w:val="0"/>
      <w:marBottom w:val="0"/>
      <w:divBdr>
        <w:top w:val="none" w:sz="0" w:space="0" w:color="auto"/>
        <w:left w:val="none" w:sz="0" w:space="0" w:color="auto"/>
        <w:bottom w:val="none" w:sz="0" w:space="0" w:color="auto"/>
        <w:right w:val="none" w:sz="0" w:space="0" w:color="auto"/>
      </w:divBdr>
    </w:div>
    <w:div w:id="1798909948">
      <w:bodyDiv w:val="1"/>
      <w:marLeft w:val="0"/>
      <w:marRight w:val="0"/>
      <w:marTop w:val="0"/>
      <w:marBottom w:val="0"/>
      <w:divBdr>
        <w:top w:val="none" w:sz="0" w:space="0" w:color="auto"/>
        <w:left w:val="none" w:sz="0" w:space="0" w:color="auto"/>
        <w:bottom w:val="none" w:sz="0" w:space="0" w:color="auto"/>
        <w:right w:val="none" w:sz="0" w:space="0" w:color="auto"/>
      </w:divBdr>
      <w:divsChild>
        <w:div w:id="397363661">
          <w:marLeft w:val="547"/>
          <w:marRight w:val="0"/>
          <w:marTop w:val="96"/>
          <w:marBottom w:val="0"/>
          <w:divBdr>
            <w:top w:val="none" w:sz="0" w:space="0" w:color="auto"/>
            <w:left w:val="none" w:sz="0" w:space="0" w:color="auto"/>
            <w:bottom w:val="none" w:sz="0" w:space="0" w:color="auto"/>
            <w:right w:val="none" w:sz="0" w:space="0" w:color="auto"/>
          </w:divBdr>
        </w:div>
      </w:divsChild>
    </w:div>
    <w:div w:id="1800415554">
      <w:bodyDiv w:val="1"/>
      <w:marLeft w:val="0"/>
      <w:marRight w:val="0"/>
      <w:marTop w:val="0"/>
      <w:marBottom w:val="0"/>
      <w:divBdr>
        <w:top w:val="none" w:sz="0" w:space="0" w:color="auto"/>
        <w:left w:val="none" w:sz="0" w:space="0" w:color="auto"/>
        <w:bottom w:val="none" w:sz="0" w:space="0" w:color="auto"/>
        <w:right w:val="none" w:sz="0" w:space="0" w:color="auto"/>
      </w:divBdr>
    </w:div>
    <w:div w:id="1801069146">
      <w:bodyDiv w:val="1"/>
      <w:marLeft w:val="0"/>
      <w:marRight w:val="0"/>
      <w:marTop w:val="0"/>
      <w:marBottom w:val="0"/>
      <w:divBdr>
        <w:top w:val="none" w:sz="0" w:space="0" w:color="auto"/>
        <w:left w:val="none" w:sz="0" w:space="0" w:color="auto"/>
        <w:bottom w:val="none" w:sz="0" w:space="0" w:color="auto"/>
        <w:right w:val="none" w:sz="0" w:space="0" w:color="auto"/>
      </w:divBdr>
      <w:divsChild>
        <w:div w:id="908618661">
          <w:marLeft w:val="1166"/>
          <w:marRight w:val="0"/>
          <w:marTop w:val="106"/>
          <w:marBottom w:val="0"/>
          <w:divBdr>
            <w:top w:val="none" w:sz="0" w:space="0" w:color="auto"/>
            <w:left w:val="none" w:sz="0" w:space="0" w:color="auto"/>
            <w:bottom w:val="none" w:sz="0" w:space="0" w:color="auto"/>
            <w:right w:val="none" w:sz="0" w:space="0" w:color="auto"/>
          </w:divBdr>
        </w:div>
        <w:div w:id="1196967248">
          <w:marLeft w:val="1166"/>
          <w:marRight w:val="0"/>
          <w:marTop w:val="106"/>
          <w:marBottom w:val="0"/>
          <w:divBdr>
            <w:top w:val="none" w:sz="0" w:space="0" w:color="auto"/>
            <w:left w:val="none" w:sz="0" w:space="0" w:color="auto"/>
            <w:bottom w:val="none" w:sz="0" w:space="0" w:color="auto"/>
            <w:right w:val="none" w:sz="0" w:space="0" w:color="auto"/>
          </w:divBdr>
        </w:div>
        <w:div w:id="1233395160">
          <w:marLeft w:val="1166"/>
          <w:marRight w:val="0"/>
          <w:marTop w:val="106"/>
          <w:marBottom w:val="0"/>
          <w:divBdr>
            <w:top w:val="none" w:sz="0" w:space="0" w:color="auto"/>
            <w:left w:val="none" w:sz="0" w:space="0" w:color="auto"/>
            <w:bottom w:val="none" w:sz="0" w:space="0" w:color="auto"/>
            <w:right w:val="none" w:sz="0" w:space="0" w:color="auto"/>
          </w:divBdr>
        </w:div>
        <w:div w:id="1386415392">
          <w:marLeft w:val="547"/>
          <w:marRight w:val="0"/>
          <w:marTop w:val="125"/>
          <w:marBottom w:val="0"/>
          <w:divBdr>
            <w:top w:val="none" w:sz="0" w:space="0" w:color="auto"/>
            <w:left w:val="none" w:sz="0" w:space="0" w:color="auto"/>
            <w:bottom w:val="none" w:sz="0" w:space="0" w:color="auto"/>
            <w:right w:val="none" w:sz="0" w:space="0" w:color="auto"/>
          </w:divBdr>
        </w:div>
        <w:div w:id="1397776437">
          <w:marLeft w:val="1166"/>
          <w:marRight w:val="0"/>
          <w:marTop w:val="106"/>
          <w:marBottom w:val="0"/>
          <w:divBdr>
            <w:top w:val="none" w:sz="0" w:space="0" w:color="auto"/>
            <w:left w:val="none" w:sz="0" w:space="0" w:color="auto"/>
            <w:bottom w:val="none" w:sz="0" w:space="0" w:color="auto"/>
            <w:right w:val="none" w:sz="0" w:space="0" w:color="auto"/>
          </w:divBdr>
        </w:div>
        <w:div w:id="1790469559">
          <w:marLeft w:val="1800"/>
          <w:marRight w:val="0"/>
          <w:marTop w:val="91"/>
          <w:marBottom w:val="0"/>
          <w:divBdr>
            <w:top w:val="none" w:sz="0" w:space="0" w:color="auto"/>
            <w:left w:val="none" w:sz="0" w:space="0" w:color="auto"/>
            <w:bottom w:val="none" w:sz="0" w:space="0" w:color="auto"/>
            <w:right w:val="none" w:sz="0" w:space="0" w:color="auto"/>
          </w:divBdr>
        </w:div>
        <w:div w:id="2013683176">
          <w:marLeft w:val="1166"/>
          <w:marRight w:val="0"/>
          <w:marTop w:val="106"/>
          <w:marBottom w:val="0"/>
          <w:divBdr>
            <w:top w:val="none" w:sz="0" w:space="0" w:color="auto"/>
            <w:left w:val="none" w:sz="0" w:space="0" w:color="auto"/>
            <w:bottom w:val="none" w:sz="0" w:space="0" w:color="auto"/>
            <w:right w:val="none" w:sz="0" w:space="0" w:color="auto"/>
          </w:divBdr>
        </w:div>
        <w:div w:id="2102753818">
          <w:marLeft w:val="547"/>
          <w:marRight w:val="0"/>
          <w:marTop w:val="125"/>
          <w:marBottom w:val="0"/>
          <w:divBdr>
            <w:top w:val="none" w:sz="0" w:space="0" w:color="auto"/>
            <w:left w:val="none" w:sz="0" w:space="0" w:color="auto"/>
            <w:bottom w:val="none" w:sz="0" w:space="0" w:color="auto"/>
            <w:right w:val="none" w:sz="0" w:space="0" w:color="auto"/>
          </w:divBdr>
        </w:div>
        <w:div w:id="2116362643">
          <w:marLeft w:val="547"/>
          <w:marRight w:val="0"/>
          <w:marTop w:val="125"/>
          <w:marBottom w:val="0"/>
          <w:divBdr>
            <w:top w:val="none" w:sz="0" w:space="0" w:color="auto"/>
            <w:left w:val="none" w:sz="0" w:space="0" w:color="auto"/>
            <w:bottom w:val="none" w:sz="0" w:space="0" w:color="auto"/>
            <w:right w:val="none" w:sz="0" w:space="0" w:color="auto"/>
          </w:divBdr>
        </w:div>
      </w:divsChild>
    </w:div>
    <w:div w:id="1801606362">
      <w:bodyDiv w:val="1"/>
      <w:marLeft w:val="0"/>
      <w:marRight w:val="0"/>
      <w:marTop w:val="0"/>
      <w:marBottom w:val="0"/>
      <w:divBdr>
        <w:top w:val="none" w:sz="0" w:space="0" w:color="auto"/>
        <w:left w:val="none" w:sz="0" w:space="0" w:color="auto"/>
        <w:bottom w:val="none" w:sz="0" w:space="0" w:color="auto"/>
        <w:right w:val="none" w:sz="0" w:space="0" w:color="auto"/>
      </w:divBdr>
    </w:div>
    <w:div w:id="1805193793">
      <w:bodyDiv w:val="1"/>
      <w:marLeft w:val="0"/>
      <w:marRight w:val="0"/>
      <w:marTop w:val="0"/>
      <w:marBottom w:val="0"/>
      <w:divBdr>
        <w:top w:val="none" w:sz="0" w:space="0" w:color="auto"/>
        <w:left w:val="none" w:sz="0" w:space="0" w:color="auto"/>
        <w:bottom w:val="none" w:sz="0" w:space="0" w:color="auto"/>
        <w:right w:val="none" w:sz="0" w:space="0" w:color="auto"/>
      </w:divBdr>
      <w:divsChild>
        <w:div w:id="553152286">
          <w:marLeft w:val="1166"/>
          <w:marRight w:val="0"/>
          <w:marTop w:val="0"/>
          <w:marBottom w:val="0"/>
          <w:divBdr>
            <w:top w:val="none" w:sz="0" w:space="0" w:color="auto"/>
            <w:left w:val="none" w:sz="0" w:space="0" w:color="auto"/>
            <w:bottom w:val="none" w:sz="0" w:space="0" w:color="auto"/>
            <w:right w:val="none" w:sz="0" w:space="0" w:color="auto"/>
          </w:divBdr>
        </w:div>
        <w:div w:id="975574292">
          <w:marLeft w:val="547"/>
          <w:marRight w:val="0"/>
          <w:marTop w:val="0"/>
          <w:marBottom w:val="0"/>
          <w:divBdr>
            <w:top w:val="none" w:sz="0" w:space="0" w:color="auto"/>
            <w:left w:val="none" w:sz="0" w:space="0" w:color="auto"/>
            <w:bottom w:val="none" w:sz="0" w:space="0" w:color="auto"/>
            <w:right w:val="none" w:sz="0" w:space="0" w:color="auto"/>
          </w:divBdr>
        </w:div>
        <w:div w:id="1524633457">
          <w:marLeft w:val="1166"/>
          <w:marRight w:val="0"/>
          <w:marTop w:val="0"/>
          <w:marBottom w:val="0"/>
          <w:divBdr>
            <w:top w:val="none" w:sz="0" w:space="0" w:color="auto"/>
            <w:left w:val="none" w:sz="0" w:space="0" w:color="auto"/>
            <w:bottom w:val="none" w:sz="0" w:space="0" w:color="auto"/>
            <w:right w:val="none" w:sz="0" w:space="0" w:color="auto"/>
          </w:divBdr>
        </w:div>
        <w:div w:id="1569849538">
          <w:marLeft w:val="1166"/>
          <w:marRight w:val="0"/>
          <w:marTop w:val="0"/>
          <w:marBottom w:val="0"/>
          <w:divBdr>
            <w:top w:val="none" w:sz="0" w:space="0" w:color="auto"/>
            <w:left w:val="none" w:sz="0" w:space="0" w:color="auto"/>
            <w:bottom w:val="none" w:sz="0" w:space="0" w:color="auto"/>
            <w:right w:val="none" w:sz="0" w:space="0" w:color="auto"/>
          </w:divBdr>
        </w:div>
      </w:divsChild>
    </w:div>
    <w:div w:id="1806269655">
      <w:bodyDiv w:val="1"/>
      <w:marLeft w:val="0"/>
      <w:marRight w:val="0"/>
      <w:marTop w:val="0"/>
      <w:marBottom w:val="0"/>
      <w:divBdr>
        <w:top w:val="none" w:sz="0" w:space="0" w:color="auto"/>
        <w:left w:val="none" w:sz="0" w:space="0" w:color="auto"/>
        <w:bottom w:val="none" w:sz="0" w:space="0" w:color="auto"/>
        <w:right w:val="none" w:sz="0" w:space="0" w:color="auto"/>
      </w:divBdr>
    </w:div>
    <w:div w:id="1807773524">
      <w:bodyDiv w:val="1"/>
      <w:marLeft w:val="0"/>
      <w:marRight w:val="0"/>
      <w:marTop w:val="0"/>
      <w:marBottom w:val="0"/>
      <w:divBdr>
        <w:top w:val="none" w:sz="0" w:space="0" w:color="auto"/>
        <w:left w:val="none" w:sz="0" w:space="0" w:color="auto"/>
        <w:bottom w:val="none" w:sz="0" w:space="0" w:color="auto"/>
        <w:right w:val="none" w:sz="0" w:space="0" w:color="auto"/>
      </w:divBdr>
      <w:divsChild>
        <w:div w:id="499006361">
          <w:marLeft w:val="1800"/>
          <w:marRight w:val="0"/>
          <w:marTop w:val="86"/>
          <w:marBottom w:val="0"/>
          <w:divBdr>
            <w:top w:val="none" w:sz="0" w:space="0" w:color="auto"/>
            <w:left w:val="none" w:sz="0" w:space="0" w:color="auto"/>
            <w:bottom w:val="none" w:sz="0" w:space="0" w:color="auto"/>
            <w:right w:val="none" w:sz="0" w:space="0" w:color="auto"/>
          </w:divBdr>
        </w:div>
        <w:div w:id="576746543">
          <w:marLeft w:val="1166"/>
          <w:marRight w:val="0"/>
          <w:marTop w:val="86"/>
          <w:marBottom w:val="0"/>
          <w:divBdr>
            <w:top w:val="none" w:sz="0" w:space="0" w:color="auto"/>
            <w:left w:val="none" w:sz="0" w:space="0" w:color="auto"/>
            <w:bottom w:val="none" w:sz="0" w:space="0" w:color="auto"/>
            <w:right w:val="none" w:sz="0" w:space="0" w:color="auto"/>
          </w:divBdr>
        </w:div>
        <w:div w:id="624392947">
          <w:marLeft w:val="1166"/>
          <w:marRight w:val="0"/>
          <w:marTop w:val="86"/>
          <w:marBottom w:val="0"/>
          <w:divBdr>
            <w:top w:val="none" w:sz="0" w:space="0" w:color="auto"/>
            <w:left w:val="none" w:sz="0" w:space="0" w:color="auto"/>
            <w:bottom w:val="none" w:sz="0" w:space="0" w:color="auto"/>
            <w:right w:val="none" w:sz="0" w:space="0" w:color="auto"/>
          </w:divBdr>
        </w:div>
        <w:div w:id="759105012">
          <w:marLeft w:val="1166"/>
          <w:marRight w:val="0"/>
          <w:marTop w:val="86"/>
          <w:marBottom w:val="0"/>
          <w:divBdr>
            <w:top w:val="none" w:sz="0" w:space="0" w:color="auto"/>
            <w:left w:val="none" w:sz="0" w:space="0" w:color="auto"/>
            <w:bottom w:val="none" w:sz="0" w:space="0" w:color="auto"/>
            <w:right w:val="none" w:sz="0" w:space="0" w:color="auto"/>
          </w:divBdr>
        </w:div>
        <w:div w:id="958606760">
          <w:marLeft w:val="1166"/>
          <w:marRight w:val="0"/>
          <w:marTop w:val="86"/>
          <w:marBottom w:val="0"/>
          <w:divBdr>
            <w:top w:val="none" w:sz="0" w:space="0" w:color="auto"/>
            <w:left w:val="none" w:sz="0" w:space="0" w:color="auto"/>
            <w:bottom w:val="none" w:sz="0" w:space="0" w:color="auto"/>
            <w:right w:val="none" w:sz="0" w:space="0" w:color="auto"/>
          </w:divBdr>
        </w:div>
        <w:div w:id="1105922150">
          <w:marLeft w:val="1800"/>
          <w:marRight w:val="0"/>
          <w:marTop w:val="86"/>
          <w:marBottom w:val="0"/>
          <w:divBdr>
            <w:top w:val="none" w:sz="0" w:space="0" w:color="auto"/>
            <w:left w:val="none" w:sz="0" w:space="0" w:color="auto"/>
            <w:bottom w:val="none" w:sz="0" w:space="0" w:color="auto"/>
            <w:right w:val="none" w:sz="0" w:space="0" w:color="auto"/>
          </w:divBdr>
        </w:div>
        <w:div w:id="1146168931">
          <w:marLeft w:val="547"/>
          <w:marRight w:val="0"/>
          <w:marTop w:val="86"/>
          <w:marBottom w:val="0"/>
          <w:divBdr>
            <w:top w:val="none" w:sz="0" w:space="0" w:color="auto"/>
            <w:left w:val="none" w:sz="0" w:space="0" w:color="auto"/>
            <w:bottom w:val="none" w:sz="0" w:space="0" w:color="auto"/>
            <w:right w:val="none" w:sz="0" w:space="0" w:color="auto"/>
          </w:divBdr>
        </w:div>
        <w:div w:id="1412895772">
          <w:marLeft w:val="1166"/>
          <w:marRight w:val="0"/>
          <w:marTop w:val="86"/>
          <w:marBottom w:val="0"/>
          <w:divBdr>
            <w:top w:val="none" w:sz="0" w:space="0" w:color="auto"/>
            <w:left w:val="none" w:sz="0" w:space="0" w:color="auto"/>
            <w:bottom w:val="none" w:sz="0" w:space="0" w:color="auto"/>
            <w:right w:val="none" w:sz="0" w:space="0" w:color="auto"/>
          </w:divBdr>
        </w:div>
        <w:div w:id="1460301947">
          <w:marLeft w:val="1800"/>
          <w:marRight w:val="0"/>
          <w:marTop w:val="86"/>
          <w:marBottom w:val="0"/>
          <w:divBdr>
            <w:top w:val="none" w:sz="0" w:space="0" w:color="auto"/>
            <w:left w:val="none" w:sz="0" w:space="0" w:color="auto"/>
            <w:bottom w:val="none" w:sz="0" w:space="0" w:color="auto"/>
            <w:right w:val="none" w:sz="0" w:space="0" w:color="auto"/>
          </w:divBdr>
        </w:div>
        <w:div w:id="1882281983">
          <w:marLeft w:val="1166"/>
          <w:marRight w:val="0"/>
          <w:marTop w:val="86"/>
          <w:marBottom w:val="0"/>
          <w:divBdr>
            <w:top w:val="none" w:sz="0" w:space="0" w:color="auto"/>
            <w:left w:val="none" w:sz="0" w:space="0" w:color="auto"/>
            <w:bottom w:val="none" w:sz="0" w:space="0" w:color="auto"/>
            <w:right w:val="none" w:sz="0" w:space="0" w:color="auto"/>
          </w:divBdr>
        </w:div>
        <w:div w:id="1930038229">
          <w:marLeft w:val="1166"/>
          <w:marRight w:val="0"/>
          <w:marTop w:val="86"/>
          <w:marBottom w:val="0"/>
          <w:divBdr>
            <w:top w:val="none" w:sz="0" w:space="0" w:color="auto"/>
            <w:left w:val="none" w:sz="0" w:space="0" w:color="auto"/>
            <w:bottom w:val="none" w:sz="0" w:space="0" w:color="auto"/>
            <w:right w:val="none" w:sz="0" w:space="0" w:color="auto"/>
          </w:divBdr>
        </w:div>
        <w:div w:id="2032800664">
          <w:marLeft w:val="1800"/>
          <w:marRight w:val="0"/>
          <w:marTop w:val="86"/>
          <w:marBottom w:val="0"/>
          <w:divBdr>
            <w:top w:val="none" w:sz="0" w:space="0" w:color="auto"/>
            <w:left w:val="none" w:sz="0" w:space="0" w:color="auto"/>
            <w:bottom w:val="none" w:sz="0" w:space="0" w:color="auto"/>
            <w:right w:val="none" w:sz="0" w:space="0" w:color="auto"/>
          </w:divBdr>
        </w:div>
        <w:div w:id="2052922403">
          <w:marLeft w:val="547"/>
          <w:marRight w:val="0"/>
          <w:marTop w:val="86"/>
          <w:marBottom w:val="0"/>
          <w:divBdr>
            <w:top w:val="none" w:sz="0" w:space="0" w:color="auto"/>
            <w:left w:val="none" w:sz="0" w:space="0" w:color="auto"/>
            <w:bottom w:val="none" w:sz="0" w:space="0" w:color="auto"/>
            <w:right w:val="none" w:sz="0" w:space="0" w:color="auto"/>
          </w:divBdr>
        </w:div>
        <w:div w:id="2116710143">
          <w:marLeft w:val="547"/>
          <w:marRight w:val="0"/>
          <w:marTop w:val="86"/>
          <w:marBottom w:val="0"/>
          <w:divBdr>
            <w:top w:val="none" w:sz="0" w:space="0" w:color="auto"/>
            <w:left w:val="none" w:sz="0" w:space="0" w:color="auto"/>
            <w:bottom w:val="none" w:sz="0" w:space="0" w:color="auto"/>
            <w:right w:val="none" w:sz="0" w:space="0" w:color="auto"/>
          </w:divBdr>
        </w:div>
      </w:divsChild>
    </w:div>
    <w:div w:id="1808087380">
      <w:bodyDiv w:val="1"/>
      <w:marLeft w:val="0"/>
      <w:marRight w:val="0"/>
      <w:marTop w:val="0"/>
      <w:marBottom w:val="0"/>
      <w:divBdr>
        <w:top w:val="none" w:sz="0" w:space="0" w:color="auto"/>
        <w:left w:val="none" w:sz="0" w:space="0" w:color="auto"/>
        <w:bottom w:val="none" w:sz="0" w:space="0" w:color="auto"/>
        <w:right w:val="none" w:sz="0" w:space="0" w:color="auto"/>
      </w:divBdr>
    </w:div>
    <w:div w:id="1808860629">
      <w:bodyDiv w:val="1"/>
      <w:marLeft w:val="0"/>
      <w:marRight w:val="0"/>
      <w:marTop w:val="0"/>
      <w:marBottom w:val="0"/>
      <w:divBdr>
        <w:top w:val="none" w:sz="0" w:space="0" w:color="auto"/>
        <w:left w:val="none" w:sz="0" w:space="0" w:color="auto"/>
        <w:bottom w:val="none" w:sz="0" w:space="0" w:color="auto"/>
        <w:right w:val="none" w:sz="0" w:space="0" w:color="auto"/>
      </w:divBdr>
      <w:divsChild>
        <w:div w:id="16472569">
          <w:marLeft w:val="1166"/>
          <w:marRight w:val="0"/>
          <w:marTop w:val="115"/>
          <w:marBottom w:val="120"/>
          <w:divBdr>
            <w:top w:val="none" w:sz="0" w:space="0" w:color="auto"/>
            <w:left w:val="none" w:sz="0" w:space="0" w:color="auto"/>
            <w:bottom w:val="none" w:sz="0" w:space="0" w:color="auto"/>
            <w:right w:val="none" w:sz="0" w:space="0" w:color="auto"/>
          </w:divBdr>
        </w:div>
        <w:div w:id="253168680">
          <w:marLeft w:val="1166"/>
          <w:marRight w:val="0"/>
          <w:marTop w:val="115"/>
          <w:marBottom w:val="120"/>
          <w:divBdr>
            <w:top w:val="none" w:sz="0" w:space="0" w:color="auto"/>
            <w:left w:val="none" w:sz="0" w:space="0" w:color="auto"/>
            <w:bottom w:val="none" w:sz="0" w:space="0" w:color="auto"/>
            <w:right w:val="none" w:sz="0" w:space="0" w:color="auto"/>
          </w:divBdr>
        </w:div>
        <w:div w:id="1332836773">
          <w:marLeft w:val="547"/>
          <w:marRight w:val="0"/>
          <w:marTop w:val="134"/>
          <w:marBottom w:val="120"/>
          <w:divBdr>
            <w:top w:val="none" w:sz="0" w:space="0" w:color="auto"/>
            <w:left w:val="none" w:sz="0" w:space="0" w:color="auto"/>
            <w:bottom w:val="none" w:sz="0" w:space="0" w:color="auto"/>
            <w:right w:val="none" w:sz="0" w:space="0" w:color="auto"/>
          </w:divBdr>
        </w:div>
        <w:div w:id="1935287798">
          <w:marLeft w:val="1166"/>
          <w:marRight w:val="0"/>
          <w:marTop w:val="115"/>
          <w:marBottom w:val="120"/>
          <w:divBdr>
            <w:top w:val="none" w:sz="0" w:space="0" w:color="auto"/>
            <w:left w:val="none" w:sz="0" w:space="0" w:color="auto"/>
            <w:bottom w:val="none" w:sz="0" w:space="0" w:color="auto"/>
            <w:right w:val="none" w:sz="0" w:space="0" w:color="auto"/>
          </w:divBdr>
        </w:div>
      </w:divsChild>
    </w:div>
    <w:div w:id="1808889992">
      <w:bodyDiv w:val="1"/>
      <w:marLeft w:val="0"/>
      <w:marRight w:val="0"/>
      <w:marTop w:val="0"/>
      <w:marBottom w:val="0"/>
      <w:divBdr>
        <w:top w:val="none" w:sz="0" w:space="0" w:color="auto"/>
        <w:left w:val="none" w:sz="0" w:space="0" w:color="auto"/>
        <w:bottom w:val="none" w:sz="0" w:space="0" w:color="auto"/>
        <w:right w:val="none" w:sz="0" w:space="0" w:color="auto"/>
      </w:divBdr>
    </w:div>
    <w:div w:id="1809006173">
      <w:bodyDiv w:val="1"/>
      <w:marLeft w:val="0"/>
      <w:marRight w:val="0"/>
      <w:marTop w:val="0"/>
      <w:marBottom w:val="0"/>
      <w:divBdr>
        <w:top w:val="none" w:sz="0" w:space="0" w:color="auto"/>
        <w:left w:val="none" w:sz="0" w:space="0" w:color="auto"/>
        <w:bottom w:val="none" w:sz="0" w:space="0" w:color="auto"/>
        <w:right w:val="none" w:sz="0" w:space="0" w:color="auto"/>
      </w:divBdr>
    </w:div>
    <w:div w:id="1809665225">
      <w:bodyDiv w:val="1"/>
      <w:marLeft w:val="0"/>
      <w:marRight w:val="0"/>
      <w:marTop w:val="0"/>
      <w:marBottom w:val="0"/>
      <w:divBdr>
        <w:top w:val="none" w:sz="0" w:space="0" w:color="auto"/>
        <w:left w:val="none" w:sz="0" w:space="0" w:color="auto"/>
        <w:bottom w:val="none" w:sz="0" w:space="0" w:color="auto"/>
        <w:right w:val="none" w:sz="0" w:space="0" w:color="auto"/>
      </w:divBdr>
    </w:div>
    <w:div w:id="1811433937">
      <w:bodyDiv w:val="1"/>
      <w:marLeft w:val="0"/>
      <w:marRight w:val="0"/>
      <w:marTop w:val="0"/>
      <w:marBottom w:val="0"/>
      <w:divBdr>
        <w:top w:val="none" w:sz="0" w:space="0" w:color="auto"/>
        <w:left w:val="none" w:sz="0" w:space="0" w:color="auto"/>
        <w:bottom w:val="none" w:sz="0" w:space="0" w:color="auto"/>
        <w:right w:val="none" w:sz="0" w:space="0" w:color="auto"/>
      </w:divBdr>
    </w:div>
    <w:div w:id="1811942532">
      <w:bodyDiv w:val="1"/>
      <w:marLeft w:val="0"/>
      <w:marRight w:val="0"/>
      <w:marTop w:val="0"/>
      <w:marBottom w:val="0"/>
      <w:divBdr>
        <w:top w:val="none" w:sz="0" w:space="0" w:color="auto"/>
        <w:left w:val="none" w:sz="0" w:space="0" w:color="auto"/>
        <w:bottom w:val="none" w:sz="0" w:space="0" w:color="auto"/>
        <w:right w:val="none" w:sz="0" w:space="0" w:color="auto"/>
      </w:divBdr>
    </w:div>
    <w:div w:id="1813400073">
      <w:bodyDiv w:val="1"/>
      <w:marLeft w:val="0"/>
      <w:marRight w:val="0"/>
      <w:marTop w:val="0"/>
      <w:marBottom w:val="0"/>
      <w:divBdr>
        <w:top w:val="none" w:sz="0" w:space="0" w:color="auto"/>
        <w:left w:val="none" w:sz="0" w:space="0" w:color="auto"/>
        <w:bottom w:val="none" w:sz="0" w:space="0" w:color="auto"/>
        <w:right w:val="none" w:sz="0" w:space="0" w:color="auto"/>
      </w:divBdr>
    </w:div>
    <w:div w:id="1815487984">
      <w:bodyDiv w:val="1"/>
      <w:marLeft w:val="0"/>
      <w:marRight w:val="0"/>
      <w:marTop w:val="0"/>
      <w:marBottom w:val="0"/>
      <w:divBdr>
        <w:top w:val="none" w:sz="0" w:space="0" w:color="auto"/>
        <w:left w:val="none" w:sz="0" w:space="0" w:color="auto"/>
        <w:bottom w:val="none" w:sz="0" w:space="0" w:color="auto"/>
        <w:right w:val="none" w:sz="0" w:space="0" w:color="auto"/>
      </w:divBdr>
    </w:div>
    <w:div w:id="1816139662">
      <w:bodyDiv w:val="1"/>
      <w:marLeft w:val="0"/>
      <w:marRight w:val="0"/>
      <w:marTop w:val="0"/>
      <w:marBottom w:val="0"/>
      <w:divBdr>
        <w:top w:val="none" w:sz="0" w:space="0" w:color="auto"/>
        <w:left w:val="none" w:sz="0" w:space="0" w:color="auto"/>
        <w:bottom w:val="none" w:sz="0" w:space="0" w:color="auto"/>
        <w:right w:val="none" w:sz="0" w:space="0" w:color="auto"/>
      </w:divBdr>
      <w:divsChild>
        <w:div w:id="847864258">
          <w:marLeft w:val="1166"/>
          <w:marRight w:val="0"/>
          <w:marTop w:val="96"/>
          <w:marBottom w:val="0"/>
          <w:divBdr>
            <w:top w:val="none" w:sz="0" w:space="0" w:color="auto"/>
            <w:left w:val="none" w:sz="0" w:space="0" w:color="auto"/>
            <w:bottom w:val="none" w:sz="0" w:space="0" w:color="auto"/>
            <w:right w:val="none" w:sz="0" w:space="0" w:color="auto"/>
          </w:divBdr>
        </w:div>
      </w:divsChild>
    </w:div>
    <w:div w:id="1816332384">
      <w:bodyDiv w:val="1"/>
      <w:marLeft w:val="0"/>
      <w:marRight w:val="0"/>
      <w:marTop w:val="0"/>
      <w:marBottom w:val="0"/>
      <w:divBdr>
        <w:top w:val="none" w:sz="0" w:space="0" w:color="auto"/>
        <w:left w:val="none" w:sz="0" w:space="0" w:color="auto"/>
        <w:bottom w:val="none" w:sz="0" w:space="0" w:color="auto"/>
        <w:right w:val="none" w:sz="0" w:space="0" w:color="auto"/>
      </w:divBdr>
    </w:div>
    <w:div w:id="1816599695">
      <w:bodyDiv w:val="1"/>
      <w:marLeft w:val="0"/>
      <w:marRight w:val="0"/>
      <w:marTop w:val="0"/>
      <w:marBottom w:val="0"/>
      <w:divBdr>
        <w:top w:val="none" w:sz="0" w:space="0" w:color="auto"/>
        <w:left w:val="none" w:sz="0" w:space="0" w:color="auto"/>
        <w:bottom w:val="none" w:sz="0" w:space="0" w:color="auto"/>
        <w:right w:val="none" w:sz="0" w:space="0" w:color="auto"/>
      </w:divBdr>
    </w:div>
    <w:div w:id="1818379153">
      <w:bodyDiv w:val="1"/>
      <w:marLeft w:val="0"/>
      <w:marRight w:val="0"/>
      <w:marTop w:val="0"/>
      <w:marBottom w:val="0"/>
      <w:divBdr>
        <w:top w:val="none" w:sz="0" w:space="0" w:color="auto"/>
        <w:left w:val="none" w:sz="0" w:space="0" w:color="auto"/>
        <w:bottom w:val="none" w:sz="0" w:space="0" w:color="auto"/>
        <w:right w:val="none" w:sz="0" w:space="0" w:color="auto"/>
      </w:divBdr>
      <w:divsChild>
        <w:div w:id="188105366">
          <w:marLeft w:val="1800"/>
          <w:marRight w:val="0"/>
          <w:marTop w:val="100"/>
          <w:marBottom w:val="0"/>
          <w:divBdr>
            <w:top w:val="none" w:sz="0" w:space="0" w:color="auto"/>
            <w:left w:val="none" w:sz="0" w:space="0" w:color="auto"/>
            <w:bottom w:val="none" w:sz="0" w:space="0" w:color="auto"/>
            <w:right w:val="none" w:sz="0" w:space="0" w:color="auto"/>
          </w:divBdr>
        </w:div>
        <w:div w:id="195239832">
          <w:marLeft w:val="2520"/>
          <w:marRight w:val="0"/>
          <w:marTop w:val="100"/>
          <w:marBottom w:val="0"/>
          <w:divBdr>
            <w:top w:val="none" w:sz="0" w:space="0" w:color="auto"/>
            <w:left w:val="none" w:sz="0" w:space="0" w:color="auto"/>
            <w:bottom w:val="none" w:sz="0" w:space="0" w:color="auto"/>
            <w:right w:val="none" w:sz="0" w:space="0" w:color="auto"/>
          </w:divBdr>
        </w:div>
        <w:div w:id="305278304">
          <w:marLeft w:val="1800"/>
          <w:marRight w:val="0"/>
          <w:marTop w:val="100"/>
          <w:marBottom w:val="0"/>
          <w:divBdr>
            <w:top w:val="none" w:sz="0" w:space="0" w:color="auto"/>
            <w:left w:val="none" w:sz="0" w:space="0" w:color="auto"/>
            <w:bottom w:val="none" w:sz="0" w:space="0" w:color="auto"/>
            <w:right w:val="none" w:sz="0" w:space="0" w:color="auto"/>
          </w:divBdr>
        </w:div>
        <w:div w:id="353650654">
          <w:marLeft w:val="1080"/>
          <w:marRight w:val="0"/>
          <w:marTop w:val="100"/>
          <w:marBottom w:val="0"/>
          <w:divBdr>
            <w:top w:val="none" w:sz="0" w:space="0" w:color="auto"/>
            <w:left w:val="none" w:sz="0" w:space="0" w:color="auto"/>
            <w:bottom w:val="none" w:sz="0" w:space="0" w:color="auto"/>
            <w:right w:val="none" w:sz="0" w:space="0" w:color="auto"/>
          </w:divBdr>
        </w:div>
        <w:div w:id="355616108">
          <w:marLeft w:val="1800"/>
          <w:marRight w:val="0"/>
          <w:marTop w:val="100"/>
          <w:marBottom w:val="0"/>
          <w:divBdr>
            <w:top w:val="none" w:sz="0" w:space="0" w:color="auto"/>
            <w:left w:val="none" w:sz="0" w:space="0" w:color="auto"/>
            <w:bottom w:val="none" w:sz="0" w:space="0" w:color="auto"/>
            <w:right w:val="none" w:sz="0" w:space="0" w:color="auto"/>
          </w:divBdr>
        </w:div>
        <w:div w:id="449863867">
          <w:marLeft w:val="1080"/>
          <w:marRight w:val="0"/>
          <w:marTop w:val="100"/>
          <w:marBottom w:val="0"/>
          <w:divBdr>
            <w:top w:val="none" w:sz="0" w:space="0" w:color="auto"/>
            <w:left w:val="none" w:sz="0" w:space="0" w:color="auto"/>
            <w:bottom w:val="none" w:sz="0" w:space="0" w:color="auto"/>
            <w:right w:val="none" w:sz="0" w:space="0" w:color="auto"/>
          </w:divBdr>
        </w:div>
        <w:div w:id="505748146">
          <w:marLeft w:val="1080"/>
          <w:marRight w:val="0"/>
          <w:marTop w:val="100"/>
          <w:marBottom w:val="0"/>
          <w:divBdr>
            <w:top w:val="none" w:sz="0" w:space="0" w:color="auto"/>
            <w:left w:val="none" w:sz="0" w:space="0" w:color="auto"/>
            <w:bottom w:val="none" w:sz="0" w:space="0" w:color="auto"/>
            <w:right w:val="none" w:sz="0" w:space="0" w:color="auto"/>
          </w:divBdr>
        </w:div>
        <w:div w:id="653485753">
          <w:marLeft w:val="360"/>
          <w:marRight w:val="0"/>
          <w:marTop w:val="200"/>
          <w:marBottom w:val="0"/>
          <w:divBdr>
            <w:top w:val="none" w:sz="0" w:space="0" w:color="auto"/>
            <w:left w:val="none" w:sz="0" w:space="0" w:color="auto"/>
            <w:bottom w:val="none" w:sz="0" w:space="0" w:color="auto"/>
            <w:right w:val="none" w:sz="0" w:space="0" w:color="auto"/>
          </w:divBdr>
        </w:div>
        <w:div w:id="974332412">
          <w:marLeft w:val="1800"/>
          <w:marRight w:val="0"/>
          <w:marTop w:val="100"/>
          <w:marBottom w:val="0"/>
          <w:divBdr>
            <w:top w:val="none" w:sz="0" w:space="0" w:color="auto"/>
            <w:left w:val="none" w:sz="0" w:space="0" w:color="auto"/>
            <w:bottom w:val="none" w:sz="0" w:space="0" w:color="auto"/>
            <w:right w:val="none" w:sz="0" w:space="0" w:color="auto"/>
          </w:divBdr>
        </w:div>
        <w:div w:id="1650934311">
          <w:marLeft w:val="1080"/>
          <w:marRight w:val="0"/>
          <w:marTop w:val="100"/>
          <w:marBottom w:val="0"/>
          <w:divBdr>
            <w:top w:val="none" w:sz="0" w:space="0" w:color="auto"/>
            <w:left w:val="none" w:sz="0" w:space="0" w:color="auto"/>
            <w:bottom w:val="none" w:sz="0" w:space="0" w:color="auto"/>
            <w:right w:val="none" w:sz="0" w:space="0" w:color="auto"/>
          </w:divBdr>
        </w:div>
        <w:div w:id="1694500187">
          <w:marLeft w:val="2520"/>
          <w:marRight w:val="0"/>
          <w:marTop w:val="100"/>
          <w:marBottom w:val="0"/>
          <w:divBdr>
            <w:top w:val="none" w:sz="0" w:space="0" w:color="auto"/>
            <w:left w:val="none" w:sz="0" w:space="0" w:color="auto"/>
            <w:bottom w:val="none" w:sz="0" w:space="0" w:color="auto"/>
            <w:right w:val="none" w:sz="0" w:space="0" w:color="auto"/>
          </w:divBdr>
        </w:div>
        <w:div w:id="1696468404">
          <w:marLeft w:val="1080"/>
          <w:marRight w:val="0"/>
          <w:marTop w:val="100"/>
          <w:marBottom w:val="0"/>
          <w:divBdr>
            <w:top w:val="none" w:sz="0" w:space="0" w:color="auto"/>
            <w:left w:val="none" w:sz="0" w:space="0" w:color="auto"/>
            <w:bottom w:val="none" w:sz="0" w:space="0" w:color="auto"/>
            <w:right w:val="none" w:sz="0" w:space="0" w:color="auto"/>
          </w:divBdr>
        </w:div>
        <w:div w:id="1902206199">
          <w:marLeft w:val="2520"/>
          <w:marRight w:val="0"/>
          <w:marTop w:val="100"/>
          <w:marBottom w:val="0"/>
          <w:divBdr>
            <w:top w:val="none" w:sz="0" w:space="0" w:color="auto"/>
            <w:left w:val="none" w:sz="0" w:space="0" w:color="auto"/>
            <w:bottom w:val="none" w:sz="0" w:space="0" w:color="auto"/>
            <w:right w:val="none" w:sz="0" w:space="0" w:color="auto"/>
          </w:divBdr>
        </w:div>
      </w:divsChild>
    </w:div>
    <w:div w:id="1818957592">
      <w:bodyDiv w:val="1"/>
      <w:marLeft w:val="0"/>
      <w:marRight w:val="0"/>
      <w:marTop w:val="0"/>
      <w:marBottom w:val="0"/>
      <w:divBdr>
        <w:top w:val="none" w:sz="0" w:space="0" w:color="auto"/>
        <w:left w:val="none" w:sz="0" w:space="0" w:color="auto"/>
        <w:bottom w:val="none" w:sz="0" w:space="0" w:color="auto"/>
        <w:right w:val="none" w:sz="0" w:space="0" w:color="auto"/>
      </w:divBdr>
      <w:divsChild>
        <w:div w:id="606817580">
          <w:marLeft w:val="835"/>
          <w:marRight w:val="0"/>
          <w:marTop w:val="96"/>
          <w:marBottom w:val="0"/>
          <w:divBdr>
            <w:top w:val="none" w:sz="0" w:space="0" w:color="auto"/>
            <w:left w:val="none" w:sz="0" w:space="0" w:color="auto"/>
            <w:bottom w:val="none" w:sz="0" w:space="0" w:color="auto"/>
            <w:right w:val="none" w:sz="0" w:space="0" w:color="auto"/>
          </w:divBdr>
        </w:div>
        <w:div w:id="1265841056">
          <w:marLeft w:val="835"/>
          <w:marRight w:val="0"/>
          <w:marTop w:val="96"/>
          <w:marBottom w:val="0"/>
          <w:divBdr>
            <w:top w:val="none" w:sz="0" w:space="0" w:color="auto"/>
            <w:left w:val="none" w:sz="0" w:space="0" w:color="auto"/>
            <w:bottom w:val="none" w:sz="0" w:space="0" w:color="auto"/>
            <w:right w:val="none" w:sz="0" w:space="0" w:color="auto"/>
          </w:divBdr>
        </w:div>
        <w:div w:id="1559318102">
          <w:marLeft w:val="835"/>
          <w:marRight w:val="0"/>
          <w:marTop w:val="96"/>
          <w:marBottom w:val="0"/>
          <w:divBdr>
            <w:top w:val="none" w:sz="0" w:space="0" w:color="auto"/>
            <w:left w:val="none" w:sz="0" w:space="0" w:color="auto"/>
            <w:bottom w:val="none" w:sz="0" w:space="0" w:color="auto"/>
            <w:right w:val="none" w:sz="0" w:space="0" w:color="auto"/>
          </w:divBdr>
        </w:div>
        <w:div w:id="1762799610">
          <w:marLeft w:val="274"/>
          <w:marRight w:val="0"/>
          <w:marTop w:val="115"/>
          <w:marBottom w:val="0"/>
          <w:divBdr>
            <w:top w:val="none" w:sz="0" w:space="0" w:color="auto"/>
            <w:left w:val="none" w:sz="0" w:space="0" w:color="auto"/>
            <w:bottom w:val="none" w:sz="0" w:space="0" w:color="auto"/>
            <w:right w:val="none" w:sz="0" w:space="0" w:color="auto"/>
          </w:divBdr>
        </w:div>
        <w:div w:id="1974169947">
          <w:marLeft w:val="835"/>
          <w:marRight w:val="0"/>
          <w:marTop w:val="96"/>
          <w:marBottom w:val="0"/>
          <w:divBdr>
            <w:top w:val="none" w:sz="0" w:space="0" w:color="auto"/>
            <w:left w:val="none" w:sz="0" w:space="0" w:color="auto"/>
            <w:bottom w:val="none" w:sz="0" w:space="0" w:color="auto"/>
            <w:right w:val="none" w:sz="0" w:space="0" w:color="auto"/>
          </w:divBdr>
        </w:div>
      </w:divsChild>
    </w:div>
    <w:div w:id="1821073964">
      <w:bodyDiv w:val="1"/>
      <w:marLeft w:val="0"/>
      <w:marRight w:val="0"/>
      <w:marTop w:val="0"/>
      <w:marBottom w:val="0"/>
      <w:divBdr>
        <w:top w:val="none" w:sz="0" w:space="0" w:color="auto"/>
        <w:left w:val="none" w:sz="0" w:space="0" w:color="auto"/>
        <w:bottom w:val="none" w:sz="0" w:space="0" w:color="auto"/>
        <w:right w:val="none" w:sz="0" w:space="0" w:color="auto"/>
      </w:divBdr>
    </w:div>
    <w:div w:id="1821186711">
      <w:bodyDiv w:val="1"/>
      <w:marLeft w:val="0"/>
      <w:marRight w:val="0"/>
      <w:marTop w:val="0"/>
      <w:marBottom w:val="0"/>
      <w:divBdr>
        <w:top w:val="none" w:sz="0" w:space="0" w:color="auto"/>
        <w:left w:val="none" w:sz="0" w:space="0" w:color="auto"/>
        <w:bottom w:val="none" w:sz="0" w:space="0" w:color="auto"/>
        <w:right w:val="none" w:sz="0" w:space="0" w:color="auto"/>
      </w:divBdr>
    </w:div>
    <w:div w:id="1821994097">
      <w:bodyDiv w:val="1"/>
      <w:marLeft w:val="0"/>
      <w:marRight w:val="0"/>
      <w:marTop w:val="0"/>
      <w:marBottom w:val="0"/>
      <w:divBdr>
        <w:top w:val="none" w:sz="0" w:space="0" w:color="auto"/>
        <w:left w:val="none" w:sz="0" w:space="0" w:color="auto"/>
        <w:bottom w:val="none" w:sz="0" w:space="0" w:color="auto"/>
        <w:right w:val="none" w:sz="0" w:space="0" w:color="auto"/>
      </w:divBdr>
      <w:divsChild>
        <w:div w:id="400569342">
          <w:marLeft w:val="547"/>
          <w:marRight w:val="0"/>
          <w:marTop w:val="115"/>
          <w:marBottom w:val="0"/>
          <w:divBdr>
            <w:top w:val="none" w:sz="0" w:space="0" w:color="auto"/>
            <w:left w:val="none" w:sz="0" w:space="0" w:color="auto"/>
            <w:bottom w:val="none" w:sz="0" w:space="0" w:color="auto"/>
            <w:right w:val="none" w:sz="0" w:space="0" w:color="auto"/>
          </w:divBdr>
        </w:div>
        <w:div w:id="1538353115">
          <w:marLeft w:val="547"/>
          <w:marRight w:val="0"/>
          <w:marTop w:val="115"/>
          <w:marBottom w:val="0"/>
          <w:divBdr>
            <w:top w:val="none" w:sz="0" w:space="0" w:color="auto"/>
            <w:left w:val="none" w:sz="0" w:space="0" w:color="auto"/>
            <w:bottom w:val="none" w:sz="0" w:space="0" w:color="auto"/>
            <w:right w:val="none" w:sz="0" w:space="0" w:color="auto"/>
          </w:divBdr>
        </w:div>
        <w:div w:id="1545436819">
          <w:marLeft w:val="547"/>
          <w:marRight w:val="0"/>
          <w:marTop w:val="115"/>
          <w:marBottom w:val="0"/>
          <w:divBdr>
            <w:top w:val="none" w:sz="0" w:space="0" w:color="auto"/>
            <w:left w:val="none" w:sz="0" w:space="0" w:color="auto"/>
            <w:bottom w:val="none" w:sz="0" w:space="0" w:color="auto"/>
            <w:right w:val="none" w:sz="0" w:space="0" w:color="auto"/>
          </w:divBdr>
        </w:div>
        <w:div w:id="2003507364">
          <w:marLeft w:val="547"/>
          <w:marRight w:val="0"/>
          <w:marTop w:val="115"/>
          <w:marBottom w:val="0"/>
          <w:divBdr>
            <w:top w:val="none" w:sz="0" w:space="0" w:color="auto"/>
            <w:left w:val="none" w:sz="0" w:space="0" w:color="auto"/>
            <w:bottom w:val="none" w:sz="0" w:space="0" w:color="auto"/>
            <w:right w:val="none" w:sz="0" w:space="0" w:color="auto"/>
          </w:divBdr>
        </w:div>
      </w:divsChild>
    </w:div>
    <w:div w:id="1823499202">
      <w:bodyDiv w:val="1"/>
      <w:marLeft w:val="0"/>
      <w:marRight w:val="0"/>
      <w:marTop w:val="0"/>
      <w:marBottom w:val="0"/>
      <w:divBdr>
        <w:top w:val="none" w:sz="0" w:space="0" w:color="auto"/>
        <w:left w:val="none" w:sz="0" w:space="0" w:color="auto"/>
        <w:bottom w:val="none" w:sz="0" w:space="0" w:color="auto"/>
        <w:right w:val="none" w:sz="0" w:space="0" w:color="auto"/>
      </w:divBdr>
    </w:div>
    <w:div w:id="1824082771">
      <w:bodyDiv w:val="1"/>
      <w:marLeft w:val="0"/>
      <w:marRight w:val="0"/>
      <w:marTop w:val="0"/>
      <w:marBottom w:val="0"/>
      <w:divBdr>
        <w:top w:val="none" w:sz="0" w:space="0" w:color="auto"/>
        <w:left w:val="none" w:sz="0" w:space="0" w:color="auto"/>
        <w:bottom w:val="none" w:sz="0" w:space="0" w:color="auto"/>
        <w:right w:val="none" w:sz="0" w:space="0" w:color="auto"/>
      </w:divBdr>
    </w:div>
    <w:div w:id="1824853124">
      <w:bodyDiv w:val="1"/>
      <w:marLeft w:val="0"/>
      <w:marRight w:val="0"/>
      <w:marTop w:val="0"/>
      <w:marBottom w:val="0"/>
      <w:divBdr>
        <w:top w:val="none" w:sz="0" w:space="0" w:color="auto"/>
        <w:left w:val="none" w:sz="0" w:space="0" w:color="auto"/>
        <w:bottom w:val="none" w:sz="0" w:space="0" w:color="auto"/>
        <w:right w:val="none" w:sz="0" w:space="0" w:color="auto"/>
      </w:divBdr>
    </w:div>
    <w:div w:id="1825005900">
      <w:bodyDiv w:val="1"/>
      <w:marLeft w:val="0"/>
      <w:marRight w:val="0"/>
      <w:marTop w:val="0"/>
      <w:marBottom w:val="0"/>
      <w:divBdr>
        <w:top w:val="none" w:sz="0" w:space="0" w:color="auto"/>
        <w:left w:val="none" w:sz="0" w:space="0" w:color="auto"/>
        <w:bottom w:val="none" w:sz="0" w:space="0" w:color="auto"/>
        <w:right w:val="none" w:sz="0" w:space="0" w:color="auto"/>
      </w:divBdr>
      <w:divsChild>
        <w:div w:id="730271998">
          <w:marLeft w:val="835"/>
          <w:marRight w:val="0"/>
          <w:marTop w:val="86"/>
          <w:marBottom w:val="0"/>
          <w:divBdr>
            <w:top w:val="none" w:sz="0" w:space="0" w:color="auto"/>
            <w:left w:val="none" w:sz="0" w:space="0" w:color="auto"/>
            <w:bottom w:val="none" w:sz="0" w:space="0" w:color="auto"/>
            <w:right w:val="none" w:sz="0" w:space="0" w:color="auto"/>
          </w:divBdr>
        </w:div>
        <w:div w:id="926814840">
          <w:marLeft w:val="274"/>
          <w:marRight w:val="0"/>
          <w:marTop w:val="106"/>
          <w:marBottom w:val="0"/>
          <w:divBdr>
            <w:top w:val="none" w:sz="0" w:space="0" w:color="auto"/>
            <w:left w:val="none" w:sz="0" w:space="0" w:color="auto"/>
            <w:bottom w:val="none" w:sz="0" w:space="0" w:color="auto"/>
            <w:right w:val="none" w:sz="0" w:space="0" w:color="auto"/>
          </w:divBdr>
        </w:div>
      </w:divsChild>
    </w:div>
    <w:div w:id="1826822324">
      <w:bodyDiv w:val="1"/>
      <w:marLeft w:val="0"/>
      <w:marRight w:val="0"/>
      <w:marTop w:val="0"/>
      <w:marBottom w:val="0"/>
      <w:divBdr>
        <w:top w:val="none" w:sz="0" w:space="0" w:color="auto"/>
        <w:left w:val="none" w:sz="0" w:space="0" w:color="auto"/>
        <w:bottom w:val="none" w:sz="0" w:space="0" w:color="auto"/>
        <w:right w:val="none" w:sz="0" w:space="0" w:color="auto"/>
      </w:divBdr>
    </w:div>
    <w:div w:id="1828403841">
      <w:bodyDiv w:val="1"/>
      <w:marLeft w:val="0"/>
      <w:marRight w:val="0"/>
      <w:marTop w:val="0"/>
      <w:marBottom w:val="0"/>
      <w:divBdr>
        <w:top w:val="none" w:sz="0" w:space="0" w:color="auto"/>
        <w:left w:val="none" w:sz="0" w:space="0" w:color="auto"/>
        <w:bottom w:val="none" w:sz="0" w:space="0" w:color="auto"/>
        <w:right w:val="none" w:sz="0" w:space="0" w:color="auto"/>
      </w:divBdr>
    </w:div>
    <w:div w:id="1828788127">
      <w:bodyDiv w:val="1"/>
      <w:marLeft w:val="0"/>
      <w:marRight w:val="0"/>
      <w:marTop w:val="0"/>
      <w:marBottom w:val="0"/>
      <w:divBdr>
        <w:top w:val="none" w:sz="0" w:space="0" w:color="auto"/>
        <w:left w:val="none" w:sz="0" w:space="0" w:color="auto"/>
        <w:bottom w:val="none" w:sz="0" w:space="0" w:color="auto"/>
        <w:right w:val="none" w:sz="0" w:space="0" w:color="auto"/>
      </w:divBdr>
    </w:div>
    <w:div w:id="1830169522">
      <w:bodyDiv w:val="1"/>
      <w:marLeft w:val="0"/>
      <w:marRight w:val="0"/>
      <w:marTop w:val="0"/>
      <w:marBottom w:val="0"/>
      <w:divBdr>
        <w:top w:val="none" w:sz="0" w:space="0" w:color="auto"/>
        <w:left w:val="none" w:sz="0" w:space="0" w:color="auto"/>
        <w:bottom w:val="none" w:sz="0" w:space="0" w:color="auto"/>
        <w:right w:val="none" w:sz="0" w:space="0" w:color="auto"/>
      </w:divBdr>
    </w:div>
    <w:div w:id="1834180470">
      <w:bodyDiv w:val="1"/>
      <w:marLeft w:val="0"/>
      <w:marRight w:val="0"/>
      <w:marTop w:val="0"/>
      <w:marBottom w:val="0"/>
      <w:divBdr>
        <w:top w:val="none" w:sz="0" w:space="0" w:color="auto"/>
        <w:left w:val="none" w:sz="0" w:space="0" w:color="auto"/>
        <w:bottom w:val="none" w:sz="0" w:space="0" w:color="auto"/>
        <w:right w:val="none" w:sz="0" w:space="0" w:color="auto"/>
      </w:divBdr>
    </w:div>
    <w:div w:id="1834487089">
      <w:bodyDiv w:val="1"/>
      <w:marLeft w:val="0"/>
      <w:marRight w:val="0"/>
      <w:marTop w:val="0"/>
      <w:marBottom w:val="0"/>
      <w:divBdr>
        <w:top w:val="none" w:sz="0" w:space="0" w:color="auto"/>
        <w:left w:val="none" w:sz="0" w:space="0" w:color="auto"/>
        <w:bottom w:val="none" w:sz="0" w:space="0" w:color="auto"/>
        <w:right w:val="none" w:sz="0" w:space="0" w:color="auto"/>
      </w:divBdr>
    </w:div>
    <w:div w:id="1834566969">
      <w:bodyDiv w:val="1"/>
      <w:marLeft w:val="0"/>
      <w:marRight w:val="0"/>
      <w:marTop w:val="0"/>
      <w:marBottom w:val="0"/>
      <w:divBdr>
        <w:top w:val="none" w:sz="0" w:space="0" w:color="auto"/>
        <w:left w:val="none" w:sz="0" w:space="0" w:color="auto"/>
        <w:bottom w:val="none" w:sz="0" w:space="0" w:color="auto"/>
        <w:right w:val="none" w:sz="0" w:space="0" w:color="auto"/>
      </w:divBdr>
    </w:div>
    <w:div w:id="1835564687">
      <w:bodyDiv w:val="1"/>
      <w:marLeft w:val="0"/>
      <w:marRight w:val="0"/>
      <w:marTop w:val="0"/>
      <w:marBottom w:val="0"/>
      <w:divBdr>
        <w:top w:val="none" w:sz="0" w:space="0" w:color="auto"/>
        <w:left w:val="none" w:sz="0" w:space="0" w:color="auto"/>
        <w:bottom w:val="none" w:sz="0" w:space="0" w:color="auto"/>
        <w:right w:val="none" w:sz="0" w:space="0" w:color="auto"/>
      </w:divBdr>
      <w:divsChild>
        <w:div w:id="587465529">
          <w:marLeft w:val="1080"/>
          <w:marRight w:val="0"/>
          <w:marTop w:val="100"/>
          <w:marBottom w:val="0"/>
          <w:divBdr>
            <w:top w:val="none" w:sz="0" w:space="0" w:color="auto"/>
            <w:left w:val="none" w:sz="0" w:space="0" w:color="auto"/>
            <w:bottom w:val="none" w:sz="0" w:space="0" w:color="auto"/>
            <w:right w:val="none" w:sz="0" w:space="0" w:color="auto"/>
          </w:divBdr>
        </w:div>
        <w:div w:id="1021320226">
          <w:marLeft w:val="360"/>
          <w:marRight w:val="0"/>
          <w:marTop w:val="200"/>
          <w:marBottom w:val="0"/>
          <w:divBdr>
            <w:top w:val="none" w:sz="0" w:space="0" w:color="auto"/>
            <w:left w:val="none" w:sz="0" w:space="0" w:color="auto"/>
            <w:bottom w:val="none" w:sz="0" w:space="0" w:color="auto"/>
            <w:right w:val="none" w:sz="0" w:space="0" w:color="auto"/>
          </w:divBdr>
        </w:div>
        <w:div w:id="1342507800">
          <w:marLeft w:val="1800"/>
          <w:marRight w:val="0"/>
          <w:marTop w:val="100"/>
          <w:marBottom w:val="0"/>
          <w:divBdr>
            <w:top w:val="none" w:sz="0" w:space="0" w:color="auto"/>
            <w:left w:val="none" w:sz="0" w:space="0" w:color="auto"/>
            <w:bottom w:val="none" w:sz="0" w:space="0" w:color="auto"/>
            <w:right w:val="none" w:sz="0" w:space="0" w:color="auto"/>
          </w:divBdr>
        </w:div>
        <w:div w:id="1432512936">
          <w:marLeft w:val="1800"/>
          <w:marRight w:val="0"/>
          <w:marTop w:val="100"/>
          <w:marBottom w:val="0"/>
          <w:divBdr>
            <w:top w:val="none" w:sz="0" w:space="0" w:color="auto"/>
            <w:left w:val="none" w:sz="0" w:space="0" w:color="auto"/>
            <w:bottom w:val="none" w:sz="0" w:space="0" w:color="auto"/>
            <w:right w:val="none" w:sz="0" w:space="0" w:color="auto"/>
          </w:divBdr>
        </w:div>
        <w:div w:id="1963346772">
          <w:marLeft w:val="1080"/>
          <w:marRight w:val="0"/>
          <w:marTop w:val="100"/>
          <w:marBottom w:val="0"/>
          <w:divBdr>
            <w:top w:val="none" w:sz="0" w:space="0" w:color="auto"/>
            <w:left w:val="none" w:sz="0" w:space="0" w:color="auto"/>
            <w:bottom w:val="none" w:sz="0" w:space="0" w:color="auto"/>
            <w:right w:val="none" w:sz="0" w:space="0" w:color="auto"/>
          </w:divBdr>
        </w:div>
      </w:divsChild>
    </w:div>
    <w:div w:id="1835680785">
      <w:bodyDiv w:val="1"/>
      <w:marLeft w:val="0"/>
      <w:marRight w:val="0"/>
      <w:marTop w:val="0"/>
      <w:marBottom w:val="0"/>
      <w:divBdr>
        <w:top w:val="none" w:sz="0" w:space="0" w:color="auto"/>
        <w:left w:val="none" w:sz="0" w:space="0" w:color="auto"/>
        <w:bottom w:val="none" w:sz="0" w:space="0" w:color="auto"/>
        <w:right w:val="none" w:sz="0" w:space="0" w:color="auto"/>
      </w:divBdr>
    </w:div>
    <w:div w:id="1835876322">
      <w:bodyDiv w:val="1"/>
      <w:marLeft w:val="0"/>
      <w:marRight w:val="0"/>
      <w:marTop w:val="0"/>
      <w:marBottom w:val="0"/>
      <w:divBdr>
        <w:top w:val="none" w:sz="0" w:space="0" w:color="auto"/>
        <w:left w:val="none" w:sz="0" w:space="0" w:color="auto"/>
        <w:bottom w:val="none" w:sz="0" w:space="0" w:color="auto"/>
        <w:right w:val="none" w:sz="0" w:space="0" w:color="auto"/>
      </w:divBdr>
    </w:div>
    <w:div w:id="1836267225">
      <w:bodyDiv w:val="1"/>
      <w:marLeft w:val="0"/>
      <w:marRight w:val="0"/>
      <w:marTop w:val="0"/>
      <w:marBottom w:val="0"/>
      <w:divBdr>
        <w:top w:val="none" w:sz="0" w:space="0" w:color="auto"/>
        <w:left w:val="none" w:sz="0" w:space="0" w:color="auto"/>
        <w:bottom w:val="none" w:sz="0" w:space="0" w:color="auto"/>
        <w:right w:val="none" w:sz="0" w:space="0" w:color="auto"/>
      </w:divBdr>
    </w:div>
    <w:div w:id="1837063847">
      <w:bodyDiv w:val="1"/>
      <w:marLeft w:val="0"/>
      <w:marRight w:val="0"/>
      <w:marTop w:val="0"/>
      <w:marBottom w:val="0"/>
      <w:divBdr>
        <w:top w:val="none" w:sz="0" w:space="0" w:color="auto"/>
        <w:left w:val="none" w:sz="0" w:space="0" w:color="auto"/>
        <w:bottom w:val="none" w:sz="0" w:space="0" w:color="auto"/>
        <w:right w:val="none" w:sz="0" w:space="0" w:color="auto"/>
      </w:divBdr>
    </w:div>
    <w:div w:id="1838686355">
      <w:bodyDiv w:val="1"/>
      <w:marLeft w:val="0"/>
      <w:marRight w:val="0"/>
      <w:marTop w:val="0"/>
      <w:marBottom w:val="0"/>
      <w:divBdr>
        <w:top w:val="none" w:sz="0" w:space="0" w:color="auto"/>
        <w:left w:val="none" w:sz="0" w:space="0" w:color="auto"/>
        <w:bottom w:val="none" w:sz="0" w:space="0" w:color="auto"/>
        <w:right w:val="none" w:sz="0" w:space="0" w:color="auto"/>
      </w:divBdr>
    </w:div>
    <w:div w:id="1840195177">
      <w:bodyDiv w:val="1"/>
      <w:marLeft w:val="0"/>
      <w:marRight w:val="0"/>
      <w:marTop w:val="0"/>
      <w:marBottom w:val="0"/>
      <w:divBdr>
        <w:top w:val="none" w:sz="0" w:space="0" w:color="auto"/>
        <w:left w:val="none" w:sz="0" w:space="0" w:color="auto"/>
        <w:bottom w:val="none" w:sz="0" w:space="0" w:color="auto"/>
        <w:right w:val="none" w:sz="0" w:space="0" w:color="auto"/>
      </w:divBdr>
    </w:div>
    <w:div w:id="1840342814">
      <w:bodyDiv w:val="1"/>
      <w:marLeft w:val="0"/>
      <w:marRight w:val="0"/>
      <w:marTop w:val="0"/>
      <w:marBottom w:val="0"/>
      <w:divBdr>
        <w:top w:val="none" w:sz="0" w:space="0" w:color="auto"/>
        <w:left w:val="none" w:sz="0" w:space="0" w:color="auto"/>
        <w:bottom w:val="none" w:sz="0" w:space="0" w:color="auto"/>
        <w:right w:val="none" w:sz="0" w:space="0" w:color="auto"/>
      </w:divBdr>
    </w:div>
    <w:div w:id="1840610956">
      <w:bodyDiv w:val="1"/>
      <w:marLeft w:val="0"/>
      <w:marRight w:val="0"/>
      <w:marTop w:val="0"/>
      <w:marBottom w:val="0"/>
      <w:divBdr>
        <w:top w:val="none" w:sz="0" w:space="0" w:color="auto"/>
        <w:left w:val="none" w:sz="0" w:space="0" w:color="auto"/>
        <w:bottom w:val="none" w:sz="0" w:space="0" w:color="auto"/>
        <w:right w:val="none" w:sz="0" w:space="0" w:color="auto"/>
      </w:divBdr>
    </w:div>
    <w:div w:id="1840652234">
      <w:bodyDiv w:val="1"/>
      <w:marLeft w:val="0"/>
      <w:marRight w:val="0"/>
      <w:marTop w:val="0"/>
      <w:marBottom w:val="0"/>
      <w:divBdr>
        <w:top w:val="none" w:sz="0" w:space="0" w:color="auto"/>
        <w:left w:val="none" w:sz="0" w:space="0" w:color="auto"/>
        <w:bottom w:val="none" w:sz="0" w:space="0" w:color="auto"/>
        <w:right w:val="none" w:sz="0" w:space="0" w:color="auto"/>
      </w:divBdr>
    </w:div>
    <w:div w:id="1842623418">
      <w:bodyDiv w:val="1"/>
      <w:marLeft w:val="0"/>
      <w:marRight w:val="0"/>
      <w:marTop w:val="0"/>
      <w:marBottom w:val="0"/>
      <w:divBdr>
        <w:top w:val="none" w:sz="0" w:space="0" w:color="auto"/>
        <w:left w:val="none" w:sz="0" w:space="0" w:color="auto"/>
        <w:bottom w:val="none" w:sz="0" w:space="0" w:color="auto"/>
        <w:right w:val="none" w:sz="0" w:space="0" w:color="auto"/>
      </w:divBdr>
    </w:div>
    <w:div w:id="1843080359">
      <w:bodyDiv w:val="1"/>
      <w:marLeft w:val="0"/>
      <w:marRight w:val="0"/>
      <w:marTop w:val="0"/>
      <w:marBottom w:val="0"/>
      <w:divBdr>
        <w:top w:val="none" w:sz="0" w:space="0" w:color="auto"/>
        <w:left w:val="none" w:sz="0" w:space="0" w:color="auto"/>
        <w:bottom w:val="none" w:sz="0" w:space="0" w:color="auto"/>
        <w:right w:val="none" w:sz="0" w:space="0" w:color="auto"/>
      </w:divBdr>
    </w:div>
    <w:div w:id="1844273069">
      <w:bodyDiv w:val="1"/>
      <w:marLeft w:val="0"/>
      <w:marRight w:val="0"/>
      <w:marTop w:val="0"/>
      <w:marBottom w:val="0"/>
      <w:divBdr>
        <w:top w:val="none" w:sz="0" w:space="0" w:color="auto"/>
        <w:left w:val="none" w:sz="0" w:space="0" w:color="auto"/>
        <w:bottom w:val="none" w:sz="0" w:space="0" w:color="auto"/>
        <w:right w:val="none" w:sz="0" w:space="0" w:color="auto"/>
      </w:divBdr>
      <w:divsChild>
        <w:div w:id="1782264624">
          <w:marLeft w:val="1080"/>
          <w:marRight w:val="0"/>
          <w:marTop w:val="100"/>
          <w:marBottom w:val="0"/>
          <w:divBdr>
            <w:top w:val="none" w:sz="0" w:space="0" w:color="auto"/>
            <w:left w:val="none" w:sz="0" w:space="0" w:color="auto"/>
            <w:bottom w:val="none" w:sz="0" w:space="0" w:color="auto"/>
            <w:right w:val="none" w:sz="0" w:space="0" w:color="auto"/>
          </w:divBdr>
        </w:div>
        <w:div w:id="1677069827">
          <w:marLeft w:val="1800"/>
          <w:marRight w:val="0"/>
          <w:marTop w:val="100"/>
          <w:marBottom w:val="0"/>
          <w:divBdr>
            <w:top w:val="none" w:sz="0" w:space="0" w:color="auto"/>
            <w:left w:val="none" w:sz="0" w:space="0" w:color="auto"/>
            <w:bottom w:val="none" w:sz="0" w:space="0" w:color="auto"/>
            <w:right w:val="none" w:sz="0" w:space="0" w:color="auto"/>
          </w:divBdr>
        </w:div>
        <w:div w:id="1196190051">
          <w:marLeft w:val="1800"/>
          <w:marRight w:val="0"/>
          <w:marTop w:val="100"/>
          <w:marBottom w:val="0"/>
          <w:divBdr>
            <w:top w:val="none" w:sz="0" w:space="0" w:color="auto"/>
            <w:left w:val="none" w:sz="0" w:space="0" w:color="auto"/>
            <w:bottom w:val="none" w:sz="0" w:space="0" w:color="auto"/>
            <w:right w:val="none" w:sz="0" w:space="0" w:color="auto"/>
          </w:divBdr>
        </w:div>
        <w:div w:id="765883216">
          <w:marLeft w:val="1080"/>
          <w:marRight w:val="0"/>
          <w:marTop w:val="100"/>
          <w:marBottom w:val="0"/>
          <w:divBdr>
            <w:top w:val="none" w:sz="0" w:space="0" w:color="auto"/>
            <w:left w:val="none" w:sz="0" w:space="0" w:color="auto"/>
            <w:bottom w:val="none" w:sz="0" w:space="0" w:color="auto"/>
            <w:right w:val="none" w:sz="0" w:space="0" w:color="auto"/>
          </w:divBdr>
        </w:div>
        <w:div w:id="1490755074">
          <w:marLeft w:val="1800"/>
          <w:marRight w:val="0"/>
          <w:marTop w:val="100"/>
          <w:marBottom w:val="0"/>
          <w:divBdr>
            <w:top w:val="none" w:sz="0" w:space="0" w:color="auto"/>
            <w:left w:val="none" w:sz="0" w:space="0" w:color="auto"/>
            <w:bottom w:val="none" w:sz="0" w:space="0" w:color="auto"/>
            <w:right w:val="none" w:sz="0" w:space="0" w:color="auto"/>
          </w:divBdr>
        </w:div>
        <w:div w:id="606694144">
          <w:marLeft w:val="1800"/>
          <w:marRight w:val="0"/>
          <w:marTop w:val="100"/>
          <w:marBottom w:val="0"/>
          <w:divBdr>
            <w:top w:val="none" w:sz="0" w:space="0" w:color="auto"/>
            <w:left w:val="none" w:sz="0" w:space="0" w:color="auto"/>
            <w:bottom w:val="none" w:sz="0" w:space="0" w:color="auto"/>
            <w:right w:val="none" w:sz="0" w:space="0" w:color="auto"/>
          </w:divBdr>
        </w:div>
        <w:div w:id="154419082">
          <w:marLeft w:val="1080"/>
          <w:marRight w:val="0"/>
          <w:marTop w:val="100"/>
          <w:marBottom w:val="0"/>
          <w:divBdr>
            <w:top w:val="none" w:sz="0" w:space="0" w:color="auto"/>
            <w:left w:val="none" w:sz="0" w:space="0" w:color="auto"/>
            <w:bottom w:val="none" w:sz="0" w:space="0" w:color="auto"/>
            <w:right w:val="none" w:sz="0" w:space="0" w:color="auto"/>
          </w:divBdr>
        </w:div>
        <w:div w:id="1313757329">
          <w:marLeft w:val="1800"/>
          <w:marRight w:val="0"/>
          <w:marTop w:val="100"/>
          <w:marBottom w:val="0"/>
          <w:divBdr>
            <w:top w:val="none" w:sz="0" w:space="0" w:color="auto"/>
            <w:left w:val="none" w:sz="0" w:space="0" w:color="auto"/>
            <w:bottom w:val="none" w:sz="0" w:space="0" w:color="auto"/>
            <w:right w:val="none" w:sz="0" w:space="0" w:color="auto"/>
          </w:divBdr>
        </w:div>
        <w:div w:id="1408268165">
          <w:marLeft w:val="1800"/>
          <w:marRight w:val="0"/>
          <w:marTop w:val="100"/>
          <w:marBottom w:val="0"/>
          <w:divBdr>
            <w:top w:val="none" w:sz="0" w:space="0" w:color="auto"/>
            <w:left w:val="none" w:sz="0" w:space="0" w:color="auto"/>
            <w:bottom w:val="none" w:sz="0" w:space="0" w:color="auto"/>
            <w:right w:val="none" w:sz="0" w:space="0" w:color="auto"/>
          </w:divBdr>
        </w:div>
        <w:div w:id="1102532123">
          <w:marLeft w:val="1080"/>
          <w:marRight w:val="0"/>
          <w:marTop w:val="100"/>
          <w:marBottom w:val="0"/>
          <w:divBdr>
            <w:top w:val="none" w:sz="0" w:space="0" w:color="auto"/>
            <w:left w:val="none" w:sz="0" w:space="0" w:color="auto"/>
            <w:bottom w:val="none" w:sz="0" w:space="0" w:color="auto"/>
            <w:right w:val="none" w:sz="0" w:space="0" w:color="auto"/>
          </w:divBdr>
        </w:div>
        <w:div w:id="440103560">
          <w:marLeft w:val="1800"/>
          <w:marRight w:val="0"/>
          <w:marTop w:val="100"/>
          <w:marBottom w:val="0"/>
          <w:divBdr>
            <w:top w:val="none" w:sz="0" w:space="0" w:color="auto"/>
            <w:left w:val="none" w:sz="0" w:space="0" w:color="auto"/>
            <w:bottom w:val="none" w:sz="0" w:space="0" w:color="auto"/>
            <w:right w:val="none" w:sz="0" w:space="0" w:color="auto"/>
          </w:divBdr>
        </w:div>
        <w:div w:id="2144958728">
          <w:marLeft w:val="1800"/>
          <w:marRight w:val="0"/>
          <w:marTop w:val="100"/>
          <w:marBottom w:val="0"/>
          <w:divBdr>
            <w:top w:val="none" w:sz="0" w:space="0" w:color="auto"/>
            <w:left w:val="none" w:sz="0" w:space="0" w:color="auto"/>
            <w:bottom w:val="none" w:sz="0" w:space="0" w:color="auto"/>
            <w:right w:val="none" w:sz="0" w:space="0" w:color="auto"/>
          </w:divBdr>
        </w:div>
        <w:div w:id="1312369421">
          <w:marLeft w:val="1800"/>
          <w:marRight w:val="0"/>
          <w:marTop w:val="100"/>
          <w:marBottom w:val="0"/>
          <w:divBdr>
            <w:top w:val="none" w:sz="0" w:space="0" w:color="auto"/>
            <w:left w:val="none" w:sz="0" w:space="0" w:color="auto"/>
            <w:bottom w:val="none" w:sz="0" w:space="0" w:color="auto"/>
            <w:right w:val="none" w:sz="0" w:space="0" w:color="auto"/>
          </w:divBdr>
        </w:div>
        <w:div w:id="762192471">
          <w:marLeft w:val="1080"/>
          <w:marRight w:val="0"/>
          <w:marTop w:val="100"/>
          <w:marBottom w:val="0"/>
          <w:divBdr>
            <w:top w:val="none" w:sz="0" w:space="0" w:color="auto"/>
            <w:left w:val="none" w:sz="0" w:space="0" w:color="auto"/>
            <w:bottom w:val="none" w:sz="0" w:space="0" w:color="auto"/>
            <w:right w:val="none" w:sz="0" w:space="0" w:color="auto"/>
          </w:divBdr>
        </w:div>
        <w:div w:id="1306812951">
          <w:marLeft w:val="1800"/>
          <w:marRight w:val="0"/>
          <w:marTop w:val="100"/>
          <w:marBottom w:val="0"/>
          <w:divBdr>
            <w:top w:val="none" w:sz="0" w:space="0" w:color="auto"/>
            <w:left w:val="none" w:sz="0" w:space="0" w:color="auto"/>
            <w:bottom w:val="none" w:sz="0" w:space="0" w:color="auto"/>
            <w:right w:val="none" w:sz="0" w:space="0" w:color="auto"/>
          </w:divBdr>
        </w:div>
        <w:div w:id="658775577">
          <w:marLeft w:val="1800"/>
          <w:marRight w:val="0"/>
          <w:marTop w:val="100"/>
          <w:marBottom w:val="0"/>
          <w:divBdr>
            <w:top w:val="none" w:sz="0" w:space="0" w:color="auto"/>
            <w:left w:val="none" w:sz="0" w:space="0" w:color="auto"/>
            <w:bottom w:val="none" w:sz="0" w:space="0" w:color="auto"/>
            <w:right w:val="none" w:sz="0" w:space="0" w:color="auto"/>
          </w:divBdr>
        </w:div>
        <w:div w:id="528371302">
          <w:marLeft w:val="1080"/>
          <w:marRight w:val="0"/>
          <w:marTop w:val="100"/>
          <w:marBottom w:val="0"/>
          <w:divBdr>
            <w:top w:val="none" w:sz="0" w:space="0" w:color="auto"/>
            <w:left w:val="none" w:sz="0" w:space="0" w:color="auto"/>
            <w:bottom w:val="none" w:sz="0" w:space="0" w:color="auto"/>
            <w:right w:val="none" w:sz="0" w:space="0" w:color="auto"/>
          </w:divBdr>
        </w:div>
        <w:div w:id="1072386060">
          <w:marLeft w:val="1800"/>
          <w:marRight w:val="0"/>
          <w:marTop w:val="100"/>
          <w:marBottom w:val="0"/>
          <w:divBdr>
            <w:top w:val="none" w:sz="0" w:space="0" w:color="auto"/>
            <w:left w:val="none" w:sz="0" w:space="0" w:color="auto"/>
            <w:bottom w:val="none" w:sz="0" w:space="0" w:color="auto"/>
            <w:right w:val="none" w:sz="0" w:space="0" w:color="auto"/>
          </w:divBdr>
        </w:div>
      </w:divsChild>
    </w:div>
    <w:div w:id="1845319750">
      <w:bodyDiv w:val="1"/>
      <w:marLeft w:val="0"/>
      <w:marRight w:val="0"/>
      <w:marTop w:val="0"/>
      <w:marBottom w:val="0"/>
      <w:divBdr>
        <w:top w:val="none" w:sz="0" w:space="0" w:color="auto"/>
        <w:left w:val="none" w:sz="0" w:space="0" w:color="auto"/>
        <w:bottom w:val="none" w:sz="0" w:space="0" w:color="auto"/>
        <w:right w:val="none" w:sz="0" w:space="0" w:color="auto"/>
      </w:divBdr>
    </w:div>
    <w:div w:id="1845977568">
      <w:bodyDiv w:val="1"/>
      <w:marLeft w:val="0"/>
      <w:marRight w:val="0"/>
      <w:marTop w:val="0"/>
      <w:marBottom w:val="0"/>
      <w:divBdr>
        <w:top w:val="none" w:sz="0" w:space="0" w:color="auto"/>
        <w:left w:val="none" w:sz="0" w:space="0" w:color="auto"/>
        <w:bottom w:val="none" w:sz="0" w:space="0" w:color="auto"/>
        <w:right w:val="none" w:sz="0" w:space="0" w:color="auto"/>
      </w:divBdr>
    </w:div>
    <w:div w:id="1848599017">
      <w:bodyDiv w:val="1"/>
      <w:marLeft w:val="0"/>
      <w:marRight w:val="0"/>
      <w:marTop w:val="0"/>
      <w:marBottom w:val="0"/>
      <w:divBdr>
        <w:top w:val="none" w:sz="0" w:space="0" w:color="auto"/>
        <w:left w:val="none" w:sz="0" w:space="0" w:color="auto"/>
        <w:bottom w:val="none" w:sz="0" w:space="0" w:color="auto"/>
        <w:right w:val="none" w:sz="0" w:space="0" w:color="auto"/>
      </w:divBdr>
    </w:div>
    <w:div w:id="1848787523">
      <w:bodyDiv w:val="1"/>
      <w:marLeft w:val="0"/>
      <w:marRight w:val="0"/>
      <w:marTop w:val="0"/>
      <w:marBottom w:val="0"/>
      <w:divBdr>
        <w:top w:val="none" w:sz="0" w:space="0" w:color="auto"/>
        <w:left w:val="none" w:sz="0" w:space="0" w:color="auto"/>
        <w:bottom w:val="none" w:sz="0" w:space="0" w:color="auto"/>
        <w:right w:val="none" w:sz="0" w:space="0" w:color="auto"/>
      </w:divBdr>
    </w:div>
    <w:div w:id="1848788390">
      <w:bodyDiv w:val="1"/>
      <w:marLeft w:val="0"/>
      <w:marRight w:val="0"/>
      <w:marTop w:val="0"/>
      <w:marBottom w:val="0"/>
      <w:divBdr>
        <w:top w:val="none" w:sz="0" w:space="0" w:color="auto"/>
        <w:left w:val="none" w:sz="0" w:space="0" w:color="auto"/>
        <w:bottom w:val="none" w:sz="0" w:space="0" w:color="auto"/>
        <w:right w:val="none" w:sz="0" w:space="0" w:color="auto"/>
      </w:divBdr>
    </w:div>
    <w:div w:id="1849903136">
      <w:bodyDiv w:val="1"/>
      <w:marLeft w:val="0"/>
      <w:marRight w:val="0"/>
      <w:marTop w:val="0"/>
      <w:marBottom w:val="0"/>
      <w:divBdr>
        <w:top w:val="none" w:sz="0" w:space="0" w:color="auto"/>
        <w:left w:val="none" w:sz="0" w:space="0" w:color="auto"/>
        <w:bottom w:val="none" w:sz="0" w:space="0" w:color="auto"/>
        <w:right w:val="none" w:sz="0" w:space="0" w:color="auto"/>
      </w:divBdr>
    </w:div>
    <w:div w:id="1850022675">
      <w:bodyDiv w:val="1"/>
      <w:marLeft w:val="0"/>
      <w:marRight w:val="0"/>
      <w:marTop w:val="0"/>
      <w:marBottom w:val="0"/>
      <w:divBdr>
        <w:top w:val="none" w:sz="0" w:space="0" w:color="auto"/>
        <w:left w:val="none" w:sz="0" w:space="0" w:color="auto"/>
        <w:bottom w:val="none" w:sz="0" w:space="0" w:color="auto"/>
        <w:right w:val="none" w:sz="0" w:space="0" w:color="auto"/>
      </w:divBdr>
    </w:div>
    <w:div w:id="1850370083">
      <w:bodyDiv w:val="1"/>
      <w:marLeft w:val="0"/>
      <w:marRight w:val="0"/>
      <w:marTop w:val="0"/>
      <w:marBottom w:val="0"/>
      <w:divBdr>
        <w:top w:val="none" w:sz="0" w:space="0" w:color="auto"/>
        <w:left w:val="none" w:sz="0" w:space="0" w:color="auto"/>
        <w:bottom w:val="none" w:sz="0" w:space="0" w:color="auto"/>
        <w:right w:val="none" w:sz="0" w:space="0" w:color="auto"/>
      </w:divBdr>
      <w:divsChild>
        <w:div w:id="39670572">
          <w:marLeft w:val="1166"/>
          <w:marRight w:val="0"/>
          <w:marTop w:val="180"/>
          <w:marBottom w:val="0"/>
          <w:divBdr>
            <w:top w:val="none" w:sz="0" w:space="0" w:color="auto"/>
            <w:left w:val="none" w:sz="0" w:space="0" w:color="auto"/>
            <w:bottom w:val="none" w:sz="0" w:space="0" w:color="auto"/>
            <w:right w:val="none" w:sz="0" w:space="0" w:color="auto"/>
          </w:divBdr>
        </w:div>
        <w:div w:id="62989115">
          <w:marLeft w:val="1166"/>
          <w:marRight w:val="0"/>
          <w:marTop w:val="180"/>
          <w:marBottom w:val="0"/>
          <w:divBdr>
            <w:top w:val="none" w:sz="0" w:space="0" w:color="auto"/>
            <w:left w:val="none" w:sz="0" w:space="0" w:color="auto"/>
            <w:bottom w:val="none" w:sz="0" w:space="0" w:color="auto"/>
            <w:right w:val="none" w:sz="0" w:space="0" w:color="auto"/>
          </w:divBdr>
        </w:div>
        <w:div w:id="201987654">
          <w:marLeft w:val="547"/>
          <w:marRight w:val="0"/>
          <w:marTop w:val="180"/>
          <w:marBottom w:val="0"/>
          <w:divBdr>
            <w:top w:val="none" w:sz="0" w:space="0" w:color="auto"/>
            <w:left w:val="none" w:sz="0" w:space="0" w:color="auto"/>
            <w:bottom w:val="none" w:sz="0" w:space="0" w:color="auto"/>
            <w:right w:val="none" w:sz="0" w:space="0" w:color="auto"/>
          </w:divBdr>
        </w:div>
        <w:div w:id="316610246">
          <w:marLeft w:val="547"/>
          <w:marRight w:val="0"/>
          <w:marTop w:val="180"/>
          <w:marBottom w:val="0"/>
          <w:divBdr>
            <w:top w:val="none" w:sz="0" w:space="0" w:color="auto"/>
            <w:left w:val="none" w:sz="0" w:space="0" w:color="auto"/>
            <w:bottom w:val="none" w:sz="0" w:space="0" w:color="auto"/>
            <w:right w:val="none" w:sz="0" w:space="0" w:color="auto"/>
          </w:divBdr>
        </w:div>
        <w:div w:id="389690393">
          <w:marLeft w:val="1166"/>
          <w:marRight w:val="0"/>
          <w:marTop w:val="180"/>
          <w:marBottom w:val="0"/>
          <w:divBdr>
            <w:top w:val="none" w:sz="0" w:space="0" w:color="auto"/>
            <w:left w:val="none" w:sz="0" w:space="0" w:color="auto"/>
            <w:bottom w:val="none" w:sz="0" w:space="0" w:color="auto"/>
            <w:right w:val="none" w:sz="0" w:space="0" w:color="auto"/>
          </w:divBdr>
        </w:div>
        <w:div w:id="467553781">
          <w:marLeft w:val="1166"/>
          <w:marRight w:val="0"/>
          <w:marTop w:val="180"/>
          <w:marBottom w:val="0"/>
          <w:divBdr>
            <w:top w:val="none" w:sz="0" w:space="0" w:color="auto"/>
            <w:left w:val="none" w:sz="0" w:space="0" w:color="auto"/>
            <w:bottom w:val="none" w:sz="0" w:space="0" w:color="auto"/>
            <w:right w:val="none" w:sz="0" w:space="0" w:color="auto"/>
          </w:divBdr>
        </w:div>
        <w:div w:id="479999019">
          <w:marLeft w:val="1166"/>
          <w:marRight w:val="0"/>
          <w:marTop w:val="180"/>
          <w:marBottom w:val="0"/>
          <w:divBdr>
            <w:top w:val="none" w:sz="0" w:space="0" w:color="auto"/>
            <w:left w:val="none" w:sz="0" w:space="0" w:color="auto"/>
            <w:bottom w:val="none" w:sz="0" w:space="0" w:color="auto"/>
            <w:right w:val="none" w:sz="0" w:space="0" w:color="auto"/>
          </w:divBdr>
        </w:div>
        <w:div w:id="531840179">
          <w:marLeft w:val="1166"/>
          <w:marRight w:val="0"/>
          <w:marTop w:val="180"/>
          <w:marBottom w:val="0"/>
          <w:divBdr>
            <w:top w:val="none" w:sz="0" w:space="0" w:color="auto"/>
            <w:left w:val="none" w:sz="0" w:space="0" w:color="auto"/>
            <w:bottom w:val="none" w:sz="0" w:space="0" w:color="auto"/>
            <w:right w:val="none" w:sz="0" w:space="0" w:color="auto"/>
          </w:divBdr>
        </w:div>
        <w:div w:id="633221127">
          <w:marLeft w:val="1166"/>
          <w:marRight w:val="0"/>
          <w:marTop w:val="180"/>
          <w:marBottom w:val="0"/>
          <w:divBdr>
            <w:top w:val="none" w:sz="0" w:space="0" w:color="auto"/>
            <w:left w:val="none" w:sz="0" w:space="0" w:color="auto"/>
            <w:bottom w:val="none" w:sz="0" w:space="0" w:color="auto"/>
            <w:right w:val="none" w:sz="0" w:space="0" w:color="auto"/>
          </w:divBdr>
        </w:div>
        <w:div w:id="1860507351">
          <w:marLeft w:val="1166"/>
          <w:marRight w:val="0"/>
          <w:marTop w:val="180"/>
          <w:marBottom w:val="0"/>
          <w:divBdr>
            <w:top w:val="none" w:sz="0" w:space="0" w:color="auto"/>
            <w:left w:val="none" w:sz="0" w:space="0" w:color="auto"/>
            <w:bottom w:val="none" w:sz="0" w:space="0" w:color="auto"/>
            <w:right w:val="none" w:sz="0" w:space="0" w:color="auto"/>
          </w:divBdr>
        </w:div>
      </w:divsChild>
    </w:div>
    <w:div w:id="1850481849">
      <w:bodyDiv w:val="1"/>
      <w:marLeft w:val="0"/>
      <w:marRight w:val="0"/>
      <w:marTop w:val="0"/>
      <w:marBottom w:val="0"/>
      <w:divBdr>
        <w:top w:val="none" w:sz="0" w:space="0" w:color="auto"/>
        <w:left w:val="none" w:sz="0" w:space="0" w:color="auto"/>
        <w:bottom w:val="none" w:sz="0" w:space="0" w:color="auto"/>
        <w:right w:val="none" w:sz="0" w:space="0" w:color="auto"/>
      </w:divBdr>
    </w:div>
    <w:div w:id="1852911235">
      <w:bodyDiv w:val="1"/>
      <w:marLeft w:val="0"/>
      <w:marRight w:val="0"/>
      <w:marTop w:val="0"/>
      <w:marBottom w:val="0"/>
      <w:divBdr>
        <w:top w:val="none" w:sz="0" w:space="0" w:color="auto"/>
        <w:left w:val="none" w:sz="0" w:space="0" w:color="auto"/>
        <w:bottom w:val="none" w:sz="0" w:space="0" w:color="auto"/>
        <w:right w:val="none" w:sz="0" w:space="0" w:color="auto"/>
      </w:divBdr>
    </w:div>
    <w:div w:id="1854343426">
      <w:bodyDiv w:val="1"/>
      <w:marLeft w:val="0"/>
      <w:marRight w:val="0"/>
      <w:marTop w:val="0"/>
      <w:marBottom w:val="0"/>
      <w:divBdr>
        <w:top w:val="none" w:sz="0" w:space="0" w:color="auto"/>
        <w:left w:val="none" w:sz="0" w:space="0" w:color="auto"/>
        <w:bottom w:val="none" w:sz="0" w:space="0" w:color="auto"/>
        <w:right w:val="none" w:sz="0" w:space="0" w:color="auto"/>
      </w:divBdr>
    </w:div>
    <w:div w:id="1855609093">
      <w:bodyDiv w:val="1"/>
      <w:marLeft w:val="0"/>
      <w:marRight w:val="0"/>
      <w:marTop w:val="0"/>
      <w:marBottom w:val="0"/>
      <w:divBdr>
        <w:top w:val="none" w:sz="0" w:space="0" w:color="auto"/>
        <w:left w:val="none" w:sz="0" w:space="0" w:color="auto"/>
        <w:bottom w:val="none" w:sz="0" w:space="0" w:color="auto"/>
        <w:right w:val="none" w:sz="0" w:space="0" w:color="auto"/>
      </w:divBdr>
    </w:div>
    <w:div w:id="1857765760">
      <w:bodyDiv w:val="1"/>
      <w:marLeft w:val="0"/>
      <w:marRight w:val="0"/>
      <w:marTop w:val="0"/>
      <w:marBottom w:val="0"/>
      <w:divBdr>
        <w:top w:val="none" w:sz="0" w:space="0" w:color="auto"/>
        <w:left w:val="none" w:sz="0" w:space="0" w:color="auto"/>
        <w:bottom w:val="none" w:sz="0" w:space="0" w:color="auto"/>
        <w:right w:val="none" w:sz="0" w:space="0" w:color="auto"/>
      </w:divBdr>
      <w:divsChild>
        <w:div w:id="71466944">
          <w:marLeft w:val="547"/>
          <w:marRight w:val="0"/>
          <w:marTop w:val="154"/>
          <w:marBottom w:val="0"/>
          <w:divBdr>
            <w:top w:val="none" w:sz="0" w:space="0" w:color="auto"/>
            <w:left w:val="none" w:sz="0" w:space="0" w:color="auto"/>
            <w:bottom w:val="none" w:sz="0" w:space="0" w:color="auto"/>
            <w:right w:val="none" w:sz="0" w:space="0" w:color="auto"/>
          </w:divBdr>
        </w:div>
        <w:div w:id="1049958480">
          <w:marLeft w:val="1166"/>
          <w:marRight w:val="0"/>
          <w:marTop w:val="134"/>
          <w:marBottom w:val="0"/>
          <w:divBdr>
            <w:top w:val="none" w:sz="0" w:space="0" w:color="auto"/>
            <w:left w:val="none" w:sz="0" w:space="0" w:color="auto"/>
            <w:bottom w:val="none" w:sz="0" w:space="0" w:color="auto"/>
            <w:right w:val="none" w:sz="0" w:space="0" w:color="auto"/>
          </w:divBdr>
        </w:div>
        <w:div w:id="1953200089">
          <w:marLeft w:val="1166"/>
          <w:marRight w:val="0"/>
          <w:marTop w:val="134"/>
          <w:marBottom w:val="0"/>
          <w:divBdr>
            <w:top w:val="none" w:sz="0" w:space="0" w:color="auto"/>
            <w:left w:val="none" w:sz="0" w:space="0" w:color="auto"/>
            <w:bottom w:val="none" w:sz="0" w:space="0" w:color="auto"/>
            <w:right w:val="none" w:sz="0" w:space="0" w:color="auto"/>
          </w:divBdr>
        </w:div>
        <w:div w:id="1962613602">
          <w:marLeft w:val="1800"/>
          <w:marRight w:val="0"/>
          <w:marTop w:val="115"/>
          <w:marBottom w:val="0"/>
          <w:divBdr>
            <w:top w:val="none" w:sz="0" w:space="0" w:color="auto"/>
            <w:left w:val="none" w:sz="0" w:space="0" w:color="auto"/>
            <w:bottom w:val="none" w:sz="0" w:space="0" w:color="auto"/>
            <w:right w:val="none" w:sz="0" w:space="0" w:color="auto"/>
          </w:divBdr>
        </w:div>
      </w:divsChild>
    </w:div>
    <w:div w:id="1859198542">
      <w:bodyDiv w:val="1"/>
      <w:marLeft w:val="0"/>
      <w:marRight w:val="0"/>
      <w:marTop w:val="0"/>
      <w:marBottom w:val="0"/>
      <w:divBdr>
        <w:top w:val="none" w:sz="0" w:space="0" w:color="auto"/>
        <w:left w:val="none" w:sz="0" w:space="0" w:color="auto"/>
        <w:bottom w:val="none" w:sz="0" w:space="0" w:color="auto"/>
        <w:right w:val="none" w:sz="0" w:space="0" w:color="auto"/>
      </w:divBdr>
      <w:divsChild>
        <w:div w:id="553856279">
          <w:marLeft w:val="547"/>
          <w:marRight w:val="0"/>
          <w:marTop w:val="0"/>
          <w:marBottom w:val="0"/>
          <w:divBdr>
            <w:top w:val="none" w:sz="0" w:space="0" w:color="auto"/>
            <w:left w:val="none" w:sz="0" w:space="0" w:color="auto"/>
            <w:bottom w:val="none" w:sz="0" w:space="0" w:color="auto"/>
            <w:right w:val="none" w:sz="0" w:space="0" w:color="auto"/>
          </w:divBdr>
        </w:div>
        <w:div w:id="857235634">
          <w:marLeft w:val="1166"/>
          <w:marRight w:val="0"/>
          <w:marTop w:val="0"/>
          <w:marBottom w:val="0"/>
          <w:divBdr>
            <w:top w:val="none" w:sz="0" w:space="0" w:color="auto"/>
            <w:left w:val="none" w:sz="0" w:space="0" w:color="auto"/>
            <w:bottom w:val="none" w:sz="0" w:space="0" w:color="auto"/>
            <w:right w:val="none" w:sz="0" w:space="0" w:color="auto"/>
          </w:divBdr>
        </w:div>
        <w:div w:id="945115703">
          <w:marLeft w:val="1166"/>
          <w:marRight w:val="0"/>
          <w:marTop w:val="0"/>
          <w:marBottom w:val="0"/>
          <w:divBdr>
            <w:top w:val="none" w:sz="0" w:space="0" w:color="auto"/>
            <w:left w:val="none" w:sz="0" w:space="0" w:color="auto"/>
            <w:bottom w:val="none" w:sz="0" w:space="0" w:color="auto"/>
            <w:right w:val="none" w:sz="0" w:space="0" w:color="auto"/>
          </w:divBdr>
        </w:div>
        <w:div w:id="1126464664">
          <w:marLeft w:val="1166"/>
          <w:marRight w:val="0"/>
          <w:marTop w:val="0"/>
          <w:marBottom w:val="0"/>
          <w:divBdr>
            <w:top w:val="none" w:sz="0" w:space="0" w:color="auto"/>
            <w:left w:val="none" w:sz="0" w:space="0" w:color="auto"/>
            <w:bottom w:val="none" w:sz="0" w:space="0" w:color="auto"/>
            <w:right w:val="none" w:sz="0" w:space="0" w:color="auto"/>
          </w:divBdr>
        </w:div>
        <w:div w:id="1738166616">
          <w:marLeft w:val="547"/>
          <w:marRight w:val="0"/>
          <w:marTop w:val="0"/>
          <w:marBottom w:val="0"/>
          <w:divBdr>
            <w:top w:val="none" w:sz="0" w:space="0" w:color="auto"/>
            <w:left w:val="none" w:sz="0" w:space="0" w:color="auto"/>
            <w:bottom w:val="none" w:sz="0" w:space="0" w:color="auto"/>
            <w:right w:val="none" w:sz="0" w:space="0" w:color="auto"/>
          </w:divBdr>
        </w:div>
        <w:div w:id="1761901832">
          <w:marLeft w:val="1800"/>
          <w:marRight w:val="0"/>
          <w:marTop w:val="0"/>
          <w:marBottom w:val="0"/>
          <w:divBdr>
            <w:top w:val="none" w:sz="0" w:space="0" w:color="auto"/>
            <w:left w:val="none" w:sz="0" w:space="0" w:color="auto"/>
            <w:bottom w:val="none" w:sz="0" w:space="0" w:color="auto"/>
            <w:right w:val="none" w:sz="0" w:space="0" w:color="auto"/>
          </w:divBdr>
        </w:div>
      </w:divsChild>
    </w:div>
    <w:div w:id="1859542298">
      <w:bodyDiv w:val="1"/>
      <w:marLeft w:val="0"/>
      <w:marRight w:val="0"/>
      <w:marTop w:val="0"/>
      <w:marBottom w:val="0"/>
      <w:divBdr>
        <w:top w:val="none" w:sz="0" w:space="0" w:color="auto"/>
        <w:left w:val="none" w:sz="0" w:space="0" w:color="auto"/>
        <w:bottom w:val="none" w:sz="0" w:space="0" w:color="auto"/>
        <w:right w:val="none" w:sz="0" w:space="0" w:color="auto"/>
      </w:divBdr>
      <w:divsChild>
        <w:div w:id="172497089">
          <w:marLeft w:val="1800"/>
          <w:marRight w:val="0"/>
          <w:marTop w:val="86"/>
          <w:marBottom w:val="0"/>
          <w:divBdr>
            <w:top w:val="none" w:sz="0" w:space="0" w:color="auto"/>
            <w:left w:val="none" w:sz="0" w:space="0" w:color="auto"/>
            <w:bottom w:val="none" w:sz="0" w:space="0" w:color="auto"/>
            <w:right w:val="none" w:sz="0" w:space="0" w:color="auto"/>
          </w:divBdr>
        </w:div>
        <w:div w:id="607467625">
          <w:marLeft w:val="1166"/>
          <w:marRight w:val="0"/>
          <w:marTop w:val="86"/>
          <w:marBottom w:val="0"/>
          <w:divBdr>
            <w:top w:val="none" w:sz="0" w:space="0" w:color="auto"/>
            <w:left w:val="none" w:sz="0" w:space="0" w:color="auto"/>
            <w:bottom w:val="none" w:sz="0" w:space="0" w:color="auto"/>
            <w:right w:val="none" w:sz="0" w:space="0" w:color="auto"/>
          </w:divBdr>
        </w:div>
        <w:div w:id="985206038">
          <w:marLeft w:val="3240"/>
          <w:marRight w:val="0"/>
          <w:marTop w:val="67"/>
          <w:marBottom w:val="0"/>
          <w:divBdr>
            <w:top w:val="none" w:sz="0" w:space="0" w:color="auto"/>
            <w:left w:val="none" w:sz="0" w:space="0" w:color="auto"/>
            <w:bottom w:val="none" w:sz="0" w:space="0" w:color="auto"/>
            <w:right w:val="none" w:sz="0" w:space="0" w:color="auto"/>
          </w:divBdr>
        </w:div>
        <w:div w:id="1156610515">
          <w:marLeft w:val="1166"/>
          <w:marRight w:val="0"/>
          <w:marTop w:val="86"/>
          <w:marBottom w:val="0"/>
          <w:divBdr>
            <w:top w:val="none" w:sz="0" w:space="0" w:color="auto"/>
            <w:left w:val="none" w:sz="0" w:space="0" w:color="auto"/>
            <w:bottom w:val="none" w:sz="0" w:space="0" w:color="auto"/>
            <w:right w:val="none" w:sz="0" w:space="0" w:color="auto"/>
          </w:divBdr>
        </w:div>
        <w:div w:id="1218009140">
          <w:marLeft w:val="1800"/>
          <w:marRight w:val="0"/>
          <w:marTop w:val="77"/>
          <w:marBottom w:val="0"/>
          <w:divBdr>
            <w:top w:val="none" w:sz="0" w:space="0" w:color="auto"/>
            <w:left w:val="none" w:sz="0" w:space="0" w:color="auto"/>
            <w:bottom w:val="none" w:sz="0" w:space="0" w:color="auto"/>
            <w:right w:val="none" w:sz="0" w:space="0" w:color="auto"/>
          </w:divBdr>
        </w:div>
        <w:div w:id="1300376919">
          <w:marLeft w:val="1800"/>
          <w:marRight w:val="0"/>
          <w:marTop w:val="86"/>
          <w:marBottom w:val="0"/>
          <w:divBdr>
            <w:top w:val="none" w:sz="0" w:space="0" w:color="auto"/>
            <w:left w:val="none" w:sz="0" w:space="0" w:color="auto"/>
            <w:bottom w:val="none" w:sz="0" w:space="0" w:color="auto"/>
            <w:right w:val="none" w:sz="0" w:space="0" w:color="auto"/>
          </w:divBdr>
        </w:div>
        <w:div w:id="1351951431">
          <w:marLeft w:val="547"/>
          <w:marRight w:val="0"/>
          <w:marTop w:val="96"/>
          <w:marBottom w:val="0"/>
          <w:divBdr>
            <w:top w:val="none" w:sz="0" w:space="0" w:color="auto"/>
            <w:left w:val="none" w:sz="0" w:space="0" w:color="auto"/>
            <w:bottom w:val="none" w:sz="0" w:space="0" w:color="auto"/>
            <w:right w:val="none" w:sz="0" w:space="0" w:color="auto"/>
          </w:divBdr>
        </w:div>
        <w:div w:id="1443918214">
          <w:marLeft w:val="3240"/>
          <w:marRight w:val="0"/>
          <w:marTop w:val="67"/>
          <w:marBottom w:val="0"/>
          <w:divBdr>
            <w:top w:val="none" w:sz="0" w:space="0" w:color="auto"/>
            <w:left w:val="none" w:sz="0" w:space="0" w:color="auto"/>
            <w:bottom w:val="none" w:sz="0" w:space="0" w:color="auto"/>
            <w:right w:val="none" w:sz="0" w:space="0" w:color="auto"/>
          </w:divBdr>
        </w:div>
        <w:div w:id="1741555005">
          <w:marLeft w:val="547"/>
          <w:marRight w:val="0"/>
          <w:marTop w:val="96"/>
          <w:marBottom w:val="0"/>
          <w:divBdr>
            <w:top w:val="none" w:sz="0" w:space="0" w:color="auto"/>
            <w:left w:val="none" w:sz="0" w:space="0" w:color="auto"/>
            <w:bottom w:val="none" w:sz="0" w:space="0" w:color="auto"/>
            <w:right w:val="none" w:sz="0" w:space="0" w:color="auto"/>
          </w:divBdr>
        </w:div>
        <w:div w:id="1846750350">
          <w:marLeft w:val="2520"/>
          <w:marRight w:val="0"/>
          <w:marTop w:val="67"/>
          <w:marBottom w:val="0"/>
          <w:divBdr>
            <w:top w:val="none" w:sz="0" w:space="0" w:color="auto"/>
            <w:left w:val="none" w:sz="0" w:space="0" w:color="auto"/>
            <w:bottom w:val="none" w:sz="0" w:space="0" w:color="auto"/>
            <w:right w:val="none" w:sz="0" w:space="0" w:color="auto"/>
          </w:divBdr>
        </w:div>
        <w:div w:id="1978414711">
          <w:marLeft w:val="2520"/>
          <w:marRight w:val="0"/>
          <w:marTop w:val="67"/>
          <w:marBottom w:val="0"/>
          <w:divBdr>
            <w:top w:val="none" w:sz="0" w:space="0" w:color="auto"/>
            <w:left w:val="none" w:sz="0" w:space="0" w:color="auto"/>
            <w:bottom w:val="none" w:sz="0" w:space="0" w:color="auto"/>
            <w:right w:val="none" w:sz="0" w:space="0" w:color="auto"/>
          </w:divBdr>
        </w:div>
        <w:div w:id="2055692514">
          <w:marLeft w:val="1800"/>
          <w:marRight w:val="0"/>
          <w:marTop w:val="77"/>
          <w:marBottom w:val="0"/>
          <w:divBdr>
            <w:top w:val="none" w:sz="0" w:space="0" w:color="auto"/>
            <w:left w:val="none" w:sz="0" w:space="0" w:color="auto"/>
            <w:bottom w:val="none" w:sz="0" w:space="0" w:color="auto"/>
            <w:right w:val="none" w:sz="0" w:space="0" w:color="auto"/>
          </w:divBdr>
        </w:div>
      </w:divsChild>
    </w:div>
    <w:div w:id="1859804913">
      <w:bodyDiv w:val="1"/>
      <w:marLeft w:val="0"/>
      <w:marRight w:val="0"/>
      <w:marTop w:val="0"/>
      <w:marBottom w:val="0"/>
      <w:divBdr>
        <w:top w:val="none" w:sz="0" w:space="0" w:color="auto"/>
        <w:left w:val="none" w:sz="0" w:space="0" w:color="auto"/>
        <w:bottom w:val="none" w:sz="0" w:space="0" w:color="auto"/>
        <w:right w:val="none" w:sz="0" w:space="0" w:color="auto"/>
      </w:divBdr>
      <w:divsChild>
        <w:div w:id="166798465">
          <w:marLeft w:val="1166"/>
          <w:marRight w:val="0"/>
          <w:marTop w:val="115"/>
          <w:marBottom w:val="120"/>
          <w:divBdr>
            <w:top w:val="none" w:sz="0" w:space="0" w:color="auto"/>
            <w:left w:val="none" w:sz="0" w:space="0" w:color="auto"/>
            <w:bottom w:val="none" w:sz="0" w:space="0" w:color="auto"/>
            <w:right w:val="none" w:sz="0" w:space="0" w:color="auto"/>
          </w:divBdr>
        </w:div>
        <w:div w:id="1159925704">
          <w:marLeft w:val="547"/>
          <w:marRight w:val="0"/>
          <w:marTop w:val="154"/>
          <w:marBottom w:val="120"/>
          <w:divBdr>
            <w:top w:val="none" w:sz="0" w:space="0" w:color="auto"/>
            <w:left w:val="none" w:sz="0" w:space="0" w:color="auto"/>
            <w:bottom w:val="none" w:sz="0" w:space="0" w:color="auto"/>
            <w:right w:val="none" w:sz="0" w:space="0" w:color="auto"/>
          </w:divBdr>
        </w:div>
        <w:div w:id="1577740969">
          <w:marLeft w:val="547"/>
          <w:marRight w:val="0"/>
          <w:marTop w:val="134"/>
          <w:marBottom w:val="120"/>
          <w:divBdr>
            <w:top w:val="none" w:sz="0" w:space="0" w:color="auto"/>
            <w:left w:val="none" w:sz="0" w:space="0" w:color="auto"/>
            <w:bottom w:val="none" w:sz="0" w:space="0" w:color="auto"/>
            <w:right w:val="none" w:sz="0" w:space="0" w:color="auto"/>
          </w:divBdr>
        </w:div>
        <w:div w:id="1648970341">
          <w:marLeft w:val="1166"/>
          <w:marRight w:val="0"/>
          <w:marTop w:val="115"/>
          <w:marBottom w:val="120"/>
          <w:divBdr>
            <w:top w:val="none" w:sz="0" w:space="0" w:color="auto"/>
            <w:left w:val="none" w:sz="0" w:space="0" w:color="auto"/>
            <w:bottom w:val="none" w:sz="0" w:space="0" w:color="auto"/>
            <w:right w:val="none" w:sz="0" w:space="0" w:color="auto"/>
          </w:divBdr>
        </w:div>
        <w:div w:id="1988826338">
          <w:marLeft w:val="547"/>
          <w:marRight w:val="0"/>
          <w:marTop w:val="134"/>
          <w:marBottom w:val="120"/>
          <w:divBdr>
            <w:top w:val="none" w:sz="0" w:space="0" w:color="auto"/>
            <w:left w:val="none" w:sz="0" w:space="0" w:color="auto"/>
            <w:bottom w:val="none" w:sz="0" w:space="0" w:color="auto"/>
            <w:right w:val="none" w:sz="0" w:space="0" w:color="auto"/>
          </w:divBdr>
        </w:div>
      </w:divsChild>
    </w:div>
    <w:div w:id="1859811790">
      <w:bodyDiv w:val="1"/>
      <w:marLeft w:val="0"/>
      <w:marRight w:val="0"/>
      <w:marTop w:val="0"/>
      <w:marBottom w:val="0"/>
      <w:divBdr>
        <w:top w:val="none" w:sz="0" w:space="0" w:color="auto"/>
        <w:left w:val="none" w:sz="0" w:space="0" w:color="auto"/>
        <w:bottom w:val="none" w:sz="0" w:space="0" w:color="auto"/>
        <w:right w:val="none" w:sz="0" w:space="0" w:color="auto"/>
      </w:divBdr>
    </w:div>
    <w:div w:id="1860122539">
      <w:bodyDiv w:val="1"/>
      <w:marLeft w:val="0"/>
      <w:marRight w:val="0"/>
      <w:marTop w:val="0"/>
      <w:marBottom w:val="0"/>
      <w:divBdr>
        <w:top w:val="none" w:sz="0" w:space="0" w:color="auto"/>
        <w:left w:val="none" w:sz="0" w:space="0" w:color="auto"/>
        <w:bottom w:val="none" w:sz="0" w:space="0" w:color="auto"/>
        <w:right w:val="none" w:sz="0" w:space="0" w:color="auto"/>
      </w:divBdr>
    </w:div>
    <w:div w:id="1860466880">
      <w:bodyDiv w:val="1"/>
      <w:marLeft w:val="0"/>
      <w:marRight w:val="0"/>
      <w:marTop w:val="0"/>
      <w:marBottom w:val="0"/>
      <w:divBdr>
        <w:top w:val="none" w:sz="0" w:space="0" w:color="auto"/>
        <w:left w:val="none" w:sz="0" w:space="0" w:color="auto"/>
        <w:bottom w:val="none" w:sz="0" w:space="0" w:color="auto"/>
        <w:right w:val="none" w:sz="0" w:space="0" w:color="auto"/>
      </w:divBdr>
    </w:div>
    <w:div w:id="1860582388">
      <w:bodyDiv w:val="1"/>
      <w:marLeft w:val="0"/>
      <w:marRight w:val="0"/>
      <w:marTop w:val="0"/>
      <w:marBottom w:val="0"/>
      <w:divBdr>
        <w:top w:val="none" w:sz="0" w:space="0" w:color="auto"/>
        <w:left w:val="none" w:sz="0" w:space="0" w:color="auto"/>
        <w:bottom w:val="none" w:sz="0" w:space="0" w:color="auto"/>
        <w:right w:val="none" w:sz="0" w:space="0" w:color="auto"/>
      </w:divBdr>
    </w:div>
    <w:div w:id="1860969770">
      <w:bodyDiv w:val="1"/>
      <w:marLeft w:val="0"/>
      <w:marRight w:val="0"/>
      <w:marTop w:val="0"/>
      <w:marBottom w:val="0"/>
      <w:divBdr>
        <w:top w:val="none" w:sz="0" w:space="0" w:color="auto"/>
        <w:left w:val="none" w:sz="0" w:space="0" w:color="auto"/>
        <w:bottom w:val="none" w:sz="0" w:space="0" w:color="auto"/>
        <w:right w:val="none" w:sz="0" w:space="0" w:color="auto"/>
      </w:divBdr>
      <w:divsChild>
        <w:div w:id="675377937">
          <w:marLeft w:val="1080"/>
          <w:marRight w:val="0"/>
          <w:marTop w:val="100"/>
          <w:marBottom w:val="0"/>
          <w:divBdr>
            <w:top w:val="none" w:sz="0" w:space="0" w:color="auto"/>
            <w:left w:val="none" w:sz="0" w:space="0" w:color="auto"/>
            <w:bottom w:val="none" w:sz="0" w:space="0" w:color="auto"/>
            <w:right w:val="none" w:sz="0" w:space="0" w:color="auto"/>
          </w:divBdr>
        </w:div>
        <w:div w:id="1149900541">
          <w:marLeft w:val="360"/>
          <w:marRight w:val="0"/>
          <w:marTop w:val="200"/>
          <w:marBottom w:val="0"/>
          <w:divBdr>
            <w:top w:val="none" w:sz="0" w:space="0" w:color="auto"/>
            <w:left w:val="none" w:sz="0" w:space="0" w:color="auto"/>
            <w:bottom w:val="none" w:sz="0" w:space="0" w:color="auto"/>
            <w:right w:val="none" w:sz="0" w:space="0" w:color="auto"/>
          </w:divBdr>
        </w:div>
        <w:div w:id="1267614818">
          <w:marLeft w:val="360"/>
          <w:marRight w:val="0"/>
          <w:marTop w:val="200"/>
          <w:marBottom w:val="0"/>
          <w:divBdr>
            <w:top w:val="none" w:sz="0" w:space="0" w:color="auto"/>
            <w:left w:val="none" w:sz="0" w:space="0" w:color="auto"/>
            <w:bottom w:val="none" w:sz="0" w:space="0" w:color="auto"/>
            <w:right w:val="none" w:sz="0" w:space="0" w:color="auto"/>
          </w:divBdr>
        </w:div>
      </w:divsChild>
    </w:div>
    <w:div w:id="1861161432">
      <w:bodyDiv w:val="1"/>
      <w:marLeft w:val="0"/>
      <w:marRight w:val="0"/>
      <w:marTop w:val="0"/>
      <w:marBottom w:val="0"/>
      <w:divBdr>
        <w:top w:val="none" w:sz="0" w:space="0" w:color="auto"/>
        <w:left w:val="none" w:sz="0" w:space="0" w:color="auto"/>
        <w:bottom w:val="none" w:sz="0" w:space="0" w:color="auto"/>
        <w:right w:val="none" w:sz="0" w:space="0" w:color="auto"/>
      </w:divBdr>
      <w:divsChild>
        <w:div w:id="2145804498">
          <w:marLeft w:val="547"/>
          <w:marRight w:val="0"/>
          <w:marTop w:val="154"/>
          <w:marBottom w:val="0"/>
          <w:divBdr>
            <w:top w:val="none" w:sz="0" w:space="0" w:color="auto"/>
            <w:left w:val="none" w:sz="0" w:space="0" w:color="auto"/>
            <w:bottom w:val="none" w:sz="0" w:space="0" w:color="auto"/>
            <w:right w:val="none" w:sz="0" w:space="0" w:color="auto"/>
          </w:divBdr>
        </w:div>
      </w:divsChild>
    </w:div>
    <w:div w:id="1861813676">
      <w:bodyDiv w:val="1"/>
      <w:marLeft w:val="0"/>
      <w:marRight w:val="0"/>
      <w:marTop w:val="0"/>
      <w:marBottom w:val="0"/>
      <w:divBdr>
        <w:top w:val="none" w:sz="0" w:space="0" w:color="auto"/>
        <w:left w:val="none" w:sz="0" w:space="0" w:color="auto"/>
        <w:bottom w:val="none" w:sz="0" w:space="0" w:color="auto"/>
        <w:right w:val="none" w:sz="0" w:space="0" w:color="auto"/>
      </w:divBdr>
    </w:div>
    <w:div w:id="1862233147">
      <w:bodyDiv w:val="1"/>
      <w:marLeft w:val="0"/>
      <w:marRight w:val="0"/>
      <w:marTop w:val="0"/>
      <w:marBottom w:val="0"/>
      <w:divBdr>
        <w:top w:val="none" w:sz="0" w:space="0" w:color="auto"/>
        <w:left w:val="none" w:sz="0" w:space="0" w:color="auto"/>
        <w:bottom w:val="none" w:sz="0" w:space="0" w:color="auto"/>
        <w:right w:val="none" w:sz="0" w:space="0" w:color="auto"/>
      </w:divBdr>
    </w:div>
    <w:div w:id="1862432648">
      <w:bodyDiv w:val="1"/>
      <w:marLeft w:val="0"/>
      <w:marRight w:val="0"/>
      <w:marTop w:val="0"/>
      <w:marBottom w:val="0"/>
      <w:divBdr>
        <w:top w:val="none" w:sz="0" w:space="0" w:color="auto"/>
        <w:left w:val="none" w:sz="0" w:space="0" w:color="auto"/>
        <w:bottom w:val="none" w:sz="0" w:space="0" w:color="auto"/>
        <w:right w:val="none" w:sz="0" w:space="0" w:color="auto"/>
      </w:divBdr>
    </w:div>
    <w:div w:id="1862695203">
      <w:bodyDiv w:val="1"/>
      <w:marLeft w:val="0"/>
      <w:marRight w:val="0"/>
      <w:marTop w:val="0"/>
      <w:marBottom w:val="0"/>
      <w:divBdr>
        <w:top w:val="none" w:sz="0" w:space="0" w:color="auto"/>
        <w:left w:val="none" w:sz="0" w:space="0" w:color="auto"/>
        <w:bottom w:val="none" w:sz="0" w:space="0" w:color="auto"/>
        <w:right w:val="none" w:sz="0" w:space="0" w:color="auto"/>
      </w:divBdr>
    </w:div>
    <w:div w:id="1862889933">
      <w:bodyDiv w:val="1"/>
      <w:marLeft w:val="0"/>
      <w:marRight w:val="0"/>
      <w:marTop w:val="0"/>
      <w:marBottom w:val="0"/>
      <w:divBdr>
        <w:top w:val="none" w:sz="0" w:space="0" w:color="auto"/>
        <w:left w:val="none" w:sz="0" w:space="0" w:color="auto"/>
        <w:bottom w:val="none" w:sz="0" w:space="0" w:color="auto"/>
        <w:right w:val="none" w:sz="0" w:space="0" w:color="auto"/>
      </w:divBdr>
    </w:div>
    <w:div w:id="1863666877">
      <w:bodyDiv w:val="1"/>
      <w:marLeft w:val="0"/>
      <w:marRight w:val="0"/>
      <w:marTop w:val="0"/>
      <w:marBottom w:val="0"/>
      <w:divBdr>
        <w:top w:val="none" w:sz="0" w:space="0" w:color="auto"/>
        <w:left w:val="none" w:sz="0" w:space="0" w:color="auto"/>
        <w:bottom w:val="none" w:sz="0" w:space="0" w:color="auto"/>
        <w:right w:val="none" w:sz="0" w:space="0" w:color="auto"/>
      </w:divBdr>
    </w:div>
    <w:div w:id="1864245156">
      <w:bodyDiv w:val="1"/>
      <w:marLeft w:val="0"/>
      <w:marRight w:val="0"/>
      <w:marTop w:val="0"/>
      <w:marBottom w:val="0"/>
      <w:divBdr>
        <w:top w:val="none" w:sz="0" w:space="0" w:color="auto"/>
        <w:left w:val="none" w:sz="0" w:space="0" w:color="auto"/>
        <w:bottom w:val="none" w:sz="0" w:space="0" w:color="auto"/>
        <w:right w:val="none" w:sz="0" w:space="0" w:color="auto"/>
      </w:divBdr>
    </w:div>
    <w:div w:id="1865090853">
      <w:bodyDiv w:val="1"/>
      <w:marLeft w:val="0"/>
      <w:marRight w:val="0"/>
      <w:marTop w:val="0"/>
      <w:marBottom w:val="0"/>
      <w:divBdr>
        <w:top w:val="none" w:sz="0" w:space="0" w:color="auto"/>
        <w:left w:val="none" w:sz="0" w:space="0" w:color="auto"/>
        <w:bottom w:val="none" w:sz="0" w:space="0" w:color="auto"/>
        <w:right w:val="none" w:sz="0" w:space="0" w:color="auto"/>
      </w:divBdr>
      <w:divsChild>
        <w:div w:id="115758915">
          <w:marLeft w:val="547"/>
          <w:marRight w:val="0"/>
          <w:marTop w:val="96"/>
          <w:marBottom w:val="0"/>
          <w:divBdr>
            <w:top w:val="none" w:sz="0" w:space="0" w:color="auto"/>
            <w:left w:val="none" w:sz="0" w:space="0" w:color="auto"/>
            <w:bottom w:val="none" w:sz="0" w:space="0" w:color="auto"/>
            <w:right w:val="none" w:sz="0" w:space="0" w:color="auto"/>
          </w:divBdr>
        </w:div>
        <w:div w:id="226845983">
          <w:marLeft w:val="1800"/>
          <w:marRight w:val="0"/>
          <w:marTop w:val="86"/>
          <w:marBottom w:val="0"/>
          <w:divBdr>
            <w:top w:val="none" w:sz="0" w:space="0" w:color="auto"/>
            <w:left w:val="none" w:sz="0" w:space="0" w:color="auto"/>
            <w:bottom w:val="none" w:sz="0" w:space="0" w:color="auto"/>
            <w:right w:val="none" w:sz="0" w:space="0" w:color="auto"/>
          </w:divBdr>
        </w:div>
        <w:div w:id="837035604">
          <w:marLeft w:val="1166"/>
          <w:marRight w:val="0"/>
          <w:marTop w:val="77"/>
          <w:marBottom w:val="0"/>
          <w:divBdr>
            <w:top w:val="none" w:sz="0" w:space="0" w:color="auto"/>
            <w:left w:val="none" w:sz="0" w:space="0" w:color="auto"/>
            <w:bottom w:val="none" w:sz="0" w:space="0" w:color="auto"/>
            <w:right w:val="none" w:sz="0" w:space="0" w:color="auto"/>
          </w:divBdr>
        </w:div>
        <w:div w:id="898512233">
          <w:marLeft w:val="1166"/>
          <w:marRight w:val="0"/>
          <w:marTop w:val="77"/>
          <w:marBottom w:val="0"/>
          <w:divBdr>
            <w:top w:val="none" w:sz="0" w:space="0" w:color="auto"/>
            <w:left w:val="none" w:sz="0" w:space="0" w:color="auto"/>
            <w:bottom w:val="none" w:sz="0" w:space="0" w:color="auto"/>
            <w:right w:val="none" w:sz="0" w:space="0" w:color="auto"/>
          </w:divBdr>
        </w:div>
        <w:div w:id="1043866616">
          <w:marLeft w:val="1166"/>
          <w:marRight w:val="0"/>
          <w:marTop w:val="77"/>
          <w:marBottom w:val="0"/>
          <w:divBdr>
            <w:top w:val="none" w:sz="0" w:space="0" w:color="auto"/>
            <w:left w:val="none" w:sz="0" w:space="0" w:color="auto"/>
            <w:bottom w:val="none" w:sz="0" w:space="0" w:color="auto"/>
            <w:right w:val="none" w:sz="0" w:space="0" w:color="auto"/>
          </w:divBdr>
        </w:div>
        <w:div w:id="1236205808">
          <w:marLeft w:val="1166"/>
          <w:marRight w:val="0"/>
          <w:marTop w:val="77"/>
          <w:marBottom w:val="0"/>
          <w:divBdr>
            <w:top w:val="none" w:sz="0" w:space="0" w:color="auto"/>
            <w:left w:val="none" w:sz="0" w:space="0" w:color="auto"/>
            <w:bottom w:val="none" w:sz="0" w:space="0" w:color="auto"/>
            <w:right w:val="none" w:sz="0" w:space="0" w:color="auto"/>
          </w:divBdr>
        </w:div>
        <w:div w:id="1942105656">
          <w:marLeft w:val="1166"/>
          <w:marRight w:val="0"/>
          <w:marTop w:val="86"/>
          <w:marBottom w:val="0"/>
          <w:divBdr>
            <w:top w:val="none" w:sz="0" w:space="0" w:color="auto"/>
            <w:left w:val="none" w:sz="0" w:space="0" w:color="auto"/>
            <w:bottom w:val="none" w:sz="0" w:space="0" w:color="auto"/>
            <w:right w:val="none" w:sz="0" w:space="0" w:color="auto"/>
          </w:divBdr>
        </w:div>
        <w:div w:id="2008940640">
          <w:marLeft w:val="547"/>
          <w:marRight w:val="0"/>
          <w:marTop w:val="96"/>
          <w:marBottom w:val="0"/>
          <w:divBdr>
            <w:top w:val="none" w:sz="0" w:space="0" w:color="auto"/>
            <w:left w:val="none" w:sz="0" w:space="0" w:color="auto"/>
            <w:bottom w:val="none" w:sz="0" w:space="0" w:color="auto"/>
            <w:right w:val="none" w:sz="0" w:space="0" w:color="auto"/>
          </w:divBdr>
        </w:div>
      </w:divsChild>
    </w:div>
    <w:div w:id="1866823986">
      <w:bodyDiv w:val="1"/>
      <w:marLeft w:val="0"/>
      <w:marRight w:val="0"/>
      <w:marTop w:val="0"/>
      <w:marBottom w:val="0"/>
      <w:divBdr>
        <w:top w:val="none" w:sz="0" w:space="0" w:color="auto"/>
        <w:left w:val="none" w:sz="0" w:space="0" w:color="auto"/>
        <w:bottom w:val="none" w:sz="0" w:space="0" w:color="auto"/>
        <w:right w:val="none" w:sz="0" w:space="0" w:color="auto"/>
      </w:divBdr>
    </w:div>
    <w:div w:id="1868564068">
      <w:bodyDiv w:val="1"/>
      <w:marLeft w:val="0"/>
      <w:marRight w:val="0"/>
      <w:marTop w:val="0"/>
      <w:marBottom w:val="0"/>
      <w:divBdr>
        <w:top w:val="none" w:sz="0" w:space="0" w:color="auto"/>
        <w:left w:val="none" w:sz="0" w:space="0" w:color="auto"/>
        <w:bottom w:val="none" w:sz="0" w:space="0" w:color="auto"/>
        <w:right w:val="none" w:sz="0" w:space="0" w:color="auto"/>
      </w:divBdr>
    </w:div>
    <w:div w:id="1869250363">
      <w:bodyDiv w:val="1"/>
      <w:marLeft w:val="0"/>
      <w:marRight w:val="0"/>
      <w:marTop w:val="0"/>
      <w:marBottom w:val="0"/>
      <w:divBdr>
        <w:top w:val="none" w:sz="0" w:space="0" w:color="auto"/>
        <w:left w:val="none" w:sz="0" w:space="0" w:color="auto"/>
        <w:bottom w:val="none" w:sz="0" w:space="0" w:color="auto"/>
        <w:right w:val="none" w:sz="0" w:space="0" w:color="auto"/>
      </w:divBdr>
      <w:divsChild>
        <w:div w:id="594050173">
          <w:marLeft w:val="360"/>
          <w:marRight w:val="0"/>
          <w:marTop w:val="200"/>
          <w:marBottom w:val="0"/>
          <w:divBdr>
            <w:top w:val="none" w:sz="0" w:space="0" w:color="auto"/>
            <w:left w:val="none" w:sz="0" w:space="0" w:color="auto"/>
            <w:bottom w:val="none" w:sz="0" w:space="0" w:color="auto"/>
            <w:right w:val="none" w:sz="0" w:space="0" w:color="auto"/>
          </w:divBdr>
        </w:div>
      </w:divsChild>
    </w:div>
    <w:div w:id="1869753113">
      <w:bodyDiv w:val="1"/>
      <w:marLeft w:val="0"/>
      <w:marRight w:val="0"/>
      <w:marTop w:val="0"/>
      <w:marBottom w:val="0"/>
      <w:divBdr>
        <w:top w:val="none" w:sz="0" w:space="0" w:color="auto"/>
        <w:left w:val="none" w:sz="0" w:space="0" w:color="auto"/>
        <w:bottom w:val="none" w:sz="0" w:space="0" w:color="auto"/>
        <w:right w:val="none" w:sz="0" w:space="0" w:color="auto"/>
      </w:divBdr>
    </w:div>
    <w:div w:id="1870795299">
      <w:bodyDiv w:val="1"/>
      <w:marLeft w:val="0"/>
      <w:marRight w:val="0"/>
      <w:marTop w:val="0"/>
      <w:marBottom w:val="0"/>
      <w:divBdr>
        <w:top w:val="none" w:sz="0" w:space="0" w:color="auto"/>
        <w:left w:val="none" w:sz="0" w:space="0" w:color="auto"/>
        <w:bottom w:val="none" w:sz="0" w:space="0" w:color="auto"/>
        <w:right w:val="none" w:sz="0" w:space="0" w:color="auto"/>
      </w:divBdr>
    </w:div>
    <w:div w:id="1871071078">
      <w:bodyDiv w:val="1"/>
      <w:marLeft w:val="0"/>
      <w:marRight w:val="0"/>
      <w:marTop w:val="0"/>
      <w:marBottom w:val="0"/>
      <w:divBdr>
        <w:top w:val="none" w:sz="0" w:space="0" w:color="auto"/>
        <w:left w:val="none" w:sz="0" w:space="0" w:color="auto"/>
        <w:bottom w:val="none" w:sz="0" w:space="0" w:color="auto"/>
        <w:right w:val="none" w:sz="0" w:space="0" w:color="auto"/>
      </w:divBdr>
    </w:div>
    <w:div w:id="1871449462">
      <w:bodyDiv w:val="1"/>
      <w:marLeft w:val="0"/>
      <w:marRight w:val="0"/>
      <w:marTop w:val="0"/>
      <w:marBottom w:val="0"/>
      <w:divBdr>
        <w:top w:val="none" w:sz="0" w:space="0" w:color="auto"/>
        <w:left w:val="none" w:sz="0" w:space="0" w:color="auto"/>
        <w:bottom w:val="none" w:sz="0" w:space="0" w:color="auto"/>
        <w:right w:val="none" w:sz="0" w:space="0" w:color="auto"/>
      </w:divBdr>
    </w:div>
    <w:div w:id="1871599676">
      <w:bodyDiv w:val="1"/>
      <w:marLeft w:val="0"/>
      <w:marRight w:val="0"/>
      <w:marTop w:val="0"/>
      <w:marBottom w:val="0"/>
      <w:divBdr>
        <w:top w:val="none" w:sz="0" w:space="0" w:color="auto"/>
        <w:left w:val="none" w:sz="0" w:space="0" w:color="auto"/>
        <w:bottom w:val="none" w:sz="0" w:space="0" w:color="auto"/>
        <w:right w:val="none" w:sz="0" w:space="0" w:color="auto"/>
      </w:divBdr>
    </w:div>
    <w:div w:id="1871869800">
      <w:bodyDiv w:val="1"/>
      <w:marLeft w:val="0"/>
      <w:marRight w:val="0"/>
      <w:marTop w:val="0"/>
      <w:marBottom w:val="0"/>
      <w:divBdr>
        <w:top w:val="none" w:sz="0" w:space="0" w:color="auto"/>
        <w:left w:val="none" w:sz="0" w:space="0" w:color="auto"/>
        <w:bottom w:val="none" w:sz="0" w:space="0" w:color="auto"/>
        <w:right w:val="none" w:sz="0" w:space="0" w:color="auto"/>
      </w:divBdr>
    </w:div>
    <w:div w:id="1872036519">
      <w:bodyDiv w:val="1"/>
      <w:marLeft w:val="0"/>
      <w:marRight w:val="0"/>
      <w:marTop w:val="0"/>
      <w:marBottom w:val="0"/>
      <w:divBdr>
        <w:top w:val="none" w:sz="0" w:space="0" w:color="auto"/>
        <w:left w:val="none" w:sz="0" w:space="0" w:color="auto"/>
        <w:bottom w:val="none" w:sz="0" w:space="0" w:color="auto"/>
        <w:right w:val="none" w:sz="0" w:space="0" w:color="auto"/>
      </w:divBdr>
    </w:div>
    <w:div w:id="1873611810">
      <w:bodyDiv w:val="1"/>
      <w:marLeft w:val="0"/>
      <w:marRight w:val="0"/>
      <w:marTop w:val="0"/>
      <w:marBottom w:val="0"/>
      <w:divBdr>
        <w:top w:val="none" w:sz="0" w:space="0" w:color="auto"/>
        <w:left w:val="none" w:sz="0" w:space="0" w:color="auto"/>
        <w:bottom w:val="none" w:sz="0" w:space="0" w:color="auto"/>
        <w:right w:val="none" w:sz="0" w:space="0" w:color="auto"/>
      </w:divBdr>
    </w:div>
    <w:div w:id="1873806212">
      <w:bodyDiv w:val="1"/>
      <w:marLeft w:val="0"/>
      <w:marRight w:val="0"/>
      <w:marTop w:val="0"/>
      <w:marBottom w:val="0"/>
      <w:divBdr>
        <w:top w:val="none" w:sz="0" w:space="0" w:color="auto"/>
        <w:left w:val="none" w:sz="0" w:space="0" w:color="auto"/>
        <w:bottom w:val="none" w:sz="0" w:space="0" w:color="auto"/>
        <w:right w:val="none" w:sz="0" w:space="0" w:color="auto"/>
      </w:divBdr>
    </w:div>
    <w:div w:id="1874341336">
      <w:bodyDiv w:val="1"/>
      <w:marLeft w:val="0"/>
      <w:marRight w:val="0"/>
      <w:marTop w:val="0"/>
      <w:marBottom w:val="0"/>
      <w:divBdr>
        <w:top w:val="none" w:sz="0" w:space="0" w:color="auto"/>
        <w:left w:val="none" w:sz="0" w:space="0" w:color="auto"/>
        <w:bottom w:val="none" w:sz="0" w:space="0" w:color="auto"/>
        <w:right w:val="none" w:sz="0" w:space="0" w:color="auto"/>
      </w:divBdr>
    </w:div>
    <w:div w:id="1874808077">
      <w:bodyDiv w:val="1"/>
      <w:marLeft w:val="0"/>
      <w:marRight w:val="0"/>
      <w:marTop w:val="0"/>
      <w:marBottom w:val="0"/>
      <w:divBdr>
        <w:top w:val="none" w:sz="0" w:space="0" w:color="auto"/>
        <w:left w:val="none" w:sz="0" w:space="0" w:color="auto"/>
        <w:bottom w:val="none" w:sz="0" w:space="0" w:color="auto"/>
        <w:right w:val="none" w:sz="0" w:space="0" w:color="auto"/>
      </w:divBdr>
      <w:divsChild>
        <w:div w:id="223571247">
          <w:marLeft w:val="1166"/>
          <w:marRight w:val="0"/>
          <w:marTop w:val="134"/>
          <w:marBottom w:val="0"/>
          <w:divBdr>
            <w:top w:val="none" w:sz="0" w:space="0" w:color="auto"/>
            <w:left w:val="none" w:sz="0" w:space="0" w:color="auto"/>
            <w:bottom w:val="none" w:sz="0" w:space="0" w:color="auto"/>
            <w:right w:val="none" w:sz="0" w:space="0" w:color="auto"/>
          </w:divBdr>
        </w:div>
        <w:div w:id="650209283">
          <w:marLeft w:val="1166"/>
          <w:marRight w:val="0"/>
          <w:marTop w:val="134"/>
          <w:marBottom w:val="0"/>
          <w:divBdr>
            <w:top w:val="none" w:sz="0" w:space="0" w:color="auto"/>
            <w:left w:val="none" w:sz="0" w:space="0" w:color="auto"/>
            <w:bottom w:val="none" w:sz="0" w:space="0" w:color="auto"/>
            <w:right w:val="none" w:sz="0" w:space="0" w:color="auto"/>
          </w:divBdr>
        </w:div>
        <w:div w:id="1123233509">
          <w:marLeft w:val="547"/>
          <w:marRight w:val="0"/>
          <w:marTop w:val="154"/>
          <w:marBottom w:val="0"/>
          <w:divBdr>
            <w:top w:val="none" w:sz="0" w:space="0" w:color="auto"/>
            <w:left w:val="none" w:sz="0" w:space="0" w:color="auto"/>
            <w:bottom w:val="none" w:sz="0" w:space="0" w:color="auto"/>
            <w:right w:val="none" w:sz="0" w:space="0" w:color="auto"/>
          </w:divBdr>
        </w:div>
      </w:divsChild>
    </w:div>
    <w:div w:id="1875120377">
      <w:bodyDiv w:val="1"/>
      <w:marLeft w:val="0"/>
      <w:marRight w:val="0"/>
      <w:marTop w:val="0"/>
      <w:marBottom w:val="0"/>
      <w:divBdr>
        <w:top w:val="none" w:sz="0" w:space="0" w:color="auto"/>
        <w:left w:val="none" w:sz="0" w:space="0" w:color="auto"/>
        <w:bottom w:val="none" w:sz="0" w:space="0" w:color="auto"/>
        <w:right w:val="none" w:sz="0" w:space="0" w:color="auto"/>
      </w:divBdr>
    </w:div>
    <w:div w:id="1875385095">
      <w:bodyDiv w:val="1"/>
      <w:marLeft w:val="0"/>
      <w:marRight w:val="0"/>
      <w:marTop w:val="0"/>
      <w:marBottom w:val="0"/>
      <w:divBdr>
        <w:top w:val="none" w:sz="0" w:space="0" w:color="auto"/>
        <w:left w:val="none" w:sz="0" w:space="0" w:color="auto"/>
        <w:bottom w:val="none" w:sz="0" w:space="0" w:color="auto"/>
        <w:right w:val="none" w:sz="0" w:space="0" w:color="auto"/>
      </w:divBdr>
    </w:div>
    <w:div w:id="1877307730">
      <w:bodyDiv w:val="1"/>
      <w:marLeft w:val="0"/>
      <w:marRight w:val="0"/>
      <w:marTop w:val="0"/>
      <w:marBottom w:val="0"/>
      <w:divBdr>
        <w:top w:val="none" w:sz="0" w:space="0" w:color="auto"/>
        <w:left w:val="none" w:sz="0" w:space="0" w:color="auto"/>
        <w:bottom w:val="none" w:sz="0" w:space="0" w:color="auto"/>
        <w:right w:val="none" w:sz="0" w:space="0" w:color="auto"/>
      </w:divBdr>
    </w:div>
    <w:div w:id="1877428455">
      <w:bodyDiv w:val="1"/>
      <w:marLeft w:val="0"/>
      <w:marRight w:val="0"/>
      <w:marTop w:val="0"/>
      <w:marBottom w:val="0"/>
      <w:divBdr>
        <w:top w:val="none" w:sz="0" w:space="0" w:color="auto"/>
        <w:left w:val="none" w:sz="0" w:space="0" w:color="auto"/>
        <w:bottom w:val="none" w:sz="0" w:space="0" w:color="auto"/>
        <w:right w:val="none" w:sz="0" w:space="0" w:color="auto"/>
      </w:divBdr>
      <w:divsChild>
        <w:div w:id="110364271">
          <w:marLeft w:val="547"/>
          <w:marRight w:val="0"/>
          <w:marTop w:val="106"/>
          <w:marBottom w:val="0"/>
          <w:divBdr>
            <w:top w:val="none" w:sz="0" w:space="0" w:color="auto"/>
            <w:left w:val="none" w:sz="0" w:space="0" w:color="auto"/>
            <w:bottom w:val="none" w:sz="0" w:space="0" w:color="auto"/>
            <w:right w:val="none" w:sz="0" w:space="0" w:color="auto"/>
          </w:divBdr>
        </w:div>
        <w:div w:id="606231238">
          <w:marLeft w:val="1166"/>
          <w:marRight w:val="0"/>
          <w:marTop w:val="96"/>
          <w:marBottom w:val="0"/>
          <w:divBdr>
            <w:top w:val="none" w:sz="0" w:space="0" w:color="auto"/>
            <w:left w:val="none" w:sz="0" w:space="0" w:color="auto"/>
            <w:bottom w:val="none" w:sz="0" w:space="0" w:color="auto"/>
            <w:right w:val="none" w:sz="0" w:space="0" w:color="auto"/>
          </w:divBdr>
        </w:div>
        <w:div w:id="743262417">
          <w:marLeft w:val="547"/>
          <w:marRight w:val="0"/>
          <w:marTop w:val="106"/>
          <w:marBottom w:val="0"/>
          <w:divBdr>
            <w:top w:val="none" w:sz="0" w:space="0" w:color="auto"/>
            <w:left w:val="none" w:sz="0" w:space="0" w:color="auto"/>
            <w:bottom w:val="none" w:sz="0" w:space="0" w:color="auto"/>
            <w:right w:val="none" w:sz="0" w:space="0" w:color="auto"/>
          </w:divBdr>
        </w:div>
        <w:div w:id="1106119308">
          <w:marLeft w:val="1166"/>
          <w:marRight w:val="0"/>
          <w:marTop w:val="96"/>
          <w:marBottom w:val="0"/>
          <w:divBdr>
            <w:top w:val="none" w:sz="0" w:space="0" w:color="auto"/>
            <w:left w:val="none" w:sz="0" w:space="0" w:color="auto"/>
            <w:bottom w:val="none" w:sz="0" w:space="0" w:color="auto"/>
            <w:right w:val="none" w:sz="0" w:space="0" w:color="auto"/>
          </w:divBdr>
        </w:div>
        <w:div w:id="1128164185">
          <w:marLeft w:val="1166"/>
          <w:marRight w:val="0"/>
          <w:marTop w:val="96"/>
          <w:marBottom w:val="0"/>
          <w:divBdr>
            <w:top w:val="none" w:sz="0" w:space="0" w:color="auto"/>
            <w:left w:val="none" w:sz="0" w:space="0" w:color="auto"/>
            <w:bottom w:val="none" w:sz="0" w:space="0" w:color="auto"/>
            <w:right w:val="none" w:sz="0" w:space="0" w:color="auto"/>
          </w:divBdr>
        </w:div>
        <w:div w:id="1500656800">
          <w:marLeft w:val="1800"/>
          <w:marRight w:val="0"/>
          <w:marTop w:val="86"/>
          <w:marBottom w:val="0"/>
          <w:divBdr>
            <w:top w:val="none" w:sz="0" w:space="0" w:color="auto"/>
            <w:left w:val="none" w:sz="0" w:space="0" w:color="auto"/>
            <w:bottom w:val="none" w:sz="0" w:space="0" w:color="auto"/>
            <w:right w:val="none" w:sz="0" w:space="0" w:color="auto"/>
          </w:divBdr>
        </w:div>
        <w:div w:id="1910571603">
          <w:marLeft w:val="1166"/>
          <w:marRight w:val="0"/>
          <w:marTop w:val="96"/>
          <w:marBottom w:val="0"/>
          <w:divBdr>
            <w:top w:val="none" w:sz="0" w:space="0" w:color="auto"/>
            <w:left w:val="none" w:sz="0" w:space="0" w:color="auto"/>
            <w:bottom w:val="none" w:sz="0" w:space="0" w:color="auto"/>
            <w:right w:val="none" w:sz="0" w:space="0" w:color="auto"/>
          </w:divBdr>
        </w:div>
      </w:divsChild>
    </w:div>
    <w:div w:id="1877428634">
      <w:bodyDiv w:val="1"/>
      <w:marLeft w:val="0"/>
      <w:marRight w:val="0"/>
      <w:marTop w:val="0"/>
      <w:marBottom w:val="0"/>
      <w:divBdr>
        <w:top w:val="none" w:sz="0" w:space="0" w:color="auto"/>
        <w:left w:val="none" w:sz="0" w:space="0" w:color="auto"/>
        <w:bottom w:val="none" w:sz="0" w:space="0" w:color="auto"/>
        <w:right w:val="none" w:sz="0" w:space="0" w:color="auto"/>
      </w:divBdr>
    </w:div>
    <w:div w:id="1878469514">
      <w:bodyDiv w:val="1"/>
      <w:marLeft w:val="0"/>
      <w:marRight w:val="0"/>
      <w:marTop w:val="0"/>
      <w:marBottom w:val="0"/>
      <w:divBdr>
        <w:top w:val="none" w:sz="0" w:space="0" w:color="auto"/>
        <w:left w:val="none" w:sz="0" w:space="0" w:color="auto"/>
        <w:bottom w:val="none" w:sz="0" w:space="0" w:color="auto"/>
        <w:right w:val="none" w:sz="0" w:space="0" w:color="auto"/>
      </w:divBdr>
    </w:div>
    <w:div w:id="1879124300">
      <w:bodyDiv w:val="1"/>
      <w:marLeft w:val="0"/>
      <w:marRight w:val="0"/>
      <w:marTop w:val="0"/>
      <w:marBottom w:val="0"/>
      <w:divBdr>
        <w:top w:val="none" w:sz="0" w:space="0" w:color="auto"/>
        <w:left w:val="none" w:sz="0" w:space="0" w:color="auto"/>
        <w:bottom w:val="none" w:sz="0" w:space="0" w:color="auto"/>
        <w:right w:val="none" w:sz="0" w:space="0" w:color="auto"/>
      </w:divBdr>
    </w:div>
    <w:div w:id="1879969140">
      <w:bodyDiv w:val="1"/>
      <w:marLeft w:val="0"/>
      <w:marRight w:val="0"/>
      <w:marTop w:val="0"/>
      <w:marBottom w:val="0"/>
      <w:divBdr>
        <w:top w:val="none" w:sz="0" w:space="0" w:color="auto"/>
        <w:left w:val="none" w:sz="0" w:space="0" w:color="auto"/>
        <w:bottom w:val="none" w:sz="0" w:space="0" w:color="auto"/>
        <w:right w:val="none" w:sz="0" w:space="0" w:color="auto"/>
      </w:divBdr>
    </w:div>
    <w:div w:id="1880580531">
      <w:bodyDiv w:val="1"/>
      <w:marLeft w:val="0"/>
      <w:marRight w:val="0"/>
      <w:marTop w:val="0"/>
      <w:marBottom w:val="0"/>
      <w:divBdr>
        <w:top w:val="none" w:sz="0" w:space="0" w:color="auto"/>
        <w:left w:val="none" w:sz="0" w:space="0" w:color="auto"/>
        <w:bottom w:val="none" w:sz="0" w:space="0" w:color="auto"/>
        <w:right w:val="none" w:sz="0" w:space="0" w:color="auto"/>
      </w:divBdr>
    </w:div>
    <w:div w:id="1882472405">
      <w:bodyDiv w:val="1"/>
      <w:marLeft w:val="0"/>
      <w:marRight w:val="0"/>
      <w:marTop w:val="0"/>
      <w:marBottom w:val="0"/>
      <w:divBdr>
        <w:top w:val="none" w:sz="0" w:space="0" w:color="auto"/>
        <w:left w:val="none" w:sz="0" w:space="0" w:color="auto"/>
        <w:bottom w:val="none" w:sz="0" w:space="0" w:color="auto"/>
        <w:right w:val="none" w:sz="0" w:space="0" w:color="auto"/>
      </w:divBdr>
    </w:div>
    <w:div w:id="1882591139">
      <w:bodyDiv w:val="1"/>
      <w:marLeft w:val="0"/>
      <w:marRight w:val="0"/>
      <w:marTop w:val="0"/>
      <w:marBottom w:val="0"/>
      <w:divBdr>
        <w:top w:val="none" w:sz="0" w:space="0" w:color="auto"/>
        <w:left w:val="none" w:sz="0" w:space="0" w:color="auto"/>
        <w:bottom w:val="none" w:sz="0" w:space="0" w:color="auto"/>
        <w:right w:val="none" w:sz="0" w:space="0" w:color="auto"/>
      </w:divBdr>
    </w:div>
    <w:div w:id="1882785012">
      <w:bodyDiv w:val="1"/>
      <w:marLeft w:val="0"/>
      <w:marRight w:val="0"/>
      <w:marTop w:val="0"/>
      <w:marBottom w:val="0"/>
      <w:divBdr>
        <w:top w:val="none" w:sz="0" w:space="0" w:color="auto"/>
        <w:left w:val="none" w:sz="0" w:space="0" w:color="auto"/>
        <w:bottom w:val="none" w:sz="0" w:space="0" w:color="auto"/>
        <w:right w:val="none" w:sz="0" w:space="0" w:color="auto"/>
      </w:divBdr>
    </w:div>
    <w:div w:id="1883862427">
      <w:bodyDiv w:val="1"/>
      <w:marLeft w:val="0"/>
      <w:marRight w:val="0"/>
      <w:marTop w:val="0"/>
      <w:marBottom w:val="0"/>
      <w:divBdr>
        <w:top w:val="none" w:sz="0" w:space="0" w:color="auto"/>
        <w:left w:val="none" w:sz="0" w:space="0" w:color="auto"/>
        <w:bottom w:val="none" w:sz="0" w:space="0" w:color="auto"/>
        <w:right w:val="none" w:sz="0" w:space="0" w:color="auto"/>
      </w:divBdr>
    </w:div>
    <w:div w:id="1883901632">
      <w:bodyDiv w:val="1"/>
      <w:marLeft w:val="0"/>
      <w:marRight w:val="0"/>
      <w:marTop w:val="0"/>
      <w:marBottom w:val="0"/>
      <w:divBdr>
        <w:top w:val="none" w:sz="0" w:space="0" w:color="auto"/>
        <w:left w:val="none" w:sz="0" w:space="0" w:color="auto"/>
        <w:bottom w:val="none" w:sz="0" w:space="0" w:color="auto"/>
        <w:right w:val="none" w:sz="0" w:space="0" w:color="auto"/>
      </w:divBdr>
    </w:div>
    <w:div w:id="1884512341">
      <w:bodyDiv w:val="1"/>
      <w:marLeft w:val="0"/>
      <w:marRight w:val="0"/>
      <w:marTop w:val="0"/>
      <w:marBottom w:val="0"/>
      <w:divBdr>
        <w:top w:val="none" w:sz="0" w:space="0" w:color="auto"/>
        <w:left w:val="none" w:sz="0" w:space="0" w:color="auto"/>
        <w:bottom w:val="none" w:sz="0" w:space="0" w:color="auto"/>
        <w:right w:val="none" w:sz="0" w:space="0" w:color="auto"/>
      </w:divBdr>
    </w:div>
    <w:div w:id="1885941900">
      <w:bodyDiv w:val="1"/>
      <w:marLeft w:val="0"/>
      <w:marRight w:val="0"/>
      <w:marTop w:val="0"/>
      <w:marBottom w:val="0"/>
      <w:divBdr>
        <w:top w:val="none" w:sz="0" w:space="0" w:color="auto"/>
        <w:left w:val="none" w:sz="0" w:space="0" w:color="auto"/>
        <w:bottom w:val="none" w:sz="0" w:space="0" w:color="auto"/>
        <w:right w:val="none" w:sz="0" w:space="0" w:color="auto"/>
      </w:divBdr>
    </w:div>
    <w:div w:id="1886218220">
      <w:bodyDiv w:val="1"/>
      <w:marLeft w:val="0"/>
      <w:marRight w:val="0"/>
      <w:marTop w:val="0"/>
      <w:marBottom w:val="0"/>
      <w:divBdr>
        <w:top w:val="none" w:sz="0" w:space="0" w:color="auto"/>
        <w:left w:val="none" w:sz="0" w:space="0" w:color="auto"/>
        <w:bottom w:val="none" w:sz="0" w:space="0" w:color="auto"/>
        <w:right w:val="none" w:sz="0" w:space="0" w:color="auto"/>
      </w:divBdr>
      <w:divsChild>
        <w:div w:id="79910152">
          <w:marLeft w:val="1800"/>
          <w:marRight w:val="0"/>
          <w:marTop w:val="115"/>
          <w:marBottom w:val="0"/>
          <w:divBdr>
            <w:top w:val="none" w:sz="0" w:space="0" w:color="auto"/>
            <w:left w:val="none" w:sz="0" w:space="0" w:color="auto"/>
            <w:bottom w:val="none" w:sz="0" w:space="0" w:color="auto"/>
            <w:right w:val="none" w:sz="0" w:space="0" w:color="auto"/>
          </w:divBdr>
        </w:div>
        <w:div w:id="195894692">
          <w:marLeft w:val="1166"/>
          <w:marRight w:val="0"/>
          <w:marTop w:val="134"/>
          <w:marBottom w:val="0"/>
          <w:divBdr>
            <w:top w:val="none" w:sz="0" w:space="0" w:color="auto"/>
            <w:left w:val="none" w:sz="0" w:space="0" w:color="auto"/>
            <w:bottom w:val="none" w:sz="0" w:space="0" w:color="auto"/>
            <w:right w:val="none" w:sz="0" w:space="0" w:color="auto"/>
          </w:divBdr>
        </w:div>
        <w:div w:id="723259727">
          <w:marLeft w:val="1166"/>
          <w:marRight w:val="0"/>
          <w:marTop w:val="134"/>
          <w:marBottom w:val="0"/>
          <w:divBdr>
            <w:top w:val="none" w:sz="0" w:space="0" w:color="auto"/>
            <w:left w:val="none" w:sz="0" w:space="0" w:color="auto"/>
            <w:bottom w:val="none" w:sz="0" w:space="0" w:color="auto"/>
            <w:right w:val="none" w:sz="0" w:space="0" w:color="auto"/>
          </w:divBdr>
        </w:div>
        <w:div w:id="1081026294">
          <w:marLeft w:val="547"/>
          <w:marRight w:val="0"/>
          <w:marTop w:val="154"/>
          <w:marBottom w:val="0"/>
          <w:divBdr>
            <w:top w:val="none" w:sz="0" w:space="0" w:color="auto"/>
            <w:left w:val="none" w:sz="0" w:space="0" w:color="auto"/>
            <w:bottom w:val="none" w:sz="0" w:space="0" w:color="auto"/>
            <w:right w:val="none" w:sz="0" w:space="0" w:color="auto"/>
          </w:divBdr>
        </w:div>
        <w:div w:id="1368751246">
          <w:marLeft w:val="1166"/>
          <w:marRight w:val="0"/>
          <w:marTop w:val="134"/>
          <w:marBottom w:val="0"/>
          <w:divBdr>
            <w:top w:val="none" w:sz="0" w:space="0" w:color="auto"/>
            <w:left w:val="none" w:sz="0" w:space="0" w:color="auto"/>
            <w:bottom w:val="none" w:sz="0" w:space="0" w:color="auto"/>
            <w:right w:val="none" w:sz="0" w:space="0" w:color="auto"/>
          </w:divBdr>
        </w:div>
        <w:div w:id="1593081284">
          <w:marLeft w:val="1166"/>
          <w:marRight w:val="0"/>
          <w:marTop w:val="134"/>
          <w:marBottom w:val="0"/>
          <w:divBdr>
            <w:top w:val="none" w:sz="0" w:space="0" w:color="auto"/>
            <w:left w:val="none" w:sz="0" w:space="0" w:color="auto"/>
            <w:bottom w:val="none" w:sz="0" w:space="0" w:color="auto"/>
            <w:right w:val="none" w:sz="0" w:space="0" w:color="auto"/>
          </w:divBdr>
        </w:div>
        <w:div w:id="1674913223">
          <w:marLeft w:val="1166"/>
          <w:marRight w:val="0"/>
          <w:marTop w:val="134"/>
          <w:marBottom w:val="0"/>
          <w:divBdr>
            <w:top w:val="none" w:sz="0" w:space="0" w:color="auto"/>
            <w:left w:val="none" w:sz="0" w:space="0" w:color="auto"/>
            <w:bottom w:val="none" w:sz="0" w:space="0" w:color="auto"/>
            <w:right w:val="none" w:sz="0" w:space="0" w:color="auto"/>
          </w:divBdr>
        </w:div>
        <w:div w:id="1754008046">
          <w:marLeft w:val="1166"/>
          <w:marRight w:val="0"/>
          <w:marTop w:val="134"/>
          <w:marBottom w:val="0"/>
          <w:divBdr>
            <w:top w:val="none" w:sz="0" w:space="0" w:color="auto"/>
            <w:left w:val="none" w:sz="0" w:space="0" w:color="auto"/>
            <w:bottom w:val="none" w:sz="0" w:space="0" w:color="auto"/>
            <w:right w:val="none" w:sz="0" w:space="0" w:color="auto"/>
          </w:divBdr>
        </w:div>
        <w:div w:id="1893423091">
          <w:marLeft w:val="1800"/>
          <w:marRight w:val="0"/>
          <w:marTop w:val="115"/>
          <w:marBottom w:val="0"/>
          <w:divBdr>
            <w:top w:val="none" w:sz="0" w:space="0" w:color="auto"/>
            <w:left w:val="none" w:sz="0" w:space="0" w:color="auto"/>
            <w:bottom w:val="none" w:sz="0" w:space="0" w:color="auto"/>
            <w:right w:val="none" w:sz="0" w:space="0" w:color="auto"/>
          </w:divBdr>
        </w:div>
        <w:div w:id="2056854669">
          <w:marLeft w:val="1166"/>
          <w:marRight w:val="0"/>
          <w:marTop w:val="134"/>
          <w:marBottom w:val="0"/>
          <w:divBdr>
            <w:top w:val="none" w:sz="0" w:space="0" w:color="auto"/>
            <w:left w:val="none" w:sz="0" w:space="0" w:color="auto"/>
            <w:bottom w:val="none" w:sz="0" w:space="0" w:color="auto"/>
            <w:right w:val="none" w:sz="0" w:space="0" w:color="auto"/>
          </w:divBdr>
        </w:div>
      </w:divsChild>
    </w:div>
    <w:div w:id="1889491735">
      <w:bodyDiv w:val="1"/>
      <w:marLeft w:val="0"/>
      <w:marRight w:val="0"/>
      <w:marTop w:val="0"/>
      <w:marBottom w:val="0"/>
      <w:divBdr>
        <w:top w:val="none" w:sz="0" w:space="0" w:color="auto"/>
        <w:left w:val="none" w:sz="0" w:space="0" w:color="auto"/>
        <w:bottom w:val="none" w:sz="0" w:space="0" w:color="auto"/>
        <w:right w:val="none" w:sz="0" w:space="0" w:color="auto"/>
      </w:divBdr>
    </w:div>
    <w:div w:id="1889799188">
      <w:bodyDiv w:val="1"/>
      <w:marLeft w:val="0"/>
      <w:marRight w:val="0"/>
      <w:marTop w:val="0"/>
      <w:marBottom w:val="0"/>
      <w:divBdr>
        <w:top w:val="none" w:sz="0" w:space="0" w:color="auto"/>
        <w:left w:val="none" w:sz="0" w:space="0" w:color="auto"/>
        <w:bottom w:val="none" w:sz="0" w:space="0" w:color="auto"/>
        <w:right w:val="none" w:sz="0" w:space="0" w:color="auto"/>
      </w:divBdr>
      <w:divsChild>
        <w:div w:id="571964539">
          <w:marLeft w:val="547"/>
          <w:marRight w:val="0"/>
          <w:marTop w:val="115"/>
          <w:marBottom w:val="0"/>
          <w:divBdr>
            <w:top w:val="none" w:sz="0" w:space="0" w:color="auto"/>
            <w:left w:val="none" w:sz="0" w:space="0" w:color="auto"/>
            <w:bottom w:val="none" w:sz="0" w:space="0" w:color="auto"/>
            <w:right w:val="none" w:sz="0" w:space="0" w:color="auto"/>
          </w:divBdr>
        </w:div>
        <w:div w:id="657340846">
          <w:marLeft w:val="547"/>
          <w:marRight w:val="0"/>
          <w:marTop w:val="115"/>
          <w:marBottom w:val="0"/>
          <w:divBdr>
            <w:top w:val="none" w:sz="0" w:space="0" w:color="auto"/>
            <w:left w:val="none" w:sz="0" w:space="0" w:color="auto"/>
            <w:bottom w:val="none" w:sz="0" w:space="0" w:color="auto"/>
            <w:right w:val="none" w:sz="0" w:space="0" w:color="auto"/>
          </w:divBdr>
        </w:div>
        <w:div w:id="1119182204">
          <w:marLeft w:val="1166"/>
          <w:marRight w:val="0"/>
          <w:marTop w:val="96"/>
          <w:marBottom w:val="0"/>
          <w:divBdr>
            <w:top w:val="none" w:sz="0" w:space="0" w:color="auto"/>
            <w:left w:val="none" w:sz="0" w:space="0" w:color="auto"/>
            <w:bottom w:val="none" w:sz="0" w:space="0" w:color="auto"/>
            <w:right w:val="none" w:sz="0" w:space="0" w:color="auto"/>
          </w:divBdr>
        </w:div>
      </w:divsChild>
    </w:div>
    <w:div w:id="1890216838">
      <w:bodyDiv w:val="1"/>
      <w:marLeft w:val="0"/>
      <w:marRight w:val="0"/>
      <w:marTop w:val="0"/>
      <w:marBottom w:val="0"/>
      <w:divBdr>
        <w:top w:val="none" w:sz="0" w:space="0" w:color="auto"/>
        <w:left w:val="none" w:sz="0" w:space="0" w:color="auto"/>
        <w:bottom w:val="none" w:sz="0" w:space="0" w:color="auto"/>
        <w:right w:val="none" w:sz="0" w:space="0" w:color="auto"/>
      </w:divBdr>
      <w:divsChild>
        <w:div w:id="651953235">
          <w:marLeft w:val="547"/>
          <w:marRight w:val="0"/>
          <w:marTop w:val="144"/>
          <w:marBottom w:val="0"/>
          <w:divBdr>
            <w:top w:val="none" w:sz="0" w:space="0" w:color="auto"/>
            <w:left w:val="none" w:sz="0" w:space="0" w:color="auto"/>
            <w:bottom w:val="none" w:sz="0" w:space="0" w:color="auto"/>
            <w:right w:val="none" w:sz="0" w:space="0" w:color="auto"/>
          </w:divBdr>
        </w:div>
        <w:div w:id="795879296">
          <w:marLeft w:val="1166"/>
          <w:marRight w:val="0"/>
          <w:marTop w:val="125"/>
          <w:marBottom w:val="0"/>
          <w:divBdr>
            <w:top w:val="none" w:sz="0" w:space="0" w:color="auto"/>
            <w:left w:val="none" w:sz="0" w:space="0" w:color="auto"/>
            <w:bottom w:val="none" w:sz="0" w:space="0" w:color="auto"/>
            <w:right w:val="none" w:sz="0" w:space="0" w:color="auto"/>
          </w:divBdr>
        </w:div>
        <w:div w:id="1088768403">
          <w:marLeft w:val="1800"/>
          <w:marRight w:val="0"/>
          <w:marTop w:val="106"/>
          <w:marBottom w:val="0"/>
          <w:divBdr>
            <w:top w:val="none" w:sz="0" w:space="0" w:color="auto"/>
            <w:left w:val="none" w:sz="0" w:space="0" w:color="auto"/>
            <w:bottom w:val="none" w:sz="0" w:space="0" w:color="auto"/>
            <w:right w:val="none" w:sz="0" w:space="0" w:color="auto"/>
          </w:divBdr>
        </w:div>
        <w:div w:id="1338270520">
          <w:marLeft w:val="1166"/>
          <w:marRight w:val="0"/>
          <w:marTop w:val="125"/>
          <w:marBottom w:val="0"/>
          <w:divBdr>
            <w:top w:val="none" w:sz="0" w:space="0" w:color="auto"/>
            <w:left w:val="none" w:sz="0" w:space="0" w:color="auto"/>
            <w:bottom w:val="none" w:sz="0" w:space="0" w:color="auto"/>
            <w:right w:val="none" w:sz="0" w:space="0" w:color="auto"/>
          </w:divBdr>
        </w:div>
        <w:div w:id="1786340339">
          <w:marLeft w:val="547"/>
          <w:marRight w:val="0"/>
          <w:marTop w:val="144"/>
          <w:marBottom w:val="0"/>
          <w:divBdr>
            <w:top w:val="none" w:sz="0" w:space="0" w:color="auto"/>
            <w:left w:val="none" w:sz="0" w:space="0" w:color="auto"/>
            <w:bottom w:val="none" w:sz="0" w:space="0" w:color="auto"/>
            <w:right w:val="none" w:sz="0" w:space="0" w:color="auto"/>
          </w:divBdr>
        </w:div>
        <w:div w:id="1965187934">
          <w:marLeft w:val="1166"/>
          <w:marRight w:val="0"/>
          <w:marTop w:val="125"/>
          <w:marBottom w:val="0"/>
          <w:divBdr>
            <w:top w:val="none" w:sz="0" w:space="0" w:color="auto"/>
            <w:left w:val="none" w:sz="0" w:space="0" w:color="auto"/>
            <w:bottom w:val="none" w:sz="0" w:space="0" w:color="auto"/>
            <w:right w:val="none" w:sz="0" w:space="0" w:color="auto"/>
          </w:divBdr>
        </w:div>
      </w:divsChild>
    </w:div>
    <w:div w:id="1891532330">
      <w:bodyDiv w:val="1"/>
      <w:marLeft w:val="0"/>
      <w:marRight w:val="0"/>
      <w:marTop w:val="0"/>
      <w:marBottom w:val="0"/>
      <w:divBdr>
        <w:top w:val="none" w:sz="0" w:space="0" w:color="auto"/>
        <w:left w:val="none" w:sz="0" w:space="0" w:color="auto"/>
        <w:bottom w:val="none" w:sz="0" w:space="0" w:color="auto"/>
        <w:right w:val="none" w:sz="0" w:space="0" w:color="auto"/>
      </w:divBdr>
    </w:div>
    <w:div w:id="1891961635">
      <w:bodyDiv w:val="1"/>
      <w:marLeft w:val="0"/>
      <w:marRight w:val="0"/>
      <w:marTop w:val="0"/>
      <w:marBottom w:val="0"/>
      <w:divBdr>
        <w:top w:val="none" w:sz="0" w:space="0" w:color="auto"/>
        <w:left w:val="none" w:sz="0" w:space="0" w:color="auto"/>
        <w:bottom w:val="none" w:sz="0" w:space="0" w:color="auto"/>
        <w:right w:val="none" w:sz="0" w:space="0" w:color="auto"/>
      </w:divBdr>
      <w:divsChild>
        <w:div w:id="1538926651">
          <w:marLeft w:val="1166"/>
          <w:marRight w:val="0"/>
          <w:marTop w:val="134"/>
          <w:marBottom w:val="0"/>
          <w:divBdr>
            <w:top w:val="none" w:sz="0" w:space="0" w:color="auto"/>
            <w:left w:val="none" w:sz="0" w:space="0" w:color="auto"/>
            <w:bottom w:val="none" w:sz="0" w:space="0" w:color="auto"/>
            <w:right w:val="none" w:sz="0" w:space="0" w:color="auto"/>
          </w:divBdr>
        </w:div>
        <w:div w:id="2034501501">
          <w:marLeft w:val="547"/>
          <w:marRight w:val="0"/>
          <w:marTop w:val="154"/>
          <w:marBottom w:val="0"/>
          <w:divBdr>
            <w:top w:val="none" w:sz="0" w:space="0" w:color="auto"/>
            <w:left w:val="none" w:sz="0" w:space="0" w:color="auto"/>
            <w:bottom w:val="none" w:sz="0" w:space="0" w:color="auto"/>
            <w:right w:val="none" w:sz="0" w:space="0" w:color="auto"/>
          </w:divBdr>
        </w:div>
      </w:divsChild>
    </w:div>
    <w:div w:id="1891963887">
      <w:bodyDiv w:val="1"/>
      <w:marLeft w:val="0"/>
      <w:marRight w:val="0"/>
      <w:marTop w:val="0"/>
      <w:marBottom w:val="0"/>
      <w:divBdr>
        <w:top w:val="none" w:sz="0" w:space="0" w:color="auto"/>
        <w:left w:val="none" w:sz="0" w:space="0" w:color="auto"/>
        <w:bottom w:val="none" w:sz="0" w:space="0" w:color="auto"/>
        <w:right w:val="none" w:sz="0" w:space="0" w:color="auto"/>
      </w:divBdr>
    </w:div>
    <w:div w:id="1892619330">
      <w:bodyDiv w:val="1"/>
      <w:marLeft w:val="0"/>
      <w:marRight w:val="0"/>
      <w:marTop w:val="0"/>
      <w:marBottom w:val="0"/>
      <w:divBdr>
        <w:top w:val="none" w:sz="0" w:space="0" w:color="auto"/>
        <w:left w:val="none" w:sz="0" w:space="0" w:color="auto"/>
        <w:bottom w:val="none" w:sz="0" w:space="0" w:color="auto"/>
        <w:right w:val="none" w:sz="0" w:space="0" w:color="auto"/>
      </w:divBdr>
      <w:divsChild>
        <w:div w:id="195894874">
          <w:marLeft w:val="1800"/>
          <w:marRight w:val="0"/>
          <w:marTop w:val="77"/>
          <w:marBottom w:val="0"/>
          <w:divBdr>
            <w:top w:val="none" w:sz="0" w:space="0" w:color="auto"/>
            <w:left w:val="none" w:sz="0" w:space="0" w:color="auto"/>
            <w:bottom w:val="none" w:sz="0" w:space="0" w:color="auto"/>
            <w:right w:val="none" w:sz="0" w:space="0" w:color="auto"/>
          </w:divBdr>
        </w:div>
        <w:div w:id="298342724">
          <w:marLeft w:val="1166"/>
          <w:marRight w:val="0"/>
          <w:marTop w:val="86"/>
          <w:marBottom w:val="0"/>
          <w:divBdr>
            <w:top w:val="none" w:sz="0" w:space="0" w:color="auto"/>
            <w:left w:val="none" w:sz="0" w:space="0" w:color="auto"/>
            <w:bottom w:val="none" w:sz="0" w:space="0" w:color="auto"/>
            <w:right w:val="none" w:sz="0" w:space="0" w:color="auto"/>
          </w:divBdr>
        </w:div>
        <w:div w:id="972365281">
          <w:marLeft w:val="1800"/>
          <w:marRight w:val="0"/>
          <w:marTop w:val="77"/>
          <w:marBottom w:val="0"/>
          <w:divBdr>
            <w:top w:val="none" w:sz="0" w:space="0" w:color="auto"/>
            <w:left w:val="none" w:sz="0" w:space="0" w:color="auto"/>
            <w:bottom w:val="none" w:sz="0" w:space="0" w:color="auto"/>
            <w:right w:val="none" w:sz="0" w:space="0" w:color="auto"/>
          </w:divBdr>
        </w:div>
        <w:div w:id="1012537198">
          <w:marLeft w:val="547"/>
          <w:marRight w:val="0"/>
          <w:marTop w:val="96"/>
          <w:marBottom w:val="0"/>
          <w:divBdr>
            <w:top w:val="none" w:sz="0" w:space="0" w:color="auto"/>
            <w:left w:val="none" w:sz="0" w:space="0" w:color="auto"/>
            <w:bottom w:val="none" w:sz="0" w:space="0" w:color="auto"/>
            <w:right w:val="none" w:sz="0" w:space="0" w:color="auto"/>
          </w:divBdr>
        </w:div>
        <w:div w:id="1075081381">
          <w:marLeft w:val="547"/>
          <w:marRight w:val="0"/>
          <w:marTop w:val="96"/>
          <w:marBottom w:val="0"/>
          <w:divBdr>
            <w:top w:val="none" w:sz="0" w:space="0" w:color="auto"/>
            <w:left w:val="none" w:sz="0" w:space="0" w:color="auto"/>
            <w:bottom w:val="none" w:sz="0" w:space="0" w:color="auto"/>
            <w:right w:val="none" w:sz="0" w:space="0" w:color="auto"/>
          </w:divBdr>
        </w:div>
        <w:div w:id="1201437620">
          <w:marLeft w:val="1800"/>
          <w:marRight w:val="0"/>
          <w:marTop w:val="77"/>
          <w:marBottom w:val="0"/>
          <w:divBdr>
            <w:top w:val="none" w:sz="0" w:space="0" w:color="auto"/>
            <w:left w:val="none" w:sz="0" w:space="0" w:color="auto"/>
            <w:bottom w:val="none" w:sz="0" w:space="0" w:color="auto"/>
            <w:right w:val="none" w:sz="0" w:space="0" w:color="auto"/>
          </w:divBdr>
        </w:div>
        <w:div w:id="1252616959">
          <w:marLeft w:val="1800"/>
          <w:marRight w:val="0"/>
          <w:marTop w:val="77"/>
          <w:marBottom w:val="0"/>
          <w:divBdr>
            <w:top w:val="none" w:sz="0" w:space="0" w:color="auto"/>
            <w:left w:val="none" w:sz="0" w:space="0" w:color="auto"/>
            <w:bottom w:val="none" w:sz="0" w:space="0" w:color="auto"/>
            <w:right w:val="none" w:sz="0" w:space="0" w:color="auto"/>
          </w:divBdr>
        </w:div>
        <w:div w:id="1389378252">
          <w:marLeft w:val="1166"/>
          <w:marRight w:val="0"/>
          <w:marTop w:val="86"/>
          <w:marBottom w:val="0"/>
          <w:divBdr>
            <w:top w:val="none" w:sz="0" w:space="0" w:color="auto"/>
            <w:left w:val="none" w:sz="0" w:space="0" w:color="auto"/>
            <w:bottom w:val="none" w:sz="0" w:space="0" w:color="auto"/>
            <w:right w:val="none" w:sz="0" w:space="0" w:color="auto"/>
          </w:divBdr>
        </w:div>
        <w:div w:id="1611278962">
          <w:marLeft w:val="1166"/>
          <w:marRight w:val="0"/>
          <w:marTop w:val="86"/>
          <w:marBottom w:val="0"/>
          <w:divBdr>
            <w:top w:val="none" w:sz="0" w:space="0" w:color="auto"/>
            <w:left w:val="none" w:sz="0" w:space="0" w:color="auto"/>
            <w:bottom w:val="none" w:sz="0" w:space="0" w:color="auto"/>
            <w:right w:val="none" w:sz="0" w:space="0" w:color="auto"/>
          </w:divBdr>
        </w:div>
      </w:divsChild>
    </w:div>
    <w:div w:id="1893349245">
      <w:bodyDiv w:val="1"/>
      <w:marLeft w:val="0"/>
      <w:marRight w:val="0"/>
      <w:marTop w:val="0"/>
      <w:marBottom w:val="0"/>
      <w:divBdr>
        <w:top w:val="none" w:sz="0" w:space="0" w:color="auto"/>
        <w:left w:val="none" w:sz="0" w:space="0" w:color="auto"/>
        <w:bottom w:val="none" w:sz="0" w:space="0" w:color="auto"/>
        <w:right w:val="none" w:sz="0" w:space="0" w:color="auto"/>
      </w:divBdr>
    </w:div>
    <w:div w:id="1893491944">
      <w:bodyDiv w:val="1"/>
      <w:marLeft w:val="0"/>
      <w:marRight w:val="0"/>
      <w:marTop w:val="0"/>
      <w:marBottom w:val="0"/>
      <w:divBdr>
        <w:top w:val="none" w:sz="0" w:space="0" w:color="auto"/>
        <w:left w:val="none" w:sz="0" w:space="0" w:color="auto"/>
        <w:bottom w:val="none" w:sz="0" w:space="0" w:color="auto"/>
        <w:right w:val="none" w:sz="0" w:space="0" w:color="auto"/>
      </w:divBdr>
      <w:divsChild>
        <w:div w:id="403451342">
          <w:marLeft w:val="1080"/>
          <w:marRight w:val="0"/>
          <w:marTop w:val="100"/>
          <w:marBottom w:val="0"/>
          <w:divBdr>
            <w:top w:val="none" w:sz="0" w:space="0" w:color="auto"/>
            <w:left w:val="none" w:sz="0" w:space="0" w:color="auto"/>
            <w:bottom w:val="none" w:sz="0" w:space="0" w:color="auto"/>
            <w:right w:val="none" w:sz="0" w:space="0" w:color="auto"/>
          </w:divBdr>
        </w:div>
        <w:div w:id="417945868">
          <w:marLeft w:val="360"/>
          <w:marRight w:val="0"/>
          <w:marTop w:val="200"/>
          <w:marBottom w:val="0"/>
          <w:divBdr>
            <w:top w:val="none" w:sz="0" w:space="0" w:color="auto"/>
            <w:left w:val="none" w:sz="0" w:space="0" w:color="auto"/>
            <w:bottom w:val="none" w:sz="0" w:space="0" w:color="auto"/>
            <w:right w:val="none" w:sz="0" w:space="0" w:color="auto"/>
          </w:divBdr>
        </w:div>
        <w:div w:id="893855104">
          <w:marLeft w:val="1080"/>
          <w:marRight w:val="0"/>
          <w:marTop w:val="100"/>
          <w:marBottom w:val="0"/>
          <w:divBdr>
            <w:top w:val="none" w:sz="0" w:space="0" w:color="auto"/>
            <w:left w:val="none" w:sz="0" w:space="0" w:color="auto"/>
            <w:bottom w:val="none" w:sz="0" w:space="0" w:color="auto"/>
            <w:right w:val="none" w:sz="0" w:space="0" w:color="auto"/>
          </w:divBdr>
        </w:div>
        <w:div w:id="1489707046">
          <w:marLeft w:val="1800"/>
          <w:marRight w:val="0"/>
          <w:marTop w:val="100"/>
          <w:marBottom w:val="0"/>
          <w:divBdr>
            <w:top w:val="none" w:sz="0" w:space="0" w:color="auto"/>
            <w:left w:val="none" w:sz="0" w:space="0" w:color="auto"/>
            <w:bottom w:val="none" w:sz="0" w:space="0" w:color="auto"/>
            <w:right w:val="none" w:sz="0" w:space="0" w:color="auto"/>
          </w:divBdr>
        </w:div>
        <w:div w:id="1831822600">
          <w:marLeft w:val="1800"/>
          <w:marRight w:val="0"/>
          <w:marTop w:val="100"/>
          <w:marBottom w:val="0"/>
          <w:divBdr>
            <w:top w:val="none" w:sz="0" w:space="0" w:color="auto"/>
            <w:left w:val="none" w:sz="0" w:space="0" w:color="auto"/>
            <w:bottom w:val="none" w:sz="0" w:space="0" w:color="auto"/>
            <w:right w:val="none" w:sz="0" w:space="0" w:color="auto"/>
          </w:divBdr>
        </w:div>
      </w:divsChild>
    </w:div>
    <w:div w:id="1894851140">
      <w:bodyDiv w:val="1"/>
      <w:marLeft w:val="0"/>
      <w:marRight w:val="0"/>
      <w:marTop w:val="0"/>
      <w:marBottom w:val="0"/>
      <w:divBdr>
        <w:top w:val="none" w:sz="0" w:space="0" w:color="auto"/>
        <w:left w:val="none" w:sz="0" w:space="0" w:color="auto"/>
        <w:bottom w:val="none" w:sz="0" w:space="0" w:color="auto"/>
        <w:right w:val="none" w:sz="0" w:space="0" w:color="auto"/>
      </w:divBdr>
      <w:divsChild>
        <w:div w:id="12997560">
          <w:marLeft w:val="547"/>
          <w:marRight w:val="0"/>
          <w:marTop w:val="154"/>
          <w:marBottom w:val="0"/>
          <w:divBdr>
            <w:top w:val="none" w:sz="0" w:space="0" w:color="auto"/>
            <w:left w:val="none" w:sz="0" w:space="0" w:color="auto"/>
            <w:bottom w:val="none" w:sz="0" w:space="0" w:color="auto"/>
            <w:right w:val="none" w:sz="0" w:space="0" w:color="auto"/>
          </w:divBdr>
        </w:div>
        <w:div w:id="500632314">
          <w:marLeft w:val="1166"/>
          <w:marRight w:val="0"/>
          <w:marTop w:val="134"/>
          <w:marBottom w:val="0"/>
          <w:divBdr>
            <w:top w:val="none" w:sz="0" w:space="0" w:color="auto"/>
            <w:left w:val="none" w:sz="0" w:space="0" w:color="auto"/>
            <w:bottom w:val="none" w:sz="0" w:space="0" w:color="auto"/>
            <w:right w:val="none" w:sz="0" w:space="0" w:color="auto"/>
          </w:divBdr>
        </w:div>
        <w:div w:id="1614898396">
          <w:marLeft w:val="1166"/>
          <w:marRight w:val="0"/>
          <w:marTop w:val="134"/>
          <w:marBottom w:val="0"/>
          <w:divBdr>
            <w:top w:val="none" w:sz="0" w:space="0" w:color="auto"/>
            <w:left w:val="none" w:sz="0" w:space="0" w:color="auto"/>
            <w:bottom w:val="none" w:sz="0" w:space="0" w:color="auto"/>
            <w:right w:val="none" w:sz="0" w:space="0" w:color="auto"/>
          </w:divBdr>
        </w:div>
      </w:divsChild>
    </w:div>
    <w:div w:id="1894999811">
      <w:bodyDiv w:val="1"/>
      <w:marLeft w:val="0"/>
      <w:marRight w:val="0"/>
      <w:marTop w:val="0"/>
      <w:marBottom w:val="0"/>
      <w:divBdr>
        <w:top w:val="none" w:sz="0" w:space="0" w:color="auto"/>
        <w:left w:val="none" w:sz="0" w:space="0" w:color="auto"/>
        <w:bottom w:val="none" w:sz="0" w:space="0" w:color="auto"/>
        <w:right w:val="none" w:sz="0" w:space="0" w:color="auto"/>
      </w:divBdr>
    </w:div>
    <w:div w:id="1895040550">
      <w:bodyDiv w:val="1"/>
      <w:marLeft w:val="0"/>
      <w:marRight w:val="0"/>
      <w:marTop w:val="0"/>
      <w:marBottom w:val="0"/>
      <w:divBdr>
        <w:top w:val="none" w:sz="0" w:space="0" w:color="auto"/>
        <w:left w:val="none" w:sz="0" w:space="0" w:color="auto"/>
        <w:bottom w:val="none" w:sz="0" w:space="0" w:color="auto"/>
        <w:right w:val="none" w:sz="0" w:space="0" w:color="auto"/>
      </w:divBdr>
    </w:div>
    <w:div w:id="1896157142">
      <w:bodyDiv w:val="1"/>
      <w:marLeft w:val="0"/>
      <w:marRight w:val="0"/>
      <w:marTop w:val="0"/>
      <w:marBottom w:val="0"/>
      <w:divBdr>
        <w:top w:val="none" w:sz="0" w:space="0" w:color="auto"/>
        <w:left w:val="none" w:sz="0" w:space="0" w:color="auto"/>
        <w:bottom w:val="none" w:sz="0" w:space="0" w:color="auto"/>
        <w:right w:val="none" w:sz="0" w:space="0" w:color="auto"/>
      </w:divBdr>
      <w:divsChild>
        <w:div w:id="830097526">
          <w:marLeft w:val="1080"/>
          <w:marRight w:val="0"/>
          <w:marTop w:val="100"/>
          <w:marBottom w:val="0"/>
          <w:divBdr>
            <w:top w:val="none" w:sz="0" w:space="0" w:color="auto"/>
            <w:left w:val="none" w:sz="0" w:space="0" w:color="auto"/>
            <w:bottom w:val="none" w:sz="0" w:space="0" w:color="auto"/>
            <w:right w:val="none" w:sz="0" w:space="0" w:color="auto"/>
          </w:divBdr>
        </w:div>
        <w:div w:id="1035085326">
          <w:marLeft w:val="1800"/>
          <w:marRight w:val="0"/>
          <w:marTop w:val="100"/>
          <w:marBottom w:val="0"/>
          <w:divBdr>
            <w:top w:val="none" w:sz="0" w:space="0" w:color="auto"/>
            <w:left w:val="none" w:sz="0" w:space="0" w:color="auto"/>
            <w:bottom w:val="none" w:sz="0" w:space="0" w:color="auto"/>
            <w:right w:val="none" w:sz="0" w:space="0" w:color="auto"/>
          </w:divBdr>
        </w:div>
        <w:div w:id="1237671376">
          <w:marLeft w:val="360"/>
          <w:marRight w:val="0"/>
          <w:marTop w:val="200"/>
          <w:marBottom w:val="0"/>
          <w:divBdr>
            <w:top w:val="none" w:sz="0" w:space="0" w:color="auto"/>
            <w:left w:val="none" w:sz="0" w:space="0" w:color="auto"/>
            <w:bottom w:val="none" w:sz="0" w:space="0" w:color="auto"/>
            <w:right w:val="none" w:sz="0" w:space="0" w:color="auto"/>
          </w:divBdr>
        </w:div>
        <w:div w:id="1362776474">
          <w:marLeft w:val="1080"/>
          <w:marRight w:val="0"/>
          <w:marTop w:val="100"/>
          <w:marBottom w:val="0"/>
          <w:divBdr>
            <w:top w:val="none" w:sz="0" w:space="0" w:color="auto"/>
            <w:left w:val="none" w:sz="0" w:space="0" w:color="auto"/>
            <w:bottom w:val="none" w:sz="0" w:space="0" w:color="auto"/>
            <w:right w:val="none" w:sz="0" w:space="0" w:color="auto"/>
          </w:divBdr>
        </w:div>
        <w:div w:id="1429621592">
          <w:marLeft w:val="360"/>
          <w:marRight w:val="0"/>
          <w:marTop w:val="200"/>
          <w:marBottom w:val="0"/>
          <w:divBdr>
            <w:top w:val="none" w:sz="0" w:space="0" w:color="auto"/>
            <w:left w:val="none" w:sz="0" w:space="0" w:color="auto"/>
            <w:bottom w:val="none" w:sz="0" w:space="0" w:color="auto"/>
            <w:right w:val="none" w:sz="0" w:space="0" w:color="auto"/>
          </w:divBdr>
        </w:div>
        <w:div w:id="1934851044">
          <w:marLeft w:val="1080"/>
          <w:marRight w:val="0"/>
          <w:marTop w:val="100"/>
          <w:marBottom w:val="0"/>
          <w:divBdr>
            <w:top w:val="none" w:sz="0" w:space="0" w:color="auto"/>
            <w:left w:val="none" w:sz="0" w:space="0" w:color="auto"/>
            <w:bottom w:val="none" w:sz="0" w:space="0" w:color="auto"/>
            <w:right w:val="none" w:sz="0" w:space="0" w:color="auto"/>
          </w:divBdr>
        </w:div>
      </w:divsChild>
    </w:div>
    <w:div w:id="1896693472">
      <w:bodyDiv w:val="1"/>
      <w:marLeft w:val="0"/>
      <w:marRight w:val="0"/>
      <w:marTop w:val="0"/>
      <w:marBottom w:val="0"/>
      <w:divBdr>
        <w:top w:val="none" w:sz="0" w:space="0" w:color="auto"/>
        <w:left w:val="none" w:sz="0" w:space="0" w:color="auto"/>
        <w:bottom w:val="none" w:sz="0" w:space="0" w:color="auto"/>
        <w:right w:val="none" w:sz="0" w:space="0" w:color="auto"/>
      </w:divBdr>
    </w:div>
    <w:div w:id="1897273532">
      <w:bodyDiv w:val="1"/>
      <w:marLeft w:val="0"/>
      <w:marRight w:val="0"/>
      <w:marTop w:val="0"/>
      <w:marBottom w:val="0"/>
      <w:divBdr>
        <w:top w:val="none" w:sz="0" w:space="0" w:color="auto"/>
        <w:left w:val="none" w:sz="0" w:space="0" w:color="auto"/>
        <w:bottom w:val="none" w:sz="0" w:space="0" w:color="auto"/>
        <w:right w:val="none" w:sz="0" w:space="0" w:color="auto"/>
      </w:divBdr>
    </w:div>
    <w:div w:id="1898779829">
      <w:bodyDiv w:val="1"/>
      <w:marLeft w:val="0"/>
      <w:marRight w:val="0"/>
      <w:marTop w:val="0"/>
      <w:marBottom w:val="0"/>
      <w:divBdr>
        <w:top w:val="none" w:sz="0" w:space="0" w:color="auto"/>
        <w:left w:val="none" w:sz="0" w:space="0" w:color="auto"/>
        <w:bottom w:val="none" w:sz="0" w:space="0" w:color="auto"/>
        <w:right w:val="none" w:sz="0" w:space="0" w:color="auto"/>
      </w:divBdr>
    </w:div>
    <w:div w:id="1898780599">
      <w:bodyDiv w:val="1"/>
      <w:marLeft w:val="0"/>
      <w:marRight w:val="0"/>
      <w:marTop w:val="0"/>
      <w:marBottom w:val="0"/>
      <w:divBdr>
        <w:top w:val="none" w:sz="0" w:space="0" w:color="auto"/>
        <w:left w:val="none" w:sz="0" w:space="0" w:color="auto"/>
        <w:bottom w:val="none" w:sz="0" w:space="0" w:color="auto"/>
        <w:right w:val="none" w:sz="0" w:space="0" w:color="auto"/>
      </w:divBdr>
    </w:div>
    <w:div w:id="1901091475">
      <w:bodyDiv w:val="1"/>
      <w:marLeft w:val="0"/>
      <w:marRight w:val="0"/>
      <w:marTop w:val="0"/>
      <w:marBottom w:val="0"/>
      <w:divBdr>
        <w:top w:val="none" w:sz="0" w:space="0" w:color="auto"/>
        <w:left w:val="none" w:sz="0" w:space="0" w:color="auto"/>
        <w:bottom w:val="none" w:sz="0" w:space="0" w:color="auto"/>
        <w:right w:val="none" w:sz="0" w:space="0" w:color="auto"/>
      </w:divBdr>
      <w:divsChild>
        <w:div w:id="137113511">
          <w:marLeft w:val="1800"/>
          <w:marRight w:val="0"/>
          <w:marTop w:val="86"/>
          <w:marBottom w:val="0"/>
          <w:divBdr>
            <w:top w:val="none" w:sz="0" w:space="0" w:color="auto"/>
            <w:left w:val="none" w:sz="0" w:space="0" w:color="auto"/>
            <w:bottom w:val="none" w:sz="0" w:space="0" w:color="auto"/>
            <w:right w:val="none" w:sz="0" w:space="0" w:color="auto"/>
          </w:divBdr>
        </w:div>
        <w:div w:id="172578090">
          <w:marLeft w:val="547"/>
          <w:marRight w:val="0"/>
          <w:marTop w:val="86"/>
          <w:marBottom w:val="0"/>
          <w:divBdr>
            <w:top w:val="none" w:sz="0" w:space="0" w:color="auto"/>
            <w:left w:val="none" w:sz="0" w:space="0" w:color="auto"/>
            <w:bottom w:val="none" w:sz="0" w:space="0" w:color="auto"/>
            <w:right w:val="none" w:sz="0" w:space="0" w:color="auto"/>
          </w:divBdr>
        </w:div>
        <w:div w:id="835002946">
          <w:marLeft w:val="1166"/>
          <w:marRight w:val="0"/>
          <w:marTop w:val="86"/>
          <w:marBottom w:val="0"/>
          <w:divBdr>
            <w:top w:val="none" w:sz="0" w:space="0" w:color="auto"/>
            <w:left w:val="none" w:sz="0" w:space="0" w:color="auto"/>
            <w:bottom w:val="none" w:sz="0" w:space="0" w:color="auto"/>
            <w:right w:val="none" w:sz="0" w:space="0" w:color="auto"/>
          </w:divBdr>
        </w:div>
        <w:div w:id="1000818722">
          <w:marLeft w:val="547"/>
          <w:marRight w:val="0"/>
          <w:marTop w:val="86"/>
          <w:marBottom w:val="0"/>
          <w:divBdr>
            <w:top w:val="none" w:sz="0" w:space="0" w:color="auto"/>
            <w:left w:val="none" w:sz="0" w:space="0" w:color="auto"/>
            <w:bottom w:val="none" w:sz="0" w:space="0" w:color="auto"/>
            <w:right w:val="none" w:sz="0" w:space="0" w:color="auto"/>
          </w:divBdr>
        </w:div>
        <w:div w:id="1155880309">
          <w:marLeft w:val="547"/>
          <w:marRight w:val="0"/>
          <w:marTop w:val="86"/>
          <w:marBottom w:val="0"/>
          <w:divBdr>
            <w:top w:val="none" w:sz="0" w:space="0" w:color="auto"/>
            <w:left w:val="none" w:sz="0" w:space="0" w:color="auto"/>
            <w:bottom w:val="none" w:sz="0" w:space="0" w:color="auto"/>
            <w:right w:val="none" w:sz="0" w:space="0" w:color="auto"/>
          </w:divBdr>
        </w:div>
        <w:div w:id="1416784452">
          <w:marLeft w:val="1800"/>
          <w:marRight w:val="0"/>
          <w:marTop w:val="86"/>
          <w:marBottom w:val="0"/>
          <w:divBdr>
            <w:top w:val="none" w:sz="0" w:space="0" w:color="auto"/>
            <w:left w:val="none" w:sz="0" w:space="0" w:color="auto"/>
            <w:bottom w:val="none" w:sz="0" w:space="0" w:color="auto"/>
            <w:right w:val="none" w:sz="0" w:space="0" w:color="auto"/>
          </w:divBdr>
        </w:div>
        <w:div w:id="1601180584">
          <w:marLeft w:val="547"/>
          <w:marRight w:val="0"/>
          <w:marTop w:val="86"/>
          <w:marBottom w:val="0"/>
          <w:divBdr>
            <w:top w:val="none" w:sz="0" w:space="0" w:color="auto"/>
            <w:left w:val="none" w:sz="0" w:space="0" w:color="auto"/>
            <w:bottom w:val="none" w:sz="0" w:space="0" w:color="auto"/>
            <w:right w:val="none" w:sz="0" w:space="0" w:color="auto"/>
          </w:divBdr>
        </w:div>
        <w:div w:id="1635793034">
          <w:marLeft w:val="1166"/>
          <w:marRight w:val="0"/>
          <w:marTop w:val="86"/>
          <w:marBottom w:val="0"/>
          <w:divBdr>
            <w:top w:val="none" w:sz="0" w:space="0" w:color="auto"/>
            <w:left w:val="none" w:sz="0" w:space="0" w:color="auto"/>
            <w:bottom w:val="none" w:sz="0" w:space="0" w:color="auto"/>
            <w:right w:val="none" w:sz="0" w:space="0" w:color="auto"/>
          </w:divBdr>
        </w:div>
        <w:div w:id="1754205111">
          <w:marLeft w:val="547"/>
          <w:marRight w:val="0"/>
          <w:marTop w:val="86"/>
          <w:marBottom w:val="0"/>
          <w:divBdr>
            <w:top w:val="none" w:sz="0" w:space="0" w:color="auto"/>
            <w:left w:val="none" w:sz="0" w:space="0" w:color="auto"/>
            <w:bottom w:val="none" w:sz="0" w:space="0" w:color="auto"/>
            <w:right w:val="none" w:sz="0" w:space="0" w:color="auto"/>
          </w:divBdr>
        </w:div>
        <w:div w:id="1785153384">
          <w:marLeft w:val="1166"/>
          <w:marRight w:val="0"/>
          <w:marTop w:val="86"/>
          <w:marBottom w:val="0"/>
          <w:divBdr>
            <w:top w:val="none" w:sz="0" w:space="0" w:color="auto"/>
            <w:left w:val="none" w:sz="0" w:space="0" w:color="auto"/>
            <w:bottom w:val="none" w:sz="0" w:space="0" w:color="auto"/>
            <w:right w:val="none" w:sz="0" w:space="0" w:color="auto"/>
          </w:divBdr>
        </w:div>
        <w:div w:id="1927642611">
          <w:marLeft w:val="1166"/>
          <w:marRight w:val="0"/>
          <w:marTop w:val="86"/>
          <w:marBottom w:val="0"/>
          <w:divBdr>
            <w:top w:val="none" w:sz="0" w:space="0" w:color="auto"/>
            <w:left w:val="none" w:sz="0" w:space="0" w:color="auto"/>
            <w:bottom w:val="none" w:sz="0" w:space="0" w:color="auto"/>
            <w:right w:val="none" w:sz="0" w:space="0" w:color="auto"/>
          </w:divBdr>
        </w:div>
        <w:div w:id="2061855096">
          <w:marLeft w:val="1166"/>
          <w:marRight w:val="0"/>
          <w:marTop w:val="86"/>
          <w:marBottom w:val="0"/>
          <w:divBdr>
            <w:top w:val="none" w:sz="0" w:space="0" w:color="auto"/>
            <w:left w:val="none" w:sz="0" w:space="0" w:color="auto"/>
            <w:bottom w:val="none" w:sz="0" w:space="0" w:color="auto"/>
            <w:right w:val="none" w:sz="0" w:space="0" w:color="auto"/>
          </w:divBdr>
        </w:div>
        <w:div w:id="2098011878">
          <w:marLeft w:val="1166"/>
          <w:marRight w:val="0"/>
          <w:marTop w:val="86"/>
          <w:marBottom w:val="0"/>
          <w:divBdr>
            <w:top w:val="none" w:sz="0" w:space="0" w:color="auto"/>
            <w:left w:val="none" w:sz="0" w:space="0" w:color="auto"/>
            <w:bottom w:val="none" w:sz="0" w:space="0" w:color="auto"/>
            <w:right w:val="none" w:sz="0" w:space="0" w:color="auto"/>
          </w:divBdr>
        </w:div>
      </w:divsChild>
    </w:div>
    <w:div w:id="1901860300">
      <w:bodyDiv w:val="1"/>
      <w:marLeft w:val="0"/>
      <w:marRight w:val="0"/>
      <w:marTop w:val="0"/>
      <w:marBottom w:val="0"/>
      <w:divBdr>
        <w:top w:val="none" w:sz="0" w:space="0" w:color="auto"/>
        <w:left w:val="none" w:sz="0" w:space="0" w:color="auto"/>
        <w:bottom w:val="none" w:sz="0" w:space="0" w:color="auto"/>
        <w:right w:val="none" w:sz="0" w:space="0" w:color="auto"/>
      </w:divBdr>
    </w:div>
    <w:div w:id="1901939427">
      <w:bodyDiv w:val="1"/>
      <w:marLeft w:val="0"/>
      <w:marRight w:val="0"/>
      <w:marTop w:val="0"/>
      <w:marBottom w:val="0"/>
      <w:divBdr>
        <w:top w:val="none" w:sz="0" w:space="0" w:color="auto"/>
        <w:left w:val="none" w:sz="0" w:space="0" w:color="auto"/>
        <w:bottom w:val="none" w:sz="0" w:space="0" w:color="auto"/>
        <w:right w:val="none" w:sz="0" w:space="0" w:color="auto"/>
      </w:divBdr>
    </w:div>
    <w:div w:id="1902128761">
      <w:bodyDiv w:val="1"/>
      <w:marLeft w:val="0"/>
      <w:marRight w:val="0"/>
      <w:marTop w:val="0"/>
      <w:marBottom w:val="0"/>
      <w:divBdr>
        <w:top w:val="none" w:sz="0" w:space="0" w:color="auto"/>
        <w:left w:val="none" w:sz="0" w:space="0" w:color="auto"/>
        <w:bottom w:val="none" w:sz="0" w:space="0" w:color="auto"/>
        <w:right w:val="none" w:sz="0" w:space="0" w:color="auto"/>
      </w:divBdr>
    </w:div>
    <w:div w:id="1902981065">
      <w:bodyDiv w:val="1"/>
      <w:marLeft w:val="0"/>
      <w:marRight w:val="0"/>
      <w:marTop w:val="0"/>
      <w:marBottom w:val="0"/>
      <w:divBdr>
        <w:top w:val="none" w:sz="0" w:space="0" w:color="auto"/>
        <w:left w:val="none" w:sz="0" w:space="0" w:color="auto"/>
        <w:bottom w:val="none" w:sz="0" w:space="0" w:color="auto"/>
        <w:right w:val="none" w:sz="0" w:space="0" w:color="auto"/>
      </w:divBdr>
    </w:div>
    <w:div w:id="1903171485">
      <w:bodyDiv w:val="1"/>
      <w:marLeft w:val="0"/>
      <w:marRight w:val="0"/>
      <w:marTop w:val="0"/>
      <w:marBottom w:val="0"/>
      <w:divBdr>
        <w:top w:val="none" w:sz="0" w:space="0" w:color="auto"/>
        <w:left w:val="none" w:sz="0" w:space="0" w:color="auto"/>
        <w:bottom w:val="none" w:sz="0" w:space="0" w:color="auto"/>
        <w:right w:val="none" w:sz="0" w:space="0" w:color="auto"/>
      </w:divBdr>
    </w:div>
    <w:div w:id="1903758244">
      <w:bodyDiv w:val="1"/>
      <w:marLeft w:val="0"/>
      <w:marRight w:val="0"/>
      <w:marTop w:val="0"/>
      <w:marBottom w:val="0"/>
      <w:divBdr>
        <w:top w:val="none" w:sz="0" w:space="0" w:color="auto"/>
        <w:left w:val="none" w:sz="0" w:space="0" w:color="auto"/>
        <w:bottom w:val="none" w:sz="0" w:space="0" w:color="auto"/>
        <w:right w:val="none" w:sz="0" w:space="0" w:color="auto"/>
      </w:divBdr>
    </w:div>
    <w:div w:id="1907111034">
      <w:bodyDiv w:val="1"/>
      <w:marLeft w:val="0"/>
      <w:marRight w:val="0"/>
      <w:marTop w:val="0"/>
      <w:marBottom w:val="0"/>
      <w:divBdr>
        <w:top w:val="none" w:sz="0" w:space="0" w:color="auto"/>
        <w:left w:val="none" w:sz="0" w:space="0" w:color="auto"/>
        <w:bottom w:val="none" w:sz="0" w:space="0" w:color="auto"/>
        <w:right w:val="none" w:sz="0" w:space="0" w:color="auto"/>
      </w:divBdr>
    </w:div>
    <w:div w:id="1907491760">
      <w:bodyDiv w:val="1"/>
      <w:marLeft w:val="0"/>
      <w:marRight w:val="0"/>
      <w:marTop w:val="0"/>
      <w:marBottom w:val="0"/>
      <w:divBdr>
        <w:top w:val="none" w:sz="0" w:space="0" w:color="auto"/>
        <w:left w:val="none" w:sz="0" w:space="0" w:color="auto"/>
        <w:bottom w:val="none" w:sz="0" w:space="0" w:color="auto"/>
        <w:right w:val="none" w:sz="0" w:space="0" w:color="auto"/>
      </w:divBdr>
    </w:div>
    <w:div w:id="1907884315">
      <w:bodyDiv w:val="1"/>
      <w:marLeft w:val="0"/>
      <w:marRight w:val="0"/>
      <w:marTop w:val="0"/>
      <w:marBottom w:val="0"/>
      <w:divBdr>
        <w:top w:val="none" w:sz="0" w:space="0" w:color="auto"/>
        <w:left w:val="none" w:sz="0" w:space="0" w:color="auto"/>
        <w:bottom w:val="none" w:sz="0" w:space="0" w:color="auto"/>
        <w:right w:val="none" w:sz="0" w:space="0" w:color="auto"/>
      </w:divBdr>
      <w:divsChild>
        <w:div w:id="260644836">
          <w:marLeft w:val="1800"/>
          <w:marRight w:val="0"/>
          <w:marTop w:val="86"/>
          <w:marBottom w:val="0"/>
          <w:divBdr>
            <w:top w:val="none" w:sz="0" w:space="0" w:color="auto"/>
            <w:left w:val="none" w:sz="0" w:space="0" w:color="auto"/>
            <w:bottom w:val="none" w:sz="0" w:space="0" w:color="auto"/>
            <w:right w:val="none" w:sz="0" w:space="0" w:color="auto"/>
          </w:divBdr>
        </w:div>
        <w:div w:id="308438139">
          <w:marLeft w:val="2520"/>
          <w:marRight w:val="0"/>
          <w:marTop w:val="86"/>
          <w:marBottom w:val="0"/>
          <w:divBdr>
            <w:top w:val="none" w:sz="0" w:space="0" w:color="auto"/>
            <w:left w:val="none" w:sz="0" w:space="0" w:color="auto"/>
            <w:bottom w:val="none" w:sz="0" w:space="0" w:color="auto"/>
            <w:right w:val="none" w:sz="0" w:space="0" w:color="auto"/>
          </w:divBdr>
        </w:div>
        <w:div w:id="409892893">
          <w:marLeft w:val="1166"/>
          <w:marRight w:val="0"/>
          <w:marTop w:val="86"/>
          <w:marBottom w:val="0"/>
          <w:divBdr>
            <w:top w:val="none" w:sz="0" w:space="0" w:color="auto"/>
            <w:left w:val="none" w:sz="0" w:space="0" w:color="auto"/>
            <w:bottom w:val="none" w:sz="0" w:space="0" w:color="auto"/>
            <w:right w:val="none" w:sz="0" w:space="0" w:color="auto"/>
          </w:divBdr>
        </w:div>
        <w:div w:id="553124858">
          <w:marLeft w:val="547"/>
          <w:marRight w:val="0"/>
          <w:marTop w:val="96"/>
          <w:marBottom w:val="0"/>
          <w:divBdr>
            <w:top w:val="none" w:sz="0" w:space="0" w:color="auto"/>
            <w:left w:val="none" w:sz="0" w:space="0" w:color="auto"/>
            <w:bottom w:val="none" w:sz="0" w:space="0" w:color="auto"/>
            <w:right w:val="none" w:sz="0" w:space="0" w:color="auto"/>
          </w:divBdr>
        </w:div>
        <w:div w:id="675351060">
          <w:marLeft w:val="1800"/>
          <w:marRight w:val="0"/>
          <w:marTop w:val="86"/>
          <w:marBottom w:val="0"/>
          <w:divBdr>
            <w:top w:val="none" w:sz="0" w:space="0" w:color="auto"/>
            <w:left w:val="none" w:sz="0" w:space="0" w:color="auto"/>
            <w:bottom w:val="none" w:sz="0" w:space="0" w:color="auto"/>
            <w:right w:val="none" w:sz="0" w:space="0" w:color="auto"/>
          </w:divBdr>
        </w:div>
        <w:div w:id="817456695">
          <w:marLeft w:val="547"/>
          <w:marRight w:val="0"/>
          <w:marTop w:val="96"/>
          <w:marBottom w:val="0"/>
          <w:divBdr>
            <w:top w:val="none" w:sz="0" w:space="0" w:color="auto"/>
            <w:left w:val="none" w:sz="0" w:space="0" w:color="auto"/>
            <w:bottom w:val="none" w:sz="0" w:space="0" w:color="auto"/>
            <w:right w:val="none" w:sz="0" w:space="0" w:color="auto"/>
          </w:divBdr>
        </w:div>
        <w:div w:id="953974205">
          <w:marLeft w:val="3240"/>
          <w:marRight w:val="0"/>
          <w:marTop w:val="86"/>
          <w:marBottom w:val="0"/>
          <w:divBdr>
            <w:top w:val="none" w:sz="0" w:space="0" w:color="auto"/>
            <w:left w:val="none" w:sz="0" w:space="0" w:color="auto"/>
            <w:bottom w:val="none" w:sz="0" w:space="0" w:color="auto"/>
            <w:right w:val="none" w:sz="0" w:space="0" w:color="auto"/>
          </w:divBdr>
        </w:div>
        <w:div w:id="999232902">
          <w:marLeft w:val="2520"/>
          <w:marRight w:val="0"/>
          <w:marTop w:val="86"/>
          <w:marBottom w:val="0"/>
          <w:divBdr>
            <w:top w:val="none" w:sz="0" w:space="0" w:color="auto"/>
            <w:left w:val="none" w:sz="0" w:space="0" w:color="auto"/>
            <w:bottom w:val="none" w:sz="0" w:space="0" w:color="auto"/>
            <w:right w:val="none" w:sz="0" w:space="0" w:color="auto"/>
          </w:divBdr>
        </w:div>
        <w:div w:id="1267468466">
          <w:marLeft w:val="1800"/>
          <w:marRight w:val="0"/>
          <w:marTop w:val="86"/>
          <w:marBottom w:val="0"/>
          <w:divBdr>
            <w:top w:val="none" w:sz="0" w:space="0" w:color="auto"/>
            <w:left w:val="none" w:sz="0" w:space="0" w:color="auto"/>
            <w:bottom w:val="none" w:sz="0" w:space="0" w:color="auto"/>
            <w:right w:val="none" w:sz="0" w:space="0" w:color="auto"/>
          </w:divBdr>
        </w:div>
        <w:div w:id="1588348015">
          <w:marLeft w:val="2520"/>
          <w:marRight w:val="0"/>
          <w:marTop w:val="86"/>
          <w:marBottom w:val="0"/>
          <w:divBdr>
            <w:top w:val="none" w:sz="0" w:space="0" w:color="auto"/>
            <w:left w:val="none" w:sz="0" w:space="0" w:color="auto"/>
            <w:bottom w:val="none" w:sz="0" w:space="0" w:color="auto"/>
            <w:right w:val="none" w:sz="0" w:space="0" w:color="auto"/>
          </w:divBdr>
        </w:div>
        <w:div w:id="1664503755">
          <w:marLeft w:val="2520"/>
          <w:marRight w:val="0"/>
          <w:marTop w:val="86"/>
          <w:marBottom w:val="0"/>
          <w:divBdr>
            <w:top w:val="none" w:sz="0" w:space="0" w:color="auto"/>
            <w:left w:val="none" w:sz="0" w:space="0" w:color="auto"/>
            <w:bottom w:val="none" w:sz="0" w:space="0" w:color="auto"/>
            <w:right w:val="none" w:sz="0" w:space="0" w:color="auto"/>
          </w:divBdr>
        </w:div>
        <w:div w:id="1741635149">
          <w:marLeft w:val="1166"/>
          <w:marRight w:val="0"/>
          <w:marTop w:val="86"/>
          <w:marBottom w:val="0"/>
          <w:divBdr>
            <w:top w:val="none" w:sz="0" w:space="0" w:color="auto"/>
            <w:left w:val="none" w:sz="0" w:space="0" w:color="auto"/>
            <w:bottom w:val="none" w:sz="0" w:space="0" w:color="auto"/>
            <w:right w:val="none" w:sz="0" w:space="0" w:color="auto"/>
          </w:divBdr>
        </w:div>
        <w:div w:id="1988851524">
          <w:marLeft w:val="547"/>
          <w:marRight w:val="0"/>
          <w:marTop w:val="96"/>
          <w:marBottom w:val="0"/>
          <w:divBdr>
            <w:top w:val="none" w:sz="0" w:space="0" w:color="auto"/>
            <w:left w:val="none" w:sz="0" w:space="0" w:color="auto"/>
            <w:bottom w:val="none" w:sz="0" w:space="0" w:color="auto"/>
            <w:right w:val="none" w:sz="0" w:space="0" w:color="auto"/>
          </w:divBdr>
        </w:div>
        <w:div w:id="2009091180">
          <w:marLeft w:val="1166"/>
          <w:marRight w:val="0"/>
          <w:marTop w:val="86"/>
          <w:marBottom w:val="0"/>
          <w:divBdr>
            <w:top w:val="none" w:sz="0" w:space="0" w:color="auto"/>
            <w:left w:val="none" w:sz="0" w:space="0" w:color="auto"/>
            <w:bottom w:val="none" w:sz="0" w:space="0" w:color="auto"/>
            <w:right w:val="none" w:sz="0" w:space="0" w:color="auto"/>
          </w:divBdr>
        </w:div>
      </w:divsChild>
    </w:div>
    <w:div w:id="1908151273">
      <w:bodyDiv w:val="1"/>
      <w:marLeft w:val="0"/>
      <w:marRight w:val="0"/>
      <w:marTop w:val="0"/>
      <w:marBottom w:val="0"/>
      <w:divBdr>
        <w:top w:val="none" w:sz="0" w:space="0" w:color="auto"/>
        <w:left w:val="none" w:sz="0" w:space="0" w:color="auto"/>
        <w:bottom w:val="none" w:sz="0" w:space="0" w:color="auto"/>
        <w:right w:val="none" w:sz="0" w:space="0" w:color="auto"/>
      </w:divBdr>
    </w:div>
    <w:div w:id="1910387936">
      <w:bodyDiv w:val="1"/>
      <w:marLeft w:val="0"/>
      <w:marRight w:val="0"/>
      <w:marTop w:val="0"/>
      <w:marBottom w:val="0"/>
      <w:divBdr>
        <w:top w:val="none" w:sz="0" w:space="0" w:color="auto"/>
        <w:left w:val="none" w:sz="0" w:space="0" w:color="auto"/>
        <w:bottom w:val="none" w:sz="0" w:space="0" w:color="auto"/>
        <w:right w:val="none" w:sz="0" w:space="0" w:color="auto"/>
      </w:divBdr>
    </w:div>
    <w:div w:id="1910966771">
      <w:bodyDiv w:val="1"/>
      <w:marLeft w:val="0"/>
      <w:marRight w:val="0"/>
      <w:marTop w:val="0"/>
      <w:marBottom w:val="0"/>
      <w:divBdr>
        <w:top w:val="none" w:sz="0" w:space="0" w:color="auto"/>
        <w:left w:val="none" w:sz="0" w:space="0" w:color="auto"/>
        <w:bottom w:val="none" w:sz="0" w:space="0" w:color="auto"/>
        <w:right w:val="none" w:sz="0" w:space="0" w:color="auto"/>
      </w:divBdr>
    </w:div>
    <w:div w:id="1912227834">
      <w:bodyDiv w:val="1"/>
      <w:marLeft w:val="0"/>
      <w:marRight w:val="0"/>
      <w:marTop w:val="0"/>
      <w:marBottom w:val="0"/>
      <w:divBdr>
        <w:top w:val="none" w:sz="0" w:space="0" w:color="auto"/>
        <w:left w:val="none" w:sz="0" w:space="0" w:color="auto"/>
        <w:bottom w:val="none" w:sz="0" w:space="0" w:color="auto"/>
        <w:right w:val="none" w:sz="0" w:space="0" w:color="auto"/>
      </w:divBdr>
      <w:divsChild>
        <w:div w:id="16780246">
          <w:marLeft w:val="1166"/>
          <w:marRight w:val="0"/>
          <w:marTop w:val="77"/>
          <w:marBottom w:val="0"/>
          <w:divBdr>
            <w:top w:val="none" w:sz="0" w:space="0" w:color="auto"/>
            <w:left w:val="none" w:sz="0" w:space="0" w:color="auto"/>
            <w:bottom w:val="none" w:sz="0" w:space="0" w:color="auto"/>
            <w:right w:val="none" w:sz="0" w:space="0" w:color="auto"/>
          </w:divBdr>
        </w:div>
        <w:div w:id="250551600">
          <w:marLeft w:val="1800"/>
          <w:marRight w:val="0"/>
          <w:marTop w:val="67"/>
          <w:marBottom w:val="0"/>
          <w:divBdr>
            <w:top w:val="none" w:sz="0" w:space="0" w:color="auto"/>
            <w:left w:val="none" w:sz="0" w:space="0" w:color="auto"/>
            <w:bottom w:val="none" w:sz="0" w:space="0" w:color="auto"/>
            <w:right w:val="none" w:sz="0" w:space="0" w:color="auto"/>
          </w:divBdr>
        </w:div>
        <w:div w:id="677779711">
          <w:marLeft w:val="1166"/>
          <w:marRight w:val="0"/>
          <w:marTop w:val="77"/>
          <w:marBottom w:val="0"/>
          <w:divBdr>
            <w:top w:val="none" w:sz="0" w:space="0" w:color="auto"/>
            <w:left w:val="none" w:sz="0" w:space="0" w:color="auto"/>
            <w:bottom w:val="none" w:sz="0" w:space="0" w:color="auto"/>
            <w:right w:val="none" w:sz="0" w:space="0" w:color="auto"/>
          </w:divBdr>
        </w:div>
        <w:div w:id="997656434">
          <w:marLeft w:val="1800"/>
          <w:marRight w:val="0"/>
          <w:marTop w:val="58"/>
          <w:marBottom w:val="0"/>
          <w:divBdr>
            <w:top w:val="none" w:sz="0" w:space="0" w:color="auto"/>
            <w:left w:val="none" w:sz="0" w:space="0" w:color="auto"/>
            <w:bottom w:val="none" w:sz="0" w:space="0" w:color="auto"/>
            <w:right w:val="none" w:sz="0" w:space="0" w:color="auto"/>
          </w:divBdr>
        </w:div>
        <w:div w:id="1175875248">
          <w:marLeft w:val="1166"/>
          <w:marRight w:val="0"/>
          <w:marTop w:val="77"/>
          <w:marBottom w:val="0"/>
          <w:divBdr>
            <w:top w:val="none" w:sz="0" w:space="0" w:color="auto"/>
            <w:left w:val="none" w:sz="0" w:space="0" w:color="auto"/>
            <w:bottom w:val="none" w:sz="0" w:space="0" w:color="auto"/>
            <w:right w:val="none" w:sz="0" w:space="0" w:color="auto"/>
          </w:divBdr>
        </w:div>
        <w:div w:id="1207183316">
          <w:marLeft w:val="547"/>
          <w:marRight w:val="0"/>
          <w:marTop w:val="86"/>
          <w:marBottom w:val="0"/>
          <w:divBdr>
            <w:top w:val="none" w:sz="0" w:space="0" w:color="auto"/>
            <w:left w:val="none" w:sz="0" w:space="0" w:color="auto"/>
            <w:bottom w:val="none" w:sz="0" w:space="0" w:color="auto"/>
            <w:right w:val="none" w:sz="0" w:space="0" w:color="auto"/>
          </w:divBdr>
        </w:div>
        <w:div w:id="1221094947">
          <w:marLeft w:val="1166"/>
          <w:marRight w:val="0"/>
          <w:marTop w:val="77"/>
          <w:marBottom w:val="0"/>
          <w:divBdr>
            <w:top w:val="none" w:sz="0" w:space="0" w:color="auto"/>
            <w:left w:val="none" w:sz="0" w:space="0" w:color="auto"/>
            <w:bottom w:val="none" w:sz="0" w:space="0" w:color="auto"/>
            <w:right w:val="none" w:sz="0" w:space="0" w:color="auto"/>
          </w:divBdr>
        </w:div>
        <w:div w:id="1287859236">
          <w:marLeft w:val="1800"/>
          <w:marRight w:val="0"/>
          <w:marTop w:val="67"/>
          <w:marBottom w:val="0"/>
          <w:divBdr>
            <w:top w:val="none" w:sz="0" w:space="0" w:color="auto"/>
            <w:left w:val="none" w:sz="0" w:space="0" w:color="auto"/>
            <w:bottom w:val="none" w:sz="0" w:space="0" w:color="auto"/>
            <w:right w:val="none" w:sz="0" w:space="0" w:color="auto"/>
          </w:divBdr>
        </w:div>
        <w:div w:id="1411150521">
          <w:marLeft w:val="547"/>
          <w:marRight w:val="0"/>
          <w:marTop w:val="86"/>
          <w:marBottom w:val="0"/>
          <w:divBdr>
            <w:top w:val="none" w:sz="0" w:space="0" w:color="auto"/>
            <w:left w:val="none" w:sz="0" w:space="0" w:color="auto"/>
            <w:bottom w:val="none" w:sz="0" w:space="0" w:color="auto"/>
            <w:right w:val="none" w:sz="0" w:space="0" w:color="auto"/>
          </w:divBdr>
        </w:div>
        <w:div w:id="1538200198">
          <w:marLeft w:val="1166"/>
          <w:marRight w:val="0"/>
          <w:marTop w:val="77"/>
          <w:marBottom w:val="0"/>
          <w:divBdr>
            <w:top w:val="none" w:sz="0" w:space="0" w:color="auto"/>
            <w:left w:val="none" w:sz="0" w:space="0" w:color="auto"/>
            <w:bottom w:val="none" w:sz="0" w:space="0" w:color="auto"/>
            <w:right w:val="none" w:sz="0" w:space="0" w:color="auto"/>
          </w:divBdr>
        </w:div>
        <w:div w:id="1808082892">
          <w:marLeft w:val="547"/>
          <w:marRight w:val="0"/>
          <w:marTop w:val="86"/>
          <w:marBottom w:val="0"/>
          <w:divBdr>
            <w:top w:val="none" w:sz="0" w:space="0" w:color="auto"/>
            <w:left w:val="none" w:sz="0" w:space="0" w:color="auto"/>
            <w:bottom w:val="none" w:sz="0" w:space="0" w:color="auto"/>
            <w:right w:val="none" w:sz="0" w:space="0" w:color="auto"/>
          </w:divBdr>
        </w:div>
        <w:div w:id="1866864246">
          <w:marLeft w:val="1166"/>
          <w:marRight w:val="0"/>
          <w:marTop w:val="77"/>
          <w:marBottom w:val="0"/>
          <w:divBdr>
            <w:top w:val="none" w:sz="0" w:space="0" w:color="auto"/>
            <w:left w:val="none" w:sz="0" w:space="0" w:color="auto"/>
            <w:bottom w:val="none" w:sz="0" w:space="0" w:color="auto"/>
            <w:right w:val="none" w:sz="0" w:space="0" w:color="auto"/>
          </w:divBdr>
        </w:div>
      </w:divsChild>
    </w:div>
    <w:div w:id="1912233177">
      <w:bodyDiv w:val="1"/>
      <w:marLeft w:val="0"/>
      <w:marRight w:val="0"/>
      <w:marTop w:val="0"/>
      <w:marBottom w:val="0"/>
      <w:divBdr>
        <w:top w:val="none" w:sz="0" w:space="0" w:color="auto"/>
        <w:left w:val="none" w:sz="0" w:space="0" w:color="auto"/>
        <w:bottom w:val="none" w:sz="0" w:space="0" w:color="auto"/>
        <w:right w:val="none" w:sz="0" w:space="0" w:color="auto"/>
      </w:divBdr>
      <w:divsChild>
        <w:div w:id="43257129">
          <w:marLeft w:val="2434"/>
          <w:marRight w:val="0"/>
          <w:marTop w:val="120"/>
          <w:marBottom w:val="0"/>
          <w:divBdr>
            <w:top w:val="none" w:sz="0" w:space="0" w:color="auto"/>
            <w:left w:val="none" w:sz="0" w:space="0" w:color="auto"/>
            <w:bottom w:val="none" w:sz="0" w:space="0" w:color="auto"/>
            <w:right w:val="none" w:sz="0" w:space="0" w:color="auto"/>
          </w:divBdr>
        </w:div>
        <w:div w:id="492994195">
          <w:marLeft w:val="1886"/>
          <w:marRight w:val="0"/>
          <w:marTop w:val="120"/>
          <w:marBottom w:val="0"/>
          <w:divBdr>
            <w:top w:val="none" w:sz="0" w:space="0" w:color="auto"/>
            <w:left w:val="none" w:sz="0" w:space="0" w:color="auto"/>
            <w:bottom w:val="none" w:sz="0" w:space="0" w:color="auto"/>
            <w:right w:val="none" w:sz="0" w:space="0" w:color="auto"/>
          </w:divBdr>
        </w:div>
        <w:div w:id="959336197">
          <w:marLeft w:val="806"/>
          <w:marRight w:val="0"/>
          <w:marTop w:val="120"/>
          <w:marBottom w:val="0"/>
          <w:divBdr>
            <w:top w:val="none" w:sz="0" w:space="0" w:color="auto"/>
            <w:left w:val="none" w:sz="0" w:space="0" w:color="auto"/>
            <w:bottom w:val="none" w:sz="0" w:space="0" w:color="auto"/>
            <w:right w:val="none" w:sz="0" w:space="0" w:color="auto"/>
          </w:divBdr>
        </w:div>
        <w:div w:id="1627739728">
          <w:marLeft w:val="2434"/>
          <w:marRight w:val="0"/>
          <w:marTop w:val="120"/>
          <w:marBottom w:val="0"/>
          <w:divBdr>
            <w:top w:val="none" w:sz="0" w:space="0" w:color="auto"/>
            <w:left w:val="none" w:sz="0" w:space="0" w:color="auto"/>
            <w:bottom w:val="none" w:sz="0" w:space="0" w:color="auto"/>
            <w:right w:val="none" w:sz="0" w:space="0" w:color="auto"/>
          </w:divBdr>
        </w:div>
        <w:div w:id="2106729371">
          <w:marLeft w:val="1886"/>
          <w:marRight w:val="0"/>
          <w:marTop w:val="120"/>
          <w:marBottom w:val="0"/>
          <w:divBdr>
            <w:top w:val="none" w:sz="0" w:space="0" w:color="auto"/>
            <w:left w:val="none" w:sz="0" w:space="0" w:color="auto"/>
            <w:bottom w:val="none" w:sz="0" w:space="0" w:color="auto"/>
            <w:right w:val="none" w:sz="0" w:space="0" w:color="auto"/>
          </w:divBdr>
        </w:div>
      </w:divsChild>
    </w:div>
    <w:div w:id="1913346077">
      <w:bodyDiv w:val="1"/>
      <w:marLeft w:val="0"/>
      <w:marRight w:val="0"/>
      <w:marTop w:val="0"/>
      <w:marBottom w:val="0"/>
      <w:divBdr>
        <w:top w:val="none" w:sz="0" w:space="0" w:color="auto"/>
        <w:left w:val="none" w:sz="0" w:space="0" w:color="auto"/>
        <w:bottom w:val="none" w:sz="0" w:space="0" w:color="auto"/>
        <w:right w:val="none" w:sz="0" w:space="0" w:color="auto"/>
      </w:divBdr>
      <w:divsChild>
        <w:div w:id="251400246">
          <w:marLeft w:val="1166"/>
          <w:marRight w:val="0"/>
          <w:marTop w:val="115"/>
          <w:marBottom w:val="120"/>
          <w:divBdr>
            <w:top w:val="none" w:sz="0" w:space="0" w:color="auto"/>
            <w:left w:val="none" w:sz="0" w:space="0" w:color="auto"/>
            <w:bottom w:val="none" w:sz="0" w:space="0" w:color="auto"/>
            <w:right w:val="none" w:sz="0" w:space="0" w:color="auto"/>
          </w:divBdr>
        </w:div>
        <w:div w:id="508716209">
          <w:marLeft w:val="547"/>
          <w:marRight w:val="0"/>
          <w:marTop w:val="134"/>
          <w:marBottom w:val="120"/>
          <w:divBdr>
            <w:top w:val="none" w:sz="0" w:space="0" w:color="auto"/>
            <w:left w:val="none" w:sz="0" w:space="0" w:color="auto"/>
            <w:bottom w:val="none" w:sz="0" w:space="0" w:color="auto"/>
            <w:right w:val="none" w:sz="0" w:space="0" w:color="auto"/>
          </w:divBdr>
        </w:div>
        <w:div w:id="1084717197">
          <w:marLeft w:val="1166"/>
          <w:marRight w:val="0"/>
          <w:marTop w:val="115"/>
          <w:marBottom w:val="120"/>
          <w:divBdr>
            <w:top w:val="none" w:sz="0" w:space="0" w:color="auto"/>
            <w:left w:val="none" w:sz="0" w:space="0" w:color="auto"/>
            <w:bottom w:val="none" w:sz="0" w:space="0" w:color="auto"/>
            <w:right w:val="none" w:sz="0" w:space="0" w:color="auto"/>
          </w:divBdr>
        </w:div>
      </w:divsChild>
    </w:div>
    <w:div w:id="1914046185">
      <w:bodyDiv w:val="1"/>
      <w:marLeft w:val="0"/>
      <w:marRight w:val="0"/>
      <w:marTop w:val="0"/>
      <w:marBottom w:val="0"/>
      <w:divBdr>
        <w:top w:val="none" w:sz="0" w:space="0" w:color="auto"/>
        <w:left w:val="none" w:sz="0" w:space="0" w:color="auto"/>
        <w:bottom w:val="none" w:sz="0" w:space="0" w:color="auto"/>
        <w:right w:val="none" w:sz="0" w:space="0" w:color="auto"/>
      </w:divBdr>
    </w:div>
    <w:div w:id="1916433690">
      <w:bodyDiv w:val="1"/>
      <w:marLeft w:val="0"/>
      <w:marRight w:val="0"/>
      <w:marTop w:val="0"/>
      <w:marBottom w:val="0"/>
      <w:divBdr>
        <w:top w:val="none" w:sz="0" w:space="0" w:color="auto"/>
        <w:left w:val="none" w:sz="0" w:space="0" w:color="auto"/>
        <w:bottom w:val="none" w:sz="0" w:space="0" w:color="auto"/>
        <w:right w:val="none" w:sz="0" w:space="0" w:color="auto"/>
      </w:divBdr>
    </w:div>
    <w:div w:id="1916739725">
      <w:bodyDiv w:val="1"/>
      <w:marLeft w:val="0"/>
      <w:marRight w:val="0"/>
      <w:marTop w:val="0"/>
      <w:marBottom w:val="0"/>
      <w:divBdr>
        <w:top w:val="none" w:sz="0" w:space="0" w:color="auto"/>
        <w:left w:val="none" w:sz="0" w:space="0" w:color="auto"/>
        <w:bottom w:val="none" w:sz="0" w:space="0" w:color="auto"/>
        <w:right w:val="none" w:sz="0" w:space="0" w:color="auto"/>
      </w:divBdr>
    </w:div>
    <w:div w:id="1917784717">
      <w:bodyDiv w:val="1"/>
      <w:marLeft w:val="0"/>
      <w:marRight w:val="0"/>
      <w:marTop w:val="0"/>
      <w:marBottom w:val="0"/>
      <w:divBdr>
        <w:top w:val="none" w:sz="0" w:space="0" w:color="auto"/>
        <w:left w:val="none" w:sz="0" w:space="0" w:color="auto"/>
        <w:bottom w:val="none" w:sz="0" w:space="0" w:color="auto"/>
        <w:right w:val="none" w:sz="0" w:space="0" w:color="auto"/>
      </w:divBdr>
    </w:div>
    <w:div w:id="1917861604">
      <w:bodyDiv w:val="1"/>
      <w:marLeft w:val="0"/>
      <w:marRight w:val="0"/>
      <w:marTop w:val="0"/>
      <w:marBottom w:val="0"/>
      <w:divBdr>
        <w:top w:val="none" w:sz="0" w:space="0" w:color="auto"/>
        <w:left w:val="none" w:sz="0" w:space="0" w:color="auto"/>
        <w:bottom w:val="none" w:sz="0" w:space="0" w:color="auto"/>
        <w:right w:val="none" w:sz="0" w:space="0" w:color="auto"/>
      </w:divBdr>
    </w:div>
    <w:div w:id="1919290952">
      <w:bodyDiv w:val="1"/>
      <w:marLeft w:val="0"/>
      <w:marRight w:val="0"/>
      <w:marTop w:val="0"/>
      <w:marBottom w:val="0"/>
      <w:divBdr>
        <w:top w:val="none" w:sz="0" w:space="0" w:color="auto"/>
        <w:left w:val="none" w:sz="0" w:space="0" w:color="auto"/>
        <w:bottom w:val="none" w:sz="0" w:space="0" w:color="auto"/>
        <w:right w:val="none" w:sz="0" w:space="0" w:color="auto"/>
      </w:divBdr>
    </w:div>
    <w:div w:id="1921016630">
      <w:bodyDiv w:val="1"/>
      <w:marLeft w:val="0"/>
      <w:marRight w:val="0"/>
      <w:marTop w:val="0"/>
      <w:marBottom w:val="0"/>
      <w:divBdr>
        <w:top w:val="none" w:sz="0" w:space="0" w:color="auto"/>
        <w:left w:val="none" w:sz="0" w:space="0" w:color="auto"/>
        <w:bottom w:val="none" w:sz="0" w:space="0" w:color="auto"/>
        <w:right w:val="none" w:sz="0" w:space="0" w:color="auto"/>
      </w:divBdr>
    </w:div>
    <w:div w:id="1922371700">
      <w:bodyDiv w:val="1"/>
      <w:marLeft w:val="0"/>
      <w:marRight w:val="0"/>
      <w:marTop w:val="0"/>
      <w:marBottom w:val="0"/>
      <w:divBdr>
        <w:top w:val="none" w:sz="0" w:space="0" w:color="auto"/>
        <w:left w:val="none" w:sz="0" w:space="0" w:color="auto"/>
        <w:bottom w:val="none" w:sz="0" w:space="0" w:color="auto"/>
        <w:right w:val="none" w:sz="0" w:space="0" w:color="auto"/>
      </w:divBdr>
    </w:div>
    <w:div w:id="1923174778">
      <w:bodyDiv w:val="1"/>
      <w:marLeft w:val="0"/>
      <w:marRight w:val="0"/>
      <w:marTop w:val="0"/>
      <w:marBottom w:val="0"/>
      <w:divBdr>
        <w:top w:val="none" w:sz="0" w:space="0" w:color="auto"/>
        <w:left w:val="none" w:sz="0" w:space="0" w:color="auto"/>
        <w:bottom w:val="none" w:sz="0" w:space="0" w:color="auto"/>
        <w:right w:val="none" w:sz="0" w:space="0" w:color="auto"/>
      </w:divBdr>
      <w:divsChild>
        <w:div w:id="121924562">
          <w:marLeft w:val="547"/>
          <w:marRight w:val="0"/>
          <w:marTop w:val="86"/>
          <w:marBottom w:val="0"/>
          <w:divBdr>
            <w:top w:val="none" w:sz="0" w:space="0" w:color="auto"/>
            <w:left w:val="none" w:sz="0" w:space="0" w:color="auto"/>
            <w:bottom w:val="none" w:sz="0" w:space="0" w:color="auto"/>
            <w:right w:val="none" w:sz="0" w:space="0" w:color="auto"/>
          </w:divBdr>
        </w:div>
        <w:div w:id="163017356">
          <w:marLeft w:val="1166"/>
          <w:marRight w:val="0"/>
          <w:marTop w:val="77"/>
          <w:marBottom w:val="0"/>
          <w:divBdr>
            <w:top w:val="none" w:sz="0" w:space="0" w:color="auto"/>
            <w:left w:val="none" w:sz="0" w:space="0" w:color="auto"/>
            <w:bottom w:val="none" w:sz="0" w:space="0" w:color="auto"/>
            <w:right w:val="none" w:sz="0" w:space="0" w:color="auto"/>
          </w:divBdr>
        </w:div>
        <w:div w:id="552734776">
          <w:marLeft w:val="1166"/>
          <w:marRight w:val="0"/>
          <w:marTop w:val="77"/>
          <w:marBottom w:val="0"/>
          <w:divBdr>
            <w:top w:val="none" w:sz="0" w:space="0" w:color="auto"/>
            <w:left w:val="none" w:sz="0" w:space="0" w:color="auto"/>
            <w:bottom w:val="none" w:sz="0" w:space="0" w:color="auto"/>
            <w:right w:val="none" w:sz="0" w:space="0" w:color="auto"/>
          </w:divBdr>
        </w:div>
        <w:div w:id="556478690">
          <w:marLeft w:val="1166"/>
          <w:marRight w:val="0"/>
          <w:marTop w:val="77"/>
          <w:marBottom w:val="0"/>
          <w:divBdr>
            <w:top w:val="none" w:sz="0" w:space="0" w:color="auto"/>
            <w:left w:val="none" w:sz="0" w:space="0" w:color="auto"/>
            <w:bottom w:val="none" w:sz="0" w:space="0" w:color="auto"/>
            <w:right w:val="none" w:sz="0" w:space="0" w:color="auto"/>
          </w:divBdr>
        </w:div>
        <w:div w:id="726027647">
          <w:marLeft w:val="1166"/>
          <w:marRight w:val="0"/>
          <w:marTop w:val="77"/>
          <w:marBottom w:val="0"/>
          <w:divBdr>
            <w:top w:val="none" w:sz="0" w:space="0" w:color="auto"/>
            <w:left w:val="none" w:sz="0" w:space="0" w:color="auto"/>
            <w:bottom w:val="none" w:sz="0" w:space="0" w:color="auto"/>
            <w:right w:val="none" w:sz="0" w:space="0" w:color="auto"/>
          </w:divBdr>
        </w:div>
        <w:div w:id="1440182762">
          <w:marLeft w:val="547"/>
          <w:marRight w:val="0"/>
          <w:marTop w:val="86"/>
          <w:marBottom w:val="0"/>
          <w:divBdr>
            <w:top w:val="none" w:sz="0" w:space="0" w:color="auto"/>
            <w:left w:val="none" w:sz="0" w:space="0" w:color="auto"/>
            <w:bottom w:val="none" w:sz="0" w:space="0" w:color="auto"/>
            <w:right w:val="none" w:sz="0" w:space="0" w:color="auto"/>
          </w:divBdr>
        </w:div>
      </w:divsChild>
    </w:div>
    <w:div w:id="1924559256">
      <w:bodyDiv w:val="1"/>
      <w:marLeft w:val="0"/>
      <w:marRight w:val="0"/>
      <w:marTop w:val="0"/>
      <w:marBottom w:val="0"/>
      <w:divBdr>
        <w:top w:val="none" w:sz="0" w:space="0" w:color="auto"/>
        <w:left w:val="none" w:sz="0" w:space="0" w:color="auto"/>
        <w:bottom w:val="none" w:sz="0" w:space="0" w:color="auto"/>
        <w:right w:val="none" w:sz="0" w:space="0" w:color="auto"/>
      </w:divBdr>
    </w:div>
    <w:div w:id="1924799657">
      <w:bodyDiv w:val="1"/>
      <w:marLeft w:val="0"/>
      <w:marRight w:val="0"/>
      <w:marTop w:val="0"/>
      <w:marBottom w:val="0"/>
      <w:divBdr>
        <w:top w:val="none" w:sz="0" w:space="0" w:color="auto"/>
        <w:left w:val="none" w:sz="0" w:space="0" w:color="auto"/>
        <w:bottom w:val="none" w:sz="0" w:space="0" w:color="auto"/>
        <w:right w:val="none" w:sz="0" w:space="0" w:color="auto"/>
      </w:divBdr>
      <w:divsChild>
        <w:div w:id="1541551731">
          <w:marLeft w:val="547"/>
          <w:marRight w:val="0"/>
          <w:marTop w:val="115"/>
          <w:marBottom w:val="0"/>
          <w:divBdr>
            <w:top w:val="none" w:sz="0" w:space="0" w:color="auto"/>
            <w:left w:val="none" w:sz="0" w:space="0" w:color="auto"/>
            <w:bottom w:val="none" w:sz="0" w:space="0" w:color="auto"/>
            <w:right w:val="none" w:sz="0" w:space="0" w:color="auto"/>
          </w:divBdr>
        </w:div>
      </w:divsChild>
    </w:div>
    <w:div w:id="1925526922">
      <w:bodyDiv w:val="1"/>
      <w:marLeft w:val="0"/>
      <w:marRight w:val="0"/>
      <w:marTop w:val="0"/>
      <w:marBottom w:val="0"/>
      <w:divBdr>
        <w:top w:val="none" w:sz="0" w:space="0" w:color="auto"/>
        <w:left w:val="none" w:sz="0" w:space="0" w:color="auto"/>
        <w:bottom w:val="none" w:sz="0" w:space="0" w:color="auto"/>
        <w:right w:val="none" w:sz="0" w:space="0" w:color="auto"/>
      </w:divBdr>
    </w:div>
    <w:div w:id="1925532791">
      <w:bodyDiv w:val="1"/>
      <w:marLeft w:val="0"/>
      <w:marRight w:val="0"/>
      <w:marTop w:val="0"/>
      <w:marBottom w:val="0"/>
      <w:divBdr>
        <w:top w:val="none" w:sz="0" w:space="0" w:color="auto"/>
        <w:left w:val="none" w:sz="0" w:space="0" w:color="auto"/>
        <w:bottom w:val="none" w:sz="0" w:space="0" w:color="auto"/>
        <w:right w:val="none" w:sz="0" w:space="0" w:color="auto"/>
      </w:divBdr>
      <w:divsChild>
        <w:div w:id="833885875">
          <w:marLeft w:val="360"/>
          <w:marRight w:val="0"/>
          <w:marTop w:val="200"/>
          <w:marBottom w:val="0"/>
          <w:divBdr>
            <w:top w:val="none" w:sz="0" w:space="0" w:color="auto"/>
            <w:left w:val="none" w:sz="0" w:space="0" w:color="auto"/>
            <w:bottom w:val="none" w:sz="0" w:space="0" w:color="auto"/>
            <w:right w:val="none" w:sz="0" w:space="0" w:color="auto"/>
          </w:divBdr>
        </w:div>
        <w:div w:id="910194820">
          <w:marLeft w:val="360"/>
          <w:marRight w:val="0"/>
          <w:marTop w:val="200"/>
          <w:marBottom w:val="0"/>
          <w:divBdr>
            <w:top w:val="none" w:sz="0" w:space="0" w:color="auto"/>
            <w:left w:val="none" w:sz="0" w:space="0" w:color="auto"/>
            <w:bottom w:val="none" w:sz="0" w:space="0" w:color="auto"/>
            <w:right w:val="none" w:sz="0" w:space="0" w:color="auto"/>
          </w:divBdr>
        </w:div>
        <w:div w:id="1418093750">
          <w:marLeft w:val="360"/>
          <w:marRight w:val="0"/>
          <w:marTop w:val="200"/>
          <w:marBottom w:val="0"/>
          <w:divBdr>
            <w:top w:val="none" w:sz="0" w:space="0" w:color="auto"/>
            <w:left w:val="none" w:sz="0" w:space="0" w:color="auto"/>
            <w:bottom w:val="none" w:sz="0" w:space="0" w:color="auto"/>
            <w:right w:val="none" w:sz="0" w:space="0" w:color="auto"/>
          </w:divBdr>
        </w:div>
      </w:divsChild>
    </w:div>
    <w:div w:id="1926917462">
      <w:bodyDiv w:val="1"/>
      <w:marLeft w:val="0"/>
      <w:marRight w:val="0"/>
      <w:marTop w:val="0"/>
      <w:marBottom w:val="0"/>
      <w:divBdr>
        <w:top w:val="none" w:sz="0" w:space="0" w:color="auto"/>
        <w:left w:val="none" w:sz="0" w:space="0" w:color="auto"/>
        <w:bottom w:val="none" w:sz="0" w:space="0" w:color="auto"/>
        <w:right w:val="none" w:sz="0" w:space="0" w:color="auto"/>
      </w:divBdr>
    </w:div>
    <w:div w:id="1928422130">
      <w:bodyDiv w:val="1"/>
      <w:marLeft w:val="0"/>
      <w:marRight w:val="0"/>
      <w:marTop w:val="0"/>
      <w:marBottom w:val="0"/>
      <w:divBdr>
        <w:top w:val="none" w:sz="0" w:space="0" w:color="auto"/>
        <w:left w:val="none" w:sz="0" w:space="0" w:color="auto"/>
        <w:bottom w:val="none" w:sz="0" w:space="0" w:color="auto"/>
        <w:right w:val="none" w:sz="0" w:space="0" w:color="auto"/>
      </w:divBdr>
    </w:div>
    <w:div w:id="1928491055">
      <w:bodyDiv w:val="1"/>
      <w:marLeft w:val="0"/>
      <w:marRight w:val="0"/>
      <w:marTop w:val="0"/>
      <w:marBottom w:val="0"/>
      <w:divBdr>
        <w:top w:val="none" w:sz="0" w:space="0" w:color="auto"/>
        <w:left w:val="none" w:sz="0" w:space="0" w:color="auto"/>
        <w:bottom w:val="none" w:sz="0" w:space="0" w:color="auto"/>
        <w:right w:val="none" w:sz="0" w:space="0" w:color="auto"/>
      </w:divBdr>
    </w:div>
    <w:div w:id="1929192065">
      <w:bodyDiv w:val="1"/>
      <w:marLeft w:val="0"/>
      <w:marRight w:val="0"/>
      <w:marTop w:val="0"/>
      <w:marBottom w:val="0"/>
      <w:divBdr>
        <w:top w:val="none" w:sz="0" w:space="0" w:color="auto"/>
        <w:left w:val="none" w:sz="0" w:space="0" w:color="auto"/>
        <w:bottom w:val="none" w:sz="0" w:space="0" w:color="auto"/>
        <w:right w:val="none" w:sz="0" w:space="0" w:color="auto"/>
      </w:divBdr>
    </w:div>
    <w:div w:id="1929265908">
      <w:bodyDiv w:val="1"/>
      <w:marLeft w:val="0"/>
      <w:marRight w:val="0"/>
      <w:marTop w:val="0"/>
      <w:marBottom w:val="0"/>
      <w:divBdr>
        <w:top w:val="none" w:sz="0" w:space="0" w:color="auto"/>
        <w:left w:val="none" w:sz="0" w:space="0" w:color="auto"/>
        <w:bottom w:val="none" w:sz="0" w:space="0" w:color="auto"/>
        <w:right w:val="none" w:sz="0" w:space="0" w:color="auto"/>
      </w:divBdr>
    </w:div>
    <w:div w:id="1930112024">
      <w:bodyDiv w:val="1"/>
      <w:marLeft w:val="0"/>
      <w:marRight w:val="0"/>
      <w:marTop w:val="0"/>
      <w:marBottom w:val="0"/>
      <w:divBdr>
        <w:top w:val="none" w:sz="0" w:space="0" w:color="auto"/>
        <w:left w:val="none" w:sz="0" w:space="0" w:color="auto"/>
        <w:bottom w:val="none" w:sz="0" w:space="0" w:color="auto"/>
        <w:right w:val="none" w:sz="0" w:space="0" w:color="auto"/>
      </w:divBdr>
    </w:div>
    <w:div w:id="1930264278">
      <w:bodyDiv w:val="1"/>
      <w:marLeft w:val="0"/>
      <w:marRight w:val="0"/>
      <w:marTop w:val="0"/>
      <w:marBottom w:val="0"/>
      <w:divBdr>
        <w:top w:val="none" w:sz="0" w:space="0" w:color="auto"/>
        <w:left w:val="none" w:sz="0" w:space="0" w:color="auto"/>
        <w:bottom w:val="none" w:sz="0" w:space="0" w:color="auto"/>
        <w:right w:val="none" w:sz="0" w:space="0" w:color="auto"/>
      </w:divBdr>
    </w:div>
    <w:div w:id="1930310403">
      <w:bodyDiv w:val="1"/>
      <w:marLeft w:val="0"/>
      <w:marRight w:val="0"/>
      <w:marTop w:val="0"/>
      <w:marBottom w:val="0"/>
      <w:divBdr>
        <w:top w:val="none" w:sz="0" w:space="0" w:color="auto"/>
        <w:left w:val="none" w:sz="0" w:space="0" w:color="auto"/>
        <w:bottom w:val="none" w:sz="0" w:space="0" w:color="auto"/>
        <w:right w:val="none" w:sz="0" w:space="0" w:color="auto"/>
      </w:divBdr>
    </w:div>
    <w:div w:id="1933009081">
      <w:bodyDiv w:val="1"/>
      <w:marLeft w:val="0"/>
      <w:marRight w:val="0"/>
      <w:marTop w:val="0"/>
      <w:marBottom w:val="0"/>
      <w:divBdr>
        <w:top w:val="none" w:sz="0" w:space="0" w:color="auto"/>
        <w:left w:val="none" w:sz="0" w:space="0" w:color="auto"/>
        <w:bottom w:val="none" w:sz="0" w:space="0" w:color="auto"/>
        <w:right w:val="none" w:sz="0" w:space="0" w:color="auto"/>
      </w:divBdr>
    </w:div>
    <w:div w:id="1935045055">
      <w:bodyDiv w:val="1"/>
      <w:marLeft w:val="0"/>
      <w:marRight w:val="0"/>
      <w:marTop w:val="0"/>
      <w:marBottom w:val="0"/>
      <w:divBdr>
        <w:top w:val="none" w:sz="0" w:space="0" w:color="auto"/>
        <w:left w:val="none" w:sz="0" w:space="0" w:color="auto"/>
        <w:bottom w:val="none" w:sz="0" w:space="0" w:color="auto"/>
        <w:right w:val="none" w:sz="0" w:space="0" w:color="auto"/>
      </w:divBdr>
    </w:div>
    <w:div w:id="1936208927">
      <w:bodyDiv w:val="1"/>
      <w:marLeft w:val="0"/>
      <w:marRight w:val="0"/>
      <w:marTop w:val="0"/>
      <w:marBottom w:val="0"/>
      <w:divBdr>
        <w:top w:val="none" w:sz="0" w:space="0" w:color="auto"/>
        <w:left w:val="none" w:sz="0" w:space="0" w:color="auto"/>
        <w:bottom w:val="none" w:sz="0" w:space="0" w:color="auto"/>
        <w:right w:val="none" w:sz="0" w:space="0" w:color="auto"/>
      </w:divBdr>
    </w:div>
    <w:div w:id="1936279951">
      <w:bodyDiv w:val="1"/>
      <w:marLeft w:val="0"/>
      <w:marRight w:val="0"/>
      <w:marTop w:val="0"/>
      <w:marBottom w:val="0"/>
      <w:divBdr>
        <w:top w:val="none" w:sz="0" w:space="0" w:color="auto"/>
        <w:left w:val="none" w:sz="0" w:space="0" w:color="auto"/>
        <w:bottom w:val="none" w:sz="0" w:space="0" w:color="auto"/>
        <w:right w:val="none" w:sz="0" w:space="0" w:color="auto"/>
      </w:divBdr>
    </w:div>
    <w:div w:id="1936598527">
      <w:bodyDiv w:val="1"/>
      <w:marLeft w:val="0"/>
      <w:marRight w:val="0"/>
      <w:marTop w:val="0"/>
      <w:marBottom w:val="0"/>
      <w:divBdr>
        <w:top w:val="none" w:sz="0" w:space="0" w:color="auto"/>
        <w:left w:val="none" w:sz="0" w:space="0" w:color="auto"/>
        <w:bottom w:val="none" w:sz="0" w:space="0" w:color="auto"/>
        <w:right w:val="none" w:sz="0" w:space="0" w:color="auto"/>
      </w:divBdr>
      <w:divsChild>
        <w:div w:id="662851875">
          <w:marLeft w:val="1166"/>
          <w:marRight w:val="0"/>
          <w:marTop w:val="96"/>
          <w:marBottom w:val="0"/>
          <w:divBdr>
            <w:top w:val="none" w:sz="0" w:space="0" w:color="auto"/>
            <w:left w:val="none" w:sz="0" w:space="0" w:color="auto"/>
            <w:bottom w:val="none" w:sz="0" w:space="0" w:color="auto"/>
            <w:right w:val="none" w:sz="0" w:space="0" w:color="auto"/>
          </w:divBdr>
        </w:div>
        <w:div w:id="754126818">
          <w:marLeft w:val="547"/>
          <w:marRight w:val="0"/>
          <w:marTop w:val="96"/>
          <w:marBottom w:val="0"/>
          <w:divBdr>
            <w:top w:val="none" w:sz="0" w:space="0" w:color="auto"/>
            <w:left w:val="none" w:sz="0" w:space="0" w:color="auto"/>
            <w:bottom w:val="none" w:sz="0" w:space="0" w:color="auto"/>
            <w:right w:val="none" w:sz="0" w:space="0" w:color="auto"/>
          </w:divBdr>
        </w:div>
        <w:div w:id="1060905609">
          <w:marLeft w:val="1166"/>
          <w:marRight w:val="0"/>
          <w:marTop w:val="96"/>
          <w:marBottom w:val="0"/>
          <w:divBdr>
            <w:top w:val="none" w:sz="0" w:space="0" w:color="auto"/>
            <w:left w:val="none" w:sz="0" w:space="0" w:color="auto"/>
            <w:bottom w:val="none" w:sz="0" w:space="0" w:color="auto"/>
            <w:right w:val="none" w:sz="0" w:space="0" w:color="auto"/>
          </w:divBdr>
        </w:div>
        <w:div w:id="1136487244">
          <w:marLeft w:val="1166"/>
          <w:marRight w:val="0"/>
          <w:marTop w:val="96"/>
          <w:marBottom w:val="0"/>
          <w:divBdr>
            <w:top w:val="none" w:sz="0" w:space="0" w:color="auto"/>
            <w:left w:val="none" w:sz="0" w:space="0" w:color="auto"/>
            <w:bottom w:val="none" w:sz="0" w:space="0" w:color="auto"/>
            <w:right w:val="none" w:sz="0" w:space="0" w:color="auto"/>
          </w:divBdr>
        </w:div>
        <w:div w:id="1295451198">
          <w:marLeft w:val="1166"/>
          <w:marRight w:val="0"/>
          <w:marTop w:val="96"/>
          <w:marBottom w:val="0"/>
          <w:divBdr>
            <w:top w:val="none" w:sz="0" w:space="0" w:color="auto"/>
            <w:left w:val="none" w:sz="0" w:space="0" w:color="auto"/>
            <w:bottom w:val="none" w:sz="0" w:space="0" w:color="auto"/>
            <w:right w:val="none" w:sz="0" w:space="0" w:color="auto"/>
          </w:divBdr>
        </w:div>
        <w:div w:id="1589924049">
          <w:marLeft w:val="1800"/>
          <w:marRight w:val="0"/>
          <w:marTop w:val="96"/>
          <w:marBottom w:val="0"/>
          <w:divBdr>
            <w:top w:val="none" w:sz="0" w:space="0" w:color="auto"/>
            <w:left w:val="none" w:sz="0" w:space="0" w:color="auto"/>
            <w:bottom w:val="none" w:sz="0" w:space="0" w:color="auto"/>
            <w:right w:val="none" w:sz="0" w:space="0" w:color="auto"/>
          </w:divBdr>
        </w:div>
        <w:div w:id="1919360106">
          <w:marLeft w:val="1800"/>
          <w:marRight w:val="0"/>
          <w:marTop w:val="96"/>
          <w:marBottom w:val="0"/>
          <w:divBdr>
            <w:top w:val="none" w:sz="0" w:space="0" w:color="auto"/>
            <w:left w:val="none" w:sz="0" w:space="0" w:color="auto"/>
            <w:bottom w:val="none" w:sz="0" w:space="0" w:color="auto"/>
            <w:right w:val="none" w:sz="0" w:space="0" w:color="auto"/>
          </w:divBdr>
        </w:div>
        <w:div w:id="2104644558">
          <w:marLeft w:val="1166"/>
          <w:marRight w:val="0"/>
          <w:marTop w:val="96"/>
          <w:marBottom w:val="0"/>
          <w:divBdr>
            <w:top w:val="none" w:sz="0" w:space="0" w:color="auto"/>
            <w:left w:val="none" w:sz="0" w:space="0" w:color="auto"/>
            <w:bottom w:val="none" w:sz="0" w:space="0" w:color="auto"/>
            <w:right w:val="none" w:sz="0" w:space="0" w:color="auto"/>
          </w:divBdr>
        </w:div>
      </w:divsChild>
    </w:div>
    <w:div w:id="1936937045">
      <w:bodyDiv w:val="1"/>
      <w:marLeft w:val="0"/>
      <w:marRight w:val="0"/>
      <w:marTop w:val="0"/>
      <w:marBottom w:val="0"/>
      <w:divBdr>
        <w:top w:val="none" w:sz="0" w:space="0" w:color="auto"/>
        <w:left w:val="none" w:sz="0" w:space="0" w:color="auto"/>
        <w:bottom w:val="none" w:sz="0" w:space="0" w:color="auto"/>
        <w:right w:val="none" w:sz="0" w:space="0" w:color="auto"/>
      </w:divBdr>
    </w:div>
    <w:div w:id="1937055629">
      <w:bodyDiv w:val="1"/>
      <w:marLeft w:val="0"/>
      <w:marRight w:val="0"/>
      <w:marTop w:val="0"/>
      <w:marBottom w:val="0"/>
      <w:divBdr>
        <w:top w:val="none" w:sz="0" w:space="0" w:color="auto"/>
        <w:left w:val="none" w:sz="0" w:space="0" w:color="auto"/>
        <w:bottom w:val="none" w:sz="0" w:space="0" w:color="auto"/>
        <w:right w:val="none" w:sz="0" w:space="0" w:color="auto"/>
      </w:divBdr>
      <w:divsChild>
        <w:div w:id="500316518">
          <w:marLeft w:val="360"/>
          <w:marRight w:val="0"/>
          <w:marTop w:val="200"/>
          <w:marBottom w:val="0"/>
          <w:divBdr>
            <w:top w:val="none" w:sz="0" w:space="0" w:color="auto"/>
            <w:left w:val="none" w:sz="0" w:space="0" w:color="auto"/>
            <w:bottom w:val="none" w:sz="0" w:space="0" w:color="auto"/>
            <w:right w:val="none" w:sz="0" w:space="0" w:color="auto"/>
          </w:divBdr>
        </w:div>
        <w:div w:id="691538883">
          <w:marLeft w:val="360"/>
          <w:marRight w:val="0"/>
          <w:marTop w:val="200"/>
          <w:marBottom w:val="0"/>
          <w:divBdr>
            <w:top w:val="none" w:sz="0" w:space="0" w:color="auto"/>
            <w:left w:val="none" w:sz="0" w:space="0" w:color="auto"/>
            <w:bottom w:val="none" w:sz="0" w:space="0" w:color="auto"/>
            <w:right w:val="none" w:sz="0" w:space="0" w:color="auto"/>
          </w:divBdr>
        </w:div>
        <w:div w:id="802426393">
          <w:marLeft w:val="1080"/>
          <w:marRight w:val="0"/>
          <w:marTop w:val="100"/>
          <w:marBottom w:val="0"/>
          <w:divBdr>
            <w:top w:val="none" w:sz="0" w:space="0" w:color="auto"/>
            <w:left w:val="none" w:sz="0" w:space="0" w:color="auto"/>
            <w:bottom w:val="none" w:sz="0" w:space="0" w:color="auto"/>
            <w:right w:val="none" w:sz="0" w:space="0" w:color="auto"/>
          </w:divBdr>
        </w:div>
        <w:div w:id="871040897">
          <w:marLeft w:val="360"/>
          <w:marRight w:val="0"/>
          <w:marTop w:val="200"/>
          <w:marBottom w:val="0"/>
          <w:divBdr>
            <w:top w:val="none" w:sz="0" w:space="0" w:color="auto"/>
            <w:left w:val="none" w:sz="0" w:space="0" w:color="auto"/>
            <w:bottom w:val="none" w:sz="0" w:space="0" w:color="auto"/>
            <w:right w:val="none" w:sz="0" w:space="0" w:color="auto"/>
          </w:divBdr>
        </w:div>
        <w:div w:id="1372415321">
          <w:marLeft w:val="1080"/>
          <w:marRight w:val="0"/>
          <w:marTop w:val="100"/>
          <w:marBottom w:val="0"/>
          <w:divBdr>
            <w:top w:val="none" w:sz="0" w:space="0" w:color="auto"/>
            <w:left w:val="none" w:sz="0" w:space="0" w:color="auto"/>
            <w:bottom w:val="none" w:sz="0" w:space="0" w:color="auto"/>
            <w:right w:val="none" w:sz="0" w:space="0" w:color="auto"/>
          </w:divBdr>
        </w:div>
        <w:div w:id="1592157617">
          <w:marLeft w:val="360"/>
          <w:marRight w:val="0"/>
          <w:marTop w:val="200"/>
          <w:marBottom w:val="0"/>
          <w:divBdr>
            <w:top w:val="none" w:sz="0" w:space="0" w:color="auto"/>
            <w:left w:val="none" w:sz="0" w:space="0" w:color="auto"/>
            <w:bottom w:val="none" w:sz="0" w:space="0" w:color="auto"/>
            <w:right w:val="none" w:sz="0" w:space="0" w:color="auto"/>
          </w:divBdr>
        </w:div>
        <w:div w:id="1676103884">
          <w:marLeft w:val="360"/>
          <w:marRight w:val="0"/>
          <w:marTop w:val="200"/>
          <w:marBottom w:val="0"/>
          <w:divBdr>
            <w:top w:val="none" w:sz="0" w:space="0" w:color="auto"/>
            <w:left w:val="none" w:sz="0" w:space="0" w:color="auto"/>
            <w:bottom w:val="none" w:sz="0" w:space="0" w:color="auto"/>
            <w:right w:val="none" w:sz="0" w:space="0" w:color="auto"/>
          </w:divBdr>
        </w:div>
      </w:divsChild>
    </w:div>
    <w:div w:id="1938446616">
      <w:bodyDiv w:val="1"/>
      <w:marLeft w:val="0"/>
      <w:marRight w:val="0"/>
      <w:marTop w:val="0"/>
      <w:marBottom w:val="0"/>
      <w:divBdr>
        <w:top w:val="none" w:sz="0" w:space="0" w:color="auto"/>
        <w:left w:val="none" w:sz="0" w:space="0" w:color="auto"/>
        <w:bottom w:val="none" w:sz="0" w:space="0" w:color="auto"/>
        <w:right w:val="none" w:sz="0" w:space="0" w:color="auto"/>
      </w:divBdr>
      <w:divsChild>
        <w:div w:id="131754582">
          <w:marLeft w:val="1800"/>
          <w:marRight w:val="0"/>
          <w:marTop w:val="91"/>
          <w:marBottom w:val="0"/>
          <w:divBdr>
            <w:top w:val="none" w:sz="0" w:space="0" w:color="auto"/>
            <w:left w:val="none" w:sz="0" w:space="0" w:color="auto"/>
            <w:bottom w:val="none" w:sz="0" w:space="0" w:color="auto"/>
            <w:right w:val="none" w:sz="0" w:space="0" w:color="auto"/>
          </w:divBdr>
        </w:div>
        <w:div w:id="337847671">
          <w:marLeft w:val="1166"/>
          <w:marRight w:val="0"/>
          <w:marTop w:val="106"/>
          <w:marBottom w:val="0"/>
          <w:divBdr>
            <w:top w:val="none" w:sz="0" w:space="0" w:color="auto"/>
            <w:left w:val="none" w:sz="0" w:space="0" w:color="auto"/>
            <w:bottom w:val="none" w:sz="0" w:space="0" w:color="auto"/>
            <w:right w:val="none" w:sz="0" w:space="0" w:color="auto"/>
          </w:divBdr>
        </w:div>
        <w:div w:id="478498578">
          <w:marLeft w:val="1166"/>
          <w:marRight w:val="0"/>
          <w:marTop w:val="106"/>
          <w:marBottom w:val="0"/>
          <w:divBdr>
            <w:top w:val="none" w:sz="0" w:space="0" w:color="auto"/>
            <w:left w:val="none" w:sz="0" w:space="0" w:color="auto"/>
            <w:bottom w:val="none" w:sz="0" w:space="0" w:color="auto"/>
            <w:right w:val="none" w:sz="0" w:space="0" w:color="auto"/>
          </w:divBdr>
        </w:div>
        <w:div w:id="603195496">
          <w:marLeft w:val="547"/>
          <w:marRight w:val="0"/>
          <w:marTop w:val="125"/>
          <w:marBottom w:val="0"/>
          <w:divBdr>
            <w:top w:val="none" w:sz="0" w:space="0" w:color="auto"/>
            <w:left w:val="none" w:sz="0" w:space="0" w:color="auto"/>
            <w:bottom w:val="none" w:sz="0" w:space="0" w:color="auto"/>
            <w:right w:val="none" w:sz="0" w:space="0" w:color="auto"/>
          </w:divBdr>
        </w:div>
        <w:div w:id="886064245">
          <w:marLeft w:val="1800"/>
          <w:marRight w:val="0"/>
          <w:marTop w:val="91"/>
          <w:marBottom w:val="0"/>
          <w:divBdr>
            <w:top w:val="none" w:sz="0" w:space="0" w:color="auto"/>
            <w:left w:val="none" w:sz="0" w:space="0" w:color="auto"/>
            <w:bottom w:val="none" w:sz="0" w:space="0" w:color="auto"/>
            <w:right w:val="none" w:sz="0" w:space="0" w:color="auto"/>
          </w:divBdr>
        </w:div>
        <w:div w:id="1295333343">
          <w:marLeft w:val="1800"/>
          <w:marRight w:val="0"/>
          <w:marTop w:val="91"/>
          <w:marBottom w:val="0"/>
          <w:divBdr>
            <w:top w:val="none" w:sz="0" w:space="0" w:color="auto"/>
            <w:left w:val="none" w:sz="0" w:space="0" w:color="auto"/>
            <w:bottom w:val="none" w:sz="0" w:space="0" w:color="auto"/>
            <w:right w:val="none" w:sz="0" w:space="0" w:color="auto"/>
          </w:divBdr>
        </w:div>
        <w:div w:id="1341739792">
          <w:marLeft w:val="1166"/>
          <w:marRight w:val="0"/>
          <w:marTop w:val="106"/>
          <w:marBottom w:val="0"/>
          <w:divBdr>
            <w:top w:val="none" w:sz="0" w:space="0" w:color="auto"/>
            <w:left w:val="none" w:sz="0" w:space="0" w:color="auto"/>
            <w:bottom w:val="none" w:sz="0" w:space="0" w:color="auto"/>
            <w:right w:val="none" w:sz="0" w:space="0" w:color="auto"/>
          </w:divBdr>
        </w:div>
        <w:div w:id="1501844509">
          <w:marLeft w:val="1800"/>
          <w:marRight w:val="0"/>
          <w:marTop w:val="91"/>
          <w:marBottom w:val="0"/>
          <w:divBdr>
            <w:top w:val="none" w:sz="0" w:space="0" w:color="auto"/>
            <w:left w:val="none" w:sz="0" w:space="0" w:color="auto"/>
            <w:bottom w:val="none" w:sz="0" w:space="0" w:color="auto"/>
            <w:right w:val="none" w:sz="0" w:space="0" w:color="auto"/>
          </w:divBdr>
        </w:div>
        <w:div w:id="1748649227">
          <w:marLeft w:val="1800"/>
          <w:marRight w:val="0"/>
          <w:marTop w:val="91"/>
          <w:marBottom w:val="0"/>
          <w:divBdr>
            <w:top w:val="none" w:sz="0" w:space="0" w:color="auto"/>
            <w:left w:val="none" w:sz="0" w:space="0" w:color="auto"/>
            <w:bottom w:val="none" w:sz="0" w:space="0" w:color="auto"/>
            <w:right w:val="none" w:sz="0" w:space="0" w:color="auto"/>
          </w:divBdr>
        </w:div>
        <w:div w:id="2027369393">
          <w:marLeft w:val="1800"/>
          <w:marRight w:val="0"/>
          <w:marTop w:val="91"/>
          <w:marBottom w:val="0"/>
          <w:divBdr>
            <w:top w:val="none" w:sz="0" w:space="0" w:color="auto"/>
            <w:left w:val="none" w:sz="0" w:space="0" w:color="auto"/>
            <w:bottom w:val="none" w:sz="0" w:space="0" w:color="auto"/>
            <w:right w:val="none" w:sz="0" w:space="0" w:color="auto"/>
          </w:divBdr>
        </w:div>
      </w:divsChild>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39438285">
      <w:bodyDiv w:val="1"/>
      <w:marLeft w:val="0"/>
      <w:marRight w:val="0"/>
      <w:marTop w:val="0"/>
      <w:marBottom w:val="0"/>
      <w:divBdr>
        <w:top w:val="none" w:sz="0" w:space="0" w:color="auto"/>
        <w:left w:val="none" w:sz="0" w:space="0" w:color="auto"/>
        <w:bottom w:val="none" w:sz="0" w:space="0" w:color="auto"/>
        <w:right w:val="none" w:sz="0" w:space="0" w:color="auto"/>
      </w:divBdr>
    </w:div>
    <w:div w:id="1939484073">
      <w:bodyDiv w:val="1"/>
      <w:marLeft w:val="0"/>
      <w:marRight w:val="0"/>
      <w:marTop w:val="0"/>
      <w:marBottom w:val="0"/>
      <w:divBdr>
        <w:top w:val="none" w:sz="0" w:space="0" w:color="auto"/>
        <w:left w:val="none" w:sz="0" w:space="0" w:color="auto"/>
        <w:bottom w:val="none" w:sz="0" w:space="0" w:color="auto"/>
        <w:right w:val="none" w:sz="0" w:space="0" w:color="auto"/>
      </w:divBdr>
    </w:div>
    <w:div w:id="1940795981">
      <w:bodyDiv w:val="1"/>
      <w:marLeft w:val="0"/>
      <w:marRight w:val="0"/>
      <w:marTop w:val="0"/>
      <w:marBottom w:val="0"/>
      <w:divBdr>
        <w:top w:val="none" w:sz="0" w:space="0" w:color="auto"/>
        <w:left w:val="none" w:sz="0" w:space="0" w:color="auto"/>
        <w:bottom w:val="none" w:sz="0" w:space="0" w:color="auto"/>
        <w:right w:val="none" w:sz="0" w:space="0" w:color="auto"/>
      </w:divBdr>
    </w:div>
    <w:div w:id="1940944648">
      <w:bodyDiv w:val="1"/>
      <w:marLeft w:val="0"/>
      <w:marRight w:val="0"/>
      <w:marTop w:val="0"/>
      <w:marBottom w:val="0"/>
      <w:divBdr>
        <w:top w:val="none" w:sz="0" w:space="0" w:color="auto"/>
        <w:left w:val="none" w:sz="0" w:space="0" w:color="auto"/>
        <w:bottom w:val="none" w:sz="0" w:space="0" w:color="auto"/>
        <w:right w:val="none" w:sz="0" w:space="0" w:color="auto"/>
      </w:divBdr>
    </w:div>
    <w:div w:id="1940988476">
      <w:bodyDiv w:val="1"/>
      <w:marLeft w:val="0"/>
      <w:marRight w:val="0"/>
      <w:marTop w:val="0"/>
      <w:marBottom w:val="0"/>
      <w:divBdr>
        <w:top w:val="none" w:sz="0" w:space="0" w:color="auto"/>
        <w:left w:val="none" w:sz="0" w:space="0" w:color="auto"/>
        <w:bottom w:val="none" w:sz="0" w:space="0" w:color="auto"/>
        <w:right w:val="none" w:sz="0" w:space="0" w:color="auto"/>
      </w:divBdr>
    </w:div>
    <w:div w:id="1941598265">
      <w:bodyDiv w:val="1"/>
      <w:marLeft w:val="0"/>
      <w:marRight w:val="0"/>
      <w:marTop w:val="0"/>
      <w:marBottom w:val="0"/>
      <w:divBdr>
        <w:top w:val="none" w:sz="0" w:space="0" w:color="auto"/>
        <w:left w:val="none" w:sz="0" w:space="0" w:color="auto"/>
        <w:bottom w:val="none" w:sz="0" w:space="0" w:color="auto"/>
        <w:right w:val="none" w:sz="0" w:space="0" w:color="auto"/>
      </w:divBdr>
    </w:div>
    <w:div w:id="1942059245">
      <w:bodyDiv w:val="1"/>
      <w:marLeft w:val="0"/>
      <w:marRight w:val="0"/>
      <w:marTop w:val="0"/>
      <w:marBottom w:val="0"/>
      <w:divBdr>
        <w:top w:val="none" w:sz="0" w:space="0" w:color="auto"/>
        <w:left w:val="none" w:sz="0" w:space="0" w:color="auto"/>
        <w:bottom w:val="none" w:sz="0" w:space="0" w:color="auto"/>
        <w:right w:val="none" w:sz="0" w:space="0" w:color="auto"/>
      </w:divBdr>
    </w:div>
    <w:div w:id="1942447773">
      <w:bodyDiv w:val="1"/>
      <w:marLeft w:val="0"/>
      <w:marRight w:val="0"/>
      <w:marTop w:val="0"/>
      <w:marBottom w:val="0"/>
      <w:divBdr>
        <w:top w:val="none" w:sz="0" w:space="0" w:color="auto"/>
        <w:left w:val="none" w:sz="0" w:space="0" w:color="auto"/>
        <w:bottom w:val="none" w:sz="0" w:space="0" w:color="auto"/>
        <w:right w:val="none" w:sz="0" w:space="0" w:color="auto"/>
      </w:divBdr>
    </w:div>
    <w:div w:id="1942831204">
      <w:bodyDiv w:val="1"/>
      <w:marLeft w:val="0"/>
      <w:marRight w:val="0"/>
      <w:marTop w:val="0"/>
      <w:marBottom w:val="0"/>
      <w:divBdr>
        <w:top w:val="none" w:sz="0" w:space="0" w:color="auto"/>
        <w:left w:val="none" w:sz="0" w:space="0" w:color="auto"/>
        <w:bottom w:val="none" w:sz="0" w:space="0" w:color="auto"/>
        <w:right w:val="none" w:sz="0" w:space="0" w:color="auto"/>
      </w:divBdr>
    </w:div>
    <w:div w:id="1943144218">
      <w:bodyDiv w:val="1"/>
      <w:marLeft w:val="0"/>
      <w:marRight w:val="0"/>
      <w:marTop w:val="0"/>
      <w:marBottom w:val="0"/>
      <w:divBdr>
        <w:top w:val="none" w:sz="0" w:space="0" w:color="auto"/>
        <w:left w:val="none" w:sz="0" w:space="0" w:color="auto"/>
        <w:bottom w:val="none" w:sz="0" w:space="0" w:color="auto"/>
        <w:right w:val="none" w:sz="0" w:space="0" w:color="auto"/>
      </w:divBdr>
    </w:div>
    <w:div w:id="1943567282">
      <w:bodyDiv w:val="1"/>
      <w:marLeft w:val="0"/>
      <w:marRight w:val="0"/>
      <w:marTop w:val="0"/>
      <w:marBottom w:val="0"/>
      <w:divBdr>
        <w:top w:val="none" w:sz="0" w:space="0" w:color="auto"/>
        <w:left w:val="none" w:sz="0" w:space="0" w:color="auto"/>
        <w:bottom w:val="none" w:sz="0" w:space="0" w:color="auto"/>
        <w:right w:val="none" w:sz="0" w:space="0" w:color="auto"/>
      </w:divBdr>
    </w:div>
    <w:div w:id="1943877640">
      <w:bodyDiv w:val="1"/>
      <w:marLeft w:val="0"/>
      <w:marRight w:val="0"/>
      <w:marTop w:val="0"/>
      <w:marBottom w:val="0"/>
      <w:divBdr>
        <w:top w:val="none" w:sz="0" w:space="0" w:color="auto"/>
        <w:left w:val="none" w:sz="0" w:space="0" w:color="auto"/>
        <w:bottom w:val="none" w:sz="0" w:space="0" w:color="auto"/>
        <w:right w:val="none" w:sz="0" w:space="0" w:color="auto"/>
      </w:divBdr>
    </w:div>
    <w:div w:id="1944338863">
      <w:bodyDiv w:val="1"/>
      <w:marLeft w:val="0"/>
      <w:marRight w:val="0"/>
      <w:marTop w:val="0"/>
      <w:marBottom w:val="0"/>
      <w:divBdr>
        <w:top w:val="none" w:sz="0" w:space="0" w:color="auto"/>
        <w:left w:val="none" w:sz="0" w:space="0" w:color="auto"/>
        <w:bottom w:val="none" w:sz="0" w:space="0" w:color="auto"/>
        <w:right w:val="none" w:sz="0" w:space="0" w:color="auto"/>
      </w:divBdr>
      <w:divsChild>
        <w:div w:id="121265160">
          <w:marLeft w:val="1166"/>
          <w:marRight w:val="0"/>
          <w:marTop w:val="115"/>
          <w:marBottom w:val="0"/>
          <w:divBdr>
            <w:top w:val="none" w:sz="0" w:space="0" w:color="auto"/>
            <w:left w:val="none" w:sz="0" w:space="0" w:color="auto"/>
            <w:bottom w:val="none" w:sz="0" w:space="0" w:color="auto"/>
            <w:right w:val="none" w:sz="0" w:space="0" w:color="auto"/>
          </w:divBdr>
        </w:div>
        <w:div w:id="160045561">
          <w:marLeft w:val="1800"/>
          <w:marRight w:val="0"/>
          <w:marTop w:val="115"/>
          <w:marBottom w:val="0"/>
          <w:divBdr>
            <w:top w:val="none" w:sz="0" w:space="0" w:color="auto"/>
            <w:left w:val="none" w:sz="0" w:space="0" w:color="auto"/>
            <w:bottom w:val="none" w:sz="0" w:space="0" w:color="auto"/>
            <w:right w:val="none" w:sz="0" w:space="0" w:color="auto"/>
          </w:divBdr>
        </w:div>
        <w:div w:id="889682299">
          <w:marLeft w:val="547"/>
          <w:marRight w:val="0"/>
          <w:marTop w:val="115"/>
          <w:marBottom w:val="0"/>
          <w:divBdr>
            <w:top w:val="none" w:sz="0" w:space="0" w:color="auto"/>
            <w:left w:val="none" w:sz="0" w:space="0" w:color="auto"/>
            <w:bottom w:val="none" w:sz="0" w:space="0" w:color="auto"/>
            <w:right w:val="none" w:sz="0" w:space="0" w:color="auto"/>
          </w:divBdr>
        </w:div>
        <w:div w:id="1344550905">
          <w:marLeft w:val="1166"/>
          <w:marRight w:val="0"/>
          <w:marTop w:val="115"/>
          <w:marBottom w:val="0"/>
          <w:divBdr>
            <w:top w:val="none" w:sz="0" w:space="0" w:color="auto"/>
            <w:left w:val="none" w:sz="0" w:space="0" w:color="auto"/>
            <w:bottom w:val="none" w:sz="0" w:space="0" w:color="auto"/>
            <w:right w:val="none" w:sz="0" w:space="0" w:color="auto"/>
          </w:divBdr>
        </w:div>
        <w:div w:id="1409497636">
          <w:marLeft w:val="1800"/>
          <w:marRight w:val="0"/>
          <w:marTop w:val="115"/>
          <w:marBottom w:val="0"/>
          <w:divBdr>
            <w:top w:val="none" w:sz="0" w:space="0" w:color="auto"/>
            <w:left w:val="none" w:sz="0" w:space="0" w:color="auto"/>
            <w:bottom w:val="none" w:sz="0" w:space="0" w:color="auto"/>
            <w:right w:val="none" w:sz="0" w:space="0" w:color="auto"/>
          </w:divBdr>
        </w:div>
      </w:divsChild>
    </w:div>
    <w:div w:id="1944611702">
      <w:bodyDiv w:val="1"/>
      <w:marLeft w:val="0"/>
      <w:marRight w:val="0"/>
      <w:marTop w:val="0"/>
      <w:marBottom w:val="0"/>
      <w:divBdr>
        <w:top w:val="none" w:sz="0" w:space="0" w:color="auto"/>
        <w:left w:val="none" w:sz="0" w:space="0" w:color="auto"/>
        <w:bottom w:val="none" w:sz="0" w:space="0" w:color="auto"/>
        <w:right w:val="none" w:sz="0" w:space="0" w:color="auto"/>
      </w:divBdr>
      <w:divsChild>
        <w:div w:id="2830022">
          <w:marLeft w:val="1354"/>
          <w:marRight w:val="0"/>
          <w:marTop w:val="75"/>
          <w:marBottom w:val="0"/>
          <w:divBdr>
            <w:top w:val="none" w:sz="0" w:space="0" w:color="auto"/>
            <w:left w:val="none" w:sz="0" w:space="0" w:color="auto"/>
            <w:bottom w:val="none" w:sz="0" w:space="0" w:color="auto"/>
            <w:right w:val="none" w:sz="0" w:space="0" w:color="auto"/>
          </w:divBdr>
        </w:div>
        <w:div w:id="36207105">
          <w:marLeft w:val="274"/>
          <w:marRight w:val="0"/>
          <w:marTop w:val="150"/>
          <w:marBottom w:val="0"/>
          <w:divBdr>
            <w:top w:val="none" w:sz="0" w:space="0" w:color="auto"/>
            <w:left w:val="none" w:sz="0" w:space="0" w:color="auto"/>
            <w:bottom w:val="none" w:sz="0" w:space="0" w:color="auto"/>
            <w:right w:val="none" w:sz="0" w:space="0" w:color="auto"/>
          </w:divBdr>
        </w:div>
        <w:div w:id="395008280">
          <w:marLeft w:val="274"/>
          <w:marRight w:val="0"/>
          <w:marTop w:val="150"/>
          <w:marBottom w:val="0"/>
          <w:divBdr>
            <w:top w:val="none" w:sz="0" w:space="0" w:color="auto"/>
            <w:left w:val="none" w:sz="0" w:space="0" w:color="auto"/>
            <w:bottom w:val="none" w:sz="0" w:space="0" w:color="auto"/>
            <w:right w:val="none" w:sz="0" w:space="0" w:color="auto"/>
          </w:divBdr>
        </w:div>
        <w:div w:id="532421518">
          <w:marLeft w:val="1354"/>
          <w:marRight w:val="0"/>
          <w:marTop w:val="75"/>
          <w:marBottom w:val="0"/>
          <w:divBdr>
            <w:top w:val="none" w:sz="0" w:space="0" w:color="auto"/>
            <w:left w:val="none" w:sz="0" w:space="0" w:color="auto"/>
            <w:bottom w:val="none" w:sz="0" w:space="0" w:color="auto"/>
            <w:right w:val="none" w:sz="0" w:space="0" w:color="auto"/>
          </w:divBdr>
        </w:div>
        <w:div w:id="849830135">
          <w:marLeft w:val="274"/>
          <w:marRight w:val="0"/>
          <w:marTop w:val="150"/>
          <w:marBottom w:val="0"/>
          <w:divBdr>
            <w:top w:val="none" w:sz="0" w:space="0" w:color="auto"/>
            <w:left w:val="none" w:sz="0" w:space="0" w:color="auto"/>
            <w:bottom w:val="none" w:sz="0" w:space="0" w:color="auto"/>
            <w:right w:val="none" w:sz="0" w:space="0" w:color="auto"/>
          </w:divBdr>
        </w:div>
        <w:div w:id="1010718653">
          <w:marLeft w:val="806"/>
          <w:marRight w:val="0"/>
          <w:marTop w:val="75"/>
          <w:marBottom w:val="0"/>
          <w:divBdr>
            <w:top w:val="none" w:sz="0" w:space="0" w:color="auto"/>
            <w:left w:val="none" w:sz="0" w:space="0" w:color="auto"/>
            <w:bottom w:val="none" w:sz="0" w:space="0" w:color="auto"/>
            <w:right w:val="none" w:sz="0" w:space="0" w:color="auto"/>
          </w:divBdr>
        </w:div>
        <w:div w:id="1047031102">
          <w:marLeft w:val="806"/>
          <w:marRight w:val="0"/>
          <w:marTop w:val="75"/>
          <w:marBottom w:val="0"/>
          <w:divBdr>
            <w:top w:val="none" w:sz="0" w:space="0" w:color="auto"/>
            <w:left w:val="none" w:sz="0" w:space="0" w:color="auto"/>
            <w:bottom w:val="none" w:sz="0" w:space="0" w:color="auto"/>
            <w:right w:val="none" w:sz="0" w:space="0" w:color="auto"/>
          </w:divBdr>
        </w:div>
        <w:div w:id="1193808824">
          <w:marLeft w:val="274"/>
          <w:marRight w:val="0"/>
          <w:marTop w:val="150"/>
          <w:marBottom w:val="0"/>
          <w:divBdr>
            <w:top w:val="none" w:sz="0" w:space="0" w:color="auto"/>
            <w:left w:val="none" w:sz="0" w:space="0" w:color="auto"/>
            <w:bottom w:val="none" w:sz="0" w:space="0" w:color="auto"/>
            <w:right w:val="none" w:sz="0" w:space="0" w:color="auto"/>
          </w:divBdr>
        </w:div>
        <w:div w:id="1234314394">
          <w:marLeft w:val="806"/>
          <w:marRight w:val="0"/>
          <w:marTop w:val="75"/>
          <w:marBottom w:val="0"/>
          <w:divBdr>
            <w:top w:val="none" w:sz="0" w:space="0" w:color="auto"/>
            <w:left w:val="none" w:sz="0" w:space="0" w:color="auto"/>
            <w:bottom w:val="none" w:sz="0" w:space="0" w:color="auto"/>
            <w:right w:val="none" w:sz="0" w:space="0" w:color="auto"/>
          </w:divBdr>
        </w:div>
        <w:div w:id="1507985605">
          <w:marLeft w:val="1354"/>
          <w:marRight w:val="0"/>
          <w:marTop w:val="75"/>
          <w:marBottom w:val="0"/>
          <w:divBdr>
            <w:top w:val="none" w:sz="0" w:space="0" w:color="auto"/>
            <w:left w:val="none" w:sz="0" w:space="0" w:color="auto"/>
            <w:bottom w:val="none" w:sz="0" w:space="0" w:color="auto"/>
            <w:right w:val="none" w:sz="0" w:space="0" w:color="auto"/>
          </w:divBdr>
        </w:div>
        <w:div w:id="1976373639">
          <w:marLeft w:val="806"/>
          <w:marRight w:val="0"/>
          <w:marTop w:val="75"/>
          <w:marBottom w:val="0"/>
          <w:divBdr>
            <w:top w:val="none" w:sz="0" w:space="0" w:color="auto"/>
            <w:left w:val="none" w:sz="0" w:space="0" w:color="auto"/>
            <w:bottom w:val="none" w:sz="0" w:space="0" w:color="auto"/>
            <w:right w:val="none" w:sz="0" w:space="0" w:color="auto"/>
          </w:divBdr>
        </w:div>
        <w:div w:id="2072533646">
          <w:marLeft w:val="1354"/>
          <w:marRight w:val="0"/>
          <w:marTop w:val="75"/>
          <w:marBottom w:val="0"/>
          <w:divBdr>
            <w:top w:val="none" w:sz="0" w:space="0" w:color="auto"/>
            <w:left w:val="none" w:sz="0" w:space="0" w:color="auto"/>
            <w:bottom w:val="none" w:sz="0" w:space="0" w:color="auto"/>
            <w:right w:val="none" w:sz="0" w:space="0" w:color="auto"/>
          </w:divBdr>
        </w:div>
      </w:divsChild>
    </w:div>
    <w:div w:id="1944805867">
      <w:bodyDiv w:val="1"/>
      <w:marLeft w:val="0"/>
      <w:marRight w:val="0"/>
      <w:marTop w:val="0"/>
      <w:marBottom w:val="0"/>
      <w:divBdr>
        <w:top w:val="none" w:sz="0" w:space="0" w:color="auto"/>
        <w:left w:val="none" w:sz="0" w:space="0" w:color="auto"/>
        <w:bottom w:val="none" w:sz="0" w:space="0" w:color="auto"/>
        <w:right w:val="none" w:sz="0" w:space="0" w:color="auto"/>
      </w:divBdr>
    </w:div>
    <w:div w:id="1944915063">
      <w:bodyDiv w:val="1"/>
      <w:marLeft w:val="0"/>
      <w:marRight w:val="0"/>
      <w:marTop w:val="0"/>
      <w:marBottom w:val="0"/>
      <w:divBdr>
        <w:top w:val="none" w:sz="0" w:space="0" w:color="auto"/>
        <w:left w:val="none" w:sz="0" w:space="0" w:color="auto"/>
        <w:bottom w:val="none" w:sz="0" w:space="0" w:color="auto"/>
        <w:right w:val="none" w:sz="0" w:space="0" w:color="auto"/>
      </w:divBdr>
    </w:div>
    <w:div w:id="1944997662">
      <w:bodyDiv w:val="1"/>
      <w:marLeft w:val="0"/>
      <w:marRight w:val="0"/>
      <w:marTop w:val="0"/>
      <w:marBottom w:val="0"/>
      <w:divBdr>
        <w:top w:val="none" w:sz="0" w:space="0" w:color="auto"/>
        <w:left w:val="none" w:sz="0" w:space="0" w:color="auto"/>
        <w:bottom w:val="none" w:sz="0" w:space="0" w:color="auto"/>
        <w:right w:val="none" w:sz="0" w:space="0" w:color="auto"/>
      </w:divBdr>
    </w:div>
    <w:div w:id="1945305775">
      <w:bodyDiv w:val="1"/>
      <w:marLeft w:val="0"/>
      <w:marRight w:val="0"/>
      <w:marTop w:val="0"/>
      <w:marBottom w:val="0"/>
      <w:divBdr>
        <w:top w:val="none" w:sz="0" w:space="0" w:color="auto"/>
        <w:left w:val="none" w:sz="0" w:space="0" w:color="auto"/>
        <w:bottom w:val="none" w:sz="0" w:space="0" w:color="auto"/>
        <w:right w:val="none" w:sz="0" w:space="0" w:color="auto"/>
      </w:divBdr>
    </w:div>
    <w:div w:id="1947469189">
      <w:bodyDiv w:val="1"/>
      <w:marLeft w:val="0"/>
      <w:marRight w:val="0"/>
      <w:marTop w:val="0"/>
      <w:marBottom w:val="0"/>
      <w:divBdr>
        <w:top w:val="none" w:sz="0" w:space="0" w:color="auto"/>
        <w:left w:val="none" w:sz="0" w:space="0" w:color="auto"/>
        <w:bottom w:val="none" w:sz="0" w:space="0" w:color="auto"/>
        <w:right w:val="none" w:sz="0" w:space="0" w:color="auto"/>
      </w:divBdr>
    </w:div>
    <w:div w:id="1947689895">
      <w:bodyDiv w:val="1"/>
      <w:marLeft w:val="0"/>
      <w:marRight w:val="0"/>
      <w:marTop w:val="0"/>
      <w:marBottom w:val="0"/>
      <w:divBdr>
        <w:top w:val="none" w:sz="0" w:space="0" w:color="auto"/>
        <w:left w:val="none" w:sz="0" w:space="0" w:color="auto"/>
        <w:bottom w:val="none" w:sz="0" w:space="0" w:color="auto"/>
        <w:right w:val="none" w:sz="0" w:space="0" w:color="auto"/>
      </w:divBdr>
    </w:div>
    <w:div w:id="1948538541">
      <w:bodyDiv w:val="1"/>
      <w:marLeft w:val="0"/>
      <w:marRight w:val="0"/>
      <w:marTop w:val="0"/>
      <w:marBottom w:val="0"/>
      <w:divBdr>
        <w:top w:val="none" w:sz="0" w:space="0" w:color="auto"/>
        <w:left w:val="none" w:sz="0" w:space="0" w:color="auto"/>
        <w:bottom w:val="none" w:sz="0" w:space="0" w:color="auto"/>
        <w:right w:val="none" w:sz="0" w:space="0" w:color="auto"/>
      </w:divBdr>
      <w:divsChild>
        <w:div w:id="75051908">
          <w:marLeft w:val="1800"/>
          <w:marRight w:val="0"/>
          <w:marTop w:val="96"/>
          <w:marBottom w:val="0"/>
          <w:divBdr>
            <w:top w:val="none" w:sz="0" w:space="0" w:color="auto"/>
            <w:left w:val="none" w:sz="0" w:space="0" w:color="auto"/>
            <w:bottom w:val="none" w:sz="0" w:space="0" w:color="auto"/>
            <w:right w:val="none" w:sz="0" w:space="0" w:color="auto"/>
          </w:divBdr>
        </w:div>
        <w:div w:id="303396208">
          <w:marLeft w:val="1800"/>
          <w:marRight w:val="0"/>
          <w:marTop w:val="96"/>
          <w:marBottom w:val="0"/>
          <w:divBdr>
            <w:top w:val="none" w:sz="0" w:space="0" w:color="auto"/>
            <w:left w:val="none" w:sz="0" w:space="0" w:color="auto"/>
            <w:bottom w:val="none" w:sz="0" w:space="0" w:color="auto"/>
            <w:right w:val="none" w:sz="0" w:space="0" w:color="auto"/>
          </w:divBdr>
        </w:div>
        <w:div w:id="2004165228">
          <w:marLeft w:val="547"/>
          <w:marRight w:val="0"/>
          <w:marTop w:val="154"/>
          <w:marBottom w:val="0"/>
          <w:divBdr>
            <w:top w:val="none" w:sz="0" w:space="0" w:color="auto"/>
            <w:left w:val="none" w:sz="0" w:space="0" w:color="auto"/>
            <w:bottom w:val="none" w:sz="0" w:space="0" w:color="auto"/>
            <w:right w:val="none" w:sz="0" w:space="0" w:color="auto"/>
          </w:divBdr>
        </w:div>
      </w:divsChild>
    </w:div>
    <w:div w:id="1948541053">
      <w:bodyDiv w:val="1"/>
      <w:marLeft w:val="0"/>
      <w:marRight w:val="0"/>
      <w:marTop w:val="0"/>
      <w:marBottom w:val="0"/>
      <w:divBdr>
        <w:top w:val="none" w:sz="0" w:space="0" w:color="auto"/>
        <w:left w:val="none" w:sz="0" w:space="0" w:color="auto"/>
        <w:bottom w:val="none" w:sz="0" w:space="0" w:color="auto"/>
        <w:right w:val="none" w:sz="0" w:space="0" w:color="auto"/>
      </w:divBdr>
      <w:divsChild>
        <w:div w:id="1277640631">
          <w:marLeft w:val="547"/>
          <w:marRight w:val="0"/>
          <w:marTop w:val="120"/>
          <w:marBottom w:val="0"/>
          <w:divBdr>
            <w:top w:val="none" w:sz="0" w:space="0" w:color="auto"/>
            <w:left w:val="none" w:sz="0" w:space="0" w:color="auto"/>
            <w:bottom w:val="none" w:sz="0" w:space="0" w:color="auto"/>
            <w:right w:val="none" w:sz="0" w:space="0" w:color="auto"/>
          </w:divBdr>
        </w:div>
      </w:divsChild>
    </w:div>
    <w:div w:id="1949778239">
      <w:bodyDiv w:val="1"/>
      <w:marLeft w:val="0"/>
      <w:marRight w:val="0"/>
      <w:marTop w:val="0"/>
      <w:marBottom w:val="0"/>
      <w:divBdr>
        <w:top w:val="none" w:sz="0" w:space="0" w:color="auto"/>
        <w:left w:val="none" w:sz="0" w:space="0" w:color="auto"/>
        <w:bottom w:val="none" w:sz="0" w:space="0" w:color="auto"/>
        <w:right w:val="none" w:sz="0" w:space="0" w:color="auto"/>
      </w:divBdr>
    </w:div>
    <w:div w:id="1952126495">
      <w:bodyDiv w:val="1"/>
      <w:marLeft w:val="0"/>
      <w:marRight w:val="0"/>
      <w:marTop w:val="0"/>
      <w:marBottom w:val="0"/>
      <w:divBdr>
        <w:top w:val="none" w:sz="0" w:space="0" w:color="auto"/>
        <w:left w:val="none" w:sz="0" w:space="0" w:color="auto"/>
        <w:bottom w:val="none" w:sz="0" w:space="0" w:color="auto"/>
        <w:right w:val="none" w:sz="0" w:space="0" w:color="auto"/>
      </w:divBdr>
    </w:div>
    <w:div w:id="1952936461">
      <w:bodyDiv w:val="1"/>
      <w:marLeft w:val="0"/>
      <w:marRight w:val="0"/>
      <w:marTop w:val="0"/>
      <w:marBottom w:val="0"/>
      <w:divBdr>
        <w:top w:val="none" w:sz="0" w:space="0" w:color="auto"/>
        <w:left w:val="none" w:sz="0" w:space="0" w:color="auto"/>
        <w:bottom w:val="none" w:sz="0" w:space="0" w:color="auto"/>
        <w:right w:val="none" w:sz="0" w:space="0" w:color="auto"/>
      </w:divBdr>
    </w:div>
    <w:div w:id="1953240056">
      <w:bodyDiv w:val="1"/>
      <w:marLeft w:val="0"/>
      <w:marRight w:val="0"/>
      <w:marTop w:val="0"/>
      <w:marBottom w:val="0"/>
      <w:divBdr>
        <w:top w:val="none" w:sz="0" w:space="0" w:color="auto"/>
        <w:left w:val="none" w:sz="0" w:space="0" w:color="auto"/>
        <w:bottom w:val="none" w:sz="0" w:space="0" w:color="auto"/>
        <w:right w:val="none" w:sz="0" w:space="0" w:color="auto"/>
      </w:divBdr>
    </w:div>
    <w:div w:id="1954239967">
      <w:bodyDiv w:val="1"/>
      <w:marLeft w:val="0"/>
      <w:marRight w:val="0"/>
      <w:marTop w:val="0"/>
      <w:marBottom w:val="0"/>
      <w:divBdr>
        <w:top w:val="none" w:sz="0" w:space="0" w:color="auto"/>
        <w:left w:val="none" w:sz="0" w:space="0" w:color="auto"/>
        <w:bottom w:val="none" w:sz="0" w:space="0" w:color="auto"/>
        <w:right w:val="none" w:sz="0" w:space="0" w:color="auto"/>
      </w:divBdr>
    </w:div>
    <w:div w:id="1954746223">
      <w:bodyDiv w:val="1"/>
      <w:marLeft w:val="0"/>
      <w:marRight w:val="0"/>
      <w:marTop w:val="0"/>
      <w:marBottom w:val="0"/>
      <w:divBdr>
        <w:top w:val="none" w:sz="0" w:space="0" w:color="auto"/>
        <w:left w:val="none" w:sz="0" w:space="0" w:color="auto"/>
        <w:bottom w:val="none" w:sz="0" w:space="0" w:color="auto"/>
        <w:right w:val="none" w:sz="0" w:space="0" w:color="auto"/>
      </w:divBdr>
    </w:div>
    <w:div w:id="1956406194">
      <w:bodyDiv w:val="1"/>
      <w:marLeft w:val="0"/>
      <w:marRight w:val="0"/>
      <w:marTop w:val="0"/>
      <w:marBottom w:val="0"/>
      <w:divBdr>
        <w:top w:val="none" w:sz="0" w:space="0" w:color="auto"/>
        <w:left w:val="none" w:sz="0" w:space="0" w:color="auto"/>
        <w:bottom w:val="none" w:sz="0" w:space="0" w:color="auto"/>
        <w:right w:val="none" w:sz="0" w:space="0" w:color="auto"/>
      </w:divBdr>
    </w:div>
    <w:div w:id="1957373179">
      <w:bodyDiv w:val="1"/>
      <w:marLeft w:val="0"/>
      <w:marRight w:val="0"/>
      <w:marTop w:val="0"/>
      <w:marBottom w:val="0"/>
      <w:divBdr>
        <w:top w:val="none" w:sz="0" w:space="0" w:color="auto"/>
        <w:left w:val="none" w:sz="0" w:space="0" w:color="auto"/>
        <w:bottom w:val="none" w:sz="0" w:space="0" w:color="auto"/>
        <w:right w:val="none" w:sz="0" w:space="0" w:color="auto"/>
      </w:divBdr>
    </w:div>
    <w:div w:id="1959142096">
      <w:bodyDiv w:val="1"/>
      <w:marLeft w:val="0"/>
      <w:marRight w:val="0"/>
      <w:marTop w:val="0"/>
      <w:marBottom w:val="0"/>
      <w:divBdr>
        <w:top w:val="none" w:sz="0" w:space="0" w:color="auto"/>
        <w:left w:val="none" w:sz="0" w:space="0" w:color="auto"/>
        <w:bottom w:val="none" w:sz="0" w:space="0" w:color="auto"/>
        <w:right w:val="none" w:sz="0" w:space="0" w:color="auto"/>
      </w:divBdr>
    </w:div>
    <w:div w:id="1959414349">
      <w:bodyDiv w:val="1"/>
      <w:marLeft w:val="0"/>
      <w:marRight w:val="0"/>
      <w:marTop w:val="0"/>
      <w:marBottom w:val="0"/>
      <w:divBdr>
        <w:top w:val="none" w:sz="0" w:space="0" w:color="auto"/>
        <w:left w:val="none" w:sz="0" w:space="0" w:color="auto"/>
        <w:bottom w:val="none" w:sz="0" w:space="0" w:color="auto"/>
        <w:right w:val="none" w:sz="0" w:space="0" w:color="auto"/>
      </w:divBdr>
    </w:div>
    <w:div w:id="1961760268">
      <w:bodyDiv w:val="1"/>
      <w:marLeft w:val="0"/>
      <w:marRight w:val="0"/>
      <w:marTop w:val="0"/>
      <w:marBottom w:val="0"/>
      <w:divBdr>
        <w:top w:val="none" w:sz="0" w:space="0" w:color="auto"/>
        <w:left w:val="none" w:sz="0" w:space="0" w:color="auto"/>
        <w:bottom w:val="none" w:sz="0" w:space="0" w:color="auto"/>
        <w:right w:val="none" w:sz="0" w:space="0" w:color="auto"/>
      </w:divBdr>
    </w:div>
    <w:div w:id="1961913894">
      <w:bodyDiv w:val="1"/>
      <w:marLeft w:val="0"/>
      <w:marRight w:val="0"/>
      <w:marTop w:val="0"/>
      <w:marBottom w:val="0"/>
      <w:divBdr>
        <w:top w:val="none" w:sz="0" w:space="0" w:color="auto"/>
        <w:left w:val="none" w:sz="0" w:space="0" w:color="auto"/>
        <w:bottom w:val="none" w:sz="0" w:space="0" w:color="auto"/>
        <w:right w:val="none" w:sz="0" w:space="0" w:color="auto"/>
      </w:divBdr>
    </w:div>
    <w:div w:id="1961951984">
      <w:bodyDiv w:val="1"/>
      <w:marLeft w:val="0"/>
      <w:marRight w:val="0"/>
      <w:marTop w:val="0"/>
      <w:marBottom w:val="0"/>
      <w:divBdr>
        <w:top w:val="none" w:sz="0" w:space="0" w:color="auto"/>
        <w:left w:val="none" w:sz="0" w:space="0" w:color="auto"/>
        <w:bottom w:val="none" w:sz="0" w:space="0" w:color="auto"/>
        <w:right w:val="none" w:sz="0" w:space="0" w:color="auto"/>
      </w:divBdr>
      <w:divsChild>
        <w:div w:id="174464196">
          <w:marLeft w:val="547"/>
          <w:marRight w:val="0"/>
          <w:marTop w:val="144"/>
          <w:marBottom w:val="0"/>
          <w:divBdr>
            <w:top w:val="none" w:sz="0" w:space="0" w:color="auto"/>
            <w:left w:val="none" w:sz="0" w:space="0" w:color="auto"/>
            <w:bottom w:val="none" w:sz="0" w:space="0" w:color="auto"/>
            <w:right w:val="none" w:sz="0" w:space="0" w:color="auto"/>
          </w:divBdr>
        </w:div>
        <w:div w:id="945306706">
          <w:marLeft w:val="1166"/>
          <w:marRight w:val="0"/>
          <w:marTop w:val="125"/>
          <w:marBottom w:val="0"/>
          <w:divBdr>
            <w:top w:val="none" w:sz="0" w:space="0" w:color="auto"/>
            <w:left w:val="none" w:sz="0" w:space="0" w:color="auto"/>
            <w:bottom w:val="none" w:sz="0" w:space="0" w:color="auto"/>
            <w:right w:val="none" w:sz="0" w:space="0" w:color="auto"/>
          </w:divBdr>
        </w:div>
        <w:div w:id="1001473832">
          <w:marLeft w:val="1166"/>
          <w:marRight w:val="0"/>
          <w:marTop w:val="125"/>
          <w:marBottom w:val="0"/>
          <w:divBdr>
            <w:top w:val="none" w:sz="0" w:space="0" w:color="auto"/>
            <w:left w:val="none" w:sz="0" w:space="0" w:color="auto"/>
            <w:bottom w:val="none" w:sz="0" w:space="0" w:color="auto"/>
            <w:right w:val="none" w:sz="0" w:space="0" w:color="auto"/>
          </w:divBdr>
        </w:div>
        <w:div w:id="1035230003">
          <w:marLeft w:val="547"/>
          <w:marRight w:val="0"/>
          <w:marTop w:val="144"/>
          <w:marBottom w:val="0"/>
          <w:divBdr>
            <w:top w:val="none" w:sz="0" w:space="0" w:color="auto"/>
            <w:left w:val="none" w:sz="0" w:space="0" w:color="auto"/>
            <w:bottom w:val="none" w:sz="0" w:space="0" w:color="auto"/>
            <w:right w:val="none" w:sz="0" w:space="0" w:color="auto"/>
          </w:divBdr>
        </w:div>
        <w:div w:id="1102921415">
          <w:marLeft w:val="547"/>
          <w:marRight w:val="0"/>
          <w:marTop w:val="144"/>
          <w:marBottom w:val="0"/>
          <w:divBdr>
            <w:top w:val="none" w:sz="0" w:space="0" w:color="auto"/>
            <w:left w:val="none" w:sz="0" w:space="0" w:color="auto"/>
            <w:bottom w:val="none" w:sz="0" w:space="0" w:color="auto"/>
            <w:right w:val="none" w:sz="0" w:space="0" w:color="auto"/>
          </w:divBdr>
        </w:div>
        <w:div w:id="1653408842">
          <w:marLeft w:val="1166"/>
          <w:marRight w:val="0"/>
          <w:marTop w:val="125"/>
          <w:marBottom w:val="0"/>
          <w:divBdr>
            <w:top w:val="none" w:sz="0" w:space="0" w:color="auto"/>
            <w:left w:val="none" w:sz="0" w:space="0" w:color="auto"/>
            <w:bottom w:val="none" w:sz="0" w:space="0" w:color="auto"/>
            <w:right w:val="none" w:sz="0" w:space="0" w:color="auto"/>
          </w:divBdr>
        </w:div>
        <w:div w:id="2051105445">
          <w:marLeft w:val="547"/>
          <w:marRight w:val="0"/>
          <w:marTop w:val="144"/>
          <w:marBottom w:val="0"/>
          <w:divBdr>
            <w:top w:val="none" w:sz="0" w:space="0" w:color="auto"/>
            <w:left w:val="none" w:sz="0" w:space="0" w:color="auto"/>
            <w:bottom w:val="none" w:sz="0" w:space="0" w:color="auto"/>
            <w:right w:val="none" w:sz="0" w:space="0" w:color="auto"/>
          </w:divBdr>
        </w:div>
      </w:divsChild>
    </w:div>
    <w:div w:id="1963728469">
      <w:bodyDiv w:val="1"/>
      <w:marLeft w:val="0"/>
      <w:marRight w:val="0"/>
      <w:marTop w:val="0"/>
      <w:marBottom w:val="0"/>
      <w:divBdr>
        <w:top w:val="none" w:sz="0" w:space="0" w:color="auto"/>
        <w:left w:val="none" w:sz="0" w:space="0" w:color="auto"/>
        <w:bottom w:val="none" w:sz="0" w:space="0" w:color="auto"/>
        <w:right w:val="none" w:sz="0" w:space="0" w:color="auto"/>
      </w:divBdr>
    </w:div>
    <w:div w:id="1964001206">
      <w:bodyDiv w:val="1"/>
      <w:marLeft w:val="0"/>
      <w:marRight w:val="0"/>
      <w:marTop w:val="0"/>
      <w:marBottom w:val="0"/>
      <w:divBdr>
        <w:top w:val="none" w:sz="0" w:space="0" w:color="auto"/>
        <w:left w:val="none" w:sz="0" w:space="0" w:color="auto"/>
        <w:bottom w:val="none" w:sz="0" w:space="0" w:color="auto"/>
        <w:right w:val="none" w:sz="0" w:space="0" w:color="auto"/>
      </w:divBdr>
    </w:div>
    <w:div w:id="1964119392">
      <w:bodyDiv w:val="1"/>
      <w:marLeft w:val="0"/>
      <w:marRight w:val="0"/>
      <w:marTop w:val="0"/>
      <w:marBottom w:val="0"/>
      <w:divBdr>
        <w:top w:val="none" w:sz="0" w:space="0" w:color="auto"/>
        <w:left w:val="none" w:sz="0" w:space="0" w:color="auto"/>
        <w:bottom w:val="none" w:sz="0" w:space="0" w:color="auto"/>
        <w:right w:val="none" w:sz="0" w:space="0" w:color="auto"/>
      </w:divBdr>
    </w:div>
    <w:div w:id="1964580281">
      <w:bodyDiv w:val="1"/>
      <w:marLeft w:val="0"/>
      <w:marRight w:val="0"/>
      <w:marTop w:val="0"/>
      <w:marBottom w:val="0"/>
      <w:divBdr>
        <w:top w:val="none" w:sz="0" w:space="0" w:color="auto"/>
        <w:left w:val="none" w:sz="0" w:space="0" w:color="auto"/>
        <w:bottom w:val="none" w:sz="0" w:space="0" w:color="auto"/>
        <w:right w:val="none" w:sz="0" w:space="0" w:color="auto"/>
      </w:divBdr>
    </w:div>
    <w:div w:id="1964843963">
      <w:bodyDiv w:val="1"/>
      <w:marLeft w:val="0"/>
      <w:marRight w:val="0"/>
      <w:marTop w:val="0"/>
      <w:marBottom w:val="0"/>
      <w:divBdr>
        <w:top w:val="none" w:sz="0" w:space="0" w:color="auto"/>
        <w:left w:val="none" w:sz="0" w:space="0" w:color="auto"/>
        <w:bottom w:val="none" w:sz="0" w:space="0" w:color="auto"/>
        <w:right w:val="none" w:sz="0" w:space="0" w:color="auto"/>
      </w:divBdr>
    </w:div>
    <w:div w:id="1967156590">
      <w:bodyDiv w:val="1"/>
      <w:marLeft w:val="0"/>
      <w:marRight w:val="0"/>
      <w:marTop w:val="0"/>
      <w:marBottom w:val="0"/>
      <w:divBdr>
        <w:top w:val="none" w:sz="0" w:space="0" w:color="auto"/>
        <w:left w:val="none" w:sz="0" w:space="0" w:color="auto"/>
        <w:bottom w:val="none" w:sz="0" w:space="0" w:color="auto"/>
        <w:right w:val="none" w:sz="0" w:space="0" w:color="auto"/>
      </w:divBdr>
    </w:div>
    <w:div w:id="1968274740">
      <w:bodyDiv w:val="1"/>
      <w:marLeft w:val="0"/>
      <w:marRight w:val="0"/>
      <w:marTop w:val="0"/>
      <w:marBottom w:val="0"/>
      <w:divBdr>
        <w:top w:val="none" w:sz="0" w:space="0" w:color="auto"/>
        <w:left w:val="none" w:sz="0" w:space="0" w:color="auto"/>
        <w:bottom w:val="none" w:sz="0" w:space="0" w:color="auto"/>
        <w:right w:val="none" w:sz="0" w:space="0" w:color="auto"/>
      </w:divBdr>
    </w:div>
    <w:div w:id="1970236590">
      <w:bodyDiv w:val="1"/>
      <w:marLeft w:val="0"/>
      <w:marRight w:val="0"/>
      <w:marTop w:val="0"/>
      <w:marBottom w:val="0"/>
      <w:divBdr>
        <w:top w:val="none" w:sz="0" w:space="0" w:color="auto"/>
        <w:left w:val="none" w:sz="0" w:space="0" w:color="auto"/>
        <w:bottom w:val="none" w:sz="0" w:space="0" w:color="auto"/>
        <w:right w:val="none" w:sz="0" w:space="0" w:color="auto"/>
      </w:divBdr>
    </w:div>
    <w:div w:id="1971400683">
      <w:bodyDiv w:val="1"/>
      <w:marLeft w:val="0"/>
      <w:marRight w:val="0"/>
      <w:marTop w:val="0"/>
      <w:marBottom w:val="0"/>
      <w:divBdr>
        <w:top w:val="none" w:sz="0" w:space="0" w:color="auto"/>
        <w:left w:val="none" w:sz="0" w:space="0" w:color="auto"/>
        <w:bottom w:val="none" w:sz="0" w:space="0" w:color="auto"/>
        <w:right w:val="none" w:sz="0" w:space="0" w:color="auto"/>
      </w:divBdr>
    </w:div>
    <w:div w:id="1972592936">
      <w:bodyDiv w:val="1"/>
      <w:marLeft w:val="0"/>
      <w:marRight w:val="0"/>
      <w:marTop w:val="0"/>
      <w:marBottom w:val="0"/>
      <w:divBdr>
        <w:top w:val="none" w:sz="0" w:space="0" w:color="auto"/>
        <w:left w:val="none" w:sz="0" w:space="0" w:color="auto"/>
        <w:bottom w:val="none" w:sz="0" w:space="0" w:color="auto"/>
        <w:right w:val="none" w:sz="0" w:space="0" w:color="auto"/>
      </w:divBdr>
    </w:div>
    <w:div w:id="1974021685">
      <w:bodyDiv w:val="1"/>
      <w:marLeft w:val="0"/>
      <w:marRight w:val="0"/>
      <w:marTop w:val="0"/>
      <w:marBottom w:val="0"/>
      <w:divBdr>
        <w:top w:val="none" w:sz="0" w:space="0" w:color="auto"/>
        <w:left w:val="none" w:sz="0" w:space="0" w:color="auto"/>
        <w:bottom w:val="none" w:sz="0" w:space="0" w:color="auto"/>
        <w:right w:val="none" w:sz="0" w:space="0" w:color="auto"/>
      </w:divBdr>
    </w:div>
    <w:div w:id="1975914299">
      <w:bodyDiv w:val="1"/>
      <w:marLeft w:val="0"/>
      <w:marRight w:val="0"/>
      <w:marTop w:val="0"/>
      <w:marBottom w:val="0"/>
      <w:divBdr>
        <w:top w:val="none" w:sz="0" w:space="0" w:color="auto"/>
        <w:left w:val="none" w:sz="0" w:space="0" w:color="auto"/>
        <w:bottom w:val="none" w:sz="0" w:space="0" w:color="auto"/>
        <w:right w:val="none" w:sz="0" w:space="0" w:color="auto"/>
      </w:divBdr>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030727">
      <w:bodyDiv w:val="1"/>
      <w:marLeft w:val="0"/>
      <w:marRight w:val="0"/>
      <w:marTop w:val="0"/>
      <w:marBottom w:val="0"/>
      <w:divBdr>
        <w:top w:val="none" w:sz="0" w:space="0" w:color="auto"/>
        <w:left w:val="none" w:sz="0" w:space="0" w:color="auto"/>
        <w:bottom w:val="none" w:sz="0" w:space="0" w:color="auto"/>
        <w:right w:val="none" w:sz="0" w:space="0" w:color="auto"/>
      </w:divBdr>
    </w:div>
    <w:div w:id="1977297067">
      <w:bodyDiv w:val="1"/>
      <w:marLeft w:val="0"/>
      <w:marRight w:val="0"/>
      <w:marTop w:val="0"/>
      <w:marBottom w:val="0"/>
      <w:divBdr>
        <w:top w:val="none" w:sz="0" w:space="0" w:color="auto"/>
        <w:left w:val="none" w:sz="0" w:space="0" w:color="auto"/>
        <w:bottom w:val="none" w:sz="0" w:space="0" w:color="auto"/>
        <w:right w:val="none" w:sz="0" w:space="0" w:color="auto"/>
      </w:divBdr>
      <w:divsChild>
        <w:div w:id="400951533">
          <w:marLeft w:val="547"/>
          <w:marRight w:val="0"/>
          <w:marTop w:val="192"/>
          <w:marBottom w:val="0"/>
          <w:divBdr>
            <w:top w:val="none" w:sz="0" w:space="0" w:color="auto"/>
            <w:left w:val="none" w:sz="0" w:space="0" w:color="auto"/>
            <w:bottom w:val="none" w:sz="0" w:space="0" w:color="auto"/>
            <w:right w:val="none" w:sz="0" w:space="0" w:color="auto"/>
          </w:divBdr>
        </w:div>
        <w:div w:id="920212419">
          <w:marLeft w:val="547"/>
          <w:marRight w:val="0"/>
          <w:marTop w:val="192"/>
          <w:marBottom w:val="0"/>
          <w:divBdr>
            <w:top w:val="none" w:sz="0" w:space="0" w:color="auto"/>
            <w:left w:val="none" w:sz="0" w:space="0" w:color="auto"/>
            <w:bottom w:val="none" w:sz="0" w:space="0" w:color="auto"/>
            <w:right w:val="none" w:sz="0" w:space="0" w:color="auto"/>
          </w:divBdr>
        </w:div>
      </w:divsChild>
    </w:div>
    <w:div w:id="1977450396">
      <w:bodyDiv w:val="1"/>
      <w:marLeft w:val="0"/>
      <w:marRight w:val="0"/>
      <w:marTop w:val="0"/>
      <w:marBottom w:val="0"/>
      <w:divBdr>
        <w:top w:val="none" w:sz="0" w:space="0" w:color="auto"/>
        <w:left w:val="none" w:sz="0" w:space="0" w:color="auto"/>
        <w:bottom w:val="none" w:sz="0" w:space="0" w:color="auto"/>
        <w:right w:val="none" w:sz="0" w:space="0" w:color="auto"/>
      </w:divBdr>
    </w:div>
    <w:div w:id="1978409994">
      <w:bodyDiv w:val="1"/>
      <w:marLeft w:val="0"/>
      <w:marRight w:val="0"/>
      <w:marTop w:val="0"/>
      <w:marBottom w:val="0"/>
      <w:divBdr>
        <w:top w:val="none" w:sz="0" w:space="0" w:color="auto"/>
        <w:left w:val="none" w:sz="0" w:space="0" w:color="auto"/>
        <w:bottom w:val="none" w:sz="0" w:space="0" w:color="auto"/>
        <w:right w:val="none" w:sz="0" w:space="0" w:color="auto"/>
      </w:divBdr>
    </w:div>
    <w:div w:id="1979649525">
      <w:bodyDiv w:val="1"/>
      <w:marLeft w:val="0"/>
      <w:marRight w:val="0"/>
      <w:marTop w:val="0"/>
      <w:marBottom w:val="0"/>
      <w:divBdr>
        <w:top w:val="none" w:sz="0" w:space="0" w:color="auto"/>
        <w:left w:val="none" w:sz="0" w:space="0" w:color="auto"/>
        <w:bottom w:val="none" w:sz="0" w:space="0" w:color="auto"/>
        <w:right w:val="none" w:sz="0" w:space="0" w:color="auto"/>
      </w:divBdr>
    </w:div>
    <w:div w:id="1979844015">
      <w:bodyDiv w:val="1"/>
      <w:marLeft w:val="0"/>
      <w:marRight w:val="0"/>
      <w:marTop w:val="0"/>
      <w:marBottom w:val="0"/>
      <w:divBdr>
        <w:top w:val="none" w:sz="0" w:space="0" w:color="auto"/>
        <w:left w:val="none" w:sz="0" w:space="0" w:color="auto"/>
        <w:bottom w:val="none" w:sz="0" w:space="0" w:color="auto"/>
        <w:right w:val="none" w:sz="0" w:space="0" w:color="auto"/>
      </w:divBdr>
    </w:div>
    <w:div w:id="1979990474">
      <w:bodyDiv w:val="1"/>
      <w:marLeft w:val="0"/>
      <w:marRight w:val="0"/>
      <w:marTop w:val="0"/>
      <w:marBottom w:val="0"/>
      <w:divBdr>
        <w:top w:val="none" w:sz="0" w:space="0" w:color="auto"/>
        <w:left w:val="none" w:sz="0" w:space="0" w:color="auto"/>
        <w:bottom w:val="none" w:sz="0" w:space="0" w:color="auto"/>
        <w:right w:val="none" w:sz="0" w:space="0" w:color="auto"/>
      </w:divBdr>
    </w:div>
    <w:div w:id="1980071118">
      <w:bodyDiv w:val="1"/>
      <w:marLeft w:val="0"/>
      <w:marRight w:val="0"/>
      <w:marTop w:val="0"/>
      <w:marBottom w:val="0"/>
      <w:divBdr>
        <w:top w:val="none" w:sz="0" w:space="0" w:color="auto"/>
        <w:left w:val="none" w:sz="0" w:space="0" w:color="auto"/>
        <w:bottom w:val="none" w:sz="0" w:space="0" w:color="auto"/>
        <w:right w:val="none" w:sz="0" w:space="0" w:color="auto"/>
      </w:divBdr>
    </w:div>
    <w:div w:id="1980726767">
      <w:bodyDiv w:val="1"/>
      <w:marLeft w:val="0"/>
      <w:marRight w:val="0"/>
      <w:marTop w:val="0"/>
      <w:marBottom w:val="0"/>
      <w:divBdr>
        <w:top w:val="none" w:sz="0" w:space="0" w:color="auto"/>
        <w:left w:val="none" w:sz="0" w:space="0" w:color="auto"/>
        <w:bottom w:val="none" w:sz="0" w:space="0" w:color="auto"/>
        <w:right w:val="none" w:sz="0" w:space="0" w:color="auto"/>
      </w:divBdr>
    </w:div>
    <w:div w:id="1981808806">
      <w:bodyDiv w:val="1"/>
      <w:marLeft w:val="0"/>
      <w:marRight w:val="0"/>
      <w:marTop w:val="0"/>
      <w:marBottom w:val="0"/>
      <w:divBdr>
        <w:top w:val="none" w:sz="0" w:space="0" w:color="auto"/>
        <w:left w:val="none" w:sz="0" w:space="0" w:color="auto"/>
        <w:bottom w:val="none" w:sz="0" w:space="0" w:color="auto"/>
        <w:right w:val="none" w:sz="0" w:space="0" w:color="auto"/>
      </w:divBdr>
    </w:div>
    <w:div w:id="1981835945">
      <w:bodyDiv w:val="1"/>
      <w:marLeft w:val="0"/>
      <w:marRight w:val="0"/>
      <w:marTop w:val="0"/>
      <w:marBottom w:val="0"/>
      <w:divBdr>
        <w:top w:val="none" w:sz="0" w:space="0" w:color="auto"/>
        <w:left w:val="none" w:sz="0" w:space="0" w:color="auto"/>
        <w:bottom w:val="none" w:sz="0" w:space="0" w:color="auto"/>
        <w:right w:val="none" w:sz="0" w:space="0" w:color="auto"/>
      </w:divBdr>
    </w:div>
    <w:div w:id="1982271056">
      <w:bodyDiv w:val="1"/>
      <w:marLeft w:val="0"/>
      <w:marRight w:val="0"/>
      <w:marTop w:val="0"/>
      <w:marBottom w:val="0"/>
      <w:divBdr>
        <w:top w:val="none" w:sz="0" w:space="0" w:color="auto"/>
        <w:left w:val="none" w:sz="0" w:space="0" w:color="auto"/>
        <w:bottom w:val="none" w:sz="0" w:space="0" w:color="auto"/>
        <w:right w:val="none" w:sz="0" w:space="0" w:color="auto"/>
      </w:divBdr>
      <w:divsChild>
        <w:div w:id="524515460">
          <w:marLeft w:val="1800"/>
          <w:marRight w:val="0"/>
          <w:marTop w:val="115"/>
          <w:marBottom w:val="0"/>
          <w:divBdr>
            <w:top w:val="none" w:sz="0" w:space="0" w:color="auto"/>
            <w:left w:val="none" w:sz="0" w:space="0" w:color="auto"/>
            <w:bottom w:val="none" w:sz="0" w:space="0" w:color="auto"/>
            <w:right w:val="none" w:sz="0" w:space="0" w:color="auto"/>
          </w:divBdr>
        </w:div>
        <w:div w:id="572664067">
          <w:marLeft w:val="1166"/>
          <w:marRight w:val="0"/>
          <w:marTop w:val="134"/>
          <w:marBottom w:val="0"/>
          <w:divBdr>
            <w:top w:val="none" w:sz="0" w:space="0" w:color="auto"/>
            <w:left w:val="none" w:sz="0" w:space="0" w:color="auto"/>
            <w:bottom w:val="none" w:sz="0" w:space="0" w:color="auto"/>
            <w:right w:val="none" w:sz="0" w:space="0" w:color="auto"/>
          </w:divBdr>
        </w:div>
        <w:div w:id="672875615">
          <w:marLeft w:val="2520"/>
          <w:marRight w:val="0"/>
          <w:marTop w:val="96"/>
          <w:marBottom w:val="0"/>
          <w:divBdr>
            <w:top w:val="none" w:sz="0" w:space="0" w:color="auto"/>
            <w:left w:val="none" w:sz="0" w:space="0" w:color="auto"/>
            <w:bottom w:val="none" w:sz="0" w:space="0" w:color="auto"/>
            <w:right w:val="none" w:sz="0" w:space="0" w:color="auto"/>
          </w:divBdr>
        </w:div>
        <w:div w:id="729576709">
          <w:marLeft w:val="1166"/>
          <w:marRight w:val="0"/>
          <w:marTop w:val="134"/>
          <w:marBottom w:val="0"/>
          <w:divBdr>
            <w:top w:val="none" w:sz="0" w:space="0" w:color="auto"/>
            <w:left w:val="none" w:sz="0" w:space="0" w:color="auto"/>
            <w:bottom w:val="none" w:sz="0" w:space="0" w:color="auto"/>
            <w:right w:val="none" w:sz="0" w:space="0" w:color="auto"/>
          </w:divBdr>
        </w:div>
        <w:div w:id="1447773810">
          <w:marLeft w:val="1800"/>
          <w:marRight w:val="0"/>
          <w:marTop w:val="115"/>
          <w:marBottom w:val="0"/>
          <w:divBdr>
            <w:top w:val="none" w:sz="0" w:space="0" w:color="auto"/>
            <w:left w:val="none" w:sz="0" w:space="0" w:color="auto"/>
            <w:bottom w:val="none" w:sz="0" w:space="0" w:color="auto"/>
            <w:right w:val="none" w:sz="0" w:space="0" w:color="auto"/>
          </w:divBdr>
        </w:div>
        <w:div w:id="1937207636">
          <w:marLeft w:val="1800"/>
          <w:marRight w:val="0"/>
          <w:marTop w:val="115"/>
          <w:marBottom w:val="0"/>
          <w:divBdr>
            <w:top w:val="none" w:sz="0" w:space="0" w:color="auto"/>
            <w:left w:val="none" w:sz="0" w:space="0" w:color="auto"/>
            <w:bottom w:val="none" w:sz="0" w:space="0" w:color="auto"/>
            <w:right w:val="none" w:sz="0" w:space="0" w:color="auto"/>
          </w:divBdr>
        </w:div>
        <w:div w:id="2107379307">
          <w:marLeft w:val="2520"/>
          <w:marRight w:val="0"/>
          <w:marTop w:val="96"/>
          <w:marBottom w:val="0"/>
          <w:divBdr>
            <w:top w:val="none" w:sz="0" w:space="0" w:color="auto"/>
            <w:left w:val="none" w:sz="0" w:space="0" w:color="auto"/>
            <w:bottom w:val="none" w:sz="0" w:space="0" w:color="auto"/>
            <w:right w:val="none" w:sz="0" w:space="0" w:color="auto"/>
          </w:divBdr>
        </w:div>
      </w:divsChild>
    </w:div>
    <w:div w:id="1982493469">
      <w:bodyDiv w:val="1"/>
      <w:marLeft w:val="0"/>
      <w:marRight w:val="0"/>
      <w:marTop w:val="0"/>
      <w:marBottom w:val="0"/>
      <w:divBdr>
        <w:top w:val="none" w:sz="0" w:space="0" w:color="auto"/>
        <w:left w:val="none" w:sz="0" w:space="0" w:color="auto"/>
        <w:bottom w:val="none" w:sz="0" w:space="0" w:color="auto"/>
        <w:right w:val="none" w:sz="0" w:space="0" w:color="auto"/>
      </w:divBdr>
    </w:div>
    <w:div w:id="1984044614">
      <w:bodyDiv w:val="1"/>
      <w:marLeft w:val="0"/>
      <w:marRight w:val="0"/>
      <w:marTop w:val="0"/>
      <w:marBottom w:val="0"/>
      <w:divBdr>
        <w:top w:val="none" w:sz="0" w:space="0" w:color="auto"/>
        <w:left w:val="none" w:sz="0" w:space="0" w:color="auto"/>
        <w:bottom w:val="none" w:sz="0" w:space="0" w:color="auto"/>
        <w:right w:val="none" w:sz="0" w:space="0" w:color="auto"/>
      </w:divBdr>
    </w:div>
    <w:div w:id="1984963916">
      <w:bodyDiv w:val="1"/>
      <w:marLeft w:val="0"/>
      <w:marRight w:val="0"/>
      <w:marTop w:val="0"/>
      <w:marBottom w:val="0"/>
      <w:divBdr>
        <w:top w:val="none" w:sz="0" w:space="0" w:color="auto"/>
        <w:left w:val="none" w:sz="0" w:space="0" w:color="auto"/>
        <w:bottom w:val="none" w:sz="0" w:space="0" w:color="auto"/>
        <w:right w:val="none" w:sz="0" w:space="0" w:color="auto"/>
      </w:divBdr>
    </w:div>
    <w:div w:id="1985160360">
      <w:bodyDiv w:val="1"/>
      <w:marLeft w:val="0"/>
      <w:marRight w:val="0"/>
      <w:marTop w:val="0"/>
      <w:marBottom w:val="0"/>
      <w:divBdr>
        <w:top w:val="none" w:sz="0" w:space="0" w:color="auto"/>
        <w:left w:val="none" w:sz="0" w:space="0" w:color="auto"/>
        <w:bottom w:val="none" w:sz="0" w:space="0" w:color="auto"/>
        <w:right w:val="none" w:sz="0" w:space="0" w:color="auto"/>
      </w:divBdr>
    </w:div>
    <w:div w:id="1986162497">
      <w:bodyDiv w:val="1"/>
      <w:marLeft w:val="0"/>
      <w:marRight w:val="0"/>
      <w:marTop w:val="0"/>
      <w:marBottom w:val="0"/>
      <w:divBdr>
        <w:top w:val="none" w:sz="0" w:space="0" w:color="auto"/>
        <w:left w:val="none" w:sz="0" w:space="0" w:color="auto"/>
        <w:bottom w:val="none" w:sz="0" w:space="0" w:color="auto"/>
        <w:right w:val="none" w:sz="0" w:space="0" w:color="auto"/>
      </w:divBdr>
    </w:div>
    <w:div w:id="1986355102">
      <w:bodyDiv w:val="1"/>
      <w:marLeft w:val="0"/>
      <w:marRight w:val="0"/>
      <w:marTop w:val="0"/>
      <w:marBottom w:val="0"/>
      <w:divBdr>
        <w:top w:val="none" w:sz="0" w:space="0" w:color="auto"/>
        <w:left w:val="none" w:sz="0" w:space="0" w:color="auto"/>
        <w:bottom w:val="none" w:sz="0" w:space="0" w:color="auto"/>
        <w:right w:val="none" w:sz="0" w:space="0" w:color="auto"/>
      </w:divBdr>
    </w:div>
    <w:div w:id="1986859363">
      <w:bodyDiv w:val="1"/>
      <w:marLeft w:val="0"/>
      <w:marRight w:val="0"/>
      <w:marTop w:val="0"/>
      <w:marBottom w:val="0"/>
      <w:divBdr>
        <w:top w:val="none" w:sz="0" w:space="0" w:color="auto"/>
        <w:left w:val="none" w:sz="0" w:space="0" w:color="auto"/>
        <w:bottom w:val="none" w:sz="0" w:space="0" w:color="auto"/>
        <w:right w:val="none" w:sz="0" w:space="0" w:color="auto"/>
      </w:divBdr>
    </w:div>
    <w:div w:id="1988782667">
      <w:bodyDiv w:val="1"/>
      <w:marLeft w:val="0"/>
      <w:marRight w:val="0"/>
      <w:marTop w:val="0"/>
      <w:marBottom w:val="0"/>
      <w:divBdr>
        <w:top w:val="none" w:sz="0" w:space="0" w:color="auto"/>
        <w:left w:val="none" w:sz="0" w:space="0" w:color="auto"/>
        <w:bottom w:val="none" w:sz="0" w:space="0" w:color="auto"/>
        <w:right w:val="none" w:sz="0" w:space="0" w:color="auto"/>
      </w:divBdr>
    </w:div>
    <w:div w:id="1988853178">
      <w:bodyDiv w:val="1"/>
      <w:marLeft w:val="0"/>
      <w:marRight w:val="0"/>
      <w:marTop w:val="0"/>
      <w:marBottom w:val="0"/>
      <w:divBdr>
        <w:top w:val="none" w:sz="0" w:space="0" w:color="auto"/>
        <w:left w:val="none" w:sz="0" w:space="0" w:color="auto"/>
        <w:bottom w:val="none" w:sz="0" w:space="0" w:color="auto"/>
        <w:right w:val="none" w:sz="0" w:space="0" w:color="auto"/>
      </w:divBdr>
    </w:div>
    <w:div w:id="1989166661">
      <w:bodyDiv w:val="1"/>
      <w:marLeft w:val="0"/>
      <w:marRight w:val="0"/>
      <w:marTop w:val="0"/>
      <w:marBottom w:val="0"/>
      <w:divBdr>
        <w:top w:val="none" w:sz="0" w:space="0" w:color="auto"/>
        <w:left w:val="none" w:sz="0" w:space="0" w:color="auto"/>
        <w:bottom w:val="none" w:sz="0" w:space="0" w:color="auto"/>
        <w:right w:val="none" w:sz="0" w:space="0" w:color="auto"/>
      </w:divBdr>
    </w:div>
    <w:div w:id="1989938869">
      <w:bodyDiv w:val="1"/>
      <w:marLeft w:val="0"/>
      <w:marRight w:val="0"/>
      <w:marTop w:val="0"/>
      <w:marBottom w:val="0"/>
      <w:divBdr>
        <w:top w:val="none" w:sz="0" w:space="0" w:color="auto"/>
        <w:left w:val="none" w:sz="0" w:space="0" w:color="auto"/>
        <w:bottom w:val="none" w:sz="0" w:space="0" w:color="auto"/>
        <w:right w:val="none" w:sz="0" w:space="0" w:color="auto"/>
      </w:divBdr>
    </w:div>
    <w:div w:id="1990089920">
      <w:bodyDiv w:val="1"/>
      <w:marLeft w:val="0"/>
      <w:marRight w:val="0"/>
      <w:marTop w:val="0"/>
      <w:marBottom w:val="0"/>
      <w:divBdr>
        <w:top w:val="none" w:sz="0" w:space="0" w:color="auto"/>
        <w:left w:val="none" w:sz="0" w:space="0" w:color="auto"/>
        <w:bottom w:val="none" w:sz="0" w:space="0" w:color="auto"/>
        <w:right w:val="none" w:sz="0" w:space="0" w:color="auto"/>
      </w:divBdr>
    </w:div>
    <w:div w:id="1990937513">
      <w:bodyDiv w:val="1"/>
      <w:marLeft w:val="0"/>
      <w:marRight w:val="0"/>
      <w:marTop w:val="0"/>
      <w:marBottom w:val="0"/>
      <w:divBdr>
        <w:top w:val="none" w:sz="0" w:space="0" w:color="auto"/>
        <w:left w:val="none" w:sz="0" w:space="0" w:color="auto"/>
        <w:bottom w:val="none" w:sz="0" w:space="0" w:color="auto"/>
        <w:right w:val="none" w:sz="0" w:space="0" w:color="auto"/>
      </w:divBdr>
    </w:div>
    <w:div w:id="1991015339">
      <w:bodyDiv w:val="1"/>
      <w:marLeft w:val="0"/>
      <w:marRight w:val="0"/>
      <w:marTop w:val="0"/>
      <w:marBottom w:val="0"/>
      <w:divBdr>
        <w:top w:val="none" w:sz="0" w:space="0" w:color="auto"/>
        <w:left w:val="none" w:sz="0" w:space="0" w:color="auto"/>
        <w:bottom w:val="none" w:sz="0" w:space="0" w:color="auto"/>
        <w:right w:val="none" w:sz="0" w:space="0" w:color="auto"/>
      </w:divBdr>
    </w:div>
    <w:div w:id="1991474112">
      <w:bodyDiv w:val="1"/>
      <w:marLeft w:val="0"/>
      <w:marRight w:val="0"/>
      <w:marTop w:val="0"/>
      <w:marBottom w:val="0"/>
      <w:divBdr>
        <w:top w:val="none" w:sz="0" w:space="0" w:color="auto"/>
        <w:left w:val="none" w:sz="0" w:space="0" w:color="auto"/>
        <w:bottom w:val="none" w:sz="0" w:space="0" w:color="auto"/>
        <w:right w:val="none" w:sz="0" w:space="0" w:color="auto"/>
      </w:divBdr>
    </w:div>
    <w:div w:id="1992177366">
      <w:bodyDiv w:val="1"/>
      <w:marLeft w:val="0"/>
      <w:marRight w:val="0"/>
      <w:marTop w:val="0"/>
      <w:marBottom w:val="0"/>
      <w:divBdr>
        <w:top w:val="none" w:sz="0" w:space="0" w:color="auto"/>
        <w:left w:val="none" w:sz="0" w:space="0" w:color="auto"/>
        <w:bottom w:val="none" w:sz="0" w:space="0" w:color="auto"/>
        <w:right w:val="none" w:sz="0" w:space="0" w:color="auto"/>
      </w:divBdr>
    </w:div>
    <w:div w:id="1992438820">
      <w:bodyDiv w:val="1"/>
      <w:marLeft w:val="0"/>
      <w:marRight w:val="0"/>
      <w:marTop w:val="0"/>
      <w:marBottom w:val="0"/>
      <w:divBdr>
        <w:top w:val="none" w:sz="0" w:space="0" w:color="auto"/>
        <w:left w:val="none" w:sz="0" w:space="0" w:color="auto"/>
        <w:bottom w:val="none" w:sz="0" w:space="0" w:color="auto"/>
        <w:right w:val="none" w:sz="0" w:space="0" w:color="auto"/>
      </w:divBdr>
    </w:div>
    <w:div w:id="1992756969">
      <w:bodyDiv w:val="1"/>
      <w:marLeft w:val="0"/>
      <w:marRight w:val="0"/>
      <w:marTop w:val="0"/>
      <w:marBottom w:val="0"/>
      <w:divBdr>
        <w:top w:val="none" w:sz="0" w:space="0" w:color="auto"/>
        <w:left w:val="none" w:sz="0" w:space="0" w:color="auto"/>
        <w:bottom w:val="none" w:sz="0" w:space="0" w:color="auto"/>
        <w:right w:val="none" w:sz="0" w:space="0" w:color="auto"/>
      </w:divBdr>
    </w:div>
    <w:div w:id="1994674740">
      <w:bodyDiv w:val="1"/>
      <w:marLeft w:val="0"/>
      <w:marRight w:val="0"/>
      <w:marTop w:val="0"/>
      <w:marBottom w:val="0"/>
      <w:divBdr>
        <w:top w:val="none" w:sz="0" w:space="0" w:color="auto"/>
        <w:left w:val="none" w:sz="0" w:space="0" w:color="auto"/>
        <w:bottom w:val="none" w:sz="0" w:space="0" w:color="auto"/>
        <w:right w:val="none" w:sz="0" w:space="0" w:color="auto"/>
      </w:divBdr>
    </w:div>
    <w:div w:id="1994948566">
      <w:bodyDiv w:val="1"/>
      <w:marLeft w:val="0"/>
      <w:marRight w:val="0"/>
      <w:marTop w:val="0"/>
      <w:marBottom w:val="0"/>
      <w:divBdr>
        <w:top w:val="none" w:sz="0" w:space="0" w:color="auto"/>
        <w:left w:val="none" w:sz="0" w:space="0" w:color="auto"/>
        <w:bottom w:val="none" w:sz="0" w:space="0" w:color="auto"/>
        <w:right w:val="none" w:sz="0" w:space="0" w:color="auto"/>
      </w:divBdr>
    </w:div>
    <w:div w:id="1995258801">
      <w:bodyDiv w:val="1"/>
      <w:marLeft w:val="0"/>
      <w:marRight w:val="0"/>
      <w:marTop w:val="0"/>
      <w:marBottom w:val="0"/>
      <w:divBdr>
        <w:top w:val="none" w:sz="0" w:space="0" w:color="auto"/>
        <w:left w:val="none" w:sz="0" w:space="0" w:color="auto"/>
        <w:bottom w:val="none" w:sz="0" w:space="0" w:color="auto"/>
        <w:right w:val="none" w:sz="0" w:space="0" w:color="auto"/>
      </w:divBdr>
    </w:div>
    <w:div w:id="1996300964">
      <w:bodyDiv w:val="1"/>
      <w:marLeft w:val="0"/>
      <w:marRight w:val="0"/>
      <w:marTop w:val="0"/>
      <w:marBottom w:val="0"/>
      <w:divBdr>
        <w:top w:val="none" w:sz="0" w:space="0" w:color="auto"/>
        <w:left w:val="none" w:sz="0" w:space="0" w:color="auto"/>
        <w:bottom w:val="none" w:sz="0" w:space="0" w:color="auto"/>
        <w:right w:val="none" w:sz="0" w:space="0" w:color="auto"/>
      </w:divBdr>
    </w:div>
    <w:div w:id="1997759957">
      <w:bodyDiv w:val="1"/>
      <w:marLeft w:val="0"/>
      <w:marRight w:val="0"/>
      <w:marTop w:val="0"/>
      <w:marBottom w:val="0"/>
      <w:divBdr>
        <w:top w:val="none" w:sz="0" w:space="0" w:color="auto"/>
        <w:left w:val="none" w:sz="0" w:space="0" w:color="auto"/>
        <w:bottom w:val="none" w:sz="0" w:space="0" w:color="auto"/>
        <w:right w:val="none" w:sz="0" w:space="0" w:color="auto"/>
      </w:divBdr>
    </w:div>
    <w:div w:id="1997998703">
      <w:bodyDiv w:val="1"/>
      <w:marLeft w:val="0"/>
      <w:marRight w:val="0"/>
      <w:marTop w:val="0"/>
      <w:marBottom w:val="0"/>
      <w:divBdr>
        <w:top w:val="none" w:sz="0" w:space="0" w:color="auto"/>
        <w:left w:val="none" w:sz="0" w:space="0" w:color="auto"/>
        <w:bottom w:val="none" w:sz="0" w:space="0" w:color="auto"/>
        <w:right w:val="none" w:sz="0" w:space="0" w:color="auto"/>
      </w:divBdr>
    </w:div>
    <w:div w:id="1998872408">
      <w:bodyDiv w:val="1"/>
      <w:marLeft w:val="0"/>
      <w:marRight w:val="0"/>
      <w:marTop w:val="0"/>
      <w:marBottom w:val="0"/>
      <w:divBdr>
        <w:top w:val="none" w:sz="0" w:space="0" w:color="auto"/>
        <w:left w:val="none" w:sz="0" w:space="0" w:color="auto"/>
        <w:bottom w:val="none" w:sz="0" w:space="0" w:color="auto"/>
        <w:right w:val="none" w:sz="0" w:space="0" w:color="auto"/>
      </w:divBdr>
    </w:div>
    <w:div w:id="1999921037">
      <w:bodyDiv w:val="1"/>
      <w:marLeft w:val="0"/>
      <w:marRight w:val="0"/>
      <w:marTop w:val="0"/>
      <w:marBottom w:val="0"/>
      <w:divBdr>
        <w:top w:val="none" w:sz="0" w:space="0" w:color="auto"/>
        <w:left w:val="none" w:sz="0" w:space="0" w:color="auto"/>
        <w:bottom w:val="none" w:sz="0" w:space="0" w:color="auto"/>
        <w:right w:val="none" w:sz="0" w:space="0" w:color="auto"/>
      </w:divBdr>
    </w:div>
    <w:div w:id="2000844235">
      <w:bodyDiv w:val="1"/>
      <w:marLeft w:val="0"/>
      <w:marRight w:val="0"/>
      <w:marTop w:val="0"/>
      <w:marBottom w:val="0"/>
      <w:divBdr>
        <w:top w:val="none" w:sz="0" w:space="0" w:color="auto"/>
        <w:left w:val="none" w:sz="0" w:space="0" w:color="auto"/>
        <w:bottom w:val="none" w:sz="0" w:space="0" w:color="auto"/>
        <w:right w:val="none" w:sz="0" w:space="0" w:color="auto"/>
      </w:divBdr>
      <w:divsChild>
        <w:div w:id="70321736">
          <w:marLeft w:val="1800"/>
          <w:marRight w:val="0"/>
          <w:marTop w:val="115"/>
          <w:marBottom w:val="0"/>
          <w:divBdr>
            <w:top w:val="none" w:sz="0" w:space="0" w:color="auto"/>
            <w:left w:val="none" w:sz="0" w:space="0" w:color="auto"/>
            <w:bottom w:val="none" w:sz="0" w:space="0" w:color="auto"/>
            <w:right w:val="none" w:sz="0" w:space="0" w:color="auto"/>
          </w:divBdr>
        </w:div>
        <w:div w:id="110904201">
          <w:marLeft w:val="1166"/>
          <w:marRight w:val="0"/>
          <w:marTop w:val="134"/>
          <w:marBottom w:val="0"/>
          <w:divBdr>
            <w:top w:val="none" w:sz="0" w:space="0" w:color="auto"/>
            <w:left w:val="none" w:sz="0" w:space="0" w:color="auto"/>
            <w:bottom w:val="none" w:sz="0" w:space="0" w:color="auto"/>
            <w:right w:val="none" w:sz="0" w:space="0" w:color="auto"/>
          </w:divBdr>
        </w:div>
        <w:div w:id="702899861">
          <w:marLeft w:val="1166"/>
          <w:marRight w:val="0"/>
          <w:marTop w:val="134"/>
          <w:marBottom w:val="0"/>
          <w:divBdr>
            <w:top w:val="none" w:sz="0" w:space="0" w:color="auto"/>
            <w:left w:val="none" w:sz="0" w:space="0" w:color="auto"/>
            <w:bottom w:val="none" w:sz="0" w:space="0" w:color="auto"/>
            <w:right w:val="none" w:sz="0" w:space="0" w:color="auto"/>
          </w:divBdr>
        </w:div>
        <w:div w:id="852691138">
          <w:marLeft w:val="1800"/>
          <w:marRight w:val="0"/>
          <w:marTop w:val="115"/>
          <w:marBottom w:val="0"/>
          <w:divBdr>
            <w:top w:val="none" w:sz="0" w:space="0" w:color="auto"/>
            <w:left w:val="none" w:sz="0" w:space="0" w:color="auto"/>
            <w:bottom w:val="none" w:sz="0" w:space="0" w:color="auto"/>
            <w:right w:val="none" w:sz="0" w:space="0" w:color="auto"/>
          </w:divBdr>
        </w:div>
        <w:div w:id="1417753347">
          <w:marLeft w:val="1800"/>
          <w:marRight w:val="0"/>
          <w:marTop w:val="115"/>
          <w:marBottom w:val="0"/>
          <w:divBdr>
            <w:top w:val="none" w:sz="0" w:space="0" w:color="auto"/>
            <w:left w:val="none" w:sz="0" w:space="0" w:color="auto"/>
            <w:bottom w:val="none" w:sz="0" w:space="0" w:color="auto"/>
            <w:right w:val="none" w:sz="0" w:space="0" w:color="auto"/>
          </w:divBdr>
        </w:div>
        <w:div w:id="1471746597">
          <w:marLeft w:val="547"/>
          <w:marRight w:val="0"/>
          <w:marTop w:val="154"/>
          <w:marBottom w:val="0"/>
          <w:divBdr>
            <w:top w:val="none" w:sz="0" w:space="0" w:color="auto"/>
            <w:left w:val="none" w:sz="0" w:space="0" w:color="auto"/>
            <w:bottom w:val="none" w:sz="0" w:space="0" w:color="auto"/>
            <w:right w:val="none" w:sz="0" w:space="0" w:color="auto"/>
          </w:divBdr>
        </w:div>
        <w:div w:id="1548762380">
          <w:marLeft w:val="1166"/>
          <w:marRight w:val="0"/>
          <w:marTop w:val="134"/>
          <w:marBottom w:val="0"/>
          <w:divBdr>
            <w:top w:val="none" w:sz="0" w:space="0" w:color="auto"/>
            <w:left w:val="none" w:sz="0" w:space="0" w:color="auto"/>
            <w:bottom w:val="none" w:sz="0" w:space="0" w:color="auto"/>
            <w:right w:val="none" w:sz="0" w:space="0" w:color="auto"/>
          </w:divBdr>
        </w:div>
      </w:divsChild>
    </w:div>
    <w:div w:id="2001033408">
      <w:bodyDiv w:val="1"/>
      <w:marLeft w:val="0"/>
      <w:marRight w:val="0"/>
      <w:marTop w:val="0"/>
      <w:marBottom w:val="0"/>
      <w:divBdr>
        <w:top w:val="none" w:sz="0" w:space="0" w:color="auto"/>
        <w:left w:val="none" w:sz="0" w:space="0" w:color="auto"/>
        <w:bottom w:val="none" w:sz="0" w:space="0" w:color="auto"/>
        <w:right w:val="none" w:sz="0" w:space="0" w:color="auto"/>
      </w:divBdr>
      <w:divsChild>
        <w:div w:id="56515113">
          <w:marLeft w:val="1166"/>
          <w:marRight w:val="0"/>
          <w:marTop w:val="110"/>
          <w:marBottom w:val="0"/>
          <w:divBdr>
            <w:top w:val="none" w:sz="0" w:space="0" w:color="auto"/>
            <w:left w:val="none" w:sz="0" w:space="0" w:color="auto"/>
            <w:bottom w:val="none" w:sz="0" w:space="0" w:color="auto"/>
            <w:right w:val="none" w:sz="0" w:space="0" w:color="auto"/>
          </w:divBdr>
        </w:div>
        <w:div w:id="164562860">
          <w:marLeft w:val="1166"/>
          <w:marRight w:val="0"/>
          <w:marTop w:val="106"/>
          <w:marBottom w:val="0"/>
          <w:divBdr>
            <w:top w:val="none" w:sz="0" w:space="0" w:color="auto"/>
            <w:left w:val="none" w:sz="0" w:space="0" w:color="auto"/>
            <w:bottom w:val="none" w:sz="0" w:space="0" w:color="auto"/>
            <w:right w:val="none" w:sz="0" w:space="0" w:color="auto"/>
          </w:divBdr>
        </w:div>
        <w:div w:id="444689810">
          <w:marLeft w:val="547"/>
          <w:marRight w:val="0"/>
          <w:marTop w:val="125"/>
          <w:marBottom w:val="0"/>
          <w:divBdr>
            <w:top w:val="none" w:sz="0" w:space="0" w:color="auto"/>
            <w:left w:val="none" w:sz="0" w:space="0" w:color="auto"/>
            <w:bottom w:val="none" w:sz="0" w:space="0" w:color="auto"/>
            <w:right w:val="none" w:sz="0" w:space="0" w:color="auto"/>
          </w:divBdr>
        </w:div>
        <w:div w:id="884021237">
          <w:marLeft w:val="1800"/>
          <w:marRight w:val="0"/>
          <w:marTop w:val="91"/>
          <w:marBottom w:val="0"/>
          <w:divBdr>
            <w:top w:val="none" w:sz="0" w:space="0" w:color="auto"/>
            <w:left w:val="none" w:sz="0" w:space="0" w:color="auto"/>
            <w:bottom w:val="none" w:sz="0" w:space="0" w:color="auto"/>
            <w:right w:val="none" w:sz="0" w:space="0" w:color="auto"/>
          </w:divBdr>
        </w:div>
        <w:div w:id="1111825308">
          <w:marLeft w:val="1800"/>
          <w:marRight w:val="0"/>
          <w:marTop w:val="91"/>
          <w:marBottom w:val="0"/>
          <w:divBdr>
            <w:top w:val="none" w:sz="0" w:space="0" w:color="auto"/>
            <w:left w:val="none" w:sz="0" w:space="0" w:color="auto"/>
            <w:bottom w:val="none" w:sz="0" w:space="0" w:color="auto"/>
            <w:right w:val="none" w:sz="0" w:space="0" w:color="auto"/>
          </w:divBdr>
        </w:div>
        <w:div w:id="1269580773">
          <w:marLeft w:val="1166"/>
          <w:marRight w:val="0"/>
          <w:marTop w:val="106"/>
          <w:marBottom w:val="0"/>
          <w:divBdr>
            <w:top w:val="none" w:sz="0" w:space="0" w:color="auto"/>
            <w:left w:val="none" w:sz="0" w:space="0" w:color="auto"/>
            <w:bottom w:val="none" w:sz="0" w:space="0" w:color="auto"/>
            <w:right w:val="none" w:sz="0" w:space="0" w:color="auto"/>
          </w:divBdr>
        </w:div>
        <w:div w:id="1385249907">
          <w:marLeft w:val="547"/>
          <w:marRight w:val="0"/>
          <w:marTop w:val="125"/>
          <w:marBottom w:val="0"/>
          <w:divBdr>
            <w:top w:val="none" w:sz="0" w:space="0" w:color="auto"/>
            <w:left w:val="none" w:sz="0" w:space="0" w:color="auto"/>
            <w:bottom w:val="none" w:sz="0" w:space="0" w:color="auto"/>
            <w:right w:val="none" w:sz="0" w:space="0" w:color="auto"/>
          </w:divBdr>
        </w:div>
        <w:div w:id="1677269079">
          <w:marLeft w:val="1166"/>
          <w:marRight w:val="0"/>
          <w:marTop w:val="106"/>
          <w:marBottom w:val="0"/>
          <w:divBdr>
            <w:top w:val="none" w:sz="0" w:space="0" w:color="auto"/>
            <w:left w:val="none" w:sz="0" w:space="0" w:color="auto"/>
            <w:bottom w:val="none" w:sz="0" w:space="0" w:color="auto"/>
            <w:right w:val="none" w:sz="0" w:space="0" w:color="auto"/>
          </w:divBdr>
        </w:div>
        <w:div w:id="1802570913">
          <w:marLeft w:val="1166"/>
          <w:marRight w:val="0"/>
          <w:marTop w:val="110"/>
          <w:marBottom w:val="0"/>
          <w:divBdr>
            <w:top w:val="none" w:sz="0" w:space="0" w:color="auto"/>
            <w:left w:val="none" w:sz="0" w:space="0" w:color="auto"/>
            <w:bottom w:val="none" w:sz="0" w:space="0" w:color="auto"/>
            <w:right w:val="none" w:sz="0" w:space="0" w:color="auto"/>
          </w:divBdr>
        </w:div>
        <w:div w:id="2036541133">
          <w:marLeft w:val="547"/>
          <w:marRight w:val="0"/>
          <w:marTop w:val="125"/>
          <w:marBottom w:val="0"/>
          <w:divBdr>
            <w:top w:val="none" w:sz="0" w:space="0" w:color="auto"/>
            <w:left w:val="none" w:sz="0" w:space="0" w:color="auto"/>
            <w:bottom w:val="none" w:sz="0" w:space="0" w:color="auto"/>
            <w:right w:val="none" w:sz="0" w:space="0" w:color="auto"/>
          </w:divBdr>
        </w:div>
      </w:divsChild>
    </w:div>
    <w:div w:id="2001425330">
      <w:bodyDiv w:val="1"/>
      <w:marLeft w:val="0"/>
      <w:marRight w:val="0"/>
      <w:marTop w:val="0"/>
      <w:marBottom w:val="0"/>
      <w:divBdr>
        <w:top w:val="none" w:sz="0" w:space="0" w:color="auto"/>
        <w:left w:val="none" w:sz="0" w:space="0" w:color="auto"/>
        <w:bottom w:val="none" w:sz="0" w:space="0" w:color="auto"/>
        <w:right w:val="none" w:sz="0" w:space="0" w:color="auto"/>
      </w:divBdr>
    </w:div>
    <w:div w:id="2002153937">
      <w:bodyDiv w:val="1"/>
      <w:marLeft w:val="0"/>
      <w:marRight w:val="0"/>
      <w:marTop w:val="0"/>
      <w:marBottom w:val="0"/>
      <w:divBdr>
        <w:top w:val="none" w:sz="0" w:space="0" w:color="auto"/>
        <w:left w:val="none" w:sz="0" w:space="0" w:color="auto"/>
        <w:bottom w:val="none" w:sz="0" w:space="0" w:color="auto"/>
        <w:right w:val="none" w:sz="0" w:space="0" w:color="auto"/>
      </w:divBdr>
    </w:div>
    <w:div w:id="2008511731">
      <w:bodyDiv w:val="1"/>
      <w:marLeft w:val="0"/>
      <w:marRight w:val="0"/>
      <w:marTop w:val="0"/>
      <w:marBottom w:val="0"/>
      <w:divBdr>
        <w:top w:val="none" w:sz="0" w:space="0" w:color="auto"/>
        <w:left w:val="none" w:sz="0" w:space="0" w:color="auto"/>
        <w:bottom w:val="none" w:sz="0" w:space="0" w:color="auto"/>
        <w:right w:val="none" w:sz="0" w:space="0" w:color="auto"/>
      </w:divBdr>
    </w:div>
    <w:div w:id="2009214362">
      <w:bodyDiv w:val="1"/>
      <w:marLeft w:val="0"/>
      <w:marRight w:val="0"/>
      <w:marTop w:val="0"/>
      <w:marBottom w:val="0"/>
      <w:divBdr>
        <w:top w:val="none" w:sz="0" w:space="0" w:color="auto"/>
        <w:left w:val="none" w:sz="0" w:space="0" w:color="auto"/>
        <w:bottom w:val="none" w:sz="0" w:space="0" w:color="auto"/>
        <w:right w:val="none" w:sz="0" w:space="0" w:color="auto"/>
      </w:divBdr>
    </w:div>
    <w:div w:id="2009793604">
      <w:bodyDiv w:val="1"/>
      <w:marLeft w:val="0"/>
      <w:marRight w:val="0"/>
      <w:marTop w:val="0"/>
      <w:marBottom w:val="0"/>
      <w:divBdr>
        <w:top w:val="none" w:sz="0" w:space="0" w:color="auto"/>
        <w:left w:val="none" w:sz="0" w:space="0" w:color="auto"/>
        <w:bottom w:val="none" w:sz="0" w:space="0" w:color="auto"/>
        <w:right w:val="none" w:sz="0" w:space="0" w:color="auto"/>
      </w:divBdr>
    </w:div>
    <w:div w:id="2010327067">
      <w:bodyDiv w:val="1"/>
      <w:marLeft w:val="0"/>
      <w:marRight w:val="0"/>
      <w:marTop w:val="0"/>
      <w:marBottom w:val="0"/>
      <w:divBdr>
        <w:top w:val="none" w:sz="0" w:space="0" w:color="auto"/>
        <w:left w:val="none" w:sz="0" w:space="0" w:color="auto"/>
        <w:bottom w:val="none" w:sz="0" w:space="0" w:color="auto"/>
        <w:right w:val="none" w:sz="0" w:space="0" w:color="auto"/>
      </w:divBdr>
    </w:div>
    <w:div w:id="2010791978">
      <w:bodyDiv w:val="1"/>
      <w:marLeft w:val="0"/>
      <w:marRight w:val="0"/>
      <w:marTop w:val="0"/>
      <w:marBottom w:val="0"/>
      <w:divBdr>
        <w:top w:val="none" w:sz="0" w:space="0" w:color="auto"/>
        <w:left w:val="none" w:sz="0" w:space="0" w:color="auto"/>
        <w:bottom w:val="none" w:sz="0" w:space="0" w:color="auto"/>
        <w:right w:val="none" w:sz="0" w:space="0" w:color="auto"/>
      </w:divBdr>
    </w:div>
    <w:div w:id="2010909891">
      <w:bodyDiv w:val="1"/>
      <w:marLeft w:val="0"/>
      <w:marRight w:val="0"/>
      <w:marTop w:val="0"/>
      <w:marBottom w:val="0"/>
      <w:divBdr>
        <w:top w:val="none" w:sz="0" w:space="0" w:color="auto"/>
        <w:left w:val="none" w:sz="0" w:space="0" w:color="auto"/>
        <w:bottom w:val="none" w:sz="0" w:space="0" w:color="auto"/>
        <w:right w:val="none" w:sz="0" w:space="0" w:color="auto"/>
      </w:divBdr>
    </w:div>
    <w:div w:id="2012102163">
      <w:bodyDiv w:val="1"/>
      <w:marLeft w:val="0"/>
      <w:marRight w:val="0"/>
      <w:marTop w:val="0"/>
      <w:marBottom w:val="0"/>
      <w:divBdr>
        <w:top w:val="none" w:sz="0" w:space="0" w:color="auto"/>
        <w:left w:val="none" w:sz="0" w:space="0" w:color="auto"/>
        <w:bottom w:val="none" w:sz="0" w:space="0" w:color="auto"/>
        <w:right w:val="none" w:sz="0" w:space="0" w:color="auto"/>
      </w:divBdr>
      <w:divsChild>
        <w:div w:id="30690252">
          <w:marLeft w:val="1166"/>
          <w:marRight w:val="0"/>
          <w:marTop w:val="96"/>
          <w:marBottom w:val="0"/>
          <w:divBdr>
            <w:top w:val="none" w:sz="0" w:space="0" w:color="auto"/>
            <w:left w:val="none" w:sz="0" w:space="0" w:color="auto"/>
            <w:bottom w:val="none" w:sz="0" w:space="0" w:color="auto"/>
            <w:right w:val="none" w:sz="0" w:space="0" w:color="auto"/>
          </w:divBdr>
        </w:div>
        <w:div w:id="347566459">
          <w:marLeft w:val="547"/>
          <w:marRight w:val="0"/>
          <w:marTop w:val="115"/>
          <w:marBottom w:val="0"/>
          <w:divBdr>
            <w:top w:val="none" w:sz="0" w:space="0" w:color="auto"/>
            <w:left w:val="none" w:sz="0" w:space="0" w:color="auto"/>
            <w:bottom w:val="none" w:sz="0" w:space="0" w:color="auto"/>
            <w:right w:val="none" w:sz="0" w:space="0" w:color="auto"/>
          </w:divBdr>
        </w:div>
        <w:div w:id="429009648">
          <w:marLeft w:val="547"/>
          <w:marRight w:val="0"/>
          <w:marTop w:val="115"/>
          <w:marBottom w:val="0"/>
          <w:divBdr>
            <w:top w:val="none" w:sz="0" w:space="0" w:color="auto"/>
            <w:left w:val="none" w:sz="0" w:space="0" w:color="auto"/>
            <w:bottom w:val="none" w:sz="0" w:space="0" w:color="auto"/>
            <w:right w:val="none" w:sz="0" w:space="0" w:color="auto"/>
          </w:divBdr>
        </w:div>
        <w:div w:id="755520133">
          <w:marLeft w:val="1800"/>
          <w:marRight w:val="0"/>
          <w:marTop w:val="77"/>
          <w:marBottom w:val="0"/>
          <w:divBdr>
            <w:top w:val="none" w:sz="0" w:space="0" w:color="auto"/>
            <w:left w:val="none" w:sz="0" w:space="0" w:color="auto"/>
            <w:bottom w:val="none" w:sz="0" w:space="0" w:color="auto"/>
            <w:right w:val="none" w:sz="0" w:space="0" w:color="auto"/>
          </w:divBdr>
        </w:div>
        <w:div w:id="1887830392">
          <w:marLeft w:val="1166"/>
          <w:marRight w:val="0"/>
          <w:marTop w:val="96"/>
          <w:marBottom w:val="0"/>
          <w:divBdr>
            <w:top w:val="none" w:sz="0" w:space="0" w:color="auto"/>
            <w:left w:val="none" w:sz="0" w:space="0" w:color="auto"/>
            <w:bottom w:val="none" w:sz="0" w:space="0" w:color="auto"/>
            <w:right w:val="none" w:sz="0" w:space="0" w:color="auto"/>
          </w:divBdr>
        </w:div>
      </w:divsChild>
    </w:div>
    <w:div w:id="2012640269">
      <w:bodyDiv w:val="1"/>
      <w:marLeft w:val="0"/>
      <w:marRight w:val="0"/>
      <w:marTop w:val="0"/>
      <w:marBottom w:val="0"/>
      <w:divBdr>
        <w:top w:val="none" w:sz="0" w:space="0" w:color="auto"/>
        <w:left w:val="none" w:sz="0" w:space="0" w:color="auto"/>
        <w:bottom w:val="none" w:sz="0" w:space="0" w:color="auto"/>
        <w:right w:val="none" w:sz="0" w:space="0" w:color="auto"/>
      </w:divBdr>
      <w:divsChild>
        <w:div w:id="683216023">
          <w:marLeft w:val="1166"/>
          <w:marRight w:val="0"/>
          <w:marTop w:val="0"/>
          <w:marBottom w:val="0"/>
          <w:divBdr>
            <w:top w:val="none" w:sz="0" w:space="0" w:color="auto"/>
            <w:left w:val="none" w:sz="0" w:space="0" w:color="auto"/>
            <w:bottom w:val="none" w:sz="0" w:space="0" w:color="auto"/>
            <w:right w:val="none" w:sz="0" w:space="0" w:color="auto"/>
          </w:divBdr>
        </w:div>
        <w:div w:id="2135243920">
          <w:marLeft w:val="547"/>
          <w:marRight w:val="0"/>
          <w:marTop w:val="0"/>
          <w:marBottom w:val="0"/>
          <w:divBdr>
            <w:top w:val="none" w:sz="0" w:space="0" w:color="auto"/>
            <w:left w:val="none" w:sz="0" w:space="0" w:color="auto"/>
            <w:bottom w:val="none" w:sz="0" w:space="0" w:color="auto"/>
            <w:right w:val="none" w:sz="0" w:space="0" w:color="auto"/>
          </w:divBdr>
        </w:div>
      </w:divsChild>
    </w:div>
    <w:div w:id="2013293038">
      <w:bodyDiv w:val="1"/>
      <w:marLeft w:val="0"/>
      <w:marRight w:val="0"/>
      <w:marTop w:val="0"/>
      <w:marBottom w:val="0"/>
      <w:divBdr>
        <w:top w:val="none" w:sz="0" w:space="0" w:color="auto"/>
        <w:left w:val="none" w:sz="0" w:space="0" w:color="auto"/>
        <w:bottom w:val="none" w:sz="0" w:space="0" w:color="auto"/>
        <w:right w:val="none" w:sz="0" w:space="0" w:color="auto"/>
      </w:divBdr>
      <w:divsChild>
        <w:div w:id="251089620">
          <w:marLeft w:val="1800"/>
          <w:marRight w:val="0"/>
          <w:marTop w:val="106"/>
          <w:marBottom w:val="0"/>
          <w:divBdr>
            <w:top w:val="none" w:sz="0" w:space="0" w:color="auto"/>
            <w:left w:val="none" w:sz="0" w:space="0" w:color="auto"/>
            <w:bottom w:val="none" w:sz="0" w:space="0" w:color="auto"/>
            <w:right w:val="none" w:sz="0" w:space="0" w:color="auto"/>
          </w:divBdr>
        </w:div>
        <w:div w:id="513612274">
          <w:marLeft w:val="1800"/>
          <w:marRight w:val="0"/>
          <w:marTop w:val="106"/>
          <w:marBottom w:val="0"/>
          <w:divBdr>
            <w:top w:val="none" w:sz="0" w:space="0" w:color="auto"/>
            <w:left w:val="none" w:sz="0" w:space="0" w:color="auto"/>
            <w:bottom w:val="none" w:sz="0" w:space="0" w:color="auto"/>
            <w:right w:val="none" w:sz="0" w:space="0" w:color="auto"/>
          </w:divBdr>
        </w:div>
        <w:div w:id="907107789">
          <w:marLeft w:val="1800"/>
          <w:marRight w:val="0"/>
          <w:marTop w:val="106"/>
          <w:marBottom w:val="0"/>
          <w:divBdr>
            <w:top w:val="none" w:sz="0" w:space="0" w:color="auto"/>
            <w:left w:val="none" w:sz="0" w:space="0" w:color="auto"/>
            <w:bottom w:val="none" w:sz="0" w:space="0" w:color="auto"/>
            <w:right w:val="none" w:sz="0" w:space="0" w:color="auto"/>
          </w:divBdr>
        </w:div>
        <w:div w:id="928124999">
          <w:marLeft w:val="1800"/>
          <w:marRight w:val="0"/>
          <w:marTop w:val="106"/>
          <w:marBottom w:val="0"/>
          <w:divBdr>
            <w:top w:val="none" w:sz="0" w:space="0" w:color="auto"/>
            <w:left w:val="none" w:sz="0" w:space="0" w:color="auto"/>
            <w:bottom w:val="none" w:sz="0" w:space="0" w:color="auto"/>
            <w:right w:val="none" w:sz="0" w:space="0" w:color="auto"/>
          </w:divBdr>
        </w:div>
        <w:div w:id="1093432623">
          <w:marLeft w:val="1166"/>
          <w:marRight w:val="0"/>
          <w:marTop w:val="125"/>
          <w:marBottom w:val="0"/>
          <w:divBdr>
            <w:top w:val="none" w:sz="0" w:space="0" w:color="auto"/>
            <w:left w:val="none" w:sz="0" w:space="0" w:color="auto"/>
            <w:bottom w:val="none" w:sz="0" w:space="0" w:color="auto"/>
            <w:right w:val="none" w:sz="0" w:space="0" w:color="auto"/>
          </w:divBdr>
        </w:div>
        <w:div w:id="1198617430">
          <w:marLeft w:val="1166"/>
          <w:marRight w:val="0"/>
          <w:marTop w:val="125"/>
          <w:marBottom w:val="0"/>
          <w:divBdr>
            <w:top w:val="none" w:sz="0" w:space="0" w:color="auto"/>
            <w:left w:val="none" w:sz="0" w:space="0" w:color="auto"/>
            <w:bottom w:val="none" w:sz="0" w:space="0" w:color="auto"/>
            <w:right w:val="none" w:sz="0" w:space="0" w:color="auto"/>
          </w:divBdr>
        </w:div>
        <w:div w:id="1298880157">
          <w:marLeft w:val="1800"/>
          <w:marRight w:val="0"/>
          <w:marTop w:val="106"/>
          <w:marBottom w:val="0"/>
          <w:divBdr>
            <w:top w:val="none" w:sz="0" w:space="0" w:color="auto"/>
            <w:left w:val="none" w:sz="0" w:space="0" w:color="auto"/>
            <w:bottom w:val="none" w:sz="0" w:space="0" w:color="auto"/>
            <w:right w:val="none" w:sz="0" w:space="0" w:color="auto"/>
          </w:divBdr>
        </w:div>
        <w:div w:id="1518614272">
          <w:marLeft w:val="2520"/>
          <w:marRight w:val="0"/>
          <w:marTop w:val="91"/>
          <w:marBottom w:val="0"/>
          <w:divBdr>
            <w:top w:val="none" w:sz="0" w:space="0" w:color="auto"/>
            <w:left w:val="none" w:sz="0" w:space="0" w:color="auto"/>
            <w:bottom w:val="none" w:sz="0" w:space="0" w:color="auto"/>
            <w:right w:val="none" w:sz="0" w:space="0" w:color="auto"/>
          </w:divBdr>
        </w:div>
        <w:div w:id="1534728395">
          <w:marLeft w:val="547"/>
          <w:marRight w:val="0"/>
          <w:marTop w:val="144"/>
          <w:marBottom w:val="0"/>
          <w:divBdr>
            <w:top w:val="none" w:sz="0" w:space="0" w:color="auto"/>
            <w:left w:val="none" w:sz="0" w:space="0" w:color="auto"/>
            <w:bottom w:val="none" w:sz="0" w:space="0" w:color="auto"/>
            <w:right w:val="none" w:sz="0" w:space="0" w:color="auto"/>
          </w:divBdr>
        </w:div>
        <w:div w:id="1723559080">
          <w:marLeft w:val="547"/>
          <w:marRight w:val="0"/>
          <w:marTop w:val="144"/>
          <w:marBottom w:val="0"/>
          <w:divBdr>
            <w:top w:val="none" w:sz="0" w:space="0" w:color="auto"/>
            <w:left w:val="none" w:sz="0" w:space="0" w:color="auto"/>
            <w:bottom w:val="none" w:sz="0" w:space="0" w:color="auto"/>
            <w:right w:val="none" w:sz="0" w:space="0" w:color="auto"/>
          </w:divBdr>
        </w:div>
      </w:divsChild>
    </w:div>
    <w:div w:id="2014525720">
      <w:bodyDiv w:val="1"/>
      <w:marLeft w:val="0"/>
      <w:marRight w:val="0"/>
      <w:marTop w:val="0"/>
      <w:marBottom w:val="0"/>
      <w:divBdr>
        <w:top w:val="none" w:sz="0" w:space="0" w:color="auto"/>
        <w:left w:val="none" w:sz="0" w:space="0" w:color="auto"/>
        <w:bottom w:val="none" w:sz="0" w:space="0" w:color="auto"/>
        <w:right w:val="none" w:sz="0" w:space="0" w:color="auto"/>
      </w:divBdr>
    </w:div>
    <w:div w:id="2015185288">
      <w:bodyDiv w:val="1"/>
      <w:marLeft w:val="0"/>
      <w:marRight w:val="0"/>
      <w:marTop w:val="0"/>
      <w:marBottom w:val="0"/>
      <w:divBdr>
        <w:top w:val="none" w:sz="0" w:space="0" w:color="auto"/>
        <w:left w:val="none" w:sz="0" w:space="0" w:color="auto"/>
        <w:bottom w:val="none" w:sz="0" w:space="0" w:color="auto"/>
        <w:right w:val="none" w:sz="0" w:space="0" w:color="auto"/>
      </w:divBdr>
    </w:div>
    <w:div w:id="2015374047">
      <w:bodyDiv w:val="1"/>
      <w:marLeft w:val="0"/>
      <w:marRight w:val="0"/>
      <w:marTop w:val="0"/>
      <w:marBottom w:val="0"/>
      <w:divBdr>
        <w:top w:val="none" w:sz="0" w:space="0" w:color="auto"/>
        <w:left w:val="none" w:sz="0" w:space="0" w:color="auto"/>
        <w:bottom w:val="none" w:sz="0" w:space="0" w:color="auto"/>
        <w:right w:val="none" w:sz="0" w:space="0" w:color="auto"/>
      </w:divBdr>
    </w:div>
    <w:div w:id="2016416316">
      <w:bodyDiv w:val="1"/>
      <w:marLeft w:val="0"/>
      <w:marRight w:val="0"/>
      <w:marTop w:val="0"/>
      <w:marBottom w:val="0"/>
      <w:divBdr>
        <w:top w:val="none" w:sz="0" w:space="0" w:color="auto"/>
        <w:left w:val="none" w:sz="0" w:space="0" w:color="auto"/>
        <w:bottom w:val="none" w:sz="0" w:space="0" w:color="auto"/>
        <w:right w:val="none" w:sz="0" w:space="0" w:color="auto"/>
      </w:divBdr>
    </w:div>
    <w:div w:id="2016805210">
      <w:bodyDiv w:val="1"/>
      <w:marLeft w:val="0"/>
      <w:marRight w:val="0"/>
      <w:marTop w:val="0"/>
      <w:marBottom w:val="0"/>
      <w:divBdr>
        <w:top w:val="none" w:sz="0" w:space="0" w:color="auto"/>
        <w:left w:val="none" w:sz="0" w:space="0" w:color="auto"/>
        <w:bottom w:val="none" w:sz="0" w:space="0" w:color="auto"/>
        <w:right w:val="none" w:sz="0" w:space="0" w:color="auto"/>
      </w:divBdr>
    </w:div>
    <w:div w:id="2017150854">
      <w:bodyDiv w:val="1"/>
      <w:marLeft w:val="0"/>
      <w:marRight w:val="0"/>
      <w:marTop w:val="0"/>
      <w:marBottom w:val="0"/>
      <w:divBdr>
        <w:top w:val="none" w:sz="0" w:space="0" w:color="auto"/>
        <w:left w:val="none" w:sz="0" w:space="0" w:color="auto"/>
        <w:bottom w:val="none" w:sz="0" w:space="0" w:color="auto"/>
        <w:right w:val="none" w:sz="0" w:space="0" w:color="auto"/>
      </w:divBdr>
    </w:div>
    <w:div w:id="2017228521">
      <w:bodyDiv w:val="1"/>
      <w:marLeft w:val="0"/>
      <w:marRight w:val="0"/>
      <w:marTop w:val="0"/>
      <w:marBottom w:val="0"/>
      <w:divBdr>
        <w:top w:val="none" w:sz="0" w:space="0" w:color="auto"/>
        <w:left w:val="none" w:sz="0" w:space="0" w:color="auto"/>
        <w:bottom w:val="none" w:sz="0" w:space="0" w:color="auto"/>
        <w:right w:val="none" w:sz="0" w:space="0" w:color="auto"/>
      </w:divBdr>
      <w:divsChild>
        <w:div w:id="179660396">
          <w:marLeft w:val="1166"/>
          <w:marRight w:val="0"/>
          <w:marTop w:val="72"/>
          <w:marBottom w:val="0"/>
          <w:divBdr>
            <w:top w:val="none" w:sz="0" w:space="0" w:color="auto"/>
            <w:left w:val="none" w:sz="0" w:space="0" w:color="auto"/>
            <w:bottom w:val="none" w:sz="0" w:space="0" w:color="auto"/>
            <w:right w:val="none" w:sz="0" w:space="0" w:color="auto"/>
          </w:divBdr>
        </w:div>
        <w:div w:id="194317516">
          <w:marLeft w:val="547"/>
          <w:marRight w:val="0"/>
          <w:marTop w:val="86"/>
          <w:marBottom w:val="0"/>
          <w:divBdr>
            <w:top w:val="none" w:sz="0" w:space="0" w:color="auto"/>
            <w:left w:val="none" w:sz="0" w:space="0" w:color="auto"/>
            <w:bottom w:val="none" w:sz="0" w:space="0" w:color="auto"/>
            <w:right w:val="none" w:sz="0" w:space="0" w:color="auto"/>
          </w:divBdr>
        </w:div>
        <w:div w:id="492917492">
          <w:marLeft w:val="1166"/>
          <w:marRight w:val="0"/>
          <w:marTop w:val="72"/>
          <w:marBottom w:val="0"/>
          <w:divBdr>
            <w:top w:val="none" w:sz="0" w:space="0" w:color="auto"/>
            <w:left w:val="none" w:sz="0" w:space="0" w:color="auto"/>
            <w:bottom w:val="none" w:sz="0" w:space="0" w:color="auto"/>
            <w:right w:val="none" w:sz="0" w:space="0" w:color="auto"/>
          </w:divBdr>
        </w:div>
        <w:div w:id="556010557">
          <w:marLeft w:val="1166"/>
          <w:marRight w:val="0"/>
          <w:marTop w:val="72"/>
          <w:marBottom w:val="0"/>
          <w:divBdr>
            <w:top w:val="none" w:sz="0" w:space="0" w:color="auto"/>
            <w:left w:val="none" w:sz="0" w:space="0" w:color="auto"/>
            <w:bottom w:val="none" w:sz="0" w:space="0" w:color="auto"/>
            <w:right w:val="none" w:sz="0" w:space="0" w:color="auto"/>
          </w:divBdr>
        </w:div>
        <w:div w:id="941229744">
          <w:marLeft w:val="547"/>
          <w:marRight w:val="0"/>
          <w:marTop w:val="86"/>
          <w:marBottom w:val="0"/>
          <w:divBdr>
            <w:top w:val="none" w:sz="0" w:space="0" w:color="auto"/>
            <w:left w:val="none" w:sz="0" w:space="0" w:color="auto"/>
            <w:bottom w:val="none" w:sz="0" w:space="0" w:color="auto"/>
            <w:right w:val="none" w:sz="0" w:space="0" w:color="auto"/>
          </w:divBdr>
        </w:div>
        <w:div w:id="943264176">
          <w:marLeft w:val="547"/>
          <w:marRight w:val="0"/>
          <w:marTop w:val="86"/>
          <w:marBottom w:val="0"/>
          <w:divBdr>
            <w:top w:val="none" w:sz="0" w:space="0" w:color="auto"/>
            <w:left w:val="none" w:sz="0" w:space="0" w:color="auto"/>
            <w:bottom w:val="none" w:sz="0" w:space="0" w:color="auto"/>
            <w:right w:val="none" w:sz="0" w:space="0" w:color="auto"/>
          </w:divBdr>
        </w:div>
        <w:div w:id="1063943587">
          <w:marLeft w:val="1166"/>
          <w:marRight w:val="0"/>
          <w:marTop w:val="72"/>
          <w:marBottom w:val="0"/>
          <w:divBdr>
            <w:top w:val="none" w:sz="0" w:space="0" w:color="auto"/>
            <w:left w:val="none" w:sz="0" w:space="0" w:color="auto"/>
            <w:bottom w:val="none" w:sz="0" w:space="0" w:color="auto"/>
            <w:right w:val="none" w:sz="0" w:space="0" w:color="auto"/>
          </w:divBdr>
        </w:div>
        <w:div w:id="1123305598">
          <w:marLeft w:val="1166"/>
          <w:marRight w:val="0"/>
          <w:marTop w:val="72"/>
          <w:marBottom w:val="0"/>
          <w:divBdr>
            <w:top w:val="none" w:sz="0" w:space="0" w:color="auto"/>
            <w:left w:val="none" w:sz="0" w:space="0" w:color="auto"/>
            <w:bottom w:val="none" w:sz="0" w:space="0" w:color="auto"/>
            <w:right w:val="none" w:sz="0" w:space="0" w:color="auto"/>
          </w:divBdr>
        </w:div>
        <w:div w:id="1250851273">
          <w:marLeft w:val="1166"/>
          <w:marRight w:val="0"/>
          <w:marTop w:val="72"/>
          <w:marBottom w:val="0"/>
          <w:divBdr>
            <w:top w:val="none" w:sz="0" w:space="0" w:color="auto"/>
            <w:left w:val="none" w:sz="0" w:space="0" w:color="auto"/>
            <w:bottom w:val="none" w:sz="0" w:space="0" w:color="auto"/>
            <w:right w:val="none" w:sz="0" w:space="0" w:color="auto"/>
          </w:divBdr>
        </w:div>
        <w:div w:id="1387728009">
          <w:marLeft w:val="1166"/>
          <w:marRight w:val="0"/>
          <w:marTop w:val="72"/>
          <w:marBottom w:val="0"/>
          <w:divBdr>
            <w:top w:val="none" w:sz="0" w:space="0" w:color="auto"/>
            <w:left w:val="none" w:sz="0" w:space="0" w:color="auto"/>
            <w:bottom w:val="none" w:sz="0" w:space="0" w:color="auto"/>
            <w:right w:val="none" w:sz="0" w:space="0" w:color="auto"/>
          </w:divBdr>
        </w:div>
      </w:divsChild>
    </w:div>
    <w:div w:id="2017657954">
      <w:bodyDiv w:val="1"/>
      <w:marLeft w:val="0"/>
      <w:marRight w:val="0"/>
      <w:marTop w:val="0"/>
      <w:marBottom w:val="0"/>
      <w:divBdr>
        <w:top w:val="none" w:sz="0" w:space="0" w:color="auto"/>
        <w:left w:val="none" w:sz="0" w:space="0" w:color="auto"/>
        <w:bottom w:val="none" w:sz="0" w:space="0" w:color="auto"/>
        <w:right w:val="none" w:sz="0" w:space="0" w:color="auto"/>
      </w:divBdr>
    </w:div>
    <w:div w:id="2017995276">
      <w:bodyDiv w:val="1"/>
      <w:marLeft w:val="0"/>
      <w:marRight w:val="0"/>
      <w:marTop w:val="0"/>
      <w:marBottom w:val="0"/>
      <w:divBdr>
        <w:top w:val="none" w:sz="0" w:space="0" w:color="auto"/>
        <w:left w:val="none" w:sz="0" w:space="0" w:color="auto"/>
        <w:bottom w:val="none" w:sz="0" w:space="0" w:color="auto"/>
        <w:right w:val="none" w:sz="0" w:space="0" w:color="auto"/>
      </w:divBdr>
    </w:div>
    <w:div w:id="2018537053">
      <w:bodyDiv w:val="1"/>
      <w:marLeft w:val="0"/>
      <w:marRight w:val="0"/>
      <w:marTop w:val="0"/>
      <w:marBottom w:val="0"/>
      <w:divBdr>
        <w:top w:val="none" w:sz="0" w:space="0" w:color="auto"/>
        <w:left w:val="none" w:sz="0" w:space="0" w:color="auto"/>
        <w:bottom w:val="none" w:sz="0" w:space="0" w:color="auto"/>
        <w:right w:val="none" w:sz="0" w:space="0" w:color="auto"/>
      </w:divBdr>
    </w:div>
    <w:div w:id="2018918577">
      <w:bodyDiv w:val="1"/>
      <w:marLeft w:val="0"/>
      <w:marRight w:val="0"/>
      <w:marTop w:val="0"/>
      <w:marBottom w:val="0"/>
      <w:divBdr>
        <w:top w:val="none" w:sz="0" w:space="0" w:color="auto"/>
        <w:left w:val="none" w:sz="0" w:space="0" w:color="auto"/>
        <w:bottom w:val="none" w:sz="0" w:space="0" w:color="auto"/>
        <w:right w:val="none" w:sz="0" w:space="0" w:color="auto"/>
      </w:divBdr>
    </w:div>
    <w:div w:id="2021227276">
      <w:bodyDiv w:val="1"/>
      <w:marLeft w:val="0"/>
      <w:marRight w:val="0"/>
      <w:marTop w:val="0"/>
      <w:marBottom w:val="0"/>
      <w:divBdr>
        <w:top w:val="none" w:sz="0" w:space="0" w:color="auto"/>
        <w:left w:val="none" w:sz="0" w:space="0" w:color="auto"/>
        <w:bottom w:val="none" w:sz="0" w:space="0" w:color="auto"/>
        <w:right w:val="none" w:sz="0" w:space="0" w:color="auto"/>
      </w:divBdr>
    </w:div>
    <w:div w:id="2021546937">
      <w:bodyDiv w:val="1"/>
      <w:marLeft w:val="0"/>
      <w:marRight w:val="0"/>
      <w:marTop w:val="0"/>
      <w:marBottom w:val="0"/>
      <w:divBdr>
        <w:top w:val="none" w:sz="0" w:space="0" w:color="auto"/>
        <w:left w:val="none" w:sz="0" w:space="0" w:color="auto"/>
        <w:bottom w:val="none" w:sz="0" w:space="0" w:color="auto"/>
        <w:right w:val="none" w:sz="0" w:space="0" w:color="auto"/>
      </w:divBdr>
    </w:div>
    <w:div w:id="2022931924">
      <w:bodyDiv w:val="1"/>
      <w:marLeft w:val="0"/>
      <w:marRight w:val="0"/>
      <w:marTop w:val="0"/>
      <w:marBottom w:val="0"/>
      <w:divBdr>
        <w:top w:val="none" w:sz="0" w:space="0" w:color="auto"/>
        <w:left w:val="none" w:sz="0" w:space="0" w:color="auto"/>
        <w:bottom w:val="none" w:sz="0" w:space="0" w:color="auto"/>
        <w:right w:val="none" w:sz="0" w:space="0" w:color="auto"/>
      </w:divBdr>
    </w:div>
    <w:div w:id="2024819515">
      <w:bodyDiv w:val="1"/>
      <w:marLeft w:val="0"/>
      <w:marRight w:val="0"/>
      <w:marTop w:val="0"/>
      <w:marBottom w:val="0"/>
      <w:divBdr>
        <w:top w:val="none" w:sz="0" w:space="0" w:color="auto"/>
        <w:left w:val="none" w:sz="0" w:space="0" w:color="auto"/>
        <w:bottom w:val="none" w:sz="0" w:space="0" w:color="auto"/>
        <w:right w:val="none" w:sz="0" w:space="0" w:color="auto"/>
      </w:divBdr>
    </w:div>
    <w:div w:id="2025402236">
      <w:bodyDiv w:val="1"/>
      <w:marLeft w:val="0"/>
      <w:marRight w:val="0"/>
      <w:marTop w:val="0"/>
      <w:marBottom w:val="0"/>
      <w:divBdr>
        <w:top w:val="none" w:sz="0" w:space="0" w:color="auto"/>
        <w:left w:val="none" w:sz="0" w:space="0" w:color="auto"/>
        <w:bottom w:val="none" w:sz="0" w:space="0" w:color="auto"/>
        <w:right w:val="none" w:sz="0" w:space="0" w:color="auto"/>
      </w:divBdr>
    </w:div>
    <w:div w:id="2025863265">
      <w:bodyDiv w:val="1"/>
      <w:marLeft w:val="0"/>
      <w:marRight w:val="0"/>
      <w:marTop w:val="0"/>
      <w:marBottom w:val="0"/>
      <w:divBdr>
        <w:top w:val="none" w:sz="0" w:space="0" w:color="auto"/>
        <w:left w:val="none" w:sz="0" w:space="0" w:color="auto"/>
        <w:bottom w:val="none" w:sz="0" w:space="0" w:color="auto"/>
        <w:right w:val="none" w:sz="0" w:space="0" w:color="auto"/>
      </w:divBdr>
    </w:div>
    <w:div w:id="2027094728">
      <w:bodyDiv w:val="1"/>
      <w:marLeft w:val="0"/>
      <w:marRight w:val="0"/>
      <w:marTop w:val="0"/>
      <w:marBottom w:val="0"/>
      <w:divBdr>
        <w:top w:val="none" w:sz="0" w:space="0" w:color="auto"/>
        <w:left w:val="none" w:sz="0" w:space="0" w:color="auto"/>
        <w:bottom w:val="none" w:sz="0" w:space="0" w:color="auto"/>
        <w:right w:val="none" w:sz="0" w:space="0" w:color="auto"/>
      </w:divBdr>
    </w:div>
    <w:div w:id="2028024415">
      <w:bodyDiv w:val="1"/>
      <w:marLeft w:val="0"/>
      <w:marRight w:val="0"/>
      <w:marTop w:val="0"/>
      <w:marBottom w:val="0"/>
      <w:divBdr>
        <w:top w:val="none" w:sz="0" w:space="0" w:color="auto"/>
        <w:left w:val="none" w:sz="0" w:space="0" w:color="auto"/>
        <w:bottom w:val="none" w:sz="0" w:space="0" w:color="auto"/>
        <w:right w:val="none" w:sz="0" w:space="0" w:color="auto"/>
      </w:divBdr>
      <w:divsChild>
        <w:div w:id="300967229">
          <w:marLeft w:val="1800"/>
          <w:marRight w:val="0"/>
          <w:marTop w:val="100"/>
          <w:marBottom w:val="0"/>
          <w:divBdr>
            <w:top w:val="none" w:sz="0" w:space="0" w:color="auto"/>
            <w:left w:val="none" w:sz="0" w:space="0" w:color="auto"/>
            <w:bottom w:val="none" w:sz="0" w:space="0" w:color="auto"/>
            <w:right w:val="none" w:sz="0" w:space="0" w:color="auto"/>
          </w:divBdr>
        </w:div>
        <w:div w:id="573666994">
          <w:marLeft w:val="360"/>
          <w:marRight w:val="0"/>
          <w:marTop w:val="200"/>
          <w:marBottom w:val="0"/>
          <w:divBdr>
            <w:top w:val="none" w:sz="0" w:space="0" w:color="auto"/>
            <w:left w:val="none" w:sz="0" w:space="0" w:color="auto"/>
            <w:bottom w:val="none" w:sz="0" w:space="0" w:color="auto"/>
            <w:right w:val="none" w:sz="0" w:space="0" w:color="auto"/>
          </w:divBdr>
        </w:div>
        <w:div w:id="649093500">
          <w:marLeft w:val="1800"/>
          <w:marRight w:val="0"/>
          <w:marTop w:val="100"/>
          <w:marBottom w:val="0"/>
          <w:divBdr>
            <w:top w:val="none" w:sz="0" w:space="0" w:color="auto"/>
            <w:left w:val="none" w:sz="0" w:space="0" w:color="auto"/>
            <w:bottom w:val="none" w:sz="0" w:space="0" w:color="auto"/>
            <w:right w:val="none" w:sz="0" w:space="0" w:color="auto"/>
          </w:divBdr>
        </w:div>
        <w:div w:id="718437601">
          <w:marLeft w:val="1080"/>
          <w:marRight w:val="0"/>
          <w:marTop w:val="100"/>
          <w:marBottom w:val="0"/>
          <w:divBdr>
            <w:top w:val="none" w:sz="0" w:space="0" w:color="auto"/>
            <w:left w:val="none" w:sz="0" w:space="0" w:color="auto"/>
            <w:bottom w:val="none" w:sz="0" w:space="0" w:color="auto"/>
            <w:right w:val="none" w:sz="0" w:space="0" w:color="auto"/>
          </w:divBdr>
        </w:div>
      </w:divsChild>
    </w:div>
    <w:div w:id="2028209300">
      <w:bodyDiv w:val="1"/>
      <w:marLeft w:val="0"/>
      <w:marRight w:val="0"/>
      <w:marTop w:val="0"/>
      <w:marBottom w:val="0"/>
      <w:divBdr>
        <w:top w:val="none" w:sz="0" w:space="0" w:color="auto"/>
        <w:left w:val="none" w:sz="0" w:space="0" w:color="auto"/>
        <w:bottom w:val="none" w:sz="0" w:space="0" w:color="auto"/>
        <w:right w:val="none" w:sz="0" w:space="0" w:color="auto"/>
      </w:divBdr>
    </w:div>
    <w:div w:id="2028864017">
      <w:bodyDiv w:val="1"/>
      <w:marLeft w:val="0"/>
      <w:marRight w:val="0"/>
      <w:marTop w:val="0"/>
      <w:marBottom w:val="0"/>
      <w:divBdr>
        <w:top w:val="none" w:sz="0" w:space="0" w:color="auto"/>
        <w:left w:val="none" w:sz="0" w:space="0" w:color="auto"/>
        <w:bottom w:val="none" w:sz="0" w:space="0" w:color="auto"/>
        <w:right w:val="none" w:sz="0" w:space="0" w:color="auto"/>
      </w:divBdr>
    </w:div>
    <w:div w:id="2029019125">
      <w:bodyDiv w:val="1"/>
      <w:marLeft w:val="0"/>
      <w:marRight w:val="0"/>
      <w:marTop w:val="0"/>
      <w:marBottom w:val="0"/>
      <w:divBdr>
        <w:top w:val="none" w:sz="0" w:space="0" w:color="auto"/>
        <w:left w:val="none" w:sz="0" w:space="0" w:color="auto"/>
        <w:bottom w:val="none" w:sz="0" w:space="0" w:color="auto"/>
        <w:right w:val="none" w:sz="0" w:space="0" w:color="auto"/>
      </w:divBdr>
    </w:div>
    <w:div w:id="2030375947">
      <w:bodyDiv w:val="1"/>
      <w:marLeft w:val="0"/>
      <w:marRight w:val="0"/>
      <w:marTop w:val="0"/>
      <w:marBottom w:val="0"/>
      <w:divBdr>
        <w:top w:val="none" w:sz="0" w:space="0" w:color="auto"/>
        <w:left w:val="none" w:sz="0" w:space="0" w:color="auto"/>
        <w:bottom w:val="none" w:sz="0" w:space="0" w:color="auto"/>
        <w:right w:val="none" w:sz="0" w:space="0" w:color="auto"/>
      </w:divBdr>
    </w:div>
    <w:div w:id="2032949317">
      <w:bodyDiv w:val="1"/>
      <w:marLeft w:val="0"/>
      <w:marRight w:val="0"/>
      <w:marTop w:val="0"/>
      <w:marBottom w:val="0"/>
      <w:divBdr>
        <w:top w:val="none" w:sz="0" w:space="0" w:color="auto"/>
        <w:left w:val="none" w:sz="0" w:space="0" w:color="auto"/>
        <w:bottom w:val="none" w:sz="0" w:space="0" w:color="auto"/>
        <w:right w:val="none" w:sz="0" w:space="0" w:color="auto"/>
      </w:divBdr>
      <w:divsChild>
        <w:div w:id="372850616">
          <w:marLeft w:val="1800"/>
          <w:marRight w:val="0"/>
          <w:marTop w:val="91"/>
          <w:marBottom w:val="0"/>
          <w:divBdr>
            <w:top w:val="none" w:sz="0" w:space="0" w:color="auto"/>
            <w:left w:val="none" w:sz="0" w:space="0" w:color="auto"/>
            <w:bottom w:val="none" w:sz="0" w:space="0" w:color="auto"/>
            <w:right w:val="none" w:sz="0" w:space="0" w:color="auto"/>
          </w:divBdr>
        </w:div>
        <w:div w:id="707416483">
          <w:marLeft w:val="1800"/>
          <w:marRight w:val="0"/>
          <w:marTop w:val="91"/>
          <w:marBottom w:val="0"/>
          <w:divBdr>
            <w:top w:val="none" w:sz="0" w:space="0" w:color="auto"/>
            <w:left w:val="none" w:sz="0" w:space="0" w:color="auto"/>
            <w:bottom w:val="none" w:sz="0" w:space="0" w:color="auto"/>
            <w:right w:val="none" w:sz="0" w:space="0" w:color="auto"/>
          </w:divBdr>
        </w:div>
        <w:div w:id="944507047">
          <w:marLeft w:val="1166"/>
          <w:marRight w:val="0"/>
          <w:marTop w:val="106"/>
          <w:marBottom w:val="0"/>
          <w:divBdr>
            <w:top w:val="none" w:sz="0" w:space="0" w:color="auto"/>
            <w:left w:val="none" w:sz="0" w:space="0" w:color="auto"/>
            <w:bottom w:val="none" w:sz="0" w:space="0" w:color="auto"/>
            <w:right w:val="none" w:sz="0" w:space="0" w:color="auto"/>
          </w:divBdr>
        </w:div>
        <w:div w:id="1038164143">
          <w:marLeft w:val="1166"/>
          <w:marRight w:val="0"/>
          <w:marTop w:val="106"/>
          <w:marBottom w:val="0"/>
          <w:divBdr>
            <w:top w:val="none" w:sz="0" w:space="0" w:color="auto"/>
            <w:left w:val="none" w:sz="0" w:space="0" w:color="auto"/>
            <w:bottom w:val="none" w:sz="0" w:space="0" w:color="auto"/>
            <w:right w:val="none" w:sz="0" w:space="0" w:color="auto"/>
          </w:divBdr>
        </w:div>
        <w:div w:id="1542590178">
          <w:marLeft w:val="1166"/>
          <w:marRight w:val="0"/>
          <w:marTop w:val="106"/>
          <w:marBottom w:val="0"/>
          <w:divBdr>
            <w:top w:val="none" w:sz="0" w:space="0" w:color="auto"/>
            <w:left w:val="none" w:sz="0" w:space="0" w:color="auto"/>
            <w:bottom w:val="none" w:sz="0" w:space="0" w:color="auto"/>
            <w:right w:val="none" w:sz="0" w:space="0" w:color="auto"/>
          </w:divBdr>
        </w:div>
        <w:div w:id="1611930729">
          <w:marLeft w:val="1800"/>
          <w:marRight w:val="0"/>
          <w:marTop w:val="91"/>
          <w:marBottom w:val="0"/>
          <w:divBdr>
            <w:top w:val="none" w:sz="0" w:space="0" w:color="auto"/>
            <w:left w:val="none" w:sz="0" w:space="0" w:color="auto"/>
            <w:bottom w:val="none" w:sz="0" w:space="0" w:color="auto"/>
            <w:right w:val="none" w:sz="0" w:space="0" w:color="auto"/>
          </w:divBdr>
        </w:div>
        <w:div w:id="1809544233">
          <w:marLeft w:val="547"/>
          <w:marRight w:val="0"/>
          <w:marTop w:val="125"/>
          <w:marBottom w:val="0"/>
          <w:divBdr>
            <w:top w:val="none" w:sz="0" w:space="0" w:color="auto"/>
            <w:left w:val="none" w:sz="0" w:space="0" w:color="auto"/>
            <w:bottom w:val="none" w:sz="0" w:space="0" w:color="auto"/>
            <w:right w:val="none" w:sz="0" w:space="0" w:color="auto"/>
          </w:divBdr>
        </w:div>
        <w:div w:id="1921987921">
          <w:marLeft w:val="1800"/>
          <w:marRight w:val="0"/>
          <w:marTop w:val="77"/>
          <w:marBottom w:val="0"/>
          <w:divBdr>
            <w:top w:val="none" w:sz="0" w:space="0" w:color="auto"/>
            <w:left w:val="none" w:sz="0" w:space="0" w:color="auto"/>
            <w:bottom w:val="none" w:sz="0" w:space="0" w:color="auto"/>
            <w:right w:val="none" w:sz="0" w:space="0" w:color="auto"/>
          </w:divBdr>
        </w:div>
      </w:divsChild>
    </w:div>
    <w:div w:id="2033262343">
      <w:bodyDiv w:val="1"/>
      <w:marLeft w:val="0"/>
      <w:marRight w:val="0"/>
      <w:marTop w:val="0"/>
      <w:marBottom w:val="0"/>
      <w:divBdr>
        <w:top w:val="none" w:sz="0" w:space="0" w:color="auto"/>
        <w:left w:val="none" w:sz="0" w:space="0" w:color="auto"/>
        <w:bottom w:val="none" w:sz="0" w:space="0" w:color="auto"/>
        <w:right w:val="none" w:sz="0" w:space="0" w:color="auto"/>
      </w:divBdr>
    </w:div>
    <w:div w:id="2033527448">
      <w:bodyDiv w:val="1"/>
      <w:marLeft w:val="0"/>
      <w:marRight w:val="0"/>
      <w:marTop w:val="0"/>
      <w:marBottom w:val="0"/>
      <w:divBdr>
        <w:top w:val="none" w:sz="0" w:space="0" w:color="auto"/>
        <w:left w:val="none" w:sz="0" w:space="0" w:color="auto"/>
        <w:bottom w:val="none" w:sz="0" w:space="0" w:color="auto"/>
        <w:right w:val="none" w:sz="0" w:space="0" w:color="auto"/>
      </w:divBdr>
    </w:div>
    <w:div w:id="2034109284">
      <w:bodyDiv w:val="1"/>
      <w:marLeft w:val="0"/>
      <w:marRight w:val="0"/>
      <w:marTop w:val="0"/>
      <w:marBottom w:val="0"/>
      <w:divBdr>
        <w:top w:val="none" w:sz="0" w:space="0" w:color="auto"/>
        <w:left w:val="none" w:sz="0" w:space="0" w:color="auto"/>
        <w:bottom w:val="none" w:sz="0" w:space="0" w:color="auto"/>
        <w:right w:val="none" w:sz="0" w:space="0" w:color="auto"/>
      </w:divBdr>
    </w:div>
    <w:div w:id="2034576623">
      <w:bodyDiv w:val="1"/>
      <w:marLeft w:val="0"/>
      <w:marRight w:val="0"/>
      <w:marTop w:val="0"/>
      <w:marBottom w:val="0"/>
      <w:divBdr>
        <w:top w:val="none" w:sz="0" w:space="0" w:color="auto"/>
        <w:left w:val="none" w:sz="0" w:space="0" w:color="auto"/>
        <w:bottom w:val="none" w:sz="0" w:space="0" w:color="auto"/>
        <w:right w:val="none" w:sz="0" w:space="0" w:color="auto"/>
      </w:divBdr>
    </w:div>
    <w:div w:id="2034842133">
      <w:bodyDiv w:val="1"/>
      <w:marLeft w:val="0"/>
      <w:marRight w:val="0"/>
      <w:marTop w:val="0"/>
      <w:marBottom w:val="0"/>
      <w:divBdr>
        <w:top w:val="none" w:sz="0" w:space="0" w:color="auto"/>
        <w:left w:val="none" w:sz="0" w:space="0" w:color="auto"/>
        <w:bottom w:val="none" w:sz="0" w:space="0" w:color="auto"/>
        <w:right w:val="none" w:sz="0" w:space="0" w:color="auto"/>
      </w:divBdr>
    </w:div>
    <w:div w:id="2035226348">
      <w:bodyDiv w:val="1"/>
      <w:marLeft w:val="0"/>
      <w:marRight w:val="0"/>
      <w:marTop w:val="0"/>
      <w:marBottom w:val="0"/>
      <w:divBdr>
        <w:top w:val="none" w:sz="0" w:space="0" w:color="auto"/>
        <w:left w:val="none" w:sz="0" w:space="0" w:color="auto"/>
        <w:bottom w:val="none" w:sz="0" w:space="0" w:color="auto"/>
        <w:right w:val="none" w:sz="0" w:space="0" w:color="auto"/>
      </w:divBdr>
    </w:div>
    <w:div w:id="2035618638">
      <w:bodyDiv w:val="1"/>
      <w:marLeft w:val="0"/>
      <w:marRight w:val="0"/>
      <w:marTop w:val="0"/>
      <w:marBottom w:val="0"/>
      <w:divBdr>
        <w:top w:val="none" w:sz="0" w:space="0" w:color="auto"/>
        <w:left w:val="none" w:sz="0" w:space="0" w:color="auto"/>
        <w:bottom w:val="none" w:sz="0" w:space="0" w:color="auto"/>
        <w:right w:val="none" w:sz="0" w:space="0" w:color="auto"/>
      </w:divBdr>
    </w:div>
    <w:div w:id="2035690652">
      <w:bodyDiv w:val="1"/>
      <w:marLeft w:val="0"/>
      <w:marRight w:val="0"/>
      <w:marTop w:val="0"/>
      <w:marBottom w:val="0"/>
      <w:divBdr>
        <w:top w:val="none" w:sz="0" w:space="0" w:color="auto"/>
        <w:left w:val="none" w:sz="0" w:space="0" w:color="auto"/>
        <w:bottom w:val="none" w:sz="0" w:space="0" w:color="auto"/>
        <w:right w:val="none" w:sz="0" w:space="0" w:color="auto"/>
      </w:divBdr>
      <w:divsChild>
        <w:div w:id="469055578">
          <w:marLeft w:val="1166"/>
          <w:marRight w:val="0"/>
          <w:marTop w:val="106"/>
          <w:marBottom w:val="0"/>
          <w:divBdr>
            <w:top w:val="none" w:sz="0" w:space="0" w:color="auto"/>
            <w:left w:val="none" w:sz="0" w:space="0" w:color="auto"/>
            <w:bottom w:val="none" w:sz="0" w:space="0" w:color="auto"/>
            <w:right w:val="none" w:sz="0" w:space="0" w:color="auto"/>
          </w:divBdr>
        </w:div>
        <w:div w:id="1604847393">
          <w:marLeft w:val="547"/>
          <w:marRight w:val="0"/>
          <w:marTop w:val="125"/>
          <w:marBottom w:val="0"/>
          <w:divBdr>
            <w:top w:val="none" w:sz="0" w:space="0" w:color="auto"/>
            <w:left w:val="none" w:sz="0" w:space="0" w:color="auto"/>
            <w:bottom w:val="none" w:sz="0" w:space="0" w:color="auto"/>
            <w:right w:val="none" w:sz="0" w:space="0" w:color="auto"/>
          </w:divBdr>
        </w:div>
        <w:div w:id="1939170985">
          <w:marLeft w:val="1166"/>
          <w:marRight w:val="0"/>
          <w:marTop w:val="106"/>
          <w:marBottom w:val="0"/>
          <w:divBdr>
            <w:top w:val="none" w:sz="0" w:space="0" w:color="auto"/>
            <w:left w:val="none" w:sz="0" w:space="0" w:color="auto"/>
            <w:bottom w:val="none" w:sz="0" w:space="0" w:color="auto"/>
            <w:right w:val="none" w:sz="0" w:space="0" w:color="auto"/>
          </w:divBdr>
        </w:div>
        <w:div w:id="1998068164">
          <w:marLeft w:val="547"/>
          <w:marRight w:val="0"/>
          <w:marTop w:val="125"/>
          <w:marBottom w:val="0"/>
          <w:divBdr>
            <w:top w:val="none" w:sz="0" w:space="0" w:color="auto"/>
            <w:left w:val="none" w:sz="0" w:space="0" w:color="auto"/>
            <w:bottom w:val="none" w:sz="0" w:space="0" w:color="auto"/>
            <w:right w:val="none" w:sz="0" w:space="0" w:color="auto"/>
          </w:divBdr>
        </w:div>
        <w:div w:id="2125881586">
          <w:marLeft w:val="1166"/>
          <w:marRight w:val="0"/>
          <w:marTop w:val="106"/>
          <w:marBottom w:val="0"/>
          <w:divBdr>
            <w:top w:val="none" w:sz="0" w:space="0" w:color="auto"/>
            <w:left w:val="none" w:sz="0" w:space="0" w:color="auto"/>
            <w:bottom w:val="none" w:sz="0" w:space="0" w:color="auto"/>
            <w:right w:val="none" w:sz="0" w:space="0" w:color="auto"/>
          </w:divBdr>
        </w:div>
      </w:divsChild>
    </w:div>
    <w:div w:id="2037197670">
      <w:bodyDiv w:val="1"/>
      <w:marLeft w:val="0"/>
      <w:marRight w:val="0"/>
      <w:marTop w:val="0"/>
      <w:marBottom w:val="0"/>
      <w:divBdr>
        <w:top w:val="none" w:sz="0" w:space="0" w:color="auto"/>
        <w:left w:val="none" w:sz="0" w:space="0" w:color="auto"/>
        <w:bottom w:val="none" w:sz="0" w:space="0" w:color="auto"/>
        <w:right w:val="none" w:sz="0" w:space="0" w:color="auto"/>
      </w:divBdr>
    </w:div>
    <w:div w:id="2037341540">
      <w:bodyDiv w:val="1"/>
      <w:marLeft w:val="0"/>
      <w:marRight w:val="0"/>
      <w:marTop w:val="0"/>
      <w:marBottom w:val="0"/>
      <w:divBdr>
        <w:top w:val="none" w:sz="0" w:space="0" w:color="auto"/>
        <w:left w:val="none" w:sz="0" w:space="0" w:color="auto"/>
        <w:bottom w:val="none" w:sz="0" w:space="0" w:color="auto"/>
        <w:right w:val="none" w:sz="0" w:space="0" w:color="auto"/>
      </w:divBdr>
    </w:div>
    <w:div w:id="2038240799">
      <w:bodyDiv w:val="1"/>
      <w:marLeft w:val="0"/>
      <w:marRight w:val="0"/>
      <w:marTop w:val="0"/>
      <w:marBottom w:val="0"/>
      <w:divBdr>
        <w:top w:val="none" w:sz="0" w:space="0" w:color="auto"/>
        <w:left w:val="none" w:sz="0" w:space="0" w:color="auto"/>
        <w:bottom w:val="none" w:sz="0" w:space="0" w:color="auto"/>
        <w:right w:val="none" w:sz="0" w:space="0" w:color="auto"/>
      </w:divBdr>
    </w:div>
    <w:div w:id="2039427826">
      <w:bodyDiv w:val="1"/>
      <w:marLeft w:val="0"/>
      <w:marRight w:val="0"/>
      <w:marTop w:val="0"/>
      <w:marBottom w:val="0"/>
      <w:divBdr>
        <w:top w:val="none" w:sz="0" w:space="0" w:color="auto"/>
        <w:left w:val="none" w:sz="0" w:space="0" w:color="auto"/>
        <w:bottom w:val="none" w:sz="0" w:space="0" w:color="auto"/>
        <w:right w:val="none" w:sz="0" w:space="0" w:color="auto"/>
      </w:divBdr>
    </w:div>
    <w:div w:id="2040471977">
      <w:bodyDiv w:val="1"/>
      <w:marLeft w:val="0"/>
      <w:marRight w:val="0"/>
      <w:marTop w:val="0"/>
      <w:marBottom w:val="0"/>
      <w:divBdr>
        <w:top w:val="none" w:sz="0" w:space="0" w:color="auto"/>
        <w:left w:val="none" w:sz="0" w:space="0" w:color="auto"/>
        <w:bottom w:val="none" w:sz="0" w:space="0" w:color="auto"/>
        <w:right w:val="none" w:sz="0" w:space="0" w:color="auto"/>
      </w:divBdr>
    </w:div>
    <w:div w:id="2041200602">
      <w:bodyDiv w:val="1"/>
      <w:marLeft w:val="0"/>
      <w:marRight w:val="0"/>
      <w:marTop w:val="0"/>
      <w:marBottom w:val="0"/>
      <w:divBdr>
        <w:top w:val="none" w:sz="0" w:space="0" w:color="auto"/>
        <w:left w:val="none" w:sz="0" w:space="0" w:color="auto"/>
        <w:bottom w:val="none" w:sz="0" w:space="0" w:color="auto"/>
        <w:right w:val="none" w:sz="0" w:space="0" w:color="auto"/>
      </w:divBdr>
    </w:div>
    <w:div w:id="2041859529">
      <w:bodyDiv w:val="1"/>
      <w:marLeft w:val="0"/>
      <w:marRight w:val="0"/>
      <w:marTop w:val="0"/>
      <w:marBottom w:val="0"/>
      <w:divBdr>
        <w:top w:val="none" w:sz="0" w:space="0" w:color="auto"/>
        <w:left w:val="none" w:sz="0" w:space="0" w:color="auto"/>
        <w:bottom w:val="none" w:sz="0" w:space="0" w:color="auto"/>
        <w:right w:val="none" w:sz="0" w:space="0" w:color="auto"/>
      </w:divBdr>
    </w:div>
    <w:div w:id="2042003121">
      <w:bodyDiv w:val="1"/>
      <w:marLeft w:val="0"/>
      <w:marRight w:val="0"/>
      <w:marTop w:val="0"/>
      <w:marBottom w:val="0"/>
      <w:divBdr>
        <w:top w:val="none" w:sz="0" w:space="0" w:color="auto"/>
        <w:left w:val="none" w:sz="0" w:space="0" w:color="auto"/>
        <w:bottom w:val="none" w:sz="0" w:space="0" w:color="auto"/>
        <w:right w:val="none" w:sz="0" w:space="0" w:color="auto"/>
      </w:divBdr>
    </w:div>
    <w:div w:id="2042433463">
      <w:bodyDiv w:val="1"/>
      <w:marLeft w:val="0"/>
      <w:marRight w:val="0"/>
      <w:marTop w:val="0"/>
      <w:marBottom w:val="0"/>
      <w:divBdr>
        <w:top w:val="none" w:sz="0" w:space="0" w:color="auto"/>
        <w:left w:val="none" w:sz="0" w:space="0" w:color="auto"/>
        <w:bottom w:val="none" w:sz="0" w:space="0" w:color="auto"/>
        <w:right w:val="none" w:sz="0" w:space="0" w:color="auto"/>
      </w:divBdr>
    </w:div>
    <w:div w:id="2044165969">
      <w:bodyDiv w:val="1"/>
      <w:marLeft w:val="0"/>
      <w:marRight w:val="0"/>
      <w:marTop w:val="0"/>
      <w:marBottom w:val="0"/>
      <w:divBdr>
        <w:top w:val="none" w:sz="0" w:space="0" w:color="auto"/>
        <w:left w:val="none" w:sz="0" w:space="0" w:color="auto"/>
        <w:bottom w:val="none" w:sz="0" w:space="0" w:color="auto"/>
        <w:right w:val="none" w:sz="0" w:space="0" w:color="auto"/>
      </w:divBdr>
    </w:div>
    <w:div w:id="2044593787">
      <w:bodyDiv w:val="1"/>
      <w:marLeft w:val="0"/>
      <w:marRight w:val="0"/>
      <w:marTop w:val="0"/>
      <w:marBottom w:val="0"/>
      <w:divBdr>
        <w:top w:val="none" w:sz="0" w:space="0" w:color="auto"/>
        <w:left w:val="none" w:sz="0" w:space="0" w:color="auto"/>
        <w:bottom w:val="none" w:sz="0" w:space="0" w:color="auto"/>
        <w:right w:val="none" w:sz="0" w:space="0" w:color="auto"/>
      </w:divBdr>
      <w:divsChild>
        <w:div w:id="267392376">
          <w:marLeft w:val="1267"/>
          <w:marRight w:val="0"/>
          <w:marTop w:val="77"/>
          <w:marBottom w:val="0"/>
          <w:divBdr>
            <w:top w:val="none" w:sz="0" w:space="0" w:color="auto"/>
            <w:left w:val="none" w:sz="0" w:space="0" w:color="auto"/>
            <w:bottom w:val="none" w:sz="0" w:space="0" w:color="auto"/>
            <w:right w:val="none" w:sz="0" w:space="0" w:color="auto"/>
          </w:divBdr>
        </w:div>
        <w:div w:id="278997220">
          <w:marLeft w:val="432"/>
          <w:marRight w:val="0"/>
          <w:marTop w:val="86"/>
          <w:marBottom w:val="0"/>
          <w:divBdr>
            <w:top w:val="none" w:sz="0" w:space="0" w:color="auto"/>
            <w:left w:val="none" w:sz="0" w:space="0" w:color="auto"/>
            <w:bottom w:val="none" w:sz="0" w:space="0" w:color="auto"/>
            <w:right w:val="none" w:sz="0" w:space="0" w:color="auto"/>
          </w:divBdr>
        </w:div>
        <w:div w:id="527792464">
          <w:marLeft w:val="432"/>
          <w:marRight w:val="0"/>
          <w:marTop w:val="86"/>
          <w:marBottom w:val="0"/>
          <w:divBdr>
            <w:top w:val="none" w:sz="0" w:space="0" w:color="auto"/>
            <w:left w:val="none" w:sz="0" w:space="0" w:color="auto"/>
            <w:bottom w:val="none" w:sz="0" w:space="0" w:color="auto"/>
            <w:right w:val="none" w:sz="0" w:space="0" w:color="auto"/>
          </w:divBdr>
        </w:div>
        <w:div w:id="736247823">
          <w:marLeft w:val="850"/>
          <w:marRight w:val="0"/>
          <w:marTop w:val="77"/>
          <w:marBottom w:val="0"/>
          <w:divBdr>
            <w:top w:val="none" w:sz="0" w:space="0" w:color="auto"/>
            <w:left w:val="none" w:sz="0" w:space="0" w:color="auto"/>
            <w:bottom w:val="none" w:sz="0" w:space="0" w:color="auto"/>
            <w:right w:val="none" w:sz="0" w:space="0" w:color="auto"/>
          </w:divBdr>
        </w:div>
        <w:div w:id="785735389">
          <w:marLeft w:val="850"/>
          <w:marRight w:val="0"/>
          <w:marTop w:val="77"/>
          <w:marBottom w:val="0"/>
          <w:divBdr>
            <w:top w:val="none" w:sz="0" w:space="0" w:color="auto"/>
            <w:left w:val="none" w:sz="0" w:space="0" w:color="auto"/>
            <w:bottom w:val="none" w:sz="0" w:space="0" w:color="auto"/>
            <w:right w:val="none" w:sz="0" w:space="0" w:color="auto"/>
          </w:divBdr>
        </w:div>
        <w:div w:id="969479226">
          <w:marLeft w:val="1267"/>
          <w:marRight w:val="0"/>
          <w:marTop w:val="77"/>
          <w:marBottom w:val="0"/>
          <w:divBdr>
            <w:top w:val="none" w:sz="0" w:space="0" w:color="auto"/>
            <w:left w:val="none" w:sz="0" w:space="0" w:color="auto"/>
            <w:bottom w:val="none" w:sz="0" w:space="0" w:color="auto"/>
            <w:right w:val="none" w:sz="0" w:space="0" w:color="auto"/>
          </w:divBdr>
        </w:div>
        <w:div w:id="1085226623">
          <w:marLeft w:val="1267"/>
          <w:marRight w:val="0"/>
          <w:marTop w:val="77"/>
          <w:marBottom w:val="0"/>
          <w:divBdr>
            <w:top w:val="none" w:sz="0" w:space="0" w:color="auto"/>
            <w:left w:val="none" w:sz="0" w:space="0" w:color="auto"/>
            <w:bottom w:val="none" w:sz="0" w:space="0" w:color="auto"/>
            <w:right w:val="none" w:sz="0" w:space="0" w:color="auto"/>
          </w:divBdr>
        </w:div>
        <w:div w:id="1893031776">
          <w:marLeft w:val="850"/>
          <w:marRight w:val="0"/>
          <w:marTop w:val="77"/>
          <w:marBottom w:val="0"/>
          <w:divBdr>
            <w:top w:val="none" w:sz="0" w:space="0" w:color="auto"/>
            <w:left w:val="none" w:sz="0" w:space="0" w:color="auto"/>
            <w:bottom w:val="none" w:sz="0" w:space="0" w:color="auto"/>
            <w:right w:val="none" w:sz="0" w:space="0" w:color="auto"/>
          </w:divBdr>
        </w:div>
        <w:div w:id="2011181049">
          <w:marLeft w:val="1267"/>
          <w:marRight w:val="0"/>
          <w:marTop w:val="77"/>
          <w:marBottom w:val="0"/>
          <w:divBdr>
            <w:top w:val="none" w:sz="0" w:space="0" w:color="auto"/>
            <w:left w:val="none" w:sz="0" w:space="0" w:color="auto"/>
            <w:bottom w:val="none" w:sz="0" w:space="0" w:color="auto"/>
            <w:right w:val="none" w:sz="0" w:space="0" w:color="auto"/>
          </w:divBdr>
        </w:div>
        <w:div w:id="2057049376">
          <w:marLeft w:val="1699"/>
          <w:marRight w:val="0"/>
          <w:marTop w:val="77"/>
          <w:marBottom w:val="0"/>
          <w:divBdr>
            <w:top w:val="none" w:sz="0" w:space="0" w:color="auto"/>
            <w:left w:val="none" w:sz="0" w:space="0" w:color="auto"/>
            <w:bottom w:val="none" w:sz="0" w:space="0" w:color="auto"/>
            <w:right w:val="none" w:sz="0" w:space="0" w:color="auto"/>
          </w:divBdr>
        </w:div>
      </w:divsChild>
    </w:div>
    <w:div w:id="2044741767">
      <w:bodyDiv w:val="1"/>
      <w:marLeft w:val="0"/>
      <w:marRight w:val="0"/>
      <w:marTop w:val="0"/>
      <w:marBottom w:val="0"/>
      <w:divBdr>
        <w:top w:val="none" w:sz="0" w:space="0" w:color="auto"/>
        <w:left w:val="none" w:sz="0" w:space="0" w:color="auto"/>
        <w:bottom w:val="none" w:sz="0" w:space="0" w:color="auto"/>
        <w:right w:val="none" w:sz="0" w:space="0" w:color="auto"/>
      </w:divBdr>
      <w:divsChild>
        <w:div w:id="28073570">
          <w:marLeft w:val="1166"/>
          <w:marRight w:val="0"/>
          <w:marTop w:val="96"/>
          <w:marBottom w:val="0"/>
          <w:divBdr>
            <w:top w:val="none" w:sz="0" w:space="0" w:color="auto"/>
            <w:left w:val="none" w:sz="0" w:space="0" w:color="auto"/>
            <w:bottom w:val="none" w:sz="0" w:space="0" w:color="auto"/>
            <w:right w:val="none" w:sz="0" w:space="0" w:color="auto"/>
          </w:divBdr>
        </w:div>
        <w:div w:id="1832871342">
          <w:marLeft w:val="1800"/>
          <w:marRight w:val="0"/>
          <w:marTop w:val="77"/>
          <w:marBottom w:val="0"/>
          <w:divBdr>
            <w:top w:val="none" w:sz="0" w:space="0" w:color="auto"/>
            <w:left w:val="none" w:sz="0" w:space="0" w:color="auto"/>
            <w:bottom w:val="none" w:sz="0" w:space="0" w:color="auto"/>
            <w:right w:val="none" w:sz="0" w:space="0" w:color="auto"/>
          </w:divBdr>
        </w:div>
      </w:divsChild>
    </w:div>
    <w:div w:id="2045013716">
      <w:bodyDiv w:val="1"/>
      <w:marLeft w:val="0"/>
      <w:marRight w:val="0"/>
      <w:marTop w:val="0"/>
      <w:marBottom w:val="0"/>
      <w:divBdr>
        <w:top w:val="none" w:sz="0" w:space="0" w:color="auto"/>
        <w:left w:val="none" w:sz="0" w:space="0" w:color="auto"/>
        <w:bottom w:val="none" w:sz="0" w:space="0" w:color="auto"/>
        <w:right w:val="none" w:sz="0" w:space="0" w:color="auto"/>
      </w:divBdr>
      <w:divsChild>
        <w:div w:id="80225061">
          <w:marLeft w:val="1354"/>
          <w:marRight w:val="0"/>
          <w:marTop w:val="120"/>
          <w:marBottom w:val="0"/>
          <w:divBdr>
            <w:top w:val="none" w:sz="0" w:space="0" w:color="auto"/>
            <w:left w:val="none" w:sz="0" w:space="0" w:color="auto"/>
            <w:bottom w:val="none" w:sz="0" w:space="0" w:color="auto"/>
            <w:right w:val="none" w:sz="0" w:space="0" w:color="auto"/>
          </w:divBdr>
        </w:div>
        <w:div w:id="155457697">
          <w:marLeft w:val="1354"/>
          <w:marRight w:val="0"/>
          <w:marTop w:val="120"/>
          <w:marBottom w:val="0"/>
          <w:divBdr>
            <w:top w:val="none" w:sz="0" w:space="0" w:color="auto"/>
            <w:left w:val="none" w:sz="0" w:space="0" w:color="auto"/>
            <w:bottom w:val="none" w:sz="0" w:space="0" w:color="auto"/>
            <w:right w:val="none" w:sz="0" w:space="0" w:color="auto"/>
          </w:divBdr>
        </w:div>
        <w:div w:id="209535045">
          <w:marLeft w:val="1886"/>
          <w:marRight w:val="0"/>
          <w:marTop w:val="120"/>
          <w:marBottom w:val="0"/>
          <w:divBdr>
            <w:top w:val="none" w:sz="0" w:space="0" w:color="auto"/>
            <w:left w:val="none" w:sz="0" w:space="0" w:color="auto"/>
            <w:bottom w:val="none" w:sz="0" w:space="0" w:color="auto"/>
            <w:right w:val="none" w:sz="0" w:space="0" w:color="auto"/>
          </w:divBdr>
        </w:div>
        <w:div w:id="773475480">
          <w:marLeft w:val="1886"/>
          <w:marRight w:val="0"/>
          <w:marTop w:val="120"/>
          <w:marBottom w:val="0"/>
          <w:divBdr>
            <w:top w:val="none" w:sz="0" w:space="0" w:color="auto"/>
            <w:left w:val="none" w:sz="0" w:space="0" w:color="auto"/>
            <w:bottom w:val="none" w:sz="0" w:space="0" w:color="auto"/>
            <w:right w:val="none" w:sz="0" w:space="0" w:color="auto"/>
          </w:divBdr>
        </w:div>
        <w:div w:id="1153645891">
          <w:marLeft w:val="1354"/>
          <w:marRight w:val="0"/>
          <w:marTop w:val="120"/>
          <w:marBottom w:val="0"/>
          <w:divBdr>
            <w:top w:val="none" w:sz="0" w:space="0" w:color="auto"/>
            <w:left w:val="none" w:sz="0" w:space="0" w:color="auto"/>
            <w:bottom w:val="none" w:sz="0" w:space="0" w:color="auto"/>
            <w:right w:val="none" w:sz="0" w:space="0" w:color="auto"/>
          </w:divBdr>
        </w:div>
        <w:div w:id="1181317467">
          <w:marLeft w:val="1886"/>
          <w:marRight w:val="0"/>
          <w:marTop w:val="120"/>
          <w:marBottom w:val="0"/>
          <w:divBdr>
            <w:top w:val="none" w:sz="0" w:space="0" w:color="auto"/>
            <w:left w:val="none" w:sz="0" w:space="0" w:color="auto"/>
            <w:bottom w:val="none" w:sz="0" w:space="0" w:color="auto"/>
            <w:right w:val="none" w:sz="0" w:space="0" w:color="auto"/>
          </w:divBdr>
        </w:div>
        <w:div w:id="1238831463">
          <w:marLeft w:val="1886"/>
          <w:marRight w:val="0"/>
          <w:marTop w:val="120"/>
          <w:marBottom w:val="0"/>
          <w:divBdr>
            <w:top w:val="none" w:sz="0" w:space="0" w:color="auto"/>
            <w:left w:val="none" w:sz="0" w:space="0" w:color="auto"/>
            <w:bottom w:val="none" w:sz="0" w:space="0" w:color="auto"/>
            <w:right w:val="none" w:sz="0" w:space="0" w:color="auto"/>
          </w:divBdr>
        </w:div>
        <w:div w:id="1591618638">
          <w:marLeft w:val="806"/>
          <w:marRight w:val="0"/>
          <w:marTop w:val="120"/>
          <w:marBottom w:val="0"/>
          <w:divBdr>
            <w:top w:val="none" w:sz="0" w:space="0" w:color="auto"/>
            <w:left w:val="none" w:sz="0" w:space="0" w:color="auto"/>
            <w:bottom w:val="none" w:sz="0" w:space="0" w:color="auto"/>
            <w:right w:val="none" w:sz="0" w:space="0" w:color="auto"/>
          </w:divBdr>
        </w:div>
        <w:div w:id="1665205764">
          <w:marLeft w:val="1886"/>
          <w:marRight w:val="0"/>
          <w:marTop w:val="120"/>
          <w:marBottom w:val="0"/>
          <w:divBdr>
            <w:top w:val="none" w:sz="0" w:space="0" w:color="auto"/>
            <w:left w:val="none" w:sz="0" w:space="0" w:color="auto"/>
            <w:bottom w:val="none" w:sz="0" w:space="0" w:color="auto"/>
            <w:right w:val="none" w:sz="0" w:space="0" w:color="auto"/>
          </w:divBdr>
        </w:div>
        <w:div w:id="1930190111">
          <w:marLeft w:val="1886"/>
          <w:marRight w:val="0"/>
          <w:marTop w:val="120"/>
          <w:marBottom w:val="0"/>
          <w:divBdr>
            <w:top w:val="none" w:sz="0" w:space="0" w:color="auto"/>
            <w:left w:val="none" w:sz="0" w:space="0" w:color="auto"/>
            <w:bottom w:val="none" w:sz="0" w:space="0" w:color="auto"/>
            <w:right w:val="none" w:sz="0" w:space="0" w:color="auto"/>
          </w:divBdr>
        </w:div>
        <w:div w:id="2127844012">
          <w:marLeft w:val="1886"/>
          <w:marRight w:val="0"/>
          <w:marTop w:val="120"/>
          <w:marBottom w:val="0"/>
          <w:divBdr>
            <w:top w:val="none" w:sz="0" w:space="0" w:color="auto"/>
            <w:left w:val="none" w:sz="0" w:space="0" w:color="auto"/>
            <w:bottom w:val="none" w:sz="0" w:space="0" w:color="auto"/>
            <w:right w:val="none" w:sz="0" w:space="0" w:color="auto"/>
          </w:divBdr>
        </w:div>
      </w:divsChild>
    </w:div>
    <w:div w:id="2046055275">
      <w:bodyDiv w:val="1"/>
      <w:marLeft w:val="0"/>
      <w:marRight w:val="0"/>
      <w:marTop w:val="0"/>
      <w:marBottom w:val="0"/>
      <w:divBdr>
        <w:top w:val="none" w:sz="0" w:space="0" w:color="auto"/>
        <w:left w:val="none" w:sz="0" w:space="0" w:color="auto"/>
        <w:bottom w:val="none" w:sz="0" w:space="0" w:color="auto"/>
        <w:right w:val="none" w:sz="0" w:space="0" w:color="auto"/>
      </w:divBdr>
    </w:div>
    <w:div w:id="2046632824">
      <w:bodyDiv w:val="1"/>
      <w:marLeft w:val="0"/>
      <w:marRight w:val="0"/>
      <w:marTop w:val="0"/>
      <w:marBottom w:val="0"/>
      <w:divBdr>
        <w:top w:val="none" w:sz="0" w:space="0" w:color="auto"/>
        <w:left w:val="none" w:sz="0" w:space="0" w:color="auto"/>
        <w:bottom w:val="none" w:sz="0" w:space="0" w:color="auto"/>
        <w:right w:val="none" w:sz="0" w:space="0" w:color="auto"/>
      </w:divBdr>
    </w:div>
    <w:div w:id="2047025035">
      <w:bodyDiv w:val="1"/>
      <w:marLeft w:val="0"/>
      <w:marRight w:val="0"/>
      <w:marTop w:val="0"/>
      <w:marBottom w:val="0"/>
      <w:divBdr>
        <w:top w:val="none" w:sz="0" w:space="0" w:color="auto"/>
        <w:left w:val="none" w:sz="0" w:space="0" w:color="auto"/>
        <w:bottom w:val="none" w:sz="0" w:space="0" w:color="auto"/>
        <w:right w:val="none" w:sz="0" w:space="0" w:color="auto"/>
      </w:divBdr>
    </w:div>
    <w:div w:id="2047876403">
      <w:bodyDiv w:val="1"/>
      <w:marLeft w:val="0"/>
      <w:marRight w:val="0"/>
      <w:marTop w:val="0"/>
      <w:marBottom w:val="0"/>
      <w:divBdr>
        <w:top w:val="none" w:sz="0" w:space="0" w:color="auto"/>
        <w:left w:val="none" w:sz="0" w:space="0" w:color="auto"/>
        <w:bottom w:val="none" w:sz="0" w:space="0" w:color="auto"/>
        <w:right w:val="none" w:sz="0" w:space="0" w:color="auto"/>
      </w:divBdr>
    </w:div>
    <w:div w:id="2048674685">
      <w:bodyDiv w:val="1"/>
      <w:marLeft w:val="0"/>
      <w:marRight w:val="0"/>
      <w:marTop w:val="0"/>
      <w:marBottom w:val="0"/>
      <w:divBdr>
        <w:top w:val="none" w:sz="0" w:space="0" w:color="auto"/>
        <w:left w:val="none" w:sz="0" w:space="0" w:color="auto"/>
        <w:bottom w:val="none" w:sz="0" w:space="0" w:color="auto"/>
        <w:right w:val="none" w:sz="0" w:space="0" w:color="auto"/>
      </w:divBdr>
    </w:div>
    <w:div w:id="2048989642">
      <w:bodyDiv w:val="1"/>
      <w:marLeft w:val="0"/>
      <w:marRight w:val="0"/>
      <w:marTop w:val="0"/>
      <w:marBottom w:val="0"/>
      <w:divBdr>
        <w:top w:val="none" w:sz="0" w:space="0" w:color="auto"/>
        <w:left w:val="none" w:sz="0" w:space="0" w:color="auto"/>
        <w:bottom w:val="none" w:sz="0" w:space="0" w:color="auto"/>
        <w:right w:val="none" w:sz="0" w:space="0" w:color="auto"/>
      </w:divBdr>
    </w:div>
    <w:div w:id="2049722646">
      <w:bodyDiv w:val="1"/>
      <w:marLeft w:val="0"/>
      <w:marRight w:val="0"/>
      <w:marTop w:val="0"/>
      <w:marBottom w:val="0"/>
      <w:divBdr>
        <w:top w:val="none" w:sz="0" w:space="0" w:color="auto"/>
        <w:left w:val="none" w:sz="0" w:space="0" w:color="auto"/>
        <w:bottom w:val="none" w:sz="0" w:space="0" w:color="auto"/>
        <w:right w:val="none" w:sz="0" w:space="0" w:color="auto"/>
      </w:divBdr>
      <w:divsChild>
        <w:div w:id="298532950">
          <w:marLeft w:val="1166"/>
          <w:marRight w:val="0"/>
          <w:marTop w:val="106"/>
          <w:marBottom w:val="0"/>
          <w:divBdr>
            <w:top w:val="none" w:sz="0" w:space="0" w:color="auto"/>
            <w:left w:val="none" w:sz="0" w:space="0" w:color="auto"/>
            <w:bottom w:val="none" w:sz="0" w:space="0" w:color="auto"/>
            <w:right w:val="none" w:sz="0" w:space="0" w:color="auto"/>
          </w:divBdr>
        </w:div>
        <w:div w:id="665017283">
          <w:marLeft w:val="1166"/>
          <w:marRight w:val="0"/>
          <w:marTop w:val="106"/>
          <w:marBottom w:val="0"/>
          <w:divBdr>
            <w:top w:val="none" w:sz="0" w:space="0" w:color="auto"/>
            <w:left w:val="none" w:sz="0" w:space="0" w:color="auto"/>
            <w:bottom w:val="none" w:sz="0" w:space="0" w:color="auto"/>
            <w:right w:val="none" w:sz="0" w:space="0" w:color="auto"/>
          </w:divBdr>
        </w:div>
        <w:div w:id="1073966105">
          <w:marLeft w:val="1800"/>
          <w:marRight w:val="0"/>
          <w:marTop w:val="91"/>
          <w:marBottom w:val="0"/>
          <w:divBdr>
            <w:top w:val="none" w:sz="0" w:space="0" w:color="auto"/>
            <w:left w:val="none" w:sz="0" w:space="0" w:color="auto"/>
            <w:bottom w:val="none" w:sz="0" w:space="0" w:color="auto"/>
            <w:right w:val="none" w:sz="0" w:space="0" w:color="auto"/>
          </w:divBdr>
        </w:div>
        <w:div w:id="1335182026">
          <w:marLeft w:val="547"/>
          <w:marRight w:val="0"/>
          <w:marTop w:val="125"/>
          <w:marBottom w:val="0"/>
          <w:divBdr>
            <w:top w:val="none" w:sz="0" w:space="0" w:color="auto"/>
            <w:left w:val="none" w:sz="0" w:space="0" w:color="auto"/>
            <w:bottom w:val="none" w:sz="0" w:space="0" w:color="auto"/>
            <w:right w:val="none" w:sz="0" w:space="0" w:color="auto"/>
          </w:divBdr>
        </w:div>
        <w:div w:id="1366559493">
          <w:marLeft w:val="1800"/>
          <w:marRight w:val="0"/>
          <w:marTop w:val="91"/>
          <w:marBottom w:val="0"/>
          <w:divBdr>
            <w:top w:val="none" w:sz="0" w:space="0" w:color="auto"/>
            <w:left w:val="none" w:sz="0" w:space="0" w:color="auto"/>
            <w:bottom w:val="none" w:sz="0" w:space="0" w:color="auto"/>
            <w:right w:val="none" w:sz="0" w:space="0" w:color="auto"/>
          </w:divBdr>
        </w:div>
        <w:div w:id="1672558169">
          <w:marLeft w:val="1166"/>
          <w:marRight w:val="0"/>
          <w:marTop w:val="96"/>
          <w:marBottom w:val="0"/>
          <w:divBdr>
            <w:top w:val="none" w:sz="0" w:space="0" w:color="auto"/>
            <w:left w:val="none" w:sz="0" w:space="0" w:color="auto"/>
            <w:bottom w:val="none" w:sz="0" w:space="0" w:color="auto"/>
            <w:right w:val="none" w:sz="0" w:space="0" w:color="auto"/>
          </w:divBdr>
        </w:div>
      </w:divsChild>
    </w:div>
    <w:div w:id="2049908779">
      <w:bodyDiv w:val="1"/>
      <w:marLeft w:val="0"/>
      <w:marRight w:val="0"/>
      <w:marTop w:val="0"/>
      <w:marBottom w:val="0"/>
      <w:divBdr>
        <w:top w:val="none" w:sz="0" w:space="0" w:color="auto"/>
        <w:left w:val="none" w:sz="0" w:space="0" w:color="auto"/>
        <w:bottom w:val="none" w:sz="0" w:space="0" w:color="auto"/>
        <w:right w:val="none" w:sz="0" w:space="0" w:color="auto"/>
      </w:divBdr>
    </w:div>
    <w:div w:id="2050063121">
      <w:bodyDiv w:val="1"/>
      <w:marLeft w:val="0"/>
      <w:marRight w:val="0"/>
      <w:marTop w:val="0"/>
      <w:marBottom w:val="0"/>
      <w:divBdr>
        <w:top w:val="none" w:sz="0" w:space="0" w:color="auto"/>
        <w:left w:val="none" w:sz="0" w:space="0" w:color="auto"/>
        <w:bottom w:val="none" w:sz="0" w:space="0" w:color="auto"/>
        <w:right w:val="none" w:sz="0" w:space="0" w:color="auto"/>
      </w:divBdr>
    </w:div>
    <w:div w:id="2050107209">
      <w:bodyDiv w:val="1"/>
      <w:marLeft w:val="0"/>
      <w:marRight w:val="0"/>
      <w:marTop w:val="0"/>
      <w:marBottom w:val="0"/>
      <w:divBdr>
        <w:top w:val="none" w:sz="0" w:space="0" w:color="auto"/>
        <w:left w:val="none" w:sz="0" w:space="0" w:color="auto"/>
        <w:bottom w:val="none" w:sz="0" w:space="0" w:color="auto"/>
        <w:right w:val="none" w:sz="0" w:space="0" w:color="auto"/>
      </w:divBdr>
    </w:div>
    <w:div w:id="2051831697">
      <w:bodyDiv w:val="1"/>
      <w:marLeft w:val="0"/>
      <w:marRight w:val="0"/>
      <w:marTop w:val="0"/>
      <w:marBottom w:val="0"/>
      <w:divBdr>
        <w:top w:val="none" w:sz="0" w:space="0" w:color="auto"/>
        <w:left w:val="none" w:sz="0" w:space="0" w:color="auto"/>
        <w:bottom w:val="none" w:sz="0" w:space="0" w:color="auto"/>
        <w:right w:val="none" w:sz="0" w:space="0" w:color="auto"/>
      </w:divBdr>
      <w:divsChild>
        <w:div w:id="356664968">
          <w:marLeft w:val="1800"/>
          <w:marRight w:val="0"/>
          <w:marTop w:val="100"/>
          <w:marBottom w:val="0"/>
          <w:divBdr>
            <w:top w:val="none" w:sz="0" w:space="0" w:color="auto"/>
            <w:left w:val="none" w:sz="0" w:space="0" w:color="auto"/>
            <w:bottom w:val="none" w:sz="0" w:space="0" w:color="auto"/>
            <w:right w:val="none" w:sz="0" w:space="0" w:color="auto"/>
          </w:divBdr>
        </w:div>
        <w:div w:id="807238526">
          <w:marLeft w:val="360"/>
          <w:marRight w:val="0"/>
          <w:marTop w:val="200"/>
          <w:marBottom w:val="0"/>
          <w:divBdr>
            <w:top w:val="none" w:sz="0" w:space="0" w:color="auto"/>
            <w:left w:val="none" w:sz="0" w:space="0" w:color="auto"/>
            <w:bottom w:val="none" w:sz="0" w:space="0" w:color="auto"/>
            <w:right w:val="none" w:sz="0" w:space="0" w:color="auto"/>
          </w:divBdr>
        </w:div>
        <w:div w:id="898973874">
          <w:marLeft w:val="1080"/>
          <w:marRight w:val="0"/>
          <w:marTop w:val="100"/>
          <w:marBottom w:val="0"/>
          <w:divBdr>
            <w:top w:val="none" w:sz="0" w:space="0" w:color="auto"/>
            <w:left w:val="none" w:sz="0" w:space="0" w:color="auto"/>
            <w:bottom w:val="none" w:sz="0" w:space="0" w:color="auto"/>
            <w:right w:val="none" w:sz="0" w:space="0" w:color="auto"/>
          </w:divBdr>
        </w:div>
        <w:div w:id="1689288497">
          <w:marLeft w:val="1080"/>
          <w:marRight w:val="0"/>
          <w:marTop w:val="100"/>
          <w:marBottom w:val="0"/>
          <w:divBdr>
            <w:top w:val="none" w:sz="0" w:space="0" w:color="auto"/>
            <w:left w:val="none" w:sz="0" w:space="0" w:color="auto"/>
            <w:bottom w:val="none" w:sz="0" w:space="0" w:color="auto"/>
            <w:right w:val="none" w:sz="0" w:space="0" w:color="auto"/>
          </w:divBdr>
        </w:div>
        <w:div w:id="1794054228">
          <w:marLeft w:val="1800"/>
          <w:marRight w:val="0"/>
          <w:marTop w:val="100"/>
          <w:marBottom w:val="0"/>
          <w:divBdr>
            <w:top w:val="none" w:sz="0" w:space="0" w:color="auto"/>
            <w:left w:val="none" w:sz="0" w:space="0" w:color="auto"/>
            <w:bottom w:val="none" w:sz="0" w:space="0" w:color="auto"/>
            <w:right w:val="none" w:sz="0" w:space="0" w:color="auto"/>
          </w:divBdr>
        </w:div>
        <w:div w:id="1928266674">
          <w:marLeft w:val="1800"/>
          <w:marRight w:val="0"/>
          <w:marTop w:val="100"/>
          <w:marBottom w:val="0"/>
          <w:divBdr>
            <w:top w:val="none" w:sz="0" w:space="0" w:color="auto"/>
            <w:left w:val="none" w:sz="0" w:space="0" w:color="auto"/>
            <w:bottom w:val="none" w:sz="0" w:space="0" w:color="auto"/>
            <w:right w:val="none" w:sz="0" w:space="0" w:color="auto"/>
          </w:divBdr>
        </w:div>
      </w:divsChild>
    </w:div>
    <w:div w:id="2052269401">
      <w:bodyDiv w:val="1"/>
      <w:marLeft w:val="0"/>
      <w:marRight w:val="0"/>
      <w:marTop w:val="0"/>
      <w:marBottom w:val="0"/>
      <w:divBdr>
        <w:top w:val="none" w:sz="0" w:space="0" w:color="auto"/>
        <w:left w:val="none" w:sz="0" w:space="0" w:color="auto"/>
        <w:bottom w:val="none" w:sz="0" w:space="0" w:color="auto"/>
        <w:right w:val="none" w:sz="0" w:space="0" w:color="auto"/>
      </w:divBdr>
    </w:div>
    <w:div w:id="2054184958">
      <w:bodyDiv w:val="1"/>
      <w:marLeft w:val="0"/>
      <w:marRight w:val="0"/>
      <w:marTop w:val="0"/>
      <w:marBottom w:val="0"/>
      <w:divBdr>
        <w:top w:val="none" w:sz="0" w:space="0" w:color="auto"/>
        <w:left w:val="none" w:sz="0" w:space="0" w:color="auto"/>
        <w:bottom w:val="none" w:sz="0" w:space="0" w:color="auto"/>
        <w:right w:val="none" w:sz="0" w:space="0" w:color="auto"/>
      </w:divBdr>
      <w:divsChild>
        <w:div w:id="263809702">
          <w:marLeft w:val="547"/>
          <w:marRight w:val="0"/>
          <w:marTop w:val="96"/>
          <w:marBottom w:val="0"/>
          <w:divBdr>
            <w:top w:val="none" w:sz="0" w:space="0" w:color="auto"/>
            <w:left w:val="none" w:sz="0" w:space="0" w:color="auto"/>
            <w:bottom w:val="none" w:sz="0" w:space="0" w:color="auto"/>
            <w:right w:val="none" w:sz="0" w:space="0" w:color="auto"/>
          </w:divBdr>
        </w:div>
        <w:div w:id="714429556">
          <w:marLeft w:val="547"/>
          <w:marRight w:val="0"/>
          <w:marTop w:val="96"/>
          <w:marBottom w:val="0"/>
          <w:divBdr>
            <w:top w:val="none" w:sz="0" w:space="0" w:color="auto"/>
            <w:left w:val="none" w:sz="0" w:space="0" w:color="auto"/>
            <w:bottom w:val="none" w:sz="0" w:space="0" w:color="auto"/>
            <w:right w:val="none" w:sz="0" w:space="0" w:color="auto"/>
          </w:divBdr>
        </w:div>
        <w:div w:id="777025729">
          <w:marLeft w:val="547"/>
          <w:marRight w:val="0"/>
          <w:marTop w:val="96"/>
          <w:marBottom w:val="0"/>
          <w:divBdr>
            <w:top w:val="none" w:sz="0" w:space="0" w:color="auto"/>
            <w:left w:val="none" w:sz="0" w:space="0" w:color="auto"/>
            <w:bottom w:val="none" w:sz="0" w:space="0" w:color="auto"/>
            <w:right w:val="none" w:sz="0" w:space="0" w:color="auto"/>
          </w:divBdr>
        </w:div>
        <w:div w:id="1154954418">
          <w:marLeft w:val="547"/>
          <w:marRight w:val="0"/>
          <w:marTop w:val="96"/>
          <w:marBottom w:val="0"/>
          <w:divBdr>
            <w:top w:val="none" w:sz="0" w:space="0" w:color="auto"/>
            <w:left w:val="none" w:sz="0" w:space="0" w:color="auto"/>
            <w:bottom w:val="none" w:sz="0" w:space="0" w:color="auto"/>
            <w:right w:val="none" w:sz="0" w:space="0" w:color="auto"/>
          </w:divBdr>
        </w:div>
        <w:div w:id="1710373646">
          <w:marLeft w:val="1166"/>
          <w:marRight w:val="0"/>
          <w:marTop w:val="86"/>
          <w:marBottom w:val="0"/>
          <w:divBdr>
            <w:top w:val="none" w:sz="0" w:space="0" w:color="auto"/>
            <w:left w:val="none" w:sz="0" w:space="0" w:color="auto"/>
            <w:bottom w:val="none" w:sz="0" w:space="0" w:color="auto"/>
            <w:right w:val="none" w:sz="0" w:space="0" w:color="auto"/>
          </w:divBdr>
        </w:div>
      </w:divsChild>
    </w:div>
    <w:div w:id="2054377630">
      <w:bodyDiv w:val="1"/>
      <w:marLeft w:val="0"/>
      <w:marRight w:val="0"/>
      <w:marTop w:val="0"/>
      <w:marBottom w:val="0"/>
      <w:divBdr>
        <w:top w:val="none" w:sz="0" w:space="0" w:color="auto"/>
        <w:left w:val="none" w:sz="0" w:space="0" w:color="auto"/>
        <w:bottom w:val="none" w:sz="0" w:space="0" w:color="auto"/>
        <w:right w:val="none" w:sz="0" w:space="0" w:color="auto"/>
      </w:divBdr>
    </w:div>
    <w:div w:id="2055347410">
      <w:bodyDiv w:val="1"/>
      <w:marLeft w:val="0"/>
      <w:marRight w:val="0"/>
      <w:marTop w:val="0"/>
      <w:marBottom w:val="0"/>
      <w:divBdr>
        <w:top w:val="none" w:sz="0" w:space="0" w:color="auto"/>
        <w:left w:val="none" w:sz="0" w:space="0" w:color="auto"/>
        <w:bottom w:val="none" w:sz="0" w:space="0" w:color="auto"/>
        <w:right w:val="none" w:sz="0" w:space="0" w:color="auto"/>
      </w:divBdr>
    </w:div>
    <w:div w:id="2056076633">
      <w:bodyDiv w:val="1"/>
      <w:marLeft w:val="0"/>
      <w:marRight w:val="0"/>
      <w:marTop w:val="0"/>
      <w:marBottom w:val="0"/>
      <w:divBdr>
        <w:top w:val="none" w:sz="0" w:space="0" w:color="auto"/>
        <w:left w:val="none" w:sz="0" w:space="0" w:color="auto"/>
        <w:bottom w:val="none" w:sz="0" w:space="0" w:color="auto"/>
        <w:right w:val="none" w:sz="0" w:space="0" w:color="auto"/>
      </w:divBdr>
    </w:div>
    <w:div w:id="2056346924">
      <w:bodyDiv w:val="1"/>
      <w:marLeft w:val="0"/>
      <w:marRight w:val="0"/>
      <w:marTop w:val="0"/>
      <w:marBottom w:val="0"/>
      <w:divBdr>
        <w:top w:val="none" w:sz="0" w:space="0" w:color="auto"/>
        <w:left w:val="none" w:sz="0" w:space="0" w:color="auto"/>
        <w:bottom w:val="none" w:sz="0" w:space="0" w:color="auto"/>
        <w:right w:val="none" w:sz="0" w:space="0" w:color="auto"/>
      </w:divBdr>
      <w:divsChild>
        <w:div w:id="703209638">
          <w:marLeft w:val="1166"/>
          <w:marRight w:val="0"/>
          <w:marTop w:val="96"/>
          <w:marBottom w:val="0"/>
          <w:divBdr>
            <w:top w:val="none" w:sz="0" w:space="0" w:color="auto"/>
            <w:left w:val="none" w:sz="0" w:space="0" w:color="auto"/>
            <w:bottom w:val="none" w:sz="0" w:space="0" w:color="auto"/>
            <w:right w:val="none" w:sz="0" w:space="0" w:color="auto"/>
          </w:divBdr>
        </w:div>
        <w:div w:id="715852821">
          <w:marLeft w:val="547"/>
          <w:marRight w:val="0"/>
          <w:marTop w:val="115"/>
          <w:marBottom w:val="0"/>
          <w:divBdr>
            <w:top w:val="none" w:sz="0" w:space="0" w:color="auto"/>
            <w:left w:val="none" w:sz="0" w:space="0" w:color="auto"/>
            <w:bottom w:val="none" w:sz="0" w:space="0" w:color="auto"/>
            <w:right w:val="none" w:sz="0" w:space="0" w:color="auto"/>
          </w:divBdr>
        </w:div>
        <w:div w:id="1130855503">
          <w:marLeft w:val="1166"/>
          <w:marRight w:val="0"/>
          <w:marTop w:val="96"/>
          <w:marBottom w:val="0"/>
          <w:divBdr>
            <w:top w:val="none" w:sz="0" w:space="0" w:color="auto"/>
            <w:left w:val="none" w:sz="0" w:space="0" w:color="auto"/>
            <w:bottom w:val="none" w:sz="0" w:space="0" w:color="auto"/>
            <w:right w:val="none" w:sz="0" w:space="0" w:color="auto"/>
          </w:divBdr>
        </w:div>
        <w:div w:id="1240095617">
          <w:marLeft w:val="1166"/>
          <w:marRight w:val="0"/>
          <w:marTop w:val="96"/>
          <w:marBottom w:val="0"/>
          <w:divBdr>
            <w:top w:val="none" w:sz="0" w:space="0" w:color="auto"/>
            <w:left w:val="none" w:sz="0" w:space="0" w:color="auto"/>
            <w:bottom w:val="none" w:sz="0" w:space="0" w:color="auto"/>
            <w:right w:val="none" w:sz="0" w:space="0" w:color="auto"/>
          </w:divBdr>
        </w:div>
      </w:divsChild>
    </w:div>
    <w:div w:id="2056730538">
      <w:bodyDiv w:val="1"/>
      <w:marLeft w:val="0"/>
      <w:marRight w:val="0"/>
      <w:marTop w:val="0"/>
      <w:marBottom w:val="0"/>
      <w:divBdr>
        <w:top w:val="none" w:sz="0" w:space="0" w:color="auto"/>
        <w:left w:val="none" w:sz="0" w:space="0" w:color="auto"/>
        <w:bottom w:val="none" w:sz="0" w:space="0" w:color="auto"/>
        <w:right w:val="none" w:sz="0" w:space="0" w:color="auto"/>
      </w:divBdr>
    </w:div>
    <w:div w:id="2057973092">
      <w:bodyDiv w:val="1"/>
      <w:marLeft w:val="0"/>
      <w:marRight w:val="0"/>
      <w:marTop w:val="0"/>
      <w:marBottom w:val="0"/>
      <w:divBdr>
        <w:top w:val="none" w:sz="0" w:space="0" w:color="auto"/>
        <w:left w:val="none" w:sz="0" w:space="0" w:color="auto"/>
        <w:bottom w:val="none" w:sz="0" w:space="0" w:color="auto"/>
        <w:right w:val="none" w:sz="0" w:space="0" w:color="auto"/>
      </w:divBdr>
    </w:div>
    <w:div w:id="2059549338">
      <w:bodyDiv w:val="1"/>
      <w:marLeft w:val="0"/>
      <w:marRight w:val="0"/>
      <w:marTop w:val="0"/>
      <w:marBottom w:val="0"/>
      <w:divBdr>
        <w:top w:val="none" w:sz="0" w:space="0" w:color="auto"/>
        <w:left w:val="none" w:sz="0" w:space="0" w:color="auto"/>
        <w:bottom w:val="none" w:sz="0" w:space="0" w:color="auto"/>
        <w:right w:val="none" w:sz="0" w:space="0" w:color="auto"/>
      </w:divBdr>
    </w:div>
    <w:div w:id="2063022317">
      <w:bodyDiv w:val="1"/>
      <w:marLeft w:val="0"/>
      <w:marRight w:val="0"/>
      <w:marTop w:val="0"/>
      <w:marBottom w:val="0"/>
      <w:divBdr>
        <w:top w:val="none" w:sz="0" w:space="0" w:color="auto"/>
        <w:left w:val="none" w:sz="0" w:space="0" w:color="auto"/>
        <w:bottom w:val="none" w:sz="0" w:space="0" w:color="auto"/>
        <w:right w:val="none" w:sz="0" w:space="0" w:color="auto"/>
      </w:divBdr>
    </w:div>
    <w:div w:id="2063485023">
      <w:bodyDiv w:val="1"/>
      <w:marLeft w:val="0"/>
      <w:marRight w:val="0"/>
      <w:marTop w:val="0"/>
      <w:marBottom w:val="0"/>
      <w:divBdr>
        <w:top w:val="none" w:sz="0" w:space="0" w:color="auto"/>
        <w:left w:val="none" w:sz="0" w:space="0" w:color="auto"/>
        <w:bottom w:val="none" w:sz="0" w:space="0" w:color="auto"/>
        <w:right w:val="none" w:sz="0" w:space="0" w:color="auto"/>
      </w:divBdr>
    </w:div>
    <w:div w:id="2065256563">
      <w:bodyDiv w:val="1"/>
      <w:marLeft w:val="0"/>
      <w:marRight w:val="0"/>
      <w:marTop w:val="0"/>
      <w:marBottom w:val="0"/>
      <w:divBdr>
        <w:top w:val="none" w:sz="0" w:space="0" w:color="auto"/>
        <w:left w:val="none" w:sz="0" w:space="0" w:color="auto"/>
        <w:bottom w:val="none" w:sz="0" w:space="0" w:color="auto"/>
        <w:right w:val="none" w:sz="0" w:space="0" w:color="auto"/>
      </w:divBdr>
    </w:div>
    <w:div w:id="2065595040">
      <w:bodyDiv w:val="1"/>
      <w:marLeft w:val="0"/>
      <w:marRight w:val="0"/>
      <w:marTop w:val="0"/>
      <w:marBottom w:val="0"/>
      <w:divBdr>
        <w:top w:val="none" w:sz="0" w:space="0" w:color="auto"/>
        <w:left w:val="none" w:sz="0" w:space="0" w:color="auto"/>
        <w:bottom w:val="none" w:sz="0" w:space="0" w:color="auto"/>
        <w:right w:val="none" w:sz="0" w:space="0" w:color="auto"/>
      </w:divBdr>
    </w:div>
    <w:div w:id="2065791673">
      <w:bodyDiv w:val="1"/>
      <w:marLeft w:val="0"/>
      <w:marRight w:val="0"/>
      <w:marTop w:val="0"/>
      <w:marBottom w:val="0"/>
      <w:divBdr>
        <w:top w:val="none" w:sz="0" w:space="0" w:color="auto"/>
        <w:left w:val="none" w:sz="0" w:space="0" w:color="auto"/>
        <w:bottom w:val="none" w:sz="0" w:space="0" w:color="auto"/>
        <w:right w:val="none" w:sz="0" w:space="0" w:color="auto"/>
      </w:divBdr>
    </w:div>
    <w:div w:id="2066753490">
      <w:bodyDiv w:val="1"/>
      <w:marLeft w:val="0"/>
      <w:marRight w:val="0"/>
      <w:marTop w:val="0"/>
      <w:marBottom w:val="0"/>
      <w:divBdr>
        <w:top w:val="none" w:sz="0" w:space="0" w:color="auto"/>
        <w:left w:val="none" w:sz="0" w:space="0" w:color="auto"/>
        <w:bottom w:val="none" w:sz="0" w:space="0" w:color="auto"/>
        <w:right w:val="none" w:sz="0" w:space="0" w:color="auto"/>
      </w:divBdr>
      <w:divsChild>
        <w:div w:id="1662929268">
          <w:marLeft w:val="0"/>
          <w:marRight w:val="0"/>
          <w:marTop w:val="0"/>
          <w:marBottom w:val="0"/>
          <w:divBdr>
            <w:top w:val="none" w:sz="0" w:space="0" w:color="auto"/>
            <w:left w:val="none" w:sz="0" w:space="0" w:color="auto"/>
            <w:bottom w:val="none" w:sz="0" w:space="0" w:color="auto"/>
            <w:right w:val="none" w:sz="0" w:space="0" w:color="auto"/>
          </w:divBdr>
        </w:div>
      </w:divsChild>
    </w:div>
    <w:div w:id="2067098990">
      <w:bodyDiv w:val="1"/>
      <w:marLeft w:val="0"/>
      <w:marRight w:val="0"/>
      <w:marTop w:val="0"/>
      <w:marBottom w:val="0"/>
      <w:divBdr>
        <w:top w:val="none" w:sz="0" w:space="0" w:color="auto"/>
        <w:left w:val="none" w:sz="0" w:space="0" w:color="auto"/>
        <w:bottom w:val="none" w:sz="0" w:space="0" w:color="auto"/>
        <w:right w:val="none" w:sz="0" w:space="0" w:color="auto"/>
      </w:divBdr>
    </w:div>
    <w:div w:id="2067340439">
      <w:bodyDiv w:val="1"/>
      <w:marLeft w:val="0"/>
      <w:marRight w:val="0"/>
      <w:marTop w:val="0"/>
      <w:marBottom w:val="0"/>
      <w:divBdr>
        <w:top w:val="none" w:sz="0" w:space="0" w:color="auto"/>
        <w:left w:val="none" w:sz="0" w:space="0" w:color="auto"/>
        <w:bottom w:val="none" w:sz="0" w:space="0" w:color="auto"/>
        <w:right w:val="none" w:sz="0" w:space="0" w:color="auto"/>
      </w:divBdr>
    </w:div>
    <w:div w:id="2068070903">
      <w:bodyDiv w:val="1"/>
      <w:marLeft w:val="0"/>
      <w:marRight w:val="0"/>
      <w:marTop w:val="0"/>
      <w:marBottom w:val="0"/>
      <w:divBdr>
        <w:top w:val="none" w:sz="0" w:space="0" w:color="auto"/>
        <w:left w:val="none" w:sz="0" w:space="0" w:color="auto"/>
        <w:bottom w:val="none" w:sz="0" w:space="0" w:color="auto"/>
        <w:right w:val="none" w:sz="0" w:space="0" w:color="auto"/>
      </w:divBdr>
    </w:div>
    <w:div w:id="2068259801">
      <w:bodyDiv w:val="1"/>
      <w:marLeft w:val="0"/>
      <w:marRight w:val="0"/>
      <w:marTop w:val="0"/>
      <w:marBottom w:val="0"/>
      <w:divBdr>
        <w:top w:val="none" w:sz="0" w:space="0" w:color="auto"/>
        <w:left w:val="none" w:sz="0" w:space="0" w:color="auto"/>
        <w:bottom w:val="none" w:sz="0" w:space="0" w:color="auto"/>
        <w:right w:val="none" w:sz="0" w:space="0" w:color="auto"/>
      </w:divBdr>
    </w:div>
    <w:div w:id="2069182777">
      <w:bodyDiv w:val="1"/>
      <w:marLeft w:val="0"/>
      <w:marRight w:val="0"/>
      <w:marTop w:val="0"/>
      <w:marBottom w:val="0"/>
      <w:divBdr>
        <w:top w:val="none" w:sz="0" w:space="0" w:color="auto"/>
        <w:left w:val="none" w:sz="0" w:space="0" w:color="auto"/>
        <w:bottom w:val="none" w:sz="0" w:space="0" w:color="auto"/>
        <w:right w:val="none" w:sz="0" w:space="0" w:color="auto"/>
      </w:divBdr>
    </w:div>
    <w:div w:id="2069650792">
      <w:bodyDiv w:val="1"/>
      <w:marLeft w:val="0"/>
      <w:marRight w:val="0"/>
      <w:marTop w:val="0"/>
      <w:marBottom w:val="0"/>
      <w:divBdr>
        <w:top w:val="none" w:sz="0" w:space="0" w:color="auto"/>
        <w:left w:val="none" w:sz="0" w:space="0" w:color="auto"/>
        <w:bottom w:val="none" w:sz="0" w:space="0" w:color="auto"/>
        <w:right w:val="none" w:sz="0" w:space="0" w:color="auto"/>
      </w:divBdr>
    </w:div>
    <w:div w:id="2070685439">
      <w:bodyDiv w:val="1"/>
      <w:marLeft w:val="0"/>
      <w:marRight w:val="0"/>
      <w:marTop w:val="0"/>
      <w:marBottom w:val="0"/>
      <w:divBdr>
        <w:top w:val="none" w:sz="0" w:space="0" w:color="auto"/>
        <w:left w:val="none" w:sz="0" w:space="0" w:color="auto"/>
        <w:bottom w:val="none" w:sz="0" w:space="0" w:color="auto"/>
        <w:right w:val="none" w:sz="0" w:space="0" w:color="auto"/>
      </w:divBdr>
    </w:div>
    <w:div w:id="2070837162">
      <w:bodyDiv w:val="1"/>
      <w:marLeft w:val="0"/>
      <w:marRight w:val="0"/>
      <w:marTop w:val="0"/>
      <w:marBottom w:val="0"/>
      <w:divBdr>
        <w:top w:val="none" w:sz="0" w:space="0" w:color="auto"/>
        <w:left w:val="none" w:sz="0" w:space="0" w:color="auto"/>
        <w:bottom w:val="none" w:sz="0" w:space="0" w:color="auto"/>
        <w:right w:val="none" w:sz="0" w:space="0" w:color="auto"/>
      </w:divBdr>
      <w:divsChild>
        <w:div w:id="222061689">
          <w:marLeft w:val="1800"/>
          <w:marRight w:val="0"/>
          <w:marTop w:val="100"/>
          <w:marBottom w:val="0"/>
          <w:divBdr>
            <w:top w:val="none" w:sz="0" w:space="0" w:color="auto"/>
            <w:left w:val="none" w:sz="0" w:space="0" w:color="auto"/>
            <w:bottom w:val="none" w:sz="0" w:space="0" w:color="auto"/>
            <w:right w:val="none" w:sz="0" w:space="0" w:color="auto"/>
          </w:divBdr>
        </w:div>
        <w:div w:id="913784743">
          <w:marLeft w:val="360"/>
          <w:marRight w:val="0"/>
          <w:marTop w:val="200"/>
          <w:marBottom w:val="0"/>
          <w:divBdr>
            <w:top w:val="none" w:sz="0" w:space="0" w:color="auto"/>
            <w:left w:val="none" w:sz="0" w:space="0" w:color="auto"/>
            <w:bottom w:val="none" w:sz="0" w:space="0" w:color="auto"/>
            <w:right w:val="none" w:sz="0" w:space="0" w:color="auto"/>
          </w:divBdr>
        </w:div>
        <w:div w:id="941837534">
          <w:marLeft w:val="1800"/>
          <w:marRight w:val="0"/>
          <w:marTop w:val="100"/>
          <w:marBottom w:val="0"/>
          <w:divBdr>
            <w:top w:val="none" w:sz="0" w:space="0" w:color="auto"/>
            <w:left w:val="none" w:sz="0" w:space="0" w:color="auto"/>
            <w:bottom w:val="none" w:sz="0" w:space="0" w:color="auto"/>
            <w:right w:val="none" w:sz="0" w:space="0" w:color="auto"/>
          </w:divBdr>
        </w:div>
        <w:div w:id="1065840779">
          <w:marLeft w:val="1080"/>
          <w:marRight w:val="0"/>
          <w:marTop w:val="100"/>
          <w:marBottom w:val="0"/>
          <w:divBdr>
            <w:top w:val="none" w:sz="0" w:space="0" w:color="auto"/>
            <w:left w:val="none" w:sz="0" w:space="0" w:color="auto"/>
            <w:bottom w:val="none" w:sz="0" w:space="0" w:color="auto"/>
            <w:right w:val="none" w:sz="0" w:space="0" w:color="auto"/>
          </w:divBdr>
        </w:div>
      </w:divsChild>
    </w:div>
    <w:div w:id="2071075330">
      <w:bodyDiv w:val="1"/>
      <w:marLeft w:val="0"/>
      <w:marRight w:val="0"/>
      <w:marTop w:val="0"/>
      <w:marBottom w:val="0"/>
      <w:divBdr>
        <w:top w:val="none" w:sz="0" w:space="0" w:color="auto"/>
        <w:left w:val="none" w:sz="0" w:space="0" w:color="auto"/>
        <w:bottom w:val="none" w:sz="0" w:space="0" w:color="auto"/>
        <w:right w:val="none" w:sz="0" w:space="0" w:color="auto"/>
      </w:divBdr>
    </w:div>
    <w:div w:id="2071222638">
      <w:bodyDiv w:val="1"/>
      <w:marLeft w:val="0"/>
      <w:marRight w:val="0"/>
      <w:marTop w:val="0"/>
      <w:marBottom w:val="0"/>
      <w:divBdr>
        <w:top w:val="none" w:sz="0" w:space="0" w:color="auto"/>
        <w:left w:val="none" w:sz="0" w:space="0" w:color="auto"/>
        <w:bottom w:val="none" w:sz="0" w:space="0" w:color="auto"/>
        <w:right w:val="none" w:sz="0" w:space="0" w:color="auto"/>
      </w:divBdr>
    </w:div>
    <w:div w:id="2071535741">
      <w:bodyDiv w:val="1"/>
      <w:marLeft w:val="0"/>
      <w:marRight w:val="0"/>
      <w:marTop w:val="0"/>
      <w:marBottom w:val="0"/>
      <w:divBdr>
        <w:top w:val="none" w:sz="0" w:space="0" w:color="auto"/>
        <w:left w:val="none" w:sz="0" w:space="0" w:color="auto"/>
        <w:bottom w:val="none" w:sz="0" w:space="0" w:color="auto"/>
        <w:right w:val="none" w:sz="0" w:space="0" w:color="auto"/>
      </w:divBdr>
      <w:divsChild>
        <w:div w:id="504395626">
          <w:marLeft w:val="547"/>
          <w:marRight w:val="0"/>
          <w:marTop w:val="134"/>
          <w:marBottom w:val="0"/>
          <w:divBdr>
            <w:top w:val="none" w:sz="0" w:space="0" w:color="auto"/>
            <w:left w:val="none" w:sz="0" w:space="0" w:color="auto"/>
            <w:bottom w:val="none" w:sz="0" w:space="0" w:color="auto"/>
            <w:right w:val="none" w:sz="0" w:space="0" w:color="auto"/>
          </w:divBdr>
        </w:div>
        <w:div w:id="1813715099">
          <w:marLeft w:val="1166"/>
          <w:marRight w:val="0"/>
          <w:marTop w:val="115"/>
          <w:marBottom w:val="0"/>
          <w:divBdr>
            <w:top w:val="none" w:sz="0" w:space="0" w:color="auto"/>
            <w:left w:val="none" w:sz="0" w:space="0" w:color="auto"/>
            <w:bottom w:val="none" w:sz="0" w:space="0" w:color="auto"/>
            <w:right w:val="none" w:sz="0" w:space="0" w:color="auto"/>
          </w:divBdr>
        </w:div>
      </w:divsChild>
    </w:div>
    <w:div w:id="2072267551">
      <w:bodyDiv w:val="1"/>
      <w:marLeft w:val="0"/>
      <w:marRight w:val="0"/>
      <w:marTop w:val="0"/>
      <w:marBottom w:val="0"/>
      <w:divBdr>
        <w:top w:val="none" w:sz="0" w:space="0" w:color="auto"/>
        <w:left w:val="none" w:sz="0" w:space="0" w:color="auto"/>
        <w:bottom w:val="none" w:sz="0" w:space="0" w:color="auto"/>
        <w:right w:val="none" w:sz="0" w:space="0" w:color="auto"/>
      </w:divBdr>
    </w:div>
    <w:div w:id="2072456150">
      <w:bodyDiv w:val="1"/>
      <w:marLeft w:val="0"/>
      <w:marRight w:val="0"/>
      <w:marTop w:val="0"/>
      <w:marBottom w:val="0"/>
      <w:divBdr>
        <w:top w:val="none" w:sz="0" w:space="0" w:color="auto"/>
        <w:left w:val="none" w:sz="0" w:space="0" w:color="auto"/>
        <w:bottom w:val="none" w:sz="0" w:space="0" w:color="auto"/>
        <w:right w:val="none" w:sz="0" w:space="0" w:color="auto"/>
      </w:divBdr>
    </w:div>
    <w:div w:id="2072654116">
      <w:bodyDiv w:val="1"/>
      <w:marLeft w:val="0"/>
      <w:marRight w:val="0"/>
      <w:marTop w:val="0"/>
      <w:marBottom w:val="0"/>
      <w:divBdr>
        <w:top w:val="none" w:sz="0" w:space="0" w:color="auto"/>
        <w:left w:val="none" w:sz="0" w:space="0" w:color="auto"/>
        <w:bottom w:val="none" w:sz="0" w:space="0" w:color="auto"/>
        <w:right w:val="none" w:sz="0" w:space="0" w:color="auto"/>
      </w:divBdr>
    </w:div>
    <w:div w:id="2074044370">
      <w:bodyDiv w:val="1"/>
      <w:marLeft w:val="0"/>
      <w:marRight w:val="0"/>
      <w:marTop w:val="0"/>
      <w:marBottom w:val="0"/>
      <w:divBdr>
        <w:top w:val="none" w:sz="0" w:space="0" w:color="auto"/>
        <w:left w:val="none" w:sz="0" w:space="0" w:color="auto"/>
        <w:bottom w:val="none" w:sz="0" w:space="0" w:color="auto"/>
        <w:right w:val="none" w:sz="0" w:space="0" w:color="auto"/>
      </w:divBdr>
    </w:div>
    <w:div w:id="2074501417">
      <w:bodyDiv w:val="1"/>
      <w:marLeft w:val="0"/>
      <w:marRight w:val="0"/>
      <w:marTop w:val="0"/>
      <w:marBottom w:val="0"/>
      <w:divBdr>
        <w:top w:val="none" w:sz="0" w:space="0" w:color="auto"/>
        <w:left w:val="none" w:sz="0" w:space="0" w:color="auto"/>
        <w:bottom w:val="none" w:sz="0" w:space="0" w:color="auto"/>
        <w:right w:val="none" w:sz="0" w:space="0" w:color="auto"/>
      </w:divBdr>
    </w:div>
    <w:div w:id="2074741228">
      <w:bodyDiv w:val="1"/>
      <w:marLeft w:val="0"/>
      <w:marRight w:val="0"/>
      <w:marTop w:val="0"/>
      <w:marBottom w:val="0"/>
      <w:divBdr>
        <w:top w:val="none" w:sz="0" w:space="0" w:color="auto"/>
        <w:left w:val="none" w:sz="0" w:space="0" w:color="auto"/>
        <w:bottom w:val="none" w:sz="0" w:space="0" w:color="auto"/>
        <w:right w:val="none" w:sz="0" w:space="0" w:color="auto"/>
      </w:divBdr>
    </w:div>
    <w:div w:id="2076513092">
      <w:bodyDiv w:val="1"/>
      <w:marLeft w:val="0"/>
      <w:marRight w:val="0"/>
      <w:marTop w:val="0"/>
      <w:marBottom w:val="0"/>
      <w:divBdr>
        <w:top w:val="none" w:sz="0" w:space="0" w:color="auto"/>
        <w:left w:val="none" w:sz="0" w:space="0" w:color="auto"/>
        <w:bottom w:val="none" w:sz="0" w:space="0" w:color="auto"/>
        <w:right w:val="none" w:sz="0" w:space="0" w:color="auto"/>
      </w:divBdr>
    </w:div>
    <w:div w:id="2076589824">
      <w:bodyDiv w:val="1"/>
      <w:marLeft w:val="0"/>
      <w:marRight w:val="0"/>
      <w:marTop w:val="0"/>
      <w:marBottom w:val="0"/>
      <w:divBdr>
        <w:top w:val="none" w:sz="0" w:space="0" w:color="auto"/>
        <w:left w:val="none" w:sz="0" w:space="0" w:color="auto"/>
        <w:bottom w:val="none" w:sz="0" w:space="0" w:color="auto"/>
        <w:right w:val="none" w:sz="0" w:space="0" w:color="auto"/>
      </w:divBdr>
    </w:div>
    <w:div w:id="2077047121">
      <w:bodyDiv w:val="1"/>
      <w:marLeft w:val="0"/>
      <w:marRight w:val="0"/>
      <w:marTop w:val="0"/>
      <w:marBottom w:val="0"/>
      <w:divBdr>
        <w:top w:val="none" w:sz="0" w:space="0" w:color="auto"/>
        <w:left w:val="none" w:sz="0" w:space="0" w:color="auto"/>
        <w:bottom w:val="none" w:sz="0" w:space="0" w:color="auto"/>
        <w:right w:val="none" w:sz="0" w:space="0" w:color="auto"/>
      </w:divBdr>
    </w:div>
    <w:div w:id="2077195376">
      <w:bodyDiv w:val="1"/>
      <w:marLeft w:val="0"/>
      <w:marRight w:val="0"/>
      <w:marTop w:val="0"/>
      <w:marBottom w:val="0"/>
      <w:divBdr>
        <w:top w:val="none" w:sz="0" w:space="0" w:color="auto"/>
        <w:left w:val="none" w:sz="0" w:space="0" w:color="auto"/>
        <w:bottom w:val="none" w:sz="0" w:space="0" w:color="auto"/>
        <w:right w:val="none" w:sz="0" w:space="0" w:color="auto"/>
      </w:divBdr>
      <w:divsChild>
        <w:div w:id="379551412">
          <w:marLeft w:val="1411"/>
          <w:marRight w:val="0"/>
          <w:marTop w:val="96"/>
          <w:marBottom w:val="0"/>
          <w:divBdr>
            <w:top w:val="none" w:sz="0" w:space="0" w:color="auto"/>
            <w:left w:val="none" w:sz="0" w:space="0" w:color="auto"/>
            <w:bottom w:val="none" w:sz="0" w:space="0" w:color="auto"/>
            <w:right w:val="none" w:sz="0" w:space="0" w:color="auto"/>
          </w:divBdr>
        </w:div>
        <w:div w:id="754859871">
          <w:marLeft w:val="1411"/>
          <w:marRight w:val="0"/>
          <w:marTop w:val="96"/>
          <w:marBottom w:val="0"/>
          <w:divBdr>
            <w:top w:val="none" w:sz="0" w:space="0" w:color="auto"/>
            <w:left w:val="none" w:sz="0" w:space="0" w:color="auto"/>
            <w:bottom w:val="none" w:sz="0" w:space="0" w:color="auto"/>
            <w:right w:val="none" w:sz="0" w:space="0" w:color="auto"/>
          </w:divBdr>
        </w:div>
        <w:div w:id="923219302">
          <w:marLeft w:val="274"/>
          <w:marRight w:val="0"/>
          <w:marTop w:val="115"/>
          <w:marBottom w:val="0"/>
          <w:divBdr>
            <w:top w:val="none" w:sz="0" w:space="0" w:color="auto"/>
            <w:left w:val="none" w:sz="0" w:space="0" w:color="auto"/>
            <w:bottom w:val="none" w:sz="0" w:space="0" w:color="auto"/>
            <w:right w:val="none" w:sz="0" w:space="0" w:color="auto"/>
          </w:divBdr>
        </w:div>
        <w:div w:id="1548489207">
          <w:marLeft w:val="835"/>
          <w:marRight w:val="0"/>
          <w:marTop w:val="96"/>
          <w:marBottom w:val="0"/>
          <w:divBdr>
            <w:top w:val="none" w:sz="0" w:space="0" w:color="auto"/>
            <w:left w:val="none" w:sz="0" w:space="0" w:color="auto"/>
            <w:bottom w:val="none" w:sz="0" w:space="0" w:color="auto"/>
            <w:right w:val="none" w:sz="0" w:space="0" w:color="auto"/>
          </w:divBdr>
        </w:div>
        <w:div w:id="1802723960">
          <w:marLeft w:val="274"/>
          <w:marRight w:val="0"/>
          <w:marTop w:val="115"/>
          <w:marBottom w:val="0"/>
          <w:divBdr>
            <w:top w:val="none" w:sz="0" w:space="0" w:color="auto"/>
            <w:left w:val="none" w:sz="0" w:space="0" w:color="auto"/>
            <w:bottom w:val="none" w:sz="0" w:space="0" w:color="auto"/>
            <w:right w:val="none" w:sz="0" w:space="0" w:color="auto"/>
          </w:divBdr>
        </w:div>
        <w:div w:id="1919316470">
          <w:marLeft w:val="835"/>
          <w:marRight w:val="0"/>
          <w:marTop w:val="96"/>
          <w:marBottom w:val="0"/>
          <w:divBdr>
            <w:top w:val="none" w:sz="0" w:space="0" w:color="auto"/>
            <w:left w:val="none" w:sz="0" w:space="0" w:color="auto"/>
            <w:bottom w:val="none" w:sz="0" w:space="0" w:color="auto"/>
            <w:right w:val="none" w:sz="0" w:space="0" w:color="auto"/>
          </w:divBdr>
        </w:div>
      </w:divsChild>
    </w:div>
    <w:div w:id="2077195897">
      <w:bodyDiv w:val="1"/>
      <w:marLeft w:val="0"/>
      <w:marRight w:val="0"/>
      <w:marTop w:val="0"/>
      <w:marBottom w:val="0"/>
      <w:divBdr>
        <w:top w:val="none" w:sz="0" w:space="0" w:color="auto"/>
        <w:left w:val="none" w:sz="0" w:space="0" w:color="auto"/>
        <w:bottom w:val="none" w:sz="0" w:space="0" w:color="auto"/>
        <w:right w:val="none" w:sz="0" w:space="0" w:color="auto"/>
      </w:divBdr>
    </w:div>
    <w:div w:id="2077968241">
      <w:bodyDiv w:val="1"/>
      <w:marLeft w:val="0"/>
      <w:marRight w:val="0"/>
      <w:marTop w:val="0"/>
      <w:marBottom w:val="0"/>
      <w:divBdr>
        <w:top w:val="none" w:sz="0" w:space="0" w:color="auto"/>
        <w:left w:val="none" w:sz="0" w:space="0" w:color="auto"/>
        <w:bottom w:val="none" w:sz="0" w:space="0" w:color="auto"/>
        <w:right w:val="none" w:sz="0" w:space="0" w:color="auto"/>
      </w:divBdr>
    </w:div>
    <w:div w:id="2079670267">
      <w:bodyDiv w:val="1"/>
      <w:marLeft w:val="0"/>
      <w:marRight w:val="0"/>
      <w:marTop w:val="0"/>
      <w:marBottom w:val="0"/>
      <w:divBdr>
        <w:top w:val="none" w:sz="0" w:space="0" w:color="auto"/>
        <w:left w:val="none" w:sz="0" w:space="0" w:color="auto"/>
        <w:bottom w:val="none" w:sz="0" w:space="0" w:color="auto"/>
        <w:right w:val="none" w:sz="0" w:space="0" w:color="auto"/>
      </w:divBdr>
    </w:div>
    <w:div w:id="2081518339">
      <w:bodyDiv w:val="1"/>
      <w:marLeft w:val="0"/>
      <w:marRight w:val="0"/>
      <w:marTop w:val="0"/>
      <w:marBottom w:val="0"/>
      <w:divBdr>
        <w:top w:val="none" w:sz="0" w:space="0" w:color="auto"/>
        <w:left w:val="none" w:sz="0" w:space="0" w:color="auto"/>
        <w:bottom w:val="none" w:sz="0" w:space="0" w:color="auto"/>
        <w:right w:val="none" w:sz="0" w:space="0" w:color="auto"/>
      </w:divBdr>
    </w:div>
    <w:div w:id="2082481441">
      <w:bodyDiv w:val="1"/>
      <w:marLeft w:val="0"/>
      <w:marRight w:val="0"/>
      <w:marTop w:val="0"/>
      <w:marBottom w:val="0"/>
      <w:divBdr>
        <w:top w:val="none" w:sz="0" w:space="0" w:color="auto"/>
        <w:left w:val="none" w:sz="0" w:space="0" w:color="auto"/>
        <w:bottom w:val="none" w:sz="0" w:space="0" w:color="auto"/>
        <w:right w:val="none" w:sz="0" w:space="0" w:color="auto"/>
      </w:divBdr>
      <w:divsChild>
        <w:div w:id="771242027">
          <w:marLeft w:val="547"/>
          <w:marRight w:val="0"/>
          <w:marTop w:val="134"/>
          <w:marBottom w:val="0"/>
          <w:divBdr>
            <w:top w:val="none" w:sz="0" w:space="0" w:color="auto"/>
            <w:left w:val="none" w:sz="0" w:space="0" w:color="auto"/>
            <w:bottom w:val="none" w:sz="0" w:space="0" w:color="auto"/>
            <w:right w:val="none" w:sz="0" w:space="0" w:color="auto"/>
          </w:divBdr>
        </w:div>
        <w:div w:id="870342130">
          <w:marLeft w:val="1800"/>
          <w:marRight w:val="0"/>
          <w:marTop w:val="106"/>
          <w:marBottom w:val="0"/>
          <w:divBdr>
            <w:top w:val="none" w:sz="0" w:space="0" w:color="auto"/>
            <w:left w:val="none" w:sz="0" w:space="0" w:color="auto"/>
            <w:bottom w:val="none" w:sz="0" w:space="0" w:color="auto"/>
            <w:right w:val="none" w:sz="0" w:space="0" w:color="auto"/>
          </w:divBdr>
        </w:div>
        <w:div w:id="1115323698">
          <w:marLeft w:val="1800"/>
          <w:marRight w:val="0"/>
          <w:marTop w:val="106"/>
          <w:marBottom w:val="0"/>
          <w:divBdr>
            <w:top w:val="none" w:sz="0" w:space="0" w:color="auto"/>
            <w:left w:val="none" w:sz="0" w:space="0" w:color="auto"/>
            <w:bottom w:val="none" w:sz="0" w:space="0" w:color="auto"/>
            <w:right w:val="none" w:sz="0" w:space="0" w:color="auto"/>
          </w:divBdr>
        </w:div>
        <w:div w:id="1784499002">
          <w:marLeft w:val="1800"/>
          <w:marRight w:val="0"/>
          <w:marTop w:val="106"/>
          <w:marBottom w:val="0"/>
          <w:divBdr>
            <w:top w:val="none" w:sz="0" w:space="0" w:color="auto"/>
            <w:left w:val="none" w:sz="0" w:space="0" w:color="auto"/>
            <w:bottom w:val="none" w:sz="0" w:space="0" w:color="auto"/>
            <w:right w:val="none" w:sz="0" w:space="0" w:color="auto"/>
          </w:divBdr>
        </w:div>
      </w:divsChild>
    </w:div>
    <w:div w:id="2082484092">
      <w:bodyDiv w:val="1"/>
      <w:marLeft w:val="0"/>
      <w:marRight w:val="0"/>
      <w:marTop w:val="0"/>
      <w:marBottom w:val="0"/>
      <w:divBdr>
        <w:top w:val="none" w:sz="0" w:space="0" w:color="auto"/>
        <w:left w:val="none" w:sz="0" w:space="0" w:color="auto"/>
        <w:bottom w:val="none" w:sz="0" w:space="0" w:color="auto"/>
        <w:right w:val="none" w:sz="0" w:space="0" w:color="auto"/>
      </w:divBdr>
    </w:div>
    <w:div w:id="2083527757">
      <w:bodyDiv w:val="1"/>
      <w:marLeft w:val="0"/>
      <w:marRight w:val="0"/>
      <w:marTop w:val="0"/>
      <w:marBottom w:val="0"/>
      <w:divBdr>
        <w:top w:val="none" w:sz="0" w:space="0" w:color="auto"/>
        <w:left w:val="none" w:sz="0" w:space="0" w:color="auto"/>
        <w:bottom w:val="none" w:sz="0" w:space="0" w:color="auto"/>
        <w:right w:val="none" w:sz="0" w:space="0" w:color="auto"/>
      </w:divBdr>
      <w:divsChild>
        <w:div w:id="44107436">
          <w:marLeft w:val="1166"/>
          <w:marRight w:val="0"/>
          <w:marTop w:val="77"/>
          <w:marBottom w:val="0"/>
          <w:divBdr>
            <w:top w:val="none" w:sz="0" w:space="0" w:color="auto"/>
            <w:left w:val="none" w:sz="0" w:space="0" w:color="auto"/>
            <w:bottom w:val="none" w:sz="0" w:space="0" w:color="auto"/>
            <w:right w:val="none" w:sz="0" w:space="0" w:color="auto"/>
          </w:divBdr>
        </w:div>
        <w:div w:id="109856606">
          <w:marLeft w:val="547"/>
          <w:marRight w:val="0"/>
          <w:marTop w:val="96"/>
          <w:marBottom w:val="0"/>
          <w:divBdr>
            <w:top w:val="none" w:sz="0" w:space="0" w:color="auto"/>
            <w:left w:val="none" w:sz="0" w:space="0" w:color="auto"/>
            <w:bottom w:val="none" w:sz="0" w:space="0" w:color="auto"/>
            <w:right w:val="none" w:sz="0" w:space="0" w:color="auto"/>
          </w:divBdr>
        </w:div>
        <w:div w:id="179007115">
          <w:marLeft w:val="547"/>
          <w:marRight w:val="0"/>
          <w:marTop w:val="96"/>
          <w:marBottom w:val="0"/>
          <w:divBdr>
            <w:top w:val="none" w:sz="0" w:space="0" w:color="auto"/>
            <w:left w:val="none" w:sz="0" w:space="0" w:color="auto"/>
            <w:bottom w:val="none" w:sz="0" w:space="0" w:color="auto"/>
            <w:right w:val="none" w:sz="0" w:space="0" w:color="auto"/>
          </w:divBdr>
        </w:div>
        <w:div w:id="1341472915">
          <w:marLeft w:val="1166"/>
          <w:marRight w:val="0"/>
          <w:marTop w:val="77"/>
          <w:marBottom w:val="0"/>
          <w:divBdr>
            <w:top w:val="none" w:sz="0" w:space="0" w:color="auto"/>
            <w:left w:val="none" w:sz="0" w:space="0" w:color="auto"/>
            <w:bottom w:val="none" w:sz="0" w:space="0" w:color="auto"/>
            <w:right w:val="none" w:sz="0" w:space="0" w:color="auto"/>
          </w:divBdr>
        </w:div>
        <w:div w:id="1605192138">
          <w:marLeft w:val="1166"/>
          <w:marRight w:val="0"/>
          <w:marTop w:val="77"/>
          <w:marBottom w:val="0"/>
          <w:divBdr>
            <w:top w:val="none" w:sz="0" w:space="0" w:color="auto"/>
            <w:left w:val="none" w:sz="0" w:space="0" w:color="auto"/>
            <w:bottom w:val="none" w:sz="0" w:space="0" w:color="auto"/>
            <w:right w:val="none" w:sz="0" w:space="0" w:color="auto"/>
          </w:divBdr>
        </w:div>
      </w:divsChild>
    </w:div>
    <w:div w:id="2083749692">
      <w:bodyDiv w:val="1"/>
      <w:marLeft w:val="0"/>
      <w:marRight w:val="0"/>
      <w:marTop w:val="0"/>
      <w:marBottom w:val="0"/>
      <w:divBdr>
        <w:top w:val="none" w:sz="0" w:space="0" w:color="auto"/>
        <w:left w:val="none" w:sz="0" w:space="0" w:color="auto"/>
        <w:bottom w:val="none" w:sz="0" w:space="0" w:color="auto"/>
        <w:right w:val="none" w:sz="0" w:space="0" w:color="auto"/>
      </w:divBdr>
    </w:div>
    <w:div w:id="2083870712">
      <w:bodyDiv w:val="1"/>
      <w:marLeft w:val="0"/>
      <w:marRight w:val="0"/>
      <w:marTop w:val="0"/>
      <w:marBottom w:val="0"/>
      <w:divBdr>
        <w:top w:val="none" w:sz="0" w:space="0" w:color="auto"/>
        <w:left w:val="none" w:sz="0" w:space="0" w:color="auto"/>
        <w:bottom w:val="none" w:sz="0" w:space="0" w:color="auto"/>
        <w:right w:val="none" w:sz="0" w:space="0" w:color="auto"/>
      </w:divBdr>
    </w:div>
    <w:div w:id="2084915630">
      <w:bodyDiv w:val="1"/>
      <w:marLeft w:val="0"/>
      <w:marRight w:val="0"/>
      <w:marTop w:val="0"/>
      <w:marBottom w:val="0"/>
      <w:divBdr>
        <w:top w:val="none" w:sz="0" w:space="0" w:color="auto"/>
        <w:left w:val="none" w:sz="0" w:space="0" w:color="auto"/>
        <w:bottom w:val="none" w:sz="0" w:space="0" w:color="auto"/>
        <w:right w:val="none" w:sz="0" w:space="0" w:color="auto"/>
      </w:divBdr>
      <w:divsChild>
        <w:div w:id="228422834">
          <w:marLeft w:val="1800"/>
          <w:marRight w:val="0"/>
          <w:marTop w:val="240"/>
          <w:marBottom w:val="0"/>
          <w:divBdr>
            <w:top w:val="none" w:sz="0" w:space="0" w:color="auto"/>
            <w:left w:val="none" w:sz="0" w:space="0" w:color="auto"/>
            <w:bottom w:val="none" w:sz="0" w:space="0" w:color="auto"/>
            <w:right w:val="none" w:sz="0" w:space="0" w:color="auto"/>
          </w:divBdr>
        </w:div>
        <w:div w:id="451242433">
          <w:marLeft w:val="1166"/>
          <w:marRight w:val="0"/>
          <w:marTop w:val="240"/>
          <w:marBottom w:val="0"/>
          <w:divBdr>
            <w:top w:val="none" w:sz="0" w:space="0" w:color="auto"/>
            <w:left w:val="none" w:sz="0" w:space="0" w:color="auto"/>
            <w:bottom w:val="none" w:sz="0" w:space="0" w:color="auto"/>
            <w:right w:val="none" w:sz="0" w:space="0" w:color="auto"/>
          </w:divBdr>
        </w:div>
        <w:div w:id="1431244144">
          <w:marLeft w:val="1166"/>
          <w:marRight w:val="0"/>
          <w:marTop w:val="240"/>
          <w:marBottom w:val="0"/>
          <w:divBdr>
            <w:top w:val="none" w:sz="0" w:space="0" w:color="auto"/>
            <w:left w:val="none" w:sz="0" w:space="0" w:color="auto"/>
            <w:bottom w:val="none" w:sz="0" w:space="0" w:color="auto"/>
            <w:right w:val="none" w:sz="0" w:space="0" w:color="auto"/>
          </w:divBdr>
        </w:div>
        <w:div w:id="1526670274">
          <w:marLeft w:val="547"/>
          <w:marRight w:val="0"/>
          <w:marTop w:val="134"/>
          <w:marBottom w:val="0"/>
          <w:divBdr>
            <w:top w:val="none" w:sz="0" w:space="0" w:color="auto"/>
            <w:left w:val="none" w:sz="0" w:space="0" w:color="auto"/>
            <w:bottom w:val="none" w:sz="0" w:space="0" w:color="auto"/>
            <w:right w:val="none" w:sz="0" w:space="0" w:color="auto"/>
          </w:divBdr>
        </w:div>
        <w:div w:id="1846240179">
          <w:marLeft w:val="1800"/>
          <w:marRight w:val="0"/>
          <w:marTop w:val="240"/>
          <w:marBottom w:val="0"/>
          <w:divBdr>
            <w:top w:val="none" w:sz="0" w:space="0" w:color="auto"/>
            <w:left w:val="none" w:sz="0" w:space="0" w:color="auto"/>
            <w:bottom w:val="none" w:sz="0" w:space="0" w:color="auto"/>
            <w:right w:val="none" w:sz="0" w:space="0" w:color="auto"/>
          </w:divBdr>
        </w:div>
        <w:div w:id="1945380154">
          <w:marLeft w:val="1800"/>
          <w:marRight w:val="0"/>
          <w:marTop w:val="240"/>
          <w:marBottom w:val="0"/>
          <w:divBdr>
            <w:top w:val="none" w:sz="0" w:space="0" w:color="auto"/>
            <w:left w:val="none" w:sz="0" w:space="0" w:color="auto"/>
            <w:bottom w:val="none" w:sz="0" w:space="0" w:color="auto"/>
            <w:right w:val="none" w:sz="0" w:space="0" w:color="auto"/>
          </w:divBdr>
        </w:div>
        <w:div w:id="2047103027">
          <w:marLeft w:val="1800"/>
          <w:marRight w:val="0"/>
          <w:marTop w:val="240"/>
          <w:marBottom w:val="0"/>
          <w:divBdr>
            <w:top w:val="none" w:sz="0" w:space="0" w:color="auto"/>
            <w:left w:val="none" w:sz="0" w:space="0" w:color="auto"/>
            <w:bottom w:val="none" w:sz="0" w:space="0" w:color="auto"/>
            <w:right w:val="none" w:sz="0" w:space="0" w:color="auto"/>
          </w:divBdr>
        </w:div>
      </w:divsChild>
    </w:div>
    <w:div w:id="2085174669">
      <w:bodyDiv w:val="1"/>
      <w:marLeft w:val="0"/>
      <w:marRight w:val="0"/>
      <w:marTop w:val="0"/>
      <w:marBottom w:val="0"/>
      <w:divBdr>
        <w:top w:val="none" w:sz="0" w:space="0" w:color="auto"/>
        <w:left w:val="none" w:sz="0" w:space="0" w:color="auto"/>
        <w:bottom w:val="none" w:sz="0" w:space="0" w:color="auto"/>
        <w:right w:val="none" w:sz="0" w:space="0" w:color="auto"/>
      </w:divBdr>
    </w:div>
    <w:div w:id="2085641714">
      <w:bodyDiv w:val="1"/>
      <w:marLeft w:val="0"/>
      <w:marRight w:val="0"/>
      <w:marTop w:val="0"/>
      <w:marBottom w:val="0"/>
      <w:divBdr>
        <w:top w:val="none" w:sz="0" w:space="0" w:color="auto"/>
        <w:left w:val="none" w:sz="0" w:space="0" w:color="auto"/>
        <w:bottom w:val="none" w:sz="0" w:space="0" w:color="auto"/>
        <w:right w:val="none" w:sz="0" w:space="0" w:color="auto"/>
      </w:divBdr>
    </w:div>
    <w:div w:id="2086879184">
      <w:bodyDiv w:val="1"/>
      <w:marLeft w:val="0"/>
      <w:marRight w:val="0"/>
      <w:marTop w:val="0"/>
      <w:marBottom w:val="0"/>
      <w:divBdr>
        <w:top w:val="none" w:sz="0" w:space="0" w:color="auto"/>
        <w:left w:val="none" w:sz="0" w:space="0" w:color="auto"/>
        <w:bottom w:val="none" w:sz="0" w:space="0" w:color="auto"/>
        <w:right w:val="none" w:sz="0" w:space="0" w:color="auto"/>
      </w:divBdr>
      <w:divsChild>
        <w:div w:id="1030453503">
          <w:marLeft w:val="547"/>
          <w:marRight w:val="0"/>
          <w:marTop w:val="115"/>
          <w:marBottom w:val="0"/>
          <w:divBdr>
            <w:top w:val="none" w:sz="0" w:space="0" w:color="auto"/>
            <w:left w:val="none" w:sz="0" w:space="0" w:color="auto"/>
            <w:bottom w:val="none" w:sz="0" w:space="0" w:color="auto"/>
            <w:right w:val="none" w:sz="0" w:space="0" w:color="auto"/>
          </w:divBdr>
        </w:div>
      </w:divsChild>
    </w:div>
    <w:div w:id="2088184809">
      <w:bodyDiv w:val="1"/>
      <w:marLeft w:val="0"/>
      <w:marRight w:val="0"/>
      <w:marTop w:val="0"/>
      <w:marBottom w:val="0"/>
      <w:divBdr>
        <w:top w:val="none" w:sz="0" w:space="0" w:color="auto"/>
        <w:left w:val="none" w:sz="0" w:space="0" w:color="auto"/>
        <w:bottom w:val="none" w:sz="0" w:space="0" w:color="auto"/>
        <w:right w:val="none" w:sz="0" w:space="0" w:color="auto"/>
      </w:divBdr>
    </w:div>
    <w:div w:id="2088334781">
      <w:bodyDiv w:val="1"/>
      <w:marLeft w:val="0"/>
      <w:marRight w:val="0"/>
      <w:marTop w:val="0"/>
      <w:marBottom w:val="0"/>
      <w:divBdr>
        <w:top w:val="none" w:sz="0" w:space="0" w:color="auto"/>
        <w:left w:val="none" w:sz="0" w:space="0" w:color="auto"/>
        <w:bottom w:val="none" w:sz="0" w:space="0" w:color="auto"/>
        <w:right w:val="none" w:sz="0" w:space="0" w:color="auto"/>
      </w:divBdr>
    </w:div>
    <w:div w:id="2088647241">
      <w:bodyDiv w:val="1"/>
      <w:marLeft w:val="0"/>
      <w:marRight w:val="0"/>
      <w:marTop w:val="0"/>
      <w:marBottom w:val="0"/>
      <w:divBdr>
        <w:top w:val="none" w:sz="0" w:space="0" w:color="auto"/>
        <w:left w:val="none" w:sz="0" w:space="0" w:color="auto"/>
        <w:bottom w:val="none" w:sz="0" w:space="0" w:color="auto"/>
        <w:right w:val="none" w:sz="0" w:space="0" w:color="auto"/>
      </w:divBdr>
      <w:divsChild>
        <w:div w:id="789399570">
          <w:marLeft w:val="547"/>
          <w:marRight w:val="0"/>
          <w:marTop w:val="154"/>
          <w:marBottom w:val="0"/>
          <w:divBdr>
            <w:top w:val="none" w:sz="0" w:space="0" w:color="auto"/>
            <w:left w:val="none" w:sz="0" w:space="0" w:color="auto"/>
            <w:bottom w:val="none" w:sz="0" w:space="0" w:color="auto"/>
            <w:right w:val="none" w:sz="0" w:space="0" w:color="auto"/>
          </w:divBdr>
        </w:div>
      </w:divsChild>
    </w:div>
    <w:div w:id="2089110095">
      <w:bodyDiv w:val="1"/>
      <w:marLeft w:val="0"/>
      <w:marRight w:val="0"/>
      <w:marTop w:val="0"/>
      <w:marBottom w:val="0"/>
      <w:divBdr>
        <w:top w:val="none" w:sz="0" w:space="0" w:color="auto"/>
        <w:left w:val="none" w:sz="0" w:space="0" w:color="auto"/>
        <w:bottom w:val="none" w:sz="0" w:space="0" w:color="auto"/>
        <w:right w:val="none" w:sz="0" w:space="0" w:color="auto"/>
      </w:divBdr>
    </w:div>
    <w:div w:id="2090303090">
      <w:bodyDiv w:val="1"/>
      <w:marLeft w:val="0"/>
      <w:marRight w:val="0"/>
      <w:marTop w:val="0"/>
      <w:marBottom w:val="0"/>
      <w:divBdr>
        <w:top w:val="none" w:sz="0" w:space="0" w:color="auto"/>
        <w:left w:val="none" w:sz="0" w:space="0" w:color="auto"/>
        <w:bottom w:val="none" w:sz="0" w:space="0" w:color="auto"/>
        <w:right w:val="none" w:sz="0" w:space="0" w:color="auto"/>
      </w:divBdr>
    </w:div>
    <w:div w:id="2091081265">
      <w:bodyDiv w:val="1"/>
      <w:marLeft w:val="0"/>
      <w:marRight w:val="0"/>
      <w:marTop w:val="0"/>
      <w:marBottom w:val="0"/>
      <w:divBdr>
        <w:top w:val="none" w:sz="0" w:space="0" w:color="auto"/>
        <w:left w:val="none" w:sz="0" w:space="0" w:color="auto"/>
        <w:bottom w:val="none" w:sz="0" w:space="0" w:color="auto"/>
        <w:right w:val="none" w:sz="0" w:space="0" w:color="auto"/>
      </w:divBdr>
    </w:div>
    <w:div w:id="2091806141">
      <w:bodyDiv w:val="1"/>
      <w:marLeft w:val="0"/>
      <w:marRight w:val="0"/>
      <w:marTop w:val="0"/>
      <w:marBottom w:val="0"/>
      <w:divBdr>
        <w:top w:val="none" w:sz="0" w:space="0" w:color="auto"/>
        <w:left w:val="none" w:sz="0" w:space="0" w:color="auto"/>
        <w:bottom w:val="none" w:sz="0" w:space="0" w:color="auto"/>
        <w:right w:val="none" w:sz="0" w:space="0" w:color="auto"/>
      </w:divBdr>
    </w:div>
    <w:div w:id="2092658341">
      <w:bodyDiv w:val="1"/>
      <w:marLeft w:val="0"/>
      <w:marRight w:val="0"/>
      <w:marTop w:val="0"/>
      <w:marBottom w:val="0"/>
      <w:divBdr>
        <w:top w:val="none" w:sz="0" w:space="0" w:color="auto"/>
        <w:left w:val="none" w:sz="0" w:space="0" w:color="auto"/>
        <w:bottom w:val="none" w:sz="0" w:space="0" w:color="auto"/>
        <w:right w:val="none" w:sz="0" w:space="0" w:color="auto"/>
      </w:divBdr>
    </w:div>
    <w:div w:id="2093044482">
      <w:bodyDiv w:val="1"/>
      <w:marLeft w:val="0"/>
      <w:marRight w:val="0"/>
      <w:marTop w:val="0"/>
      <w:marBottom w:val="0"/>
      <w:divBdr>
        <w:top w:val="none" w:sz="0" w:space="0" w:color="auto"/>
        <w:left w:val="none" w:sz="0" w:space="0" w:color="auto"/>
        <w:bottom w:val="none" w:sz="0" w:space="0" w:color="auto"/>
        <w:right w:val="none" w:sz="0" w:space="0" w:color="auto"/>
      </w:divBdr>
    </w:div>
    <w:div w:id="2093427451">
      <w:bodyDiv w:val="1"/>
      <w:marLeft w:val="0"/>
      <w:marRight w:val="0"/>
      <w:marTop w:val="0"/>
      <w:marBottom w:val="0"/>
      <w:divBdr>
        <w:top w:val="none" w:sz="0" w:space="0" w:color="auto"/>
        <w:left w:val="none" w:sz="0" w:space="0" w:color="auto"/>
        <w:bottom w:val="none" w:sz="0" w:space="0" w:color="auto"/>
        <w:right w:val="none" w:sz="0" w:space="0" w:color="auto"/>
      </w:divBdr>
      <w:divsChild>
        <w:div w:id="484711613">
          <w:marLeft w:val="446"/>
          <w:marRight w:val="0"/>
          <w:marTop w:val="96"/>
          <w:marBottom w:val="0"/>
          <w:divBdr>
            <w:top w:val="none" w:sz="0" w:space="0" w:color="auto"/>
            <w:left w:val="none" w:sz="0" w:space="0" w:color="auto"/>
            <w:bottom w:val="none" w:sz="0" w:space="0" w:color="auto"/>
            <w:right w:val="none" w:sz="0" w:space="0" w:color="auto"/>
          </w:divBdr>
        </w:div>
        <w:div w:id="575895444">
          <w:marLeft w:val="446"/>
          <w:marRight w:val="0"/>
          <w:marTop w:val="96"/>
          <w:marBottom w:val="0"/>
          <w:divBdr>
            <w:top w:val="none" w:sz="0" w:space="0" w:color="auto"/>
            <w:left w:val="none" w:sz="0" w:space="0" w:color="auto"/>
            <w:bottom w:val="none" w:sz="0" w:space="0" w:color="auto"/>
            <w:right w:val="none" w:sz="0" w:space="0" w:color="auto"/>
          </w:divBdr>
        </w:div>
        <w:div w:id="783963442">
          <w:marLeft w:val="547"/>
          <w:marRight w:val="0"/>
          <w:marTop w:val="96"/>
          <w:marBottom w:val="0"/>
          <w:divBdr>
            <w:top w:val="none" w:sz="0" w:space="0" w:color="auto"/>
            <w:left w:val="none" w:sz="0" w:space="0" w:color="auto"/>
            <w:bottom w:val="none" w:sz="0" w:space="0" w:color="auto"/>
            <w:right w:val="none" w:sz="0" w:space="0" w:color="auto"/>
          </w:divBdr>
        </w:div>
        <w:div w:id="888804551">
          <w:marLeft w:val="446"/>
          <w:marRight w:val="0"/>
          <w:marTop w:val="96"/>
          <w:marBottom w:val="0"/>
          <w:divBdr>
            <w:top w:val="none" w:sz="0" w:space="0" w:color="auto"/>
            <w:left w:val="none" w:sz="0" w:space="0" w:color="auto"/>
            <w:bottom w:val="none" w:sz="0" w:space="0" w:color="auto"/>
            <w:right w:val="none" w:sz="0" w:space="0" w:color="auto"/>
          </w:divBdr>
        </w:div>
        <w:div w:id="2068991404">
          <w:marLeft w:val="446"/>
          <w:marRight w:val="0"/>
          <w:marTop w:val="96"/>
          <w:marBottom w:val="0"/>
          <w:divBdr>
            <w:top w:val="none" w:sz="0" w:space="0" w:color="auto"/>
            <w:left w:val="none" w:sz="0" w:space="0" w:color="auto"/>
            <w:bottom w:val="none" w:sz="0" w:space="0" w:color="auto"/>
            <w:right w:val="none" w:sz="0" w:space="0" w:color="auto"/>
          </w:divBdr>
        </w:div>
        <w:div w:id="2112241446">
          <w:marLeft w:val="547"/>
          <w:marRight w:val="0"/>
          <w:marTop w:val="96"/>
          <w:marBottom w:val="0"/>
          <w:divBdr>
            <w:top w:val="none" w:sz="0" w:space="0" w:color="auto"/>
            <w:left w:val="none" w:sz="0" w:space="0" w:color="auto"/>
            <w:bottom w:val="none" w:sz="0" w:space="0" w:color="auto"/>
            <w:right w:val="none" w:sz="0" w:space="0" w:color="auto"/>
          </w:divBdr>
        </w:div>
      </w:divsChild>
    </w:div>
    <w:div w:id="2094274458">
      <w:bodyDiv w:val="1"/>
      <w:marLeft w:val="0"/>
      <w:marRight w:val="0"/>
      <w:marTop w:val="0"/>
      <w:marBottom w:val="0"/>
      <w:divBdr>
        <w:top w:val="none" w:sz="0" w:space="0" w:color="auto"/>
        <w:left w:val="none" w:sz="0" w:space="0" w:color="auto"/>
        <w:bottom w:val="none" w:sz="0" w:space="0" w:color="auto"/>
        <w:right w:val="none" w:sz="0" w:space="0" w:color="auto"/>
      </w:divBdr>
    </w:div>
    <w:div w:id="2095083204">
      <w:bodyDiv w:val="1"/>
      <w:marLeft w:val="0"/>
      <w:marRight w:val="0"/>
      <w:marTop w:val="0"/>
      <w:marBottom w:val="0"/>
      <w:divBdr>
        <w:top w:val="none" w:sz="0" w:space="0" w:color="auto"/>
        <w:left w:val="none" w:sz="0" w:space="0" w:color="auto"/>
        <w:bottom w:val="none" w:sz="0" w:space="0" w:color="auto"/>
        <w:right w:val="none" w:sz="0" w:space="0" w:color="auto"/>
      </w:divBdr>
      <w:divsChild>
        <w:div w:id="112555940">
          <w:marLeft w:val="1166"/>
          <w:marRight w:val="0"/>
          <w:marTop w:val="134"/>
          <w:marBottom w:val="0"/>
          <w:divBdr>
            <w:top w:val="none" w:sz="0" w:space="0" w:color="auto"/>
            <w:left w:val="none" w:sz="0" w:space="0" w:color="auto"/>
            <w:bottom w:val="none" w:sz="0" w:space="0" w:color="auto"/>
            <w:right w:val="none" w:sz="0" w:space="0" w:color="auto"/>
          </w:divBdr>
        </w:div>
        <w:div w:id="486751081">
          <w:marLeft w:val="1166"/>
          <w:marRight w:val="0"/>
          <w:marTop w:val="134"/>
          <w:marBottom w:val="0"/>
          <w:divBdr>
            <w:top w:val="none" w:sz="0" w:space="0" w:color="auto"/>
            <w:left w:val="none" w:sz="0" w:space="0" w:color="auto"/>
            <w:bottom w:val="none" w:sz="0" w:space="0" w:color="auto"/>
            <w:right w:val="none" w:sz="0" w:space="0" w:color="auto"/>
          </w:divBdr>
        </w:div>
        <w:div w:id="539974006">
          <w:marLeft w:val="547"/>
          <w:marRight w:val="0"/>
          <w:marTop w:val="154"/>
          <w:marBottom w:val="0"/>
          <w:divBdr>
            <w:top w:val="none" w:sz="0" w:space="0" w:color="auto"/>
            <w:left w:val="none" w:sz="0" w:space="0" w:color="auto"/>
            <w:bottom w:val="none" w:sz="0" w:space="0" w:color="auto"/>
            <w:right w:val="none" w:sz="0" w:space="0" w:color="auto"/>
          </w:divBdr>
        </w:div>
        <w:div w:id="795760591">
          <w:marLeft w:val="1166"/>
          <w:marRight w:val="0"/>
          <w:marTop w:val="134"/>
          <w:marBottom w:val="0"/>
          <w:divBdr>
            <w:top w:val="none" w:sz="0" w:space="0" w:color="auto"/>
            <w:left w:val="none" w:sz="0" w:space="0" w:color="auto"/>
            <w:bottom w:val="none" w:sz="0" w:space="0" w:color="auto"/>
            <w:right w:val="none" w:sz="0" w:space="0" w:color="auto"/>
          </w:divBdr>
        </w:div>
        <w:div w:id="1565600707">
          <w:marLeft w:val="547"/>
          <w:marRight w:val="0"/>
          <w:marTop w:val="154"/>
          <w:marBottom w:val="0"/>
          <w:divBdr>
            <w:top w:val="none" w:sz="0" w:space="0" w:color="auto"/>
            <w:left w:val="none" w:sz="0" w:space="0" w:color="auto"/>
            <w:bottom w:val="none" w:sz="0" w:space="0" w:color="auto"/>
            <w:right w:val="none" w:sz="0" w:space="0" w:color="auto"/>
          </w:divBdr>
        </w:div>
      </w:divsChild>
    </w:div>
    <w:div w:id="2095272524">
      <w:bodyDiv w:val="1"/>
      <w:marLeft w:val="0"/>
      <w:marRight w:val="0"/>
      <w:marTop w:val="0"/>
      <w:marBottom w:val="0"/>
      <w:divBdr>
        <w:top w:val="none" w:sz="0" w:space="0" w:color="auto"/>
        <w:left w:val="none" w:sz="0" w:space="0" w:color="auto"/>
        <w:bottom w:val="none" w:sz="0" w:space="0" w:color="auto"/>
        <w:right w:val="none" w:sz="0" w:space="0" w:color="auto"/>
      </w:divBdr>
      <w:divsChild>
        <w:div w:id="1549413809">
          <w:marLeft w:val="0"/>
          <w:marRight w:val="0"/>
          <w:marTop w:val="0"/>
          <w:marBottom w:val="0"/>
          <w:divBdr>
            <w:top w:val="none" w:sz="0" w:space="0" w:color="auto"/>
            <w:left w:val="none" w:sz="0" w:space="0" w:color="auto"/>
            <w:bottom w:val="none" w:sz="0" w:space="0" w:color="auto"/>
            <w:right w:val="none" w:sz="0" w:space="0" w:color="auto"/>
          </w:divBdr>
          <w:divsChild>
            <w:div w:id="75711068">
              <w:marLeft w:val="0"/>
              <w:marRight w:val="0"/>
              <w:marTop w:val="0"/>
              <w:marBottom w:val="0"/>
              <w:divBdr>
                <w:top w:val="none" w:sz="0" w:space="0" w:color="auto"/>
                <w:left w:val="none" w:sz="0" w:space="0" w:color="auto"/>
                <w:bottom w:val="none" w:sz="0" w:space="0" w:color="auto"/>
                <w:right w:val="none" w:sz="0" w:space="0" w:color="auto"/>
              </w:divBdr>
            </w:div>
            <w:div w:id="1150825938">
              <w:marLeft w:val="0"/>
              <w:marRight w:val="0"/>
              <w:marTop w:val="0"/>
              <w:marBottom w:val="0"/>
              <w:divBdr>
                <w:top w:val="none" w:sz="0" w:space="0" w:color="auto"/>
                <w:left w:val="none" w:sz="0" w:space="0" w:color="auto"/>
                <w:bottom w:val="none" w:sz="0" w:space="0" w:color="auto"/>
                <w:right w:val="none" w:sz="0" w:space="0" w:color="auto"/>
              </w:divBdr>
            </w:div>
            <w:div w:id="1484855840">
              <w:marLeft w:val="0"/>
              <w:marRight w:val="0"/>
              <w:marTop w:val="0"/>
              <w:marBottom w:val="0"/>
              <w:divBdr>
                <w:top w:val="none" w:sz="0" w:space="0" w:color="auto"/>
                <w:left w:val="none" w:sz="0" w:space="0" w:color="auto"/>
                <w:bottom w:val="none" w:sz="0" w:space="0" w:color="auto"/>
                <w:right w:val="none" w:sz="0" w:space="0" w:color="auto"/>
              </w:divBdr>
            </w:div>
            <w:div w:id="1580403915">
              <w:marLeft w:val="0"/>
              <w:marRight w:val="0"/>
              <w:marTop w:val="0"/>
              <w:marBottom w:val="0"/>
              <w:divBdr>
                <w:top w:val="none" w:sz="0" w:space="0" w:color="auto"/>
                <w:left w:val="none" w:sz="0" w:space="0" w:color="auto"/>
                <w:bottom w:val="none" w:sz="0" w:space="0" w:color="auto"/>
                <w:right w:val="none" w:sz="0" w:space="0" w:color="auto"/>
              </w:divBdr>
            </w:div>
            <w:div w:id="1678995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5543835">
      <w:bodyDiv w:val="1"/>
      <w:marLeft w:val="0"/>
      <w:marRight w:val="0"/>
      <w:marTop w:val="0"/>
      <w:marBottom w:val="0"/>
      <w:divBdr>
        <w:top w:val="none" w:sz="0" w:space="0" w:color="auto"/>
        <w:left w:val="none" w:sz="0" w:space="0" w:color="auto"/>
        <w:bottom w:val="none" w:sz="0" w:space="0" w:color="auto"/>
        <w:right w:val="none" w:sz="0" w:space="0" w:color="auto"/>
      </w:divBdr>
    </w:div>
    <w:div w:id="2096322970">
      <w:bodyDiv w:val="1"/>
      <w:marLeft w:val="0"/>
      <w:marRight w:val="0"/>
      <w:marTop w:val="0"/>
      <w:marBottom w:val="0"/>
      <w:divBdr>
        <w:top w:val="none" w:sz="0" w:space="0" w:color="auto"/>
        <w:left w:val="none" w:sz="0" w:space="0" w:color="auto"/>
        <w:bottom w:val="none" w:sz="0" w:space="0" w:color="auto"/>
        <w:right w:val="none" w:sz="0" w:space="0" w:color="auto"/>
      </w:divBdr>
    </w:div>
    <w:div w:id="2096659472">
      <w:bodyDiv w:val="1"/>
      <w:marLeft w:val="0"/>
      <w:marRight w:val="0"/>
      <w:marTop w:val="0"/>
      <w:marBottom w:val="0"/>
      <w:divBdr>
        <w:top w:val="none" w:sz="0" w:space="0" w:color="auto"/>
        <w:left w:val="none" w:sz="0" w:space="0" w:color="auto"/>
        <w:bottom w:val="none" w:sz="0" w:space="0" w:color="auto"/>
        <w:right w:val="none" w:sz="0" w:space="0" w:color="auto"/>
      </w:divBdr>
      <w:divsChild>
        <w:div w:id="46340590">
          <w:marLeft w:val="274"/>
          <w:marRight w:val="0"/>
          <w:marTop w:val="0"/>
          <w:marBottom w:val="0"/>
          <w:divBdr>
            <w:top w:val="none" w:sz="0" w:space="0" w:color="auto"/>
            <w:left w:val="none" w:sz="0" w:space="0" w:color="auto"/>
            <w:bottom w:val="none" w:sz="0" w:space="0" w:color="auto"/>
            <w:right w:val="none" w:sz="0" w:space="0" w:color="auto"/>
          </w:divBdr>
        </w:div>
        <w:div w:id="121845158">
          <w:marLeft w:val="850"/>
          <w:marRight w:val="0"/>
          <w:marTop w:val="0"/>
          <w:marBottom w:val="0"/>
          <w:divBdr>
            <w:top w:val="none" w:sz="0" w:space="0" w:color="auto"/>
            <w:left w:val="none" w:sz="0" w:space="0" w:color="auto"/>
            <w:bottom w:val="none" w:sz="0" w:space="0" w:color="auto"/>
            <w:right w:val="none" w:sz="0" w:space="0" w:color="auto"/>
          </w:divBdr>
        </w:div>
        <w:div w:id="199712447">
          <w:marLeft w:val="274"/>
          <w:marRight w:val="0"/>
          <w:marTop w:val="0"/>
          <w:marBottom w:val="0"/>
          <w:divBdr>
            <w:top w:val="none" w:sz="0" w:space="0" w:color="auto"/>
            <w:left w:val="none" w:sz="0" w:space="0" w:color="auto"/>
            <w:bottom w:val="none" w:sz="0" w:space="0" w:color="auto"/>
            <w:right w:val="none" w:sz="0" w:space="0" w:color="auto"/>
          </w:divBdr>
        </w:div>
        <w:div w:id="230699443">
          <w:marLeft w:val="274"/>
          <w:marRight w:val="0"/>
          <w:marTop w:val="0"/>
          <w:marBottom w:val="0"/>
          <w:divBdr>
            <w:top w:val="none" w:sz="0" w:space="0" w:color="auto"/>
            <w:left w:val="none" w:sz="0" w:space="0" w:color="auto"/>
            <w:bottom w:val="none" w:sz="0" w:space="0" w:color="auto"/>
            <w:right w:val="none" w:sz="0" w:space="0" w:color="auto"/>
          </w:divBdr>
        </w:div>
        <w:div w:id="243147475">
          <w:marLeft w:val="274"/>
          <w:marRight w:val="0"/>
          <w:marTop w:val="0"/>
          <w:marBottom w:val="0"/>
          <w:divBdr>
            <w:top w:val="none" w:sz="0" w:space="0" w:color="auto"/>
            <w:left w:val="none" w:sz="0" w:space="0" w:color="auto"/>
            <w:bottom w:val="none" w:sz="0" w:space="0" w:color="auto"/>
            <w:right w:val="none" w:sz="0" w:space="0" w:color="auto"/>
          </w:divBdr>
        </w:div>
        <w:div w:id="327560654">
          <w:marLeft w:val="274"/>
          <w:marRight w:val="0"/>
          <w:marTop w:val="0"/>
          <w:marBottom w:val="0"/>
          <w:divBdr>
            <w:top w:val="none" w:sz="0" w:space="0" w:color="auto"/>
            <w:left w:val="none" w:sz="0" w:space="0" w:color="auto"/>
            <w:bottom w:val="none" w:sz="0" w:space="0" w:color="auto"/>
            <w:right w:val="none" w:sz="0" w:space="0" w:color="auto"/>
          </w:divBdr>
        </w:div>
        <w:div w:id="488406156">
          <w:marLeft w:val="274"/>
          <w:marRight w:val="0"/>
          <w:marTop w:val="0"/>
          <w:marBottom w:val="0"/>
          <w:divBdr>
            <w:top w:val="none" w:sz="0" w:space="0" w:color="auto"/>
            <w:left w:val="none" w:sz="0" w:space="0" w:color="auto"/>
            <w:bottom w:val="none" w:sz="0" w:space="0" w:color="auto"/>
            <w:right w:val="none" w:sz="0" w:space="0" w:color="auto"/>
          </w:divBdr>
        </w:div>
        <w:div w:id="644430490">
          <w:marLeft w:val="274"/>
          <w:marRight w:val="0"/>
          <w:marTop w:val="0"/>
          <w:marBottom w:val="0"/>
          <w:divBdr>
            <w:top w:val="none" w:sz="0" w:space="0" w:color="auto"/>
            <w:left w:val="none" w:sz="0" w:space="0" w:color="auto"/>
            <w:bottom w:val="none" w:sz="0" w:space="0" w:color="auto"/>
            <w:right w:val="none" w:sz="0" w:space="0" w:color="auto"/>
          </w:divBdr>
        </w:div>
        <w:div w:id="738747260">
          <w:marLeft w:val="274"/>
          <w:marRight w:val="0"/>
          <w:marTop w:val="0"/>
          <w:marBottom w:val="0"/>
          <w:divBdr>
            <w:top w:val="none" w:sz="0" w:space="0" w:color="auto"/>
            <w:left w:val="none" w:sz="0" w:space="0" w:color="auto"/>
            <w:bottom w:val="none" w:sz="0" w:space="0" w:color="auto"/>
            <w:right w:val="none" w:sz="0" w:space="0" w:color="auto"/>
          </w:divBdr>
        </w:div>
        <w:div w:id="812259394">
          <w:marLeft w:val="274"/>
          <w:marRight w:val="0"/>
          <w:marTop w:val="0"/>
          <w:marBottom w:val="0"/>
          <w:divBdr>
            <w:top w:val="none" w:sz="0" w:space="0" w:color="auto"/>
            <w:left w:val="none" w:sz="0" w:space="0" w:color="auto"/>
            <w:bottom w:val="none" w:sz="0" w:space="0" w:color="auto"/>
            <w:right w:val="none" w:sz="0" w:space="0" w:color="auto"/>
          </w:divBdr>
        </w:div>
        <w:div w:id="907613671">
          <w:marLeft w:val="274"/>
          <w:marRight w:val="0"/>
          <w:marTop w:val="0"/>
          <w:marBottom w:val="0"/>
          <w:divBdr>
            <w:top w:val="none" w:sz="0" w:space="0" w:color="auto"/>
            <w:left w:val="none" w:sz="0" w:space="0" w:color="auto"/>
            <w:bottom w:val="none" w:sz="0" w:space="0" w:color="auto"/>
            <w:right w:val="none" w:sz="0" w:space="0" w:color="auto"/>
          </w:divBdr>
        </w:div>
        <w:div w:id="957373861">
          <w:marLeft w:val="850"/>
          <w:marRight w:val="0"/>
          <w:marTop w:val="0"/>
          <w:marBottom w:val="0"/>
          <w:divBdr>
            <w:top w:val="none" w:sz="0" w:space="0" w:color="auto"/>
            <w:left w:val="none" w:sz="0" w:space="0" w:color="auto"/>
            <w:bottom w:val="none" w:sz="0" w:space="0" w:color="auto"/>
            <w:right w:val="none" w:sz="0" w:space="0" w:color="auto"/>
          </w:divBdr>
        </w:div>
        <w:div w:id="1155531550">
          <w:marLeft w:val="274"/>
          <w:marRight w:val="0"/>
          <w:marTop w:val="0"/>
          <w:marBottom w:val="0"/>
          <w:divBdr>
            <w:top w:val="none" w:sz="0" w:space="0" w:color="auto"/>
            <w:left w:val="none" w:sz="0" w:space="0" w:color="auto"/>
            <w:bottom w:val="none" w:sz="0" w:space="0" w:color="auto"/>
            <w:right w:val="none" w:sz="0" w:space="0" w:color="auto"/>
          </w:divBdr>
        </w:div>
        <w:div w:id="1302812609">
          <w:marLeft w:val="274"/>
          <w:marRight w:val="0"/>
          <w:marTop w:val="0"/>
          <w:marBottom w:val="0"/>
          <w:divBdr>
            <w:top w:val="none" w:sz="0" w:space="0" w:color="auto"/>
            <w:left w:val="none" w:sz="0" w:space="0" w:color="auto"/>
            <w:bottom w:val="none" w:sz="0" w:space="0" w:color="auto"/>
            <w:right w:val="none" w:sz="0" w:space="0" w:color="auto"/>
          </w:divBdr>
        </w:div>
        <w:div w:id="1562131706">
          <w:marLeft w:val="274"/>
          <w:marRight w:val="0"/>
          <w:marTop w:val="0"/>
          <w:marBottom w:val="0"/>
          <w:divBdr>
            <w:top w:val="none" w:sz="0" w:space="0" w:color="auto"/>
            <w:left w:val="none" w:sz="0" w:space="0" w:color="auto"/>
            <w:bottom w:val="none" w:sz="0" w:space="0" w:color="auto"/>
            <w:right w:val="none" w:sz="0" w:space="0" w:color="auto"/>
          </w:divBdr>
        </w:div>
        <w:div w:id="1865710484">
          <w:marLeft w:val="274"/>
          <w:marRight w:val="0"/>
          <w:marTop w:val="0"/>
          <w:marBottom w:val="0"/>
          <w:divBdr>
            <w:top w:val="none" w:sz="0" w:space="0" w:color="auto"/>
            <w:left w:val="none" w:sz="0" w:space="0" w:color="auto"/>
            <w:bottom w:val="none" w:sz="0" w:space="0" w:color="auto"/>
            <w:right w:val="none" w:sz="0" w:space="0" w:color="auto"/>
          </w:divBdr>
        </w:div>
        <w:div w:id="1974286699">
          <w:marLeft w:val="274"/>
          <w:marRight w:val="0"/>
          <w:marTop w:val="0"/>
          <w:marBottom w:val="0"/>
          <w:divBdr>
            <w:top w:val="none" w:sz="0" w:space="0" w:color="auto"/>
            <w:left w:val="none" w:sz="0" w:space="0" w:color="auto"/>
            <w:bottom w:val="none" w:sz="0" w:space="0" w:color="auto"/>
            <w:right w:val="none" w:sz="0" w:space="0" w:color="auto"/>
          </w:divBdr>
        </w:div>
        <w:div w:id="1999533909">
          <w:marLeft w:val="274"/>
          <w:marRight w:val="0"/>
          <w:marTop w:val="0"/>
          <w:marBottom w:val="0"/>
          <w:divBdr>
            <w:top w:val="none" w:sz="0" w:space="0" w:color="auto"/>
            <w:left w:val="none" w:sz="0" w:space="0" w:color="auto"/>
            <w:bottom w:val="none" w:sz="0" w:space="0" w:color="auto"/>
            <w:right w:val="none" w:sz="0" w:space="0" w:color="auto"/>
          </w:divBdr>
        </w:div>
      </w:divsChild>
    </w:div>
    <w:div w:id="2097051543">
      <w:bodyDiv w:val="1"/>
      <w:marLeft w:val="0"/>
      <w:marRight w:val="0"/>
      <w:marTop w:val="0"/>
      <w:marBottom w:val="0"/>
      <w:divBdr>
        <w:top w:val="none" w:sz="0" w:space="0" w:color="auto"/>
        <w:left w:val="none" w:sz="0" w:space="0" w:color="auto"/>
        <w:bottom w:val="none" w:sz="0" w:space="0" w:color="auto"/>
        <w:right w:val="none" w:sz="0" w:space="0" w:color="auto"/>
      </w:divBdr>
    </w:div>
    <w:div w:id="2097243446">
      <w:bodyDiv w:val="1"/>
      <w:marLeft w:val="0"/>
      <w:marRight w:val="0"/>
      <w:marTop w:val="0"/>
      <w:marBottom w:val="0"/>
      <w:divBdr>
        <w:top w:val="none" w:sz="0" w:space="0" w:color="auto"/>
        <w:left w:val="none" w:sz="0" w:space="0" w:color="auto"/>
        <w:bottom w:val="none" w:sz="0" w:space="0" w:color="auto"/>
        <w:right w:val="none" w:sz="0" w:space="0" w:color="auto"/>
      </w:divBdr>
    </w:div>
    <w:div w:id="2097824106">
      <w:bodyDiv w:val="1"/>
      <w:marLeft w:val="0"/>
      <w:marRight w:val="0"/>
      <w:marTop w:val="0"/>
      <w:marBottom w:val="0"/>
      <w:divBdr>
        <w:top w:val="none" w:sz="0" w:space="0" w:color="auto"/>
        <w:left w:val="none" w:sz="0" w:space="0" w:color="auto"/>
        <w:bottom w:val="none" w:sz="0" w:space="0" w:color="auto"/>
        <w:right w:val="none" w:sz="0" w:space="0" w:color="auto"/>
      </w:divBdr>
    </w:div>
    <w:div w:id="2098404292">
      <w:bodyDiv w:val="1"/>
      <w:marLeft w:val="0"/>
      <w:marRight w:val="0"/>
      <w:marTop w:val="0"/>
      <w:marBottom w:val="0"/>
      <w:divBdr>
        <w:top w:val="none" w:sz="0" w:space="0" w:color="auto"/>
        <w:left w:val="none" w:sz="0" w:space="0" w:color="auto"/>
        <w:bottom w:val="none" w:sz="0" w:space="0" w:color="auto"/>
        <w:right w:val="none" w:sz="0" w:space="0" w:color="auto"/>
      </w:divBdr>
      <w:divsChild>
        <w:div w:id="771440634">
          <w:marLeft w:val="1800"/>
          <w:marRight w:val="0"/>
          <w:marTop w:val="0"/>
          <w:marBottom w:val="60"/>
          <w:divBdr>
            <w:top w:val="none" w:sz="0" w:space="0" w:color="auto"/>
            <w:left w:val="none" w:sz="0" w:space="0" w:color="auto"/>
            <w:bottom w:val="none" w:sz="0" w:space="0" w:color="auto"/>
            <w:right w:val="none" w:sz="0" w:space="0" w:color="auto"/>
          </w:divBdr>
        </w:div>
        <w:div w:id="784616002">
          <w:marLeft w:val="1166"/>
          <w:marRight w:val="0"/>
          <w:marTop w:val="0"/>
          <w:marBottom w:val="60"/>
          <w:divBdr>
            <w:top w:val="none" w:sz="0" w:space="0" w:color="auto"/>
            <w:left w:val="none" w:sz="0" w:space="0" w:color="auto"/>
            <w:bottom w:val="none" w:sz="0" w:space="0" w:color="auto"/>
            <w:right w:val="none" w:sz="0" w:space="0" w:color="auto"/>
          </w:divBdr>
        </w:div>
        <w:div w:id="1059859187">
          <w:marLeft w:val="1166"/>
          <w:marRight w:val="0"/>
          <w:marTop w:val="0"/>
          <w:marBottom w:val="60"/>
          <w:divBdr>
            <w:top w:val="none" w:sz="0" w:space="0" w:color="auto"/>
            <w:left w:val="none" w:sz="0" w:space="0" w:color="auto"/>
            <w:bottom w:val="none" w:sz="0" w:space="0" w:color="auto"/>
            <w:right w:val="none" w:sz="0" w:space="0" w:color="auto"/>
          </w:divBdr>
        </w:div>
        <w:div w:id="1085688722">
          <w:marLeft w:val="547"/>
          <w:marRight w:val="0"/>
          <w:marTop w:val="0"/>
          <w:marBottom w:val="60"/>
          <w:divBdr>
            <w:top w:val="none" w:sz="0" w:space="0" w:color="auto"/>
            <w:left w:val="none" w:sz="0" w:space="0" w:color="auto"/>
            <w:bottom w:val="none" w:sz="0" w:space="0" w:color="auto"/>
            <w:right w:val="none" w:sz="0" w:space="0" w:color="auto"/>
          </w:divBdr>
        </w:div>
        <w:div w:id="1112481744">
          <w:marLeft w:val="1800"/>
          <w:marRight w:val="0"/>
          <w:marTop w:val="0"/>
          <w:marBottom w:val="60"/>
          <w:divBdr>
            <w:top w:val="none" w:sz="0" w:space="0" w:color="auto"/>
            <w:left w:val="none" w:sz="0" w:space="0" w:color="auto"/>
            <w:bottom w:val="none" w:sz="0" w:space="0" w:color="auto"/>
            <w:right w:val="none" w:sz="0" w:space="0" w:color="auto"/>
          </w:divBdr>
        </w:div>
        <w:div w:id="1164664564">
          <w:marLeft w:val="1166"/>
          <w:marRight w:val="0"/>
          <w:marTop w:val="0"/>
          <w:marBottom w:val="60"/>
          <w:divBdr>
            <w:top w:val="none" w:sz="0" w:space="0" w:color="auto"/>
            <w:left w:val="none" w:sz="0" w:space="0" w:color="auto"/>
            <w:bottom w:val="none" w:sz="0" w:space="0" w:color="auto"/>
            <w:right w:val="none" w:sz="0" w:space="0" w:color="auto"/>
          </w:divBdr>
        </w:div>
        <w:div w:id="1214384278">
          <w:marLeft w:val="547"/>
          <w:marRight w:val="0"/>
          <w:marTop w:val="0"/>
          <w:marBottom w:val="60"/>
          <w:divBdr>
            <w:top w:val="none" w:sz="0" w:space="0" w:color="auto"/>
            <w:left w:val="none" w:sz="0" w:space="0" w:color="auto"/>
            <w:bottom w:val="none" w:sz="0" w:space="0" w:color="auto"/>
            <w:right w:val="none" w:sz="0" w:space="0" w:color="auto"/>
          </w:divBdr>
        </w:div>
        <w:div w:id="1440224438">
          <w:marLeft w:val="2520"/>
          <w:marRight w:val="0"/>
          <w:marTop w:val="0"/>
          <w:marBottom w:val="60"/>
          <w:divBdr>
            <w:top w:val="none" w:sz="0" w:space="0" w:color="auto"/>
            <w:left w:val="none" w:sz="0" w:space="0" w:color="auto"/>
            <w:bottom w:val="none" w:sz="0" w:space="0" w:color="auto"/>
            <w:right w:val="none" w:sz="0" w:space="0" w:color="auto"/>
          </w:divBdr>
        </w:div>
        <w:div w:id="1707829111">
          <w:marLeft w:val="1800"/>
          <w:marRight w:val="0"/>
          <w:marTop w:val="0"/>
          <w:marBottom w:val="60"/>
          <w:divBdr>
            <w:top w:val="none" w:sz="0" w:space="0" w:color="auto"/>
            <w:left w:val="none" w:sz="0" w:space="0" w:color="auto"/>
            <w:bottom w:val="none" w:sz="0" w:space="0" w:color="auto"/>
            <w:right w:val="none" w:sz="0" w:space="0" w:color="auto"/>
          </w:divBdr>
        </w:div>
        <w:div w:id="1841845790">
          <w:marLeft w:val="1166"/>
          <w:marRight w:val="0"/>
          <w:marTop w:val="0"/>
          <w:marBottom w:val="60"/>
          <w:divBdr>
            <w:top w:val="none" w:sz="0" w:space="0" w:color="auto"/>
            <w:left w:val="none" w:sz="0" w:space="0" w:color="auto"/>
            <w:bottom w:val="none" w:sz="0" w:space="0" w:color="auto"/>
            <w:right w:val="none" w:sz="0" w:space="0" w:color="auto"/>
          </w:divBdr>
        </w:div>
        <w:div w:id="1860197746">
          <w:marLeft w:val="1166"/>
          <w:marRight w:val="0"/>
          <w:marTop w:val="0"/>
          <w:marBottom w:val="60"/>
          <w:divBdr>
            <w:top w:val="none" w:sz="0" w:space="0" w:color="auto"/>
            <w:left w:val="none" w:sz="0" w:space="0" w:color="auto"/>
            <w:bottom w:val="none" w:sz="0" w:space="0" w:color="auto"/>
            <w:right w:val="none" w:sz="0" w:space="0" w:color="auto"/>
          </w:divBdr>
        </w:div>
        <w:div w:id="1887597750">
          <w:marLeft w:val="1800"/>
          <w:marRight w:val="0"/>
          <w:marTop w:val="0"/>
          <w:marBottom w:val="60"/>
          <w:divBdr>
            <w:top w:val="none" w:sz="0" w:space="0" w:color="auto"/>
            <w:left w:val="none" w:sz="0" w:space="0" w:color="auto"/>
            <w:bottom w:val="none" w:sz="0" w:space="0" w:color="auto"/>
            <w:right w:val="none" w:sz="0" w:space="0" w:color="auto"/>
          </w:divBdr>
        </w:div>
        <w:div w:id="2027976755">
          <w:marLeft w:val="1166"/>
          <w:marRight w:val="0"/>
          <w:marTop w:val="0"/>
          <w:marBottom w:val="60"/>
          <w:divBdr>
            <w:top w:val="none" w:sz="0" w:space="0" w:color="auto"/>
            <w:left w:val="none" w:sz="0" w:space="0" w:color="auto"/>
            <w:bottom w:val="none" w:sz="0" w:space="0" w:color="auto"/>
            <w:right w:val="none" w:sz="0" w:space="0" w:color="auto"/>
          </w:divBdr>
        </w:div>
      </w:divsChild>
    </w:div>
    <w:div w:id="2098598321">
      <w:bodyDiv w:val="1"/>
      <w:marLeft w:val="0"/>
      <w:marRight w:val="0"/>
      <w:marTop w:val="0"/>
      <w:marBottom w:val="0"/>
      <w:divBdr>
        <w:top w:val="none" w:sz="0" w:space="0" w:color="auto"/>
        <w:left w:val="none" w:sz="0" w:space="0" w:color="auto"/>
        <w:bottom w:val="none" w:sz="0" w:space="0" w:color="auto"/>
        <w:right w:val="none" w:sz="0" w:space="0" w:color="auto"/>
      </w:divBdr>
      <w:divsChild>
        <w:div w:id="1308631162">
          <w:marLeft w:val="547"/>
          <w:marRight w:val="0"/>
          <w:marTop w:val="115"/>
          <w:marBottom w:val="0"/>
          <w:divBdr>
            <w:top w:val="none" w:sz="0" w:space="0" w:color="auto"/>
            <w:left w:val="none" w:sz="0" w:space="0" w:color="auto"/>
            <w:bottom w:val="none" w:sz="0" w:space="0" w:color="auto"/>
            <w:right w:val="none" w:sz="0" w:space="0" w:color="auto"/>
          </w:divBdr>
        </w:div>
      </w:divsChild>
    </w:div>
    <w:div w:id="2100252602">
      <w:bodyDiv w:val="1"/>
      <w:marLeft w:val="0"/>
      <w:marRight w:val="0"/>
      <w:marTop w:val="0"/>
      <w:marBottom w:val="0"/>
      <w:divBdr>
        <w:top w:val="none" w:sz="0" w:space="0" w:color="auto"/>
        <w:left w:val="none" w:sz="0" w:space="0" w:color="auto"/>
        <w:bottom w:val="none" w:sz="0" w:space="0" w:color="auto"/>
        <w:right w:val="none" w:sz="0" w:space="0" w:color="auto"/>
      </w:divBdr>
    </w:div>
    <w:div w:id="2101021757">
      <w:bodyDiv w:val="1"/>
      <w:marLeft w:val="0"/>
      <w:marRight w:val="0"/>
      <w:marTop w:val="0"/>
      <w:marBottom w:val="0"/>
      <w:divBdr>
        <w:top w:val="none" w:sz="0" w:space="0" w:color="auto"/>
        <w:left w:val="none" w:sz="0" w:space="0" w:color="auto"/>
        <w:bottom w:val="none" w:sz="0" w:space="0" w:color="auto"/>
        <w:right w:val="none" w:sz="0" w:space="0" w:color="auto"/>
      </w:divBdr>
    </w:div>
    <w:div w:id="2101563047">
      <w:bodyDiv w:val="1"/>
      <w:marLeft w:val="0"/>
      <w:marRight w:val="0"/>
      <w:marTop w:val="0"/>
      <w:marBottom w:val="0"/>
      <w:divBdr>
        <w:top w:val="none" w:sz="0" w:space="0" w:color="auto"/>
        <w:left w:val="none" w:sz="0" w:space="0" w:color="auto"/>
        <w:bottom w:val="none" w:sz="0" w:space="0" w:color="auto"/>
        <w:right w:val="none" w:sz="0" w:space="0" w:color="auto"/>
      </w:divBdr>
    </w:div>
    <w:div w:id="2103139564">
      <w:bodyDiv w:val="1"/>
      <w:marLeft w:val="0"/>
      <w:marRight w:val="0"/>
      <w:marTop w:val="0"/>
      <w:marBottom w:val="0"/>
      <w:divBdr>
        <w:top w:val="none" w:sz="0" w:space="0" w:color="auto"/>
        <w:left w:val="none" w:sz="0" w:space="0" w:color="auto"/>
        <w:bottom w:val="none" w:sz="0" w:space="0" w:color="auto"/>
        <w:right w:val="none" w:sz="0" w:space="0" w:color="auto"/>
      </w:divBdr>
    </w:div>
    <w:div w:id="2103646602">
      <w:bodyDiv w:val="1"/>
      <w:marLeft w:val="0"/>
      <w:marRight w:val="0"/>
      <w:marTop w:val="0"/>
      <w:marBottom w:val="0"/>
      <w:divBdr>
        <w:top w:val="none" w:sz="0" w:space="0" w:color="auto"/>
        <w:left w:val="none" w:sz="0" w:space="0" w:color="auto"/>
        <w:bottom w:val="none" w:sz="0" w:space="0" w:color="auto"/>
        <w:right w:val="none" w:sz="0" w:space="0" w:color="auto"/>
      </w:divBdr>
    </w:div>
    <w:div w:id="2103993474">
      <w:bodyDiv w:val="1"/>
      <w:marLeft w:val="0"/>
      <w:marRight w:val="0"/>
      <w:marTop w:val="0"/>
      <w:marBottom w:val="0"/>
      <w:divBdr>
        <w:top w:val="none" w:sz="0" w:space="0" w:color="auto"/>
        <w:left w:val="none" w:sz="0" w:space="0" w:color="auto"/>
        <w:bottom w:val="none" w:sz="0" w:space="0" w:color="auto"/>
        <w:right w:val="none" w:sz="0" w:space="0" w:color="auto"/>
      </w:divBdr>
    </w:div>
    <w:div w:id="2105372489">
      <w:bodyDiv w:val="1"/>
      <w:marLeft w:val="0"/>
      <w:marRight w:val="0"/>
      <w:marTop w:val="0"/>
      <w:marBottom w:val="0"/>
      <w:divBdr>
        <w:top w:val="none" w:sz="0" w:space="0" w:color="auto"/>
        <w:left w:val="none" w:sz="0" w:space="0" w:color="auto"/>
        <w:bottom w:val="none" w:sz="0" w:space="0" w:color="auto"/>
        <w:right w:val="none" w:sz="0" w:space="0" w:color="auto"/>
      </w:divBdr>
    </w:div>
    <w:div w:id="2105414909">
      <w:bodyDiv w:val="1"/>
      <w:marLeft w:val="0"/>
      <w:marRight w:val="0"/>
      <w:marTop w:val="0"/>
      <w:marBottom w:val="0"/>
      <w:divBdr>
        <w:top w:val="none" w:sz="0" w:space="0" w:color="auto"/>
        <w:left w:val="none" w:sz="0" w:space="0" w:color="auto"/>
        <w:bottom w:val="none" w:sz="0" w:space="0" w:color="auto"/>
        <w:right w:val="none" w:sz="0" w:space="0" w:color="auto"/>
      </w:divBdr>
      <w:divsChild>
        <w:div w:id="11690565">
          <w:marLeft w:val="1800"/>
          <w:marRight w:val="0"/>
          <w:marTop w:val="77"/>
          <w:marBottom w:val="120"/>
          <w:divBdr>
            <w:top w:val="none" w:sz="0" w:space="0" w:color="auto"/>
            <w:left w:val="none" w:sz="0" w:space="0" w:color="auto"/>
            <w:bottom w:val="none" w:sz="0" w:space="0" w:color="auto"/>
            <w:right w:val="none" w:sz="0" w:space="0" w:color="auto"/>
          </w:divBdr>
        </w:div>
        <w:div w:id="195002056">
          <w:marLeft w:val="1800"/>
          <w:marRight w:val="0"/>
          <w:marTop w:val="77"/>
          <w:marBottom w:val="120"/>
          <w:divBdr>
            <w:top w:val="none" w:sz="0" w:space="0" w:color="auto"/>
            <w:left w:val="none" w:sz="0" w:space="0" w:color="auto"/>
            <w:bottom w:val="none" w:sz="0" w:space="0" w:color="auto"/>
            <w:right w:val="none" w:sz="0" w:space="0" w:color="auto"/>
          </w:divBdr>
        </w:div>
        <w:div w:id="895318066">
          <w:marLeft w:val="1800"/>
          <w:marRight w:val="0"/>
          <w:marTop w:val="77"/>
          <w:marBottom w:val="120"/>
          <w:divBdr>
            <w:top w:val="none" w:sz="0" w:space="0" w:color="auto"/>
            <w:left w:val="none" w:sz="0" w:space="0" w:color="auto"/>
            <w:bottom w:val="none" w:sz="0" w:space="0" w:color="auto"/>
            <w:right w:val="none" w:sz="0" w:space="0" w:color="auto"/>
          </w:divBdr>
        </w:div>
        <w:div w:id="996497211">
          <w:marLeft w:val="1800"/>
          <w:marRight w:val="0"/>
          <w:marTop w:val="77"/>
          <w:marBottom w:val="120"/>
          <w:divBdr>
            <w:top w:val="none" w:sz="0" w:space="0" w:color="auto"/>
            <w:left w:val="none" w:sz="0" w:space="0" w:color="auto"/>
            <w:bottom w:val="none" w:sz="0" w:space="0" w:color="auto"/>
            <w:right w:val="none" w:sz="0" w:space="0" w:color="auto"/>
          </w:divBdr>
        </w:div>
        <w:div w:id="1234000138">
          <w:marLeft w:val="1800"/>
          <w:marRight w:val="0"/>
          <w:marTop w:val="77"/>
          <w:marBottom w:val="120"/>
          <w:divBdr>
            <w:top w:val="none" w:sz="0" w:space="0" w:color="auto"/>
            <w:left w:val="none" w:sz="0" w:space="0" w:color="auto"/>
            <w:bottom w:val="none" w:sz="0" w:space="0" w:color="auto"/>
            <w:right w:val="none" w:sz="0" w:space="0" w:color="auto"/>
          </w:divBdr>
        </w:div>
        <w:div w:id="1246718523">
          <w:marLeft w:val="1166"/>
          <w:marRight w:val="0"/>
          <w:marTop w:val="77"/>
          <w:marBottom w:val="120"/>
          <w:divBdr>
            <w:top w:val="none" w:sz="0" w:space="0" w:color="auto"/>
            <w:left w:val="none" w:sz="0" w:space="0" w:color="auto"/>
            <w:bottom w:val="none" w:sz="0" w:space="0" w:color="auto"/>
            <w:right w:val="none" w:sz="0" w:space="0" w:color="auto"/>
          </w:divBdr>
        </w:div>
        <w:div w:id="1453665792">
          <w:marLeft w:val="1166"/>
          <w:marRight w:val="0"/>
          <w:marTop w:val="86"/>
          <w:marBottom w:val="120"/>
          <w:divBdr>
            <w:top w:val="none" w:sz="0" w:space="0" w:color="auto"/>
            <w:left w:val="none" w:sz="0" w:space="0" w:color="auto"/>
            <w:bottom w:val="none" w:sz="0" w:space="0" w:color="auto"/>
            <w:right w:val="none" w:sz="0" w:space="0" w:color="auto"/>
          </w:divBdr>
        </w:div>
        <w:div w:id="1572228687">
          <w:marLeft w:val="1800"/>
          <w:marRight w:val="0"/>
          <w:marTop w:val="77"/>
          <w:marBottom w:val="120"/>
          <w:divBdr>
            <w:top w:val="none" w:sz="0" w:space="0" w:color="auto"/>
            <w:left w:val="none" w:sz="0" w:space="0" w:color="auto"/>
            <w:bottom w:val="none" w:sz="0" w:space="0" w:color="auto"/>
            <w:right w:val="none" w:sz="0" w:space="0" w:color="auto"/>
          </w:divBdr>
        </w:div>
        <w:div w:id="1750926324">
          <w:marLeft w:val="1800"/>
          <w:marRight w:val="0"/>
          <w:marTop w:val="77"/>
          <w:marBottom w:val="120"/>
          <w:divBdr>
            <w:top w:val="none" w:sz="0" w:space="0" w:color="auto"/>
            <w:left w:val="none" w:sz="0" w:space="0" w:color="auto"/>
            <w:bottom w:val="none" w:sz="0" w:space="0" w:color="auto"/>
            <w:right w:val="none" w:sz="0" w:space="0" w:color="auto"/>
          </w:divBdr>
        </w:div>
      </w:divsChild>
    </w:div>
    <w:div w:id="2106072490">
      <w:bodyDiv w:val="1"/>
      <w:marLeft w:val="0"/>
      <w:marRight w:val="0"/>
      <w:marTop w:val="0"/>
      <w:marBottom w:val="0"/>
      <w:divBdr>
        <w:top w:val="none" w:sz="0" w:space="0" w:color="auto"/>
        <w:left w:val="none" w:sz="0" w:space="0" w:color="auto"/>
        <w:bottom w:val="none" w:sz="0" w:space="0" w:color="auto"/>
        <w:right w:val="none" w:sz="0" w:space="0" w:color="auto"/>
      </w:divBdr>
    </w:div>
    <w:div w:id="2109158924">
      <w:bodyDiv w:val="1"/>
      <w:marLeft w:val="0"/>
      <w:marRight w:val="0"/>
      <w:marTop w:val="0"/>
      <w:marBottom w:val="0"/>
      <w:divBdr>
        <w:top w:val="none" w:sz="0" w:space="0" w:color="auto"/>
        <w:left w:val="none" w:sz="0" w:space="0" w:color="auto"/>
        <w:bottom w:val="none" w:sz="0" w:space="0" w:color="auto"/>
        <w:right w:val="none" w:sz="0" w:space="0" w:color="auto"/>
      </w:divBdr>
    </w:div>
    <w:div w:id="2109960116">
      <w:bodyDiv w:val="1"/>
      <w:marLeft w:val="0"/>
      <w:marRight w:val="0"/>
      <w:marTop w:val="0"/>
      <w:marBottom w:val="0"/>
      <w:divBdr>
        <w:top w:val="none" w:sz="0" w:space="0" w:color="auto"/>
        <w:left w:val="none" w:sz="0" w:space="0" w:color="auto"/>
        <w:bottom w:val="none" w:sz="0" w:space="0" w:color="auto"/>
        <w:right w:val="none" w:sz="0" w:space="0" w:color="auto"/>
      </w:divBdr>
    </w:div>
    <w:div w:id="2110081796">
      <w:bodyDiv w:val="1"/>
      <w:marLeft w:val="0"/>
      <w:marRight w:val="0"/>
      <w:marTop w:val="0"/>
      <w:marBottom w:val="0"/>
      <w:divBdr>
        <w:top w:val="none" w:sz="0" w:space="0" w:color="auto"/>
        <w:left w:val="none" w:sz="0" w:space="0" w:color="auto"/>
        <w:bottom w:val="none" w:sz="0" w:space="0" w:color="auto"/>
        <w:right w:val="none" w:sz="0" w:space="0" w:color="auto"/>
      </w:divBdr>
    </w:div>
    <w:div w:id="2110345242">
      <w:bodyDiv w:val="1"/>
      <w:marLeft w:val="0"/>
      <w:marRight w:val="0"/>
      <w:marTop w:val="0"/>
      <w:marBottom w:val="0"/>
      <w:divBdr>
        <w:top w:val="none" w:sz="0" w:space="0" w:color="auto"/>
        <w:left w:val="none" w:sz="0" w:space="0" w:color="auto"/>
        <w:bottom w:val="none" w:sz="0" w:space="0" w:color="auto"/>
        <w:right w:val="none" w:sz="0" w:space="0" w:color="auto"/>
      </w:divBdr>
    </w:div>
    <w:div w:id="2110853896">
      <w:bodyDiv w:val="1"/>
      <w:marLeft w:val="0"/>
      <w:marRight w:val="0"/>
      <w:marTop w:val="0"/>
      <w:marBottom w:val="0"/>
      <w:divBdr>
        <w:top w:val="none" w:sz="0" w:space="0" w:color="auto"/>
        <w:left w:val="none" w:sz="0" w:space="0" w:color="auto"/>
        <w:bottom w:val="none" w:sz="0" w:space="0" w:color="auto"/>
        <w:right w:val="none" w:sz="0" w:space="0" w:color="auto"/>
      </w:divBdr>
      <w:divsChild>
        <w:div w:id="645469949">
          <w:marLeft w:val="1166"/>
          <w:marRight w:val="0"/>
          <w:marTop w:val="72"/>
          <w:marBottom w:val="0"/>
          <w:divBdr>
            <w:top w:val="none" w:sz="0" w:space="0" w:color="auto"/>
            <w:left w:val="none" w:sz="0" w:space="0" w:color="auto"/>
            <w:bottom w:val="none" w:sz="0" w:space="0" w:color="auto"/>
            <w:right w:val="none" w:sz="0" w:space="0" w:color="auto"/>
          </w:divBdr>
        </w:div>
        <w:div w:id="1061246478">
          <w:marLeft w:val="2520"/>
          <w:marRight w:val="0"/>
          <w:marTop w:val="62"/>
          <w:marBottom w:val="0"/>
          <w:divBdr>
            <w:top w:val="none" w:sz="0" w:space="0" w:color="auto"/>
            <w:left w:val="none" w:sz="0" w:space="0" w:color="auto"/>
            <w:bottom w:val="none" w:sz="0" w:space="0" w:color="auto"/>
            <w:right w:val="none" w:sz="0" w:space="0" w:color="auto"/>
          </w:divBdr>
        </w:div>
        <w:div w:id="1085342768">
          <w:marLeft w:val="2520"/>
          <w:marRight w:val="0"/>
          <w:marTop w:val="62"/>
          <w:marBottom w:val="0"/>
          <w:divBdr>
            <w:top w:val="none" w:sz="0" w:space="0" w:color="auto"/>
            <w:left w:val="none" w:sz="0" w:space="0" w:color="auto"/>
            <w:bottom w:val="none" w:sz="0" w:space="0" w:color="auto"/>
            <w:right w:val="none" w:sz="0" w:space="0" w:color="auto"/>
          </w:divBdr>
        </w:div>
        <w:div w:id="1131097583">
          <w:marLeft w:val="1166"/>
          <w:marRight w:val="0"/>
          <w:marTop w:val="72"/>
          <w:marBottom w:val="0"/>
          <w:divBdr>
            <w:top w:val="none" w:sz="0" w:space="0" w:color="auto"/>
            <w:left w:val="none" w:sz="0" w:space="0" w:color="auto"/>
            <w:bottom w:val="none" w:sz="0" w:space="0" w:color="auto"/>
            <w:right w:val="none" w:sz="0" w:space="0" w:color="auto"/>
          </w:divBdr>
        </w:div>
        <w:div w:id="1445922017">
          <w:marLeft w:val="2520"/>
          <w:marRight w:val="0"/>
          <w:marTop w:val="62"/>
          <w:marBottom w:val="0"/>
          <w:divBdr>
            <w:top w:val="none" w:sz="0" w:space="0" w:color="auto"/>
            <w:left w:val="none" w:sz="0" w:space="0" w:color="auto"/>
            <w:bottom w:val="none" w:sz="0" w:space="0" w:color="auto"/>
            <w:right w:val="none" w:sz="0" w:space="0" w:color="auto"/>
          </w:divBdr>
        </w:div>
        <w:div w:id="1563906196">
          <w:marLeft w:val="2520"/>
          <w:marRight w:val="0"/>
          <w:marTop w:val="62"/>
          <w:marBottom w:val="0"/>
          <w:divBdr>
            <w:top w:val="none" w:sz="0" w:space="0" w:color="auto"/>
            <w:left w:val="none" w:sz="0" w:space="0" w:color="auto"/>
            <w:bottom w:val="none" w:sz="0" w:space="0" w:color="auto"/>
            <w:right w:val="none" w:sz="0" w:space="0" w:color="auto"/>
          </w:divBdr>
        </w:div>
        <w:div w:id="1663698714">
          <w:marLeft w:val="2520"/>
          <w:marRight w:val="0"/>
          <w:marTop w:val="62"/>
          <w:marBottom w:val="0"/>
          <w:divBdr>
            <w:top w:val="none" w:sz="0" w:space="0" w:color="auto"/>
            <w:left w:val="none" w:sz="0" w:space="0" w:color="auto"/>
            <w:bottom w:val="none" w:sz="0" w:space="0" w:color="auto"/>
            <w:right w:val="none" w:sz="0" w:space="0" w:color="auto"/>
          </w:divBdr>
        </w:div>
        <w:div w:id="1712657197">
          <w:marLeft w:val="2520"/>
          <w:marRight w:val="0"/>
          <w:marTop w:val="62"/>
          <w:marBottom w:val="0"/>
          <w:divBdr>
            <w:top w:val="none" w:sz="0" w:space="0" w:color="auto"/>
            <w:left w:val="none" w:sz="0" w:space="0" w:color="auto"/>
            <w:bottom w:val="none" w:sz="0" w:space="0" w:color="auto"/>
            <w:right w:val="none" w:sz="0" w:space="0" w:color="auto"/>
          </w:divBdr>
        </w:div>
        <w:div w:id="1728800430">
          <w:marLeft w:val="1800"/>
          <w:marRight w:val="0"/>
          <w:marTop w:val="120"/>
          <w:marBottom w:val="0"/>
          <w:divBdr>
            <w:top w:val="none" w:sz="0" w:space="0" w:color="auto"/>
            <w:left w:val="none" w:sz="0" w:space="0" w:color="auto"/>
            <w:bottom w:val="none" w:sz="0" w:space="0" w:color="auto"/>
            <w:right w:val="none" w:sz="0" w:space="0" w:color="auto"/>
          </w:divBdr>
        </w:div>
        <w:div w:id="1816874335">
          <w:marLeft w:val="547"/>
          <w:marRight w:val="0"/>
          <w:marTop w:val="91"/>
          <w:marBottom w:val="0"/>
          <w:divBdr>
            <w:top w:val="none" w:sz="0" w:space="0" w:color="auto"/>
            <w:left w:val="none" w:sz="0" w:space="0" w:color="auto"/>
            <w:bottom w:val="none" w:sz="0" w:space="0" w:color="auto"/>
            <w:right w:val="none" w:sz="0" w:space="0" w:color="auto"/>
          </w:divBdr>
        </w:div>
        <w:div w:id="1883202302">
          <w:marLeft w:val="2520"/>
          <w:marRight w:val="0"/>
          <w:marTop w:val="72"/>
          <w:marBottom w:val="0"/>
          <w:divBdr>
            <w:top w:val="none" w:sz="0" w:space="0" w:color="auto"/>
            <w:left w:val="none" w:sz="0" w:space="0" w:color="auto"/>
            <w:bottom w:val="none" w:sz="0" w:space="0" w:color="auto"/>
            <w:right w:val="none" w:sz="0" w:space="0" w:color="auto"/>
          </w:divBdr>
        </w:div>
        <w:div w:id="1894543165">
          <w:marLeft w:val="1166"/>
          <w:marRight w:val="0"/>
          <w:marTop w:val="72"/>
          <w:marBottom w:val="0"/>
          <w:divBdr>
            <w:top w:val="none" w:sz="0" w:space="0" w:color="auto"/>
            <w:left w:val="none" w:sz="0" w:space="0" w:color="auto"/>
            <w:bottom w:val="none" w:sz="0" w:space="0" w:color="auto"/>
            <w:right w:val="none" w:sz="0" w:space="0" w:color="auto"/>
          </w:divBdr>
        </w:div>
      </w:divsChild>
    </w:div>
    <w:div w:id="2111268378">
      <w:bodyDiv w:val="1"/>
      <w:marLeft w:val="0"/>
      <w:marRight w:val="0"/>
      <w:marTop w:val="0"/>
      <w:marBottom w:val="0"/>
      <w:divBdr>
        <w:top w:val="none" w:sz="0" w:space="0" w:color="auto"/>
        <w:left w:val="none" w:sz="0" w:space="0" w:color="auto"/>
        <w:bottom w:val="none" w:sz="0" w:space="0" w:color="auto"/>
        <w:right w:val="none" w:sz="0" w:space="0" w:color="auto"/>
      </w:divBdr>
    </w:div>
    <w:div w:id="2111853926">
      <w:bodyDiv w:val="1"/>
      <w:marLeft w:val="0"/>
      <w:marRight w:val="0"/>
      <w:marTop w:val="0"/>
      <w:marBottom w:val="0"/>
      <w:divBdr>
        <w:top w:val="none" w:sz="0" w:space="0" w:color="auto"/>
        <w:left w:val="none" w:sz="0" w:space="0" w:color="auto"/>
        <w:bottom w:val="none" w:sz="0" w:space="0" w:color="auto"/>
        <w:right w:val="none" w:sz="0" w:space="0" w:color="auto"/>
      </w:divBdr>
      <w:divsChild>
        <w:div w:id="183832638">
          <w:marLeft w:val="806"/>
          <w:marRight w:val="0"/>
          <w:marTop w:val="75"/>
          <w:marBottom w:val="0"/>
          <w:divBdr>
            <w:top w:val="none" w:sz="0" w:space="0" w:color="auto"/>
            <w:left w:val="none" w:sz="0" w:space="0" w:color="auto"/>
            <w:bottom w:val="none" w:sz="0" w:space="0" w:color="auto"/>
            <w:right w:val="none" w:sz="0" w:space="0" w:color="auto"/>
          </w:divBdr>
        </w:div>
        <w:div w:id="286400767">
          <w:marLeft w:val="274"/>
          <w:marRight w:val="0"/>
          <w:marTop w:val="150"/>
          <w:marBottom w:val="0"/>
          <w:divBdr>
            <w:top w:val="none" w:sz="0" w:space="0" w:color="auto"/>
            <w:left w:val="none" w:sz="0" w:space="0" w:color="auto"/>
            <w:bottom w:val="none" w:sz="0" w:space="0" w:color="auto"/>
            <w:right w:val="none" w:sz="0" w:space="0" w:color="auto"/>
          </w:divBdr>
        </w:div>
        <w:div w:id="346759216">
          <w:marLeft w:val="1354"/>
          <w:marRight w:val="0"/>
          <w:marTop w:val="75"/>
          <w:marBottom w:val="0"/>
          <w:divBdr>
            <w:top w:val="none" w:sz="0" w:space="0" w:color="auto"/>
            <w:left w:val="none" w:sz="0" w:space="0" w:color="auto"/>
            <w:bottom w:val="none" w:sz="0" w:space="0" w:color="auto"/>
            <w:right w:val="none" w:sz="0" w:space="0" w:color="auto"/>
          </w:divBdr>
        </w:div>
        <w:div w:id="427430774">
          <w:marLeft w:val="274"/>
          <w:marRight w:val="0"/>
          <w:marTop w:val="150"/>
          <w:marBottom w:val="0"/>
          <w:divBdr>
            <w:top w:val="none" w:sz="0" w:space="0" w:color="auto"/>
            <w:left w:val="none" w:sz="0" w:space="0" w:color="auto"/>
            <w:bottom w:val="none" w:sz="0" w:space="0" w:color="auto"/>
            <w:right w:val="none" w:sz="0" w:space="0" w:color="auto"/>
          </w:divBdr>
        </w:div>
        <w:div w:id="556666441">
          <w:marLeft w:val="274"/>
          <w:marRight w:val="0"/>
          <w:marTop w:val="150"/>
          <w:marBottom w:val="0"/>
          <w:divBdr>
            <w:top w:val="none" w:sz="0" w:space="0" w:color="auto"/>
            <w:left w:val="none" w:sz="0" w:space="0" w:color="auto"/>
            <w:bottom w:val="none" w:sz="0" w:space="0" w:color="auto"/>
            <w:right w:val="none" w:sz="0" w:space="0" w:color="auto"/>
          </w:divBdr>
        </w:div>
        <w:div w:id="877549190">
          <w:marLeft w:val="806"/>
          <w:marRight w:val="0"/>
          <w:marTop w:val="75"/>
          <w:marBottom w:val="0"/>
          <w:divBdr>
            <w:top w:val="none" w:sz="0" w:space="0" w:color="auto"/>
            <w:left w:val="none" w:sz="0" w:space="0" w:color="auto"/>
            <w:bottom w:val="none" w:sz="0" w:space="0" w:color="auto"/>
            <w:right w:val="none" w:sz="0" w:space="0" w:color="auto"/>
          </w:divBdr>
        </w:div>
        <w:div w:id="899822549">
          <w:marLeft w:val="1354"/>
          <w:marRight w:val="0"/>
          <w:marTop w:val="75"/>
          <w:marBottom w:val="0"/>
          <w:divBdr>
            <w:top w:val="none" w:sz="0" w:space="0" w:color="auto"/>
            <w:left w:val="none" w:sz="0" w:space="0" w:color="auto"/>
            <w:bottom w:val="none" w:sz="0" w:space="0" w:color="auto"/>
            <w:right w:val="none" w:sz="0" w:space="0" w:color="auto"/>
          </w:divBdr>
        </w:div>
        <w:div w:id="1009019818">
          <w:marLeft w:val="1354"/>
          <w:marRight w:val="0"/>
          <w:marTop w:val="75"/>
          <w:marBottom w:val="0"/>
          <w:divBdr>
            <w:top w:val="none" w:sz="0" w:space="0" w:color="auto"/>
            <w:left w:val="none" w:sz="0" w:space="0" w:color="auto"/>
            <w:bottom w:val="none" w:sz="0" w:space="0" w:color="auto"/>
            <w:right w:val="none" w:sz="0" w:space="0" w:color="auto"/>
          </w:divBdr>
        </w:div>
        <w:div w:id="1271426004">
          <w:marLeft w:val="806"/>
          <w:marRight w:val="0"/>
          <w:marTop w:val="75"/>
          <w:marBottom w:val="0"/>
          <w:divBdr>
            <w:top w:val="none" w:sz="0" w:space="0" w:color="auto"/>
            <w:left w:val="none" w:sz="0" w:space="0" w:color="auto"/>
            <w:bottom w:val="none" w:sz="0" w:space="0" w:color="auto"/>
            <w:right w:val="none" w:sz="0" w:space="0" w:color="auto"/>
          </w:divBdr>
        </w:div>
        <w:div w:id="1469930393">
          <w:marLeft w:val="274"/>
          <w:marRight w:val="0"/>
          <w:marTop w:val="150"/>
          <w:marBottom w:val="0"/>
          <w:divBdr>
            <w:top w:val="none" w:sz="0" w:space="0" w:color="auto"/>
            <w:left w:val="none" w:sz="0" w:space="0" w:color="auto"/>
            <w:bottom w:val="none" w:sz="0" w:space="0" w:color="auto"/>
            <w:right w:val="none" w:sz="0" w:space="0" w:color="auto"/>
          </w:divBdr>
        </w:div>
        <w:div w:id="1865631459">
          <w:marLeft w:val="1354"/>
          <w:marRight w:val="0"/>
          <w:marTop w:val="75"/>
          <w:marBottom w:val="0"/>
          <w:divBdr>
            <w:top w:val="none" w:sz="0" w:space="0" w:color="auto"/>
            <w:left w:val="none" w:sz="0" w:space="0" w:color="auto"/>
            <w:bottom w:val="none" w:sz="0" w:space="0" w:color="auto"/>
            <w:right w:val="none" w:sz="0" w:space="0" w:color="auto"/>
          </w:divBdr>
        </w:div>
        <w:div w:id="2083796986">
          <w:marLeft w:val="806"/>
          <w:marRight w:val="0"/>
          <w:marTop w:val="75"/>
          <w:marBottom w:val="0"/>
          <w:divBdr>
            <w:top w:val="none" w:sz="0" w:space="0" w:color="auto"/>
            <w:left w:val="none" w:sz="0" w:space="0" w:color="auto"/>
            <w:bottom w:val="none" w:sz="0" w:space="0" w:color="auto"/>
            <w:right w:val="none" w:sz="0" w:space="0" w:color="auto"/>
          </w:divBdr>
        </w:div>
      </w:divsChild>
    </w:div>
    <w:div w:id="2111974846">
      <w:bodyDiv w:val="1"/>
      <w:marLeft w:val="0"/>
      <w:marRight w:val="0"/>
      <w:marTop w:val="0"/>
      <w:marBottom w:val="0"/>
      <w:divBdr>
        <w:top w:val="none" w:sz="0" w:space="0" w:color="auto"/>
        <w:left w:val="none" w:sz="0" w:space="0" w:color="auto"/>
        <w:bottom w:val="none" w:sz="0" w:space="0" w:color="auto"/>
        <w:right w:val="none" w:sz="0" w:space="0" w:color="auto"/>
      </w:divBdr>
    </w:div>
    <w:div w:id="2112124541">
      <w:bodyDiv w:val="1"/>
      <w:marLeft w:val="0"/>
      <w:marRight w:val="0"/>
      <w:marTop w:val="0"/>
      <w:marBottom w:val="0"/>
      <w:divBdr>
        <w:top w:val="none" w:sz="0" w:space="0" w:color="auto"/>
        <w:left w:val="none" w:sz="0" w:space="0" w:color="auto"/>
        <w:bottom w:val="none" w:sz="0" w:space="0" w:color="auto"/>
        <w:right w:val="none" w:sz="0" w:space="0" w:color="auto"/>
      </w:divBdr>
    </w:div>
    <w:div w:id="2114088063">
      <w:bodyDiv w:val="1"/>
      <w:marLeft w:val="0"/>
      <w:marRight w:val="0"/>
      <w:marTop w:val="0"/>
      <w:marBottom w:val="0"/>
      <w:divBdr>
        <w:top w:val="none" w:sz="0" w:space="0" w:color="auto"/>
        <w:left w:val="none" w:sz="0" w:space="0" w:color="auto"/>
        <w:bottom w:val="none" w:sz="0" w:space="0" w:color="auto"/>
        <w:right w:val="none" w:sz="0" w:space="0" w:color="auto"/>
      </w:divBdr>
    </w:div>
    <w:div w:id="2114861574">
      <w:bodyDiv w:val="1"/>
      <w:marLeft w:val="0"/>
      <w:marRight w:val="0"/>
      <w:marTop w:val="0"/>
      <w:marBottom w:val="0"/>
      <w:divBdr>
        <w:top w:val="none" w:sz="0" w:space="0" w:color="auto"/>
        <w:left w:val="none" w:sz="0" w:space="0" w:color="auto"/>
        <w:bottom w:val="none" w:sz="0" w:space="0" w:color="auto"/>
        <w:right w:val="none" w:sz="0" w:space="0" w:color="auto"/>
      </w:divBdr>
    </w:div>
    <w:div w:id="2115440820">
      <w:bodyDiv w:val="1"/>
      <w:marLeft w:val="0"/>
      <w:marRight w:val="0"/>
      <w:marTop w:val="0"/>
      <w:marBottom w:val="0"/>
      <w:divBdr>
        <w:top w:val="none" w:sz="0" w:space="0" w:color="auto"/>
        <w:left w:val="none" w:sz="0" w:space="0" w:color="auto"/>
        <w:bottom w:val="none" w:sz="0" w:space="0" w:color="auto"/>
        <w:right w:val="none" w:sz="0" w:space="0" w:color="auto"/>
      </w:divBdr>
    </w:div>
    <w:div w:id="2116898600">
      <w:bodyDiv w:val="1"/>
      <w:marLeft w:val="0"/>
      <w:marRight w:val="0"/>
      <w:marTop w:val="0"/>
      <w:marBottom w:val="0"/>
      <w:divBdr>
        <w:top w:val="none" w:sz="0" w:space="0" w:color="auto"/>
        <w:left w:val="none" w:sz="0" w:space="0" w:color="auto"/>
        <w:bottom w:val="none" w:sz="0" w:space="0" w:color="auto"/>
        <w:right w:val="none" w:sz="0" w:space="0" w:color="auto"/>
      </w:divBdr>
    </w:div>
    <w:div w:id="2118597181">
      <w:bodyDiv w:val="1"/>
      <w:marLeft w:val="0"/>
      <w:marRight w:val="0"/>
      <w:marTop w:val="0"/>
      <w:marBottom w:val="0"/>
      <w:divBdr>
        <w:top w:val="none" w:sz="0" w:space="0" w:color="auto"/>
        <w:left w:val="none" w:sz="0" w:space="0" w:color="auto"/>
        <w:bottom w:val="none" w:sz="0" w:space="0" w:color="auto"/>
        <w:right w:val="none" w:sz="0" w:space="0" w:color="auto"/>
      </w:divBdr>
      <w:divsChild>
        <w:div w:id="183717563">
          <w:marLeft w:val="1166"/>
          <w:marRight w:val="0"/>
          <w:marTop w:val="96"/>
          <w:marBottom w:val="0"/>
          <w:divBdr>
            <w:top w:val="none" w:sz="0" w:space="0" w:color="auto"/>
            <w:left w:val="none" w:sz="0" w:space="0" w:color="auto"/>
            <w:bottom w:val="none" w:sz="0" w:space="0" w:color="auto"/>
            <w:right w:val="none" w:sz="0" w:space="0" w:color="auto"/>
          </w:divBdr>
        </w:div>
        <w:div w:id="262303201">
          <w:marLeft w:val="547"/>
          <w:marRight w:val="0"/>
          <w:marTop w:val="115"/>
          <w:marBottom w:val="0"/>
          <w:divBdr>
            <w:top w:val="none" w:sz="0" w:space="0" w:color="auto"/>
            <w:left w:val="none" w:sz="0" w:space="0" w:color="auto"/>
            <w:bottom w:val="none" w:sz="0" w:space="0" w:color="auto"/>
            <w:right w:val="none" w:sz="0" w:space="0" w:color="auto"/>
          </w:divBdr>
        </w:div>
        <w:div w:id="400060656">
          <w:marLeft w:val="1166"/>
          <w:marRight w:val="0"/>
          <w:marTop w:val="96"/>
          <w:marBottom w:val="0"/>
          <w:divBdr>
            <w:top w:val="none" w:sz="0" w:space="0" w:color="auto"/>
            <w:left w:val="none" w:sz="0" w:space="0" w:color="auto"/>
            <w:bottom w:val="none" w:sz="0" w:space="0" w:color="auto"/>
            <w:right w:val="none" w:sz="0" w:space="0" w:color="auto"/>
          </w:divBdr>
        </w:div>
        <w:div w:id="942306221">
          <w:marLeft w:val="547"/>
          <w:marRight w:val="0"/>
          <w:marTop w:val="115"/>
          <w:marBottom w:val="0"/>
          <w:divBdr>
            <w:top w:val="none" w:sz="0" w:space="0" w:color="auto"/>
            <w:left w:val="none" w:sz="0" w:space="0" w:color="auto"/>
            <w:bottom w:val="none" w:sz="0" w:space="0" w:color="auto"/>
            <w:right w:val="none" w:sz="0" w:space="0" w:color="auto"/>
          </w:divBdr>
        </w:div>
        <w:div w:id="1438863023">
          <w:marLeft w:val="547"/>
          <w:marRight w:val="0"/>
          <w:marTop w:val="115"/>
          <w:marBottom w:val="0"/>
          <w:divBdr>
            <w:top w:val="none" w:sz="0" w:space="0" w:color="auto"/>
            <w:left w:val="none" w:sz="0" w:space="0" w:color="auto"/>
            <w:bottom w:val="none" w:sz="0" w:space="0" w:color="auto"/>
            <w:right w:val="none" w:sz="0" w:space="0" w:color="auto"/>
          </w:divBdr>
        </w:div>
        <w:div w:id="1443302992">
          <w:marLeft w:val="547"/>
          <w:marRight w:val="0"/>
          <w:marTop w:val="115"/>
          <w:marBottom w:val="0"/>
          <w:divBdr>
            <w:top w:val="none" w:sz="0" w:space="0" w:color="auto"/>
            <w:left w:val="none" w:sz="0" w:space="0" w:color="auto"/>
            <w:bottom w:val="none" w:sz="0" w:space="0" w:color="auto"/>
            <w:right w:val="none" w:sz="0" w:space="0" w:color="auto"/>
          </w:divBdr>
        </w:div>
      </w:divsChild>
    </w:div>
    <w:div w:id="2119635378">
      <w:bodyDiv w:val="1"/>
      <w:marLeft w:val="0"/>
      <w:marRight w:val="0"/>
      <w:marTop w:val="0"/>
      <w:marBottom w:val="0"/>
      <w:divBdr>
        <w:top w:val="none" w:sz="0" w:space="0" w:color="auto"/>
        <w:left w:val="none" w:sz="0" w:space="0" w:color="auto"/>
        <w:bottom w:val="none" w:sz="0" w:space="0" w:color="auto"/>
        <w:right w:val="none" w:sz="0" w:space="0" w:color="auto"/>
      </w:divBdr>
    </w:div>
    <w:div w:id="2119636092">
      <w:bodyDiv w:val="1"/>
      <w:marLeft w:val="0"/>
      <w:marRight w:val="0"/>
      <w:marTop w:val="0"/>
      <w:marBottom w:val="0"/>
      <w:divBdr>
        <w:top w:val="none" w:sz="0" w:space="0" w:color="auto"/>
        <w:left w:val="none" w:sz="0" w:space="0" w:color="auto"/>
        <w:bottom w:val="none" w:sz="0" w:space="0" w:color="auto"/>
        <w:right w:val="none" w:sz="0" w:space="0" w:color="auto"/>
      </w:divBdr>
    </w:div>
    <w:div w:id="2120752465">
      <w:bodyDiv w:val="1"/>
      <w:marLeft w:val="0"/>
      <w:marRight w:val="0"/>
      <w:marTop w:val="0"/>
      <w:marBottom w:val="0"/>
      <w:divBdr>
        <w:top w:val="none" w:sz="0" w:space="0" w:color="auto"/>
        <w:left w:val="none" w:sz="0" w:space="0" w:color="auto"/>
        <w:bottom w:val="none" w:sz="0" w:space="0" w:color="auto"/>
        <w:right w:val="none" w:sz="0" w:space="0" w:color="auto"/>
      </w:divBdr>
      <w:divsChild>
        <w:div w:id="1061058900">
          <w:marLeft w:val="1800"/>
          <w:marRight w:val="0"/>
          <w:marTop w:val="86"/>
          <w:marBottom w:val="0"/>
          <w:divBdr>
            <w:top w:val="none" w:sz="0" w:space="0" w:color="auto"/>
            <w:left w:val="none" w:sz="0" w:space="0" w:color="auto"/>
            <w:bottom w:val="none" w:sz="0" w:space="0" w:color="auto"/>
            <w:right w:val="none" w:sz="0" w:space="0" w:color="auto"/>
          </w:divBdr>
        </w:div>
        <w:div w:id="1387679242">
          <w:marLeft w:val="547"/>
          <w:marRight w:val="0"/>
          <w:marTop w:val="115"/>
          <w:marBottom w:val="0"/>
          <w:divBdr>
            <w:top w:val="none" w:sz="0" w:space="0" w:color="auto"/>
            <w:left w:val="none" w:sz="0" w:space="0" w:color="auto"/>
            <w:bottom w:val="none" w:sz="0" w:space="0" w:color="auto"/>
            <w:right w:val="none" w:sz="0" w:space="0" w:color="auto"/>
          </w:divBdr>
        </w:div>
        <w:div w:id="1496261749">
          <w:marLeft w:val="1166"/>
          <w:marRight w:val="0"/>
          <w:marTop w:val="106"/>
          <w:marBottom w:val="0"/>
          <w:divBdr>
            <w:top w:val="none" w:sz="0" w:space="0" w:color="auto"/>
            <w:left w:val="none" w:sz="0" w:space="0" w:color="auto"/>
            <w:bottom w:val="none" w:sz="0" w:space="0" w:color="auto"/>
            <w:right w:val="none" w:sz="0" w:space="0" w:color="auto"/>
          </w:divBdr>
        </w:div>
        <w:div w:id="1521433541">
          <w:marLeft w:val="1166"/>
          <w:marRight w:val="0"/>
          <w:marTop w:val="106"/>
          <w:marBottom w:val="0"/>
          <w:divBdr>
            <w:top w:val="none" w:sz="0" w:space="0" w:color="auto"/>
            <w:left w:val="none" w:sz="0" w:space="0" w:color="auto"/>
            <w:bottom w:val="none" w:sz="0" w:space="0" w:color="auto"/>
            <w:right w:val="none" w:sz="0" w:space="0" w:color="auto"/>
          </w:divBdr>
        </w:div>
        <w:div w:id="1946960514">
          <w:marLeft w:val="1800"/>
          <w:marRight w:val="0"/>
          <w:marTop w:val="86"/>
          <w:marBottom w:val="0"/>
          <w:divBdr>
            <w:top w:val="none" w:sz="0" w:space="0" w:color="auto"/>
            <w:left w:val="none" w:sz="0" w:space="0" w:color="auto"/>
            <w:bottom w:val="none" w:sz="0" w:space="0" w:color="auto"/>
            <w:right w:val="none" w:sz="0" w:space="0" w:color="auto"/>
          </w:divBdr>
        </w:div>
      </w:divsChild>
    </w:div>
    <w:div w:id="2124029859">
      <w:bodyDiv w:val="1"/>
      <w:marLeft w:val="0"/>
      <w:marRight w:val="0"/>
      <w:marTop w:val="0"/>
      <w:marBottom w:val="0"/>
      <w:divBdr>
        <w:top w:val="none" w:sz="0" w:space="0" w:color="auto"/>
        <w:left w:val="none" w:sz="0" w:space="0" w:color="auto"/>
        <w:bottom w:val="none" w:sz="0" w:space="0" w:color="auto"/>
        <w:right w:val="none" w:sz="0" w:space="0" w:color="auto"/>
      </w:divBdr>
    </w:div>
    <w:div w:id="2124690734">
      <w:bodyDiv w:val="1"/>
      <w:marLeft w:val="0"/>
      <w:marRight w:val="0"/>
      <w:marTop w:val="0"/>
      <w:marBottom w:val="0"/>
      <w:divBdr>
        <w:top w:val="none" w:sz="0" w:space="0" w:color="auto"/>
        <w:left w:val="none" w:sz="0" w:space="0" w:color="auto"/>
        <w:bottom w:val="none" w:sz="0" w:space="0" w:color="auto"/>
        <w:right w:val="none" w:sz="0" w:space="0" w:color="auto"/>
      </w:divBdr>
    </w:div>
    <w:div w:id="2124765480">
      <w:bodyDiv w:val="1"/>
      <w:marLeft w:val="0"/>
      <w:marRight w:val="0"/>
      <w:marTop w:val="0"/>
      <w:marBottom w:val="0"/>
      <w:divBdr>
        <w:top w:val="none" w:sz="0" w:space="0" w:color="auto"/>
        <w:left w:val="none" w:sz="0" w:space="0" w:color="auto"/>
        <w:bottom w:val="none" w:sz="0" w:space="0" w:color="auto"/>
        <w:right w:val="none" w:sz="0" w:space="0" w:color="auto"/>
      </w:divBdr>
    </w:div>
    <w:div w:id="2126194446">
      <w:bodyDiv w:val="1"/>
      <w:marLeft w:val="0"/>
      <w:marRight w:val="0"/>
      <w:marTop w:val="0"/>
      <w:marBottom w:val="0"/>
      <w:divBdr>
        <w:top w:val="none" w:sz="0" w:space="0" w:color="auto"/>
        <w:left w:val="none" w:sz="0" w:space="0" w:color="auto"/>
        <w:bottom w:val="none" w:sz="0" w:space="0" w:color="auto"/>
        <w:right w:val="none" w:sz="0" w:space="0" w:color="auto"/>
      </w:divBdr>
      <w:divsChild>
        <w:div w:id="35547056">
          <w:marLeft w:val="1886"/>
          <w:marRight w:val="0"/>
          <w:marTop w:val="53"/>
          <w:marBottom w:val="0"/>
          <w:divBdr>
            <w:top w:val="none" w:sz="0" w:space="0" w:color="auto"/>
            <w:left w:val="none" w:sz="0" w:space="0" w:color="auto"/>
            <w:bottom w:val="none" w:sz="0" w:space="0" w:color="auto"/>
            <w:right w:val="none" w:sz="0" w:space="0" w:color="auto"/>
          </w:divBdr>
        </w:div>
        <w:div w:id="42599513">
          <w:marLeft w:val="547"/>
          <w:marRight w:val="0"/>
          <w:marTop w:val="62"/>
          <w:marBottom w:val="0"/>
          <w:divBdr>
            <w:top w:val="none" w:sz="0" w:space="0" w:color="auto"/>
            <w:left w:val="none" w:sz="0" w:space="0" w:color="auto"/>
            <w:bottom w:val="none" w:sz="0" w:space="0" w:color="auto"/>
            <w:right w:val="none" w:sz="0" w:space="0" w:color="auto"/>
          </w:divBdr>
        </w:div>
        <w:div w:id="169956034">
          <w:marLeft w:val="1886"/>
          <w:marRight w:val="0"/>
          <w:marTop w:val="53"/>
          <w:marBottom w:val="0"/>
          <w:divBdr>
            <w:top w:val="none" w:sz="0" w:space="0" w:color="auto"/>
            <w:left w:val="none" w:sz="0" w:space="0" w:color="auto"/>
            <w:bottom w:val="none" w:sz="0" w:space="0" w:color="auto"/>
            <w:right w:val="none" w:sz="0" w:space="0" w:color="auto"/>
          </w:divBdr>
        </w:div>
        <w:div w:id="185414270">
          <w:marLeft w:val="547"/>
          <w:marRight w:val="0"/>
          <w:marTop w:val="62"/>
          <w:marBottom w:val="0"/>
          <w:divBdr>
            <w:top w:val="none" w:sz="0" w:space="0" w:color="auto"/>
            <w:left w:val="none" w:sz="0" w:space="0" w:color="auto"/>
            <w:bottom w:val="none" w:sz="0" w:space="0" w:color="auto"/>
            <w:right w:val="none" w:sz="0" w:space="0" w:color="auto"/>
          </w:divBdr>
        </w:div>
        <w:div w:id="282149535">
          <w:marLeft w:val="1886"/>
          <w:marRight w:val="0"/>
          <w:marTop w:val="53"/>
          <w:marBottom w:val="0"/>
          <w:divBdr>
            <w:top w:val="none" w:sz="0" w:space="0" w:color="auto"/>
            <w:left w:val="none" w:sz="0" w:space="0" w:color="auto"/>
            <w:bottom w:val="none" w:sz="0" w:space="0" w:color="auto"/>
            <w:right w:val="none" w:sz="0" w:space="0" w:color="auto"/>
          </w:divBdr>
        </w:div>
        <w:div w:id="500967345">
          <w:marLeft w:val="1166"/>
          <w:marRight w:val="0"/>
          <w:marTop w:val="62"/>
          <w:marBottom w:val="0"/>
          <w:divBdr>
            <w:top w:val="none" w:sz="0" w:space="0" w:color="auto"/>
            <w:left w:val="none" w:sz="0" w:space="0" w:color="auto"/>
            <w:bottom w:val="none" w:sz="0" w:space="0" w:color="auto"/>
            <w:right w:val="none" w:sz="0" w:space="0" w:color="auto"/>
          </w:divBdr>
        </w:div>
        <w:div w:id="717365307">
          <w:marLeft w:val="1886"/>
          <w:marRight w:val="0"/>
          <w:marTop w:val="53"/>
          <w:marBottom w:val="0"/>
          <w:divBdr>
            <w:top w:val="none" w:sz="0" w:space="0" w:color="auto"/>
            <w:left w:val="none" w:sz="0" w:space="0" w:color="auto"/>
            <w:bottom w:val="none" w:sz="0" w:space="0" w:color="auto"/>
            <w:right w:val="none" w:sz="0" w:space="0" w:color="auto"/>
          </w:divBdr>
        </w:div>
        <w:div w:id="780416598">
          <w:marLeft w:val="1886"/>
          <w:marRight w:val="0"/>
          <w:marTop w:val="53"/>
          <w:marBottom w:val="0"/>
          <w:divBdr>
            <w:top w:val="none" w:sz="0" w:space="0" w:color="auto"/>
            <w:left w:val="none" w:sz="0" w:space="0" w:color="auto"/>
            <w:bottom w:val="none" w:sz="0" w:space="0" w:color="auto"/>
            <w:right w:val="none" w:sz="0" w:space="0" w:color="auto"/>
          </w:divBdr>
        </w:div>
        <w:div w:id="875432130">
          <w:marLeft w:val="1886"/>
          <w:marRight w:val="0"/>
          <w:marTop w:val="53"/>
          <w:marBottom w:val="0"/>
          <w:divBdr>
            <w:top w:val="none" w:sz="0" w:space="0" w:color="auto"/>
            <w:left w:val="none" w:sz="0" w:space="0" w:color="auto"/>
            <w:bottom w:val="none" w:sz="0" w:space="0" w:color="auto"/>
            <w:right w:val="none" w:sz="0" w:space="0" w:color="auto"/>
          </w:divBdr>
        </w:div>
        <w:div w:id="911892397">
          <w:marLeft w:val="547"/>
          <w:marRight w:val="0"/>
          <w:marTop w:val="62"/>
          <w:marBottom w:val="0"/>
          <w:divBdr>
            <w:top w:val="none" w:sz="0" w:space="0" w:color="auto"/>
            <w:left w:val="none" w:sz="0" w:space="0" w:color="auto"/>
            <w:bottom w:val="none" w:sz="0" w:space="0" w:color="auto"/>
            <w:right w:val="none" w:sz="0" w:space="0" w:color="auto"/>
          </w:divBdr>
        </w:div>
        <w:div w:id="1107122788">
          <w:marLeft w:val="1166"/>
          <w:marRight w:val="0"/>
          <w:marTop w:val="62"/>
          <w:marBottom w:val="0"/>
          <w:divBdr>
            <w:top w:val="none" w:sz="0" w:space="0" w:color="auto"/>
            <w:left w:val="none" w:sz="0" w:space="0" w:color="auto"/>
            <w:bottom w:val="none" w:sz="0" w:space="0" w:color="auto"/>
            <w:right w:val="none" w:sz="0" w:space="0" w:color="auto"/>
          </w:divBdr>
        </w:div>
        <w:div w:id="1179930877">
          <w:marLeft w:val="1166"/>
          <w:marRight w:val="0"/>
          <w:marTop w:val="62"/>
          <w:marBottom w:val="0"/>
          <w:divBdr>
            <w:top w:val="none" w:sz="0" w:space="0" w:color="auto"/>
            <w:left w:val="none" w:sz="0" w:space="0" w:color="auto"/>
            <w:bottom w:val="none" w:sz="0" w:space="0" w:color="auto"/>
            <w:right w:val="none" w:sz="0" w:space="0" w:color="auto"/>
          </w:divBdr>
        </w:div>
        <w:div w:id="1203203518">
          <w:marLeft w:val="1166"/>
          <w:marRight w:val="0"/>
          <w:marTop w:val="62"/>
          <w:marBottom w:val="0"/>
          <w:divBdr>
            <w:top w:val="none" w:sz="0" w:space="0" w:color="auto"/>
            <w:left w:val="none" w:sz="0" w:space="0" w:color="auto"/>
            <w:bottom w:val="none" w:sz="0" w:space="0" w:color="auto"/>
            <w:right w:val="none" w:sz="0" w:space="0" w:color="auto"/>
          </w:divBdr>
        </w:div>
        <w:div w:id="1607153673">
          <w:marLeft w:val="1886"/>
          <w:marRight w:val="0"/>
          <w:marTop w:val="53"/>
          <w:marBottom w:val="0"/>
          <w:divBdr>
            <w:top w:val="none" w:sz="0" w:space="0" w:color="auto"/>
            <w:left w:val="none" w:sz="0" w:space="0" w:color="auto"/>
            <w:bottom w:val="none" w:sz="0" w:space="0" w:color="auto"/>
            <w:right w:val="none" w:sz="0" w:space="0" w:color="auto"/>
          </w:divBdr>
        </w:div>
        <w:div w:id="2046759291">
          <w:marLeft w:val="1166"/>
          <w:marRight w:val="0"/>
          <w:marTop w:val="62"/>
          <w:marBottom w:val="0"/>
          <w:divBdr>
            <w:top w:val="none" w:sz="0" w:space="0" w:color="auto"/>
            <w:left w:val="none" w:sz="0" w:space="0" w:color="auto"/>
            <w:bottom w:val="none" w:sz="0" w:space="0" w:color="auto"/>
            <w:right w:val="none" w:sz="0" w:space="0" w:color="auto"/>
          </w:divBdr>
        </w:div>
      </w:divsChild>
    </w:div>
    <w:div w:id="2126653723">
      <w:bodyDiv w:val="1"/>
      <w:marLeft w:val="0"/>
      <w:marRight w:val="0"/>
      <w:marTop w:val="0"/>
      <w:marBottom w:val="0"/>
      <w:divBdr>
        <w:top w:val="none" w:sz="0" w:space="0" w:color="auto"/>
        <w:left w:val="none" w:sz="0" w:space="0" w:color="auto"/>
        <w:bottom w:val="none" w:sz="0" w:space="0" w:color="auto"/>
        <w:right w:val="none" w:sz="0" w:space="0" w:color="auto"/>
      </w:divBdr>
      <w:divsChild>
        <w:div w:id="55933009">
          <w:marLeft w:val="1166"/>
          <w:marRight w:val="0"/>
          <w:marTop w:val="106"/>
          <w:marBottom w:val="0"/>
          <w:divBdr>
            <w:top w:val="none" w:sz="0" w:space="0" w:color="auto"/>
            <w:left w:val="none" w:sz="0" w:space="0" w:color="auto"/>
            <w:bottom w:val="none" w:sz="0" w:space="0" w:color="auto"/>
            <w:right w:val="none" w:sz="0" w:space="0" w:color="auto"/>
          </w:divBdr>
        </w:div>
        <w:div w:id="209928222">
          <w:marLeft w:val="1166"/>
          <w:marRight w:val="0"/>
          <w:marTop w:val="106"/>
          <w:marBottom w:val="0"/>
          <w:divBdr>
            <w:top w:val="none" w:sz="0" w:space="0" w:color="auto"/>
            <w:left w:val="none" w:sz="0" w:space="0" w:color="auto"/>
            <w:bottom w:val="none" w:sz="0" w:space="0" w:color="auto"/>
            <w:right w:val="none" w:sz="0" w:space="0" w:color="auto"/>
          </w:divBdr>
        </w:div>
        <w:div w:id="342634169">
          <w:marLeft w:val="1800"/>
          <w:marRight w:val="0"/>
          <w:marTop w:val="86"/>
          <w:marBottom w:val="0"/>
          <w:divBdr>
            <w:top w:val="none" w:sz="0" w:space="0" w:color="auto"/>
            <w:left w:val="none" w:sz="0" w:space="0" w:color="auto"/>
            <w:bottom w:val="none" w:sz="0" w:space="0" w:color="auto"/>
            <w:right w:val="none" w:sz="0" w:space="0" w:color="auto"/>
          </w:divBdr>
        </w:div>
        <w:div w:id="1180311183">
          <w:marLeft w:val="1166"/>
          <w:marRight w:val="0"/>
          <w:marTop w:val="96"/>
          <w:marBottom w:val="0"/>
          <w:divBdr>
            <w:top w:val="none" w:sz="0" w:space="0" w:color="auto"/>
            <w:left w:val="none" w:sz="0" w:space="0" w:color="auto"/>
            <w:bottom w:val="none" w:sz="0" w:space="0" w:color="auto"/>
            <w:right w:val="none" w:sz="0" w:space="0" w:color="auto"/>
          </w:divBdr>
        </w:div>
        <w:div w:id="1187674947">
          <w:marLeft w:val="1800"/>
          <w:marRight w:val="0"/>
          <w:marTop w:val="86"/>
          <w:marBottom w:val="0"/>
          <w:divBdr>
            <w:top w:val="none" w:sz="0" w:space="0" w:color="auto"/>
            <w:left w:val="none" w:sz="0" w:space="0" w:color="auto"/>
            <w:bottom w:val="none" w:sz="0" w:space="0" w:color="auto"/>
            <w:right w:val="none" w:sz="0" w:space="0" w:color="auto"/>
          </w:divBdr>
        </w:div>
        <w:div w:id="1207527655">
          <w:marLeft w:val="1166"/>
          <w:marRight w:val="0"/>
          <w:marTop w:val="96"/>
          <w:marBottom w:val="0"/>
          <w:divBdr>
            <w:top w:val="none" w:sz="0" w:space="0" w:color="auto"/>
            <w:left w:val="none" w:sz="0" w:space="0" w:color="auto"/>
            <w:bottom w:val="none" w:sz="0" w:space="0" w:color="auto"/>
            <w:right w:val="none" w:sz="0" w:space="0" w:color="auto"/>
          </w:divBdr>
        </w:div>
        <w:div w:id="1249850995">
          <w:marLeft w:val="1166"/>
          <w:marRight w:val="0"/>
          <w:marTop w:val="106"/>
          <w:marBottom w:val="0"/>
          <w:divBdr>
            <w:top w:val="none" w:sz="0" w:space="0" w:color="auto"/>
            <w:left w:val="none" w:sz="0" w:space="0" w:color="auto"/>
            <w:bottom w:val="none" w:sz="0" w:space="0" w:color="auto"/>
            <w:right w:val="none" w:sz="0" w:space="0" w:color="auto"/>
          </w:divBdr>
        </w:div>
        <w:div w:id="1423716976">
          <w:marLeft w:val="547"/>
          <w:marRight w:val="0"/>
          <w:marTop w:val="96"/>
          <w:marBottom w:val="0"/>
          <w:divBdr>
            <w:top w:val="none" w:sz="0" w:space="0" w:color="auto"/>
            <w:left w:val="none" w:sz="0" w:space="0" w:color="auto"/>
            <w:bottom w:val="none" w:sz="0" w:space="0" w:color="auto"/>
            <w:right w:val="none" w:sz="0" w:space="0" w:color="auto"/>
          </w:divBdr>
        </w:div>
        <w:div w:id="1921404545">
          <w:marLeft w:val="1166"/>
          <w:marRight w:val="0"/>
          <w:marTop w:val="96"/>
          <w:marBottom w:val="0"/>
          <w:divBdr>
            <w:top w:val="none" w:sz="0" w:space="0" w:color="auto"/>
            <w:left w:val="none" w:sz="0" w:space="0" w:color="auto"/>
            <w:bottom w:val="none" w:sz="0" w:space="0" w:color="auto"/>
            <w:right w:val="none" w:sz="0" w:space="0" w:color="auto"/>
          </w:divBdr>
        </w:div>
        <w:div w:id="2026203154">
          <w:marLeft w:val="1166"/>
          <w:marRight w:val="0"/>
          <w:marTop w:val="96"/>
          <w:marBottom w:val="0"/>
          <w:divBdr>
            <w:top w:val="none" w:sz="0" w:space="0" w:color="auto"/>
            <w:left w:val="none" w:sz="0" w:space="0" w:color="auto"/>
            <w:bottom w:val="none" w:sz="0" w:space="0" w:color="auto"/>
            <w:right w:val="none" w:sz="0" w:space="0" w:color="auto"/>
          </w:divBdr>
        </w:div>
      </w:divsChild>
    </w:div>
    <w:div w:id="2127851881">
      <w:bodyDiv w:val="1"/>
      <w:marLeft w:val="0"/>
      <w:marRight w:val="0"/>
      <w:marTop w:val="0"/>
      <w:marBottom w:val="0"/>
      <w:divBdr>
        <w:top w:val="none" w:sz="0" w:space="0" w:color="auto"/>
        <w:left w:val="none" w:sz="0" w:space="0" w:color="auto"/>
        <w:bottom w:val="none" w:sz="0" w:space="0" w:color="auto"/>
        <w:right w:val="none" w:sz="0" w:space="0" w:color="auto"/>
      </w:divBdr>
      <w:divsChild>
        <w:div w:id="147794350">
          <w:marLeft w:val="1166"/>
          <w:marRight w:val="0"/>
          <w:marTop w:val="115"/>
          <w:marBottom w:val="0"/>
          <w:divBdr>
            <w:top w:val="none" w:sz="0" w:space="0" w:color="auto"/>
            <w:left w:val="none" w:sz="0" w:space="0" w:color="auto"/>
            <w:bottom w:val="none" w:sz="0" w:space="0" w:color="auto"/>
            <w:right w:val="none" w:sz="0" w:space="0" w:color="auto"/>
          </w:divBdr>
        </w:div>
        <w:div w:id="398721721">
          <w:marLeft w:val="1800"/>
          <w:marRight w:val="0"/>
          <w:marTop w:val="86"/>
          <w:marBottom w:val="0"/>
          <w:divBdr>
            <w:top w:val="none" w:sz="0" w:space="0" w:color="auto"/>
            <w:left w:val="none" w:sz="0" w:space="0" w:color="auto"/>
            <w:bottom w:val="none" w:sz="0" w:space="0" w:color="auto"/>
            <w:right w:val="none" w:sz="0" w:space="0" w:color="auto"/>
          </w:divBdr>
        </w:div>
        <w:div w:id="1088498458">
          <w:marLeft w:val="547"/>
          <w:marRight w:val="0"/>
          <w:marTop w:val="115"/>
          <w:marBottom w:val="0"/>
          <w:divBdr>
            <w:top w:val="none" w:sz="0" w:space="0" w:color="auto"/>
            <w:left w:val="none" w:sz="0" w:space="0" w:color="auto"/>
            <w:bottom w:val="none" w:sz="0" w:space="0" w:color="auto"/>
            <w:right w:val="none" w:sz="0" w:space="0" w:color="auto"/>
          </w:divBdr>
        </w:div>
        <w:div w:id="1474634549">
          <w:marLeft w:val="547"/>
          <w:marRight w:val="0"/>
          <w:marTop w:val="115"/>
          <w:marBottom w:val="0"/>
          <w:divBdr>
            <w:top w:val="none" w:sz="0" w:space="0" w:color="auto"/>
            <w:left w:val="none" w:sz="0" w:space="0" w:color="auto"/>
            <w:bottom w:val="none" w:sz="0" w:space="0" w:color="auto"/>
            <w:right w:val="none" w:sz="0" w:space="0" w:color="auto"/>
          </w:divBdr>
        </w:div>
        <w:div w:id="1520390666">
          <w:marLeft w:val="1166"/>
          <w:marRight w:val="0"/>
          <w:marTop w:val="115"/>
          <w:marBottom w:val="0"/>
          <w:divBdr>
            <w:top w:val="none" w:sz="0" w:space="0" w:color="auto"/>
            <w:left w:val="none" w:sz="0" w:space="0" w:color="auto"/>
            <w:bottom w:val="none" w:sz="0" w:space="0" w:color="auto"/>
            <w:right w:val="none" w:sz="0" w:space="0" w:color="auto"/>
          </w:divBdr>
        </w:div>
        <w:div w:id="1714424117">
          <w:marLeft w:val="1166"/>
          <w:marRight w:val="0"/>
          <w:marTop w:val="115"/>
          <w:marBottom w:val="0"/>
          <w:divBdr>
            <w:top w:val="none" w:sz="0" w:space="0" w:color="auto"/>
            <w:left w:val="none" w:sz="0" w:space="0" w:color="auto"/>
            <w:bottom w:val="none" w:sz="0" w:space="0" w:color="auto"/>
            <w:right w:val="none" w:sz="0" w:space="0" w:color="auto"/>
          </w:divBdr>
        </w:div>
        <w:div w:id="1747997498">
          <w:marLeft w:val="1800"/>
          <w:marRight w:val="0"/>
          <w:marTop w:val="86"/>
          <w:marBottom w:val="0"/>
          <w:divBdr>
            <w:top w:val="none" w:sz="0" w:space="0" w:color="auto"/>
            <w:left w:val="none" w:sz="0" w:space="0" w:color="auto"/>
            <w:bottom w:val="none" w:sz="0" w:space="0" w:color="auto"/>
            <w:right w:val="none" w:sz="0" w:space="0" w:color="auto"/>
          </w:divBdr>
        </w:div>
        <w:div w:id="2044863152">
          <w:marLeft w:val="1166"/>
          <w:marRight w:val="0"/>
          <w:marTop w:val="115"/>
          <w:marBottom w:val="0"/>
          <w:divBdr>
            <w:top w:val="none" w:sz="0" w:space="0" w:color="auto"/>
            <w:left w:val="none" w:sz="0" w:space="0" w:color="auto"/>
            <w:bottom w:val="none" w:sz="0" w:space="0" w:color="auto"/>
            <w:right w:val="none" w:sz="0" w:space="0" w:color="auto"/>
          </w:divBdr>
        </w:div>
      </w:divsChild>
    </w:div>
    <w:div w:id="2128158720">
      <w:bodyDiv w:val="1"/>
      <w:marLeft w:val="0"/>
      <w:marRight w:val="0"/>
      <w:marTop w:val="0"/>
      <w:marBottom w:val="0"/>
      <w:divBdr>
        <w:top w:val="none" w:sz="0" w:space="0" w:color="auto"/>
        <w:left w:val="none" w:sz="0" w:space="0" w:color="auto"/>
        <w:bottom w:val="none" w:sz="0" w:space="0" w:color="auto"/>
        <w:right w:val="none" w:sz="0" w:space="0" w:color="auto"/>
      </w:divBdr>
    </w:div>
    <w:div w:id="2131512187">
      <w:bodyDiv w:val="1"/>
      <w:marLeft w:val="0"/>
      <w:marRight w:val="0"/>
      <w:marTop w:val="0"/>
      <w:marBottom w:val="0"/>
      <w:divBdr>
        <w:top w:val="none" w:sz="0" w:space="0" w:color="auto"/>
        <w:left w:val="none" w:sz="0" w:space="0" w:color="auto"/>
        <w:bottom w:val="none" w:sz="0" w:space="0" w:color="auto"/>
        <w:right w:val="none" w:sz="0" w:space="0" w:color="auto"/>
      </w:divBdr>
      <w:divsChild>
        <w:div w:id="188641192">
          <w:marLeft w:val="547"/>
          <w:marRight w:val="0"/>
          <w:marTop w:val="96"/>
          <w:marBottom w:val="0"/>
          <w:divBdr>
            <w:top w:val="none" w:sz="0" w:space="0" w:color="auto"/>
            <w:left w:val="none" w:sz="0" w:space="0" w:color="auto"/>
            <w:bottom w:val="none" w:sz="0" w:space="0" w:color="auto"/>
            <w:right w:val="none" w:sz="0" w:space="0" w:color="auto"/>
          </w:divBdr>
        </w:div>
        <w:div w:id="1676423753">
          <w:marLeft w:val="1166"/>
          <w:marRight w:val="0"/>
          <w:marTop w:val="77"/>
          <w:marBottom w:val="0"/>
          <w:divBdr>
            <w:top w:val="none" w:sz="0" w:space="0" w:color="auto"/>
            <w:left w:val="none" w:sz="0" w:space="0" w:color="auto"/>
            <w:bottom w:val="none" w:sz="0" w:space="0" w:color="auto"/>
            <w:right w:val="none" w:sz="0" w:space="0" w:color="auto"/>
          </w:divBdr>
        </w:div>
        <w:div w:id="2122676866">
          <w:marLeft w:val="1166"/>
          <w:marRight w:val="0"/>
          <w:marTop w:val="77"/>
          <w:marBottom w:val="0"/>
          <w:divBdr>
            <w:top w:val="none" w:sz="0" w:space="0" w:color="auto"/>
            <w:left w:val="none" w:sz="0" w:space="0" w:color="auto"/>
            <w:bottom w:val="none" w:sz="0" w:space="0" w:color="auto"/>
            <w:right w:val="none" w:sz="0" w:space="0" w:color="auto"/>
          </w:divBdr>
        </w:div>
      </w:divsChild>
    </w:div>
    <w:div w:id="2131585172">
      <w:bodyDiv w:val="1"/>
      <w:marLeft w:val="0"/>
      <w:marRight w:val="0"/>
      <w:marTop w:val="0"/>
      <w:marBottom w:val="0"/>
      <w:divBdr>
        <w:top w:val="none" w:sz="0" w:space="0" w:color="auto"/>
        <w:left w:val="none" w:sz="0" w:space="0" w:color="auto"/>
        <w:bottom w:val="none" w:sz="0" w:space="0" w:color="auto"/>
        <w:right w:val="none" w:sz="0" w:space="0" w:color="auto"/>
      </w:divBdr>
    </w:div>
    <w:div w:id="2131708154">
      <w:bodyDiv w:val="1"/>
      <w:marLeft w:val="0"/>
      <w:marRight w:val="0"/>
      <w:marTop w:val="0"/>
      <w:marBottom w:val="0"/>
      <w:divBdr>
        <w:top w:val="none" w:sz="0" w:space="0" w:color="auto"/>
        <w:left w:val="none" w:sz="0" w:space="0" w:color="auto"/>
        <w:bottom w:val="none" w:sz="0" w:space="0" w:color="auto"/>
        <w:right w:val="none" w:sz="0" w:space="0" w:color="auto"/>
      </w:divBdr>
      <w:divsChild>
        <w:div w:id="305428540">
          <w:marLeft w:val="2520"/>
          <w:marRight w:val="0"/>
          <w:marTop w:val="100"/>
          <w:marBottom w:val="0"/>
          <w:divBdr>
            <w:top w:val="none" w:sz="0" w:space="0" w:color="auto"/>
            <w:left w:val="none" w:sz="0" w:space="0" w:color="auto"/>
            <w:bottom w:val="none" w:sz="0" w:space="0" w:color="auto"/>
            <w:right w:val="none" w:sz="0" w:space="0" w:color="auto"/>
          </w:divBdr>
        </w:div>
        <w:div w:id="828014264">
          <w:marLeft w:val="1080"/>
          <w:marRight w:val="0"/>
          <w:marTop w:val="100"/>
          <w:marBottom w:val="0"/>
          <w:divBdr>
            <w:top w:val="none" w:sz="0" w:space="0" w:color="auto"/>
            <w:left w:val="none" w:sz="0" w:space="0" w:color="auto"/>
            <w:bottom w:val="none" w:sz="0" w:space="0" w:color="auto"/>
            <w:right w:val="none" w:sz="0" w:space="0" w:color="auto"/>
          </w:divBdr>
        </w:div>
        <w:div w:id="1198547588">
          <w:marLeft w:val="1800"/>
          <w:marRight w:val="0"/>
          <w:marTop w:val="100"/>
          <w:marBottom w:val="0"/>
          <w:divBdr>
            <w:top w:val="none" w:sz="0" w:space="0" w:color="auto"/>
            <w:left w:val="none" w:sz="0" w:space="0" w:color="auto"/>
            <w:bottom w:val="none" w:sz="0" w:space="0" w:color="auto"/>
            <w:right w:val="none" w:sz="0" w:space="0" w:color="auto"/>
          </w:divBdr>
        </w:div>
        <w:div w:id="1556431706">
          <w:marLeft w:val="1080"/>
          <w:marRight w:val="0"/>
          <w:marTop w:val="100"/>
          <w:marBottom w:val="0"/>
          <w:divBdr>
            <w:top w:val="none" w:sz="0" w:space="0" w:color="auto"/>
            <w:left w:val="none" w:sz="0" w:space="0" w:color="auto"/>
            <w:bottom w:val="none" w:sz="0" w:space="0" w:color="auto"/>
            <w:right w:val="none" w:sz="0" w:space="0" w:color="auto"/>
          </w:divBdr>
        </w:div>
        <w:div w:id="1589264327">
          <w:marLeft w:val="1800"/>
          <w:marRight w:val="0"/>
          <w:marTop w:val="100"/>
          <w:marBottom w:val="0"/>
          <w:divBdr>
            <w:top w:val="none" w:sz="0" w:space="0" w:color="auto"/>
            <w:left w:val="none" w:sz="0" w:space="0" w:color="auto"/>
            <w:bottom w:val="none" w:sz="0" w:space="0" w:color="auto"/>
            <w:right w:val="none" w:sz="0" w:space="0" w:color="auto"/>
          </w:divBdr>
        </w:div>
        <w:div w:id="1943225154">
          <w:marLeft w:val="360"/>
          <w:marRight w:val="0"/>
          <w:marTop w:val="200"/>
          <w:marBottom w:val="0"/>
          <w:divBdr>
            <w:top w:val="none" w:sz="0" w:space="0" w:color="auto"/>
            <w:left w:val="none" w:sz="0" w:space="0" w:color="auto"/>
            <w:bottom w:val="none" w:sz="0" w:space="0" w:color="auto"/>
            <w:right w:val="none" w:sz="0" w:space="0" w:color="auto"/>
          </w:divBdr>
        </w:div>
      </w:divsChild>
    </w:div>
    <w:div w:id="2132086711">
      <w:bodyDiv w:val="1"/>
      <w:marLeft w:val="0"/>
      <w:marRight w:val="0"/>
      <w:marTop w:val="0"/>
      <w:marBottom w:val="0"/>
      <w:divBdr>
        <w:top w:val="none" w:sz="0" w:space="0" w:color="auto"/>
        <w:left w:val="none" w:sz="0" w:space="0" w:color="auto"/>
        <w:bottom w:val="none" w:sz="0" w:space="0" w:color="auto"/>
        <w:right w:val="none" w:sz="0" w:space="0" w:color="auto"/>
      </w:divBdr>
    </w:div>
    <w:div w:id="2132505149">
      <w:bodyDiv w:val="1"/>
      <w:marLeft w:val="0"/>
      <w:marRight w:val="0"/>
      <w:marTop w:val="0"/>
      <w:marBottom w:val="0"/>
      <w:divBdr>
        <w:top w:val="none" w:sz="0" w:space="0" w:color="auto"/>
        <w:left w:val="none" w:sz="0" w:space="0" w:color="auto"/>
        <w:bottom w:val="none" w:sz="0" w:space="0" w:color="auto"/>
        <w:right w:val="none" w:sz="0" w:space="0" w:color="auto"/>
      </w:divBdr>
    </w:div>
    <w:div w:id="2133281901">
      <w:bodyDiv w:val="1"/>
      <w:marLeft w:val="0"/>
      <w:marRight w:val="0"/>
      <w:marTop w:val="0"/>
      <w:marBottom w:val="0"/>
      <w:divBdr>
        <w:top w:val="none" w:sz="0" w:space="0" w:color="auto"/>
        <w:left w:val="none" w:sz="0" w:space="0" w:color="auto"/>
        <w:bottom w:val="none" w:sz="0" w:space="0" w:color="auto"/>
        <w:right w:val="none" w:sz="0" w:space="0" w:color="auto"/>
      </w:divBdr>
      <w:divsChild>
        <w:div w:id="1668827601">
          <w:marLeft w:val="547"/>
          <w:marRight w:val="0"/>
          <w:marTop w:val="134"/>
          <w:marBottom w:val="0"/>
          <w:divBdr>
            <w:top w:val="none" w:sz="0" w:space="0" w:color="auto"/>
            <w:left w:val="none" w:sz="0" w:space="0" w:color="auto"/>
            <w:bottom w:val="none" w:sz="0" w:space="0" w:color="auto"/>
            <w:right w:val="none" w:sz="0" w:space="0" w:color="auto"/>
          </w:divBdr>
        </w:div>
        <w:div w:id="1732844311">
          <w:marLeft w:val="547"/>
          <w:marRight w:val="0"/>
          <w:marTop w:val="134"/>
          <w:marBottom w:val="0"/>
          <w:divBdr>
            <w:top w:val="none" w:sz="0" w:space="0" w:color="auto"/>
            <w:left w:val="none" w:sz="0" w:space="0" w:color="auto"/>
            <w:bottom w:val="none" w:sz="0" w:space="0" w:color="auto"/>
            <w:right w:val="none" w:sz="0" w:space="0" w:color="auto"/>
          </w:divBdr>
        </w:div>
      </w:divsChild>
    </w:div>
    <w:div w:id="2134324466">
      <w:bodyDiv w:val="1"/>
      <w:marLeft w:val="0"/>
      <w:marRight w:val="0"/>
      <w:marTop w:val="0"/>
      <w:marBottom w:val="0"/>
      <w:divBdr>
        <w:top w:val="none" w:sz="0" w:space="0" w:color="auto"/>
        <w:left w:val="none" w:sz="0" w:space="0" w:color="auto"/>
        <w:bottom w:val="none" w:sz="0" w:space="0" w:color="auto"/>
        <w:right w:val="none" w:sz="0" w:space="0" w:color="auto"/>
      </w:divBdr>
    </w:div>
    <w:div w:id="2134519951">
      <w:bodyDiv w:val="1"/>
      <w:marLeft w:val="0"/>
      <w:marRight w:val="0"/>
      <w:marTop w:val="0"/>
      <w:marBottom w:val="0"/>
      <w:divBdr>
        <w:top w:val="none" w:sz="0" w:space="0" w:color="auto"/>
        <w:left w:val="none" w:sz="0" w:space="0" w:color="auto"/>
        <w:bottom w:val="none" w:sz="0" w:space="0" w:color="auto"/>
        <w:right w:val="none" w:sz="0" w:space="0" w:color="auto"/>
      </w:divBdr>
    </w:div>
    <w:div w:id="2135371279">
      <w:bodyDiv w:val="1"/>
      <w:marLeft w:val="0"/>
      <w:marRight w:val="0"/>
      <w:marTop w:val="0"/>
      <w:marBottom w:val="0"/>
      <w:divBdr>
        <w:top w:val="none" w:sz="0" w:space="0" w:color="auto"/>
        <w:left w:val="none" w:sz="0" w:space="0" w:color="auto"/>
        <w:bottom w:val="none" w:sz="0" w:space="0" w:color="auto"/>
        <w:right w:val="none" w:sz="0" w:space="0" w:color="auto"/>
      </w:divBdr>
    </w:div>
    <w:div w:id="2135639286">
      <w:bodyDiv w:val="1"/>
      <w:marLeft w:val="0"/>
      <w:marRight w:val="0"/>
      <w:marTop w:val="0"/>
      <w:marBottom w:val="0"/>
      <w:divBdr>
        <w:top w:val="none" w:sz="0" w:space="0" w:color="auto"/>
        <w:left w:val="none" w:sz="0" w:space="0" w:color="auto"/>
        <w:bottom w:val="none" w:sz="0" w:space="0" w:color="auto"/>
        <w:right w:val="none" w:sz="0" w:space="0" w:color="auto"/>
      </w:divBdr>
    </w:div>
    <w:div w:id="2136101064">
      <w:bodyDiv w:val="1"/>
      <w:marLeft w:val="0"/>
      <w:marRight w:val="0"/>
      <w:marTop w:val="0"/>
      <w:marBottom w:val="0"/>
      <w:divBdr>
        <w:top w:val="none" w:sz="0" w:space="0" w:color="auto"/>
        <w:left w:val="none" w:sz="0" w:space="0" w:color="auto"/>
        <w:bottom w:val="none" w:sz="0" w:space="0" w:color="auto"/>
        <w:right w:val="none" w:sz="0" w:space="0" w:color="auto"/>
      </w:divBdr>
    </w:div>
    <w:div w:id="2137789819">
      <w:bodyDiv w:val="1"/>
      <w:marLeft w:val="0"/>
      <w:marRight w:val="0"/>
      <w:marTop w:val="0"/>
      <w:marBottom w:val="0"/>
      <w:divBdr>
        <w:top w:val="none" w:sz="0" w:space="0" w:color="auto"/>
        <w:left w:val="none" w:sz="0" w:space="0" w:color="auto"/>
        <w:bottom w:val="none" w:sz="0" w:space="0" w:color="auto"/>
        <w:right w:val="none" w:sz="0" w:space="0" w:color="auto"/>
      </w:divBdr>
    </w:div>
    <w:div w:id="2139911410">
      <w:bodyDiv w:val="1"/>
      <w:marLeft w:val="0"/>
      <w:marRight w:val="0"/>
      <w:marTop w:val="0"/>
      <w:marBottom w:val="0"/>
      <w:divBdr>
        <w:top w:val="none" w:sz="0" w:space="0" w:color="auto"/>
        <w:left w:val="none" w:sz="0" w:space="0" w:color="auto"/>
        <w:bottom w:val="none" w:sz="0" w:space="0" w:color="auto"/>
        <w:right w:val="none" w:sz="0" w:space="0" w:color="auto"/>
      </w:divBdr>
      <w:divsChild>
        <w:div w:id="628361942">
          <w:marLeft w:val="547"/>
          <w:marRight w:val="0"/>
          <w:marTop w:val="134"/>
          <w:marBottom w:val="0"/>
          <w:divBdr>
            <w:top w:val="none" w:sz="0" w:space="0" w:color="auto"/>
            <w:left w:val="none" w:sz="0" w:space="0" w:color="auto"/>
            <w:bottom w:val="none" w:sz="0" w:space="0" w:color="auto"/>
            <w:right w:val="none" w:sz="0" w:space="0" w:color="auto"/>
          </w:divBdr>
        </w:div>
        <w:div w:id="647785456">
          <w:marLeft w:val="547"/>
          <w:marRight w:val="0"/>
          <w:marTop w:val="134"/>
          <w:marBottom w:val="0"/>
          <w:divBdr>
            <w:top w:val="none" w:sz="0" w:space="0" w:color="auto"/>
            <w:left w:val="none" w:sz="0" w:space="0" w:color="auto"/>
            <w:bottom w:val="none" w:sz="0" w:space="0" w:color="auto"/>
            <w:right w:val="none" w:sz="0" w:space="0" w:color="auto"/>
          </w:divBdr>
        </w:div>
        <w:div w:id="1245337516">
          <w:marLeft w:val="547"/>
          <w:marRight w:val="0"/>
          <w:marTop w:val="134"/>
          <w:marBottom w:val="0"/>
          <w:divBdr>
            <w:top w:val="none" w:sz="0" w:space="0" w:color="auto"/>
            <w:left w:val="none" w:sz="0" w:space="0" w:color="auto"/>
            <w:bottom w:val="none" w:sz="0" w:space="0" w:color="auto"/>
            <w:right w:val="none" w:sz="0" w:space="0" w:color="auto"/>
          </w:divBdr>
        </w:div>
        <w:div w:id="1996758707">
          <w:marLeft w:val="547"/>
          <w:marRight w:val="0"/>
          <w:marTop w:val="134"/>
          <w:marBottom w:val="0"/>
          <w:divBdr>
            <w:top w:val="none" w:sz="0" w:space="0" w:color="auto"/>
            <w:left w:val="none" w:sz="0" w:space="0" w:color="auto"/>
            <w:bottom w:val="none" w:sz="0" w:space="0" w:color="auto"/>
            <w:right w:val="none" w:sz="0" w:space="0" w:color="auto"/>
          </w:divBdr>
        </w:div>
      </w:divsChild>
    </w:div>
    <w:div w:id="2140103250">
      <w:bodyDiv w:val="1"/>
      <w:marLeft w:val="0"/>
      <w:marRight w:val="0"/>
      <w:marTop w:val="0"/>
      <w:marBottom w:val="0"/>
      <w:divBdr>
        <w:top w:val="none" w:sz="0" w:space="0" w:color="auto"/>
        <w:left w:val="none" w:sz="0" w:space="0" w:color="auto"/>
        <w:bottom w:val="none" w:sz="0" w:space="0" w:color="auto"/>
        <w:right w:val="none" w:sz="0" w:space="0" w:color="auto"/>
      </w:divBdr>
      <w:divsChild>
        <w:div w:id="1881549763">
          <w:marLeft w:val="547"/>
          <w:marRight w:val="0"/>
          <w:marTop w:val="144"/>
          <w:marBottom w:val="0"/>
          <w:divBdr>
            <w:top w:val="none" w:sz="0" w:space="0" w:color="auto"/>
            <w:left w:val="none" w:sz="0" w:space="0" w:color="auto"/>
            <w:bottom w:val="none" w:sz="0" w:space="0" w:color="auto"/>
            <w:right w:val="none" w:sz="0" w:space="0" w:color="auto"/>
          </w:divBdr>
        </w:div>
      </w:divsChild>
    </w:div>
    <w:div w:id="2140223837">
      <w:bodyDiv w:val="1"/>
      <w:marLeft w:val="0"/>
      <w:marRight w:val="0"/>
      <w:marTop w:val="0"/>
      <w:marBottom w:val="0"/>
      <w:divBdr>
        <w:top w:val="none" w:sz="0" w:space="0" w:color="auto"/>
        <w:left w:val="none" w:sz="0" w:space="0" w:color="auto"/>
        <w:bottom w:val="none" w:sz="0" w:space="0" w:color="auto"/>
        <w:right w:val="none" w:sz="0" w:space="0" w:color="auto"/>
      </w:divBdr>
    </w:div>
    <w:div w:id="2140416314">
      <w:bodyDiv w:val="1"/>
      <w:marLeft w:val="0"/>
      <w:marRight w:val="0"/>
      <w:marTop w:val="0"/>
      <w:marBottom w:val="0"/>
      <w:divBdr>
        <w:top w:val="none" w:sz="0" w:space="0" w:color="auto"/>
        <w:left w:val="none" w:sz="0" w:space="0" w:color="auto"/>
        <w:bottom w:val="none" w:sz="0" w:space="0" w:color="auto"/>
        <w:right w:val="none" w:sz="0" w:space="0" w:color="auto"/>
      </w:divBdr>
    </w:div>
    <w:div w:id="2141722476">
      <w:bodyDiv w:val="1"/>
      <w:marLeft w:val="0"/>
      <w:marRight w:val="0"/>
      <w:marTop w:val="0"/>
      <w:marBottom w:val="0"/>
      <w:divBdr>
        <w:top w:val="none" w:sz="0" w:space="0" w:color="auto"/>
        <w:left w:val="none" w:sz="0" w:space="0" w:color="auto"/>
        <w:bottom w:val="none" w:sz="0" w:space="0" w:color="auto"/>
        <w:right w:val="none" w:sz="0" w:space="0" w:color="auto"/>
      </w:divBdr>
      <w:divsChild>
        <w:div w:id="312830638">
          <w:marLeft w:val="547"/>
          <w:marRight w:val="0"/>
          <w:marTop w:val="106"/>
          <w:marBottom w:val="0"/>
          <w:divBdr>
            <w:top w:val="none" w:sz="0" w:space="0" w:color="auto"/>
            <w:left w:val="none" w:sz="0" w:space="0" w:color="auto"/>
            <w:bottom w:val="none" w:sz="0" w:space="0" w:color="auto"/>
            <w:right w:val="none" w:sz="0" w:space="0" w:color="auto"/>
          </w:divBdr>
        </w:div>
        <w:div w:id="1038579000">
          <w:marLeft w:val="1166"/>
          <w:marRight w:val="0"/>
          <w:marTop w:val="86"/>
          <w:marBottom w:val="0"/>
          <w:divBdr>
            <w:top w:val="none" w:sz="0" w:space="0" w:color="auto"/>
            <w:left w:val="none" w:sz="0" w:space="0" w:color="auto"/>
            <w:bottom w:val="none" w:sz="0" w:space="0" w:color="auto"/>
            <w:right w:val="none" w:sz="0" w:space="0" w:color="auto"/>
          </w:divBdr>
        </w:div>
        <w:div w:id="1069231584">
          <w:marLeft w:val="1166"/>
          <w:marRight w:val="0"/>
          <w:marTop w:val="86"/>
          <w:marBottom w:val="0"/>
          <w:divBdr>
            <w:top w:val="none" w:sz="0" w:space="0" w:color="auto"/>
            <w:left w:val="none" w:sz="0" w:space="0" w:color="auto"/>
            <w:bottom w:val="none" w:sz="0" w:space="0" w:color="auto"/>
            <w:right w:val="none" w:sz="0" w:space="0" w:color="auto"/>
          </w:divBdr>
        </w:div>
        <w:div w:id="1418791182">
          <w:marLeft w:val="547"/>
          <w:marRight w:val="0"/>
          <w:marTop w:val="106"/>
          <w:marBottom w:val="0"/>
          <w:divBdr>
            <w:top w:val="none" w:sz="0" w:space="0" w:color="auto"/>
            <w:left w:val="none" w:sz="0" w:space="0" w:color="auto"/>
            <w:bottom w:val="none" w:sz="0" w:space="0" w:color="auto"/>
            <w:right w:val="none" w:sz="0" w:space="0" w:color="auto"/>
          </w:divBdr>
        </w:div>
        <w:div w:id="1649282656">
          <w:marLeft w:val="1166"/>
          <w:marRight w:val="0"/>
          <w:marTop w:val="86"/>
          <w:marBottom w:val="0"/>
          <w:divBdr>
            <w:top w:val="none" w:sz="0" w:space="0" w:color="auto"/>
            <w:left w:val="none" w:sz="0" w:space="0" w:color="auto"/>
            <w:bottom w:val="none" w:sz="0" w:space="0" w:color="auto"/>
            <w:right w:val="none" w:sz="0" w:space="0" w:color="auto"/>
          </w:divBdr>
        </w:div>
      </w:divsChild>
    </w:div>
    <w:div w:id="2141995170">
      <w:bodyDiv w:val="1"/>
      <w:marLeft w:val="0"/>
      <w:marRight w:val="0"/>
      <w:marTop w:val="0"/>
      <w:marBottom w:val="0"/>
      <w:divBdr>
        <w:top w:val="none" w:sz="0" w:space="0" w:color="auto"/>
        <w:left w:val="none" w:sz="0" w:space="0" w:color="auto"/>
        <w:bottom w:val="none" w:sz="0" w:space="0" w:color="auto"/>
        <w:right w:val="none" w:sz="0" w:space="0" w:color="auto"/>
      </w:divBdr>
    </w:div>
    <w:div w:id="2142067767">
      <w:bodyDiv w:val="1"/>
      <w:marLeft w:val="0"/>
      <w:marRight w:val="0"/>
      <w:marTop w:val="0"/>
      <w:marBottom w:val="0"/>
      <w:divBdr>
        <w:top w:val="none" w:sz="0" w:space="0" w:color="auto"/>
        <w:left w:val="none" w:sz="0" w:space="0" w:color="auto"/>
        <w:bottom w:val="none" w:sz="0" w:space="0" w:color="auto"/>
        <w:right w:val="none" w:sz="0" w:space="0" w:color="auto"/>
      </w:divBdr>
    </w:div>
    <w:div w:id="2142309465">
      <w:bodyDiv w:val="1"/>
      <w:marLeft w:val="0"/>
      <w:marRight w:val="0"/>
      <w:marTop w:val="0"/>
      <w:marBottom w:val="0"/>
      <w:divBdr>
        <w:top w:val="none" w:sz="0" w:space="0" w:color="auto"/>
        <w:left w:val="none" w:sz="0" w:space="0" w:color="auto"/>
        <w:bottom w:val="none" w:sz="0" w:space="0" w:color="auto"/>
        <w:right w:val="none" w:sz="0" w:space="0" w:color="auto"/>
      </w:divBdr>
    </w:div>
    <w:div w:id="2142457785">
      <w:bodyDiv w:val="1"/>
      <w:marLeft w:val="0"/>
      <w:marRight w:val="0"/>
      <w:marTop w:val="0"/>
      <w:marBottom w:val="0"/>
      <w:divBdr>
        <w:top w:val="none" w:sz="0" w:space="0" w:color="auto"/>
        <w:left w:val="none" w:sz="0" w:space="0" w:color="auto"/>
        <w:bottom w:val="none" w:sz="0" w:space="0" w:color="auto"/>
        <w:right w:val="none" w:sz="0" w:space="0" w:color="auto"/>
      </w:divBdr>
    </w:div>
    <w:div w:id="2143185797">
      <w:bodyDiv w:val="1"/>
      <w:marLeft w:val="0"/>
      <w:marRight w:val="0"/>
      <w:marTop w:val="0"/>
      <w:marBottom w:val="0"/>
      <w:divBdr>
        <w:top w:val="none" w:sz="0" w:space="0" w:color="auto"/>
        <w:left w:val="none" w:sz="0" w:space="0" w:color="auto"/>
        <w:bottom w:val="none" w:sz="0" w:space="0" w:color="auto"/>
        <w:right w:val="none" w:sz="0" w:space="0" w:color="auto"/>
      </w:divBdr>
      <w:divsChild>
        <w:div w:id="413552507">
          <w:marLeft w:val="1166"/>
          <w:marRight w:val="0"/>
          <w:marTop w:val="115"/>
          <w:marBottom w:val="0"/>
          <w:divBdr>
            <w:top w:val="none" w:sz="0" w:space="0" w:color="auto"/>
            <w:left w:val="none" w:sz="0" w:space="0" w:color="auto"/>
            <w:bottom w:val="none" w:sz="0" w:space="0" w:color="auto"/>
            <w:right w:val="none" w:sz="0" w:space="0" w:color="auto"/>
          </w:divBdr>
        </w:div>
        <w:div w:id="540019170">
          <w:marLeft w:val="1166"/>
          <w:marRight w:val="0"/>
          <w:marTop w:val="115"/>
          <w:marBottom w:val="0"/>
          <w:divBdr>
            <w:top w:val="none" w:sz="0" w:space="0" w:color="auto"/>
            <w:left w:val="none" w:sz="0" w:space="0" w:color="auto"/>
            <w:bottom w:val="none" w:sz="0" w:space="0" w:color="auto"/>
            <w:right w:val="none" w:sz="0" w:space="0" w:color="auto"/>
          </w:divBdr>
        </w:div>
        <w:div w:id="725642601">
          <w:marLeft w:val="547"/>
          <w:marRight w:val="0"/>
          <w:marTop w:val="134"/>
          <w:marBottom w:val="0"/>
          <w:divBdr>
            <w:top w:val="none" w:sz="0" w:space="0" w:color="auto"/>
            <w:left w:val="none" w:sz="0" w:space="0" w:color="auto"/>
            <w:bottom w:val="none" w:sz="0" w:space="0" w:color="auto"/>
            <w:right w:val="none" w:sz="0" w:space="0" w:color="auto"/>
          </w:divBdr>
        </w:div>
        <w:div w:id="764544834">
          <w:marLeft w:val="1166"/>
          <w:marRight w:val="0"/>
          <w:marTop w:val="115"/>
          <w:marBottom w:val="0"/>
          <w:divBdr>
            <w:top w:val="none" w:sz="0" w:space="0" w:color="auto"/>
            <w:left w:val="none" w:sz="0" w:space="0" w:color="auto"/>
            <w:bottom w:val="none" w:sz="0" w:space="0" w:color="auto"/>
            <w:right w:val="none" w:sz="0" w:space="0" w:color="auto"/>
          </w:divBdr>
        </w:div>
        <w:div w:id="1466973695">
          <w:marLeft w:val="1166"/>
          <w:marRight w:val="0"/>
          <w:marTop w:val="115"/>
          <w:marBottom w:val="0"/>
          <w:divBdr>
            <w:top w:val="none" w:sz="0" w:space="0" w:color="auto"/>
            <w:left w:val="none" w:sz="0" w:space="0" w:color="auto"/>
            <w:bottom w:val="none" w:sz="0" w:space="0" w:color="auto"/>
            <w:right w:val="none" w:sz="0" w:space="0" w:color="auto"/>
          </w:divBdr>
        </w:div>
      </w:divsChild>
    </w:div>
    <w:div w:id="2143958083">
      <w:bodyDiv w:val="1"/>
      <w:marLeft w:val="0"/>
      <w:marRight w:val="0"/>
      <w:marTop w:val="0"/>
      <w:marBottom w:val="0"/>
      <w:divBdr>
        <w:top w:val="none" w:sz="0" w:space="0" w:color="auto"/>
        <w:left w:val="none" w:sz="0" w:space="0" w:color="auto"/>
        <w:bottom w:val="none" w:sz="0" w:space="0" w:color="auto"/>
        <w:right w:val="none" w:sz="0" w:space="0" w:color="auto"/>
      </w:divBdr>
    </w:div>
    <w:div w:id="2144153261">
      <w:bodyDiv w:val="1"/>
      <w:marLeft w:val="0"/>
      <w:marRight w:val="0"/>
      <w:marTop w:val="0"/>
      <w:marBottom w:val="0"/>
      <w:divBdr>
        <w:top w:val="none" w:sz="0" w:space="0" w:color="auto"/>
        <w:left w:val="none" w:sz="0" w:space="0" w:color="auto"/>
        <w:bottom w:val="none" w:sz="0" w:space="0" w:color="auto"/>
        <w:right w:val="none" w:sz="0" w:space="0" w:color="auto"/>
      </w:divBdr>
      <w:divsChild>
        <w:div w:id="15543863">
          <w:marLeft w:val="547"/>
          <w:marRight w:val="0"/>
          <w:marTop w:val="96"/>
          <w:marBottom w:val="0"/>
          <w:divBdr>
            <w:top w:val="none" w:sz="0" w:space="0" w:color="auto"/>
            <w:left w:val="none" w:sz="0" w:space="0" w:color="auto"/>
            <w:bottom w:val="none" w:sz="0" w:space="0" w:color="auto"/>
            <w:right w:val="none" w:sz="0" w:space="0" w:color="auto"/>
          </w:divBdr>
        </w:div>
        <w:div w:id="305429500">
          <w:marLeft w:val="2520"/>
          <w:marRight w:val="0"/>
          <w:marTop w:val="67"/>
          <w:marBottom w:val="0"/>
          <w:divBdr>
            <w:top w:val="none" w:sz="0" w:space="0" w:color="auto"/>
            <w:left w:val="none" w:sz="0" w:space="0" w:color="auto"/>
            <w:bottom w:val="none" w:sz="0" w:space="0" w:color="auto"/>
            <w:right w:val="none" w:sz="0" w:space="0" w:color="auto"/>
          </w:divBdr>
        </w:div>
        <w:div w:id="317811106">
          <w:marLeft w:val="2520"/>
          <w:marRight w:val="0"/>
          <w:marTop w:val="67"/>
          <w:marBottom w:val="0"/>
          <w:divBdr>
            <w:top w:val="none" w:sz="0" w:space="0" w:color="auto"/>
            <w:left w:val="none" w:sz="0" w:space="0" w:color="auto"/>
            <w:bottom w:val="none" w:sz="0" w:space="0" w:color="auto"/>
            <w:right w:val="none" w:sz="0" w:space="0" w:color="auto"/>
          </w:divBdr>
        </w:div>
        <w:div w:id="667682428">
          <w:marLeft w:val="1800"/>
          <w:marRight w:val="0"/>
          <w:marTop w:val="120"/>
          <w:marBottom w:val="0"/>
          <w:divBdr>
            <w:top w:val="none" w:sz="0" w:space="0" w:color="auto"/>
            <w:left w:val="none" w:sz="0" w:space="0" w:color="auto"/>
            <w:bottom w:val="none" w:sz="0" w:space="0" w:color="auto"/>
            <w:right w:val="none" w:sz="0" w:space="0" w:color="auto"/>
          </w:divBdr>
        </w:div>
        <w:div w:id="810488045">
          <w:marLeft w:val="2520"/>
          <w:marRight w:val="0"/>
          <w:marTop w:val="67"/>
          <w:marBottom w:val="0"/>
          <w:divBdr>
            <w:top w:val="none" w:sz="0" w:space="0" w:color="auto"/>
            <w:left w:val="none" w:sz="0" w:space="0" w:color="auto"/>
            <w:bottom w:val="none" w:sz="0" w:space="0" w:color="auto"/>
            <w:right w:val="none" w:sz="0" w:space="0" w:color="auto"/>
          </w:divBdr>
        </w:div>
        <w:div w:id="971592131">
          <w:marLeft w:val="2520"/>
          <w:marRight w:val="0"/>
          <w:marTop w:val="67"/>
          <w:marBottom w:val="0"/>
          <w:divBdr>
            <w:top w:val="none" w:sz="0" w:space="0" w:color="auto"/>
            <w:left w:val="none" w:sz="0" w:space="0" w:color="auto"/>
            <w:bottom w:val="none" w:sz="0" w:space="0" w:color="auto"/>
            <w:right w:val="none" w:sz="0" w:space="0" w:color="auto"/>
          </w:divBdr>
        </w:div>
        <w:div w:id="1436513786">
          <w:marLeft w:val="2520"/>
          <w:marRight w:val="0"/>
          <w:marTop w:val="67"/>
          <w:marBottom w:val="0"/>
          <w:divBdr>
            <w:top w:val="none" w:sz="0" w:space="0" w:color="auto"/>
            <w:left w:val="none" w:sz="0" w:space="0" w:color="auto"/>
            <w:bottom w:val="none" w:sz="0" w:space="0" w:color="auto"/>
            <w:right w:val="none" w:sz="0" w:space="0" w:color="auto"/>
          </w:divBdr>
        </w:div>
        <w:div w:id="1488549765">
          <w:marLeft w:val="547"/>
          <w:marRight w:val="0"/>
          <w:marTop w:val="120"/>
          <w:marBottom w:val="0"/>
          <w:divBdr>
            <w:top w:val="none" w:sz="0" w:space="0" w:color="auto"/>
            <w:left w:val="none" w:sz="0" w:space="0" w:color="auto"/>
            <w:bottom w:val="none" w:sz="0" w:space="0" w:color="auto"/>
            <w:right w:val="none" w:sz="0" w:space="0" w:color="auto"/>
          </w:divBdr>
        </w:div>
        <w:div w:id="1631784864">
          <w:marLeft w:val="1166"/>
          <w:marRight w:val="0"/>
          <w:marTop w:val="77"/>
          <w:marBottom w:val="0"/>
          <w:divBdr>
            <w:top w:val="none" w:sz="0" w:space="0" w:color="auto"/>
            <w:left w:val="none" w:sz="0" w:space="0" w:color="auto"/>
            <w:bottom w:val="none" w:sz="0" w:space="0" w:color="auto"/>
            <w:right w:val="none" w:sz="0" w:space="0" w:color="auto"/>
          </w:divBdr>
        </w:div>
        <w:div w:id="1798062439">
          <w:marLeft w:val="2520"/>
          <w:marRight w:val="0"/>
          <w:marTop w:val="67"/>
          <w:marBottom w:val="0"/>
          <w:divBdr>
            <w:top w:val="none" w:sz="0" w:space="0" w:color="auto"/>
            <w:left w:val="none" w:sz="0" w:space="0" w:color="auto"/>
            <w:bottom w:val="none" w:sz="0" w:space="0" w:color="auto"/>
            <w:right w:val="none" w:sz="0" w:space="0" w:color="auto"/>
          </w:divBdr>
        </w:div>
        <w:div w:id="1804304024">
          <w:marLeft w:val="1166"/>
          <w:marRight w:val="0"/>
          <w:marTop w:val="77"/>
          <w:marBottom w:val="0"/>
          <w:divBdr>
            <w:top w:val="none" w:sz="0" w:space="0" w:color="auto"/>
            <w:left w:val="none" w:sz="0" w:space="0" w:color="auto"/>
            <w:bottom w:val="none" w:sz="0" w:space="0" w:color="auto"/>
            <w:right w:val="none" w:sz="0" w:space="0" w:color="auto"/>
          </w:divBdr>
        </w:div>
        <w:div w:id="1927811444">
          <w:marLeft w:val="1166"/>
          <w:marRight w:val="0"/>
          <w:marTop w:val="120"/>
          <w:marBottom w:val="0"/>
          <w:divBdr>
            <w:top w:val="none" w:sz="0" w:space="0" w:color="auto"/>
            <w:left w:val="none" w:sz="0" w:space="0" w:color="auto"/>
            <w:bottom w:val="none" w:sz="0" w:space="0" w:color="auto"/>
            <w:right w:val="none" w:sz="0" w:space="0" w:color="auto"/>
          </w:divBdr>
        </w:div>
        <w:div w:id="1979218082">
          <w:marLeft w:val="1166"/>
          <w:marRight w:val="0"/>
          <w:marTop w:val="77"/>
          <w:marBottom w:val="0"/>
          <w:divBdr>
            <w:top w:val="none" w:sz="0" w:space="0" w:color="auto"/>
            <w:left w:val="none" w:sz="0" w:space="0" w:color="auto"/>
            <w:bottom w:val="none" w:sz="0" w:space="0" w:color="auto"/>
            <w:right w:val="none" w:sz="0" w:space="0" w:color="auto"/>
          </w:divBdr>
        </w:div>
      </w:divsChild>
    </w:div>
    <w:div w:id="2144536003">
      <w:bodyDiv w:val="1"/>
      <w:marLeft w:val="0"/>
      <w:marRight w:val="0"/>
      <w:marTop w:val="0"/>
      <w:marBottom w:val="0"/>
      <w:divBdr>
        <w:top w:val="none" w:sz="0" w:space="0" w:color="auto"/>
        <w:left w:val="none" w:sz="0" w:space="0" w:color="auto"/>
        <w:bottom w:val="none" w:sz="0" w:space="0" w:color="auto"/>
        <w:right w:val="none" w:sz="0" w:space="0" w:color="auto"/>
      </w:divBdr>
      <w:divsChild>
        <w:div w:id="738018147">
          <w:marLeft w:val="360"/>
          <w:marRight w:val="0"/>
          <w:marTop w:val="200"/>
          <w:marBottom w:val="0"/>
          <w:divBdr>
            <w:top w:val="none" w:sz="0" w:space="0" w:color="auto"/>
            <w:left w:val="none" w:sz="0" w:space="0" w:color="auto"/>
            <w:bottom w:val="none" w:sz="0" w:space="0" w:color="auto"/>
            <w:right w:val="none" w:sz="0" w:space="0" w:color="auto"/>
          </w:divBdr>
        </w:div>
        <w:div w:id="930746539">
          <w:marLeft w:val="1080"/>
          <w:marRight w:val="0"/>
          <w:marTop w:val="100"/>
          <w:marBottom w:val="0"/>
          <w:divBdr>
            <w:top w:val="none" w:sz="0" w:space="0" w:color="auto"/>
            <w:left w:val="none" w:sz="0" w:space="0" w:color="auto"/>
            <w:bottom w:val="none" w:sz="0" w:space="0" w:color="auto"/>
            <w:right w:val="none" w:sz="0" w:space="0" w:color="auto"/>
          </w:divBdr>
        </w:div>
        <w:div w:id="1063793182">
          <w:marLeft w:val="1080"/>
          <w:marRight w:val="0"/>
          <w:marTop w:val="100"/>
          <w:marBottom w:val="0"/>
          <w:divBdr>
            <w:top w:val="none" w:sz="0" w:space="0" w:color="auto"/>
            <w:left w:val="none" w:sz="0" w:space="0" w:color="auto"/>
            <w:bottom w:val="none" w:sz="0" w:space="0" w:color="auto"/>
            <w:right w:val="none" w:sz="0" w:space="0" w:color="auto"/>
          </w:divBdr>
        </w:div>
        <w:div w:id="1433933032">
          <w:marLeft w:val="360"/>
          <w:marRight w:val="0"/>
          <w:marTop w:val="200"/>
          <w:marBottom w:val="0"/>
          <w:divBdr>
            <w:top w:val="none" w:sz="0" w:space="0" w:color="auto"/>
            <w:left w:val="none" w:sz="0" w:space="0" w:color="auto"/>
            <w:bottom w:val="none" w:sz="0" w:space="0" w:color="auto"/>
            <w:right w:val="none" w:sz="0" w:space="0" w:color="auto"/>
          </w:divBdr>
        </w:div>
        <w:div w:id="1479229547">
          <w:marLeft w:val="1080"/>
          <w:marRight w:val="0"/>
          <w:marTop w:val="100"/>
          <w:marBottom w:val="0"/>
          <w:divBdr>
            <w:top w:val="none" w:sz="0" w:space="0" w:color="auto"/>
            <w:left w:val="none" w:sz="0" w:space="0" w:color="auto"/>
            <w:bottom w:val="none" w:sz="0" w:space="0" w:color="auto"/>
            <w:right w:val="none" w:sz="0" w:space="0" w:color="auto"/>
          </w:divBdr>
        </w:div>
        <w:div w:id="1705866140">
          <w:marLeft w:val="1080"/>
          <w:marRight w:val="0"/>
          <w:marTop w:val="100"/>
          <w:marBottom w:val="0"/>
          <w:divBdr>
            <w:top w:val="none" w:sz="0" w:space="0" w:color="auto"/>
            <w:left w:val="none" w:sz="0" w:space="0" w:color="auto"/>
            <w:bottom w:val="none" w:sz="0" w:space="0" w:color="auto"/>
            <w:right w:val="none" w:sz="0" w:space="0" w:color="auto"/>
          </w:divBdr>
        </w:div>
        <w:div w:id="2096390251">
          <w:marLeft w:val="1080"/>
          <w:marRight w:val="0"/>
          <w:marTop w:val="100"/>
          <w:marBottom w:val="0"/>
          <w:divBdr>
            <w:top w:val="none" w:sz="0" w:space="0" w:color="auto"/>
            <w:left w:val="none" w:sz="0" w:space="0" w:color="auto"/>
            <w:bottom w:val="none" w:sz="0" w:space="0" w:color="auto"/>
            <w:right w:val="none" w:sz="0" w:space="0" w:color="auto"/>
          </w:divBdr>
        </w:div>
      </w:divsChild>
    </w:div>
    <w:div w:id="2145080813">
      <w:bodyDiv w:val="1"/>
      <w:marLeft w:val="0"/>
      <w:marRight w:val="0"/>
      <w:marTop w:val="0"/>
      <w:marBottom w:val="0"/>
      <w:divBdr>
        <w:top w:val="none" w:sz="0" w:space="0" w:color="auto"/>
        <w:left w:val="none" w:sz="0" w:space="0" w:color="auto"/>
        <w:bottom w:val="none" w:sz="0" w:space="0" w:color="auto"/>
        <w:right w:val="none" w:sz="0" w:space="0" w:color="auto"/>
      </w:divBdr>
    </w:div>
    <w:div w:id="2145273113">
      <w:bodyDiv w:val="1"/>
      <w:marLeft w:val="0"/>
      <w:marRight w:val="0"/>
      <w:marTop w:val="0"/>
      <w:marBottom w:val="0"/>
      <w:divBdr>
        <w:top w:val="none" w:sz="0" w:space="0" w:color="auto"/>
        <w:left w:val="none" w:sz="0" w:space="0" w:color="auto"/>
        <w:bottom w:val="none" w:sz="0" w:space="0" w:color="auto"/>
        <w:right w:val="none" w:sz="0" w:space="0" w:color="auto"/>
      </w:divBdr>
    </w:div>
    <w:div w:id="2145463852">
      <w:bodyDiv w:val="1"/>
      <w:marLeft w:val="0"/>
      <w:marRight w:val="0"/>
      <w:marTop w:val="0"/>
      <w:marBottom w:val="0"/>
      <w:divBdr>
        <w:top w:val="none" w:sz="0" w:space="0" w:color="auto"/>
        <w:left w:val="none" w:sz="0" w:space="0" w:color="auto"/>
        <w:bottom w:val="none" w:sz="0" w:space="0" w:color="auto"/>
        <w:right w:val="none" w:sz="0" w:space="0" w:color="auto"/>
      </w:divBdr>
    </w:div>
    <w:div w:id="2147165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1.png"/><Relationship Id="rId18" Type="http://schemas.openxmlformats.org/officeDocument/2006/relationships/hyperlink" Target="file:///C:/3GPP/RAN1_Meetings/Tdocs/2022/R1-2208370.zip" TargetMode="External"/><Relationship Id="rId26" Type="http://schemas.openxmlformats.org/officeDocument/2006/relationships/hyperlink" Target="file:///C:/3GPP/RAN1_Meetings/Tdocs/2022/R1-2209054.zip" TargetMode="External"/><Relationship Id="rId39" Type="http://schemas.openxmlformats.org/officeDocument/2006/relationships/hyperlink" Target="file:///C:/3GPP/RAN1_Meetings/Tdocs/2022/R1-2210271.zip" TargetMode="External"/><Relationship Id="rId21" Type="http://schemas.openxmlformats.org/officeDocument/2006/relationships/hyperlink" Target="file:///C:/3GPP/RAN1_Meetings/Tdocs/2022/R1-2208643.zip" TargetMode="External"/><Relationship Id="rId34" Type="http://schemas.openxmlformats.org/officeDocument/2006/relationships/hyperlink" Target="file:///C:/3GPP/RAN1_Meetings/Tdocs/2022/R1-2209338.zip" TargetMode="External"/><Relationship Id="rId42" Type="http://schemas.openxmlformats.org/officeDocument/2006/relationships/hyperlink" Target="file:///C:/3GPP/RAN1_Meetings/Tdocs/2022/R1-2209659.zip" TargetMode="External"/><Relationship Id="rId47" Type="http://schemas.openxmlformats.org/officeDocument/2006/relationships/hyperlink" Target="file:///C:/3GPP/RAN1_Meetings/Tdocs/2022/R1-2209904.zip" TargetMode="External"/><Relationship Id="rId50" Type="http://schemas.openxmlformats.org/officeDocument/2006/relationships/hyperlink" Target="file:///C:/3GPP/RAN1_Meetings/Tdocs/2022/R1-2210082.zip" TargetMode="External"/><Relationship Id="rId55" Type="http://schemas.openxmlformats.org/officeDocument/2006/relationships/hyperlink" Target="mailto:gchisci@qti.qualcomm.com" TargetMode="External"/><Relationship Id="rId63" Type="http://schemas.openxmlformats.org/officeDocument/2006/relationships/hyperlink" Target="mailto:sarun.selvanesan@hhi.fraunhofer.de" TargetMode="External"/><Relationship Id="rId68" Type="http://schemas.openxmlformats.org/officeDocument/2006/relationships/image" Target="media/image5.png"/><Relationship Id="rId7" Type="http://schemas.openxmlformats.org/officeDocument/2006/relationships/numbering" Target="numbering.xml"/><Relationship Id="rId71"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s://www.3gpp.org/ftp/tsg_ran/TSG_RAN/TSGR_97e/Docs/RP-221938.zip" TargetMode="External"/><Relationship Id="rId29" Type="http://schemas.openxmlformats.org/officeDocument/2006/relationships/hyperlink" Target="file:///C:/3GPP/RAN1_Meetings/Tdocs/2022/R1-2209148.zip" TargetMode="Externa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yperlink" Target="file:///C:/3GPP/RAN1_Meetings/Tdocs/2022/R1-2208976.zip" TargetMode="External"/><Relationship Id="rId32" Type="http://schemas.openxmlformats.org/officeDocument/2006/relationships/hyperlink" Target="file:///C:/3GPP/RAN1_Meetings/Tdocs/2022/R1-2209286.zip" TargetMode="External"/><Relationship Id="rId37" Type="http://schemas.openxmlformats.org/officeDocument/2006/relationships/hyperlink" Target="file:///C:/3GPP/RAN1_Meetings/Tdocs/2022/R1-2209478.zip" TargetMode="External"/><Relationship Id="rId40" Type="http://schemas.openxmlformats.org/officeDocument/2006/relationships/hyperlink" Target="file:///C:/3GPP/RAN1_Meetings/Tdocs/2022/R1-2209585.zip" TargetMode="External"/><Relationship Id="rId45" Type="http://schemas.openxmlformats.org/officeDocument/2006/relationships/hyperlink" Target="file:///C:/3GPP/RAN1_Meetings/Tdocs/2022/R1-2209775.zip" TargetMode="External"/><Relationship Id="rId53" Type="http://schemas.openxmlformats.org/officeDocument/2006/relationships/hyperlink" Target="mailto:Kevin.lin@oppo.com" TargetMode="External"/><Relationship Id="rId58" Type="http://schemas.openxmlformats.org/officeDocument/2006/relationships/hyperlink" Target="mailto:wanghuan@vivo.com" TargetMode="External"/><Relationship Id="rId66" Type="http://schemas.openxmlformats.org/officeDocument/2006/relationships/hyperlink" Target="mailto:Huaning_niu@apple.com" TargetMode="External"/><Relationship Id="rId5" Type="http://schemas.openxmlformats.org/officeDocument/2006/relationships/customXml" Target="../customXml/item4.xml"/><Relationship Id="rId15" Type="http://schemas.openxmlformats.org/officeDocument/2006/relationships/image" Target="media/image3.png"/><Relationship Id="rId23" Type="http://schemas.openxmlformats.org/officeDocument/2006/relationships/hyperlink" Target="file:///C:/3GPP/RAN1_Meetings/Tdocs/2022/R1-2208822.zip" TargetMode="External"/><Relationship Id="rId28" Type="http://schemas.openxmlformats.org/officeDocument/2006/relationships/hyperlink" Target="file:///C:/3GPP/RAN1_Meetings/Tdocs/2022/R1-2209101.zip" TargetMode="External"/><Relationship Id="rId36" Type="http://schemas.openxmlformats.org/officeDocument/2006/relationships/hyperlink" Target="file:///C:/3GPP/RAN1_Meetings/Tdocs/2022/R1-2209417.zip" TargetMode="External"/><Relationship Id="rId49" Type="http://schemas.openxmlformats.org/officeDocument/2006/relationships/hyperlink" Target="file:///C:/3GPP/RAN1_Meetings/Tdocs/2022/R1-2210074.zip" TargetMode="External"/><Relationship Id="rId57" Type="http://schemas.openxmlformats.org/officeDocument/2006/relationships/hyperlink" Target="mailto:jipengyu@chinamobile.com" TargetMode="External"/><Relationship Id="rId61" Type="http://schemas.openxmlformats.org/officeDocument/2006/relationships/hyperlink" Target="mailto:Torsten.wildschek@nokia.com" TargetMode="External"/><Relationship Id="rId10" Type="http://schemas.openxmlformats.org/officeDocument/2006/relationships/webSettings" Target="webSettings.xml"/><Relationship Id="rId19" Type="http://schemas.openxmlformats.org/officeDocument/2006/relationships/hyperlink" Target="file:///C:/3GPP/RAN1_Meetings/Tdocs/2022/R1-2208448.zip" TargetMode="External"/><Relationship Id="rId31" Type="http://schemas.openxmlformats.org/officeDocument/2006/relationships/hyperlink" Target="file:///C:/3GPP/RAN1_Meetings/Tdocs/2022/R1-2209236.zip" TargetMode="External"/><Relationship Id="rId44" Type="http://schemas.openxmlformats.org/officeDocument/2006/relationships/hyperlink" Target="file:///C:/3GPP/RAN1_Meetings/Tdocs/2022/R1-2209767.zip" TargetMode="External"/><Relationship Id="rId52" Type="http://schemas.openxmlformats.org/officeDocument/2006/relationships/hyperlink" Target="file:///C:/3GPP/RAN1_Meetings/Tdocs/2022/R1-2210139.zip" TargetMode="External"/><Relationship Id="rId60" Type="http://schemas.openxmlformats.org/officeDocument/2006/relationships/hyperlink" Target="mailto:timo.lunttila@nokia.com" TargetMode="External"/><Relationship Id="rId65" Type="http://schemas.openxmlformats.org/officeDocument/2006/relationships/hyperlink" Target="mailto:Tao.chen@mediatek.com" TargetMode="Externa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hyperlink" Target="file:///C:/3GPP/RAN1_Meetings/Tdocs/2022/R1-2208722.zip" TargetMode="External"/><Relationship Id="rId27" Type="http://schemas.openxmlformats.org/officeDocument/2006/relationships/hyperlink" Target="file:///C:/3GPP/RAN1_Meetings/Tdocs/2022/R1-2209081.zip" TargetMode="External"/><Relationship Id="rId30" Type="http://schemas.openxmlformats.org/officeDocument/2006/relationships/hyperlink" Target="file:///C:/3GPP/RAN1_Meetings/Tdocs/2022/R1-2209167.zip" TargetMode="External"/><Relationship Id="rId35" Type="http://schemas.openxmlformats.org/officeDocument/2006/relationships/hyperlink" Target="file:///C:/3GPP/RAN1_Meetings/Tdocs/2022/R1-2209404.zip" TargetMode="External"/><Relationship Id="rId43" Type="http://schemas.openxmlformats.org/officeDocument/2006/relationships/hyperlink" Target="file:///C:/3GPP/RAN1_Meetings/Tdocs/2022/R1-2209731.zip" TargetMode="External"/><Relationship Id="rId48" Type="http://schemas.openxmlformats.org/officeDocument/2006/relationships/hyperlink" Target="file:///C:/3GPP/RAN1_Meetings/Tdocs/2022/R1-2209985.zip" TargetMode="External"/><Relationship Id="rId56" Type="http://schemas.openxmlformats.org/officeDocument/2006/relationships/hyperlink" Target="mailto:sstefana@qti.qualcomm.com" TargetMode="External"/><Relationship Id="rId64" Type="http://schemas.openxmlformats.org/officeDocument/2006/relationships/hyperlink" Target="mailto:miao_zhaobang@nec.cn" TargetMode="External"/><Relationship Id="rId69" Type="http://schemas.openxmlformats.org/officeDocument/2006/relationships/fontTable" Target="fontTable.xml"/><Relationship Id="rId8" Type="http://schemas.openxmlformats.org/officeDocument/2006/relationships/styles" Target="styles.xml"/><Relationship Id="rId51" Type="http://schemas.openxmlformats.org/officeDocument/2006/relationships/hyperlink" Target="file:///C:/3GPP/RAN1_Meetings/Tdocs/2022/R1-2210132.zip" TargetMode="External"/><Relationship Id="rId3" Type="http://schemas.openxmlformats.org/officeDocument/2006/relationships/customXml" Target="../customXml/item2.xml"/><Relationship Id="rId12" Type="http://schemas.openxmlformats.org/officeDocument/2006/relationships/endnotes" Target="endnotes.xml"/><Relationship Id="rId17" Type="http://schemas.openxmlformats.org/officeDocument/2006/relationships/hyperlink" Target="file:///C:/3GPP/RAN1_Meetings/Tdocs/2022/R1-2208356.zip" TargetMode="External"/><Relationship Id="rId25" Type="http://schemas.openxmlformats.org/officeDocument/2006/relationships/hyperlink" Target="file:///C:/3GPP/RAN1_Meetings/Tdocs/2022/R1-2209017.zip" TargetMode="External"/><Relationship Id="rId33" Type="http://schemas.openxmlformats.org/officeDocument/2006/relationships/hyperlink" Target="file:///C:/3GPP/RAN1_Meetings/Tdocs/2022/R1-2209301.zip" TargetMode="External"/><Relationship Id="rId38" Type="http://schemas.openxmlformats.org/officeDocument/2006/relationships/hyperlink" Target="file:///C:/3GPP/RAN1_Meetings/Tdocs/2022/R1-2209529.zip" TargetMode="External"/><Relationship Id="rId46" Type="http://schemas.openxmlformats.org/officeDocument/2006/relationships/hyperlink" Target="file:///C:/3GPP/RAN1_Meetings/Tdocs/2022/R1-2209780.zip" TargetMode="External"/><Relationship Id="rId59" Type="http://schemas.openxmlformats.org/officeDocument/2006/relationships/hyperlink" Target="mailto:jizichao@vivo.com" TargetMode="External"/><Relationship Id="rId67" Type="http://schemas.openxmlformats.org/officeDocument/2006/relationships/image" Target="media/image4.png"/><Relationship Id="rId20" Type="http://schemas.openxmlformats.org/officeDocument/2006/relationships/hyperlink" Target="file:///C:/3GPP/RAN1_Meetings/Tdocs/2022/R1-2208554.zip" TargetMode="External"/><Relationship Id="rId41" Type="http://schemas.openxmlformats.org/officeDocument/2006/relationships/hyperlink" Target="file:///C:/3GPP/RAN1_Meetings/Tdocs/2022/R1-2209646.zip" TargetMode="External"/><Relationship Id="rId54" Type="http://schemas.openxmlformats.org/officeDocument/2006/relationships/hyperlink" Target="mailto:zhaozhenshan@oppo.com" TargetMode="External"/><Relationship Id="rId62" Type="http://schemas.openxmlformats.org/officeDocument/2006/relationships/hyperlink" Target="mailto:Naizheng.zheng@nokia" TargetMode="External"/><Relationship Id="rId7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4302797064FB946934CB06279B745B9" ma:contentTypeVersion="19" ma:contentTypeDescription="Create a new document." ma:contentTypeScope="" ma:versionID="3d6dbb6a2e365cbbb008932c2c1f3560">
  <xsd:schema xmlns:xsd="http://www.w3.org/2001/XMLSchema" xmlns:xs="http://www.w3.org/2001/XMLSchema" xmlns:p="http://schemas.microsoft.com/office/2006/metadata/properties" xmlns:ns2="401a1e0c-8dbe-4950-85d1-4031081349ee" xmlns:ns3="70022ec0-f71b-42b8-9339-c4cd9c357019" targetNamespace="http://schemas.microsoft.com/office/2006/metadata/properties" ma:root="true" ma:fieldsID="40157398a888a42dedba6ee1f9a5e30d" ns2:_="" ns3:_="">
    <xsd:import namespace="401a1e0c-8dbe-4950-85d1-4031081349ee"/>
    <xsd:import namespace="70022ec0-f71b-42b8-9339-c4cd9c357019"/>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2:SharedWithUsers" minOccurs="0"/>
                <xsd:element ref="ns2:SharedWithDetails" minOccurs="0"/>
                <xsd:element ref="ns3:MediaLengthInSeconds" minOccurs="0"/>
                <xsd:element ref="ns3:MediaServiceAutoTags" minOccurs="0"/>
                <xsd:element ref="ns3:MediaServiceLocation" minOccurs="0"/>
                <xsd:element ref="ns3:MediaServiceGenerationTime" minOccurs="0"/>
                <xsd:element ref="ns3:MediaServiceEventHashCode"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01a1e0c-8dbe-4950-85d1-4031081349ee"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0022ec0-f71b-42b8-9339-c4cd9c357019"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MediaServiceAutoTags" ma:index="19" nillable="true" ma:displayName="Tags" ma:internalName="MediaServiceAutoTags"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OCR" ma:index="23"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file>

<file path=customXml/item3.xml><?xml version="1.0" encoding="utf-8"?>
<p:properties xmlns:p="http://schemas.microsoft.com/office/2006/metadata/properties" xmlns:xsi="http://www.w3.org/2001/XMLSchema-instance" xmlns:pc="http://schemas.microsoft.com/office/infopath/2007/PartnerControls">
  <documentManagement>
    <_dlc_DocId xmlns="401a1e0c-8dbe-4950-85d1-4031081349ee">3EQ6UJ4K66FU-702124171-43667</_dlc_DocId>
    <_dlc_DocIdUrl xmlns="401a1e0c-8dbe-4950-85d1-4031081349ee">
      <Url>https://qualcomm.sharepoint.com/teams/meridian1/_layouts/15/DocIdRedir.aspx?ID=3EQ6UJ4K66FU-702124171-43667</Url>
      <Description>3EQ6UJ4K66FU-702124171-43667</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480EED-D4E5-4389-A904-0B4E70F00E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01a1e0c-8dbe-4950-85d1-4031081349ee"/>
    <ds:schemaRef ds:uri="70022ec0-f71b-42b8-9339-c4cd9c35701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1B6193E-2DDF-467E-BAAE-50D229B08386}">
  <ds:schemaRefs>
    <ds:schemaRef ds:uri="http://schemas.microsoft.com/sharepoint/v3/contenttype/forms"/>
  </ds:schemaRefs>
</ds:datastoreItem>
</file>

<file path=customXml/itemProps3.xml><?xml version="1.0" encoding="utf-8"?>
<ds:datastoreItem xmlns:ds="http://schemas.openxmlformats.org/officeDocument/2006/customXml" ds:itemID="{48A3F8BF-12C5-4D9E-AAC5-65C904E1908F}">
  <ds:schemaRefs>
    <ds:schemaRef ds:uri="http://schemas.microsoft.com/office/2006/metadata/properties"/>
    <ds:schemaRef ds:uri="http://schemas.microsoft.com/office/infopath/2007/PartnerControls"/>
    <ds:schemaRef ds:uri="401a1e0c-8dbe-4950-85d1-4031081349ee"/>
  </ds:schemaRefs>
</ds:datastoreItem>
</file>

<file path=customXml/itemProps4.xml><?xml version="1.0" encoding="utf-8"?>
<ds:datastoreItem xmlns:ds="http://schemas.openxmlformats.org/officeDocument/2006/customXml" ds:itemID="{89FE9F7C-5719-402D-91A8-C5A7FB95A99D}">
  <ds:schemaRefs>
    <ds:schemaRef ds:uri="http://schemas.microsoft.com/sharepoint/events"/>
  </ds:schemaRefs>
</ds:datastoreItem>
</file>

<file path=customXml/itemProps5.xml><?xml version="1.0" encoding="utf-8"?>
<ds:datastoreItem xmlns:ds="http://schemas.openxmlformats.org/officeDocument/2006/customXml" ds:itemID="{51B350EC-7E52-4697-AB2D-9B80B1B615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contribution</Template>
  <TotalTime>0</TotalTime>
  <Pages>114</Pages>
  <Words>52143</Words>
  <Characters>297217</Characters>
  <Application>Microsoft Office Word</Application>
  <DocSecurity>0</DocSecurity>
  <Lines>2476</Lines>
  <Paragraphs>697</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FL summary for AI 9.4.1.1: SL-U channel access mechanism</vt:lpstr>
      <vt:lpstr>FL summary for AI 9.4.1.1: SL-U channel access mechanism</vt:lpstr>
      <vt:lpstr>RAN1 Chairman's Notes RAN1 NR#3</vt:lpstr>
    </vt:vector>
  </TitlesOfParts>
  <Company/>
  <LinksUpToDate>false</LinksUpToDate>
  <CharactersWithSpaces>348663</CharactersWithSpaces>
  <SharedDoc>false</SharedDoc>
  <HLinks>
    <vt:vector size="186" baseType="variant">
      <vt:variant>
        <vt:i4>2949198</vt:i4>
      </vt:variant>
      <vt:variant>
        <vt:i4>90</vt:i4>
      </vt:variant>
      <vt:variant>
        <vt:i4>0</vt:i4>
      </vt:variant>
      <vt:variant>
        <vt:i4>5</vt:i4>
      </vt:variant>
      <vt:variant>
        <vt:lpwstr>C:\My_documents\3gppDocs\RAN1_96bis\zips\R1-1905477.zip</vt:lpwstr>
      </vt:variant>
      <vt:variant>
        <vt:lpwstr/>
      </vt:variant>
      <vt:variant>
        <vt:i4>2687040</vt:i4>
      </vt:variant>
      <vt:variant>
        <vt:i4>87</vt:i4>
      </vt:variant>
      <vt:variant>
        <vt:i4>0</vt:i4>
      </vt:variant>
      <vt:variant>
        <vt:i4>5</vt:i4>
      </vt:variant>
      <vt:variant>
        <vt:lpwstr>C:\My_documents\3gppDocs\RAN1_96bis\zips\R1-1905439.zip</vt:lpwstr>
      </vt:variant>
      <vt:variant>
        <vt:lpwstr/>
      </vt:variant>
      <vt:variant>
        <vt:i4>2621514</vt:i4>
      </vt:variant>
      <vt:variant>
        <vt:i4>84</vt:i4>
      </vt:variant>
      <vt:variant>
        <vt:i4>0</vt:i4>
      </vt:variant>
      <vt:variant>
        <vt:i4>5</vt:i4>
      </vt:variant>
      <vt:variant>
        <vt:lpwstr>C:\My_documents\3gppDocs\RAN1_96bis\zips\R1-1905423.zip</vt:lpwstr>
      </vt:variant>
      <vt:variant>
        <vt:lpwstr/>
      </vt:variant>
      <vt:variant>
        <vt:i4>2818122</vt:i4>
      </vt:variant>
      <vt:variant>
        <vt:i4>81</vt:i4>
      </vt:variant>
      <vt:variant>
        <vt:i4>0</vt:i4>
      </vt:variant>
      <vt:variant>
        <vt:i4>5</vt:i4>
      </vt:variant>
      <vt:variant>
        <vt:lpwstr>C:\My_documents\3gppDocs\RAN1_96bis\zips\R1-1905413.zip</vt:lpwstr>
      </vt:variant>
      <vt:variant>
        <vt:lpwstr/>
      </vt:variant>
      <vt:variant>
        <vt:i4>2752587</vt:i4>
      </vt:variant>
      <vt:variant>
        <vt:i4>78</vt:i4>
      </vt:variant>
      <vt:variant>
        <vt:i4>0</vt:i4>
      </vt:variant>
      <vt:variant>
        <vt:i4>5</vt:i4>
      </vt:variant>
      <vt:variant>
        <vt:lpwstr>C:\My_documents\3gppDocs\RAN1_96bis\zips\R1-1905402.zip</vt:lpwstr>
      </vt:variant>
      <vt:variant>
        <vt:lpwstr/>
      </vt:variant>
      <vt:variant>
        <vt:i4>2293837</vt:i4>
      </vt:variant>
      <vt:variant>
        <vt:i4>75</vt:i4>
      </vt:variant>
      <vt:variant>
        <vt:i4>0</vt:i4>
      </vt:variant>
      <vt:variant>
        <vt:i4>5</vt:i4>
      </vt:variant>
      <vt:variant>
        <vt:lpwstr>C:\My_documents\3gppDocs\RAN1_96bis\zips\R1-1905393.zip</vt:lpwstr>
      </vt:variant>
      <vt:variant>
        <vt:lpwstr/>
      </vt:variant>
      <vt:variant>
        <vt:i4>2228303</vt:i4>
      </vt:variant>
      <vt:variant>
        <vt:i4>72</vt:i4>
      </vt:variant>
      <vt:variant>
        <vt:i4>0</vt:i4>
      </vt:variant>
      <vt:variant>
        <vt:i4>5</vt:i4>
      </vt:variant>
      <vt:variant>
        <vt:lpwstr>C:\My_documents\3gppDocs\RAN1_96bis\zips\R1-1905381.zip</vt:lpwstr>
      </vt:variant>
      <vt:variant>
        <vt:lpwstr/>
      </vt:variant>
      <vt:variant>
        <vt:i4>2949195</vt:i4>
      </vt:variant>
      <vt:variant>
        <vt:i4>69</vt:i4>
      </vt:variant>
      <vt:variant>
        <vt:i4>0</vt:i4>
      </vt:variant>
      <vt:variant>
        <vt:i4>5</vt:i4>
      </vt:variant>
      <vt:variant>
        <vt:lpwstr>C:\My_documents\3gppDocs\RAN1_96bis\zips\R1-1905375.zip</vt:lpwstr>
      </vt:variant>
      <vt:variant>
        <vt:lpwstr/>
      </vt:variant>
      <vt:variant>
        <vt:i4>3080269</vt:i4>
      </vt:variant>
      <vt:variant>
        <vt:i4>66</vt:i4>
      </vt:variant>
      <vt:variant>
        <vt:i4>0</vt:i4>
      </vt:variant>
      <vt:variant>
        <vt:i4>5</vt:i4>
      </vt:variant>
      <vt:variant>
        <vt:lpwstr>C:\My_documents\3gppDocs\RAN1_96bis\zips\R1-1905353.zip</vt:lpwstr>
      </vt:variant>
      <vt:variant>
        <vt:lpwstr/>
      </vt:variant>
      <vt:variant>
        <vt:i4>3014732</vt:i4>
      </vt:variant>
      <vt:variant>
        <vt:i4>63</vt:i4>
      </vt:variant>
      <vt:variant>
        <vt:i4>0</vt:i4>
      </vt:variant>
      <vt:variant>
        <vt:i4>5</vt:i4>
      </vt:variant>
      <vt:variant>
        <vt:lpwstr>C:\My_documents\3gppDocs\RAN1_96bis\zips\R1-1905342.zip</vt:lpwstr>
      </vt:variant>
      <vt:variant>
        <vt:lpwstr/>
      </vt:variant>
      <vt:variant>
        <vt:i4>2687050</vt:i4>
      </vt:variant>
      <vt:variant>
        <vt:i4>60</vt:i4>
      </vt:variant>
      <vt:variant>
        <vt:i4>0</vt:i4>
      </vt:variant>
      <vt:variant>
        <vt:i4>5</vt:i4>
      </vt:variant>
      <vt:variant>
        <vt:lpwstr>C:\My_documents\3gppDocs\RAN1_96bis\zips\R1-1905334.zip</vt:lpwstr>
      </vt:variant>
      <vt:variant>
        <vt:lpwstr/>
      </vt:variant>
      <vt:variant>
        <vt:i4>3080265</vt:i4>
      </vt:variant>
      <vt:variant>
        <vt:i4>57</vt:i4>
      </vt:variant>
      <vt:variant>
        <vt:i4>0</vt:i4>
      </vt:variant>
      <vt:variant>
        <vt:i4>5</vt:i4>
      </vt:variant>
      <vt:variant>
        <vt:lpwstr>C:\My_documents\3gppDocs\RAN1_96bis\zips\R1-1905155.zip</vt:lpwstr>
      </vt:variant>
      <vt:variant>
        <vt:lpwstr/>
      </vt:variant>
      <vt:variant>
        <vt:i4>2228297</vt:i4>
      </vt:variant>
      <vt:variant>
        <vt:i4>54</vt:i4>
      </vt:variant>
      <vt:variant>
        <vt:i4>0</vt:i4>
      </vt:variant>
      <vt:variant>
        <vt:i4>5</vt:i4>
      </vt:variant>
      <vt:variant>
        <vt:lpwstr>C:\My_documents\3gppDocs\RAN1_96bis\zips\R1-1905084.zip</vt:lpwstr>
      </vt:variant>
      <vt:variant>
        <vt:lpwstr/>
      </vt:variant>
      <vt:variant>
        <vt:i4>2949194</vt:i4>
      </vt:variant>
      <vt:variant>
        <vt:i4>51</vt:i4>
      </vt:variant>
      <vt:variant>
        <vt:i4>0</vt:i4>
      </vt:variant>
      <vt:variant>
        <vt:i4>5</vt:i4>
      </vt:variant>
      <vt:variant>
        <vt:lpwstr>C:\My_documents\3gppDocs\RAN1_96bis\zips\R1-1905077.zip</vt:lpwstr>
      </vt:variant>
      <vt:variant>
        <vt:lpwstr/>
      </vt:variant>
      <vt:variant>
        <vt:i4>2949199</vt:i4>
      </vt:variant>
      <vt:variant>
        <vt:i4>48</vt:i4>
      </vt:variant>
      <vt:variant>
        <vt:i4>0</vt:i4>
      </vt:variant>
      <vt:variant>
        <vt:i4>5</vt:i4>
      </vt:variant>
      <vt:variant>
        <vt:lpwstr>C:\My_documents\3gppDocs\RAN1_96bis\zips\R1-1905072.zip</vt:lpwstr>
      </vt:variant>
      <vt:variant>
        <vt:lpwstr/>
      </vt:variant>
      <vt:variant>
        <vt:i4>2752580</vt:i4>
      </vt:variant>
      <vt:variant>
        <vt:i4>45</vt:i4>
      </vt:variant>
      <vt:variant>
        <vt:i4>0</vt:i4>
      </vt:variant>
      <vt:variant>
        <vt:i4>5</vt:i4>
      </vt:variant>
      <vt:variant>
        <vt:lpwstr>C:\My_documents\3gppDocs\RAN1_96bis\zips\R1-1905009.zip</vt:lpwstr>
      </vt:variant>
      <vt:variant>
        <vt:lpwstr/>
      </vt:variant>
      <vt:variant>
        <vt:i4>2883649</vt:i4>
      </vt:variant>
      <vt:variant>
        <vt:i4>42</vt:i4>
      </vt:variant>
      <vt:variant>
        <vt:i4>0</vt:i4>
      </vt:variant>
      <vt:variant>
        <vt:i4>5</vt:i4>
      </vt:variant>
      <vt:variant>
        <vt:lpwstr>C:\My_documents\3gppDocs\RAN1_96bis\zips\R1-1904975.zip</vt:lpwstr>
      </vt:variant>
      <vt:variant>
        <vt:lpwstr/>
      </vt:variant>
      <vt:variant>
        <vt:i4>2687046</vt:i4>
      </vt:variant>
      <vt:variant>
        <vt:i4>39</vt:i4>
      </vt:variant>
      <vt:variant>
        <vt:i4>0</vt:i4>
      </vt:variant>
      <vt:variant>
        <vt:i4>5</vt:i4>
      </vt:variant>
      <vt:variant>
        <vt:lpwstr>C:\My_documents\3gppDocs\RAN1_96bis\zips\R1-1904922.zip</vt:lpwstr>
      </vt:variant>
      <vt:variant>
        <vt:lpwstr/>
      </vt:variant>
      <vt:variant>
        <vt:i4>2687044</vt:i4>
      </vt:variant>
      <vt:variant>
        <vt:i4>36</vt:i4>
      </vt:variant>
      <vt:variant>
        <vt:i4>0</vt:i4>
      </vt:variant>
      <vt:variant>
        <vt:i4>5</vt:i4>
      </vt:variant>
      <vt:variant>
        <vt:lpwstr>C:\My_documents\3gppDocs\RAN1_96bis\zips\R1-1904821.zip</vt:lpwstr>
      </vt:variant>
      <vt:variant>
        <vt:lpwstr/>
      </vt:variant>
      <vt:variant>
        <vt:i4>2818114</vt:i4>
      </vt:variant>
      <vt:variant>
        <vt:i4>33</vt:i4>
      </vt:variant>
      <vt:variant>
        <vt:i4>0</vt:i4>
      </vt:variant>
      <vt:variant>
        <vt:i4>5</vt:i4>
      </vt:variant>
      <vt:variant>
        <vt:lpwstr>C:\My_documents\3gppDocs\RAN1_96bis\zips\R1-1904807.zip</vt:lpwstr>
      </vt:variant>
      <vt:variant>
        <vt:lpwstr/>
      </vt:variant>
      <vt:variant>
        <vt:i4>2228300</vt:i4>
      </vt:variant>
      <vt:variant>
        <vt:i4>30</vt:i4>
      </vt:variant>
      <vt:variant>
        <vt:i4>0</vt:i4>
      </vt:variant>
      <vt:variant>
        <vt:i4>5</vt:i4>
      </vt:variant>
      <vt:variant>
        <vt:lpwstr>C:\My_documents\3gppDocs\RAN1_96bis\zips\R1-1904796.zip</vt:lpwstr>
      </vt:variant>
      <vt:variant>
        <vt:lpwstr/>
      </vt:variant>
      <vt:variant>
        <vt:i4>2687043</vt:i4>
      </vt:variant>
      <vt:variant>
        <vt:i4>27</vt:i4>
      </vt:variant>
      <vt:variant>
        <vt:i4>0</vt:i4>
      </vt:variant>
      <vt:variant>
        <vt:i4>5</vt:i4>
      </vt:variant>
      <vt:variant>
        <vt:lpwstr>C:\My_documents\3gppDocs\RAN1_96bis\zips\R1-1904729.zip</vt:lpwstr>
      </vt:variant>
      <vt:variant>
        <vt:lpwstr/>
      </vt:variant>
      <vt:variant>
        <vt:i4>2949197</vt:i4>
      </vt:variant>
      <vt:variant>
        <vt:i4>24</vt:i4>
      </vt:variant>
      <vt:variant>
        <vt:i4>0</vt:i4>
      </vt:variant>
      <vt:variant>
        <vt:i4>5</vt:i4>
      </vt:variant>
      <vt:variant>
        <vt:lpwstr>C:\My_documents\3gppDocs\RAN1_96bis\zips\R1-1904666.zip</vt:lpwstr>
      </vt:variant>
      <vt:variant>
        <vt:lpwstr/>
      </vt:variant>
      <vt:variant>
        <vt:i4>3014735</vt:i4>
      </vt:variant>
      <vt:variant>
        <vt:i4>21</vt:i4>
      </vt:variant>
      <vt:variant>
        <vt:i4>0</vt:i4>
      </vt:variant>
      <vt:variant>
        <vt:i4>5</vt:i4>
      </vt:variant>
      <vt:variant>
        <vt:lpwstr>C:\My_documents\3gppDocs\RAN1_96bis\zips\R1-1904654.zip</vt:lpwstr>
      </vt:variant>
      <vt:variant>
        <vt:lpwstr/>
      </vt:variant>
      <vt:variant>
        <vt:i4>2883663</vt:i4>
      </vt:variant>
      <vt:variant>
        <vt:i4>18</vt:i4>
      </vt:variant>
      <vt:variant>
        <vt:i4>0</vt:i4>
      </vt:variant>
      <vt:variant>
        <vt:i4>5</vt:i4>
      </vt:variant>
      <vt:variant>
        <vt:lpwstr>C:\My_documents\3gppDocs\RAN1_96bis\zips\R1-1904577.zip</vt:lpwstr>
      </vt:variant>
      <vt:variant>
        <vt:lpwstr/>
      </vt:variant>
      <vt:variant>
        <vt:i4>2228301</vt:i4>
      </vt:variant>
      <vt:variant>
        <vt:i4>15</vt:i4>
      </vt:variant>
      <vt:variant>
        <vt:i4>0</vt:i4>
      </vt:variant>
      <vt:variant>
        <vt:i4>5</vt:i4>
      </vt:variant>
      <vt:variant>
        <vt:lpwstr>C:\My_documents\3gppDocs\RAN1_96bis\zips\R1-1904494.zip</vt:lpwstr>
      </vt:variant>
      <vt:variant>
        <vt:lpwstr/>
      </vt:variant>
      <vt:variant>
        <vt:i4>2687048</vt:i4>
      </vt:variant>
      <vt:variant>
        <vt:i4>12</vt:i4>
      </vt:variant>
      <vt:variant>
        <vt:i4>0</vt:i4>
      </vt:variant>
      <vt:variant>
        <vt:i4>5</vt:i4>
      </vt:variant>
      <vt:variant>
        <vt:lpwstr>C:\My_documents\3gppDocs\RAN1_96bis\zips\R1-1904421.zip</vt:lpwstr>
      </vt:variant>
      <vt:variant>
        <vt:lpwstr/>
      </vt:variant>
      <vt:variant>
        <vt:i4>2621518</vt:i4>
      </vt:variant>
      <vt:variant>
        <vt:i4>9</vt:i4>
      </vt:variant>
      <vt:variant>
        <vt:i4>0</vt:i4>
      </vt:variant>
      <vt:variant>
        <vt:i4>5</vt:i4>
      </vt:variant>
      <vt:variant>
        <vt:lpwstr>C:\My_documents\3gppDocs\RAN1_96bis\zips\R1-1904330.zip</vt:lpwstr>
      </vt:variant>
      <vt:variant>
        <vt:lpwstr/>
      </vt:variant>
      <vt:variant>
        <vt:i4>2228297</vt:i4>
      </vt:variant>
      <vt:variant>
        <vt:i4>6</vt:i4>
      </vt:variant>
      <vt:variant>
        <vt:i4>0</vt:i4>
      </vt:variant>
      <vt:variant>
        <vt:i4>5</vt:i4>
      </vt:variant>
      <vt:variant>
        <vt:lpwstr>C:\My_documents\3gppDocs\RAN1_96bis\zips\R1-1904296.zip</vt:lpwstr>
      </vt:variant>
      <vt:variant>
        <vt:lpwstr/>
      </vt:variant>
      <vt:variant>
        <vt:i4>3014729</vt:i4>
      </vt:variant>
      <vt:variant>
        <vt:i4>3</vt:i4>
      </vt:variant>
      <vt:variant>
        <vt:i4>0</vt:i4>
      </vt:variant>
      <vt:variant>
        <vt:i4>5</vt:i4>
      </vt:variant>
      <vt:variant>
        <vt:lpwstr>C:\My_documents\3gppDocs\RAN1_96bis\zips\R1-1904256.zip</vt:lpwstr>
      </vt:variant>
      <vt:variant>
        <vt:lpwstr/>
      </vt:variant>
      <vt:variant>
        <vt:i4>2883657</vt:i4>
      </vt:variant>
      <vt:variant>
        <vt:i4>0</vt:i4>
      </vt:variant>
      <vt:variant>
        <vt:i4>0</vt:i4>
      </vt:variant>
      <vt:variant>
        <vt:i4>5</vt:i4>
      </vt:variant>
      <vt:variant>
        <vt:lpwstr>C:\My_documents\3gppDocs\RAN1_96bis\zips\R1-1904074.zip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FL summary for AI 9.4.1.1: SL-U channel access mechanism</dc:title>
  <dc:subject/>
  <dc:creator>kevin.lin@oppo.com</dc:creator>
  <cp:keywords/>
  <cp:lastModifiedBy>Kevin Lin</cp:lastModifiedBy>
  <cp:revision>2</cp:revision>
  <cp:lastPrinted>2021-09-11T03:34:00Z</cp:lastPrinted>
  <dcterms:created xsi:type="dcterms:W3CDTF">2022-10-16T16:30:00Z</dcterms:created>
  <dcterms:modified xsi:type="dcterms:W3CDTF">2022-10-16T16:30:00Z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ef98fb82-7d0c-492c-bd64-d56287709865</vt:lpwstr>
  </property>
  <property fmtid="{D5CDD505-2E9C-101B-9397-08002B2CF9AE}" pid="3" name="CTP_TimeStamp">
    <vt:lpwstr>2020-05-22 22:05:15Z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0x010100A4302797064FB946934CB06279B745B9</vt:lpwstr>
  </property>
  <property fmtid="{D5CDD505-2E9C-101B-9397-08002B2CF9AE}" pid="9" name="_dlc_DocIdItemGuid">
    <vt:lpwstr>1c2fd60a-898c-49ec-8162-695b3ee5ef90</vt:lpwstr>
  </property>
  <property fmtid="{D5CDD505-2E9C-101B-9397-08002B2CF9AE}" pid="10" name="MSIP_Label_a7295cc1-d279-42ac-ab4d-3b0f4fece050_Enabled">
    <vt:lpwstr>true</vt:lpwstr>
  </property>
  <property fmtid="{D5CDD505-2E9C-101B-9397-08002B2CF9AE}" pid="11" name="MSIP_Label_a7295cc1-d279-42ac-ab4d-3b0f4fece050_SetDate">
    <vt:lpwstr>2022-10-13T06:56:25Z</vt:lpwstr>
  </property>
  <property fmtid="{D5CDD505-2E9C-101B-9397-08002B2CF9AE}" pid="12" name="MSIP_Label_a7295cc1-d279-42ac-ab4d-3b0f4fece050_Method">
    <vt:lpwstr>Standard</vt:lpwstr>
  </property>
  <property fmtid="{D5CDD505-2E9C-101B-9397-08002B2CF9AE}" pid="13" name="MSIP_Label_a7295cc1-d279-42ac-ab4d-3b0f4fece050_Name">
    <vt:lpwstr>FUJITSU-RESTRICTED​</vt:lpwstr>
  </property>
  <property fmtid="{D5CDD505-2E9C-101B-9397-08002B2CF9AE}" pid="14" name="MSIP_Label_a7295cc1-d279-42ac-ab4d-3b0f4fece050_SiteId">
    <vt:lpwstr>a19f121d-81e1-4858-a9d8-736e267fd4c7</vt:lpwstr>
  </property>
  <property fmtid="{D5CDD505-2E9C-101B-9397-08002B2CF9AE}" pid="15" name="MSIP_Label_a7295cc1-d279-42ac-ab4d-3b0f4fece050_ActionId">
    <vt:lpwstr>4f4cff3e-e58b-4ae5-941a-b043e94e5185</vt:lpwstr>
  </property>
  <property fmtid="{D5CDD505-2E9C-101B-9397-08002B2CF9AE}" pid="16" name="MSIP_Label_a7295cc1-d279-42ac-ab4d-3b0f4fece050_ContentBits">
    <vt:lpwstr>0</vt:lpwstr>
  </property>
</Properties>
</file>